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B743" w14:textId="77777777" w:rsidR="00D96E61" w:rsidRDefault="00613B99" w:rsidP="007E0B5A">
      <w:pPr>
        <w:pStyle w:val="1-MainHeading"/>
        <w:keepNext w:val="0"/>
        <w:widowControl w:val="0"/>
        <w:ind w:left="851" w:hanging="851"/>
      </w:pPr>
      <w:bookmarkStart w:id="0" w:name="_Toc413139271"/>
      <w:r>
        <w:rPr>
          <w:rFonts w:cstheme="minorHAnsi"/>
        </w:rPr>
        <w:t>5.06</w:t>
      </w:r>
      <w:r>
        <w:rPr>
          <w:rFonts w:cstheme="minorHAnsi"/>
        </w:rPr>
        <w:tab/>
      </w:r>
      <w:bookmarkStart w:id="1" w:name="_Toc93404175"/>
      <w:bookmarkStart w:id="2" w:name="_Toc124937082"/>
      <w:r w:rsidRPr="00D55AC4">
        <w:rPr>
          <w:rFonts w:cstheme="minorHAnsi"/>
        </w:rPr>
        <w:t>BULEVIRTIDE</w:t>
      </w:r>
    </w:p>
    <w:p w14:paraId="635F7633" w14:textId="4A81A97B" w:rsidR="00613B99" w:rsidRPr="002F6A88" w:rsidRDefault="00613B99" w:rsidP="00D96E61">
      <w:pPr>
        <w:pStyle w:val="1-MainHeading"/>
        <w:keepNext w:val="0"/>
        <w:widowControl w:val="0"/>
        <w:ind w:left="851" w:hanging="131"/>
      </w:pPr>
      <w:r w:rsidRPr="00D55AC4">
        <w:t>Powder for injection 2 mg,</w:t>
      </w:r>
      <w:r w:rsidRPr="00D55AC4">
        <w:br/>
        <w:t>Hepcludex</w:t>
      </w:r>
      <w:r w:rsidRPr="00D55AC4">
        <w:rPr>
          <w:vertAlign w:val="superscript"/>
        </w:rPr>
        <w:t>®</w:t>
      </w:r>
      <w:r w:rsidRPr="00D55AC4">
        <w:t>,</w:t>
      </w:r>
      <w:r w:rsidRPr="00D55AC4">
        <w:br/>
        <w:t>Gilead Sciences Pty Ltd</w:t>
      </w:r>
      <w:bookmarkEnd w:id="1"/>
      <w:r w:rsidRPr="00D55AC4">
        <w:t>.</w:t>
      </w:r>
      <w:bookmarkEnd w:id="2"/>
    </w:p>
    <w:p w14:paraId="6B4E877C" w14:textId="77777777" w:rsidR="002F3E3E" w:rsidRPr="00EF630E" w:rsidRDefault="002F3E3E" w:rsidP="00EF630E">
      <w:pPr>
        <w:pStyle w:val="2-SectionHeading"/>
        <w:numPr>
          <w:ilvl w:val="0"/>
          <w:numId w:val="10"/>
        </w:numPr>
      </w:pPr>
      <w:bookmarkStart w:id="3" w:name="_Toc156984623"/>
      <w:bookmarkStart w:id="4" w:name="_Toc487029150"/>
      <w:bookmarkStart w:id="5" w:name="_Toc413139282"/>
      <w:bookmarkEnd w:id="0"/>
      <w:r w:rsidRPr="00EF630E">
        <w:t>Purpose of submission</w:t>
      </w:r>
      <w:bookmarkEnd w:id="3"/>
    </w:p>
    <w:p w14:paraId="3EB07ED5" w14:textId="77777777" w:rsidR="002F3E3E" w:rsidRPr="00EF630E" w:rsidRDefault="002F3E3E" w:rsidP="00EF630E">
      <w:pPr>
        <w:pStyle w:val="3-BodyText"/>
        <w:numPr>
          <w:ilvl w:val="4"/>
          <w:numId w:val="10"/>
        </w:numPr>
      </w:pPr>
      <w:r w:rsidRPr="00EF630E">
        <w:t>An integrated codependent submission requesting MBS listing of ribonucleic acid (RNA) polymerase chain reaction (PCR) testing and PBS listing of bulevirtide for the treatment of chronic hepatitis D (CHD) in adult patients positive for hepatitis D virus (HDV) RNA as detected by PCR.</w:t>
      </w:r>
    </w:p>
    <w:p w14:paraId="00422645" w14:textId="77777777" w:rsidR="007125EC" w:rsidRDefault="002F3E3E" w:rsidP="00EF630E">
      <w:pPr>
        <w:pStyle w:val="3-BodyText"/>
      </w:pPr>
      <w:r w:rsidRPr="00196231">
        <w:t xml:space="preserve">Listing was requested based on a cost-utility analysis </w:t>
      </w:r>
      <w:r w:rsidRPr="004A5562">
        <w:t xml:space="preserve">versus </w:t>
      </w:r>
      <w:r w:rsidRPr="00196231">
        <w:t>symptom management of CHD (also referred to as best supportive care (BSC</w:t>
      </w:r>
      <w:r>
        <w:t>)), including routine management of chronic hepatitis B (CHB) infection.</w:t>
      </w:r>
      <w:r w:rsidR="007125EC" w:rsidRPr="007125EC">
        <w:t xml:space="preserve"> </w:t>
      </w:r>
    </w:p>
    <w:p w14:paraId="103953C7" w14:textId="03759580" w:rsidR="00035DA0" w:rsidRDefault="007125EC" w:rsidP="00EF630E">
      <w:pPr>
        <w:pStyle w:val="3-BodyText"/>
      </w:pPr>
      <w:r w:rsidRPr="00196231">
        <w:t xml:space="preserve">The sponsor also </w:t>
      </w:r>
      <w:r w:rsidR="004A5562">
        <w:t>argued</w:t>
      </w:r>
      <w:r w:rsidR="004A5562" w:rsidRPr="00196231">
        <w:t xml:space="preserve"> </w:t>
      </w:r>
      <w:r w:rsidRPr="00196231">
        <w:t>that the Rule of Rescue criteria are satisfied</w:t>
      </w:r>
      <w:r w:rsidR="00035DA0">
        <w:t xml:space="preserve"> on the following basis</w:t>
      </w:r>
      <w:r w:rsidRPr="00196231">
        <w:t xml:space="preserve">: </w:t>
      </w:r>
    </w:p>
    <w:p w14:paraId="7890EC2F" w14:textId="77777777" w:rsidR="00035DA0" w:rsidRPr="00EF630E" w:rsidRDefault="007125EC" w:rsidP="00EF630E">
      <w:pPr>
        <w:pStyle w:val="PBACESParagraphBulletPoint"/>
      </w:pPr>
      <w:r w:rsidRPr="00EF630E">
        <w:t xml:space="preserve">no nonpharmacological or pharmacological interventions currently registered or reimbursed for HDV </w:t>
      </w:r>
      <w:proofErr w:type="gramStart"/>
      <w:r w:rsidRPr="00EF630E">
        <w:t>patients;</w:t>
      </w:r>
      <w:proofErr w:type="gramEnd"/>
      <w:r w:rsidRPr="00EF630E">
        <w:t xml:space="preserve"> </w:t>
      </w:r>
    </w:p>
    <w:p w14:paraId="601D821D" w14:textId="77777777" w:rsidR="00035DA0" w:rsidRPr="00EF630E" w:rsidRDefault="007125EC" w:rsidP="00EF630E">
      <w:pPr>
        <w:pStyle w:val="PBACESParagraphBulletPoint"/>
      </w:pPr>
      <w:r w:rsidRPr="00EF630E">
        <w:t xml:space="preserve">CHD results in significant morbidity and premature </w:t>
      </w:r>
      <w:proofErr w:type="gramStart"/>
      <w:r w:rsidRPr="00EF630E">
        <w:t>mortality;</w:t>
      </w:r>
      <w:proofErr w:type="gramEnd"/>
      <w:r w:rsidRPr="00EF630E">
        <w:t xml:space="preserve"> </w:t>
      </w:r>
    </w:p>
    <w:p w14:paraId="7463F2E0" w14:textId="77777777" w:rsidR="00035DA0" w:rsidRPr="00EF630E" w:rsidRDefault="007125EC" w:rsidP="00EF630E">
      <w:pPr>
        <w:pStyle w:val="PBACESParagraphBulletPoint"/>
      </w:pPr>
      <w:r w:rsidRPr="00EF630E">
        <w:t xml:space="preserve">CHD is a rare disease and bulevirtide has been designated as an orphan drug by TGA; and </w:t>
      </w:r>
    </w:p>
    <w:p w14:paraId="4EDC6FED" w14:textId="77777777" w:rsidR="00035DA0" w:rsidRPr="00EF630E" w:rsidRDefault="007125EC" w:rsidP="00EF630E">
      <w:pPr>
        <w:pStyle w:val="PBACESParagraphBulletPoint"/>
      </w:pPr>
      <w:r w:rsidRPr="00EF630E">
        <w:t xml:space="preserve">bulevirtide study results indicate unprecedented improvements in efficacy compared with best supportive care which will translate into significant reductions in liver complications and have a substantial positive impact on reducing premature death. </w:t>
      </w:r>
    </w:p>
    <w:p w14:paraId="25E803C3" w14:textId="2E3F7361" w:rsidR="002F3E3E" w:rsidRPr="00196231" w:rsidRDefault="002F3E3E" w:rsidP="00CE1824">
      <w:pPr>
        <w:pStyle w:val="Caption"/>
      </w:pPr>
      <w:r w:rsidRPr="00196231">
        <w:lastRenderedPageBreak/>
        <w:t xml:space="preserve">Table </w:t>
      </w:r>
      <w:r>
        <w:fldChar w:fldCharType="begin" w:fldLock="1"/>
      </w:r>
      <w:r>
        <w:instrText>SEQ Table_PBAC. \* ARABIC</w:instrText>
      </w:r>
      <w:r>
        <w:fldChar w:fldCharType="separate"/>
      </w:r>
      <w:r w:rsidR="00B02BFE">
        <w:rPr>
          <w:noProof/>
        </w:rPr>
        <w:t>1</w:t>
      </w:r>
      <w:r>
        <w:fldChar w:fldCharType="end"/>
      </w:r>
      <w:r w:rsidR="00EE6991">
        <w:t xml:space="preserve">: </w:t>
      </w:r>
      <w:r w:rsidRPr="00196231">
        <w:t>Key components of the clinical issue addressed by the submission</w:t>
      </w:r>
    </w:p>
    <w:tbl>
      <w:tblPr>
        <w:tblStyle w:val="PBACTableStyle"/>
        <w:tblW w:w="0" w:type="auto"/>
        <w:tblLook w:val="04A0" w:firstRow="1" w:lastRow="0" w:firstColumn="1" w:lastColumn="0" w:noHBand="0" w:noVBand="1"/>
        <w:tblCaption w:val="Table 1: Key components of the clinical issue addressed by the submission"/>
      </w:tblPr>
      <w:tblGrid>
        <w:gridCol w:w="1696"/>
        <w:gridCol w:w="7320"/>
      </w:tblGrid>
      <w:tr w:rsidR="002F3E3E" w:rsidRPr="00196231" w14:paraId="2C8797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bottom"/>
          </w:tcPr>
          <w:p w14:paraId="50E50C4E" w14:textId="77777777" w:rsidR="002F3E3E" w:rsidRPr="00196231" w:rsidRDefault="002F3E3E" w:rsidP="00343C2D">
            <w:pPr>
              <w:pStyle w:val="TableText"/>
              <w:keepNext/>
              <w:keepLines/>
            </w:pPr>
            <w:r w:rsidRPr="00196231">
              <w:t>Component</w:t>
            </w:r>
          </w:p>
        </w:tc>
        <w:tc>
          <w:tcPr>
            <w:tcW w:w="7320" w:type="dxa"/>
            <w:vAlign w:val="bottom"/>
          </w:tcPr>
          <w:p w14:paraId="7E15FC93" w14:textId="77777777" w:rsidR="002F3E3E" w:rsidRPr="00196231" w:rsidRDefault="002F3E3E" w:rsidP="00343C2D">
            <w:pPr>
              <w:pStyle w:val="TableText"/>
              <w:keepNext/>
              <w:keepLines/>
              <w:cnfStyle w:val="100000000000" w:firstRow="1" w:lastRow="0" w:firstColumn="0" w:lastColumn="0" w:oddVBand="0" w:evenVBand="0" w:oddHBand="0" w:evenHBand="0" w:firstRowFirstColumn="0" w:firstRowLastColumn="0" w:lastRowFirstColumn="0" w:lastRowLastColumn="0"/>
            </w:pPr>
            <w:r w:rsidRPr="00196231">
              <w:t>Description</w:t>
            </w:r>
          </w:p>
        </w:tc>
      </w:tr>
      <w:tr w:rsidR="002F3E3E" w:rsidRPr="00196231" w14:paraId="1EFD8DE5" w14:textId="77777777">
        <w:tc>
          <w:tcPr>
            <w:cnfStyle w:val="001000000000" w:firstRow="0" w:lastRow="0" w:firstColumn="1" w:lastColumn="0" w:oddVBand="0" w:evenVBand="0" w:oddHBand="0" w:evenHBand="0" w:firstRowFirstColumn="0" w:firstRowLastColumn="0" w:lastRowFirstColumn="0" w:lastRowLastColumn="0"/>
            <w:tcW w:w="1696" w:type="dxa"/>
          </w:tcPr>
          <w:p w14:paraId="68C62C96" w14:textId="77777777" w:rsidR="002F3E3E" w:rsidRPr="00196231" w:rsidRDefault="002F3E3E" w:rsidP="00343C2D">
            <w:pPr>
              <w:pStyle w:val="TableText"/>
              <w:keepNext/>
              <w:keepLines/>
            </w:pPr>
            <w:r w:rsidRPr="00196231">
              <w:t>Population</w:t>
            </w:r>
          </w:p>
        </w:tc>
        <w:tc>
          <w:tcPr>
            <w:tcW w:w="7320" w:type="dxa"/>
          </w:tcPr>
          <w:p w14:paraId="15A96EFB"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Test: People diagnosed with chronic hepatitis B who have tested positive for serum anti-hepatitis D virus (anti-HDV) antibodies and are suspected of having chronic hepatitis D (CHD)</w:t>
            </w:r>
          </w:p>
          <w:p w14:paraId="201349A9"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Drug: Patients with positive CHD with detectable polymerase chain reaction (PCR) results for serum/plasma HDV ribonucleic acid (RNA)</w:t>
            </w:r>
            <w:r w:rsidRPr="00196231">
              <w:rPr>
                <w:vertAlign w:val="superscript"/>
              </w:rPr>
              <w:t>a</w:t>
            </w:r>
          </w:p>
        </w:tc>
      </w:tr>
      <w:tr w:rsidR="002F3E3E" w:rsidRPr="00196231" w14:paraId="76F0FE1A" w14:textId="77777777">
        <w:tc>
          <w:tcPr>
            <w:cnfStyle w:val="001000000000" w:firstRow="0" w:lastRow="0" w:firstColumn="1" w:lastColumn="0" w:oddVBand="0" w:evenVBand="0" w:oddHBand="0" w:evenHBand="0" w:firstRowFirstColumn="0" w:firstRowLastColumn="0" w:lastRowFirstColumn="0" w:lastRowLastColumn="0"/>
            <w:tcW w:w="1696" w:type="dxa"/>
          </w:tcPr>
          <w:p w14:paraId="00395832" w14:textId="77777777" w:rsidR="002F3E3E" w:rsidRPr="00196231" w:rsidRDefault="002F3E3E" w:rsidP="00343C2D">
            <w:pPr>
              <w:pStyle w:val="TableText"/>
              <w:keepNext/>
              <w:keepLines/>
            </w:pPr>
            <w:r w:rsidRPr="00196231">
              <w:t>Intervention</w:t>
            </w:r>
          </w:p>
        </w:tc>
        <w:tc>
          <w:tcPr>
            <w:tcW w:w="7320" w:type="dxa"/>
          </w:tcPr>
          <w:p w14:paraId="32F92D03"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Test: HDV RNA PCR on serum or blood</w:t>
            </w:r>
          </w:p>
          <w:p w14:paraId="1C40A46F"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 xml:space="preserve">Drug: Bulevirtide </w:t>
            </w:r>
            <w:r>
              <w:t>2 mg</w:t>
            </w:r>
            <w:r w:rsidRPr="00196231">
              <w:t xml:space="preserve"> once daily subcutaneous injection</w:t>
            </w:r>
          </w:p>
        </w:tc>
      </w:tr>
      <w:tr w:rsidR="002F3E3E" w:rsidRPr="00196231" w14:paraId="73BF10F2" w14:textId="77777777">
        <w:tc>
          <w:tcPr>
            <w:cnfStyle w:val="001000000000" w:firstRow="0" w:lastRow="0" w:firstColumn="1" w:lastColumn="0" w:oddVBand="0" w:evenVBand="0" w:oddHBand="0" w:evenHBand="0" w:firstRowFirstColumn="0" w:firstRowLastColumn="0" w:lastRowFirstColumn="0" w:lastRowLastColumn="0"/>
            <w:tcW w:w="1696" w:type="dxa"/>
          </w:tcPr>
          <w:p w14:paraId="16512C1A" w14:textId="77777777" w:rsidR="002F3E3E" w:rsidRPr="00196231" w:rsidRDefault="002F3E3E" w:rsidP="00343C2D">
            <w:pPr>
              <w:pStyle w:val="TableText"/>
              <w:keepNext/>
              <w:keepLines/>
            </w:pPr>
            <w:r w:rsidRPr="00196231">
              <w:t>Comparator</w:t>
            </w:r>
          </w:p>
        </w:tc>
        <w:tc>
          <w:tcPr>
            <w:tcW w:w="7320" w:type="dxa"/>
          </w:tcPr>
          <w:p w14:paraId="43159047"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Test: No HDV RNA testing</w:t>
            </w:r>
          </w:p>
          <w:p w14:paraId="2D4CBB6D"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Drug: Symptom management of CHD</w:t>
            </w:r>
          </w:p>
        </w:tc>
      </w:tr>
      <w:tr w:rsidR="002F3E3E" w:rsidRPr="00196231" w14:paraId="308A6356" w14:textId="77777777">
        <w:tc>
          <w:tcPr>
            <w:cnfStyle w:val="001000000000" w:firstRow="0" w:lastRow="0" w:firstColumn="1" w:lastColumn="0" w:oddVBand="0" w:evenVBand="0" w:oddHBand="0" w:evenHBand="0" w:firstRowFirstColumn="0" w:firstRowLastColumn="0" w:lastRowFirstColumn="0" w:lastRowLastColumn="0"/>
            <w:tcW w:w="1696" w:type="dxa"/>
          </w:tcPr>
          <w:p w14:paraId="03FA17A4" w14:textId="77777777" w:rsidR="002F3E3E" w:rsidRPr="00196231" w:rsidRDefault="002F3E3E" w:rsidP="00343C2D">
            <w:pPr>
              <w:pStyle w:val="TableText"/>
              <w:keepNext/>
              <w:keepLines/>
            </w:pPr>
            <w:r w:rsidRPr="00196231">
              <w:t>Outcomes</w:t>
            </w:r>
          </w:p>
        </w:tc>
        <w:tc>
          <w:tcPr>
            <w:tcW w:w="7320" w:type="dxa"/>
          </w:tcPr>
          <w:p w14:paraId="2C69AEA5"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Test:</w:t>
            </w:r>
          </w:p>
          <w:p w14:paraId="6D5DAF07" w14:textId="77777777" w:rsidR="002F3E3E" w:rsidRPr="00196231" w:rsidRDefault="002F3E3E" w:rsidP="00343C2D">
            <w:pPr>
              <w:pStyle w:val="TableText"/>
              <w:keepNext/>
              <w:keepLines/>
              <w:tabs>
                <w:tab w:val="left" w:pos="177"/>
              </w:tabs>
              <w:ind w:firstLine="35"/>
              <w:cnfStyle w:val="000000000000" w:firstRow="0" w:lastRow="0" w:firstColumn="0" w:lastColumn="0" w:oddVBand="0" w:evenVBand="0" w:oddHBand="0" w:evenHBand="0" w:firstRowFirstColumn="0" w:firstRowLastColumn="0" w:lastRowFirstColumn="0" w:lastRowLastColumn="0"/>
            </w:pPr>
            <w:r w:rsidRPr="00196231">
              <w:t>•</w:t>
            </w:r>
            <w:r w:rsidRPr="00196231">
              <w:tab/>
              <w:t>Concordance of the test with the clinical utility standard</w:t>
            </w:r>
          </w:p>
          <w:p w14:paraId="3E109D7F" w14:textId="77777777" w:rsidR="002F3E3E" w:rsidRPr="00196231" w:rsidRDefault="002F3E3E" w:rsidP="00343C2D">
            <w:pPr>
              <w:pStyle w:val="TableText"/>
              <w:keepNext/>
              <w:keepLines/>
              <w:tabs>
                <w:tab w:val="left" w:pos="177"/>
              </w:tabs>
              <w:ind w:firstLine="35"/>
              <w:cnfStyle w:val="000000000000" w:firstRow="0" w:lastRow="0" w:firstColumn="0" w:lastColumn="0" w:oddVBand="0" w:evenVBand="0" w:oddHBand="0" w:evenHBand="0" w:firstRowFirstColumn="0" w:firstRowLastColumn="0" w:lastRowFirstColumn="0" w:lastRowLastColumn="0"/>
            </w:pPr>
            <w:r w:rsidRPr="00196231">
              <w:t>•</w:t>
            </w:r>
            <w:r w:rsidRPr="00196231">
              <w:tab/>
              <w:t>Predictive validity of the test (distinguished from HDV as a prognostic marker)</w:t>
            </w:r>
          </w:p>
          <w:p w14:paraId="1E76F804" w14:textId="77777777" w:rsidR="002F3E3E" w:rsidRPr="00196231" w:rsidRDefault="002F3E3E" w:rsidP="00343C2D">
            <w:pPr>
              <w:pStyle w:val="TableText"/>
              <w:keepNext/>
              <w:keepLines/>
              <w:tabs>
                <w:tab w:val="left" w:pos="177"/>
              </w:tabs>
              <w:ind w:firstLine="35"/>
              <w:cnfStyle w:val="000000000000" w:firstRow="0" w:lastRow="0" w:firstColumn="0" w:lastColumn="0" w:oddVBand="0" w:evenVBand="0" w:oddHBand="0" w:evenHBand="0" w:firstRowFirstColumn="0" w:firstRowLastColumn="0" w:lastRowFirstColumn="0" w:lastRowLastColumn="0"/>
            </w:pPr>
            <w:r w:rsidRPr="00196231">
              <w:t>•</w:t>
            </w:r>
            <w:r w:rsidRPr="00196231">
              <w:tab/>
              <w:t>Suitability of the test for monitoring (ability to distinguish response to treatment from background random variation, i.e., signal to noise ratio).</w:t>
            </w:r>
          </w:p>
          <w:p w14:paraId="551573FD" w14:textId="77777777" w:rsidR="002F3E3E" w:rsidRPr="00196231" w:rsidRDefault="002F3E3E" w:rsidP="00343C2D">
            <w:pPr>
              <w:pStyle w:val="TableText"/>
              <w:keepNext/>
              <w:keepLines/>
              <w:tabs>
                <w:tab w:val="left" w:pos="177"/>
              </w:tabs>
              <w:ind w:firstLine="35"/>
              <w:cnfStyle w:val="000000000000" w:firstRow="0" w:lastRow="0" w:firstColumn="0" w:lastColumn="0" w:oddVBand="0" w:evenVBand="0" w:oddHBand="0" w:evenHBand="0" w:firstRowFirstColumn="0" w:firstRowLastColumn="0" w:lastRowFirstColumn="0" w:lastRowLastColumn="0"/>
            </w:pPr>
            <w:r w:rsidRPr="00196231">
              <w:t>•</w:t>
            </w:r>
            <w:r w:rsidRPr="00196231">
              <w:tab/>
              <w:t>Change in clinical management from initial and ongoing testing</w:t>
            </w:r>
          </w:p>
          <w:p w14:paraId="330F9624"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Medicine:</w:t>
            </w:r>
          </w:p>
          <w:p w14:paraId="77FFA5C3" w14:textId="77777777" w:rsidR="002F3E3E" w:rsidRPr="00196231" w:rsidRDefault="002F3E3E" w:rsidP="00343C2D">
            <w:pPr>
              <w:pStyle w:val="TableText"/>
              <w:keepNext/>
              <w:keepLines/>
              <w:tabs>
                <w:tab w:val="left" w:pos="177"/>
              </w:tabs>
              <w:cnfStyle w:val="000000000000" w:firstRow="0" w:lastRow="0" w:firstColumn="0" w:lastColumn="0" w:oddVBand="0" w:evenVBand="0" w:oddHBand="0" w:evenHBand="0" w:firstRowFirstColumn="0" w:firstRowLastColumn="0" w:lastRowFirstColumn="0" w:lastRowLastColumn="0"/>
            </w:pPr>
            <w:r w:rsidRPr="00196231">
              <w:t>•</w:t>
            </w:r>
            <w:r w:rsidRPr="00196231">
              <w:tab/>
              <w:t>Primary endpoint, composite endpoint at Week 48 of:</w:t>
            </w:r>
          </w:p>
          <w:p w14:paraId="25871D02" w14:textId="77777777" w:rsidR="002F3E3E" w:rsidRPr="00196231" w:rsidRDefault="002F3E3E" w:rsidP="004E6F8C">
            <w:pPr>
              <w:pStyle w:val="TableText"/>
              <w:keepNext/>
              <w:keepLines/>
              <w:numPr>
                <w:ilvl w:val="1"/>
                <w:numId w:val="20"/>
              </w:numPr>
              <w:ind w:left="602"/>
              <w:cnfStyle w:val="000000000000" w:firstRow="0" w:lastRow="0" w:firstColumn="0" w:lastColumn="0" w:oddVBand="0" w:evenVBand="0" w:oddHBand="0" w:evenHBand="0" w:firstRowFirstColumn="0" w:firstRowLastColumn="0" w:lastRowFirstColumn="0" w:lastRowLastColumn="0"/>
            </w:pPr>
            <w:r w:rsidRPr="00196231">
              <w:t xml:space="preserve">Undetectable HDV RNA (HDV RNA &lt; lower level of detection (LLoD) or decrease in HDV RNA by ≥2 log10 IU/mL from baseline, and </w:t>
            </w:r>
          </w:p>
          <w:p w14:paraId="4B70903F" w14:textId="77777777" w:rsidR="002F3E3E" w:rsidRPr="00196231" w:rsidRDefault="002F3E3E" w:rsidP="004E6F8C">
            <w:pPr>
              <w:pStyle w:val="TableText"/>
              <w:keepNext/>
              <w:keepLines/>
              <w:numPr>
                <w:ilvl w:val="1"/>
                <w:numId w:val="20"/>
              </w:numPr>
              <w:ind w:left="602"/>
              <w:cnfStyle w:val="000000000000" w:firstRow="0" w:lastRow="0" w:firstColumn="0" w:lastColumn="0" w:oddVBand="0" w:evenVBand="0" w:oddHBand="0" w:evenHBand="0" w:firstRowFirstColumn="0" w:firstRowLastColumn="0" w:lastRowFirstColumn="0" w:lastRowLastColumn="0"/>
            </w:pPr>
            <w:r w:rsidRPr="00196231">
              <w:t xml:space="preserve">ALT normalisation (i.e., below the central laboratory defined upper level of normal (ULN). </w:t>
            </w:r>
          </w:p>
          <w:p w14:paraId="385A9568" w14:textId="77777777" w:rsidR="002F3E3E" w:rsidRPr="00196231" w:rsidRDefault="002F3E3E" w:rsidP="00343C2D">
            <w:pPr>
              <w:pStyle w:val="TableText"/>
              <w:keepNext/>
              <w:keepLines/>
              <w:tabs>
                <w:tab w:val="left" w:pos="177"/>
              </w:tabs>
              <w:cnfStyle w:val="000000000000" w:firstRow="0" w:lastRow="0" w:firstColumn="0" w:lastColumn="0" w:oddVBand="0" w:evenVBand="0" w:oddHBand="0" w:evenHBand="0" w:firstRowFirstColumn="0" w:firstRowLastColumn="0" w:lastRowFirstColumn="0" w:lastRowLastColumn="0"/>
            </w:pPr>
            <w:r w:rsidRPr="00196231">
              <w:t>•</w:t>
            </w:r>
            <w:r w:rsidRPr="00196231">
              <w:tab/>
              <w:t>Secondary endpoints at Week 48 of:</w:t>
            </w:r>
          </w:p>
          <w:p w14:paraId="06228C6E" w14:textId="77777777" w:rsidR="002F3E3E" w:rsidRPr="00196231" w:rsidRDefault="002F3E3E" w:rsidP="004E6F8C">
            <w:pPr>
              <w:pStyle w:val="TableText"/>
              <w:keepNext/>
              <w:keepLines/>
              <w:numPr>
                <w:ilvl w:val="1"/>
                <w:numId w:val="21"/>
              </w:numPr>
              <w:ind w:left="602"/>
              <w:cnfStyle w:val="000000000000" w:firstRow="0" w:lastRow="0" w:firstColumn="0" w:lastColumn="0" w:oddVBand="0" w:evenVBand="0" w:oddHBand="0" w:evenHBand="0" w:firstRowFirstColumn="0" w:firstRowLastColumn="0" w:lastRowFirstColumn="0" w:lastRowLastColumn="0"/>
            </w:pPr>
            <w:r w:rsidRPr="00196231">
              <w:t>Undetectable HDV RNA at Week 48</w:t>
            </w:r>
          </w:p>
          <w:p w14:paraId="7671FCAC" w14:textId="77777777" w:rsidR="002F3E3E" w:rsidRPr="00196231" w:rsidRDefault="002F3E3E" w:rsidP="004E6F8C">
            <w:pPr>
              <w:pStyle w:val="TableText"/>
              <w:keepNext/>
              <w:keepLines/>
              <w:numPr>
                <w:ilvl w:val="1"/>
                <w:numId w:val="21"/>
              </w:numPr>
              <w:ind w:left="602"/>
              <w:cnfStyle w:val="000000000000" w:firstRow="0" w:lastRow="0" w:firstColumn="0" w:lastColumn="0" w:oddVBand="0" w:evenVBand="0" w:oddHBand="0" w:evenHBand="0" w:firstRowFirstColumn="0" w:firstRowLastColumn="0" w:lastRowFirstColumn="0" w:lastRowLastColumn="0"/>
            </w:pPr>
            <w:r w:rsidRPr="00196231">
              <w:t>ALT normalisation at Week 48</w:t>
            </w:r>
          </w:p>
          <w:p w14:paraId="0DF752D7" w14:textId="77777777" w:rsidR="002F3E3E" w:rsidRPr="00196231" w:rsidRDefault="002F3E3E" w:rsidP="004E6F8C">
            <w:pPr>
              <w:pStyle w:val="TableText"/>
              <w:keepNext/>
              <w:keepLines/>
              <w:numPr>
                <w:ilvl w:val="1"/>
                <w:numId w:val="21"/>
              </w:numPr>
              <w:ind w:left="602"/>
              <w:cnfStyle w:val="000000000000" w:firstRow="0" w:lastRow="0" w:firstColumn="0" w:lastColumn="0" w:oddVBand="0" w:evenVBand="0" w:oddHBand="0" w:evenHBand="0" w:firstRowFirstColumn="0" w:firstRowLastColumn="0" w:lastRowFirstColumn="0" w:lastRowLastColumn="0"/>
            </w:pPr>
            <w:r w:rsidRPr="00196231">
              <w:t>Proportions of patients across the treatment arms achieving HDV RNA decrease by ≥2 log</w:t>
            </w:r>
            <w:r w:rsidRPr="00196231">
              <w:rPr>
                <w:vertAlign w:val="subscript"/>
              </w:rPr>
              <w:t>10</w:t>
            </w:r>
            <w:r w:rsidRPr="00196231">
              <w:t xml:space="preserve"> IU/mL (exploratory endpoint)</w:t>
            </w:r>
          </w:p>
          <w:p w14:paraId="6431BB6C" w14:textId="77777777" w:rsidR="002F3E3E" w:rsidRPr="00196231" w:rsidRDefault="002F3E3E" w:rsidP="004E6F8C">
            <w:pPr>
              <w:pStyle w:val="TableText"/>
              <w:keepNext/>
              <w:keepLines/>
              <w:numPr>
                <w:ilvl w:val="1"/>
                <w:numId w:val="21"/>
              </w:numPr>
              <w:ind w:left="602"/>
              <w:cnfStyle w:val="000000000000" w:firstRow="0" w:lastRow="0" w:firstColumn="0" w:lastColumn="0" w:oddVBand="0" w:evenVBand="0" w:oddHBand="0" w:evenHBand="0" w:firstRowFirstColumn="0" w:firstRowLastColumn="0" w:lastRowFirstColumn="0" w:lastRowLastColumn="0"/>
            </w:pPr>
            <w:r w:rsidRPr="00196231">
              <w:t>Quality of life using EuroQol 5-Dimensions (EQ-5D), Fatigue Severity Scale (FSS) and Hepatitis Quality of Life Questionnaire (HQLQ)</w:t>
            </w:r>
          </w:p>
          <w:p w14:paraId="62F01CB6" w14:textId="77777777" w:rsidR="002F3E3E" w:rsidRPr="00196231" w:rsidRDefault="002F3E3E" w:rsidP="00343C2D">
            <w:pPr>
              <w:pStyle w:val="TableText"/>
              <w:keepNext/>
              <w:keepLines/>
              <w:tabs>
                <w:tab w:val="left" w:pos="177"/>
              </w:tabs>
              <w:cnfStyle w:val="000000000000" w:firstRow="0" w:lastRow="0" w:firstColumn="0" w:lastColumn="0" w:oddVBand="0" w:evenVBand="0" w:oddHBand="0" w:evenHBand="0" w:firstRowFirstColumn="0" w:firstRowLastColumn="0" w:lastRowFirstColumn="0" w:lastRowLastColumn="0"/>
            </w:pPr>
            <w:r w:rsidRPr="00196231">
              <w:t>•</w:t>
            </w:r>
            <w:r w:rsidRPr="00196231">
              <w:tab/>
              <w:t>Safety (adverse events, physical examinations, laboratory findings)</w:t>
            </w:r>
          </w:p>
        </w:tc>
      </w:tr>
      <w:tr w:rsidR="002F3E3E" w:rsidRPr="00196231" w14:paraId="6AF25FD7" w14:textId="77777777">
        <w:tc>
          <w:tcPr>
            <w:cnfStyle w:val="001000000000" w:firstRow="0" w:lastRow="0" w:firstColumn="1" w:lastColumn="0" w:oddVBand="0" w:evenVBand="0" w:oddHBand="0" w:evenHBand="0" w:firstRowFirstColumn="0" w:firstRowLastColumn="0" w:lastRowFirstColumn="0" w:lastRowLastColumn="0"/>
            <w:tcW w:w="1696" w:type="dxa"/>
          </w:tcPr>
          <w:p w14:paraId="48119F53" w14:textId="77777777" w:rsidR="002F3E3E" w:rsidRPr="00196231" w:rsidRDefault="002F3E3E" w:rsidP="00343C2D">
            <w:pPr>
              <w:pStyle w:val="TableText"/>
              <w:keepNext/>
              <w:keepLines/>
            </w:pPr>
            <w:r w:rsidRPr="00196231">
              <w:t>Clinical claim</w:t>
            </w:r>
          </w:p>
        </w:tc>
        <w:tc>
          <w:tcPr>
            <w:tcW w:w="7320" w:type="dxa"/>
          </w:tcPr>
          <w:p w14:paraId="671A1F1F"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In adults with chronic HDV infection, bulevirtide is superior in efficacy to current chronic HDV symptom management and is associated with a favourable safety profile.</w:t>
            </w:r>
          </w:p>
          <w:p w14:paraId="7028DEA5" w14:textId="77777777" w:rsidR="002F3E3E" w:rsidRPr="00196231" w:rsidRDefault="002F3E3E" w:rsidP="00343C2D">
            <w:pPr>
              <w:pStyle w:val="TableText"/>
              <w:keepNext/>
              <w:keepLines/>
              <w:cnfStyle w:val="000000000000" w:firstRow="0" w:lastRow="0" w:firstColumn="0" w:lastColumn="0" w:oddVBand="0" w:evenVBand="0" w:oddHBand="0" w:evenHBand="0" w:firstRowFirstColumn="0" w:firstRowLastColumn="0" w:lastRowFirstColumn="0" w:lastRowLastColumn="0"/>
            </w:pPr>
            <w:r w:rsidRPr="00196231">
              <w:t>The MBS listing HDV RNA PCR testing and the PBS listing of bulevirtide for the diagnosis and the treatment of chronic HDV will result in superior health outcomes compared to no testing and no access to bulevirtide.</w:t>
            </w:r>
          </w:p>
        </w:tc>
      </w:tr>
    </w:tbl>
    <w:p w14:paraId="6F53BDB4" w14:textId="77777777" w:rsidR="002F3E3E" w:rsidRPr="00196231" w:rsidRDefault="002F3E3E" w:rsidP="00343C2D">
      <w:pPr>
        <w:pStyle w:val="TableFooter"/>
        <w:keepNext/>
        <w:keepLines/>
      </w:pPr>
      <w:r w:rsidRPr="00196231">
        <w:t>Source: Table 1.1-1 p5 of the submission</w:t>
      </w:r>
    </w:p>
    <w:p w14:paraId="239D0D5A" w14:textId="3D9BB14F" w:rsidR="002F3E3E" w:rsidRPr="00196231" w:rsidRDefault="002F3E3E" w:rsidP="00EF630E">
      <w:pPr>
        <w:pStyle w:val="TableFooter"/>
        <w:keepNext/>
        <w:keepLines/>
      </w:pPr>
      <w:r w:rsidRPr="00196231">
        <w:rPr>
          <w:vertAlign w:val="superscript"/>
        </w:rPr>
        <w:t>a</w:t>
      </w:r>
      <w:r w:rsidRPr="00196231">
        <w:t xml:space="preserve"> The eligible population for bulevirtide is further restricted to patients with elevated serum alanine aminotransferase (ALT) level and patients with compensated liver disease in the requested PBS listing.</w:t>
      </w:r>
    </w:p>
    <w:p w14:paraId="4832D8C7" w14:textId="77777777" w:rsidR="00EC6347" w:rsidRPr="00196231" w:rsidRDefault="00EC6347" w:rsidP="00EF630E">
      <w:pPr>
        <w:pStyle w:val="2-SectionHeading"/>
      </w:pPr>
      <w:bookmarkStart w:id="6" w:name="_Toc156984624"/>
      <w:r w:rsidRPr="00196231">
        <w:t>Background</w:t>
      </w:r>
      <w:bookmarkEnd w:id="4"/>
      <w:bookmarkEnd w:id="6"/>
    </w:p>
    <w:p w14:paraId="61B33716" w14:textId="77777777" w:rsidR="00EC6347" w:rsidRPr="00EF630E" w:rsidRDefault="00EC6347" w:rsidP="00EF630E">
      <w:pPr>
        <w:pStyle w:val="4-SubsectionHeading"/>
      </w:pPr>
      <w:bookmarkStart w:id="7" w:name="_Toc156984625"/>
      <w:r w:rsidRPr="00EF630E">
        <w:t>Registration status</w:t>
      </w:r>
      <w:bookmarkEnd w:id="7"/>
    </w:p>
    <w:p w14:paraId="33553D4E" w14:textId="255D5E37" w:rsidR="00EC6347" w:rsidRPr="004B4BA4" w:rsidRDefault="00217C07" w:rsidP="00EF630E">
      <w:pPr>
        <w:pStyle w:val="3-BodyText"/>
        <w:rPr>
          <w:color w:val="0070C0"/>
        </w:rPr>
      </w:pPr>
      <w:bookmarkStart w:id="8" w:name="_Toc476306884"/>
      <w:bookmarkStart w:id="9" w:name="_Toc413139275"/>
      <w:r w:rsidRPr="004B4BA4">
        <w:rPr>
          <w:rFonts w:ascii="Calibri" w:eastAsia="Calibri" w:hAnsi="Calibri"/>
          <w:bCs/>
          <w:i/>
          <w:iCs/>
        </w:rPr>
        <w:t xml:space="preserve">TGA status at time of </w:t>
      </w:r>
      <w:r w:rsidR="004B4BA4" w:rsidRPr="004B4BA4">
        <w:rPr>
          <w:rFonts w:ascii="Calibri" w:eastAsia="Calibri" w:hAnsi="Calibri"/>
          <w:bCs/>
          <w:i/>
          <w:iCs/>
        </w:rPr>
        <w:t>PBAC consideration</w:t>
      </w:r>
      <w:r w:rsidRPr="004B4BA4">
        <w:rPr>
          <w:rFonts w:ascii="Calibri" w:eastAsia="Calibri" w:hAnsi="Calibri"/>
          <w:i/>
          <w:iCs/>
        </w:rPr>
        <w:t>:</w:t>
      </w:r>
      <w:r w:rsidR="00A55660" w:rsidRPr="004B4BA4">
        <w:rPr>
          <w:rFonts w:ascii="Calibri" w:eastAsia="Calibri" w:hAnsi="Calibri"/>
          <w:i/>
          <w:iCs/>
        </w:rPr>
        <w:t xml:space="preserve"> </w:t>
      </w:r>
      <w:r w:rsidR="00A55660" w:rsidRPr="004B4BA4">
        <w:t xml:space="preserve">the Delegate’s Overview was not available, with a mutual stop clock applied to the TGA processes at most recent update. </w:t>
      </w:r>
      <w:r w:rsidR="004E4800" w:rsidRPr="004B4BA4">
        <w:rPr>
          <w:rFonts w:ascii="Calibri" w:eastAsia="Calibri" w:hAnsi="Calibri"/>
        </w:rPr>
        <w:t>Bulevirtide</w:t>
      </w:r>
      <w:r w:rsidR="004E4800" w:rsidRPr="004B4BA4">
        <w:rPr>
          <w:rFonts w:ascii="Calibri" w:eastAsia="Calibri" w:hAnsi="Calibri"/>
          <w:i/>
          <w:iCs/>
        </w:rPr>
        <w:t xml:space="preserve"> </w:t>
      </w:r>
      <w:r w:rsidR="00EC6347" w:rsidRPr="004B4BA4">
        <w:t>was granted Priority Review Determination and Orphan Drug Designation on 15 March 2023 for the treatment of chronic HDV infection. The submission was made under the TGA/PBAC Parallel Process. In the Clinical Evaluation Report, it was concluded that, overall, there is no safety concern with bulevirtide treatment in CHD infection. The Clinical Evaluation Report noted that</w:t>
      </w:r>
      <w:r w:rsidR="003A6EC7" w:rsidRPr="004B4BA4">
        <w:t xml:space="preserve"> </w:t>
      </w:r>
      <w:r w:rsidR="00EC6347" w:rsidRPr="004B4BA4">
        <w:t xml:space="preserve">the major uncertainty with bulevirtide treatment in CHD was about the consistent recurrence of HDV infection and loss of efficacy after stopping the treatment. </w:t>
      </w:r>
    </w:p>
    <w:p w14:paraId="681DABE8" w14:textId="77777777" w:rsidR="00EC6347" w:rsidRPr="00B537F5" w:rsidRDefault="00EC6347" w:rsidP="00EF630E">
      <w:pPr>
        <w:pStyle w:val="4-SubsectionHeading"/>
      </w:pPr>
      <w:bookmarkStart w:id="10" w:name="_Toc492317094"/>
      <w:bookmarkStart w:id="11" w:name="_Toc95298217"/>
      <w:bookmarkStart w:id="12" w:name="_Toc156984626"/>
      <w:r w:rsidRPr="00B537F5">
        <w:lastRenderedPageBreak/>
        <w:t>Previous PBAC consideration</w:t>
      </w:r>
      <w:bookmarkEnd w:id="10"/>
      <w:bookmarkEnd w:id="11"/>
      <w:bookmarkEnd w:id="12"/>
    </w:p>
    <w:p w14:paraId="5558C390" w14:textId="5F07209D" w:rsidR="00EC6347" w:rsidRPr="00196231" w:rsidRDefault="00EC6347" w:rsidP="00EF630E">
      <w:pPr>
        <w:pStyle w:val="3-BodyText"/>
      </w:pPr>
      <w:r w:rsidRPr="00196231">
        <w:t>The PBAC has not previously considered bulevirtide for the proposed indication.</w:t>
      </w:r>
      <w:r w:rsidR="00327326">
        <w:t xml:space="preserve"> </w:t>
      </w:r>
      <w:r w:rsidR="00327326" w:rsidRPr="00327326">
        <w:t>Suggestions and additions proposed by the Secretariat are added in italics and suggested deletions are crossed out with strikethrough</w:t>
      </w:r>
      <w:r w:rsidR="00327326">
        <w:t>.</w:t>
      </w:r>
    </w:p>
    <w:p w14:paraId="1CE97FD0" w14:textId="77777777" w:rsidR="00EC6347" w:rsidRDefault="00EC6347" w:rsidP="00EF630E">
      <w:pPr>
        <w:pStyle w:val="2-SectionHeading"/>
      </w:pPr>
      <w:bookmarkStart w:id="13" w:name="_Toc156984627"/>
      <w:r w:rsidRPr="00196231">
        <w:t>Requested listing</w:t>
      </w:r>
      <w:bookmarkEnd w:id="13"/>
    </w:p>
    <w:p w14:paraId="7E4D1EE8" w14:textId="2B6C5033" w:rsidR="00F91CBE" w:rsidRPr="00F91CBE" w:rsidRDefault="00F91CBE" w:rsidP="00EF630E">
      <w:pPr>
        <w:pStyle w:val="3-BodyText"/>
      </w:pPr>
      <w:r>
        <w:t xml:space="preserve">Secretariat suggesting wording is shown below, with </w:t>
      </w:r>
      <w:r w:rsidRPr="00F91CBE">
        <w:t xml:space="preserve">suggested additions in italics and deletions in strikethrough.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565"/>
        <w:gridCol w:w="993"/>
        <w:gridCol w:w="850"/>
        <w:gridCol w:w="851"/>
        <w:gridCol w:w="850"/>
        <w:gridCol w:w="1134"/>
        <w:gridCol w:w="1418"/>
      </w:tblGrid>
      <w:tr w:rsidR="0024364F" w:rsidRPr="00D20CA8" w14:paraId="7017263D" w14:textId="77777777" w:rsidTr="00EF630E">
        <w:trPr>
          <w:trHeight w:val="471"/>
        </w:trPr>
        <w:tc>
          <w:tcPr>
            <w:tcW w:w="2835" w:type="dxa"/>
            <w:gridSpan w:val="2"/>
            <w:tcMar>
              <w:left w:w="28" w:type="dxa"/>
              <w:right w:w="28" w:type="dxa"/>
            </w:tcMar>
          </w:tcPr>
          <w:p w14:paraId="2FB2B845" w14:textId="77777777" w:rsidR="0024364F" w:rsidRPr="00D20CA8" w:rsidRDefault="0024364F" w:rsidP="00EF630E">
            <w:pPr>
              <w:keepNext/>
              <w:spacing w:before="0" w:after="0"/>
              <w:rPr>
                <w:rFonts w:ascii="Arial Narrow" w:hAnsi="Arial Narrow" w:cs="Arial"/>
                <w:b/>
                <w:sz w:val="20"/>
                <w:szCs w:val="20"/>
              </w:rPr>
            </w:pPr>
            <w:r w:rsidRPr="00D20CA8">
              <w:rPr>
                <w:rFonts w:ascii="Arial Narrow" w:hAnsi="Arial Narrow" w:cs="Arial"/>
                <w:b/>
                <w:sz w:val="20"/>
                <w:szCs w:val="20"/>
              </w:rPr>
              <w:t>Name, Restriction,</w:t>
            </w:r>
          </w:p>
          <w:p w14:paraId="7653EDA1" w14:textId="77777777" w:rsidR="0024364F" w:rsidRPr="00D20CA8" w:rsidRDefault="0024364F" w:rsidP="00EF630E">
            <w:pPr>
              <w:keepNext/>
              <w:spacing w:before="0" w:after="0"/>
              <w:rPr>
                <w:rFonts w:ascii="Arial Narrow" w:hAnsi="Arial Narrow" w:cs="Arial"/>
                <w:b/>
                <w:sz w:val="20"/>
                <w:szCs w:val="20"/>
              </w:rPr>
            </w:pPr>
            <w:r w:rsidRPr="00D20CA8">
              <w:rPr>
                <w:rFonts w:ascii="Arial Narrow" w:hAnsi="Arial Narrow" w:cs="Arial"/>
                <w:b/>
                <w:sz w:val="20"/>
                <w:szCs w:val="20"/>
              </w:rPr>
              <w:t>Manner of administration and form</w:t>
            </w:r>
          </w:p>
        </w:tc>
        <w:tc>
          <w:tcPr>
            <w:tcW w:w="993" w:type="dxa"/>
            <w:tcMar>
              <w:left w:w="28" w:type="dxa"/>
              <w:right w:w="28" w:type="dxa"/>
            </w:tcMar>
          </w:tcPr>
          <w:p w14:paraId="0CD02D08" w14:textId="77777777" w:rsidR="0024364F" w:rsidRPr="00D20CA8" w:rsidRDefault="0024364F" w:rsidP="00EF630E">
            <w:pPr>
              <w:keepNext/>
              <w:spacing w:before="0" w:after="0"/>
              <w:ind w:left="-23"/>
              <w:jc w:val="center"/>
              <w:rPr>
                <w:rFonts w:ascii="Arial Narrow" w:hAnsi="Arial Narrow" w:cs="Arial"/>
                <w:b/>
                <w:sz w:val="20"/>
                <w:szCs w:val="20"/>
              </w:rPr>
            </w:pPr>
            <w:r w:rsidRPr="00D20CA8">
              <w:rPr>
                <w:rFonts w:ascii="Arial Narrow" w:hAnsi="Arial Narrow" w:cs="Arial"/>
                <w:b/>
                <w:sz w:val="20"/>
                <w:szCs w:val="20"/>
              </w:rPr>
              <w:t>PBS item code</w:t>
            </w:r>
          </w:p>
        </w:tc>
        <w:tc>
          <w:tcPr>
            <w:tcW w:w="850" w:type="dxa"/>
            <w:tcMar>
              <w:left w:w="28" w:type="dxa"/>
              <w:right w:w="28" w:type="dxa"/>
            </w:tcMar>
          </w:tcPr>
          <w:p w14:paraId="295C42FB" w14:textId="77777777" w:rsidR="0024364F" w:rsidRPr="00D20CA8" w:rsidRDefault="0024364F" w:rsidP="00EF630E">
            <w:pPr>
              <w:keepNext/>
              <w:spacing w:before="0" w:after="0"/>
              <w:jc w:val="center"/>
              <w:rPr>
                <w:rFonts w:ascii="Arial Narrow" w:hAnsi="Arial Narrow" w:cs="Arial"/>
                <w:b/>
                <w:sz w:val="20"/>
                <w:szCs w:val="20"/>
              </w:rPr>
            </w:pPr>
            <w:r w:rsidRPr="00D20CA8">
              <w:rPr>
                <w:rFonts w:ascii="Arial Narrow" w:hAnsi="Arial Narrow" w:cs="Arial"/>
                <w:b/>
                <w:sz w:val="20"/>
                <w:szCs w:val="20"/>
              </w:rPr>
              <w:t>Max. qty packs</w:t>
            </w:r>
          </w:p>
        </w:tc>
        <w:tc>
          <w:tcPr>
            <w:tcW w:w="851" w:type="dxa"/>
            <w:tcMar>
              <w:left w:w="28" w:type="dxa"/>
              <w:right w:w="28" w:type="dxa"/>
            </w:tcMar>
          </w:tcPr>
          <w:p w14:paraId="53825E11" w14:textId="77777777" w:rsidR="0024364F" w:rsidRPr="00D20CA8" w:rsidRDefault="0024364F" w:rsidP="00EF630E">
            <w:pPr>
              <w:keepNext/>
              <w:spacing w:before="0" w:after="0"/>
              <w:jc w:val="center"/>
              <w:rPr>
                <w:rFonts w:ascii="Arial Narrow" w:hAnsi="Arial Narrow" w:cs="Arial"/>
                <w:b/>
                <w:sz w:val="20"/>
                <w:szCs w:val="20"/>
              </w:rPr>
            </w:pPr>
            <w:r w:rsidRPr="00D20CA8">
              <w:rPr>
                <w:rFonts w:ascii="Arial Narrow" w:hAnsi="Arial Narrow" w:cs="Arial"/>
                <w:b/>
                <w:sz w:val="20"/>
                <w:szCs w:val="20"/>
              </w:rPr>
              <w:t>Max. qty units</w:t>
            </w:r>
          </w:p>
        </w:tc>
        <w:tc>
          <w:tcPr>
            <w:tcW w:w="850" w:type="dxa"/>
            <w:tcMar>
              <w:left w:w="28" w:type="dxa"/>
              <w:right w:w="28" w:type="dxa"/>
            </w:tcMar>
          </w:tcPr>
          <w:p w14:paraId="4B5F8592" w14:textId="77777777" w:rsidR="0024364F" w:rsidRPr="00D20CA8" w:rsidRDefault="0024364F" w:rsidP="00EF630E">
            <w:pPr>
              <w:keepNext/>
              <w:spacing w:before="0" w:after="0"/>
              <w:ind w:left="-31"/>
              <w:jc w:val="center"/>
              <w:rPr>
                <w:rFonts w:ascii="Arial Narrow" w:hAnsi="Arial Narrow" w:cs="Arial"/>
                <w:b/>
                <w:sz w:val="20"/>
                <w:szCs w:val="20"/>
              </w:rPr>
            </w:pPr>
            <w:r w:rsidRPr="00D20CA8">
              <w:rPr>
                <w:rFonts w:ascii="Arial Narrow" w:hAnsi="Arial Narrow" w:cs="Arial"/>
                <w:b/>
                <w:sz w:val="20"/>
                <w:szCs w:val="20"/>
              </w:rPr>
              <w:t>№.of</w:t>
            </w:r>
          </w:p>
          <w:p w14:paraId="2A941240" w14:textId="77777777" w:rsidR="0024364F" w:rsidRPr="00D20CA8" w:rsidRDefault="0024364F" w:rsidP="00EF630E">
            <w:pPr>
              <w:keepNext/>
              <w:spacing w:before="0" w:after="0"/>
              <w:ind w:left="-31"/>
              <w:jc w:val="center"/>
              <w:rPr>
                <w:rFonts w:ascii="Arial Narrow" w:hAnsi="Arial Narrow" w:cs="Arial"/>
                <w:b/>
                <w:sz w:val="20"/>
                <w:szCs w:val="20"/>
              </w:rPr>
            </w:pPr>
            <w:r w:rsidRPr="00D20CA8">
              <w:rPr>
                <w:rFonts w:ascii="Arial Narrow" w:hAnsi="Arial Narrow" w:cs="Arial"/>
                <w:b/>
                <w:sz w:val="20"/>
                <w:szCs w:val="20"/>
              </w:rPr>
              <w:t>Rpts</w:t>
            </w:r>
          </w:p>
        </w:tc>
        <w:tc>
          <w:tcPr>
            <w:tcW w:w="2552" w:type="dxa"/>
            <w:gridSpan w:val="2"/>
            <w:tcMar>
              <w:left w:w="28" w:type="dxa"/>
              <w:right w:w="28" w:type="dxa"/>
            </w:tcMar>
          </w:tcPr>
          <w:p w14:paraId="0D8CDD6C" w14:textId="77777777" w:rsidR="0024364F" w:rsidRPr="00D20CA8" w:rsidRDefault="0024364F" w:rsidP="00EF630E">
            <w:pPr>
              <w:keepNext/>
              <w:spacing w:before="0" w:after="0"/>
              <w:jc w:val="left"/>
              <w:rPr>
                <w:rFonts w:ascii="Arial Narrow" w:hAnsi="Arial Narrow" w:cs="Arial"/>
                <w:b/>
                <w:sz w:val="20"/>
                <w:szCs w:val="20"/>
                <w:lang w:val="fr-FR"/>
              </w:rPr>
            </w:pPr>
            <w:r w:rsidRPr="00D20CA8">
              <w:rPr>
                <w:rFonts w:ascii="Arial Narrow" w:hAnsi="Arial Narrow" w:cs="Arial"/>
                <w:b/>
                <w:sz w:val="20"/>
                <w:szCs w:val="20"/>
              </w:rPr>
              <w:t>Proprietary Name and Manufacturer</w:t>
            </w:r>
          </w:p>
        </w:tc>
      </w:tr>
      <w:tr w:rsidR="0024364F" w:rsidRPr="00D20CA8" w14:paraId="25336E6C" w14:textId="77777777" w:rsidTr="006F50D9">
        <w:trPr>
          <w:trHeight w:val="680"/>
        </w:trPr>
        <w:tc>
          <w:tcPr>
            <w:tcW w:w="2835" w:type="dxa"/>
            <w:gridSpan w:val="2"/>
            <w:tcMar>
              <w:left w:w="28" w:type="dxa"/>
              <w:right w:w="28" w:type="dxa"/>
            </w:tcMar>
          </w:tcPr>
          <w:p w14:paraId="2C010AD5" w14:textId="18EE07A8" w:rsidR="0024364F" w:rsidRPr="00D20CA8" w:rsidRDefault="0024364F" w:rsidP="00EF630E">
            <w:pPr>
              <w:keepNext/>
              <w:spacing w:before="0" w:after="0"/>
              <w:rPr>
                <w:rFonts w:ascii="Arial Narrow" w:hAnsi="Arial Narrow" w:cs="Arial"/>
                <w:sz w:val="20"/>
                <w:szCs w:val="20"/>
              </w:rPr>
            </w:pPr>
            <w:r w:rsidRPr="00D20CA8">
              <w:rPr>
                <w:rFonts w:ascii="Arial Narrow" w:hAnsi="Arial Narrow" w:cs="Arial"/>
                <w:sz w:val="20"/>
                <w:szCs w:val="20"/>
              </w:rPr>
              <w:t>BULEVIRTIDE</w:t>
            </w:r>
          </w:p>
          <w:p w14:paraId="3F094739" w14:textId="7EA87758" w:rsidR="0024364F" w:rsidRPr="00D20CA8" w:rsidRDefault="0024364F" w:rsidP="00EF630E">
            <w:pPr>
              <w:keepNext/>
              <w:spacing w:before="0" w:after="0"/>
              <w:rPr>
                <w:rFonts w:ascii="Arial Narrow" w:hAnsi="Arial Narrow" w:cs="Arial"/>
                <w:sz w:val="20"/>
                <w:szCs w:val="20"/>
              </w:rPr>
            </w:pPr>
            <w:r w:rsidRPr="00D20CA8">
              <w:rPr>
                <w:rFonts w:ascii="Arial Narrow" w:hAnsi="Arial Narrow" w:cs="Arial"/>
                <w:sz w:val="20"/>
                <w:szCs w:val="20"/>
              </w:rPr>
              <w:t>Bulevirtide acetate 2 mg injection, 30</w:t>
            </w:r>
            <w:r w:rsidR="006F50D9">
              <w:rPr>
                <w:rFonts w:ascii="Arial Narrow" w:hAnsi="Arial Narrow" w:cs="Arial"/>
                <w:sz w:val="20"/>
                <w:szCs w:val="20"/>
              </w:rPr>
              <w:t> </w:t>
            </w:r>
            <w:r w:rsidRPr="00D20CA8">
              <w:rPr>
                <w:rFonts w:ascii="Arial Narrow" w:hAnsi="Arial Narrow" w:cs="Arial"/>
                <w:sz w:val="20"/>
                <w:szCs w:val="20"/>
              </w:rPr>
              <w:t>vials</w:t>
            </w:r>
          </w:p>
        </w:tc>
        <w:tc>
          <w:tcPr>
            <w:tcW w:w="993" w:type="dxa"/>
            <w:tcMar>
              <w:left w:w="28" w:type="dxa"/>
              <w:right w:w="28" w:type="dxa"/>
            </w:tcMar>
            <w:vAlign w:val="center"/>
          </w:tcPr>
          <w:p w14:paraId="1CDE391D" w14:textId="77777777" w:rsidR="0024364F" w:rsidRPr="00D20CA8" w:rsidRDefault="0024364F" w:rsidP="00EF630E">
            <w:pPr>
              <w:keepNext/>
              <w:spacing w:before="0" w:after="0"/>
              <w:ind w:left="-23"/>
              <w:jc w:val="center"/>
              <w:rPr>
                <w:rFonts w:ascii="Arial Narrow" w:hAnsi="Arial Narrow" w:cs="Arial"/>
                <w:sz w:val="20"/>
                <w:szCs w:val="20"/>
              </w:rPr>
            </w:pPr>
            <w:r w:rsidRPr="00D20CA8">
              <w:rPr>
                <w:rFonts w:ascii="Arial Narrow" w:hAnsi="Arial Narrow" w:cs="Arial"/>
                <w:sz w:val="20"/>
                <w:szCs w:val="20"/>
              </w:rPr>
              <w:t>NEW</w:t>
            </w:r>
          </w:p>
        </w:tc>
        <w:tc>
          <w:tcPr>
            <w:tcW w:w="850" w:type="dxa"/>
            <w:tcMar>
              <w:left w:w="28" w:type="dxa"/>
              <w:right w:w="28" w:type="dxa"/>
            </w:tcMar>
            <w:vAlign w:val="center"/>
          </w:tcPr>
          <w:p w14:paraId="5A5D84A7" w14:textId="77777777" w:rsidR="0024364F" w:rsidRPr="00D20CA8" w:rsidRDefault="0024364F" w:rsidP="00EF630E">
            <w:pPr>
              <w:keepNext/>
              <w:spacing w:before="0" w:after="0"/>
              <w:jc w:val="center"/>
              <w:rPr>
                <w:rFonts w:ascii="Arial Narrow" w:hAnsi="Arial Narrow" w:cs="Arial"/>
                <w:sz w:val="20"/>
                <w:szCs w:val="20"/>
              </w:rPr>
            </w:pPr>
            <w:r w:rsidRPr="00D20CA8">
              <w:rPr>
                <w:rFonts w:ascii="Arial Narrow" w:hAnsi="Arial Narrow" w:cs="Arial"/>
                <w:sz w:val="20"/>
                <w:szCs w:val="20"/>
              </w:rPr>
              <w:t>2</w:t>
            </w:r>
          </w:p>
        </w:tc>
        <w:tc>
          <w:tcPr>
            <w:tcW w:w="851" w:type="dxa"/>
            <w:tcMar>
              <w:left w:w="28" w:type="dxa"/>
              <w:right w:w="28" w:type="dxa"/>
            </w:tcMar>
            <w:vAlign w:val="center"/>
          </w:tcPr>
          <w:p w14:paraId="552F2EED" w14:textId="77777777" w:rsidR="0024364F" w:rsidRPr="00D20CA8" w:rsidRDefault="0024364F" w:rsidP="00EF630E">
            <w:pPr>
              <w:keepNext/>
              <w:spacing w:before="0" w:after="0"/>
              <w:jc w:val="center"/>
              <w:rPr>
                <w:rFonts w:ascii="Arial Narrow" w:hAnsi="Arial Narrow" w:cs="Arial"/>
                <w:sz w:val="20"/>
                <w:szCs w:val="20"/>
              </w:rPr>
            </w:pPr>
            <w:r w:rsidRPr="00D20CA8">
              <w:rPr>
                <w:rFonts w:ascii="Arial Narrow" w:hAnsi="Arial Narrow" w:cs="Arial"/>
                <w:sz w:val="20"/>
                <w:szCs w:val="20"/>
              </w:rPr>
              <w:t>60</w:t>
            </w:r>
          </w:p>
        </w:tc>
        <w:tc>
          <w:tcPr>
            <w:tcW w:w="850" w:type="dxa"/>
            <w:tcMar>
              <w:left w:w="28" w:type="dxa"/>
              <w:right w:w="28" w:type="dxa"/>
            </w:tcMar>
            <w:vAlign w:val="center"/>
          </w:tcPr>
          <w:p w14:paraId="00F69DAB" w14:textId="1FF75778" w:rsidR="0024364F" w:rsidRPr="00D20CA8" w:rsidRDefault="0024364F" w:rsidP="006F50D9">
            <w:pPr>
              <w:keepNext/>
              <w:spacing w:before="0" w:after="0"/>
              <w:ind w:left="-31"/>
              <w:jc w:val="center"/>
              <w:rPr>
                <w:rFonts w:ascii="Arial Narrow" w:hAnsi="Arial Narrow" w:cs="Arial"/>
                <w:sz w:val="20"/>
                <w:szCs w:val="20"/>
              </w:rPr>
            </w:pPr>
            <w:r w:rsidRPr="00D20CA8">
              <w:rPr>
                <w:rFonts w:ascii="Arial Narrow" w:hAnsi="Arial Narrow" w:cs="Arial"/>
                <w:sz w:val="20"/>
                <w:szCs w:val="20"/>
              </w:rPr>
              <w:t>5</w:t>
            </w:r>
          </w:p>
        </w:tc>
        <w:tc>
          <w:tcPr>
            <w:tcW w:w="1134" w:type="dxa"/>
            <w:tcMar>
              <w:left w:w="28" w:type="dxa"/>
              <w:right w:w="28" w:type="dxa"/>
            </w:tcMar>
            <w:vAlign w:val="center"/>
          </w:tcPr>
          <w:p w14:paraId="60FA04F2" w14:textId="77777777" w:rsidR="0024364F" w:rsidRPr="00D20CA8" w:rsidRDefault="0024364F" w:rsidP="00EF630E">
            <w:pPr>
              <w:keepNext/>
              <w:spacing w:before="0" w:after="0"/>
              <w:jc w:val="left"/>
              <w:rPr>
                <w:rFonts w:ascii="Arial Narrow" w:hAnsi="Arial Narrow" w:cs="Arial"/>
                <w:sz w:val="20"/>
                <w:szCs w:val="20"/>
              </w:rPr>
            </w:pPr>
            <w:r w:rsidRPr="00D20CA8">
              <w:rPr>
                <w:rFonts w:ascii="Arial Narrow" w:hAnsi="Arial Narrow" w:cs="Arial"/>
                <w:sz w:val="20"/>
                <w:szCs w:val="20"/>
              </w:rPr>
              <w:t>Hepcludex</w:t>
            </w:r>
            <w:r w:rsidRPr="00D20CA8">
              <w:rPr>
                <w:rFonts w:ascii="Arial Narrow" w:hAnsi="Arial Narrow" w:cs="Arial"/>
                <w:sz w:val="20"/>
                <w:szCs w:val="20"/>
                <w:vertAlign w:val="superscript"/>
              </w:rPr>
              <w:t>®</w:t>
            </w:r>
          </w:p>
        </w:tc>
        <w:tc>
          <w:tcPr>
            <w:tcW w:w="1418" w:type="dxa"/>
            <w:tcMar>
              <w:left w:w="28" w:type="dxa"/>
              <w:right w:w="28" w:type="dxa"/>
            </w:tcMar>
            <w:vAlign w:val="center"/>
          </w:tcPr>
          <w:p w14:paraId="3E38D440" w14:textId="77777777" w:rsidR="0024364F" w:rsidRPr="00D20CA8" w:rsidRDefault="0024364F" w:rsidP="00EF630E">
            <w:pPr>
              <w:keepNext/>
              <w:spacing w:before="0" w:after="0"/>
              <w:jc w:val="left"/>
              <w:rPr>
                <w:rFonts w:ascii="Arial Narrow" w:hAnsi="Arial Narrow" w:cs="Arial"/>
                <w:sz w:val="20"/>
                <w:szCs w:val="20"/>
              </w:rPr>
            </w:pPr>
            <w:r w:rsidRPr="00D20CA8">
              <w:rPr>
                <w:rFonts w:ascii="Arial Narrow" w:hAnsi="Arial Narrow" w:cs="Arial"/>
                <w:sz w:val="20"/>
                <w:szCs w:val="20"/>
              </w:rPr>
              <w:t>Gilead Sciences Pty Limited</w:t>
            </w:r>
          </w:p>
        </w:tc>
      </w:tr>
      <w:tr w:rsidR="0024364F" w:rsidRPr="00196231" w14:paraId="4BDAF803"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5134FBE"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Category/Program:</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10E7087D"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Section 100 – Highly Specialised Drugs Program (Community Access [CA])</w:t>
            </w:r>
          </w:p>
          <w:p w14:paraId="0A3D5C6F"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Section 100 – Highly Specialised Drugs Program (Public Hospital)</w:t>
            </w:r>
          </w:p>
          <w:p w14:paraId="6F0FCA90"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Section 100 – Highly Specialised Drugs Program (Private Hospital)</w:t>
            </w:r>
          </w:p>
        </w:tc>
      </w:tr>
      <w:tr w:rsidR="0024364F" w:rsidRPr="00196231" w14:paraId="7113DA1F"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2A69751D"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Prescriber type:</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2ABEB433" w14:textId="79537A33"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cstheme="minorHAnsi"/>
                <w:sz w:val="18"/>
                <w:szCs w:val="18"/>
              </w:rPr>
              <w:fldChar w:fldCharType="begin" w:fldLock="1">
                <w:ffData>
                  <w:name w:val=""/>
                  <w:enabled/>
                  <w:calcOnExit w:val="0"/>
                  <w:checkBox>
                    <w:sizeAuto/>
                    <w:default w:val="1"/>
                  </w:checkBox>
                </w:ffData>
              </w:fldChar>
            </w:r>
            <w:r w:rsidRPr="00196231">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196231">
              <w:rPr>
                <w:rFonts w:cstheme="minorHAnsi"/>
                <w:sz w:val="18"/>
                <w:szCs w:val="18"/>
              </w:rPr>
              <w:fldChar w:fldCharType="end"/>
            </w:r>
            <w:r w:rsidRPr="00196231">
              <w:rPr>
                <w:rFonts w:ascii="Arial Narrow" w:hAnsi="Arial Narrow" w:cstheme="minorHAnsi"/>
                <w:sz w:val="20"/>
                <w:szCs w:val="20"/>
              </w:rPr>
              <w:t xml:space="preserve">Medical Practitioners </w:t>
            </w:r>
          </w:p>
        </w:tc>
      </w:tr>
      <w:tr w:rsidR="0024364F" w:rsidRPr="00196231" w14:paraId="2519A122"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1A3D00C"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Restriction type:</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24712EB5"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Calibri" w:hAnsi="Arial Narrow" w:cstheme="minorHAnsi"/>
                <w:sz w:val="20"/>
                <w:szCs w:val="20"/>
              </w:rPr>
              <w:fldChar w:fldCharType="begin" w:fldLock="1">
                <w:ffData>
                  <w:name w:val=""/>
                  <w:enabled/>
                  <w:calcOnExit w:val="0"/>
                  <w:checkBox>
                    <w:sizeAuto/>
                    <w:default w:val="1"/>
                  </w:checkBox>
                </w:ffData>
              </w:fldChar>
            </w:r>
            <w:r w:rsidRPr="00196231">
              <w:rPr>
                <w:rFonts w:ascii="Arial Narrow" w:eastAsia="Calibri" w:hAnsi="Arial Narrow" w:cstheme="minorHAnsi"/>
                <w:sz w:val="20"/>
                <w:szCs w:val="20"/>
              </w:rPr>
              <w:instrText xml:space="preserve"> FORMCHECKBOX </w:instrText>
            </w:r>
            <w:r w:rsidR="00000000">
              <w:rPr>
                <w:rFonts w:ascii="Arial Narrow" w:eastAsia="Calibri" w:hAnsi="Arial Narrow" w:cstheme="minorHAnsi"/>
                <w:sz w:val="20"/>
                <w:szCs w:val="20"/>
              </w:rPr>
            </w:r>
            <w:r w:rsidR="00000000">
              <w:rPr>
                <w:rFonts w:ascii="Arial Narrow" w:eastAsia="Calibri" w:hAnsi="Arial Narrow" w:cstheme="minorHAnsi"/>
                <w:sz w:val="20"/>
                <w:szCs w:val="20"/>
              </w:rPr>
              <w:fldChar w:fldCharType="separate"/>
            </w:r>
            <w:r w:rsidRPr="00196231">
              <w:rPr>
                <w:rFonts w:ascii="Arial Narrow" w:eastAsia="Calibri" w:hAnsi="Arial Narrow" w:cstheme="minorHAnsi"/>
                <w:sz w:val="20"/>
                <w:szCs w:val="20"/>
              </w:rPr>
              <w:fldChar w:fldCharType="end"/>
            </w:r>
            <w:r w:rsidRPr="00196231">
              <w:rPr>
                <w:rFonts w:ascii="Arial Narrow" w:eastAsia="Calibri" w:hAnsi="Arial Narrow" w:cstheme="minorHAnsi"/>
                <w:sz w:val="20"/>
                <w:szCs w:val="20"/>
              </w:rPr>
              <w:t xml:space="preserve">Authority Required – </w:t>
            </w:r>
            <w:r w:rsidRPr="00196231">
              <w:rPr>
                <w:rFonts w:ascii="Arial Narrow" w:eastAsia="Times New Roman" w:hAnsi="Arial Narrow" w:cs="Times New Roman"/>
                <w:snapToGrid w:val="0"/>
                <w:sz w:val="20"/>
                <w:szCs w:val="24"/>
                <w:lang w:eastAsia="en-AU"/>
              </w:rPr>
              <w:t>Streamlined</w:t>
            </w:r>
          </w:p>
        </w:tc>
      </w:tr>
      <w:tr w:rsidR="0024364F" w:rsidRPr="00327326" w14:paraId="7E9BF26E"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634764D9" w14:textId="77777777" w:rsidR="0024364F" w:rsidRPr="00327326" w:rsidRDefault="0024364F" w:rsidP="00A508D1">
            <w:pPr>
              <w:keepNext/>
              <w:widowControl w:val="0"/>
              <w:spacing w:before="0" w:after="0"/>
              <w:jc w:val="left"/>
              <w:rPr>
                <w:rFonts w:ascii="Arial Narrow" w:eastAsia="Times New Roman" w:hAnsi="Arial Narrow" w:cs="Times New Roman"/>
                <w:i/>
                <w:iCs/>
                <w:snapToGrid w:val="0"/>
                <w:sz w:val="20"/>
                <w:szCs w:val="24"/>
                <w:lang w:eastAsia="en-AU"/>
              </w:rPr>
            </w:pPr>
            <w:r w:rsidRPr="00327326">
              <w:rPr>
                <w:rFonts w:ascii="Arial Narrow" w:eastAsia="Times New Roman" w:hAnsi="Arial Narrow" w:cs="Times New Roman"/>
                <w:i/>
                <w:iCs/>
                <w:snapToGrid w:val="0"/>
                <w:sz w:val="20"/>
                <w:szCs w:val="24"/>
                <w:lang w:eastAsia="en-AU"/>
              </w:rPr>
              <w:t>Administrative Advice:</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44F4CE52" w14:textId="77777777" w:rsidR="0024364F" w:rsidRPr="00327326" w:rsidRDefault="0024364F" w:rsidP="00A508D1">
            <w:pPr>
              <w:keepNext/>
              <w:widowControl w:val="0"/>
              <w:spacing w:before="0" w:after="0"/>
              <w:jc w:val="left"/>
              <w:rPr>
                <w:rFonts w:ascii="Arial Narrow" w:eastAsia="Times New Roman" w:hAnsi="Arial Narrow" w:cs="Times New Roman"/>
                <w:i/>
                <w:iCs/>
                <w:snapToGrid w:val="0"/>
                <w:sz w:val="20"/>
                <w:szCs w:val="24"/>
                <w:lang w:eastAsia="en-AU"/>
              </w:rPr>
            </w:pPr>
            <w:r w:rsidRPr="00327326">
              <w:rPr>
                <w:rFonts w:ascii="Arial Narrow" w:eastAsia="Times New Roman" w:hAnsi="Arial Narrow" w:cs="Times New Roman"/>
                <w:i/>
                <w:iCs/>
                <w:snapToGrid w:val="0"/>
                <w:sz w:val="20"/>
                <w:szCs w:val="24"/>
                <w:lang w:eastAsia="en-AU"/>
              </w:rPr>
              <w:t>No increase in the maximum quantity or number of units may be authorised.</w:t>
            </w:r>
          </w:p>
        </w:tc>
      </w:tr>
      <w:tr w:rsidR="0024364F" w:rsidRPr="00327326" w14:paraId="39599005"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3FB07393"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327326">
              <w:rPr>
                <w:rFonts w:ascii="Arial Narrow" w:eastAsia="Times New Roman" w:hAnsi="Arial Narrow" w:cs="Times New Roman"/>
                <w:i/>
                <w:iCs/>
                <w:snapToGrid w:val="0"/>
                <w:sz w:val="20"/>
                <w:szCs w:val="24"/>
                <w:lang w:eastAsia="en-AU"/>
              </w:rPr>
              <w:t>Administrative Advice:</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6F4EB3ED" w14:textId="77777777" w:rsidR="0024364F" w:rsidRPr="00327326" w:rsidRDefault="0024364F" w:rsidP="00A508D1">
            <w:pPr>
              <w:keepNext/>
              <w:widowControl w:val="0"/>
              <w:spacing w:before="0" w:after="0"/>
              <w:jc w:val="left"/>
              <w:rPr>
                <w:rFonts w:ascii="Arial Narrow" w:eastAsia="Times New Roman" w:hAnsi="Arial Narrow" w:cs="Times New Roman"/>
                <w:i/>
                <w:iCs/>
                <w:snapToGrid w:val="0"/>
                <w:sz w:val="20"/>
                <w:szCs w:val="24"/>
                <w:lang w:eastAsia="en-AU"/>
              </w:rPr>
            </w:pPr>
            <w:r w:rsidRPr="00327326">
              <w:rPr>
                <w:rFonts w:ascii="Arial Narrow" w:eastAsia="Times New Roman" w:hAnsi="Arial Narrow" w:cs="Times New Roman"/>
                <w:i/>
                <w:iCs/>
                <w:snapToGrid w:val="0"/>
                <w:sz w:val="20"/>
                <w:szCs w:val="24"/>
                <w:lang w:eastAsia="en-AU"/>
              </w:rPr>
              <w:t>No increase in the maximum number of repeats may be authorised.</w:t>
            </w:r>
          </w:p>
        </w:tc>
      </w:tr>
      <w:tr w:rsidR="0024364F" w:rsidRPr="00327326" w14:paraId="028CACAA"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3BF6F2A6"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327326">
              <w:rPr>
                <w:rFonts w:ascii="Arial Narrow" w:eastAsia="Times New Roman" w:hAnsi="Arial Narrow" w:cs="Times New Roman"/>
                <w:i/>
                <w:iCs/>
                <w:snapToGrid w:val="0"/>
                <w:sz w:val="20"/>
                <w:szCs w:val="24"/>
                <w:lang w:eastAsia="en-AU"/>
              </w:rPr>
              <w:t>Administrative Advice:</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0BC79430" w14:textId="77777777" w:rsidR="0024364F" w:rsidRPr="00327326" w:rsidRDefault="0024364F" w:rsidP="00A508D1">
            <w:pPr>
              <w:keepNext/>
              <w:widowControl w:val="0"/>
              <w:spacing w:before="0" w:after="0"/>
              <w:jc w:val="left"/>
              <w:rPr>
                <w:rFonts w:ascii="Arial Narrow" w:eastAsia="Times New Roman" w:hAnsi="Arial Narrow" w:cs="Times New Roman"/>
                <w:i/>
                <w:iCs/>
                <w:snapToGrid w:val="0"/>
                <w:sz w:val="20"/>
                <w:szCs w:val="24"/>
                <w:lang w:eastAsia="en-AU"/>
              </w:rPr>
            </w:pPr>
            <w:r w:rsidRPr="00327326">
              <w:rPr>
                <w:rFonts w:ascii="Arial Narrow" w:eastAsia="Times New Roman" w:hAnsi="Arial Narrow" w:cs="Times New Roman"/>
                <w:i/>
                <w:iCs/>
                <w:snapToGrid w:val="0"/>
                <w:sz w:val="20"/>
                <w:szCs w:val="24"/>
                <w:lang w:eastAsia="en-AU"/>
              </w:rPr>
              <w:t>Special Pricing Arrangements apply.</w:t>
            </w:r>
          </w:p>
        </w:tc>
      </w:tr>
      <w:tr w:rsidR="0024364F" w:rsidRPr="00196231" w14:paraId="1CA91950"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69C8A436"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 xml:space="preserve">Episodicity: </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51509D23"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Chronic</w:t>
            </w:r>
          </w:p>
        </w:tc>
      </w:tr>
      <w:tr w:rsidR="0024364F" w:rsidRPr="00196231" w14:paraId="6CF15D11"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1E3CE47C"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 xml:space="preserve">Condition: </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21163B65"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Hepatitis D infection</w:t>
            </w:r>
          </w:p>
        </w:tc>
      </w:tr>
      <w:tr w:rsidR="0024364F" w:rsidRPr="00196231" w14:paraId="1778FE00"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28C4B0B"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PBS indication:</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5B278DD5"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Chronic hepatitis D infection</w:t>
            </w:r>
          </w:p>
        </w:tc>
      </w:tr>
      <w:tr w:rsidR="0024364F" w:rsidRPr="00196231" w14:paraId="2ED9FE85" w14:textId="77777777" w:rsidTr="00EF630E">
        <w:tblPrEx>
          <w:tblCellMar>
            <w:left w:w="28" w:type="dxa"/>
            <w:right w:w="28" w:type="dxa"/>
          </w:tblCellMar>
        </w:tblPrEx>
        <w:trPr>
          <w:trHeight w:val="47"/>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7B4F369"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Treatment phase:</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13EAB978"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Not applicable</w:t>
            </w:r>
          </w:p>
        </w:tc>
      </w:tr>
      <w:tr w:rsidR="0024364F" w:rsidRPr="00327326" w14:paraId="59AD57AD"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C060A8E"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Treatment criteria:</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0ECFEC6A" w14:textId="09FF1B86" w:rsidR="0024364F" w:rsidRPr="00327326" w:rsidRDefault="0024364F" w:rsidP="00A508D1">
            <w:pPr>
              <w:keepNext/>
              <w:widowControl w:val="0"/>
              <w:spacing w:before="0" w:after="0"/>
              <w:jc w:val="left"/>
              <w:rPr>
                <w:rFonts w:ascii="Arial Narrow" w:eastAsia="Calibri" w:hAnsi="Arial Narrow" w:cs="Calibri"/>
                <w:snapToGrid w:val="0"/>
                <w:sz w:val="20"/>
                <w:szCs w:val="20"/>
              </w:rPr>
            </w:pPr>
            <w:r w:rsidRPr="00196231">
              <w:rPr>
                <w:rFonts w:ascii="Arial Narrow" w:eastAsia="Calibri" w:hAnsi="Arial Narrow" w:cs="Calibri"/>
                <w:snapToGrid w:val="0"/>
                <w:sz w:val="20"/>
                <w:szCs w:val="20"/>
              </w:rPr>
              <w:t xml:space="preserve">Treatment </w:t>
            </w:r>
            <w:r w:rsidRPr="00A12BB4">
              <w:rPr>
                <w:rFonts w:ascii="Arial Narrow" w:eastAsia="Calibri" w:hAnsi="Arial Narrow" w:cs="Calibri"/>
                <w:strike/>
                <w:snapToGrid w:val="0"/>
                <w:sz w:val="20"/>
                <w:szCs w:val="20"/>
              </w:rPr>
              <w:t>should</w:t>
            </w:r>
            <w:r w:rsidRPr="00196231">
              <w:rPr>
                <w:rFonts w:ascii="Arial Narrow" w:eastAsia="Calibri" w:hAnsi="Arial Narrow" w:cs="Calibri"/>
                <w:snapToGrid w:val="0"/>
                <w:sz w:val="20"/>
                <w:szCs w:val="20"/>
              </w:rPr>
              <w:t xml:space="preserve"> </w:t>
            </w:r>
            <w:r w:rsidR="00A12BB4" w:rsidRPr="00A12BB4">
              <w:rPr>
                <w:rFonts w:ascii="Arial Narrow" w:eastAsia="Calibri" w:hAnsi="Arial Narrow" w:cs="Calibri"/>
                <w:i/>
                <w:iCs/>
                <w:snapToGrid w:val="0"/>
                <w:sz w:val="20"/>
                <w:szCs w:val="20"/>
              </w:rPr>
              <w:t>must</w:t>
            </w:r>
            <w:r w:rsidR="00A12BB4" w:rsidRPr="00196231">
              <w:rPr>
                <w:rFonts w:ascii="Arial Narrow" w:eastAsia="Calibri" w:hAnsi="Arial Narrow" w:cs="Calibri"/>
                <w:snapToGrid w:val="0"/>
                <w:sz w:val="20"/>
                <w:szCs w:val="20"/>
              </w:rPr>
              <w:t xml:space="preserve"> </w:t>
            </w:r>
            <w:r w:rsidRPr="00196231">
              <w:rPr>
                <w:rFonts w:ascii="Arial Narrow" w:eastAsia="Calibri" w:hAnsi="Arial Narrow" w:cs="Calibri"/>
                <w:snapToGrid w:val="0"/>
                <w:sz w:val="20"/>
                <w:szCs w:val="20"/>
              </w:rPr>
              <w:t xml:space="preserve">be initiated </w:t>
            </w:r>
            <w:r w:rsidRPr="00550BCE">
              <w:rPr>
                <w:rFonts w:ascii="Arial Narrow" w:eastAsia="Calibri" w:hAnsi="Arial Narrow" w:cs="Calibri"/>
                <w:strike/>
                <w:snapToGrid w:val="0"/>
                <w:sz w:val="20"/>
                <w:szCs w:val="20"/>
              </w:rPr>
              <w:t>only by</w:t>
            </w:r>
            <w:r w:rsidR="00550BCE">
              <w:rPr>
                <w:rFonts w:ascii="Arial Narrow" w:eastAsia="Calibri" w:hAnsi="Arial Narrow" w:cs="Calibri"/>
                <w:snapToGrid w:val="0"/>
                <w:sz w:val="20"/>
                <w:szCs w:val="20"/>
              </w:rPr>
              <w:t xml:space="preserve"> </w:t>
            </w:r>
            <w:r w:rsidR="00550BCE" w:rsidRPr="00550BCE">
              <w:rPr>
                <w:rFonts w:ascii="Arial Narrow" w:eastAsia="Calibri" w:hAnsi="Arial Narrow" w:cs="Calibri"/>
                <w:i/>
                <w:iCs/>
                <w:snapToGrid w:val="0"/>
                <w:sz w:val="20"/>
                <w:szCs w:val="20"/>
              </w:rPr>
              <w:t>in consultation with</w:t>
            </w:r>
            <w:r w:rsidRPr="00196231">
              <w:rPr>
                <w:rFonts w:ascii="Arial Narrow" w:eastAsia="Calibri" w:hAnsi="Arial Narrow" w:cs="Calibri"/>
                <w:snapToGrid w:val="0"/>
                <w:sz w:val="20"/>
                <w:szCs w:val="20"/>
              </w:rPr>
              <w:t xml:space="preserve"> a physician </w:t>
            </w:r>
            <w:r w:rsidRPr="00327326">
              <w:rPr>
                <w:rFonts w:ascii="Arial Narrow" w:eastAsia="Calibri" w:hAnsi="Arial Narrow" w:cs="Calibri"/>
                <w:strike/>
                <w:snapToGrid w:val="0"/>
                <w:sz w:val="20"/>
                <w:szCs w:val="20"/>
              </w:rPr>
              <w:t>experienced in the treatment of patients with HDV infection</w:t>
            </w:r>
            <w:r>
              <w:rPr>
                <w:rFonts w:ascii="Arial Narrow" w:eastAsia="Calibri" w:hAnsi="Arial Narrow" w:cs="Calibri"/>
                <w:snapToGrid w:val="0"/>
                <w:sz w:val="20"/>
                <w:szCs w:val="20"/>
              </w:rPr>
              <w:t xml:space="preserve"> </w:t>
            </w:r>
            <w:r w:rsidRPr="00327326">
              <w:rPr>
                <w:rFonts w:ascii="Arial Narrow" w:eastAsia="Times New Roman" w:hAnsi="Arial Narrow" w:cs="Times New Roman"/>
                <w:i/>
                <w:iCs/>
                <w:snapToGrid w:val="0"/>
                <w:sz w:val="20"/>
                <w:szCs w:val="24"/>
                <w:lang w:eastAsia="en-AU"/>
              </w:rPr>
              <w:t>experienced in the management of patients with viral hepatitis</w:t>
            </w:r>
          </w:p>
        </w:tc>
      </w:tr>
      <w:tr w:rsidR="00040770" w:rsidRPr="00327326" w14:paraId="5274CAD1"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76EDB43A" w14:textId="77777777" w:rsidR="00040770" w:rsidRPr="00196231" w:rsidRDefault="00040770" w:rsidP="00A508D1">
            <w:pPr>
              <w:keepNext/>
              <w:widowControl w:val="0"/>
              <w:spacing w:before="0" w:after="0"/>
              <w:jc w:val="left"/>
              <w:rPr>
                <w:rFonts w:ascii="Arial Narrow" w:eastAsia="Times New Roman" w:hAnsi="Arial Narrow" w:cs="Times New Roman"/>
                <w:snapToGrid w:val="0"/>
                <w:sz w:val="20"/>
                <w:szCs w:val="24"/>
                <w:lang w:eastAsia="en-AU"/>
              </w:rPr>
            </w:pP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182805D7" w14:textId="77777777" w:rsidR="00040770" w:rsidRPr="00196231" w:rsidRDefault="00040770" w:rsidP="00A508D1">
            <w:pPr>
              <w:keepNext/>
              <w:widowControl w:val="0"/>
              <w:spacing w:before="0" w:after="0"/>
              <w:jc w:val="left"/>
              <w:rPr>
                <w:rFonts w:ascii="Arial Narrow" w:eastAsia="Calibri" w:hAnsi="Arial Narrow" w:cs="Calibri"/>
                <w:snapToGrid w:val="0"/>
                <w:sz w:val="20"/>
                <w:szCs w:val="20"/>
              </w:rPr>
            </w:pPr>
          </w:p>
        </w:tc>
      </w:tr>
      <w:tr w:rsidR="0024364F" w:rsidRPr="00196231" w14:paraId="541C013C"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A097863"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Clinical criteria:</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085C676D" w14:textId="77777777" w:rsidR="0024364F" w:rsidRPr="00196231" w:rsidRDefault="0024364F" w:rsidP="00A508D1">
            <w:pPr>
              <w:keepNext/>
              <w:widowControl w:val="0"/>
              <w:spacing w:before="0" w:after="0"/>
              <w:jc w:val="left"/>
              <w:rPr>
                <w:rFonts w:ascii="Arial Narrow" w:eastAsia="Calibri" w:hAnsi="Arial Narrow" w:cs="Calibri"/>
                <w:snapToGrid w:val="0"/>
                <w:sz w:val="20"/>
                <w:szCs w:val="20"/>
              </w:rPr>
            </w:pPr>
            <w:r w:rsidRPr="00196231">
              <w:rPr>
                <w:rFonts w:ascii="Arial Narrow" w:eastAsia="Calibri" w:hAnsi="Arial Narrow" w:cs="Calibri"/>
                <w:snapToGrid w:val="0"/>
                <w:sz w:val="20"/>
                <w:szCs w:val="20"/>
              </w:rPr>
              <w:t>Patient must have detectable</w:t>
            </w:r>
            <w:r>
              <w:rPr>
                <w:rFonts w:ascii="Arial Narrow" w:eastAsia="Calibri" w:hAnsi="Arial Narrow" w:cs="Calibri"/>
                <w:snapToGrid w:val="0"/>
                <w:sz w:val="20"/>
                <w:szCs w:val="20"/>
              </w:rPr>
              <w:t xml:space="preserve"> </w:t>
            </w:r>
            <w:r>
              <w:rPr>
                <w:rFonts w:ascii="Arial Narrow" w:eastAsia="Calibri" w:hAnsi="Arial Narrow" w:cs="Calibri"/>
                <w:i/>
                <w:iCs/>
                <w:snapToGrid w:val="0"/>
                <w:sz w:val="20"/>
                <w:szCs w:val="20"/>
              </w:rPr>
              <w:t>hepatitis delta virus</w:t>
            </w:r>
            <w:r w:rsidRPr="00196231">
              <w:rPr>
                <w:rFonts w:ascii="Arial Narrow" w:eastAsia="Calibri" w:hAnsi="Arial Narrow" w:cs="Calibri"/>
                <w:snapToGrid w:val="0"/>
                <w:sz w:val="20"/>
                <w:szCs w:val="20"/>
              </w:rPr>
              <w:t xml:space="preserve"> </w:t>
            </w:r>
            <w:r>
              <w:rPr>
                <w:rFonts w:ascii="Arial Narrow" w:eastAsia="Calibri" w:hAnsi="Arial Narrow" w:cs="Calibri"/>
                <w:snapToGrid w:val="0"/>
                <w:sz w:val="20"/>
                <w:szCs w:val="20"/>
              </w:rPr>
              <w:t>(</w:t>
            </w:r>
            <w:r w:rsidRPr="00196231">
              <w:rPr>
                <w:rFonts w:ascii="Arial Narrow" w:eastAsia="Calibri" w:hAnsi="Arial Narrow" w:cs="Calibri"/>
                <w:snapToGrid w:val="0"/>
                <w:sz w:val="20"/>
                <w:szCs w:val="20"/>
              </w:rPr>
              <w:t>HDV</w:t>
            </w:r>
            <w:r>
              <w:rPr>
                <w:rFonts w:ascii="Arial Narrow" w:eastAsia="Calibri" w:hAnsi="Arial Narrow" w:cs="Calibri"/>
                <w:snapToGrid w:val="0"/>
                <w:sz w:val="20"/>
                <w:szCs w:val="20"/>
              </w:rPr>
              <w:t>)</w:t>
            </w:r>
            <w:r w:rsidRPr="00196231">
              <w:rPr>
                <w:rFonts w:ascii="Arial Narrow" w:eastAsia="Calibri" w:hAnsi="Arial Narrow" w:cs="Calibri"/>
                <w:snapToGrid w:val="0"/>
                <w:sz w:val="20"/>
                <w:szCs w:val="20"/>
              </w:rPr>
              <w:t xml:space="preserve"> RNA levels, </w:t>
            </w:r>
          </w:p>
          <w:p w14:paraId="5BF884EE" w14:textId="77777777" w:rsidR="0024364F" w:rsidRPr="00196231" w:rsidRDefault="0024364F" w:rsidP="00A508D1">
            <w:pPr>
              <w:keepNext/>
              <w:widowControl w:val="0"/>
              <w:spacing w:before="0" w:after="0"/>
              <w:jc w:val="left"/>
              <w:rPr>
                <w:rFonts w:ascii="Arial Narrow" w:eastAsia="Calibri" w:hAnsi="Arial Narrow" w:cs="Calibri"/>
                <w:snapToGrid w:val="0"/>
                <w:sz w:val="20"/>
                <w:szCs w:val="20"/>
              </w:rPr>
            </w:pPr>
            <w:r w:rsidRPr="00196231">
              <w:rPr>
                <w:rFonts w:ascii="Arial Narrow" w:eastAsia="Calibri" w:hAnsi="Arial Narrow" w:cs="Calibri"/>
                <w:snapToGrid w:val="0"/>
                <w:sz w:val="20"/>
                <w:szCs w:val="20"/>
              </w:rPr>
              <w:t>AND</w:t>
            </w:r>
          </w:p>
          <w:p w14:paraId="68109179" w14:textId="77777777" w:rsidR="0024364F" w:rsidRPr="00196231" w:rsidRDefault="0024364F" w:rsidP="00A508D1">
            <w:pPr>
              <w:keepNext/>
              <w:widowControl w:val="0"/>
              <w:spacing w:before="0" w:after="0"/>
              <w:jc w:val="left"/>
              <w:rPr>
                <w:rFonts w:ascii="Arial Narrow" w:eastAsia="Calibri" w:hAnsi="Arial Narrow" w:cs="Calibri"/>
                <w:snapToGrid w:val="0"/>
                <w:sz w:val="20"/>
                <w:szCs w:val="20"/>
              </w:rPr>
            </w:pPr>
            <w:r w:rsidRPr="00196231">
              <w:rPr>
                <w:rFonts w:ascii="Arial Narrow" w:eastAsia="Calibri" w:hAnsi="Arial Narrow" w:cs="Calibri"/>
                <w:snapToGrid w:val="0"/>
                <w:sz w:val="20"/>
                <w:szCs w:val="20"/>
              </w:rPr>
              <w:t xml:space="preserve">Patient must have </w:t>
            </w:r>
            <w:r w:rsidRPr="00327326">
              <w:rPr>
                <w:rFonts w:ascii="Arial Narrow" w:eastAsia="Calibri" w:hAnsi="Arial Narrow" w:cs="Calibri"/>
                <w:strike/>
                <w:snapToGrid w:val="0"/>
                <w:sz w:val="20"/>
                <w:szCs w:val="20"/>
              </w:rPr>
              <w:t>confirmed</w:t>
            </w:r>
            <w:r w:rsidRPr="00196231">
              <w:rPr>
                <w:rFonts w:ascii="Arial Narrow" w:eastAsia="Calibri" w:hAnsi="Arial Narrow" w:cs="Calibri"/>
                <w:snapToGrid w:val="0"/>
                <w:sz w:val="20"/>
                <w:szCs w:val="20"/>
              </w:rPr>
              <w:t xml:space="preserve"> elevated serum alanine transaminase level,</w:t>
            </w:r>
          </w:p>
          <w:p w14:paraId="5EA9C831" w14:textId="77777777" w:rsidR="0024364F" w:rsidRPr="00196231" w:rsidRDefault="0024364F" w:rsidP="00A508D1">
            <w:pPr>
              <w:keepNext/>
              <w:widowControl w:val="0"/>
              <w:spacing w:before="0" w:after="0"/>
              <w:jc w:val="left"/>
              <w:rPr>
                <w:rFonts w:ascii="Arial Narrow" w:eastAsia="Calibri" w:hAnsi="Arial Narrow" w:cs="Calibri"/>
                <w:snapToGrid w:val="0"/>
                <w:sz w:val="20"/>
                <w:szCs w:val="20"/>
              </w:rPr>
            </w:pPr>
            <w:r w:rsidRPr="00196231">
              <w:rPr>
                <w:rFonts w:ascii="Arial Narrow" w:eastAsia="Calibri" w:hAnsi="Arial Narrow" w:cs="Calibri"/>
                <w:snapToGrid w:val="0"/>
                <w:sz w:val="20"/>
                <w:szCs w:val="20"/>
              </w:rPr>
              <w:t>AND</w:t>
            </w:r>
          </w:p>
          <w:p w14:paraId="3271D598" w14:textId="77777777" w:rsidR="0024364F" w:rsidRPr="00196231" w:rsidRDefault="0024364F" w:rsidP="00A508D1">
            <w:pPr>
              <w:keepNext/>
              <w:widowControl w:val="0"/>
              <w:spacing w:before="0" w:after="0"/>
              <w:jc w:val="left"/>
              <w:rPr>
                <w:rFonts w:ascii="Arial Narrow" w:eastAsia="Calibri" w:hAnsi="Arial Narrow" w:cs="Calibri"/>
                <w:snapToGrid w:val="0"/>
                <w:sz w:val="20"/>
                <w:szCs w:val="20"/>
              </w:rPr>
            </w:pPr>
            <w:r w:rsidRPr="00196231">
              <w:rPr>
                <w:rFonts w:ascii="Arial Narrow" w:eastAsia="Calibri" w:hAnsi="Arial Narrow" w:cs="Calibri"/>
                <w:snapToGrid w:val="0"/>
                <w:sz w:val="20"/>
                <w:szCs w:val="20"/>
              </w:rPr>
              <w:t>Patient must not have current or previous (within last 2 years) decompensated liver disease</w:t>
            </w:r>
          </w:p>
        </w:tc>
      </w:tr>
      <w:tr w:rsidR="0024364F" w:rsidRPr="00196231" w14:paraId="1E6A8BAA"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tcPr>
          <w:p w14:paraId="51682C8B" w14:textId="77777777" w:rsidR="0024364F" w:rsidRPr="00196231"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196231">
              <w:rPr>
                <w:rFonts w:ascii="Arial Narrow" w:eastAsia="Times New Roman" w:hAnsi="Arial Narrow" w:cs="Times New Roman"/>
                <w:snapToGrid w:val="0"/>
                <w:sz w:val="20"/>
                <w:szCs w:val="24"/>
                <w:lang w:eastAsia="en-AU"/>
              </w:rPr>
              <w:t>Population criteria:</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2481B0DB" w14:textId="77777777" w:rsidR="0024364F" w:rsidRPr="00196231" w:rsidRDefault="0024364F" w:rsidP="00A508D1">
            <w:pPr>
              <w:keepNext/>
              <w:widowControl w:val="0"/>
              <w:spacing w:before="0" w:after="0"/>
              <w:jc w:val="left"/>
              <w:rPr>
                <w:rFonts w:ascii="Arial Narrow" w:eastAsia="Times New Roman" w:hAnsi="Arial Narrow" w:cs="Times New Roman"/>
                <w:snapToGrid w:val="0"/>
                <w:color w:val="000000"/>
                <w:sz w:val="20"/>
                <w:szCs w:val="24"/>
                <w:lang w:eastAsia="en-AU"/>
              </w:rPr>
            </w:pPr>
            <w:r w:rsidRPr="00196231">
              <w:rPr>
                <w:rFonts w:ascii="Arial Narrow" w:eastAsia="Calibri" w:hAnsi="Arial Narrow" w:cs="Calibri"/>
                <w:snapToGrid w:val="0"/>
                <w:sz w:val="20"/>
                <w:szCs w:val="20"/>
              </w:rPr>
              <w:t>Patient must be</w:t>
            </w:r>
            <w:r>
              <w:rPr>
                <w:rFonts w:ascii="Arial Narrow" w:eastAsia="Calibri" w:hAnsi="Arial Narrow" w:cs="Calibri"/>
                <w:snapToGrid w:val="0"/>
                <w:sz w:val="20"/>
                <w:szCs w:val="20"/>
              </w:rPr>
              <w:t xml:space="preserve"> </w:t>
            </w:r>
            <w:r>
              <w:rPr>
                <w:rFonts w:ascii="Arial Narrow" w:eastAsia="Calibri" w:hAnsi="Arial Narrow" w:cs="Calibri"/>
                <w:i/>
                <w:iCs/>
                <w:snapToGrid w:val="0"/>
                <w:sz w:val="20"/>
                <w:szCs w:val="20"/>
              </w:rPr>
              <w:t>at least 18 years of age</w:t>
            </w:r>
            <w:r w:rsidRPr="00196231">
              <w:rPr>
                <w:rFonts w:ascii="Arial Narrow" w:eastAsia="Calibri" w:hAnsi="Arial Narrow" w:cs="Calibri"/>
                <w:snapToGrid w:val="0"/>
                <w:sz w:val="20"/>
                <w:szCs w:val="20"/>
              </w:rPr>
              <w:t xml:space="preserve"> </w:t>
            </w:r>
            <w:r w:rsidRPr="00327326">
              <w:rPr>
                <w:rFonts w:ascii="Arial Narrow" w:eastAsia="Calibri" w:hAnsi="Arial Narrow" w:cs="Calibri"/>
                <w:strike/>
                <w:snapToGrid w:val="0"/>
                <w:sz w:val="20"/>
                <w:szCs w:val="20"/>
              </w:rPr>
              <w:t>an adult</w:t>
            </w:r>
          </w:p>
        </w:tc>
      </w:tr>
      <w:tr w:rsidR="0024364F" w:rsidRPr="00196231" w14:paraId="60222A16" w14:textId="77777777" w:rsidTr="00EF630E">
        <w:tblPrEx>
          <w:tblCellMar>
            <w:left w:w="28" w:type="dxa"/>
            <w:right w:w="28" w:type="dxa"/>
          </w:tblCellMar>
          <w:tblLook w:val="04A0" w:firstRow="1" w:lastRow="0" w:firstColumn="1" w:lastColumn="0" w:noHBand="0" w:noVBand="1"/>
        </w:tblPrEx>
        <w:trPr>
          <w:trHeight w:val="20"/>
        </w:trPr>
        <w:tc>
          <w:tcPr>
            <w:tcW w:w="2270"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87CC4E2" w14:textId="77777777" w:rsidR="0024364F" w:rsidRPr="00327326" w:rsidRDefault="0024364F" w:rsidP="00A508D1">
            <w:pPr>
              <w:keepNext/>
              <w:widowControl w:val="0"/>
              <w:spacing w:before="0" w:after="0"/>
              <w:jc w:val="left"/>
              <w:rPr>
                <w:rFonts w:ascii="Arial Narrow" w:eastAsia="Times New Roman" w:hAnsi="Arial Narrow" w:cs="Times New Roman"/>
                <w:snapToGrid w:val="0"/>
                <w:sz w:val="20"/>
                <w:szCs w:val="24"/>
                <w:lang w:eastAsia="en-AU"/>
              </w:rPr>
            </w:pPr>
            <w:r w:rsidRPr="00327326">
              <w:rPr>
                <w:rFonts w:ascii="Arial Narrow" w:eastAsia="Times New Roman" w:hAnsi="Arial Narrow"/>
                <w:strike/>
                <w:sz w:val="20"/>
                <w:szCs w:val="20"/>
                <w:lang w:eastAsia="en-AU"/>
              </w:rPr>
              <w:t>Prescribing Instructions:</w:t>
            </w:r>
            <w:r w:rsidRPr="00327326">
              <w:rPr>
                <w:rFonts w:ascii="Arial Narrow" w:eastAsia="Times New Roman" w:hAnsi="Arial Narrow"/>
                <w:sz w:val="20"/>
                <w:szCs w:val="20"/>
                <w:lang w:eastAsia="en-AU"/>
              </w:rPr>
              <w:t xml:space="preserve"> </w:t>
            </w:r>
            <w:r w:rsidRPr="00327326">
              <w:rPr>
                <w:rFonts w:ascii="Arial Narrow" w:eastAsia="Times New Roman" w:hAnsi="Arial Narrow"/>
                <w:i/>
                <w:iCs/>
                <w:sz w:val="20"/>
                <w:szCs w:val="20"/>
                <w:lang w:eastAsia="en-AU"/>
              </w:rPr>
              <w:t>Administrative Advice</w:t>
            </w:r>
            <w:r w:rsidRPr="00327326">
              <w:rPr>
                <w:rFonts w:ascii="Arial Narrow" w:eastAsia="Times New Roman" w:hAnsi="Arial Narrow"/>
                <w:sz w:val="20"/>
                <w:szCs w:val="20"/>
                <w:lang w:eastAsia="en-AU"/>
              </w:rPr>
              <w:t>:</w:t>
            </w:r>
          </w:p>
        </w:tc>
        <w:tc>
          <w:tcPr>
            <w:tcW w:w="6661"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659A00EB" w14:textId="77777777" w:rsidR="0024364F" w:rsidRPr="00196231" w:rsidRDefault="0024364F" w:rsidP="00A508D1">
            <w:pPr>
              <w:keepNext/>
              <w:widowControl w:val="0"/>
              <w:spacing w:before="0" w:after="0"/>
              <w:jc w:val="left"/>
              <w:rPr>
                <w:rFonts w:ascii="Arial Narrow" w:eastAsia="Times New Roman" w:hAnsi="Arial Narrow" w:cs="Times New Roman"/>
                <w:snapToGrid w:val="0"/>
                <w:color w:val="000000"/>
                <w:sz w:val="20"/>
                <w:szCs w:val="24"/>
                <w:lang w:eastAsia="en-AU"/>
              </w:rPr>
            </w:pPr>
            <w:r w:rsidRPr="00196231">
              <w:rPr>
                <w:rFonts w:ascii="Arial Narrow" w:eastAsia="Calibri" w:hAnsi="Arial Narrow" w:cs="Calibri"/>
                <w:snapToGrid w:val="0"/>
                <w:sz w:val="20"/>
                <w:szCs w:val="20"/>
              </w:rPr>
              <w:t>Treatment can be as monotherapy for chronic hepatitis D virus or in co-administration with another therapy for Hepatitis B virus infection</w:t>
            </w:r>
          </w:p>
        </w:tc>
      </w:tr>
    </w:tbl>
    <w:p w14:paraId="03C76B4F" w14:textId="3FF4624F" w:rsidR="00EC6347" w:rsidRPr="00196231" w:rsidRDefault="00EC6347" w:rsidP="006F50D9">
      <w:pPr>
        <w:pStyle w:val="3-BodyText"/>
        <w:rPr>
          <w:color w:val="3366FF"/>
        </w:rPr>
      </w:pPr>
      <w:r w:rsidRPr="004E4800">
        <w:t>The submission proposed a Special Pricing Arrangement (SPA). The requested</w:t>
      </w:r>
      <w:r w:rsidRPr="00196231">
        <w:t xml:space="preserve"> effective dispensed prices for maximum quantity (DPMQs) (2 mg x 60 vial) </w:t>
      </w:r>
      <w:r w:rsidR="00A12BB4">
        <w:t>were</w:t>
      </w:r>
      <w:r w:rsidR="00A12BB4" w:rsidRPr="00196231">
        <w:t xml:space="preserve"> </w:t>
      </w:r>
      <w:r w:rsidRPr="00196231">
        <w:t>$</w:t>
      </w:r>
      <w:r w:rsidR="001A4B8B" w:rsidRPr="00CC2E88">
        <w:rPr>
          <w:color w:val="000000"/>
          <w:w w:val="15"/>
          <w:shd w:val="solid" w:color="000000" w:fill="000000"/>
          <w:fitText w:val="-20" w:id="-961838848"/>
          <w14:textFill>
            <w14:solidFill>
              <w14:srgbClr w14:val="000000">
                <w14:alpha w14:val="100000"/>
              </w14:srgbClr>
            </w14:solidFill>
          </w14:textFill>
        </w:rPr>
        <w:t xml:space="preserve">|  </w:t>
      </w:r>
      <w:r w:rsidR="001A4B8B" w:rsidRPr="00CC2E88">
        <w:rPr>
          <w:color w:val="000000"/>
          <w:spacing w:val="-69"/>
          <w:w w:val="15"/>
          <w:shd w:val="solid" w:color="000000" w:fill="000000"/>
          <w:fitText w:val="-20" w:id="-961838848"/>
          <w14:textFill>
            <w14:solidFill>
              <w14:srgbClr w14:val="000000">
                <w14:alpha w14:val="100000"/>
              </w14:srgbClr>
            </w14:solidFill>
          </w14:textFill>
        </w:rPr>
        <w:t>|</w:t>
      </w:r>
      <w:r w:rsidRPr="00196231">
        <w:t xml:space="preserve"> for public hospital and </w:t>
      </w:r>
      <w:r w:rsidR="15CC1A8E" w:rsidRPr="41D6CCFC">
        <w:t>$</w:t>
      </w:r>
      <w:r w:rsidR="001A4B8B" w:rsidRPr="00CC2E88">
        <w:rPr>
          <w:color w:val="000000"/>
          <w:w w:val="15"/>
          <w:shd w:val="solid" w:color="000000" w:fill="000000"/>
          <w:fitText w:val="-20" w:id="-961838847"/>
          <w14:textFill>
            <w14:solidFill>
              <w14:srgbClr w14:val="000000">
                <w14:alpha w14:val="100000"/>
              </w14:srgbClr>
            </w14:solidFill>
          </w14:textFill>
        </w:rPr>
        <w:t xml:space="preserve">|  </w:t>
      </w:r>
      <w:r w:rsidR="001A4B8B" w:rsidRPr="00CC2E88">
        <w:rPr>
          <w:color w:val="000000"/>
          <w:spacing w:val="-69"/>
          <w:w w:val="15"/>
          <w:shd w:val="solid" w:color="000000" w:fill="000000"/>
          <w:fitText w:val="-20" w:id="-961838847"/>
          <w14:textFill>
            <w14:solidFill>
              <w14:srgbClr w14:val="000000">
                <w14:alpha w14:val="100000"/>
              </w14:srgbClr>
            </w14:solidFill>
          </w14:textFill>
        </w:rPr>
        <w:t>|</w:t>
      </w:r>
      <w:r w:rsidRPr="00196231">
        <w:t xml:space="preserve"> for private hospital and community access.</w:t>
      </w:r>
      <w:r w:rsidRPr="00E86DFD">
        <w:rPr>
          <w:color w:val="3366FF"/>
        </w:rPr>
        <w:t xml:space="preserve"> </w:t>
      </w:r>
    </w:p>
    <w:p w14:paraId="146C7910" w14:textId="73A71648" w:rsidR="00EC6347" w:rsidRPr="00061E18" w:rsidRDefault="00EC6347" w:rsidP="006F50D9">
      <w:pPr>
        <w:pStyle w:val="3-BodyText"/>
      </w:pPr>
      <w:r w:rsidRPr="00196231">
        <w:t>The requested amount of 2 mg x 360 vials of bulevirtide (one original script plus 5 repeats) will cover approximately one year of treatment, with the proposed dosing being bulevirtide 2 mg once daily.</w:t>
      </w:r>
      <w:r w:rsidRPr="00196231">
        <w:rPr>
          <w:i/>
          <w:iCs/>
        </w:rPr>
        <w:t xml:space="preserve"> </w:t>
      </w:r>
    </w:p>
    <w:p w14:paraId="11A7DED5" w14:textId="6ADBD0F8" w:rsidR="00061E18" w:rsidRPr="00543EB7" w:rsidRDefault="00061E18" w:rsidP="006F50D9">
      <w:pPr>
        <w:pStyle w:val="3-BodyText"/>
      </w:pPr>
      <w:r w:rsidRPr="00543EB7">
        <w:t>The ESC</w:t>
      </w:r>
      <w:r w:rsidR="00454F56" w:rsidRPr="00543EB7">
        <w:t>s</w:t>
      </w:r>
      <w:r w:rsidRPr="00543EB7">
        <w:t xml:space="preserve"> considered the prescriber restriction should </w:t>
      </w:r>
      <w:r w:rsidR="004E4800" w:rsidRPr="00543EB7">
        <w:t xml:space="preserve">be </w:t>
      </w:r>
      <w:r w:rsidRPr="00543EB7">
        <w:t xml:space="preserve">amended to a ‘physician experienced in the management of patients with viral hepatitis’ as there are </w:t>
      </w:r>
      <w:r w:rsidR="00454F56" w:rsidRPr="00543EB7">
        <w:t xml:space="preserve">likely to be </w:t>
      </w:r>
      <w:r w:rsidRPr="00543EB7">
        <w:t>few clinicians experience</w:t>
      </w:r>
      <w:r w:rsidR="00454F56" w:rsidRPr="00543EB7">
        <w:t>d in the management of</w:t>
      </w:r>
      <w:r w:rsidRPr="00543EB7">
        <w:t xml:space="preserve"> HDV infection</w:t>
      </w:r>
      <w:r w:rsidR="00454F56" w:rsidRPr="00543EB7">
        <w:t xml:space="preserve"> (specifically)</w:t>
      </w:r>
      <w:r w:rsidRPr="00543EB7">
        <w:t>.</w:t>
      </w:r>
      <w:r w:rsidR="00A12BB4">
        <w:t xml:space="preserve"> The </w:t>
      </w:r>
      <w:r w:rsidR="00A12BB4">
        <w:lastRenderedPageBreak/>
        <w:t xml:space="preserve">PBAC considered that there may be access barriers for patients in remote areas and advised that this criterion should read “Treatment must be initiated in consultation with a physician experienced in the management of patients with viral hepatitis”. </w:t>
      </w:r>
    </w:p>
    <w:p w14:paraId="31623E5A" w14:textId="6EE34AAB" w:rsidR="00B82FEB" w:rsidRPr="00543EB7" w:rsidRDefault="00EC6347" w:rsidP="006F50D9">
      <w:pPr>
        <w:pStyle w:val="3-BodyText"/>
      </w:pPr>
      <w:bookmarkStart w:id="14" w:name="_Ref158628769"/>
      <w:r w:rsidRPr="00543EB7">
        <w:t>The proposed restriction was</w:t>
      </w:r>
      <w:r w:rsidR="00975D5D" w:rsidRPr="00543EB7">
        <w:t xml:space="preserve"> assumed to be</w:t>
      </w:r>
      <w:r w:rsidRPr="00543EB7">
        <w:t xml:space="preserve"> for </w:t>
      </w:r>
      <w:r w:rsidR="00975D5D" w:rsidRPr="00543EB7">
        <w:t xml:space="preserve">both initiation and continuation of bulevirtide treatment. </w:t>
      </w:r>
      <w:r w:rsidR="00D11C4B" w:rsidRPr="00543EB7">
        <w:t>N</w:t>
      </w:r>
      <w:r w:rsidRPr="00543EB7">
        <w:t xml:space="preserve">o continuing treatment restriction has been proposed. </w:t>
      </w:r>
      <w:r w:rsidR="00E86DFD" w:rsidRPr="00543EB7">
        <w:t xml:space="preserve">Therefore, </w:t>
      </w:r>
      <w:r w:rsidR="00781374" w:rsidRPr="00543EB7">
        <w:t xml:space="preserve">once a patient finishes a 12-month treatment course, </w:t>
      </w:r>
      <w:r w:rsidR="00D11C4B" w:rsidRPr="00543EB7">
        <w:t xml:space="preserve">under the proposed restriction </w:t>
      </w:r>
      <w:r w:rsidR="00781374" w:rsidRPr="00543EB7">
        <w:t>the</w:t>
      </w:r>
      <w:r w:rsidR="00E86DFD" w:rsidRPr="00543EB7">
        <w:t>y</w:t>
      </w:r>
      <w:r w:rsidR="00781374" w:rsidRPr="00543EB7">
        <w:t xml:space="preserve"> w</w:t>
      </w:r>
      <w:r w:rsidR="00274B97" w:rsidRPr="00543EB7">
        <w:t>ould</w:t>
      </w:r>
      <w:r w:rsidR="00781374" w:rsidRPr="00543EB7">
        <w:t xml:space="preserve"> need to satisf</w:t>
      </w:r>
      <w:r w:rsidR="00E86DFD" w:rsidRPr="00543EB7">
        <w:t>y</w:t>
      </w:r>
      <w:r w:rsidR="00781374" w:rsidRPr="00543EB7">
        <w:t xml:space="preserve"> all clinical criteria</w:t>
      </w:r>
      <w:r w:rsidR="005D6208" w:rsidRPr="00543EB7">
        <w:t xml:space="preserve"> </w:t>
      </w:r>
      <w:r w:rsidR="00E86DFD" w:rsidRPr="00543EB7">
        <w:t>again</w:t>
      </w:r>
      <w:r w:rsidR="00781374" w:rsidRPr="00543EB7">
        <w:t>, in order to qualif</w:t>
      </w:r>
      <w:r w:rsidR="00E86DFD" w:rsidRPr="00543EB7">
        <w:t>y</w:t>
      </w:r>
      <w:r w:rsidR="00781374" w:rsidRPr="00543EB7">
        <w:t xml:space="preserve"> for continuous treatment. </w:t>
      </w:r>
      <w:r w:rsidR="00D11C4B" w:rsidRPr="00543EB7">
        <w:t>As written, if</w:t>
      </w:r>
      <w:r w:rsidR="00781374" w:rsidRPr="00543EB7">
        <w:t xml:space="preserve"> the patient </w:t>
      </w:r>
      <w:r w:rsidR="008F21C9" w:rsidRPr="00543EB7">
        <w:t>no longer</w:t>
      </w:r>
      <w:r w:rsidR="00781374" w:rsidRPr="00543EB7">
        <w:t xml:space="preserve"> ha</w:t>
      </w:r>
      <w:r w:rsidR="008F21C9" w:rsidRPr="00543EB7">
        <w:t>s</w:t>
      </w:r>
      <w:r w:rsidR="00781374" w:rsidRPr="00543EB7">
        <w:t xml:space="preserve"> </w:t>
      </w:r>
      <w:r w:rsidR="008F21C9" w:rsidRPr="00543EB7">
        <w:t xml:space="preserve">detectable HDV RNA or </w:t>
      </w:r>
      <w:r w:rsidR="00E86DFD" w:rsidRPr="00543EB7">
        <w:t xml:space="preserve">an </w:t>
      </w:r>
      <w:r w:rsidR="008F21C9" w:rsidRPr="00543EB7">
        <w:t xml:space="preserve">elevated ALT level </w:t>
      </w:r>
      <w:r w:rsidR="00E86DFD" w:rsidRPr="00543EB7">
        <w:t>(</w:t>
      </w:r>
      <w:r w:rsidR="006A7DAA" w:rsidRPr="00543EB7">
        <w:t xml:space="preserve">both are </w:t>
      </w:r>
      <w:r w:rsidR="00E86DFD" w:rsidRPr="00543EB7">
        <w:t xml:space="preserve">signals of </w:t>
      </w:r>
      <w:r w:rsidR="008F21C9" w:rsidRPr="00543EB7">
        <w:t>clinical benefit</w:t>
      </w:r>
      <w:r w:rsidR="00E86DFD" w:rsidRPr="00543EB7">
        <w:t>)</w:t>
      </w:r>
      <w:r w:rsidR="002D60B1" w:rsidRPr="00543EB7">
        <w:t>,</w:t>
      </w:r>
      <w:r w:rsidR="006A7DAA" w:rsidRPr="00543EB7">
        <w:t xml:space="preserve"> </w:t>
      </w:r>
      <w:r w:rsidR="008F21C9" w:rsidRPr="00543EB7">
        <w:t xml:space="preserve">the patient would not be eligible for </w:t>
      </w:r>
      <w:r w:rsidR="00E86DFD" w:rsidRPr="00543EB7">
        <w:t>ong</w:t>
      </w:r>
      <w:r w:rsidR="630221AB" w:rsidRPr="00543EB7">
        <w:t>o</w:t>
      </w:r>
      <w:r w:rsidR="00E86DFD" w:rsidRPr="00543EB7">
        <w:t>ing</w:t>
      </w:r>
      <w:r w:rsidR="008F21C9" w:rsidRPr="00543EB7">
        <w:t xml:space="preserve"> treatment. This conflicts with what </w:t>
      </w:r>
      <w:r w:rsidR="00F14365" w:rsidRPr="00543EB7">
        <w:t>is</w:t>
      </w:r>
      <w:r w:rsidR="008F21C9" w:rsidRPr="00543EB7">
        <w:t xml:space="preserve"> suggested in the </w:t>
      </w:r>
      <w:r w:rsidR="00F14365" w:rsidRPr="00543EB7">
        <w:t xml:space="preserve">draft </w:t>
      </w:r>
      <w:r w:rsidR="00D440AC" w:rsidRPr="00543EB7">
        <w:t>Product Information (</w:t>
      </w:r>
      <w:r w:rsidR="008F21C9" w:rsidRPr="00543EB7">
        <w:t>PI</w:t>
      </w:r>
      <w:r w:rsidR="00D440AC" w:rsidRPr="00543EB7">
        <w:t>)</w:t>
      </w:r>
      <w:r w:rsidR="005D7519" w:rsidRPr="00543EB7">
        <w:t>: “T</w:t>
      </w:r>
      <w:r w:rsidR="008F21C9" w:rsidRPr="00543EB7">
        <w:t>reatment should be continued as long as associated with clinical benefit”.</w:t>
      </w:r>
      <w:r w:rsidR="00441F28" w:rsidRPr="00543EB7">
        <w:t xml:space="preserve"> </w:t>
      </w:r>
      <w:r w:rsidR="008E12B2" w:rsidRPr="00543EB7">
        <w:t xml:space="preserve">The Pre-Sub-Committee Response (PSCR) </w:t>
      </w:r>
      <w:r w:rsidR="004E4800" w:rsidRPr="00543EB7">
        <w:t>clarified</w:t>
      </w:r>
      <w:r w:rsidR="008E12B2" w:rsidRPr="00543EB7">
        <w:t xml:space="preserve"> the intent of the restrictions is not to require </w:t>
      </w:r>
      <w:r w:rsidR="004E4800" w:rsidRPr="00543EB7">
        <w:t xml:space="preserve">a </w:t>
      </w:r>
      <w:r w:rsidR="008E12B2" w:rsidRPr="00543EB7">
        <w:t>patient to satisfy clinical criteria again to qualify for ongoing treatment.</w:t>
      </w:r>
      <w:r w:rsidR="004B4BA4">
        <w:t xml:space="preserve"> </w:t>
      </w:r>
    </w:p>
    <w:p w14:paraId="520DA288" w14:textId="50BDD223" w:rsidR="00274B97" w:rsidRPr="00543EB7" w:rsidRDefault="00B82FEB" w:rsidP="006F50D9">
      <w:pPr>
        <w:pStyle w:val="3-BodyText"/>
      </w:pPr>
      <w:bookmarkStart w:id="15" w:name="_Ref163046903"/>
      <w:r w:rsidRPr="00543EB7">
        <w:t xml:space="preserve">The ESC noted that the submission and PSCR identified that the proposed restriction was consistent with the restrictions for treatments for CHB (e.g. entecavir), which also do not include specific criteria for ongoing treatment in patients who may not meet the criteria in terms of detectable HBV levels. The ESC considered that there was a lack of clarity regarding ongoing treatment under the restrictions for CHB treatments and advised that </w:t>
      </w:r>
      <w:r w:rsidR="004B4BA4">
        <w:t>there may be issues</w:t>
      </w:r>
      <w:r w:rsidRPr="00543EB7">
        <w:t xml:space="preserve"> with interpretation of the restriction which may preclude continuing treatment where it is clinically indicated.</w:t>
      </w:r>
      <w:r w:rsidR="0024364F">
        <w:t xml:space="preserve"> </w:t>
      </w:r>
      <w:r w:rsidR="0024364F" w:rsidRPr="0024364F">
        <w:t xml:space="preserve">The PBAC considered the restriction, </w:t>
      </w:r>
      <w:r w:rsidR="00E840B9" w:rsidRPr="0024364F">
        <w:t>as proposed</w:t>
      </w:r>
      <w:r w:rsidR="0024364F" w:rsidRPr="0024364F">
        <w:t xml:space="preserve">, may inappropriately cause some patients to become ineligible if they achieved an undetectable HDV RNA level and/or achieved ALT normalisation. The Committee agreed the intent of the listing as described by the Sponsor was reasonable, but </w:t>
      </w:r>
      <w:r w:rsidR="00A12BB4">
        <w:t xml:space="preserve">considered </w:t>
      </w:r>
      <w:r w:rsidR="0024364F" w:rsidRPr="0024364F">
        <w:t>that the wording of the restriction needed changes to accurately reflect this intent.</w:t>
      </w:r>
      <w:bookmarkEnd w:id="15"/>
    </w:p>
    <w:bookmarkEnd w:id="14"/>
    <w:p w14:paraId="572E56D7" w14:textId="439A4E48" w:rsidR="00D11C4B" w:rsidRPr="00543EB7" w:rsidRDefault="00D11C4B" w:rsidP="006F50D9">
      <w:pPr>
        <w:pStyle w:val="PBACESParagraphBulletPoint"/>
      </w:pPr>
      <w:r w:rsidRPr="00543EB7">
        <w:t xml:space="preserve">There was no information presented in the submission to provide guidance on when bulevirtide treatment should be ceased, or when – and for how long – to continue with treatment. </w:t>
      </w:r>
      <w:r w:rsidR="00592813" w:rsidRPr="00543EB7">
        <w:t>In a randomised clinical trial of bulevirtide (MYR202), 13 out of the 15 responders’ HDV RNA levels had rebounded by Week 48 after discontinuation of bulevirtide at Week 24</w:t>
      </w:r>
      <w:r w:rsidR="00592813" w:rsidRPr="00543EB7">
        <w:rPr>
          <w:rStyle w:val="FootnoteReference"/>
          <w:color w:val="auto"/>
        </w:rPr>
        <w:footnoteReference w:id="2"/>
      </w:r>
      <w:r w:rsidR="00592813" w:rsidRPr="00543EB7">
        <w:t xml:space="preserve">. The draft PI states that treatment should be continued as long as associated with clinical benefit, and that consideration to discontinue bulevirtide in patients with CHD should be given when there is sustained (6 months) hepatitis B surface antigen (HbsAg) seroconversion. However, it is unclear when in clinical practice clinicians and patients can decide there is no more clinical benefit to justify ongoing bulevirtide treatment. </w:t>
      </w:r>
      <w:r w:rsidRPr="00543EB7">
        <w:t>The PSCR clarified that ongoing treatment is required to maintain viral suppression and the intention of the proposed restriction</w:t>
      </w:r>
      <w:r w:rsidR="00592813" w:rsidRPr="00543EB7">
        <w:t xml:space="preserve"> is to allow ongoing </w:t>
      </w:r>
      <w:r w:rsidR="00592813" w:rsidRPr="00543EB7">
        <w:lastRenderedPageBreak/>
        <w:t>treatment for patients with clinical benefit</w:t>
      </w:r>
      <w:r w:rsidRPr="00543EB7">
        <w:t xml:space="preserve">. </w:t>
      </w:r>
      <w:r w:rsidR="00B82FEB" w:rsidRPr="00543EB7">
        <w:t>The ESC considered the lack of long term data for efficacy and safety create significant uncertainties for estimating the likely duration of therapy, which has implications for the economic model and financial estimates.</w:t>
      </w:r>
    </w:p>
    <w:p w14:paraId="046FCDB6" w14:textId="24E4D3BA" w:rsidR="00B82FEB" w:rsidRPr="00543EB7" w:rsidRDefault="008510EE" w:rsidP="006F50D9">
      <w:pPr>
        <w:pStyle w:val="PBACESParagraphBulletPoint"/>
      </w:pPr>
      <w:r w:rsidRPr="00543EB7">
        <w:t>In the request</w:t>
      </w:r>
      <w:r w:rsidR="5D94C5E8" w:rsidRPr="00543EB7">
        <w:t>ed</w:t>
      </w:r>
      <w:r w:rsidRPr="00543EB7">
        <w:t xml:space="preserve"> listing, non-responders were not defined and the timing of stopping bulevirtide treatment in non-responders was not specified. </w:t>
      </w:r>
      <w:r w:rsidR="00D11C4B" w:rsidRPr="00543EB7">
        <w:t xml:space="preserve">This was not consistent with the economic evaluation (patients receive bulevirtide for 96 weeks, thereafter, non-responders will discontinue treatment). </w:t>
      </w:r>
      <w:r w:rsidR="00EC6347" w:rsidRPr="00543EB7">
        <w:t xml:space="preserve">For bulevirtide, the proportion of patients who achieved combined response in the bulevirtide 2 mg treatment arm of the key trial was reported to be 34.7% at Week 24, 44.9% at Week 48, and 55.1% at Week 96. </w:t>
      </w:r>
      <w:r w:rsidR="00592813" w:rsidRPr="00543EB7">
        <w:t>The ESCs considered an enforceable discontinuation rule may be required if the use of bulevirtide is to be consistent with the modelled economic evaluation. However, the ESCs considered that such a rule may not be clinically justified as there is</w:t>
      </w:r>
      <w:r w:rsidR="00536991" w:rsidRPr="00543EB7">
        <w:t xml:space="preserve"> evidence that late response to treatment is </w:t>
      </w:r>
      <w:r w:rsidR="00592813" w:rsidRPr="00543EB7">
        <w:t xml:space="preserve">relatively </w:t>
      </w:r>
      <w:r w:rsidR="00536991" w:rsidRPr="00543EB7">
        <w:t>common</w:t>
      </w:r>
      <w:r w:rsidR="00592813" w:rsidRPr="00543EB7">
        <w:t xml:space="preserve"> for both partial responders and non-responders</w:t>
      </w:r>
      <w:r w:rsidR="00592813" w:rsidRPr="00543EB7">
        <w:rPr>
          <w:rStyle w:val="FootnoteReference"/>
          <w:color w:val="auto"/>
        </w:rPr>
        <w:footnoteReference w:id="3"/>
      </w:r>
      <w:r w:rsidR="00592813" w:rsidRPr="00543EB7">
        <w:t xml:space="preserve">. </w:t>
      </w:r>
    </w:p>
    <w:p w14:paraId="75BFDC76" w14:textId="11B9FF51" w:rsidR="00EC6347" w:rsidRDefault="009B59B9" w:rsidP="006F50D9">
      <w:pPr>
        <w:pStyle w:val="PBACESParagraphBulletPoint"/>
      </w:pPr>
      <w:r w:rsidRPr="00543EB7">
        <w:t>The</w:t>
      </w:r>
      <w:r w:rsidR="00E700CB">
        <w:t xml:space="preserve"> evaluation considered the</w:t>
      </w:r>
      <w:r w:rsidRPr="00543EB7">
        <w:t xml:space="preserve"> proposed listing allows use of bulevirtide in patients with </w:t>
      </w:r>
      <w:r w:rsidR="00D65158" w:rsidRPr="00543EB7">
        <w:t xml:space="preserve">compensated liver disease (including </w:t>
      </w:r>
      <w:r w:rsidRPr="00543EB7">
        <w:t>Child-Pugh Class</w:t>
      </w:r>
      <w:r w:rsidR="00D65158" w:rsidRPr="00543EB7">
        <w:t xml:space="preserve"> A and</w:t>
      </w:r>
      <w:r w:rsidRPr="00543EB7">
        <w:t xml:space="preserve"> </w:t>
      </w:r>
      <w:r w:rsidR="00D65158" w:rsidRPr="00543EB7">
        <w:t xml:space="preserve">some Child-Pugh Class </w:t>
      </w:r>
      <w:r w:rsidRPr="00543EB7">
        <w:t>B cirrhosis</w:t>
      </w:r>
      <w:r w:rsidR="00D65158" w:rsidRPr="00543EB7">
        <w:t xml:space="preserve"> based on clinician’s judgement)</w:t>
      </w:r>
      <w:r w:rsidR="003D6133" w:rsidRPr="00543EB7">
        <w:t>,</w:t>
      </w:r>
      <w:r w:rsidR="00D65158" w:rsidRPr="00543EB7">
        <w:t xml:space="preserve"> </w:t>
      </w:r>
      <w:r w:rsidRPr="00543EB7">
        <w:t>and patients infected with HDV</w:t>
      </w:r>
      <w:r w:rsidR="003D6133" w:rsidRPr="00543EB7">
        <w:t xml:space="preserve"> </w:t>
      </w:r>
      <w:r w:rsidR="003D7A32" w:rsidRPr="00543EB7">
        <w:t>of all ge</w:t>
      </w:r>
      <w:r w:rsidR="003D6133" w:rsidRPr="00543EB7">
        <w:t>notype</w:t>
      </w:r>
      <w:r w:rsidR="003D7A32" w:rsidRPr="00543EB7">
        <w:t>s</w:t>
      </w:r>
      <w:r w:rsidRPr="00543EB7">
        <w:t xml:space="preserve">. However, in the key trial presented, only patients with Child-Pugh Class A cirrhosis and HDV genotype A infection were included. </w:t>
      </w:r>
      <w:r w:rsidR="00C72EDC" w:rsidRPr="00543EB7">
        <w:t xml:space="preserve">The PSCR clarified the listing of bulevirtide is intended for patients with compensated liver disease and Child Pugh Class B and C are excluded. </w:t>
      </w:r>
      <w:r w:rsidR="00040770">
        <w:t xml:space="preserve">The PBAC noted that the proposed restriction specifies that patients must not have decompensated liver disease and considered that this would ensure the patient population is consistent with the key trial in terms of Child-Pugh class. </w:t>
      </w:r>
      <w:r w:rsidR="00C72EDC" w:rsidRPr="00543EB7">
        <w:t xml:space="preserve">The </w:t>
      </w:r>
      <w:r w:rsidR="00B82FEB" w:rsidRPr="00543EB7">
        <w:t>PSCR</w:t>
      </w:r>
      <w:r w:rsidR="00C72EDC" w:rsidRPr="00543EB7">
        <w:t xml:space="preserve"> also stated the antiviral activity of bulevirtide has been studied in vitro in the 8 HDV genotypes, as determined by sequencing, demonstrating broad spectrum antiviral activity against HDV-1 to -8 with across the 8 HBV genotypes, supporting the broad coverage of bulevirtide across HDV genotypes, which is reflected in the recently released </w:t>
      </w:r>
      <w:r w:rsidR="005D43E5" w:rsidRPr="00543EB7">
        <w:t>European Association for the Study of the Liver (</w:t>
      </w:r>
      <w:r w:rsidR="00C72EDC" w:rsidRPr="00543EB7">
        <w:t>EASL</w:t>
      </w:r>
      <w:r w:rsidR="005D43E5" w:rsidRPr="00543EB7">
        <w:t>)</w:t>
      </w:r>
      <w:r w:rsidR="00C72EDC" w:rsidRPr="00543EB7">
        <w:t xml:space="preserve"> HDV Guidelines.</w:t>
      </w:r>
      <w:r w:rsidR="00D86C8B">
        <w:t xml:space="preserve"> </w:t>
      </w:r>
    </w:p>
    <w:p w14:paraId="5A38E318" w14:textId="237A6DD9" w:rsidR="00812DDE" w:rsidRDefault="00812DDE" w:rsidP="006F50D9">
      <w:pPr>
        <w:pStyle w:val="PBACESParagraphBulletPoint"/>
      </w:pPr>
      <w:r w:rsidRPr="00812DDE">
        <w:t xml:space="preserve">The submission requested a grandfather restriction. The Sponsor noted three patients are currently receiving bulevirtide compassionately and an intent to allow further access ahead of an anticipated PBS listing. </w:t>
      </w:r>
      <w:r>
        <w:t>The PBAC noted that a separate listing for patients t</w:t>
      </w:r>
      <w:r w:rsidRPr="00812DDE">
        <w:t>ransitioning from non-PBS to PBS-subsidised supply</w:t>
      </w:r>
      <w:r>
        <w:t xml:space="preserve"> would be required.</w:t>
      </w:r>
    </w:p>
    <w:p w14:paraId="1E738738" w14:textId="27849421" w:rsidR="00D86C8B" w:rsidRPr="00543EB7" w:rsidRDefault="00D86C8B" w:rsidP="006F50D9">
      <w:pPr>
        <w:ind w:firstLine="709"/>
      </w:pPr>
      <w:bookmarkStart w:id="16" w:name="_Hlk76375324"/>
      <w:r w:rsidRPr="00C33D30">
        <w:rPr>
          <w:i/>
        </w:rPr>
        <w:t>For more detail on PBAC’s view, see section 7 PBAC outcome.</w:t>
      </w:r>
      <w:bookmarkEnd w:id="16"/>
    </w:p>
    <w:p w14:paraId="5C79A1A9" w14:textId="77777777" w:rsidR="00EC6347" w:rsidRPr="00196231" w:rsidRDefault="00EC6347" w:rsidP="006F50D9">
      <w:pPr>
        <w:pStyle w:val="2-SectionHeading"/>
      </w:pPr>
      <w:bookmarkStart w:id="17" w:name="_Toc156984628"/>
      <w:r w:rsidRPr="00196231">
        <w:lastRenderedPageBreak/>
        <w:t>Population and disease</w:t>
      </w:r>
      <w:bookmarkEnd w:id="8"/>
      <w:bookmarkEnd w:id="17"/>
    </w:p>
    <w:p w14:paraId="413BC7E8" w14:textId="312617B3" w:rsidR="00EC6347" w:rsidRPr="00543EB7" w:rsidRDefault="00EC6347" w:rsidP="006F50D9">
      <w:pPr>
        <w:pStyle w:val="3-BodyText"/>
        <w:rPr>
          <w:color w:val="3366FF"/>
        </w:rPr>
      </w:pPr>
      <w:bookmarkStart w:id="18" w:name="_Ref162428728"/>
      <w:r w:rsidRPr="00543EB7">
        <w:t>HDV is a defective virus</w:t>
      </w:r>
      <w:r w:rsidR="003A6841" w:rsidRPr="00543EB7">
        <w:t xml:space="preserve"> in that t</w:t>
      </w:r>
      <w:r w:rsidRPr="00543EB7">
        <w:t>he hepatitis D virion comprises an RNA genome and a single HDV encoded antigen but relies on a lipoprotein envelope provided by HBV to complete virion assembly and secretion in its life cycle</w:t>
      </w:r>
      <w:r w:rsidRPr="00543EB7">
        <w:rPr>
          <w:rStyle w:val="FootnoteReference"/>
        </w:rPr>
        <w:footnoteReference w:id="4"/>
      </w:r>
      <w:r w:rsidRPr="00543EB7">
        <w:rPr>
          <w:rStyle w:val="CommentReference"/>
        </w:rPr>
        <w:t xml:space="preserve">. </w:t>
      </w:r>
      <w:r w:rsidRPr="00543EB7">
        <w:rPr>
          <w:rStyle w:val="CommentReference"/>
          <w:b w:val="0"/>
        </w:rPr>
        <w:t>C</w:t>
      </w:r>
      <w:r w:rsidRPr="00543EB7">
        <w:t>oncomitant infection of HDV and HBV can either be a coinfection (i.e., an individual is infected simultaneously with HBV and HDV), or a superinfection (i.e., a chronic HBV carrier subsequently infected with HDV). In approximately 95% of patients who have acute HDV-HBV coinfection, the infection is followed by clearance of both viruses and the disease course is usually transient and self-limited, although there is a higher risk of fulminant hepatitis and acute liver failure with acute HDV-HBV coinfection, compared with acute HBV infection alone. However, in more than 90% of the patients who are chronic HBV carrier</w:t>
      </w:r>
      <w:r w:rsidR="00A46E38" w:rsidRPr="00543EB7">
        <w:t>s</w:t>
      </w:r>
      <w:r w:rsidRPr="00543EB7">
        <w:t xml:space="preserve"> and have HDV superinfection, the infection become</w:t>
      </w:r>
      <w:r w:rsidR="18EE8429" w:rsidRPr="00543EB7">
        <w:t>s</w:t>
      </w:r>
      <w:r w:rsidRPr="00543EB7">
        <w:t xml:space="preserve"> chronic</w:t>
      </w:r>
      <w:r w:rsidRPr="00543EB7">
        <w:rPr>
          <w:rStyle w:val="FootnoteReference"/>
        </w:rPr>
        <w:footnoteReference w:id="5"/>
      </w:r>
      <w:r w:rsidRPr="00543EB7">
        <w:t xml:space="preserve">. Superinfection of HDV in chronic HBV carriers is associated with a more aggressive disease course compared with HBV mono-infection and is associated with an increased risk of development of acute hepatic failure, cirrhosis, hepatic decompensation and hepatocellular carcinoma (HCC). The 5-year mortality from </w:t>
      </w:r>
      <w:r w:rsidR="008B3F07" w:rsidRPr="00543EB7">
        <w:t>HDV/HBV</w:t>
      </w:r>
      <w:r w:rsidRPr="00543EB7">
        <w:t xml:space="preserve"> superinfection is twice that of HBV mono-infection</w:t>
      </w:r>
      <w:r w:rsidR="00042215" w:rsidRPr="00543EB7">
        <w:t xml:space="preserve">. </w:t>
      </w:r>
      <w:r w:rsidR="00B932EE" w:rsidRPr="00543EB7">
        <w:t xml:space="preserve">In Fattovich et al </w:t>
      </w:r>
      <w:r w:rsidR="00FA5868" w:rsidRPr="00543EB7">
        <w:t xml:space="preserve">(2000) </w:t>
      </w:r>
      <w:r w:rsidR="00B932EE" w:rsidRPr="00543EB7">
        <w:t>study, a</w:t>
      </w:r>
      <w:r w:rsidR="00042215" w:rsidRPr="00543EB7">
        <w:t>fter adjustment for clinical and serological differences at baseline, the estimated 5-year</w:t>
      </w:r>
      <w:r w:rsidR="008B3F07" w:rsidRPr="00543EB7">
        <w:t xml:space="preserve"> </w:t>
      </w:r>
      <w:r w:rsidR="00042215" w:rsidRPr="00543EB7">
        <w:t xml:space="preserve">survival </w:t>
      </w:r>
      <w:r w:rsidR="00E31557" w:rsidRPr="00543EB7">
        <w:t xml:space="preserve">probability </w:t>
      </w:r>
      <w:r w:rsidR="004904EF" w:rsidRPr="00543EB7">
        <w:t xml:space="preserve">in Child-Pugh Class A patients </w:t>
      </w:r>
      <w:r w:rsidR="00042215" w:rsidRPr="00543EB7">
        <w:t>was 90% and 95% for anti-HDV positive/H</w:t>
      </w:r>
      <w:r w:rsidR="003A6EC7" w:rsidRPr="00543EB7">
        <w:t>b</w:t>
      </w:r>
      <w:r w:rsidR="00042215" w:rsidRPr="00543EB7">
        <w:t>eAg negative and anti-HDV negative/H</w:t>
      </w:r>
      <w:r w:rsidR="003A6EC7" w:rsidRPr="00543EB7">
        <w:t>b</w:t>
      </w:r>
      <w:r w:rsidR="00042215" w:rsidRPr="00543EB7">
        <w:t>eAg negative, respectively</w:t>
      </w:r>
      <w:r w:rsidRPr="00543EB7">
        <w:rPr>
          <w:rStyle w:val="FootnoteReference"/>
        </w:rPr>
        <w:footnoteReference w:id="6"/>
      </w:r>
      <w:r w:rsidRPr="00543EB7">
        <w:t>.</w:t>
      </w:r>
      <w:bookmarkEnd w:id="18"/>
      <w:r w:rsidRPr="00543EB7">
        <w:t xml:space="preserve"> </w:t>
      </w:r>
    </w:p>
    <w:p w14:paraId="2D70DE42" w14:textId="2AD7E930" w:rsidR="00EC6347" w:rsidRPr="00543EB7" w:rsidRDefault="00EC6347" w:rsidP="006F50D9">
      <w:pPr>
        <w:pStyle w:val="3-BodyText"/>
        <w:rPr>
          <w:color w:val="3366FF"/>
        </w:rPr>
      </w:pPr>
      <w:r w:rsidRPr="00543EB7">
        <w:t xml:space="preserve">In Australia, CHD is predominantly prevalent in groups with risk factors, including intravenous drug users, </w:t>
      </w:r>
      <w:r w:rsidR="00812DDE">
        <w:t>men who have sex with men,</w:t>
      </w:r>
      <w:r w:rsidRPr="00543EB7">
        <w:t xml:space="preserve"> and </w:t>
      </w:r>
      <w:r w:rsidR="00812DDE">
        <w:t>people from migrant communities and backgrounds where CHB and CHD are endemic.</w:t>
      </w:r>
    </w:p>
    <w:p w14:paraId="5E0B4EAF" w14:textId="1A58F836" w:rsidR="00EC6347" w:rsidRPr="00543EB7" w:rsidRDefault="00EC6347" w:rsidP="006F50D9">
      <w:pPr>
        <w:pStyle w:val="3-BodyText"/>
        <w:rPr>
          <w:color w:val="3366FF"/>
        </w:rPr>
      </w:pPr>
      <w:r w:rsidRPr="00543EB7">
        <w:t>Currently, CHD is diagnosed by a positive serum anti-HDV antibody test. There is no TGA approved treatment specifically for CHD and the standard of care treatment for CHD includes BSC or symptom management</w:t>
      </w:r>
      <w:r w:rsidRPr="00543EB7">
        <w:rPr>
          <w:color w:val="3366FF"/>
        </w:rPr>
        <w:t xml:space="preserve"> </w:t>
      </w:r>
      <w:r w:rsidRPr="00543EB7">
        <w:t>and long-term follow up by a liver specialist. For patients whose liver disease has progressed to an advanced stage or those who have developed HCC, liver transplantation is the only treatment option.</w:t>
      </w:r>
    </w:p>
    <w:p w14:paraId="5ADADA7A" w14:textId="24337754" w:rsidR="0025243D" w:rsidRPr="00543EB7" w:rsidRDefault="00EC6347" w:rsidP="006F50D9">
      <w:pPr>
        <w:pStyle w:val="3-BodyText"/>
      </w:pPr>
      <w:r w:rsidRPr="00543EB7">
        <w:t xml:space="preserve">Bulevirtide is a lipopeptide with a structure mimicking the pre-S1 domain of the surface protein of HBV. The mechanism of action of bulevirtide involves inhibition of HBV and HDV virion entry into the hepatocytes through blocking the sodium taurocholate cotransporting polypeptide (NTCP) binding site on hepatocytes. NTCP has been found to be a starting point for hepatocyte uptake of the viruses. </w:t>
      </w:r>
      <w:r w:rsidR="0025243D" w:rsidRPr="00543EB7">
        <w:t xml:space="preserve">The PSCR noted that as a result of this mechanism of action the HDV viral load can decrease over </w:t>
      </w:r>
      <w:r w:rsidR="0025243D" w:rsidRPr="00543EB7">
        <w:lastRenderedPageBreak/>
        <w:t xml:space="preserve">a longer period of time than is expected for direct antivirals since the immune system slowly eliminates currently infected hepatocytes over time with bulevirtide effectively inhibiting new infection. Therefore, ongoing treatment with bulevirtide (similar to antivirals for CHB treatment) is required to continue inhibiting the entry of HDV into the hepatocytes, thus suppressing the virus. On rare occasions, HDV will clear the cells due to the spontaneous clearance of HBV infection (approx. 1%).  </w:t>
      </w:r>
      <w:r w:rsidRPr="00543EB7">
        <w:t xml:space="preserve">Bulevirtide is proposed to be used for treatment of patients diagnosed with CHD who have tested positive for HDV RNA detected by PCR, having compensated liver disease as well as elevated ALT level. Patients receiving bulevirtide treatment will simultaneously receive management for the underlying HBV infection as clinically appropriate. </w:t>
      </w:r>
    </w:p>
    <w:p w14:paraId="72D67F11" w14:textId="4E528E28" w:rsidR="00EC6347" w:rsidRPr="00D86C8B" w:rsidRDefault="0025243D" w:rsidP="006F50D9">
      <w:pPr>
        <w:pStyle w:val="3-BodyText"/>
      </w:pPr>
      <w:r w:rsidRPr="00543EB7">
        <w:t xml:space="preserve">The ESCs noted that bulevirtide is not </w:t>
      </w:r>
      <w:r w:rsidR="003D6538" w:rsidRPr="00543EB7">
        <w:t>a curative therapy and ongoing treatment is required to maintain viral suppression of HDV. The ESCs considered there was a possibility the availability of bulevirtide may alter clinical management of CHD in Australian practice. While acknowledging that use of PEG-IFN-</w:t>
      </w:r>
      <w:r w:rsidR="003D6538" w:rsidRPr="00543EB7">
        <w:rPr>
          <w:rFonts w:cstheme="minorHAnsi"/>
        </w:rPr>
        <w:t>α</w:t>
      </w:r>
      <w:r w:rsidR="003D6538" w:rsidRPr="00543EB7">
        <w:t xml:space="preserve"> is very limited for viral hepatitis in Australian practice and response rates are typically low, the availability of an additional viral suppressive agent has the potential to lead to changes in the management and treatment goals of CHD in the future, especially if there is the potential for achieving viral clearance. The ESC</w:t>
      </w:r>
      <w:r w:rsidR="00454F56" w:rsidRPr="00543EB7">
        <w:t>s</w:t>
      </w:r>
      <w:r w:rsidR="003D6538" w:rsidRPr="00543EB7">
        <w:t xml:space="preserve"> </w:t>
      </w:r>
      <w:r w:rsidR="008774DC" w:rsidRPr="00543EB7">
        <w:t>noted that there was a</w:t>
      </w:r>
      <w:r w:rsidR="003D6538" w:rsidRPr="00543EB7">
        <w:t xml:space="preserve"> phase 2 trial evaluating the efficacy of bulevirtide administered with PEG-INF-</w:t>
      </w:r>
      <w:r w:rsidR="003D6538" w:rsidRPr="00543EB7">
        <w:rPr>
          <w:rFonts w:cstheme="minorHAnsi"/>
        </w:rPr>
        <w:t xml:space="preserve"> α as a potential finite curative treatment strategy in patients with CHD</w:t>
      </w:r>
      <w:r w:rsidR="008774DC" w:rsidRPr="00543EB7">
        <w:rPr>
          <w:rFonts w:cstheme="minorHAnsi"/>
        </w:rPr>
        <w:t xml:space="preserve"> (MYR204), however only limited results from this trial have been published</w:t>
      </w:r>
      <w:r w:rsidR="003D6538" w:rsidRPr="00543EB7">
        <w:rPr>
          <w:rFonts w:cstheme="minorHAnsi"/>
        </w:rPr>
        <w:t>.</w:t>
      </w:r>
      <w:r w:rsidR="003D6538" w:rsidRPr="00543EB7">
        <w:t xml:space="preserve"> The ESCs noted PEG-IFN-</w:t>
      </w:r>
      <w:r w:rsidR="003D6538" w:rsidRPr="00543EB7">
        <w:rPr>
          <w:rFonts w:cstheme="minorHAnsi"/>
        </w:rPr>
        <w:t>α has unrestricted listings on the PBS (11037X, 11416W).</w:t>
      </w:r>
      <w:r w:rsidR="00D86C8B">
        <w:rPr>
          <w:rFonts w:cstheme="minorHAnsi"/>
        </w:rPr>
        <w:t xml:space="preserve"> </w:t>
      </w:r>
    </w:p>
    <w:p w14:paraId="3458DBD6" w14:textId="657593FA" w:rsidR="00D86C8B" w:rsidRPr="006F50D9" w:rsidRDefault="00D86C8B" w:rsidP="006F50D9">
      <w:pPr>
        <w:ind w:firstLine="709"/>
      </w:pPr>
      <w:r w:rsidRPr="00C33D30">
        <w:rPr>
          <w:i/>
        </w:rPr>
        <w:t>For more detail on PBAC’s view, see section 7 PBAC outcome.</w:t>
      </w:r>
    </w:p>
    <w:p w14:paraId="29D593CE" w14:textId="77777777" w:rsidR="00EC6347" w:rsidRPr="00196231" w:rsidRDefault="00EC6347" w:rsidP="006F50D9">
      <w:pPr>
        <w:pStyle w:val="2-SectionHeading"/>
      </w:pPr>
      <w:bookmarkStart w:id="19" w:name="_Toc156984629"/>
      <w:r w:rsidRPr="00196231">
        <w:t>Comparator</w:t>
      </w:r>
      <w:bookmarkEnd w:id="9"/>
      <w:bookmarkEnd w:id="19"/>
    </w:p>
    <w:p w14:paraId="01941D95" w14:textId="3C2E33CE" w:rsidR="00EC6347" w:rsidRPr="00543EB7" w:rsidRDefault="00EC6347" w:rsidP="006F50D9">
      <w:pPr>
        <w:pStyle w:val="3-BodyText"/>
      </w:pPr>
      <w:r w:rsidRPr="00543EB7">
        <w:t xml:space="preserve">The nominated comparator for the proposed HDV RNA PCR testing on the MBS is no HDV RNA PCR testing and the nominated comparator for bulevirtide on the PBS is symptomatic </w:t>
      </w:r>
      <w:r w:rsidR="00356263" w:rsidRPr="00543EB7">
        <w:t>CHD</w:t>
      </w:r>
      <w:r w:rsidRPr="00543EB7">
        <w:t xml:space="preserve"> management </w:t>
      </w:r>
      <w:r w:rsidR="00CB2D8F">
        <w:t>(</w:t>
      </w:r>
      <w:r w:rsidRPr="00543EB7">
        <w:t>or BSC</w:t>
      </w:r>
      <w:r w:rsidR="00CB2D8F">
        <w:t>)</w:t>
      </w:r>
      <w:r w:rsidRPr="00543EB7">
        <w:t xml:space="preserve">. The main argument provided in support of this nomination </w:t>
      </w:r>
      <w:r w:rsidR="00CC5F28">
        <w:t>wa</w:t>
      </w:r>
      <w:r w:rsidRPr="00543EB7">
        <w:t xml:space="preserve">s that, currently, there is no TGA approved therapy specifically for the treatment of </w:t>
      </w:r>
      <w:r w:rsidR="00356263" w:rsidRPr="00543EB7">
        <w:t>CHD</w:t>
      </w:r>
      <w:r w:rsidRPr="00543EB7">
        <w:t xml:space="preserve"> in Australia. Symptom management of </w:t>
      </w:r>
      <w:r w:rsidR="00356263" w:rsidRPr="00543EB7">
        <w:t>CHD</w:t>
      </w:r>
      <w:r w:rsidRPr="00543EB7">
        <w:t xml:space="preserve"> and long-term follow up by a liver specialist is current standard of care in Australia for CHD patients with </w:t>
      </w:r>
      <w:r w:rsidR="00641486" w:rsidRPr="00543EB7">
        <w:t xml:space="preserve">compensated </w:t>
      </w:r>
      <w:r w:rsidRPr="00543EB7">
        <w:t xml:space="preserve">liver </w:t>
      </w:r>
      <w:r w:rsidR="00641486" w:rsidRPr="00543EB7">
        <w:t>disease</w:t>
      </w:r>
      <w:r w:rsidRPr="00543EB7">
        <w:t xml:space="preserve">.  </w:t>
      </w:r>
    </w:p>
    <w:p w14:paraId="2A3F8524" w14:textId="7C2C8A0A" w:rsidR="00EC6347" w:rsidRPr="00543EB7" w:rsidRDefault="00EC6347" w:rsidP="006F50D9">
      <w:pPr>
        <w:pStyle w:val="3-BodyText"/>
        <w:rPr>
          <w:color w:val="3366FF"/>
        </w:rPr>
      </w:pPr>
      <w:bookmarkStart w:id="20" w:name="_Ref162430360"/>
      <w:r w:rsidRPr="00543EB7">
        <w:t>Pegylated interferons (PEG-IFNs) have been used as an off-label treatment for CHD in Australia, but CHD is not a TGA-approved indication for PEG-IFNs. The virologic response of CHD patients to PEG-INFs treatment is around 30%</w:t>
      </w:r>
      <w:r w:rsidRPr="00543EB7">
        <w:rPr>
          <w:rStyle w:val="FootnoteReference"/>
        </w:rPr>
        <w:footnoteReference w:id="7"/>
      </w:r>
      <w:r w:rsidRPr="00543EB7">
        <w:t xml:space="preserve">. PEG-IFN is associated with an unfavourable adverse event (AE) profile and recurrence of the disease after treatment ceases. In addition, PEG-IFNs are contraindicated in many HDV patients including those with advanced cirrhosis, psychiatric conditions and autoimmune diseases. All the above reasons prevent PEG-INFs from being widely used for CHD </w:t>
      </w:r>
      <w:r w:rsidRPr="00543EB7">
        <w:lastRenderedPageBreak/>
        <w:t xml:space="preserve">treatment. </w:t>
      </w:r>
      <w:r w:rsidR="00446449" w:rsidRPr="00543EB7">
        <w:t>The ESCs noted that the UK National Institute for Health and Care Excellence (NICE) recommendation is for bulevirtide treatment to be an option where a patient’s hepatitis has not responded to PEG-INF or they cannot have PEG-INF based therapy</w:t>
      </w:r>
      <w:r w:rsidR="00446449" w:rsidRPr="00543EB7">
        <w:rPr>
          <w:rStyle w:val="FootnoteReference"/>
        </w:rPr>
        <w:footnoteReference w:id="8"/>
      </w:r>
      <w:r w:rsidR="00446449" w:rsidRPr="00543EB7">
        <w:t xml:space="preserve">. However, the ESCs considered that PEG-INF is used less frequently in Australian practice </w:t>
      </w:r>
      <w:r w:rsidR="00DA0703" w:rsidRPr="00543EB7">
        <w:t>and it would not be appropriate to require use of PEG-INF prior to bulevirtide.</w:t>
      </w:r>
      <w:bookmarkEnd w:id="20"/>
    </w:p>
    <w:p w14:paraId="61E38FC4" w14:textId="566DD5F3" w:rsidR="00EC6347" w:rsidRDefault="00EC6347" w:rsidP="006F50D9">
      <w:pPr>
        <w:pStyle w:val="3-BodyText"/>
      </w:pPr>
      <w:r w:rsidRPr="00543EB7">
        <w:t>Overall,</w:t>
      </w:r>
      <w:r w:rsidR="003737C9">
        <w:t xml:space="preserve"> the evaluation and ESCs considered</w:t>
      </w:r>
      <w:r w:rsidRPr="00543EB7">
        <w:t xml:space="preserve"> symptom management of chronic HDV is the appropriate comparator. In addition, PEG-INF may be replaced by bulevirtide</w:t>
      </w:r>
      <w:r w:rsidR="00CC5F28">
        <w:t xml:space="preserve"> (</w:t>
      </w:r>
      <w:r w:rsidRPr="00543EB7">
        <w:t>if listed</w:t>
      </w:r>
      <w:r w:rsidR="00CC5F28">
        <w:t>)</w:t>
      </w:r>
      <w:r w:rsidRPr="00543EB7">
        <w:t xml:space="preserve"> in </w:t>
      </w:r>
      <w:r w:rsidR="00356263" w:rsidRPr="00543EB7">
        <w:t>some</w:t>
      </w:r>
      <w:r w:rsidRPr="00543EB7">
        <w:t xml:space="preserve"> patients with </w:t>
      </w:r>
      <w:r w:rsidR="00356263" w:rsidRPr="00543EB7">
        <w:t>CHD</w:t>
      </w:r>
      <w:r w:rsidRPr="00543EB7">
        <w:t xml:space="preserve">, and, thus, could be considered as a relevant comparator. </w:t>
      </w:r>
      <w:r w:rsidR="005E0A3C" w:rsidRPr="00543EB7">
        <w:t xml:space="preserve">However, as noted above, PEG-INF may also be used </w:t>
      </w:r>
      <w:r w:rsidR="009546EE" w:rsidRPr="00543EB7">
        <w:t xml:space="preserve">prior to or </w:t>
      </w:r>
      <w:r w:rsidR="005E0A3C" w:rsidRPr="00543EB7">
        <w:t>in combination with bulevirtide.</w:t>
      </w:r>
      <w:r w:rsidR="00D86C8B">
        <w:t xml:space="preserve"> </w:t>
      </w:r>
    </w:p>
    <w:p w14:paraId="7524A0EF" w14:textId="6ABABC14" w:rsidR="00D86C8B" w:rsidRPr="00543EB7" w:rsidRDefault="00D86C8B" w:rsidP="006F50D9">
      <w:pPr>
        <w:ind w:firstLine="709"/>
      </w:pPr>
      <w:r w:rsidRPr="00C33D30">
        <w:rPr>
          <w:i/>
        </w:rPr>
        <w:t>For more detail on PBAC’s view, see section 7 PBAC outcome.</w:t>
      </w:r>
    </w:p>
    <w:p w14:paraId="720F47CD" w14:textId="77777777" w:rsidR="00EC6347" w:rsidRPr="00196231" w:rsidRDefault="00EC6347" w:rsidP="006F50D9">
      <w:pPr>
        <w:pStyle w:val="2-SectionHeading"/>
      </w:pPr>
      <w:bookmarkStart w:id="21" w:name="_Toc156984630"/>
      <w:r w:rsidRPr="00196231">
        <w:t>Consideration of the evidence</w:t>
      </w:r>
      <w:bookmarkEnd w:id="21"/>
    </w:p>
    <w:p w14:paraId="01F25722" w14:textId="77777777" w:rsidR="00D86C8B" w:rsidRPr="00D86C8B" w:rsidRDefault="00D86C8B" w:rsidP="006F50D9">
      <w:pPr>
        <w:pStyle w:val="4-SubsectionHeading"/>
        <w:rPr>
          <w:lang w:eastAsia="en-AU"/>
        </w:rPr>
      </w:pPr>
      <w:bookmarkStart w:id="22" w:name="_Hlk76375935"/>
      <w:bookmarkStart w:id="23" w:name="_Toc156984631"/>
      <w:r w:rsidRPr="00D86C8B">
        <w:rPr>
          <w:lang w:eastAsia="en-AU"/>
        </w:rPr>
        <w:t>Sponsor hearing</w:t>
      </w:r>
    </w:p>
    <w:p w14:paraId="6F1B86A1" w14:textId="1D8E52AE" w:rsidR="00D86C8B" w:rsidRPr="004B4BA4" w:rsidRDefault="00D86C8B" w:rsidP="006F50D9">
      <w:pPr>
        <w:pStyle w:val="3-BodyText"/>
      </w:pPr>
      <w:r w:rsidRPr="004B4BA4">
        <w:t>There was no hearing for this item.</w:t>
      </w:r>
    </w:p>
    <w:p w14:paraId="7E53A311" w14:textId="77777777" w:rsidR="00D86C8B" w:rsidRPr="00D86C8B" w:rsidRDefault="00D86C8B" w:rsidP="006F50D9">
      <w:pPr>
        <w:pStyle w:val="4-SubsectionHeading"/>
        <w:rPr>
          <w:lang w:eastAsia="en-AU"/>
        </w:rPr>
      </w:pPr>
      <w:r w:rsidRPr="00D86C8B">
        <w:rPr>
          <w:lang w:eastAsia="en-AU"/>
        </w:rPr>
        <w:t>Consumer comments</w:t>
      </w:r>
    </w:p>
    <w:p w14:paraId="69A3CB8B" w14:textId="2B18EFBA" w:rsidR="00D86C8B" w:rsidRPr="00FE1E87" w:rsidRDefault="00D86C8B" w:rsidP="006F50D9">
      <w:pPr>
        <w:pStyle w:val="3-BodyText"/>
      </w:pPr>
      <w:bookmarkStart w:id="24" w:name="_Hlk76382618"/>
      <w:r w:rsidRPr="00FE1E87">
        <w:t>The PBAC noted and welcomed the input from health care professionals (</w:t>
      </w:r>
      <w:r w:rsidR="00FE1E87">
        <w:t>6</w:t>
      </w:r>
      <w:r w:rsidRPr="00FE1E87">
        <w:t>) and organisations (</w:t>
      </w:r>
      <w:r w:rsidR="00FE1E87">
        <w:t>2</w:t>
      </w:r>
      <w:r w:rsidRPr="00FE1E87">
        <w:t xml:space="preserve">) via the Consumer Comments facility on the PBS website. The comments </w:t>
      </w:r>
      <w:r w:rsidR="00FE1E87">
        <w:t xml:space="preserve">from health care professionals described bulevirtide as </w:t>
      </w:r>
      <w:r w:rsidR="00A9154C">
        <w:t>an</w:t>
      </w:r>
      <w:r w:rsidR="00FE1E87">
        <w:t xml:space="preserve"> effective treatment for CHD which may have long term benefits such as preventing decompensated disease</w:t>
      </w:r>
      <w:r w:rsidR="004A5562">
        <w:t xml:space="preserve">, which is associated with reduced risk of liver fibrosis, hepatocellular carcinoma and need for liver transplant. The comments also described the favourable, albeit short-term, data supporting the safety of bulevirtide, </w:t>
      </w:r>
      <w:r w:rsidR="00CB4956">
        <w:t>and the limitations of P</w:t>
      </w:r>
      <w:r w:rsidR="00E6607E">
        <w:t>eg IFN treatment</w:t>
      </w:r>
      <w:r w:rsidR="00CB4956">
        <w:t xml:space="preserve">. </w:t>
      </w:r>
      <w:r w:rsidR="00E6607E">
        <w:t>Health care professionals</w:t>
      </w:r>
      <w:r w:rsidR="004A5562">
        <w:t xml:space="preserve"> noted the requirement for daily injections will be inconvenient for patients.</w:t>
      </w:r>
    </w:p>
    <w:p w14:paraId="4BC483D0" w14:textId="0051AA9D" w:rsidR="00D86C8B" w:rsidRPr="00FE1E87" w:rsidRDefault="004A5562" w:rsidP="006F50D9">
      <w:pPr>
        <w:pStyle w:val="3-BodyText"/>
      </w:pPr>
      <w:r>
        <w:t>The PBAC noted the comments from the organisations Hepatitis Australia and LiverWELL described CHD as more aggressive than CHB leading to more rapid progression of liver disease</w:t>
      </w:r>
      <w:r w:rsidR="00E6607E">
        <w:t xml:space="preserve"> than HBV alone,</w:t>
      </w:r>
      <w:r>
        <w:t xml:space="preserve"> and the need for effective treatment options such as bulevirtide. The comments from Hepatitis Australia also noted Peg IFN-</w:t>
      </w:r>
      <w:r>
        <w:rPr>
          <w:rFonts w:cstheme="minorHAnsi"/>
        </w:rPr>
        <w:t>α</w:t>
      </w:r>
      <w:r>
        <w:t xml:space="preserve"> has shown some efficacy but the proportion of patients achieving a sustained virologic response was low. The PBAC also noted the comments from consumer organisation</w:t>
      </w:r>
      <w:r w:rsidR="00E6607E">
        <w:t xml:space="preserve">, LiverWELL, </w:t>
      </w:r>
      <w:r>
        <w:t xml:space="preserve"> highlighted that in the Victorian community, prevalence of CHB and CHD is strongly linked to areas of disadvantage, and these conditions disproportionately affect migrant refugee and communities from regions</w:t>
      </w:r>
      <w:r w:rsidR="001364CD">
        <w:t xml:space="preserve"> where HDV is endemic</w:t>
      </w:r>
      <w:r>
        <w:t>.</w:t>
      </w:r>
    </w:p>
    <w:bookmarkEnd w:id="22"/>
    <w:bookmarkEnd w:id="24"/>
    <w:p w14:paraId="4F4273B7" w14:textId="77777777" w:rsidR="00EC6347" w:rsidRPr="00543EB7" w:rsidRDefault="00EC6347" w:rsidP="006F50D9">
      <w:pPr>
        <w:pStyle w:val="4-SubsectionHeading"/>
      </w:pPr>
      <w:r w:rsidRPr="00543EB7">
        <w:lastRenderedPageBreak/>
        <w:t>Overview of the evidence base</w:t>
      </w:r>
      <w:bookmarkEnd w:id="23"/>
    </w:p>
    <w:p w14:paraId="435E1137" w14:textId="2E81A4DB" w:rsidR="00EC6347" w:rsidRPr="006F50D9" w:rsidRDefault="00EC6347" w:rsidP="00EC6347">
      <w:pPr>
        <w:pStyle w:val="ListParagraph"/>
        <w:numPr>
          <w:ilvl w:val="4"/>
          <w:numId w:val="1"/>
        </w:numPr>
        <w:rPr>
          <w:rStyle w:val="3-BodyTextChar"/>
        </w:rPr>
      </w:pPr>
      <w:bookmarkStart w:id="25" w:name="_Ref490140772"/>
      <w:r w:rsidRPr="006F50D9">
        <w:rPr>
          <w:rStyle w:val="3-BodyTextChar"/>
        </w:rPr>
        <w:t>The approach taken in the submission is to present evidence that has been linked to support the contention that targeting HDV RNA with bulevirtide will result in improved clinical outcomes compared with no HDV RNA testing and BSC (</w:t>
      </w:r>
      <w:r w:rsidRPr="006F50D9">
        <w:rPr>
          <w:rStyle w:val="3-BodyTextChar"/>
        </w:rPr>
        <w:fldChar w:fldCharType="begin" w:fldLock="1"/>
      </w:r>
      <w:r w:rsidRPr="006F50D9">
        <w:rPr>
          <w:rStyle w:val="3-BodyTextChar"/>
        </w:rPr>
        <w:instrText xml:space="preserve"> REF _Ref153198432 \h  \* MERGEFORMAT </w:instrText>
      </w:r>
      <w:r w:rsidRPr="006F50D9">
        <w:rPr>
          <w:rStyle w:val="3-BodyTextChar"/>
        </w:rPr>
      </w:r>
      <w:r w:rsidRPr="006F50D9">
        <w:rPr>
          <w:rStyle w:val="3-BodyTextChar"/>
        </w:rPr>
        <w:fldChar w:fldCharType="separate"/>
      </w:r>
      <w:r w:rsidR="00B02BFE" w:rsidRPr="006F50D9">
        <w:rPr>
          <w:rStyle w:val="3-BodyTextChar"/>
        </w:rPr>
        <w:t>Table 2</w:t>
      </w:r>
      <w:r w:rsidRPr="006F50D9">
        <w:rPr>
          <w:rStyle w:val="3-BodyTextChar"/>
        </w:rPr>
        <w:fldChar w:fldCharType="end"/>
      </w:r>
      <w:r w:rsidRPr="006F50D9">
        <w:rPr>
          <w:rStyle w:val="3-BodyTextChar"/>
        </w:rPr>
        <w:t xml:space="preserve">). </w:t>
      </w:r>
    </w:p>
    <w:p w14:paraId="0AC74DBD" w14:textId="716E1932" w:rsidR="00EC6347" w:rsidRPr="00196231" w:rsidRDefault="00EC6347" w:rsidP="00CE1824">
      <w:pPr>
        <w:pStyle w:val="Caption"/>
      </w:pPr>
      <w:bookmarkStart w:id="26" w:name="_Ref153198432"/>
      <w:r w:rsidRPr="00196231">
        <w:t xml:space="preserve">Table </w:t>
      </w:r>
      <w:r>
        <w:fldChar w:fldCharType="begin" w:fldLock="1"/>
      </w:r>
      <w:r>
        <w:instrText>SEQ Table_PBAC. \* ARABIC</w:instrText>
      </w:r>
      <w:r>
        <w:fldChar w:fldCharType="separate"/>
      </w:r>
      <w:r w:rsidR="00B02BFE">
        <w:rPr>
          <w:noProof/>
        </w:rPr>
        <w:t>2</w:t>
      </w:r>
      <w:r>
        <w:fldChar w:fldCharType="end"/>
      </w:r>
      <w:bookmarkEnd w:id="25"/>
      <w:bookmarkEnd w:id="26"/>
      <w:r w:rsidR="00EE6991">
        <w:t xml:space="preserve">: </w:t>
      </w:r>
      <w:r w:rsidRPr="00196231">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the linked evidence approach"/>
      </w:tblPr>
      <w:tblGrid>
        <w:gridCol w:w="1697"/>
        <w:gridCol w:w="2694"/>
        <w:gridCol w:w="1700"/>
        <w:gridCol w:w="1560"/>
        <w:gridCol w:w="1365"/>
      </w:tblGrid>
      <w:tr w:rsidR="00EC6347" w:rsidRPr="006F50D9" w14:paraId="70F2B322" w14:textId="77777777" w:rsidTr="00CE1824">
        <w:trPr>
          <w:tblHeader/>
        </w:trPr>
        <w:tc>
          <w:tcPr>
            <w:tcW w:w="941" w:type="pct"/>
            <w:tcBorders>
              <w:top w:val="single" w:sz="4" w:space="0" w:color="auto"/>
              <w:left w:val="single" w:sz="4" w:space="0" w:color="auto"/>
              <w:bottom w:val="single" w:sz="4" w:space="0" w:color="auto"/>
              <w:right w:val="single" w:sz="4" w:space="0" w:color="auto"/>
            </w:tcBorders>
            <w:vAlign w:val="bottom"/>
          </w:tcPr>
          <w:p w14:paraId="1AFE0E93" w14:textId="77777777" w:rsidR="00EC6347" w:rsidRPr="006F50D9" w:rsidRDefault="00EC6347" w:rsidP="00CE1824">
            <w:pPr>
              <w:pStyle w:val="TableText"/>
              <w:keepNext/>
              <w:rPr>
                <w:b/>
                <w:szCs w:val="20"/>
              </w:rPr>
            </w:pPr>
            <w:r w:rsidRPr="006F50D9">
              <w:rPr>
                <w:b/>
                <w:szCs w:val="20"/>
              </w:rPr>
              <w:t>Criterion</w:t>
            </w:r>
          </w:p>
        </w:tc>
        <w:tc>
          <w:tcPr>
            <w:tcW w:w="1494" w:type="pct"/>
            <w:tcBorders>
              <w:top w:val="single" w:sz="4" w:space="0" w:color="auto"/>
              <w:left w:val="single" w:sz="4" w:space="0" w:color="auto"/>
              <w:bottom w:val="single" w:sz="4" w:space="0" w:color="auto"/>
              <w:right w:val="single" w:sz="4" w:space="0" w:color="auto"/>
            </w:tcBorders>
            <w:vAlign w:val="bottom"/>
            <w:hideMark/>
          </w:tcPr>
          <w:p w14:paraId="1F81D8BF" w14:textId="77777777" w:rsidR="00EC6347" w:rsidRPr="006F50D9" w:rsidRDefault="00EC6347" w:rsidP="00CE1824">
            <w:pPr>
              <w:pStyle w:val="TableText"/>
              <w:keepNext/>
              <w:rPr>
                <w:b/>
                <w:szCs w:val="20"/>
              </w:rPr>
            </w:pPr>
            <w:r w:rsidRPr="006F50D9">
              <w:rPr>
                <w:b/>
                <w:szCs w:val="20"/>
              </w:rPr>
              <w:t>Type of evidence supplied</w:t>
            </w:r>
          </w:p>
        </w:tc>
        <w:tc>
          <w:tcPr>
            <w:tcW w:w="943" w:type="pct"/>
            <w:tcBorders>
              <w:top w:val="single" w:sz="4" w:space="0" w:color="auto"/>
              <w:left w:val="single" w:sz="4" w:space="0" w:color="auto"/>
              <w:bottom w:val="single" w:sz="4" w:space="0" w:color="auto"/>
              <w:right w:val="single" w:sz="4" w:space="0" w:color="auto"/>
            </w:tcBorders>
            <w:vAlign w:val="bottom"/>
            <w:hideMark/>
          </w:tcPr>
          <w:p w14:paraId="5364EBD4" w14:textId="77777777" w:rsidR="00EC6347" w:rsidRPr="006F50D9" w:rsidRDefault="00EC6347" w:rsidP="00CE1824">
            <w:pPr>
              <w:pStyle w:val="TableText"/>
              <w:keepNext/>
              <w:rPr>
                <w:b/>
                <w:szCs w:val="20"/>
              </w:rPr>
            </w:pPr>
            <w:r w:rsidRPr="006F50D9">
              <w:rPr>
                <w:b/>
                <w:szCs w:val="20"/>
              </w:rPr>
              <w:t>Extent of evidence supplied</w:t>
            </w:r>
          </w:p>
        </w:tc>
        <w:tc>
          <w:tcPr>
            <w:tcW w:w="865" w:type="pct"/>
            <w:tcBorders>
              <w:top w:val="single" w:sz="4" w:space="0" w:color="auto"/>
              <w:left w:val="single" w:sz="4" w:space="0" w:color="auto"/>
              <w:bottom w:val="single" w:sz="4" w:space="0" w:color="auto"/>
              <w:right w:val="single" w:sz="4" w:space="0" w:color="auto"/>
            </w:tcBorders>
            <w:vAlign w:val="bottom"/>
            <w:hideMark/>
          </w:tcPr>
          <w:p w14:paraId="61B8190D" w14:textId="77777777" w:rsidR="00EC6347" w:rsidRPr="006F50D9" w:rsidRDefault="00EC6347" w:rsidP="00CE1824">
            <w:pPr>
              <w:pStyle w:val="TableText"/>
              <w:keepNext/>
              <w:rPr>
                <w:b/>
                <w:szCs w:val="20"/>
              </w:rPr>
            </w:pPr>
            <w:r w:rsidRPr="006F50D9">
              <w:rPr>
                <w:b/>
                <w:szCs w:val="20"/>
              </w:rPr>
              <w:t>Overall risk of bias in evidence base</w:t>
            </w:r>
          </w:p>
        </w:tc>
        <w:tc>
          <w:tcPr>
            <w:tcW w:w="757" w:type="pct"/>
            <w:tcBorders>
              <w:top w:val="single" w:sz="4" w:space="0" w:color="auto"/>
              <w:left w:val="single" w:sz="4" w:space="0" w:color="auto"/>
              <w:bottom w:val="single" w:sz="4" w:space="0" w:color="auto"/>
              <w:right w:val="single" w:sz="4" w:space="0" w:color="auto"/>
            </w:tcBorders>
          </w:tcPr>
          <w:p w14:paraId="6EA5FD48" w14:textId="77777777" w:rsidR="00EC6347" w:rsidRPr="006F50D9" w:rsidRDefault="00EC6347" w:rsidP="00CE1824">
            <w:pPr>
              <w:pStyle w:val="TableText"/>
              <w:keepNext/>
              <w:rPr>
                <w:b/>
                <w:szCs w:val="20"/>
              </w:rPr>
            </w:pPr>
            <w:r w:rsidRPr="006F50D9">
              <w:rPr>
                <w:b/>
                <w:szCs w:val="20"/>
              </w:rPr>
              <w:t>Used in modelled evaluation</w:t>
            </w:r>
          </w:p>
        </w:tc>
      </w:tr>
      <w:tr w:rsidR="00EC6347" w:rsidRPr="006F50D9" w14:paraId="796FE322" w14:textId="77777777" w:rsidTr="00CE1824">
        <w:tc>
          <w:tcPr>
            <w:tcW w:w="941" w:type="pct"/>
            <w:tcBorders>
              <w:top w:val="single" w:sz="4" w:space="0" w:color="auto"/>
              <w:left w:val="single" w:sz="4" w:space="0" w:color="auto"/>
              <w:bottom w:val="single" w:sz="4" w:space="0" w:color="auto"/>
              <w:right w:val="single" w:sz="4" w:space="0" w:color="auto"/>
            </w:tcBorders>
            <w:hideMark/>
          </w:tcPr>
          <w:p w14:paraId="29CF027C" w14:textId="77777777" w:rsidR="00EC6347" w:rsidRPr="006F50D9" w:rsidRDefault="00EC6347" w:rsidP="00CE1824">
            <w:pPr>
              <w:pStyle w:val="TableText"/>
              <w:keepNext/>
              <w:rPr>
                <w:szCs w:val="20"/>
              </w:rPr>
            </w:pPr>
            <w:r w:rsidRPr="006F50D9">
              <w:rPr>
                <w:szCs w:val="20"/>
              </w:rPr>
              <w:t>Accuracy and performance of the test (cross-sectional accuracy)</w:t>
            </w:r>
          </w:p>
        </w:tc>
        <w:tc>
          <w:tcPr>
            <w:tcW w:w="1494" w:type="pct"/>
            <w:tcBorders>
              <w:top w:val="single" w:sz="4" w:space="0" w:color="auto"/>
              <w:left w:val="single" w:sz="4" w:space="0" w:color="auto"/>
              <w:bottom w:val="single" w:sz="4" w:space="0" w:color="auto"/>
              <w:right w:val="single" w:sz="4" w:space="0" w:color="auto"/>
            </w:tcBorders>
            <w:hideMark/>
          </w:tcPr>
          <w:p w14:paraId="059F0E84" w14:textId="77777777" w:rsidR="00EC6347" w:rsidRPr="006F50D9" w:rsidRDefault="00EC6347" w:rsidP="00CE1824">
            <w:pPr>
              <w:pStyle w:val="TableText"/>
              <w:keepNext/>
              <w:rPr>
                <w:color w:val="3366FF"/>
                <w:szCs w:val="20"/>
              </w:rPr>
            </w:pPr>
            <w:r w:rsidRPr="006F50D9">
              <w:rPr>
                <w:szCs w:val="20"/>
              </w:rPr>
              <w:t>Concordance with clinical utility standard.</w:t>
            </w:r>
          </w:p>
        </w:tc>
        <w:tc>
          <w:tcPr>
            <w:tcW w:w="943" w:type="pct"/>
            <w:tcBorders>
              <w:top w:val="single" w:sz="4" w:space="0" w:color="auto"/>
              <w:left w:val="single" w:sz="4" w:space="0" w:color="auto"/>
              <w:bottom w:val="single" w:sz="4" w:space="0" w:color="auto"/>
              <w:right w:val="single" w:sz="4" w:space="0" w:color="auto"/>
            </w:tcBorders>
            <w:hideMark/>
          </w:tcPr>
          <w:p w14:paraId="41FC8BA9" w14:textId="2A55B9EF" w:rsidR="00EC6347" w:rsidRPr="006F50D9" w:rsidRDefault="00EC6347" w:rsidP="00CE1824">
            <w:pPr>
              <w:pStyle w:val="TableText"/>
              <w:keepNext/>
              <w:ind w:left="463" w:hanging="482"/>
              <w:rPr>
                <w:szCs w:val="20"/>
              </w:rPr>
            </w:pPr>
            <w:r w:rsidRPr="006F50D9">
              <w:rPr>
                <w:rFonts w:ascii="Segoe UI Symbol" w:eastAsia="MS Gothic" w:hAnsi="Segoe UI Symbol" w:cs="Segoe UI Symbol"/>
                <w:szCs w:val="20"/>
              </w:rPr>
              <w:t>☒</w:t>
            </w:r>
            <w:r w:rsidRPr="006F50D9">
              <w:rPr>
                <w:szCs w:val="20"/>
              </w:rPr>
              <w:tab/>
              <w:t xml:space="preserve">k=1 concordance study </w:t>
            </w:r>
            <w:r w:rsidR="00CE1824">
              <w:rPr>
                <w:szCs w:val="20"/>
              </w:rPr>
              <w:br/>
            </w:r>
            <w:r w:rsidRPr="006F50D9">
              <w:rPr>
                <w:szCs w:val="20"/>
              </w:rPr>
              <w:t>n=35</w:t>
            </w:r>
          </w:p>
        </w:tc>
        <w:tc>
          <w:tcPr>
            <w:tcW w:w="865" w:type="pct"/>
            <w:tcBorders>
              <w:top w:val="single" w:sz="4" w:space="0" w:color="auto"/>
              <w:left w:val="single" w:sz="4" w:space="0" w:color="auto"/>
              <w:bottom w:val="single" w:sz="4" w:space="0" w:color="auto"/>
              <w:right w:val="single" w:sz="4" w:space="0" w:color="auto"/>
            </w:tcBorders>
            <w:hideMark/>
          </w:tcPr>
          <w:p w14:paraId="1086A498" w14:textId="77777777" w:rsidR="00EC6347" w:rsidRPr="006F50D9" w:rsidRDefault="00EC6347" w:rsidP="00CE1824">
            <w:pPr>
              <w:pStyle w:val="TableText"/>
              <w:keepNext/>
              <w:rPr>
                <w:color w:val="3366FF"/>
                <w:szCs w:val="20"/>
              </w:rPr>
            </w:pPr>
            <w:r w:rsidRPr="006F50D9">
              <w:rPr>
                <w:szCs w:val="20"/>
              </w:rPr>
              <w:t>High</w:t>
            </w:r>
          </w:p>
        </w:tc>
        <w:tc>
          <w:tcPr>
            <w:tcW w:w="757" w:type="pct"/>
            <w:tcBorders>
              <w:top w:val="single" w:sz="4" w:space="0" w:color="auto"/>
              <w:left w:val="single" w:sz="4" w:space="0" w:color="auto"/>
              <w:bottom w:val="single" w:sz="4" w:space="0" w:color="auto"/>
              <w:right w:val="single" w:sz="4" w:space="0" w:color="auto"/>
            </w:tcBorders>
          </w:tcPr>
          <w:p w14:paraId="186518AA" w14:textId="77777777" w:rsidR="00EC6347" w:rsidRPr="006F50D9" w:rsidRDefault="00EC6347" w:rsidP="00CE1824">
            <w:pPr>
              <w:pStyle w:val="TableText"/>
              <w:keepNext/>
              <w:rPr>
                <w:szCs w:val="20"/>
              </w:rPr>
            </w:pPr>
            <w:r w:rsidRPr="006F50D9">
              <w:rPr>
                <w:szCs w:val="20"/>
              </w:rPr>
              <w:t>No</w:t>
            </w:r>
          </w:p>
        </w:tc>
      </w:tr>
      <w:tr w:rsidR="00EC6347" w:rsidRPr="006F50D9" w14:paraId="4DB6A94D" w14:textId="77777777" w:rsidTr="00CE1824">
        <w:tc>
          <w:tcPr>
            <w:tcW w:w="941" w:type="pct"/>
            <w:vMerge w:val="restart"/>
            <w:tcBorders>
              <w:top w:val="single" w:sz="4" w:space="0" w:color="auto"/>
              <w:left w:val="single" w:sz="4" w:space="0" w:color="auto"/>
              <w:right w:val="single" w:sz="4" w:space="0" w:color="auto"/>
            </w:tcBorders>
            <w:hideMark/>
          </w:tcPr>
          <w:p w14:paraId="54698417" w14:textId="77777777" w:rsidR="00EC6347" w:rsidRPr="006F50D9" w:rsidRDefault="00EC6347" w:rsidP="00CE1824">
            <w:pPr>
              <w:pStyle w:val="TableText"/>
              <w:keepNext/>
              <w:rPr>
                <w:szCs w:val="20"/>
              </w:rPr>
            </w:pPr>
            <w:r w:rsidRPr="006F50D9">
              <w:rPr>
                <w:szCs w:val="20"/>
              </w:rPr>
              <w:t>Prognostic evidence (longitudinal accuracy)</w:t>
            </w:r>
          </w:p>
        </w:tc>
        <w:tc>
          <w:tcPr>
            <w:tcW w:w="1494" w:type="pct"/>
            <w:tcBorders>
              <w:top w:val="single" w:sz="4" w:space="0" w:color="auto"/>
              <w:left w:val="single" w:sz="4" w:space="0" w:color="auto"/>
              <w:bottom w:val="single" w:sz="4" w:space="0" w:color="auto"/>
              <w:right w:val="single" w:sz="4" w:space="0" w:color="auto"/>
            </w:tcBorders>
            <w:hideMark/>
          </w:tcPr>
          <w:p w14:paraId="6EFD4031" w14:textId="77777777" w:rsidR="00EC6347" w:rsidRPr="006F50D9" w:rsidRDefault="00EC6347" w:rsidP="00CE1824">
            <w:pPr>
              <w:pStyle w:val="TableText"/>
              <w:keepNext/>
              <w:rPr>
                <w:color w:val="3366FF"/>
                <w:szCs w:val="20"/>
              </w:rPr>
            </w:pPr>
            <w:r w:rsidRPr="006F50D9">
              <w:rPr>
                <w:szCs w:val="20"/>
              </w:rPr>
              <w:t>Comparison of outcomes in patients receiving usual care, conditioned on the presence or absence of HDV RNA at baseline</w:t>
            </w:r>
          </w:p>
        </w:tc>
        <w:tc>
          <w:tcPr>
            <w:tcW w:w="943" w:type="pct"/>
            <w:tcBorders>
              <w:top w:val="single" w:sz="4" w:space="0" w:color="auto"/>
              <w:left w:val="single" w:sz="4" w:space="0" w:color="auto"/>
              <w:bottom w:val="single" w:sz="4" w:space="0" w:color="auto"/>
              <w:right w:val="single" w:sz="4" w:space="0" w:color="auto"/>
            </w:tcBorders>
            <w:hideMark/>
          </w:tcPr>
          <w:p w14:paraId="04948FD7" w14:textId="16C414B5" w:rsidR="00EC6347" w:rsidRPr="006F50D9" w:rsidRDefault="00EC6347" w:rsidP="00CE1824">
            <w:pPr>
              <w:pStyle w:val="TableText"/>
              <w:keepNext/>
              <w:ind w:left="463" w:hanging="482"/>
              <w:rPr>
                <w:szCs w:val="20"/>
              </w:rPr>
            </w:pPr>
            <w:r w:rsidRPr="006F50D9">
              <w:rPr>
                <w:rFonts w:ascii="Segoe UI Symbol" w:eastAsia="MS Gothic" w:hAnsi="Segoe UI Symbol" w:cs="Segoe UI Symbol"/>
                <w:szCs w:val="20"/>
              </w:rPr>
              <w:t>☒</w:t>
            </w:r>
            <w:r w:rsidRPr="006F50D9">
              <w:rPr>
                <w:szCs w:val="20"/>
              </w:rPr>
              <w:tab/>
              <w:t>k=5 retrospective cohorts</w:t>
            </w:r>
            <w:r w:rsidR="00CE1824">
              <w:rPr>
                <w:szCs w:val="20"/>
              </w:rPr>
              <w:br/>
            </w:r>
            <w:r w:rsidRPr="006F50D9">
              <w:rPr>
                <w:szCs w:val="20"/>
              </w:rPr>
              <w:t>n=1896</w:t>
            </w:r>
          </w:p>
        </w:tc>
        <w:tc>
          <w:tcPr>
            <w:tcW w:w="865" w:type="pct"/>
            <w:tcBorders>
              <w:top w:val="single" w:sz="4" w:space="0" w:color="auto"/>
              <w:left w:val="single" w:sz="4" w:space="0" w:color="auto"/>
              <w:bottom w:val="single" w:sz="4" w:space="0" w:color="auto"/>
              <w:right w:val="single" w:sz="4" w:space="0" w:color="auto"/>
            </w:tcBorders>
            <w:hideMark/>
          </w:tcPr>
          <w:p w14:paraId="525EDE48" w14:textId="77777777" w:rsidR="00EC6347" w:rsidRPr="006F50D9" w:rsidRDefault="00EC6347" w:rsidP="00CE1824">
            <w:pPr>
              <w:pStyle w:val="TableText"/>
              <w:keepNext/>
              <w:rPr>
                <w:color w:val="3366FF"/>
                <w:szCs w:val="20"/>
              </w:rPr>
            </w:pPr>
            <w:r w:rsidRPr="006F50D9">
              <w:rPr>
                <w:szCs w:val="20"/>
              </w:rPr>
              <w:t>High</w:t>
            </w:r>
          </w:p>
        </w:tc>
        <w:tc>
          <w:tcPr>
            <w:tcW w:w="757" w:type="pct"/>
            <w:tcBorders>
              <w:top w:val="single" w:sz="4" w:space="0" w:color="auto"/>
              <w:left w:val="single" w:sz="4" w:space="0" w:color="auto"/>
              <w:bottom w:val="single" w:sz="4" w:space="0" w:color="auto"/>
              <w:right w:val="single" w:sz="4" w:space="0" w:color="auto"/>
            </w:tcBorders>
          </w:tcPr>
          <w:p w14:paraId="1C824C52" w14:textId="77777777" w:rsidR="00EC6347" w:rsidRPr="006F50D9" w:rsidRDefault="00EC6347" w:rsidP="00CE1824">
            <w:pPr>
              <w:pStyle w:val="TableText"/>
              <w:keepNext/>
              <w:rPr>
                <w:szCs w:val="20"/>
              </w:rPr>
            </w:pPr>
            <w:r w:rsidRPr="006F50D9">
              <w:rPr>
                <w:szCs w:val="20"/>
              </w:rPr>
              <w:t>No</w:t>
            </w:r>
          </w:p>
        </w:tc>
      </w:tr>
      <w:tr w:rsidR="00EC6347" w:rsidRPr="006F50D9" w14:paraId="56283124" w14:textId="77777777" w:rsidTr="00CE1824">
        <w:tc>
          <w:tcPr>
            <w:tcW w:w="941" w:type="pct"/>
            <w:vMerge/>
            <w:tcBorders>
              <w:left w:val="single" w:sz="4" w:space="0" w:color="auto"/>
              <w:bottom w:val="single" w:sz="4" w:space="0" w:color="auto"/>
              <w:right w:val="single" w:sz="4" w:space="0" w:color="auto"/>
            </w:tcBorders>
          </w:tcPr>
          <w:p w14:paraId="7389BBB2" w14:textId="77777777" w:rsidR="00EC6347" w:rsidRPr="006F50D9" w:rsidRDefault="00EC6347" w:rsidP="00CE1824">
            <w:pPr>
              <w:pStyle w:val="TableText"/>
              <w:keepNext/>
              <w:rPr>
                <w:szCs w:val="20"/>
              </w:rPr>
            </w:pPr>
          </w:p>
        </w:tc>
        <w:tc>
          <w:tcPr>
            <w:tcW w:w="1494" w:type="pct"/>
            <w:tcBorders>
              <w:top w:val="single" w:sz="4" w:space="0" w:color="auto"/>
              <w:left w:val="single" w:sz="4" w:space="0" w:color="auto"/>
              <w:bottom w:val="single" w:sz="4" w:space="0" w:color="auto"/>
              <w:right w:val="single" w:sz="4" w:space="0" w:color="auto"/>
            </w:tcBorders>
          </w:tcPr>
          <w:p w14:paraId="05F29BDF" w14:textId="77777777" w:rsidR="00EC6347" w:rsidRPr="006F50D9" w:rsidRDefault="00EC6347" w:rsidP="00CE1824">
            <w:pPr>
              <w:pStyle w:val="TableText"/>
              <w:keepNext/>
              <w:rPr>
                <w:szCs w:val="20"/>
              </w:rPr>
            </w:pPr>
            <w:r w:rsidRPr="006F50D9">
              <w:rPr>
                <w:szCs w:val="20"/>
              </w:rPr>
              <w:t>Comparison of outcomes in patients receiving usual care, conditioned on the reduction of HDV RNA</w:t>
            </w:r>
          </w:p>
        </w:tc>
        <w:tc>
          <w:tcPr>
            <w:tcW w:w="943" w:type="pct"/>
            <w:tcBorders>
              <w:top w:val="single" w:sz="4" w:space="0" w:color="auto"/>
              <w:left w:val="single" w:sz="4" w:space="0" w:color="auto"/>
              <w:bottom w:val="single" w:sz="4" w:space="0" w:color="auto"/>
              <w:right w:val="single" w:sz="4" w:space="0" w:color="auto"/>
            </w:tcBorders>
          </w:tcPr>
          <w:p w14:paraId="47526565" w14:textId="502A5BE2" w:rsidR="00EC6347" w:rsidRPr="006F50D9" w:rsidRDefault="00EC6347" w:rsidP="00CE1824">
            <w:pPr>
              <w:pStyle w:val="TableText"/>
              <w:keepNext/>
              <w:ind w:left="463" w:hanging="482"/>
              <w:rPr>
                <w:szCs w:val="20"/>
              </w:rPr>
            </w:pPr>
            <w:r w:rsidRPr="006F50D9">
              <w:rPr>
                <w:rFonts w:ascii="Segoe UI Symbol" w:eastAsia="MS Gothic" w:hAnsi="Segoe UI Symbol" w:cs="Segoe UI Symbol"/>
                <w:szCs w:val="20"/>
              </w:rPr>
              <w:t>☒</w:t>
            </w:r>
            <w:r w:rsidRPr="006F50D9">
              <w:rPr>
                <w:szCs w:val="20"/>
              </w:rPr>
              <w:tab/>
              <w:t>k=7 retrospective cohorts</w:t>
            </w:r>
            <w:r w:rsidR="00CE1824">
              <w:rPr>
                <w:szCs w:val="20"/>
              </w:rPr>
              <w:br/>
            </w:r>
            <w:r w:rsidRPr="006F50D9">
              <w:rPr>
                <w:szCs w:val="20"/>
              </w:rPr>
              <w:t>n=1687</w:t>
            </w:r>
          </w:p>
        </w:tc>
        <w:tc>
          <w:tcPr>
            <w:tcW w:w="865" w:type="pct"/>
            <w:tcBorders>
              <w:top w:val="single" w:sz="4" w:space="0" w:color="auto"/>
              <w:left w:val="single" w:sz="4" w:space="0" w:color="auto"/>
              <w:bottom w:val="single" w:sz="4" w:space="0" w:color="auto"/>
              <w:right w:val="single" w:sz="4" w:space="0" w:color="auto"/>
            </w:tcBorders>
          </w:tcPr>
          <w:p w14:paraId="3F08B40D" w14:textId="77777777" w:rsidR="00EC6347" w:rsidRPr="006F50D9" w:rsidRDefault="00EC6347" w:rsidP="00CE1824">
            <w:pPr>
              <w:pStyle w:val="TableText"/>
              <w:keepNext/>
              <w:rPr>
                <w:szCs w:val="20"/>
              </w:rPr>
            </w:pPr>
            <w:r w:rsidRPr="006F50D9">
              <w:rPr>
                <w:szCs w:val="20"/>
              </w:rPr>
              <w:t>High</w:t>
            </w:r>
          </w:p>
        </w:tc>
        <w:tc>
          <w:tcPr>
            <w:tcW w:w="757" w:type="pct"/>
            <w:tcBorders>
              <w:top w:val="single" w:sz="4" w:space="0" w:color="auto"/>
              <w:left w:val="single" w:sz="4" w:space="0" w:color="auto"/>
              <w:bottom w:val="single" w:sz="4" w:space="0" w:color="auto"/>
              <w:right w:val="single" w:sz="4" w:space="0" w:color="auto"/>
            </w:tcBorders>
          </w:tcPr>
          <w:p w14:paraId="4BF020D4" w14:textId="77777777" w:rsidR="00EC6347" w:rsidRPr="006F50D9" w:rsidRDefault="00EC6347" w:rsidP="00CE1824">
            <w:pPr>
              <w:pStyle w:val="TableText"/>
              <w:keepNext/>
              <w:rPr>
                <w:szCs w:val="20"/>
              </w:rPr>
            </w:pPr>
            <w:r w:rsidRPr="006F50D9">
              <w:rPr>
                <w:szCs w:val="20"/>
              </w:rPr>
              <w:t>Yes</w:t>
            </w:r>
          </w:p>
        </w:tc>
      </w:tr>
      <w:tr w:rsidR="00EC6347" w:rsidRPr="006F50D9" w14:paraId="78C4BF5D" w14:textId="77777777" w:rsidTr="00CE1824">
        <w:tc>
          <w:tcPr>
            <w:tcW w:w="941" w:type="pct"/>
            <w:tcBorders>
              <w:top w:val="single" w:sz="4" w:space="0" w:color="auto"/>
              <w:left w:val="single" w:sz="4" w:space="0" w:color="auto"/>
              <w:bottom w:val="single" w:sz="4" w:space="0" w:color="auto"/>
              <w:right w:val="single" w:sz="4" w:space="0" w:color="auto"/>
            </w:tcBorders>
            <w:hideMark/>
          </w:tcPr>
          <w:p w14:paraId="5EF220E5" w14:textId="77777777" w:rsidR="00EC6347" w:rsidRPr="006F50D9" w:rsidRDefault="00EC6347" w:rsidP="00CE1824">
            <w:pPr>
              <w:pStyle w:val="TableText"/>
              <w:keepNext/>
              <w:rPr>
                <w:szCs w:val="20"/>
              </w:rPr>
            </w:pPr>
            <w:r w:rsidRPr="006F50D9">
              <w:rPr>
                <w:szCs w:val="20"/>
              </w:rPr>
              <w:t xml:space="preserve">Change in patient management </w:t>
            </w:r>
          </w:p>
        </w:tc>
        <w:tc>
          <w:tcPr>
            <w:tcW w:w="1494" w:type="pct"/>
            <w:tcBorders>
              <w:top w:val="single" w:sz="4" w:space="0" w:color="auto"/>
              <w:left w:val="single" w:sz="4" w:space="0" w:color="auto"/>
              <w:bottom w:val="single" w:sz="4" w:space="0" w:color="auto"/>
              <w:right w:val="single" w:sz="4" w:space="0" w:color="auto"/>
            </w:tcBorders>
            <w:hideMark/>
          </w:tcPr>
          <w:p w14:paraId="09E4E3D6" w14:textId="77777777" w:rsidR="00EC6347" w:rsidRPr="006F50D9" w:rsidRDefault="00EC6347" w:rsidP="00CE1824">
            <w:pPr>
              <w:pStyle w:val="TableText"/>
              <w:keepNext/>
              <w:rPr>
                <w:color w:val="3366FF"/>
                <w:szCs w:val="20"/>
              </w:rPr>
            </w:pPr>
            <w:r w:rsidRPr="006F50D9">
              <w:rPr>
                <w:szCs w:val="20"/>
              </w:rPr>
              <w:t>Evidence to show that HDV RNA guides decisions about stopping treatment (due to response or lack of response) or intensifying treatment (due to limited response)</w:t>
            </w:r>
          </w:p>
        </w:tc>
        <w:tc>
          <w:tcPr>
            <w:tcW w:w="943" w:type="pct"/>
            <w:tcBorders>
              <w:top w:val="single" w:sz="4" w:space="0" w:color="auto"/>
              <w:left w:val="single" w:sz="4" w:space="0" w:color="auto"/>
              <w:bottom w:val="single" w:sz="4" w:space="0" w:color="auto"/>
              <w:right w:val="single" w:sz="4" w:space="0" w:color="auto"/>
            </w:tcBorders>
            <w:hideMark/>
          </w:tcPr>
          <w:p w14:paraId="2D0538C6" w14:textId="338575CD" w:rsidR="00EC6347" w:rsidRPr="006F50D9" w:rsidRDefault="00EC6347" w:rsidP="00CE1824">
            <w:pPr>
              <w:pStyle w:val="TableText"/>
              <w:keepNext/>
              <w:ind w:left="465" w:hanging="482"/>
              <w:rPr>
                <w:szCs w:val="20"/>
              </w:rPr>
            </w:pPr>
            <w:r w:rsidRPr="006F50D9">
              <w:rPr>
                <w:rFonts w:ascii="Segoe UI Symbol" w:eastAsia="MS Gothic" w:hAnsi="Segoe UI Symbol" w:cs="Segoe UI Symbol"/>
                <w:szCs w:val="20"/>
              </w:rPr>
              <w:t>☒</w:t>
            </w:r>
            <w:r w:rsidRPr="006F50D9">
              <w:rPr>
                <w:szCs w:val="20"/>
              </w:rPr>
              <w:tab/>
              <w:t>k=2 uncontrolled before/after study</w:t>
            </w:r>
            <w:r w:rsidR="00CE1824">
              <w:rPr>
                <w:szCs w:val="20"/>
              </w:rPr>
              <w:br/>
            </w:r>
            <w:r w:rsidRPr="006F50D9">
              <w:rPr>
                <w:szCs w:val="20"/>
              </w:rPr>
              <w:t>n=129</w:t>
            </w:r>
          </w:p>
        </w:tc>
        <w:tc>
          <w:tcPr>
            <w:tcW w:w="865" w:type="pct"/>
            <w:tcBorders>
              <w:top w:val="single" w:sz="4" w:space="0" w:color="auto"/>
              <w:left w:val="single" w:sz="4" w:space="0" w:color="auto"/>
              <w:bottom w:val="single" w:sz="4" w:space="0" w:color="auto"/>
              <w:right w:val="single" w:sz="4" w:space="0" w:color="auto"/>
            </w:tcBorders>
            <w:hideMark/>
          </w:tcPr>
          <w:p w14:paraId="3C5FC7F7" w14:textId="77777777" w:rsidR="00EC6347" w:rsidRPr="006F50D9" w:rsidRDefault="00EC6347" w:rsidP="00CE1824">
            <w:pPr>
              <w:pStyle w:val="TableText"/>
              <w:keepNext/>
              <w:rPr>
                <w:color w:val="3366FF"/>
                <w:szCs w:val="20"/>
              </w:rPr>
            </w:pPr>
            <w:r w:rsidRPr="006F50D9">
              <w:rPr>
                <w:szCs w:val="20"/>
              </w:rPr>
              <w:t>High</w:t>
            </w:r>
          </w:p>
        </w:tc>
        <w:tc>
          <w:tcPr>
            <w:tcW w:w="757" w:type="pct"/>
            <w:tcBorders>
              <w:top w:val="single" w:sz="4" w:space="0" w:color="auto"/>
              <w:left w:val="single" w:sz="4" w:space="0" w:color="auto"/>
              <w:bottom w:val="single" w:sz="4" w:space="0" w:color="auto"/>
              <w:right w:val="single" w:sz="4" w:space="0" w:color="auto"/>
            </w:tcBorders>
          </w:tcPr>
          <w:p w14:paraId="418725DF" w14:textId="77777777" w:rsidR="00EC6347" w:rsidRPr="006F50D9" w:rsidRDefault="00EC6347" w:rsidP="00CE1824">
            <w:pPr>
              <w:pStyle w:val="TableText"/>
              <w:keepNext/>
              <w:rPr>
                <w:szCs w:val="20"/>
              </w:rPr>
            </w:pPr>
            <w:r w:rsidRPr="006F50D9">
              <w:rPr>
                <w:szCs w:val="20"/>
              </w:rPr>
              <w:t>No</w:t>
            </w:r>
          </w:p>
        </w:tc>
      </w:tr>
      <w:tr w:rsidR="00EC6347" w:rsidRPr="006F50D9" w14:paraId="525E6A6E" w14:textId="77777777" w:rsidTr="00CE1824">
        <w:trPr>
          <w:trHeight w:val="680"/>
        </w:trPr>
        <w:tc>
          <w:tcPr>
            <w:tcW w:w="941" w:type="pct"/>
            <w:tcBorders>
              <w:top w:val="single" w:sz="4" w:space="0" w:color="auto"/>
              <w:left w:val="single" w:sz="4" w:space="0" w:color="auto"/>
              <w:bottom w:val="nil"/>
              <w:right w:val="single" w:sz="4" w:space="0" w:color="auto"/>
            </w:tcBorders>
            <w:hideMark/>
          </w:tcPr>
          <w:p w14:paraId="2EEE4D72" w14:textId="77777777" w:rsidR="00EC6347" w:rsidRPr="006F50D9" w:rsidRDefault="00EC6347" w:rsidP="00CE1824">
            <w:pPr>
              <w:pStyle w:val="TableText"/>
              <w:keepNext/>
              <w:rPr>
                <w:szCs w:val="20"/>
              </w:rPr>
            </w:pPr>
            <w:r w:rsidRPr="006F50D9">
              <w:rPr>
                <w:szCs w:val="20"/>
              </w:rPr>
              <w:t xml:space="preserve">Health outcomes (clinical utility) </w:t>
            </w:r>
          </w:p>
        </w:tc>
        <w:tc>
          <w:tcPr>
            <w:tcW w:w="1494" w:type="pct"/>
            <w:tcBorders>
              <w:top w:val="single" w:sz="4" w:space="0" w:color="auto"/>
              <w:left w:val="single" w:sz="4" w:space="0" w:color="auto"/>
              <w:bottom w:val="nil"/>
              <w:right w:val="single" w:sz="4" w:space="0" w:color="auto"/>
            </w:tcBorders>
          </w:tcPr>
          <w:p w14:paraId="071DCF3B" w14:textId="77777777" w:rsidR="00EC6347" w:rsidRPr="006F50D9" w:rsidRDefault="00EC6347" w:rsidP="00CE1824">
            <w:pPr>
              <w:pStyle w:val="TableText"/>
              <w:keepNext/>
              <w:rPr>
                <w:color w:val="3366FF"/>
                <w:szCs w:val="20"/>
              </w:rPr>
            </w:pPr>
            <w:r w:rsidRPr="006F50D9">
              <w:rPr>
                <w:szCs w:val="20"/>
              </w:rPr>
              <w:t>No evidence presented.</w:t>
            </w:r>
          </w:p>
        </w:tc>
        <w:tc>
          <w:tcPr>
            <w:tcW w:w="943" w:type="pct"/>
            <w:tcBorders>
              <w:top w:val="single" w:sz="4" w:space="0" w:color="auto"/>
              <w:left w:val="single" w:sz="4" w:space="0" w:color="auto"/>
              <w:bottom w:val="nil"/>
              <w:right w:val="single" w:sz="4" w:space="0" w:color="auto"/>
            </w:tcBorders>
          </w:tcPr>
          <w:p w14:paraId="2E68BD6E" w14:textId="56FD52E0" w:rsidR="00EC6347" w:rsidRPr="006F50D9" w:rsidRDefault="00EC6347" w:rsidP="00CE1824">
            <w:pPr>
              <w:pStyle w:val="TableText"/>
              <w:keepNext/>
              <w:ind w:left="463" w:hanging="482"/>
              <w:rPr>
                <w:szCs w:val="20"/>
              </w:rPr>
            </w:pPr>
            <w:r w:rsidRPr="006F50D9">
              <w:rPr>
                <w:rFonts w:ascii="Segoe UI Symbol" w:eastAsia="MS Gothic" w:hAnsi="Segoe UI Symbol" w:cs="Segoe UI Symbol"/>
                <w:szCs w:val="20"/>
              </w:rPr>
              <w:t>☐</w:t>
            </w:r>
            <w:r w:rsidRPr="006F50D9">
              <w:rPr>
                <w:szCs w:val="20"/>
              </w:rPr>
              <w:tab/>
              <w:t>k=0</w:t>
            </w:r>
            <w:r w:rsidR="00CE1824">
              <w:rPr>
                <w:szCs w:val="20"/>
              </w:rPr>
              <w:br/>
            </w:r>
            <w:r w:rsidRPr="006F50D9">
              <w:rPr>
                <w:szCs w:val="20"/>
              </w:rPr>
              <w:t>n=0</w:t>
            </w:r>
          </w:p>
        </w:tc>
        <w:tc>
          <w:tcPr>
            <w:tcW w:w="865" w:type="pct"/>
            <w:tcBorders>
              <w:top w:val="single" w:sz="4" w:space="0" w:color="auto"/>
              <w:left w:val="single" w:sz="4" w:space="0" w:color="auto"/>
              <w:bottom w:val="nil"/>
              <w:right w:val="single" w:sz="4" w:space="0" w:color="auto"/>
            </w:tcBorders>
            <w:hideMark/>
          </w:tcPr>
          <w:p w14:paraId="0337E926" w14:textId="77777777" w:rsidR="00EC6347" w:rsidRPr="006F50D9" w:rsidRDefault="00EC6347" w:rsidP="00CE1824">
            <w:pPr>
              <w:pStyle w:val="TableText"/>
              <w:keepNext/>
              <w:rPr>
                <w:color w:val="3366FF"/>
                <w:szCs w:val="20"/>
              </w:rPr>
            </w:pPr>
          </w:p>
        </w:tc>
        <w:tc>
          <w:tcPr>
            <w:tcW w:w="757" w:type="pct"/>
            <w:tcBorders>
              <w:top w:val="single" w:sz="4" w:space="0" w:color="auto"/>
              <w:left w:val="single" w:sz="4" w:space="0" w:color="auto"/>
              <w:bottom w:val="nil"/>
              <w:right w:val="single" w:sz="4" w:space="0" w:color="auto"/>
            </w:tcBorders>
          </w:tcPr>
          <w:p w14:paraId="12F81586" w14:textId="77777777" w:rsidR="00EC6347" w:rsidRPr="006F50D9" w:rsidRDefault="00EC6347" w:rsidP="00CE1824">
            <w:pPr>
              <w:pStyle w:val="TableText"/>
              <w:keepNext/>
              <w:rPr>
                <w:szCs w:val="20"/>
              </w:rPr>
            </w:pPr>
          </w:p>
        </w:tc>
      </w:tr>
      <w:tr w:rsidR="00EC6347" w:rsidRPr="006F50D9" w14:paraId="65EC8372" w14:textId="77777777" w:rsidTr="00CE1824">
        <w:trPr>
          <w:trHeight w:val="737"/>
        </w:trPr>
        <w:tc>
          <w:tcPr>
            <w:tcW w:w="941" w:type="pct"/>
            <w:tcBorders>
              <w:top w:val="nil"/>
              <w:left w:val="single" w:sz="4" w:space="0" w:color="auto"/>
              <w:bottom w:val="nil"/>
              <w:right w:val="single" w:sz="4" w:space="0" w:color="auto"/>
            </w:tcBorders>
          </w:tcPr>
          <w:p w14:paraId="0B25EA03" w14:textId="77777777" w:rsidR="00EC6347" w:rsidRPr="006F50D9" w:rsidRDefault="00EC6347" w:rsidP="00CE1824">
            <w:pPr>
              <w:pStyle w:val="TableText"/>
              <w:keepNext/>
              <w:rPr>
                <w:szCs w:val="20"/>
              </w:rPr>
            </w:pPr>
            <w:r w:rsidRPr="006F50D9">
              <w:rPr>
                <w:szCs w:val="20"/>
              </w:rPr>
              <w:t xml:space="preserve">Predictive effect (treatment effect variation) </w:t>
            </w:r>
          </w:p>
        </w:tc>
        <w:tc>
          <w:tcPr>
            <w:tcW w:w="1494" w:type="pct"/>
            <w:tcBorders>
              <w:top w:val="nil"/>
              <w:left w:val="single" w:sz="4" w:space="0" w:color="auto"/>
              <w:bottom w:val="nil"/>
              <w:right w:val="single" w:sz="4" w:space="0" w:color="auto"/>
            </w:tcBorders>
          </w:tcPr>
          <w:p w14:paraId="488F25B8" w14:textId="77777777" w:rsidR="00EC6347" w:rsidRPr="006F50D9" w:rsidRDefault="00EC6347" w:rsidP="00CE1824">
            <w:pPr>
              <w:pStyle w:val="TableText"/>
              <w:keepNext/>
              <w:rPr>
                <w:color w:val="3366FF"/>
                <w:szCs w:val="20"/>
              </w:rPr>
            </w:pPr>
            <w:r w:rsidRPr="006F50D9">
              <w:rPr>
                <w:szCs w:val="20"/>
              </w:rPr>
              <w:t>No evidence presented.</w:t>
            </w:r>
          </w:p>
        </w:tc>
        <w:tc>
          <w:tcPr>
            <w:tcW w:w="943" w:type="pct"/>
            <w:tcBorders>
              <w:top w:val="nil"/>
              <w:left w:val="single" w:sz="4" w:space="0" w:color="auto"/>
              <w:bottom w:val="nil"/>
              <w:right w:val="single" w:sz="4" w:space="0" w:color="auto"/>
            </w:tcBorders>
          </w:tcPr>
          <w:p w14:paraId="36A6D943" w14:textId="16154106" w:rsidR="00EC6347" w:rsidRPr="006F50D9" w:rsidRDefault="00EC6347" w:rsidP="00CE1824">
            <w:pPr>
              <w:pStyle w:val="TableText"/>
              <w:keepNext/>
              <w:ind w:left="463" w:hanging="482"/>
              <w:rPr>
                <w:szCs w:val="20"/>
              </w:rPr>
            </w:pPr>
            <w:r w:rsidRPr="006F50D9">
              <w:rPr>
                <w:rFonts w:ascii="Segoe UI Symbol" w:eastAsia="MS Gothic" w:hAnsi="Segoe UI Symbol" w:cs="Segoe UI Symbol"/>
                <w:szCs w:val="20"/>
              </w:rPr>
              <w:t>☐</w:t>
            </w:r>
            <w:r w:rsidRPr="006F50D9">
              <w:rPr>
                <w:szCs w:val="20"/>
              </w:rPr>
              <w:tab/>
              <w:t>k=0</w:t>
            </w:r>
            <w:r w:rsidR="00CE1824">
              <w:rPr>
                <w:szCs w:val="20"/>
              </w:rPr>
              <w:br/>
            </w:r>
            <w:r w:rsidRPr="006F50D9">
              <w:rPr>
                <w:szCs w:val="20"/>
              </w:rPr>
              <w:t>n=0</w:t>
            </w:r>
          </w:p>
          <w:p w14:paraId="500F10CC" w14:textId="77777777" w:rsidR="00EC6347" w:rsidRPr="006F50D9" w:rsidRDefault="00EC6347" w:rsidP="00CE1824">
            <w:pPr>
              <w:pStyle w:val="TableText"/>
              <w:keepNext/>
              <w:ind w:left="463" w:hanging="482"/>
              <w:rPr>
                <w:szCs w:val="20"/>
              </w:rPr>
            </w:pPr>
          </w:p>
        </w:tc>
        <w:tc>
          <w:tcPr>
            <w:tcW w:w="865" w:type="pct"/>
            <w:tcBorders>
              <w:top w:val="nil"/>
              <w:left w:val="single" w:sz="4" w:space="0" w:color="auto"/>
              <w:bottom w:val="nil"/>
              <w:right w:val="single" w:sz="4" w:space="0" w:color="auto"/>
            </w:tcBorders>
          </w:tcPr>
          <w:p w14:paraId="6D044889" w14:textId="77777777" w:rsidR="00EC6347" w:rsidRPr="006F50D9" w:rsidRDefault="00EC6347" w:rsidP="00CE1824">
            <w:pPr>
              <w:pStyle w:val="TableText"/>
              <w:keepNext/>
              <w:rPr>
                <w:color w:val="3366FF"/>
                <w:szCs w:val="20"/>
              </w:rPr>
            </w:pPr>
          </w:p>
        </w:tc>
        <w:tc>
          <w:tcPr>
            <w:tcW w:w="757" w:type="pct"/>
            <w:tcBorders>
              <w:top w:val="nil"/>
              <w:left w:val="single" w:sz="4" w:space="0" w:color="auto"/>
              <w:bottom w:val="nil"/>
              <w:right w:val="single" w:sz="4" w:space="0" w:color="auto"/>
            </w:tcBorders>
          </w:tcPr>
          <w:p w14:paraId="585F9539" w14:textId="77777777" w:rsidR="00EC6347" w:rsidRPr="006F50D9" w:rsidRDefault="00EC6347" w:rsidP="00CE1824">
            <w:pPr>
              <w:pStyle w:val="TableText"/>
              <w:keepNext/>
              <w:rPr>
                <w:szCs w:val="20"/>
              </w:rPr>
            </w:pPr>
          </w:p>
        </w:tc>
      </w:tr>
      <w:tr w:rsidR="00EC6347" w:rsidRPr="006F50D9" w14:paraId="2FD66C0B" w14:textId="77777777" w:rsidTr="00CE1824">
        <w:tc>
          <w:tcPr>
            <w:tcW w:w="941" w:type="pct"/>
            <w:tcBorders>
              <w:top w:val="nil"/>
              <w:left w:val="single" w:sz="4" w:space="0" w:color="auto"/>
              <w:bottom w:val="single" w:sz="4" w:space="0" w:color="auto"/>
              <w:right w:val="single" w:sz="4" w:space="0" w:color="auto"/>
            </w:tcBorders>
          </w:tcPr>
          <w:p w14:paraId="3D7BA127" w14:textId="77777777" w:rsidR="00EC6347" w:rsidRPr="006F50D9" w:rsidRDefault="00EC6347" w:rsidP="00CE1824">
            <w:pPr>
              <w:pStyle w:val="TableText"/>
              <w:keepNext/>
              <w:rPr>
                <w:szCs w:val="20"/>
              </w:rPr>
            </w:pPr>
            <w:r w:rsidRPr="006F50D9">
              <w:rPr>
                <w:szCs w:val="20"/>
              </w:rPr>
              <w:t>Treatment effect (enriched)</w:t>
            </w:r>
          </w:p>
        </w:tc>
        <w:tc>
          <w:tcPr>
            <w:tcW w:w="1494" w:type="pct"/>
            <w:tcBorders>
              <w:top w:val="nil"/>
              <w:left w:val="single" w:sz="4" w:space="0" w:color="auto"/>
              <w:bottom w:val="single" w:sz="4" w:space="0" w:color="auto"/>
              <w:right w:val="single" w:sz="4" w:space="0" w:color="auto"/>
            </w:tcBorders>
          </w:tcPr>
          <w:p w14:paraId="4AE22EDB" w14:textId="77777777" w:rsidR="00EC6347" w:rsidRPr="006F50D9" w:rsidRDefault="00EC6347" w:rsidP="00CE1824">
            <w:pPr>
              <w:pStyle w:val="TableText"/>
              <w:keepNext/>
              <w:rPr>
                <w:color w:val="3366FF"/>
                <w:szCs w:val="20"/>
              </w:rPr>
            </w:pPr>
            <w:r w:rsidRPr="006F50D9">
              <w:rPr>
                <w:szCs w:val="20"/>
              </w:rPr>
              <w:t>Single randomised controlled trial of bulevirtide vs symptom management of CHD in patients that are tested for HDV RNA by PCR in both arms and found to be positive.</w:t>
            </w:r>
          </w:p>
        </w:tc>
        <w:tc>
          <w:tcPr>
            <w:tcW w:w="943" w:type="pct"/>
            <w:tcBorders>
              <w:top w:val="nil"/>
              <w:left w:val="single" w:sz="4" w:space="0" w:color="auto"/>
              <w:bottom w:val="single" w:sz="4" w:space="0" w:color="auto"/>
              <w:right w:val="single" w:sz="4" w:space="0" w:color="auto"/>
            </w:tcBorders>
          </w:tcPr>
          <w:p w14:paraId="622C71A8" w14:textId="27393AAB" w:rsidR="00EC6347" w:rsidRPr="006F50D9" w:rsidRDefault="00EC6347" w:rsidP="00CE1824">
            <w:pPr>
              <w:pStyle w:val="TableText"/>
              <w:keepNext/>
              <w:ind w:left="463" w:hanging="482"/>
              <w:rPr>
                <w:szCs w:val="20"/>
              </w:rPr>
            </w:pPr>
            <w:r w:rsidRPr="006F50D9">
              <w:rPr>
                <w:rFonts w:ascii="Segoe UI Symbol" w:eastAsia="MS Gothic" w:hAnsi="Segoe UI Symbol" w:cs="Segoe UI Symbol"/>
                <w:szCs w:val="20"/>
              </w:rPr>
              <w:t>☒</w:t>
            </w:r>
            <w:r w:rsidRPr="006F50D9">
              <w:rPr>
                <w:szCs w:val="20"/>
              </w:rPr>
              <w:tab/>
              <w:t>k=1</w:t>
            </w:r>
            <w:r w:rsidR="00CE1824">
              <w:rPr>
                <w:szCs w:val="20"/>
              </w:rPr>
              <w:br/>
            </w:r>
            <w:r w:rsidRPr="006F50D9">
              <w:rPr>
                <w:szCs w:val="20"/>
              </w:rPr>
              <w:t>n=150</w:t>
            </w:r>
          </w:p>
          <w:p w14:paraId="5E111BA9" w14:textId="77777777" w:rsidR="00EC6347" w:rsidRPr="006F50D9" w:rsidRDefault="00EC6347" w:rsidP="00CE1824">
            <w:pPr>
              <w:pStyle w:val="TableText"/>
              <w:keepNext/>
              <w:ind w:left="463" w:hanging="482"/>
              <w:rPr>
                <w:szCs w:val="20"/>
              </w:rPr>
            </w:pPr>
          </w:p>
        </w:tc>
        <w:tc>
          <w:tcPr>
            <w:tcW w:w="865" w:type="pct"/>
            <w:tcBorders>
              <w:top w:val="nil"/>
              <w:left w:val="single" w:sz="4" w:space="0" w:color="auto"/>
              <w:bottom w:val="single" w:sz="4" w:space="0" w:color="auto"/>
              <w:right w:val="single" w:sz="4" w:space="0" w:color="auto"/>
            </w:tcBorders>
          </w:tcPr>
          <w:p w14:paraId="515F163C" w14:textId="77777777" w:rsidR="00EC6347" w:rsidRPr="006F50D9" w:rsidRDefault="00EC6347" w:rsidP="00CE1824">
            <w:pPr>
              <w:pStyle w:val="TableText"/>
              <w:keepNext/>
              <w:rPr>
                <w:color w:val="3366FF"/>
                <w:szCs w:val="20"/>
              </w:rPr>
            </w:pPr>
            <w:r w:rsidRPr="006F50D9">
              <w:rPr>
                <w:color w:val="000000" w:themeColor="text1"/>
                <w:szCs w:val="20"/>
              </w:rPr>
              <w:t>Low</w:t>
            </w:r>
          </w:p>
        </w:tc>
        <w:tc>
          <w:tcPr>
            <w:tcW w:w="757" w:type="pct"/>
            <w:tcBorders>
              <w:top w:val="nil"/>
              <w:left w:val="single" w:sz="4" w:space="0" w:color="auto"/>
              <w:bottom w:val="single" w:sz="4" w:space="0" w:color="auto"/>
              <w:right w:val="single" w:sz="4" w:space="0" w:color="auto"/>
            </w:tcBorders>
          </w:tcPr>
          <w:p w14:paraId="47E4CE98" w14:textId="77777777" w:rsidR="00EC6347" w:rsidRPr="006F50D9" w:rsidRDefault="00EC6347" w:rsidP="00CE1824">
            <w:pPr>
              <w:pStyle w:val="TableText"/>
              <w:keepNext/>
              <w:rPr>
                <w:szCs w:val="20"/>
              </w:rPr>
            </w:pPr>
            <w:r w:rsidRPr="006F50D9">
              <w:rPr>
                <w:szCs w:val="20"/>
              </w:rPr>
              <w:t>Yes</w:t>
            </w:r>
          </w:p>
        </w:tc>
      </w:tr>
    </w:tbl>
    <w:p w14:paraId="4FFBBF22" w14:textId="77777777" w:rsidR="00EC6347" w:rsidRPr="00196231" w:rsidRDefault="00EC6347" w:rsidP="00CE1824">
      <w:pPr>
        <w:pStyle w:val="TableFooter"/>
        <w:keepNext/>
      </w:pPr>
      <w:r w:rsidRPr="00196231">
        <w:t>Source: developed during the evaluation</w:t>
      </w:r>
    </w:p>
    <w:p w14:paraId="07E04CBA" w14:textId="77777777" w:rsidR="00EC6347" w:rsidRPr="00196231" w:rsidRDefault="00EC6347" w:rsidP="00CE1824">
      <w:pPr>
        <w:pStyle w:val="TableFooter"/>
        <w:spacing w:after="120"/>
        <w:contextualSpacing w:val="0"/>
      </w:pPr>
      <w:r w:rsidRPr="00196231">
        <w:t>CHD = chronic hepatitis D, HDV = hepatitis D virus, k=number of studies, n=number of patients, NA=not applicable, PCR = polymerase chain reaction; RNA = ribonucleic acid</w:t>
      </w:r>
    </w:p>
    <w:p w14:paraId="2FBA1AF3" w14:textId="77777777" w:rsidR="001364CD" w:rsidRPr="00D20CA8" w:rsidRDefault="001364CD" w:rsidP="00CE1824">
      <w:pPr>
        <w:pStyle w:val="3-BodyText"/>
        <w:rPr>
          <w:color w:val="3366FF"/>
        </w:rPr>
      </w:pPr>
      <w:r w:rsidRPr="00D20CA8">
        <w:t>The populations, tests and treatment regimens were not always transferrable across the evidence linkages in terms of patient selection criteria, testing methodology and timing, and duration of treatment, as they varied considerably.</w:t>
      </w:r>
    </w:p>
    <w:p w14:paraId="7B56DFB3" w14:textId="6BE25B72" w:rsidR="00EC6347" w:rsidRPr="00196231" w:rsidRDefault="00EC6347" w:rsidP="00CE1824">
      <w:pPr>
        <w:pStyle w:val="3-BodyText"/>
        <w:rPr>
          <w:color w:val="3366FF"/>
        </w:rPr>
      </w:pPr>
      <w:r w:rsidRPr="00196231">
        <w:t xml:space="preserve">The submission included a single key trial of bulevirtide </w:t>
      </w:r>
      <w:r w:rsidRPr="00A9154C">
        <w:t xml:space="preserve">versus </w:t>
      </w:r>
      <w:r w:rsidRPr="00196231">
        <w:t xml:space="preserve">symptom management in the proposed </w:t>
      </w:r>
      <w:r w:rsidR="001364CD">
        <w:t>patient population</w:t>
      </w:r>
      <w:r w:rsidR="001364CD" w:rsidRPr="00196231">
        <w:t xml:space="preserve"> </w:t>
      </w:r>
      <w:r w:rsidRPr="00196231">
        <w:t xml:space="preserve">(first-line treatment for CHD patients with positive HDV RNA detected by PCR, confirmed elevated serum ALT level and compensated liver disease) (MYR301). </w:t>
      </w:r>
    </w:p>
    <w:p w14:paraId="4ED0C6A5" w14:textId="5011D15B" w:rsidR="00EC6347" w:rsidRPr="00196231" w:rsidRDefault="00EC6347" w:rsidP="00CE1824">
      <w:pPr>
        <w:pStyle w:val="Caption"/>
      </w:pPr>
      <w:r w:rsidRPr="00196231">
        <w:lastRenderedPageBreak/>
        <w:t xml:space="preserve">Table </w:t>
      </w:r>
      <w:r>
        <w:fldChar w:fldCharType="begin" w:fldLock="1"/>
      </w:r>
      <w:r>
        <w:instrText>SEQ Table_PBAC. \* ARABIC</w:instrText>
      </w:r>
      <w:r>
        <w:fldChar w:fldCharType="separate"/>
      </w:r>
      <w:r w:rsidR="00B02BFE">
        <w:rPr>
          <w:noProof/>
        </w:rPr>
        <w:t>3</w:t>
      </w:r>
      <w:r>
        <w:fldChar w:fldCharType="end"/>
      </w:r>
      <w:r w:rsidRPr="00196231">
        <w:t>:  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3:  Data availability to inform comparisons"/>
      </w:tblPr>
      <w:tblGrid>
        <w:gridCol w:w="2193"/>
        <w:gridCol w:w="3134"/>
        <w:gridCol w:w="3689"/>
      </w:tblGrid>
      <w:tr w:rsidR="00EC6347" w:rsidRPr="00196231" w14:paraId="1E85C278" w14:textId="77777777">
        <w:tc>
          <w:tcPr>
            <w:tcW w:w="1216" w:type="pct"/>
            <w:tcBorders>
              <w:top w:val="single" w:sz="4" w:space="0" w:color="000000"/>
              <w:left w:val="single" w:sz="4" w:space="0" w:color="000000"/>
              <w:bottom w:val="single" w:sz="4" w:space="0" w:color="000000"/>
              <w:right w:val="single" w:sz="4" w:space="0" w:color="000000"/>
            </w:tcBorders>
            <w:hideMark/>
          </w:tcPr>
          <w:p w14:paraId="3A618215" w14:textId="77777777" w:rsidR="00EC6347" w:rsidRPr="00CE1824" w:rsidRDefault="00EC6347" w:rsidP="00CE1824">
            <w:pPr>
              <w:pStyle w:val="TableText"/>
              <w:keepNext/>
              <w:rPr>
                <w:b/>
                <w:bCs/>
              </w:rPr>
            </w:pPr>
            <w:r w:rsidRPr="00CE1824">
              <w:rPr>
                <w:b/>
                <w:bCs/>
              </w:rPr>
              <w:t>Proposed test vs no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49C826CF" w14:textId="77777777" w:rsidR="00EC6347" w:rsidRPr="00196231" w:rsidRDefault="00EC6347" w:rsidP="00CE1824">
            <w:pPr>
              <w:pStyle w:val="TableText"/>
              <w:keepNext/>
            </w:pPr>
            <w:r w:rsidRPr="00196231">
              <w:t>No evidence presented.</w:t>
            </w:r>
          </w:p>
        </w:tc>
      </w:tr>
      <w:tr w:rsidR="00EC6347" w:rsidRPr="00196231" w14:paraId="247906CA" w14:textId="77777777">
        <w:tc>
          <w:tcPr>
            <w:tcW w:w="1216" w:type="pct"/>
            <w:tcBorders>
              <w:top w:val="single" w:sz="4" w:space="0" w:color="000000"/>
              <w:left w:val="single" w:sz="4" w:space="0" w:color="000000"/>
              <w:bottom w:val="single" w:sz="4" w:space="0" w:color="000000"/>
              <w:right w:val="single" w:sz="4" w:space="0" w:color="000000"/>
            </w:tcBorders>
            <w:hideMark/>
          </w:tcPr>
          <w:p w14:paraId="0C824552" w14:textId="77777777" w:rsidR="00EC6347" w:rsidRPr="00CE1824" w:rsidRDefault="00EC6347" w:rsidP="00CE1824">
            <w:pPr>
              <w:pStyle w:val="TableText"/>
              <w:keepNext/>
              <w:rPr>
                <w:b/>
                <w:bCs/>
              </w:rPr>
            </w:pPr>
            <w:r w:rsidRPr="00CE1824">
              <w:rPr>
                <w:b/>
                <w:bCs/>
              </w:rPr>
              <w:t>Proposed test vs alternative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7CAA1874" w14:textId="77777777" w:rsidR="00EC6347" w:rsidRPr="00196231" w:rsidRDefault="00EC6347" w:rsidP="00CE1824">
            <w:pPr>
              <w:pStyle w:val="TableText"/>
              <w:keepNext/>
            </w:pPr>
            <w:r w:rsidRPr="00196231">
              <w:t xml:space="preserve">Concordance between test used in Australia and clinical utility standard: 1 study </w:t>
            </w:r>
          </w:p>
        </w:tc>
      </w:tr>
      <w:tr w:rsidR="00EC6347" w:rsidRPr="00196231" w14:paraId="1C6945A4" w14:textId="77777777">
        <w:tc>
          <w:tcPr>
            <w:tcW w:w="1216" w:type="pct"/>
            <w:tcBorders>
              <w:top w:val="single" w:sz="4" w:space="0" w:color="000000"/>
              <w:left w:val="single" w:sz="4" w:space="0" w:color="000000"/>
              <w:bottom w:val="single" w:sz="4" w:space="0" w:color="000000"/>
              <w:right w:val="single" w:sz="4" w:space="0" w:color="000000"/>
            </w:tcBorders>
          </w:tcPr>
          <w:p w14:paraId="5206358B" w14:textId="77777777" w:rsidR="00EC6347" w:rsidRPr="00196231" w:rsidRDefault="00EC6347" w:rsidP="00CE1824">
            <w:pPr>
              <w:pStyle w:val="TableText"/>
              <w:keepNext/>
            </w:pPr>
          </w:p>
        </w:tc>
        <w:tc>
          <w:tcPr>
            <w:tcW w:w="1738" w:type="pct"/>
            <w:tcBorders>
              <w:top w:val="single" w:sz="4" w:space="0" w:color="000000"/>
              <w:left w:val="single" w:sz="4" w:space="0" w:color="000000"/>
              <w:bottom w:val="single" w:sz="4" w:space="0" w:color="000000"/>
              <w:right w:val="single" w:sz="4" w:space="0" w:color="000000"/>
            </w:tcBorders>
            <w:hideMark/>
          </w:tcPr>
          <w:p w14:paraId="5340FE3F" w14:textId="77777777" w:rsidR="00EC6347" w:rsidRPr="00196231" w:rsidRDefault="00EC6347" w:rsidP="00CE1824">
            <w:pPr>
              <w:pStyle w:val="TableText"/>
              <w:keepNext/>
              <w:rPr>
                <w:b/>
                <w:bCs/>
              </w:rPr>
            </w:pPr>
            <w:r w:rsidRPr="00196231">
              <w:rPr>
                <w:b/>
                <w:bCs/>
              </w:rPr>
              <w:t>Bulevirtide</w:t>
            </w:r>
          </w:p>
        </w:tc>
        <w:tc>
          <w:tcPr>
            <w:tcW w:w="2046" w:type="pct"/>
            <w:tcBorders>
              <w:top w:val="single" w:sz="4" w:space="0" w:color="000000"/>
              <w:left w:val="single" w:sz="4" w:space="0" w:color="000000"/>
              <w:bottom w:val="single" w:sz="4" w:space="0" w:color="000000"/>
              <w:right w:val="single" w:sz="4" w:space="0" w:color="000000"/>
            </w:tcBorders>
            <w:hideMark/>
          </w:tcPr>
          <w:p w14:paraId="7F668E2D" w14:textId="77777777" w:rsidR="00EC6347" w:rsidRPr="00196231" w:rsidRDefault="00EC6347" w:rsidP="00CE1824">
            <w:pPr>
              <w:pStyle w:val="TableText"/>
              <w:keepNext/>
              <w:rPr>
                <w:b/>
                <w:bCs/>
              </w:rPr>
            </w:pPr>
            <w:r w:rsidRPr="00196231">
              <w:rPr>
                <w:b/>
                <w:bCs/>
              </w:rPr>
              <w:t>No active treatment</w:t>
            </w:r>
          </w:p>
        </w:tc>
      </w:tr>
      <w:tr w:rsidR="00EC6347" w:rsidRPr="00196231" w14:paraId="1C6FA662" w14:textId="77777777">
        <w:tc>
          <w:tcPr>
            <w:tcW w:w="1216" w:type="pct"/>
            <w:tcBorders>
              <w:top w:val="single" w:sz="4" w:space="0" w:color="000000"/>
              <w:left w:val="single" w:sz="4" w:space="0" w:color="000000"/>
              <w:bottom w:val="single" w:sz="4" w:space="0" w:color="000000"/>
              <w:right w:val="single" w:sz="4" w:space="0" w:color="000000"/>
            </w:tcBorders>
            <w:hideMark/>
          </w:tcPr>
          <w:p w14:paraId="0DA170A2" w14:textId="77777777" w:rsidR="00EC6347" w:rsidRPr="00CE1824" w:rsidRDefault="00EC6347" w:rsidP="00CE1824">
            <w:pPr>
              <w:pStyle w:val="TableText"/>
              <w:keepNext/>
              <w:rPr>
                <w:b/>
                <w:bCs/>
              </w:rPr>
            </w:pPr>
            <w:r w:rsidRPr="00CE1824">
              <w:rPr>
                <w:b/>
                <w:bCs/>
              </w:rPr>
              <w:t>Biomarker test positive</w:t>
            </w:r>
          </w:p>
        </w:tc>
        <w:tc>
          <w:tcPr>
            <w:tcW w:w="1738" w:type="pct"/>
            <w:tcBorders>
              <w:top w:val="single" w:sz="4" w:space="0" w:color="000000"/>
              <w:left w:val="single" w:sz="4" w:space="0" w:color="000000"/>
              <w:bottom w:val="single" w:sz="4" w:space="0" w:color="000000"/>
              <w:right w:val="single" w:sz="4" w:space="0" w:color="000000"/>
            </w:tcBorders>
            <w:hideMark/>
          </w:tcPr>
          <w:p w14:paraId="056AB858" w14:textId="77777777" w:rsidR="00EC6347" w:rsidRPr="00196231" w:rsidRDefault="00EC6347" w:rsidP="00CE1824">
            <w:pPr>
              <w:pStyle w:val="TableText"/>
              <w:keepNext/>
            </w:pPr>
            <w:r w:rsidRPr="00196231">
              <w:t>MYR301</w:t>
            </w:r>
          </w:p>
        </w:tc>
        <w:tc>
          <w:tcPr>
            <w:tcW w:w="2046" w:type="pct"/>
            <w:tcBorders>
              <w:top w:val="single" w:sz="4" w:space="0" w:color="000000"/>
              <w:left w:val="single" w:sz="4" w:space="0" w:color="000000"/>
              <w:bottom w:val="single" w:sz="4" w:space="0" w:color="000000"/>
              <w:right w:val="single" w:sz="4" w:space="0" w:color="000000"/>
            </w:tcBorders>
          </w:tcPr>
          <w:p w14:paraId="6A2EB200" w14:textId="77777777" w:rsidR="00EC6347" w:rsidRPr="00196231" w:rsidRDefault="00EC6347" w:rsidP="00CE1824">
            <w:pPr>
              <w:pStyle w:val="TableText"/>
              <w:keepNext/>
            </w:pPr>
            <w:r w:rsidRPr="00196231">
              <w:t>MYR301</w:t>
            </w:r>
          </w:p>
        </w:tc>
      </w:tr>
      <w:tr w:rsidR="00EC6347" w:rsidRPr="00196231" w14:paraId="31FC3447" w14:textId="77777777">
        <w:tc>
          <w:tcPr>
            <w:tcW w:w="1216" w:type="pct"/>
            <w:tcBorders>
              <w:top w:val="single" w:sz="4" w:space="0" w:color="000000"/>
              <w:left w:val="single" w:sz="4" w:space="0" w:color="000000"/>
              <w:bottom w:val="single" w:sz="4" w:space="0" w:color="000000"/>
              <w:right w:val="single" w:sz="4" w:space="0" w:color="000000"/>
            </w:tcBorders>
            <w:hideMark/>
          </w:tcPr>
          <w:p w14:paraId="024EC52A" w14:textId="77777777" w:rsidR="00EC6347" w:rsidRPr="00CE1824" w:rsidRDefault="00EC6347" w:rsidP="00CE1824">
            <w:pPr>
              <w:pStyle w:val="TableText"/>
              <w:keepNext/>
              <w:rPr>
                <w:b/>
                <w:bCs/>
              </w:rPr>
            </w:pPr>
            <w:r w:rsidRPr="00CE1824">
              <w:rPr>
                <w:b/>
                <w:bCs/>
              </w:rPr>
              <w:t xml:space="preserve">Biomarker test negative </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22EE7B48" w14:textId="77777777" w:rsidR="00EC6347" w:rsidRPr="00196231" w:rsidRDefault="00EC6347" w:rsidP="00CE1824">
            <w:pPr>
              <w:pStyle w:val="TableText"/>
              <w:keepNext/>
            </w:pPr>
            <w:r w:rsidRPr="00196231">
              <w:t>No evidence presented</w:t>
            </w:r>
          </w:p>
        </w:tc>
      </w:tr>
    </w:tbl>
    <w:p w14:paraId="336E5E56" w14:textId="77777777" w:rsidR="00EC6347" w:rsidRPr="00196231" w:rsidRDefault="00EC6347" w:rsidP="00CE1824">
      <w:pPr>
        <w:pStyle w:val="TableFooter"/>
        <w:spacing w:after="120"/>
        <w:contextualSpacing w:val="0"/>
      </w:pPr>
      <w:r w:rsidRPr="00196231">
        <w:t xml:space="preserve">Source: </w:t>
      </w:r>
      <w:r w:rsidRPr="00543EB7">
        <w:t>Developed during the evaluation</w:t>
      </w:r>
    </w:p>
    <w:p w14:paraId="43579BE1" w14:textId="33437932" w:rsidR="00EC6347" w:rsidRDefault="00EC6347" w:rsidP="00CE1824">
      <w:pPr>
        <w:pStyle w:val="3-BodyText"/>
        <w:rPr>
          <w:color w:val="3366FF"/>
        </w:rPr>
      </w:pPr>
      <w:r w:rsidRPr="00D20CA8">
        <w:t xml:space="preserve">The risk of bias was considered high for the studies which inform accuracy and performance of the test, prognostic value of HDV RNA and change in patient management. The risk of bias in the key trial in the submission (MYR301), was considered generally low. </w:t>
      </w:r>
      <w:r w:rsidR="001364CD">
        <w:t xml:space="preserve">However, </w:t>
      </w:r>
      <w:r w:rsidRPr="00D20CA8">
        <w:t>the study</w:t>
      </w:r>
      <w:r w:rsidR="001364CD" w:rsidRPr="001364CD">
        <w:t xml:space="preserve"> </w:t>
      </w:r>
      <w:r w:rsidR="001364CD">
        <w:t>was</w:t>
      </w:r>
      <w:r w:rsidR="001364CD" w:rsidRPr="00D20CA8">
        <w:t xml:space="preserve"> open-label</w:t>
      </w:r>
      <w:r w:rsidRPr="00D20CA8">
        <w:t>,</w:t>
      </w:r>
      <w:r w:rsidR="001364CD">
        <w:t xml:space="preserve"> with</w:t>
      </w:r>
      <w:r w:rsidRPr="00D20CA8">
        <w:t xml:space="preserve"> patients and investigators not blinded to the treatment group assignment. The risk of bias was considered low for assessment of the efficacy endpoints (i.e., HDV RNA level and liver function), as these were objective outcomes and those who assessed these endpoints were blinded to treatment allocation. However, there is potential for bias in assessment of patient reported outcomes such as </w:t>
      </w:r>
      <w:r w:rsidR="00356263" w:rsidRPr="00D20CA8">
        <w:t>adverse events (</w:t>
      </w:r>
      <w:r w:rsidRPr="00D20CA8">
        <w:t>A</w:t>
      </w:r>
      <w:r w:rsidR="00FA3868">
        <w:t>E</w:t>
      </w:r>
      <w:r w:rsidRPr="00D20CA8">
        <w:t>s</w:t>
      </w:r>
      <w:r w:rsidR="00356263" w:rsidRPr="00D20CA8">
        <w:t>)</w:t>
      </w:r>
      <w:r w:rsidRPr="00D20CA8">
        <w:t xml:space="preserve"> and quality of life.</w:t>
      </w:r>
      <w:r w:rsidRPr="00D20CA8">
        <w:rPr>
          <w:color w:val="3366FF"/>
        </w:rPr>
        <w:t xml:space="preserve"> </w:t>
      </w:r>
    </w:p>
    <w:p w14:paraId="76107E4B" w14:textId="77777777" w:rsidR="00C26781" w:rsidRPr="00C26781" w:rsidRDefault="00C26781" w:rsidP="00CE1824">
      <w:pPr>
        <w:pStyle w:val="4-SubsectionHeading"/>
      </w:pPr>
      <w:bookmarkStart w:id="27" w:name="_Ref159572433"/>
      <w:r w:rsidRPr="00C26781">
        <w:t>Claim of codependence</w:t>
      </w:r>
      <w:bookmarkEnd w:id="27"/>
    </w:p>
    <w:p w14:paraId="71C9E7F2" w14:textId="77777777" w:rsidR="00C26781" w:rsidRPr="00C26781" w:rsidRDefault="00C26781" w:rsidP="00CE1824">
      <w:pPr>
        <w:pStyle w:val="3-BodyText"/>
      </w:pPr>
      <w:r w:rsidRPr="00C26781">
        <w:t xml:space="preserve">The ESCs considered the claim of codependence was reasonable for HDV RNA PCR testing to establish the presence of chronic HDV infection and for access to treatment with bulevirtide (thereby influencing treatment management decisions). The ESCs considered that the risk that acute HDV infections would be diagnosed with a positive RNA PCR test was small because of the short incubation period of acute HDV infection. </w:t>
      </w:r>
    </w:p>
    <w:p w14:paraId="7681AFC8" w14:textId="7F16289C" w:rsidR="00C26781" w:rsidRPr="00C26781" w:rsidRDefault="00C26781" w:rsidP="00CE1824">
      <w:pPr>
        <w:pStyle w:val="3-BodyText"/>
      </w:pPr>
      <w:r w:rsidRPr="00C26781">
        <w:t>However, the claim of codependence was not properly addressed in the submission for HDV RNA PCR testing for monitoring of response to bulevirtide. The submission did not address how the presence/absence or level of detectable HDV RNA would impact on management, incremental to ALT levels. It was not clear how monitoring HDV RNA levels would influence bulevirtide use as no continuation or discontinuation criteria based on HDV RNA levels were proposed for the PBS restrictions and none are defined in the draft PI.</w:t>
      </w:r>
    </w:p>
    <w:p w14:paraId="1303EAD8" w14:textId="77777777" w:rsidR="00EC6347" w:rsidRPr="00543EB7" w:rsidRDefault="00EC6347" w:rsidP="00DD6C13">
      <w:pPr>
        <w:pStyle w:val="4-SubsectionHeading"/>
      </w:pPr>
      <w:bookmarkStart w:id="28" w:name="_Toc156984632"/>
      <w:r w:rsidRPr="00543EB7">
        <w:t>Clinical trial on the effectiveness and safety of bulevirtide</w:t>
      </w:r>
      <w:bookmarkEnd w:id="28"/>
      <w:r w:rsidRPr="00543EB7">
        <w:t xml:space="preserve"> </w:t>
      </w:r>
    </w:p>
    <w:p w14:paraId="18552DB9" w14:textId="5A32B8B6" w:rsidR="00EC6347" w:rsidRPr="00196231" w:rsidRDefault="00EC6347" w:rsidP="00DD6C13">
      <w:pPr>
        <w:pStyle w:val="3-BodyText"/>
      </w:pPr>
      <w:r w:rsidRPr="00196231">
        <w:t xml:space="preserve">The submission was based on one ongoing head-to-head, Phase 3, multicentre, open-label trial that assessed the effectiveness and safety of bulevirtide in patients diagnosed with </w:t>
      </w:r>
      <w:r w:rsidR="00641486">
        <w:t>CHD</w:t>
      </w:r>
      <w:r w:rsidRPr="00196231">
        <w:t xml:space="preserve"> who had detectable serum/plasma HDV RNA by PCR and compensated liver disease (n=150) (MYR301 trial). In this trial, patients were randomly assigned to three treatment groups: 1) bulevirtide 2 mg group (bulevirtide 2 mg once daily for 144 weeks) (N=49); 2) bulevirtide 10 mg group (bulevirtide 5 mg twice daily for 144 weeks) (N = 50); and 3) delayed treatment group (symptom management of CHD or BSC for the first 48 weeks, followed by bulevirtide 10 mg daily for 96 weeks) (N=51). Effectiveness and safety data presented in the submission covered the first 96 weeks of the trial. </w:t>
      </w:r>
    </w:p>
    <w:p w14:paraId="0A872A46" w14:textId="1F9E5396" w:rsidR="00EC6347" w:rsidRPr="00D20CA8" w:rsidRDefault="00EC6347" w:rsidP="00DD6C13">
      <w:pPr>
        <w:pStyle w:val="3-BodyText"/>
        <w:rPr>
          <w:szCs w:val="24"/>
        </w:rPr>
      </w:pPr>
      <w:r>
        <w:lastRenderedPageBreak/>
        <w:t>In the trial, patients randomised into the two bulevirtide treatment group</w:t>
      </w:r>
      <w:r w:rsidR="00B017CB">
        <w:t>s</w:t>
      </w:r>
      <w:r>
        <w:t xml:space="preserve"> would receive bulevirtide therapy for up to 144 weeks, regardless of their response status. </w:t>
      </w:r>
      <w:r w:rsidRPr="00D20CA8">
        <w:t xml:space="preserve">This is not consistent with the </w:t>
      </w:r>
      <w:r w:rsidR="000508EA" w:rsidRPr="00D20CA8">
        <w:t xml:space="preserve">draft </w:t>
      </w:r>
      <w:r w:rsidRPr="00D20CA8">
        <w:t xml:space="preserve">PI, which suggests continued treatment as long as associated with clinical benefit, nor with </w:t>
      </w:r>
      <w:r w:rsidR="00B017CB" w:rsidRPr="00D20CA8">
        <w:t xml:space="preserve">the </w:t>
      </w:r>
      <w:r w:rsidRPr="00D20CA8">
        <w:t xml:space="preserve">economic model, which assumed that non-responders would discontinue treatment after 96 weeks. </w:t>
      </w:r>
    </w:p>
    <w:p w14:paraId="7E6D7513" w14:textId="37C92DF9" w:rsidR="00EC6347" w:rsidRPr="00D20CA8" w:rsidRDefault="00EC6347" w:rsidP="00DD6C13">
      <w:pPr>
        <w:pStyle w:val="3-BodyText"/>
      </w:pPr>
      <w:r w:rsidRPr="00196231">
        <w:t>The recommended dosing of bulevirtide in the submission was 2 mg once daily administered subcutaneous</w:t>
      </w:r>
      <w:r w:rsidR="00B017CB">
        <w:t>ly</w:t>
      </w:r>
      <w:r w:rsidRPr="00196231">
        <w:t xml:space="preserve"> (SC). </w:t>
      </w:r>
      <w:r w:rsidRPr="00D20CA8">
        <w:t xml:space="preserve">This is consistent with the draft PI. Overall, bulevirtide 2 mg showed comparable effectiveness to bulevirtide 10 mg (daily dose) for treatment </w:t>
      </w:r>
      <w:r w:rsidR="00B017CB" w:rsidRPr="00D20CA8">
        <w:t>in</w:t>
      </w:r>
      <w:r w:rsidRPr="00D20CA8">
        <w:t xml:space="preserve"> patients with CHD in term</w:t>
      </w:r>
      <w:r w:rsidR="00A668E7" w:rsidRPr="00D20CA8">
        <w:t>s</w:t>
      </w:r>
      <w:r w:rsidRPr="00D20CA8">
        <w:t xml:space="preserve"> of combined response</w:t>
      </w:r>
      <w:r w:rsidRPr="00D20CA8">
        <w:rPr>
          <w:rStyle w:val="FootnoteReference"/>
        </w:rPr>
        <w:footnoteReference w:id="9"/>
      </w:r>
      <w:r w:rsidRPr="00D20CA8">
        <w:t xml:space="preserve"> (response rate at Week 96: 55.1% vs. 56.0%), virologic response</w:t>
      </w:r>
      <w:r w:rsidRPr="00D20CA8">
        <w:rPr>
          <w:rStyle w:val="FootnoteReference"/>
        </w:rPr>
        <w:footnoteReference w:id="10"/>
      </w:r>
      <w:r w:rsidRPr="00D20CA8">
        <w:t xml:space="preserve"> (response rate at Week 96: 75.5% vs. 82.0%), and normalisation of ALT (response rate at Week 96: 63.3% vs. 64.0%). The incidence of Grade 3 or higher treatment-related treatment-emergent adverse events (TEAEs) at Week 96 was slightly lower in patients receiving bulevirtide </w:t>
      </w:r>
      <w:r w:rsidR="00E073FA" w:rsidRPr="00D20CA8">
        <w:t>2 mg</w:t>
      </w:r>
      <w:r w:rsidRPr="00D20CA8">
        <w:t xml:space="preserve"> compared with those receiving bulevirtide 10 mg (8.2% vs. 10.0%). In addition, it is expected that bulevirtide 2 mg treatment could be associated with better drug compliance as it requires SC self-injection once daily, compared to bulevirtide 10 mg treatment which requires SC self-injection twice daily. </w:t>
      </w:r>
      <w:r w:rsidR="004D4E08" w:rsidRPr="00D20CA8">
        <w:t>As bulevirtide 5 mg twice daily is not the recommended dose regimen, the results of this treatment arm of the MYR301 trial are not presented below.</w:t>
      </w:r>
    </w:p>
    <w:p w14:paraId="48315C34" w14:textId="2D9AC31E" w:rsidR="00EC6347" w:rsidRPr="00196231" w:rsidRDefault="00EC6347" w:rsidP="00DD6C13">
      <w:pPr>
        <w:pStyle w:val="3-BodyText"/>
      </w:pPr>
      <w:r>
        <w:t xml:space="preserve">In the MYR301 trial, 60.7% of the patients received anti-HBV treatment during the course of the study, of these, 54.7% had started anti-HBV treatment prior to baseline and 6.0% had started anti-HBV treatment at baseline (by Day 2). Use of interferons (INFs) within 6 months before screening was an exclusion criterion in the trial and </w:t>
      </w:r>
      <w:r w:rsidR="00C269E5">
        <w:t xml:space="preserve">no </w:t>
      </w:r>
      <w:r>
        <w:t>study participant received PEG-INFs concomitantly with bulevirtide during the trial.</w:t>
      </w:r>
    </w:p>
    <w:p w14:paraId="28AB0BF0" w14:textId="77777777" w:rsidR="00EC6347" w:rsidRPr="00196231" w:rsidRDefault="00EC6347" w:rsidP="00DD6C13">
      <w:pPr>
        <w:pStyle w:val="3-BodyText"/>
      </w:pPr>
      <w:r>
        <w:t>The primary efficacy endpoint of the MYR301 trial was a combined response at Week 48. The combined response was defined as simultaneous achievement of:</w:t>
      </w:r>
    </w:p>
    <w:p w14:paraId="44F5AFE2" w14:textId="77777777" w:rsidR="00EC6347" w:rsidRPr="00196231" w:rsidRDefault="00EC6347" w:rsidP="00DD6C13">
      <w:pPr>
        <w:pStyle w:val="PBACESParagraphBulletPoint"/>
      </w:pPr>
      <w:r w:rsidRPr="00196231">
        <w:t>Undetectable HDV RNA or decrease in HDV RNA by ≥ 2 log</w:t>
      </w:r>
      <w:r w:rsidRPr="00196231">
        <w:rPr>
          <w:vertAlign w:val="subscript"/>
        </w:rPr>
        <w:t xml:space="preserve">10 </w:t>
      </w:r>
      <w:r w:rsidRPr="00196231">
        <w:t xml:space="preserve">IU/mL from baseline, and </w:t>
      </w:r>
    </w:p>
    <w:p w14:paraId="206945B3" w14:textId="77777777" w:rsidR="00EC6347" w:rsidRPr="00196231" w:rsidRDefault="00EC6347" w:rsidP="00DD6C13">
      <w:pPr>
        <w:pStyle w:val="PBACESParagraphBulletPoint"/>
      </w:pPr>
      <w:r w:rsidRPr="00196231">
        <w:t>ALT normalisation.</w:t>
      </w:r>
      <w:bookmarkStart w:id="29" w:name="_Hlk152363491"/>
    </w:p>
    <w:p w14:paraId="35BC72EA" w14:textId="30017A65" w:rsidR="00B64496" w:rsidRPr="00543EB7" w:rsidRDefault="00EC6347" w:rsidP="00DD6C13">
      <w:pPr>
        <w:pStyle w:val="3-BodyText"/>
        <w:numPr>
          <w:ilvl w:val="0"/>
          <w:numId w:val="0"/>
        </w:numPr>
        <w:ind w:left="720"/>
        <w:rPr>
          <w:szCs w:val="24"/>
        </w:rPr>
      </w:pPr>
      <w:bookmarkStart w:id="30" w:name="_Hlk152363538"/>
      <w:bookmarkEnd w:id="29"/>
      <w:r w:rsidRPr="00543EB7">
        <w:t>Outcomes such as undetectable HDV RNA, ALT normalisation and virologic response defined as HDV RNA decrease by ≥ 2 log</w:t>
      </w:r>
      <w:r w:rsidRPr="00543EB7">
        <w:rPr>
          <w:vertAlign w:val="subscript"/>
        </w:rPr>
        <w:t>10</w:t>
      </w:r>
      <w:r w:rsidRPr="00543EB7">
        <w:t xml:space="preserve"> IU/mL or undetectable HDV RNA were also reported in the MYR301 trial. </w:t>
      </w:r>
      <w:bookmarkEnd w:id="30"/>
      <w:r w:rsidRPr="00543EB7">
        <w:rPr>
          <w:szCs w:val="24"/>
        </w:rPr>
        <w:t>The Food and Drug Administration (FDA) has suggested that the use of the combined virologic response (i.e. undetectable serum HDV RNA level or serum HDV RNA load decline ≥ 2 log</w:t>
      </w:r>
      <w:r w:rsidRPr="00543EB7">
        <w:rPr>
          <w:szCs w:val="24"/>
          <w:vertAlign w:val="subscript"/>
        </w:rPr>
        <w:t>10</w:t>
      </w:r>
      <w:r w:rsidRPr="00543EB7">
        <w:rPr>
          <w:szCs w:val="24"/>
        </w:rPr>
        <w:t xml:space="preserve"> IU/mL) and biochemical response (i.e. normalisation of ALT) as </w:t>
      </w:r>
      <w:r w:rsidR="004D4E08">
        <w:rPr>
          <w:szCs w:val="24"/>
        </w:rPr>
        <w:t xml:space="preserve">a </w:t>
      </w:r>
      <w:r w:rsidRPr="00543EB7">
        <w:rPr>
          <w:szCs w:val="24"/>
        </w:rPr>
        <w:t xml:space="preserve">surrogate </w:t>
      </w:r>
      <w:r w:rsidR="003E2166" w:rsidRPr="00543EB7">
        <w:rPr>
          <w:szCs w:val="24"/>
        </w:rPr>
        <w:t>measure</w:t>
      </w:r>
      <w:r w:rsidRPr="00543EB7">
        <w:rPr>
          <w:szCs w:val="24"/>
        </w:rPr>
        <w:t xml:space="preserve"> can predict clinical benefit of HDV antiviral treatment. </w:t>
      </w:r>
      <w:r w:rsidR="000D37C0" w:rsidRPr="00543EB7">
        <w:t xml:space="preserve">The PSCR argued the aim of CHD treatment is to prevent the development of complications of liver disease (cirrhosis, cancer, the requirement for </w:t>
      </w:r>
      <w:r w:rsidR="000D37C0" w:rsidRPr="00543EB7">
        <w:lastRenderedPageBreak/>
        <w:t>liver transplant and death) but that these are inappropriate and/or impractical to measure in clinical trials, hence the reliance on virological and histological outcomes as surrogate markers to predict clinical benefit.</w:t>
      </w:r>
    </w:p>
    <w:p w14:paraId="4FC88BF9" w14:textId="011C67A4" w:rsidR="00B64496" w:rsidRPr="00543EB7" w:rsidRDefault="00EC6347" w:rsidP="00DD6C13">
      <w:pPr>
        <w:pStyle w:val="3-BodyText"/>
      </w:pPr>
      <w:r w:rsidRPr="00543EB7">
        <w:t xml:space="preserve">There is some clinical evidence indicating an increased risk of liver-related events in </w:t>
      </w:r>
      <w:r w:rsidR="00DE76E4" w:rsidRPr="00543EB7">
        <w:t xml:space="preserve">CHD </w:t>
      </w:r>
      <w:r w:rsidRPr="00543EB7">
        <w:t xml:space="preserve">patients </w:t>
      </w:r>
      <w:r w:rsidR="00D67701" w:rsidRPr="00543EB7">
        <w:t>who are</w:t>
      </w:r>
      <w:r w:rsidRPr="00543EB7">
        <w:t xml:space="preserve"> anti-HDV positive </w:t>
      </w:r>
      <w:r w:rsidR="00D67701" w:rsidRPr="00543EB7">
        <w:t>and</w:t>
      </w:r>
      <w:r w:rsidRPr="00543EB7">
        <w:t xml:space="preserve"> have detectable HDV RNA compared to those with undetectable HDV RNA</w:t>
      </w:r>
      <w:r w:rsidRPr="00543EB7">
        <w:rPr>
          <w:vertAlign w:val="superscript"/>
        </w:rPr>
        <w:footnoteReference w:id="11"/>
      </w:r>
      <w:r w:rsidR="00B64496" w:rsidRPr="00543EB7">
        <w:t xml:space="preserve">. </w:t>
      </w:r>
      <w:r w:rsidRPr="00543EB7">
        <w:t xml:space="preserve">However, in </w:t>
      </w:r>
      <w:r w:rsidR="002352BE" w:rsidRPr="00543EB7">
        <w:t>patients with</w:t>
      </w:r>
      <w:r w:rsidRPr="00543EB7">
        <w:t xml:space="preserve"> viral hepatitis, liver injury is considered the consequence of not only the viral infection but also the infected individual’s immunological response to the virus. This response can vary between patients. ALT is a liver enzyme produced in hepatocyte</w:t>
      </w:r>
      <w:r w:rsidR="007D0001" w:rsidRPr="00543EB7">
        <w:t>s</w:t>
      </w:r>
      <w:r w:rsidRPr="00543EB7">
        <w:t xml:space="preserve"> and is released when there is hepatocellular injury. It is usually used as an indicator to measure </w:t>
      </w:r>
      <w:r w:rsidR="00110119" w:rsidRPr="00543EB7">
        <w:t xml:space="preserve">the </w:t>
      </w:r>
      <w:r w:rsidRPr="00543EB7">
        <w:t xml:space="preserve">severity of liver disease. In patients with CHB or CHD, however, decompensated cirrhosis may </w:t>
      </w:r>
      <w:r w:rsidR="00CF43C1" w:rsidRPr="00543EB7">
        <w:t>present</w:t>
      </w:r>
      <w:r w:rsidRPr="00543EB7">
        <w:t xml:space="preserve"> with normal ALT</w:t>
      </w:r>
      <w:r w:rsidR="00CF43C1" w:rsidRPr="00543EB7">
        <w:t xml:space="preserve"> levels</w:t>
      </w:r>
      <w:r w:rsidRPr="00543EB7">
        <w:t xml:space="preserve">. </w:t>
      </w:r>
    </w:p>
    <w:p w14:paraId="01A39A48" w14:textId="284F1C98" w:rsidR="00EC6347" w:rsidRPr="00543EB7" w:rsidRDefault="00EC6347" w:rsidP="00DD6C13">
      <w:pPr>
        <w:pStyle w:val="3-BodyText"/>
      </w:pPr>
      <w:r w:rsidRPr="00543EB7">
        <w:t>Uncertainty remains regarding how to quantify the surrogate relationship between virologic response or ALT normalisation and patient-relevant outcome.</w:t>
      </w:r>
      <w:r w:rsidR="009717E3" w:rsidRPr="00543EB7">
        <w:t xml:space="preserve"> </w:t>
      </w:r>
      <w:r w:rsidR="004C3AF1" w:rsidRPr="00543EB7">
        <w:t>Although the submission presented a systematic review and meta-analysis to support the relationship of HDV RNA reduction or undetectability or ALT normalisation on chronic HDV progression, t</w:t>
      </w:r>
      <w:r w:rsidR="009717E3" w:rsidRPr="00543EB7">
        <w:t>he</w:t>
      </w:r>
      <w:r w:rsidR="007A4321" w:rsidRPr="00543EB7">
        <w:t xml:space="preserve"> evaluation and ESC noted the</w:t>
      </w:r>
      <w:r w:rsidR="009717E3" w:rsidRPr="00543EB7">
        <w:t xml:space="preserve"> submission </w:t>
      </w:r>
      <w:r w:rsidR="009E3DB6" w:rsidRPr="00543EB7">
        <w:t>did</w:t>
      </w:r>
      <w:r w:rsidR="009717E3" w:rsidRPr="00543EB7">
        <w:t xml:space="preserve"> not explicitly use the framework in the PBAC guidelines for translating the comparative treatment effects of the proposed surrogate measure to target clinical outcomes (Appendix 5, PBAC guidelines (v5.0)).</w:t>
      </w:r>
      <w:r w:rsidR="00EB5319" w:rsidRPr="00543EB7">
        <w:t xml:space="preserve"> </w:t>
      </w:r>
      <w:r w:rsidR="004C3AF1" w:rsidRPr="00543EB7">
        <w:t>For further discussion, see Paragraph</w:t>
      </w:r>
      <w:r w:rsidR="00484B32" w:rsidRPr="00543EB7">
        <w:t>s</w:t>
      </w:r>
      <w:r w:rsidR="004C3AF1" w:rsidRPr="00543EB7">
        <w:t xml:space="preserve"> </w:t>
      </w:r>
      <w:r w:rsidR="00C25EB6" w:rsidRPr="00543EB7">
        <w:fldChar w:fldCharType="begin" w:fldLock="1"/>
      </w:r>
      <w:r w:rsidR="00C25EB6" w:rsidRPr="00543EB7">
        <w:instrText xml:space="preserve"> REF _Ref159581818 \r \h </w:instrText>
      </w:r>
      <w:r w:rsidR="00543EB7" w:rsidRPr="00543EB7">
        <w:instrText xml:space="preserve"> \* MERGEFORMAT </w:instrText>
      </w:r>
      <w:r w:rsidR="00C25EB6" w:rsidRPr="00543EB7">
        <w:fldChar w:fldCharType="separate"/>
      </w:r>
      <w:r w:rsidR="004D4E08">
        <w:t>6.32</w:t>
      </w:r>
      <w:r w:rsidR="00C25EB6" w:rsidRPr="00543EB7">
        <w:fldChar w:fldCharType="end"/>
      </w:r>
      <w:r w:rsidR="00484B32" w:rsidRPr="00543EB7">
        <w:t>-</w:t>
      </w:r>
      <w:r w:rsidR="00484B32" w:rsidRPr="00543EB7">
        <w:fldChar w:fldCharType="begin" w:fldLock="1"/>
      </w:r>
      <w:r w:rsidR="00484B32" w:rsidRPr="00543EB7">
        <w:instrText xml:space="preserve"> REF _Ref159423273 \r \h  \* MERGEFORMAT </w:instrText>
      </w:r>
      <w:r w:rsidR="00484B32" w:rsidRPr="00543EB7">
        <w:fldChar w:fldCharType="separate"/>
      </w:r>
      <w:r w:rsidR="004D4E08">
        <w:t>6.34</w:t>
      </w:r>
      <w:r w:rsidR="00484B32" w:rsidRPr="00543EB7">
        <w:fldChar w:fldCharType="end"/>
      </w:r>
      <w:r w:rsidR="004C3AF1" w:rsidRPr="00543EB7">
        <w:t xml:space="preserve">. </w:t>
      </w:r>
    </w:p>
    <w:p w14:paraId="7C625CBF" w14:textId="77777777" w:rsidR="00EC6347" w:rsidRPr="00543EB7" w:rsidRDefault="00EC6347" w:rsidP="00DD6C13">
      <w:pPr>
        <w:pStyle w:val="3-BodyText"/>
        <w:rPr>
          <w:color w:val="0070C0"/>
        </w:rPr>
      </w:pPr>
      <w:r w:rsidRPr="00543EB7">
        <w:t>Details of the trial presented in the submission are provided in the table below.</w:t>
      </w:r>
    </w:p>
    <w:p w14:paraId="648D0C1D" w14:textId="16F78104" w:rsidR="00EC6347" w:rsidRPr="00196231" w:rsidRDefault="00EC6347" w:rsidP="00CE1824">
      <w:pPr>
        <w:pStyle w:val="Caption"/>
      </w:pPr>
      <w:r w:rsidRPr="00196231">
        <w:lastRenderedPageBreak/>
        <w:t xml:space="preserve">Table </w:t>
      </w:r>
      <w:r>
        <w:fldChar w:fldCharType="begin" w:fldLock="1"/>
      </w:r>
      <w:r>
        <w:instrText>SEQ Table_PBAC. \* ARABIC</w:instrText>
      </w:r>
      <w:r>
        <w:fldChar w:fldCharType="separate"/>
      </w:r>
      <w:r w:rsidR="00B02BFE">
        <w:rPr>
          <w:noProof/>
        </w:rPr>
        <w:t>4</w:t>
      </w:r>
      <w:r>
        <w:fldChar w:fldCharType="end"/>
      </w:r>
      <w:r w:rsidRPr="00196231">
        <w:t xml:space="preserve">: </w:t>
      </w:r>
      <w:bookmarkStart w:id="31" w:name="_Hlk153040450"/>
      <w:r w:rsidRPr="00196231">
        <w:t>Trials and associated reports</w:t>
      </w:r>
      <w:bookmarkEnd w:id="31"/>
      <w:r w:rsidRPr="00196231">
        <w:t xml:space="preserve"> presented in the submission</w:t>
      </w:r>
    </w:p>
    <w:tbl>
      <w:tblPr>
        <w:tblStyle w:val="TableGrid"/>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Table 4: Trials and associated reports presented in the submission"/>
      </w:tblPr>
      <w:tblGrid>
        <w:gridCol w:w="1596"/>
        <w:gridCol w:w="5528"/>
        <w:gridCol w:w="1892"/>
      </w:tblGrid>
      <w:tr w:rsidR="00EC6347" w:rsidRPr="00196231" w14:paraId="07D2A8CA" w14:textId="77777777" w:rsidTr="008D4DE6">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69C2A" w14:textId="77777777" w:rsidR="00EC6347" w:rsidRPr="00196231" w:rsidRDefault="00EC6347" w:rsidP="008D4DE6">
            <w:pPr>
              <w:pStyle w:val="In-tableHeading"/>
              <w:rPr>
                <w:b/>
                <w:lang w:val="en-AU"/>
              </w:rPr>
            </w:pPr>
            <w:r w:rsidRPr="00196231">
              <w:rPr>
                <w:b/>
                <w:lang w:val="en-AU"/>
              </w:rPr>
              <w:t>Trial ID</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1B2C1" w14:textId="77777777" w:rsidR="00EC6347" w:rsidRPr="00196231" w:rsidRDefault="00EC6347" w:rsidP="008D4DE6">
            <w:pPr>
              <w:pStyle w:val="In-tableHeading"/>
              <w:rPr>
                <w:b/>
                <w:lang w:val="en-AU"/>
              </w:rPr>
            </w:pPr>
            <w:r w:rsidRPr="00196231">
              <w:rPr>
                <w:b/>
                <w:lang w:val="en-AU"/>
              </w:rPr>
              <w:t>Protocol title/ Publication title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35222" w14:textId="77777777" w:rsidR="00EC6347" w:rsidRPr="00196231" w:rsidRDefault="00EC6347" w:rsidP="008D4DE6">
            <w:pPr>
              <w:pStyle w:val="In-tableHeading"/>
              <w:rPr>
                <w:b/>
                <w:lang w:val="en-AU"/>
              </w:rPr>
            </w:pPr>
            <w:r w:rsidRPr="00196231">
              <w:rPr>
                <w:b/>
                <w:lang w:val="en-AU"/>
              </w:rPr>
              <w:t>Publication citation</w:t>
            </w:r>
          </w:p>
        </w:tc>
      </w:tr>
      <w:tr w:rsidR="00EC6347" w:rsidRPr="00196231" w14:paraId="73C5D106" w14:textId="77777777" w:rsidTr="00DD6C13">
        <w:trPr>
          <w:trHeight w:val="20"/>
        </w:trPr>
        <w:tc>
          <w:tcPr>
            <w:tcW w:w="1555" w:type="dxa"/>
            <w:tcBorders>
              <w:top w:val="single" w:sz="4" w:space="0" w:color="auto"/>
              <w:left w:val="single" w:sz="4" w:space="0" w:color="auto"/>
              <w:bottom w:val="nil"/>
              <w:right w:val="single" w:sz="4" w:space="0" w:color="auto"/>
            </w:tcBorders>
          </w:tcPr>
          <w:p w14:paraId="37A1F6F8" w14:textId="77777777" w:rsidR="00EC6347" w:rsidRPr="00DD6C13" w:rsidRDefault="00EC6347" w:rsidP="008D4DE6">
            <w:pPr>
              <w:pStyle w:val="TableText"/>
              <w:keepNext/>
              <w:rPr>
                <w:szCs w:val="20"/>
                <w:lang w:val="en-AU"/>
              </w:rPr>
            </w:pPr>
            <w:r w:rsidRPr="00DD6C13">
              <w:rPr>
                <w:szCs w:val="20"/>
                <w:lang w:val="en-AU"/>
              </w:rPr>
              <w:t>MYR 301</w:t>
            </w:r>
          </w:p>
          <w:p w14:paraId="327F0C0B" w14:textId="0DAA7A4B" w:rsidR="00EC6347" w:rsidRPr="00DD6C13" w:rsidRDefault="00EC6347" w:rsidP="008D4DE6">
            <w:pPr>
              <w:pStyle w:val="TableText"/>
              <w:keepNext/>
              <w:rPr>
                <w:szCs w:val="20"/>
                <w:lang w:val="en-AU"/>
              </w:rPr>
            </w:pPr>
            <w:r w:rsidRPr="00DD6C13">
              <w:rPr>
                <w:szCs w:val="20"/>
                <w:lang w:val="en-AU"/>
              </w:rPr>
              <w:t>(NCT03852719)</w:t>
            </w:r>
          </w:p>
        </w:tc>
        <w:tc>
          <w:tcPr>
            <w:tcW w:w="5386" w:type="dxa"/>
            <w:tcBorders>
              <w:top w:val="single" w:sz="4" w:space="0" w:color="auto"/>
              <w:left w:val="single" w:sz="4" w:space="0" w:color="auto"/>
              <w:bottom w:val="single" w:sz="4" w:space="0" w:color="BFBFBF" w:themeColor="background1" w:themeShade="BF"/>
              <w:right w:val="single" w:sz="4" w:space="0" w:color="auto"/>
            </w:tcBorders>
          </w:tcPr>
          <w:p w14:paraId="4EFDC522" w14:textId="77777777" w:rsidR="00EC6347" w:rsidRPr="00DD6C13" w:rsidRDefault="00EC6347" w:rsidP="008D4DE6">
            <w:pPr>
              <w:pStyle w:val="TableText"/>
              <w:keepNext/>
              <w:rPr>
                <w:szCs w:val="20"/>
                <w:lang w:val="en-AU"/>
              </w:rPr>
            </w:pPr>
            <w:r w:rsidRPr="00DD6C13">
              <w:rPr>
                <w:rStyle w:val="ui-provider"/>
                <w:szCs w:val="20"/>
                <w:lang w:val="en-AU"/>
              </w:rPr>
              <w:t>A multicenter, open-label, randomized Phase 3 clinical study to assess efficacy and safety of bulevirtide in patients with chronic hepatitis delta.</w:t>
            </w:r>
          </w:p>
        </w:tc>
        <w:tc>
          <w:tcPr>
            <w:tcW w:w="1843" w:type="dxa"/>
            <w:tcBorders>
              <w:top w:val="single" w:sz="4" w:space="0" w:color="auto"/>
              <w:left w:val="single" w:sz="4" w:space="0" w:color="auto"/>
              <w:bottom w:val="single" w:sz="4" w:space="0" w:color="BFBFBF" w:themeColor="background1" w:themeShade="BF"/>
              <w:right w:val="single" w:sz="4" w:space="0" w:color="auto"/>
            </w:tcBorders>
          </w:tcPr>
          <w:p w14:paraId="78807999" w14:textId="77777777" w:rsidR="00EC6347" w:rsidRPr="00DD6C13" w:rsidRDefault="00EC6347" w:rsidP="008D4DE6">
            <w:pPr>
              <w:pStyle w:val="TableText"/>
              <w:keepNext/>
              <w:rPr>
                <w:rStyle w:val="ui-provider"/>
                <w:szCs w:val="20"/>
                <w:lang w:val="en-AU"/>
              </w:rPr>
            </w:pPr>
            <w:r w:rsidRPr="00DD6C13">
              <w:rPr>
                <w:rStyle w:val="ui-provider"/>
                <w:szCs w:val="20"/>
                <w:lang w:val="en-AU"/>
              </w:rPr>
              <w:t>13 September 2023</w:t>
            </w:r>
          </w:p>
        </w:tc>
      </w:tr>
      <w:tr w:rsidR="00EC6347" w:rsidRPr="00196231" w14:paraId="2AB8FBA4" w14:textId="77777777" w:rsidTr="00DD6C13">
        <w:trPr>
          <w:trHeight w:val="20"/>
        </w:trPr>
        <w:tc>
          <w:tcPr>
            <w:tcW w:w="1555" w:type="dxa"/>
            <w:tcBorders>
              <w:top w:val="nil"/>
              <w:left w:val="single" w:sz="4" w:space="0" w:color="auto"/>
              <w:bottom w:val="nil"/>
              <w:right w:val="single" w:sz="4" w:space="0" w:color="auto"/>
            </w:tcBorders>
          </w:tcPr>
          <w:p w14:paraId="06F0C97F" w14:textId="77777777" w:rsidR="00EC6347" w:rsidRPr="00DD6C13" w:rsidRDefault="00EC6347" w:rsidP="008D4DE6">
            <w:pPr>
              <w:keepNext/>
              <w:spacing w:before="0"/>
              <w:rPr>
                <w:rFonts w:ascii="Arial Narrow" w:hAnsi="Arial Narrow"/>
                <w:sz w:val="20"/>
                <w:szCs w:val="20"/>
                <w:lang w:val="en-AU"/>
              </w:rPr>
            </w:pPr>
          </w:p>
        </w:tc>
        <w:tc>
          <w:tcPr>
            <w:tcW w:w="5386"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E6EB96B" w14:textId="77777777" w:rsidR="00EC6347" w:rsidRPr="00DD6C13" w:rsidRDefault="00EC6347" w:rsidP="008D4DE6">
            <w:pPr>
              <w:pStyle w:val="TableText"/>
              <w:keepNext/>
              <w:rPr>
                <w:rFonts w:cstheme="minorHAnsi"/>
                <w:color w:val="000000" w:themeColor="text1"/>
                <w:szCs w:val="20"/>
                <w:lang w:val="en-AU"/>
              </w:rPr>
            </w:pPr>
            <w:r w:rsidRPr="00DD6C13">
              <w:rPr>
                <w:szCs w:val="20"/>
                <w:lang w:val="en-AU"/>
              </w:rPr>
              <w:t xml:space="preserve">Wedemeyer H, Aleman S, et al. </w:t>
            </w:r>
            <w:r w:rsidRPr="00DD6C13">
              <w:rPr>
                <w:rFonts w:cstheme="minorHAnsi"/>
                <w:color w:val="000000" w:themeColor="text1"/>
                <w:szCs w:val="20"/>
                <w:lang w:val="en-AU"/>
              </w:rPr>
              <w:t>A phase 3, randomized trial of bulevirtide in chronic hepatitis D.</w:t>
            </w:r>
          </w:p>
        </w:tc>
        <w:tc>
          <w:tcPr>
            <w:tcW w:w="184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8CC251F" w14:textId="77777777" w:rsidR="00EC6347" w:rsidRPr="00DD6C13" w:rsidRDefault="00EC6347" w:rsidP="008D4DE6">
            <w:pPr>
              <w:pStyle w:val="TableText"/>
              <w:keepNext/>
              <w:rPr>
                <w:rStyle w:val="ui-provider"/>
                <w:szCs w:val="20"/>
                <w:lang w:val="en-AU"/>
              </w:rPr>
            </w:pPr>
            <w:r w:rsidRPr="00DD6C13">
              <w:rPr>
                <w:rStyle w:val="ui-provider"/>
                <w:szCs w:val="20"/>
                <w:lang w:val="en-AU"/>
              </w:rPr>
              <w:t>New England Journal of Medicine 2023; 389(1): 22-32.</w:t>
            </w:r>
          </w:p>
        </w:tc>
      </w:tr>
      <w:tr w:rsidR="00EC6347" w:rsidRPr="00196231" w14:paraId="141594AB" w14:textId="77777777" w:rsidTr="00DD6C13">
        <w:trPr>
          <w:trHeight w:val="20"/>
        </w:trPr>
        <w:tc>
          <w:tcPr>
            <w:tcW w:w="1555" w:type="dxa"/>
            <w:tcBorders>
              <w:top w:val="nil"/>
              <w:left w:val="single" w:sz="4" w:space="0" w:color="auto"/>
              <w:bottom w:val="nil"/>
              <w:right w:val="single" w:sz="4" w:space="0" w:color="auto"/>
            </w:tcBorders>
          </w:tcPr>
          <w:p w14:paraId="159A9334" w14:textId="77777777" w:rsidR="00EC6347" w:rsidRPr="00DD6C13" w:rsidRDefault="00EC6347" w:rsidP="008D4DE6">
            <w:pPr>
              <w:keepNext/>
              <w:spacing w:before="0"/>
              <w:rPr>
                <w:rFonts w:ascii="Arial Narrow" w:hAnsi="Arial Narrow"/>
                <w:sz w:val="20"/>
                <w:szCs w:val="20"/>
                <w:lang w:val="en-AU"/>
              </w:rPr>
            </w:pPr>
          </w:p>
        </w:tc>
        <w:tc>
          <w:tcPr>
            <w:tcW w:w="5386" w:type="dxa"/>
            <w:tcBorders>
              <w:top w:val="single" w:sz="4" w:space="0" w:color="BFBFBF" w:themeColor="background1" w:themeShade="BF"/>
              <w:left w:val="single" w:sz="4" w:space="0" w:color="auto"/>
              <w:bottom w:val="nil"/>
              <w:right w:val="single" w:sz="4" w:space="0" w:color="auto"/>
            </w:tcBorders>
          </w:tcPr>
          <w:p w14:paraId="660DF673" w14:textId="77777777" w:rsidR="00EC6347" w:rsidRPr="00DD6C13" w:rsidRDefault="00EC6347" w:rsidP="008D4DE6">
            <w:pPr>
              <w:pStyle w:val="TableText"/>
              <w:keepNext/>
              <w:rPr>
                <w:szCs w:val="20"/>
                <w:lang w:val="en-AU"/>
              </w:rPr>
            </w:pPr>
            <w:r w:rsidRPr="00DD6C13">
              <w:rPr>
                <w:szCs w:val="20"/>
                <w:lang w:val="en-AU"/>
              </w:rPr>
              <w:t>Buti M, Wedemeyer H, et al. Bulevirtide improves health-related quality of life measured by EQ-5D VAS in patients with chronic hepatitis delta: An exploratory analysis of a Phase 3 trial at 48 weeks.</w:t>
            </w:r>
          </w:p>
        </w:tc>
        <w:tc>
          <w:tcPr>
            <w:tcW w:w="1843" w:type="dxa"/>
            <w:tcBorders>
              <w:top w:val="single" w:sz="4" w:space="0" w:color="BFBFBF" w:themeColor="background1" w:themeShade="BF"/>
              <w:left w:val="single" w:sz="4" w:space="0" w:color="auto"/>
              <w:bottom w:val="nil"/>
              <w:right w:val="single" w:sz="4" w:space="0" w:color="auto"/>
            </w:tcBorders>
          </w:tcPr>
          <w:p w14:paraId="66EC58BF" w14:textId="549C5D0C" w:rsidR="00EC6347" w:rsidRPr="00DD6C13" w:rsidRDefault="00EC6347" w:rsidP="008D4DE6">
            <w:pPr>
              <w:pStyle w:val="TableText"/>
              <w:keepNext/>
              <w:rPr>
                <w:szCs w:val="20"/>
                <w:lang w:val="en-AU"/>
              </w:rPr>
            </w:pPr>
            <w:r w:rsidRPr="00DD6C13">
              <w:rPr>
                <w:i/>
                <w:szCs w:val="20"/>
                <w:lang w:val="en-AU"/>
              </w:rPr>
              <w:t xml:space="preserve">Digestive and Liver Disease </w:t>
            </w:r>
            <w:r w:rsidRPr="00DD6C13">
              <w:rPr>
                <w:iCs/>
                <w:szCs w:val="20"/>
                <w:lang w:val="en-AU"/>
              </w:rPr>
              <w:t>2023</w:t>
            </w:r>
            <w:r w:rsidRPr="00DD6C13">
              <w:rPr>
                <w:i/>
                <w:szCs w:val="20"/>
                <w:lang w:val="en-AU"/>
              </w:rPr>
              <w:t xml:space="preserve">; </w:t>
            </w:r>
            <w:r w:rsidRPr="00DD6C13">
              <w:rPr>
                <w:iCs/>
                <w:szCs w:val="20"/>
                <w:lang w:val="en-AU"/>
              </w:rPr>
              <w:t>55</w:t>
            </w:r>
            <w:r w:rsidRPr="00DD6C13">
              <w:rPr>
                <w:szCs w:val="20"/>
                <w:lang w:val="en-AU"/>
              </w:rPr>
              <w:t>: S72-3.</w:t>
            </w:r>
          </w:p>
        </w:tc>
      </w:tr>
      <w:tr w:rsidR="00EC6347" w:rsidRPr="00196231" w14:paraId="28B9FE73" w14:textId="77777777" w:rsidTr="00DD6C13">
        <w:trPr>
          <w:trHeight w:val="20"/>
        </w:trPr>
        <w:tc>
          <w:tcPr>
            <w:tcW w:w="1555" w:type="dxa"/>
            <w:tcBorders>
              <w:top w:val="nil"/>
              <w:left w:val="single" w:sz="4" w:space="0" w:color="auto"/>
              <w:bottom w:val="nil"/>
              <w:right w:val="single" w:sz="4" w:space="0" w:color="auto"/>
            </w:tcBorders>
          </w:tcPr>
          <w:p w14:paraId="1AF53293" w14:textId="77777777" w:rsidR="00EC6347" w:rsidRPr="00DD6C13" w:rsidRDefault="00EC6347" w:rsidP="008D4DE6">
            <w:pPr>
              <w:keepNext/>
              <w:spacing w:before="0"/>
              <w:rPr>
                <w:rFonts w:ascii="Arial Narrow" w:hAnsi="Arial Narrow"/>
                <w:sz w:val="20"/>
                <w:szCs w:val="20"/>
                <w:lang w:val="en-AU"/>
              </w:rPr>
            </w:pPr>
          </w:p>
        </w:tc>
        <w:tc>
          <w:tcPr>
            <w:tcW w:w="5386" w:type="dxa"/>
            <w:tcBorders>
              <w:top w:val="nil"/>
              <w:left w:val="single" w:sz="4" w:space="0" w:color="auto"/>
              <w:right w:val="single" w:sz="4" w:space="0" w:color="auto"/>
            </w:tcBorders>
          </w:tcPr>
          <w:p w14:paraId="4BA1EBB2" w14:textId="77777777" w:rsidR="00EC6347" w:rsidRPr="00DD6C13" w:rsidRDefault="00EC6347" w:rsidP="008D4DE6">
            <w:pPr>
              <w:pStyle w:val="TableText"/>
              <w:keepNext/>
              <w:rPr>
                <w:szCs w:val="20"/>
                <w:lang w:val="en-AU"/>
              </w:rPr>
            </w:pPr>
            <w:r w:rsidRPr="00DD6C13">
              <w:rPr>
                <w:szCs w:val="20"/>
                <w:lang w:val="en-AU"/>
              </w:rPr>
              <w:t>Wedemeyer H, Aleman S, et al. Bulevirtide monotherapy at low and high dose in patients with chronic hepatitis delta: 24 weeks interim data of the phase 3 MYR301 study.</w:t>
            </w:r>
          </w:p>
        </w:tc>
        <w:tc>
          <w:tcPr>
            <w:tcW w:w="1843" w:type="dxa"/>
            <w:tcBorders>
              <w:top w:val="nil"/>
              <w:left w:val="single" w:sz="4" w:space="0" w:color="auto"/>
              <w:right w:val="single" w:sz="4" w:space="0" w:color="auto"/>
            </w:tcBorders>
          </w:tcPr>
          <w:p w14:paraId="19D20296" w14:textId="484D32A2" w:rsidR="00EC6347" w:rsidRPr="00DD6C13" w:rsidRDefault="00EC6347" w:rsidP="008D4DE6">
            <w:pPr>
              <w:pStyle w:val="TableText"/>
              <w:keepNext/>
              <w:rPr>
                <w:i/>
                <w:szCs w:val="20"/>
                <w:lang w:val="en-AU"/>
              </w:rPr>
            </w:pPr>
            <w:r w:rsidRPr="00DD6C13">
              <w:rPr>
                <w:i/>
                <w:szCs w:val="20"/>
                <w:lang w:val="en-AU"/>
              </w:rPr>
              <w:t xml:space="preserve">Digestive and Liver Disease </w:t>
            </w:r>
            <w:r w:rsidRPr="00DD6C13">
              <w:rPr>
                <w:iCs/>
                <w:szCs w:val="20"/>
                <w:lang w:val="en-AU"/>
              </w:rPr>
              <w:t>2022; 54: S24-5.</w:t>
            </w:r>
          </w:p>
        </w:tc>
      </w:tr>
      <w:tr w:rsidR="00EC6347" w:rsidRPr="00196231" w14:paraId="15AAB5D5" w14:textId="77777777" w:rsidTr="00DD6C13">
        <w:trPr>
          <w:trHeight w:val="20"/>
        </w:trPr>
        <w:tc>
          <w:tcPr>
            <w:tcW w:w="1555" w:type="dxa"/>
            <w:tcBorders>
              <w:top w:val="nil"/>
              <w:left w:val="single" w:sz="4" w:space="0" w:color="auto"/>
              <w:bottom w:val="nil"/>
              <w:right w:val="single" w:sz="4" w:space="0" w:color="auto"/>
            </w:tcBorders>
          </w:tcPr>
          <w:p w14:paraId="02633FF9"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3499DDCB" w14:textId="77777777" w:rsidR="00EC6347" w:rsidRPr="00DD6C13" w:rsidRDefault="00EC6347" w:rsidP="008D4DE6">
            <w:pPr>
              <w:pStyle w:val="TableText"/>
              <w:keepNext/>
              <w:rPr>
                <w:szCs w:val="20"/>
                <w:lang w:val="en-AU"/>
              </w:rPr>
            </w:pPr>
            <w:r w:rsidRPr="00DD6C13">
              <w:rPr>
                <w:szCs w:val="20"/>
                <w:lang w:val="en-AU"/>
              </w:rPr>
              <w:t>Wedemeyer H, Aleman S, et al. Bulevirtide monotherapy at low and high dose in patients with chronic hepatitis delta: 24 weeks interim data of the phase 3 MYR301 study.</w:t>
            </w:r>
          </w:p>
        </w:tc>
        <w:tc>
          <w:tcPr>
            <w:tcW w:w="1843" w:type="dxa"/>
            <w:tcBorders>
              <w:left w:val="single" w:sz="4" w:space="0" w:color="auto"/>
              <w:right w:val="single" w:sz="4" w:space="0" w:color="auto"/>
            </w:tcBorders>
          </w:tcPr>
          <w:p w14:paraId="2BEBF1DF" w14:textId="56A663BD" w:rsidR="00EC6347" w:rsidRPr="00DD6C13" w:rsidRDefault="00EC6347" w:rsidP="008D4DE6">
            <w:pPr>
              <w:pStyle w:val="TableText"/>
              <w:keepNext/>
              <w:rPr>
                <w:i/>
                <w:szCs w:val="20"/>
                <w:lang w:val="en-AU"/>
              </w:rPr>
            </w:pPr>
            <w:r w:rsidRPr="00DD6C13">
              <w:rPr>
                <w:i/>
                <w:szCs w:val="20"/>
                <w:lang w:val="en-AU"/>
              </w:rPr>
              <w:t xml:space="preserve">Hepatology International </w:t>
            </w:r>
            <w:r w:rsidRPr="00DD6C13">
              <w:rPr>
                <w:iCs/>
                <w:szCs w:val="20"/>
                <w:lang w:val="en-AU"/>
              </w:rPr>
              <w:t>2022; 16: S234.</w:t>
            </w:r>
          </w:p>
        </w:tc>
      </w:tr>
      <w:tr w:rsidR="00EC6347" w:rsidRPr="00196231" w14:paraId="156294D2" w14:textId="77777777" w:rsidTr="00DD6C13">
        <w:trPr>
          <w:trHeight w:val="20"/>
        </w:trPr>
        <w:tc>
          <w:tcPr>
            <w:tcW w:w="1555" w:type="dxa"/>
            <w:tcBorders>
              <w:top w:val="nil"/>
              <w:left w:val="single" w:sz="4" w:space="0" w:color="auto"/>
              <w:bottom w:val="nil"/>
              <w:right w:val="single" w:sz="4" w:space="0" w:color="auto"/>
            </w:tcBorders>
          </w:tcPr>
          <w:p w14:paraId="510E5A3C"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2EA88FEE" w14:textId="77777777" w:rsidR="00EC6347" w:rsidRPr="00DD6C13" w:rsidRDefault="00EC6347" w:rsidP="008D4DE6">
            <w:pPr>
              <w:pStyle w:val="TableText"/>
              <w:keepNext/>
              <w:rPr>
                <w:szCs w:val="20"/>
                <w:lang w:val="en-AU"/>
              </w:rPr>
            </w:pPr>
            <w:r w:rsidRPr="00DD6C13">
              <w:rPr>
                <w:szCs w:val="20"/>
                <w:lang w:val="en-AU"/>
              </w:rPr>
              <w:t>Wedemeyer H, Aleman S, et al. Efficacy and safety of bulevirtide monotherapy given at 2 mg or 10 mg dose level once daily for treatment of chronic hepatitis delta: week 48 primary end point results from a phase 3 randomized, multicenter, parallel design study.</w:t>
            </w:r>
          </w:p>
        </w:tc>
        <w:tc>
          <w:tcPr>
            <w:tcW w:w="1843" w:type="dxa"/>
            <w:tcBorders>
              <w:left w:val="single" w:sz="4" w:space="0" w:color="auto"/>
              <w:right w:val="single" w:sz="4" w:space="0" w:color="auto"/>
            </w:tcBorders>
          </w:tcPr>
          <w:p w14:paraId="13A67907" w14:textId="77777777" w:rsidR="00EC6347" w:rsidRPr="00DD6C13" w:rsidRDefault="00EC6347" w:rsidP="008D4DE6">
            <w:pPr>
              <w:pStyle w:val="TableText"/>
              <w:keepNext/>
              <w:rPr>
                <w:iCs/>
                <w:szCs w:val="20"/>
                <w:lang w:val="en-AU"/>
              </w:rPr>
            </w:pPr>
            <w:r w:rsidRPr="00DD6C13">
              <w:rPr>
                <w:i/>
                <w:szCs w:val="20"/>
                <w:lang w:val="en-AU"/>
              </w:rPr>
              <w:t xml:space="preserve">Journal of Hepatology </w:t>
            </w:r>
            <w:r w:rsidRPr="00DD6C13">
              <w:rPr>
                <w:iCs/>
                <w:szCs w:val="20"/>
                <w:lang w:val="en-AU"/>
              </w:rPr>
              <w:t>2022; 77 (suppl1): 4-5.</w:t>
            </w:r>
          </w:p>
          <w:p w14:paraId="747DB3AB" w14:textId="77777777" w:rsidR="00EC6347" w:rsidRPr="00DD6C13" w:rsidRDefault="00EC6347" w:rsidP="008D4DE6">
            <w:pPr>
              <w:pStyle w:val="TableText"/>
              <w:keepNext/>
              <w:rPr>
                <w:i/>
                <w:szCs w:val="20"/>
                <w:lang w:val="en-AU"/>
              </w:rPr>
            </w:pPr>
          </w:p>
        </w:tc>
      </w:tr>
      <w:tr w:rsidR="00EC6347" w:rsidRPr="00196231" w14:paraId="3DE19950" w14:textId="77777777" w:rsidTr="00DD6C13">
        <w:trPr>
          <w:trHeight w:val="20"/>
        </w:trPr>
        <w:tc>
          <w:tcPr>
            <w:tcW w:w="1555" w:type="dxa"/>
            <w:tcBorders>
              <w:top w:val="nil"/>
              <w:left w:val="single" w:sz="4" w:space="0" w:color="auto"/>
              <w:bottom w:val="nil"/>
              <w:right w:val="single" w:sz="4" w:space="0" w:color="auto"/>
            </w:tcBorders>
          </w:tcPr>
          <w:p w14:paraId="01F3ECC6"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05CF090D" w14:textId="77777777" w:rsidR="00EC6347" w:rsidRPr="00DD6C13" w:rsidRDefault="00EC6347" w:rsidP="008D4DE6">
            <w:pPr>
              <w:pStyle w:val="TableText"/>
              <w:keepNext/>
              <w:rPr>
                <w:szCs w:val="20"/>
                <w:lang w:val="en-AU"/>
              </w:rPr>
            </w:pPr>
            <w:r w:rsidRPr="00DD6C13">
              <w:rPr>
                <w:szCs w:val="20"/>
                <w:lang w:val="en-AU"/>
              </w:rPr>
              <w:t>Buti M, Wedemeyer H, et al. Treatment with bulevirtide improves patient-reported outcomes in patients with chronic hepatitis delta: An exploratory analysis of a Phase 3 trial at 48 weeks.</w:t>
            </w:r>
          </w:p>
        </w:tc>
        <w:tc>
          <w:tcPr>
            <w:tcW w:w="1843" w:type="dxa"/>
            <w:tcBorders>
              <w:left w:val="single" w:sz="4" w:space="0" w:color="auto"/>
              <w:right w:val="single" w:sz="4" w:space="0" w:color="auto"/>
            </w:tcBorders>
          </w:tcPr>
          <w:p w14:paraId="729AF623" w14:textId="77777777" w:rsidR="00EC6347" w:rsidRPr="00DD6C13" w:rsidRDefault="00EC6347" w:rsidP="008D4DE6">
            <w:pPr>
              <w:pStyle w:val="TableText"/>
              <w:keepNext/>
              <w:rPr>
                <w:i/>
                <w:szCs w:val="20"/>
                <w:lang w:val="en-AU"/>
              </w:rPr>
            </w:pPr>
            <w:r w:rsidRPr="00DD6C13">
              <w:rPr>
                <w:i/>
                <w:szCs w:val="20"/>
                <w:lang w:val="en-AU"/>
              </w:rPr>
              <w:t>Journal of Hepatology 2022; 77 (suppl1): S103</w:t>
            </w:r>
          </w:p>
        </w:tc>
      </w:tr>
      <w:tr w:rsidR="00EC6347" w:rsidRPr="00196231" w14:paraId="799B2D1E" w14:textId="77777777" w:rsidTr="00DD6C13">
        <w:trPr>
          <w:trHeight w:val="20"/>
        </w:trPr>
        <w:tc>
          <w:tcPr>
            <w:tcW w:w="1555" w:type="dxa"/>
            <w:tcBorders>
              <w:top w:val="nil"/>
              <w:left w:val="single" w:sz="4" w:space="0" w:color="auto"/>
              <w:bottom w:val="nil"/>
              <w:right w:val="single" w:sz="4" w:space="0" w:color="auto"/>
            </w:tcBorders>
          </w:tcPr>
          <w:p w14:paraId="12C35F51"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6C2C6450" w14:textId="77777777" w:rsidR="00EC6347" w:rsidRPr="00DD6C13" w:rsidRDefault="00EC6347" w:rsidP="008D4DE6">
            <w:pPr>
              <w:pStyle w:val="TableText"/>
              <w:keepNext/>
              <w:rPr>
                <w:szCs w:val="20"/>
                <w:lang w:val="en-AU"/>
              </w:rPr>
            </w:pPr>
            <w:r w:rsidRPr="00DD6C13">
              <w:rPr>
                <w:szCs w:val="20"/>
                <w:lang w:val="en-AU"/>
              </w:rPr>
              <w:t>Freismuth A, Wedemeyer H, et al. Bulevirtide monotherapy at low and high doses in patients with chronic hepatitis delta: 24-week interim data of the Phase 3 MYR301 study.</w:t>
            </w:r>
          </w:p>
        </w:tc>
        <w:tc>
          <w:tcPr>
            <w:tcW w:w="1843" w:type="dxa"/>
            <w:tcBorders>
              <w:left w:val="single" w:sz="4" w:space="0" w:color="auto"/>
              <w:right w:val="single" w:sz="4" w:space="0" w:color="auto"/>
            </w:tcBorders>
          </w:tcPr>
          <w:p w14:paraId="7E11529C" w14:textId="77777777" w:rsidR="00EC6347" w:rsidRPr="00DD6C13" w:rsidRDefault="00EC6347" w:rsidP="008D4DE6">
            <w:pPr>
              <w:pStyle w:val="TableText"/>
              <w:keepNext/>
              <w:rPr>
                <w:iCs/>
                <w:szCs w:val="20"/>
                <w:lang w:val="en-AU"/>
              </w:rPr>
            </w:pPr>
            <w:r w:rsidRPr="00DD6C13">
              <w:rPr>
                <w:i/>
                <w:szCs w:val="20"/>
                <w:lang w:val="en-AU"/>
              </w:rPr>
              <w:t xml:space="preserve">Journal of Gastroenterology and Hepatology </w:t>
            </w:r>
            <w:r w:rsidRPr="00DD6C13">
              <w:rPr>
                <w:iCs/>
                <w:szCs w:val="20"/>
                <w:lang w:val="en-AU"/>
              </w:rPr>
              <w:t>2022; 37(suppl1): 52-53.</w:t>
            </w:r>
          </w:p>
        </w:tc>
      </w:tr>
      <w:tr w:rsidR="00EC6347" w:rsidRPr="00196231" w14:paraId="6FA82524" w14:textId="77777777" w:rsidTr="00DD6C13">
        <w:trPr>
          <w:trHeight w:val="20"/>
        </w:trPr>
        <w:tc>
          <w:tcPr>
            <w:tcW w:w="1555" w:type="dxa"/>
            <w:tcBorders>
              <w:top w:val="nil"/>
              <w:left w:val="single" w:sz="4" w:space="0" w:color="auto"/>
              <w:bottom w:val="nil"/>
              <w:right w:val="single" w:sz="4" w:space="0" w:color="auto"/>
            </w:tcBorders>
          </w:tcPr>
          <w:p w14:paraId="511EE13E"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28B3DF6B" w14:textId="77777777" w:rsidR="00EC6347" w:rsidRPr="00DD6C13" w:rsidRDefault="00EC6347" w:rsidP="008D4DE6">
            <w:pPr>
              <w:pStyle w:val="TableText"/>
              <w:keepNext/>
              <w:rPr>
                <w:szCs w:val="20"/>
                <w:lang w:val="en-AU"/>
              </w:rPr>
            </w:pPr>
            <w:r w:rsidRPr="00DD6C13">
              <w:rPr>
                <w:szCs w:val="20"/>
                <w:lang w:val="en-AU"/>
              </w:rPr>
              <w:t>Buti M, Wedemeyer H, et al. Bulevirtide improves health related quality life measured by EQ-5D vas in patients with chronic hepatitis delta: an exploratory analysis of a phase 3 trial at 48 weeks.</w:t>
            </w:r>
          </w:p>
        </w:tc>
        <w:tc>
          <w:tcPr>
            <w:tcW w:w="1843" w:type="dxa"/>
            <w:tcBorders>
              <w:left w:val="single" w:sz="4" w:space="0" w:color="auto"/>
              <w:right w:val="single" w:sz="4" w:space="0" w:color="auto"/>
            </w:tcBorders>
          </w:tcPr>
          <w:p w14:paraId="178EC1D2" w14:textId="77777777" w:rsidR="00EC6347" w:rsidRPr="00DD6C13" w:rsidRDefault="00EC6347" w:rsidP="008D4DE6">
            <w:pPr>
              <w:pStyle w:val="TableText"/>
              <w:keepNext/>
              <w:rPr>
                <w:iCs/>
                <w:szCs w:val="20"/>
                <w:lang w:val="en-AU"/>
              </w:rPr>
            </w:pPr>
            <w:r w:rsidRPr="00DD6C13">
              <w:rPr>
                <w:i/>
                <w:szCs w:val="20"/>
                <w:lang w:val="en-AU"/>
              </w:rPr>
              <w:t>Hepatology</w:t>
            </w:r>
            <w:r w:rsidRPr="00DD6C13">
              <w:rPr>
                <w:iCs/>
                <w:szCs w:val="20"/>
                <w:lang w:val="en-AU"/>
              </w:rPr>
              <w:t xml:space="preserve"> 2022; 76: S224-5.</w:t>
            </w:r>
          </w:p>
          <w:p w14:paraId="5AAE66BC" w14:textId="77777777" w:rsidR="00EC6347" w:rsidRPr="00DD6C13" w:rsidRDefault="00EC6347" w:rsidP="008D4DE6">
            <w:pPr>
              <w:pStyle w:val="TableText"/>
              <w:keepNext/>
              <w:rPr>
                <w:i/>
                <w:szCs w:val="20"/>
                <w:lang w:val="en-AU"/>
              </w:rPr>
            </w:pPr>
          </w:p>
        </w:tc>
      </w:tr>
      <w:tr w:rsidR="00EC6347" w:rsidRPr="00196231" w14:paraId="27D289F7" w14:textId="77777777" w:rsidTr="00DD6C13">
        <w:trPr>
          <w:trHeight w:val="20"/>
        </w:trPr>
        <w:tc>
          <w:tcPr>
            <w:tcW w:w="1555" w:type="dxa"/>
            <w:tcBorders>
              <w:top w:val="nil"/>
              <w:left w:val="single" w:sz="4" w:space="0" w:color="auto"/>
              <w:bottom w:val="nil"/>
              <w:right w:val="single" w:sz="4" w:space="0" w:color="auto"/>
            </w:tcBorders>
          </w:tcPr>
          <w:p w14:paraId="20A5D708"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1537189D" w14:textId="77777777" w:rsidR="00EC6347" w:rsidRPr="00DD6C13" w:rsidRDefault="00EC6347" w:rsidP="008D4DE6">
            <w:pPr>
              <w:pStyle w:val="TableText"/>
              <w:keepNext/>
              <w:rPr>
                <w:szCs w:val="20"/>
                <w:lang w:val="en-AU"/>
              </w:rPr>
            </w:pPr>
            <w:r w:rsidRPr="00DD6C13">
              <w:rPr>
                <w:szCs w:val="20"/>
                <w:lang w:val="en-AU"/>
              </w:rPr>
              <w:t>Allweiss L, Dettmer C, et al. Strong intrahepatic decline of hepatitis D virus RNA and antigen after 24 weeks of treatment with Myrcludex B in combination with tenofovir in chronic HBV/HDV infected patients: Interim results from a multicenter, open-label phase 2b clinical trial.</w:t>
            </w:r>
          </w:p>
        </w:tc>
        <w:tc>
          <w:tcPr>
            <w:tcW w:w="1843" w:type="dxa"/>
            <w:tcBorders>
              <w:left w:val="single" w:sz="4" w:space="0" w:color="auto"/>
              <w:right w:val="single" w:sz="4" w:space="0" w:color="auto"/>
            </w:tcBorders>
          </w:tcPr>
          <w:p w14:paraId="7DB7F62E" w14:textId="77777777" w:rsidR="00EC6347" w:rsidRPr="00DD6C13" w:rsidRDefault="00EC6347" w:rsidP="008D4DE6">
            <w:pPr>
              <w:pStyle w:val="TableText"/>
              <w:keepNext/>
              <w:rPr>
                <w:iCs/>
                <w:szCs w:val="20"/>
                <w:lang w:val="en-AU"/>
              </w:rPr>
            </w:pPr>
            <w:r w:rsidRPr="00DD6C13">
              <w:rPr>
                <w:i/>
                <w:szCs w:val="20"/>
                <w:lang w:val="en-AU"/>
              </w:rPr>
              <w:t>Hepatology</w:t>
            </w:r>
            <w:r w:rsidRPr="00DD6C13">
              <w:rPr>
                <w:iCs/>
                <w:szCs w:val="20"/>
                <w:lang w:val="en-AU"/>
              </w:rPr>
              <w:t xml:space="preserve"> 2021; 74(suppl1): 148A.</w:t>
            </w:r>
          </w:p>
          <w:p w14:paraId="156C36ED" w14:textId="77777777" w:rsidR="00EC6347" w:rsidRPr="00DD6C13" w:rsidRDefault="00EC6347" w:rsidP="008D4DE6">
            <w:pPr>
              <w:pStyle w:val="TableText"/>
              <w:keepNext/>
              <w:rPr>
                <w:i/>
                <w:szCs w:val="20"/>
                <w:lang w:val="en-AU"/>
              </w:rPr>
            </w:pPr>
          </w:p>
          <w:p w14:paraId="7383F172" w14:textId="77777777" w:rsidR="00EC6347" w:rsidRPr="00DD6C13" w:rsidRDefault="00EC6347" w:rsidP="008D4DE6">
            <w:pPr>
              <w:pStyle w:val="TableText"/>
              <w:keepNext/>
              <w:rPr>
                <w:i/>
                <w:szCs w:val="20"/>
                <w:lang w:val="en-AU"/>
              </w:rPr>
            </w:pPr>
          </w:p>
        </w:tc>
      </w:tr>
      <w:tr w:rsidR="00EC6347" w:rsidRPr="00196231" w14:paraId="575C7BB2" w14:textId="77777777" w:rsidTr="00DD6C13">
        <w:trPr>
          <w:trHeight w:val="20"/>
        </w:trPr>
        <w:tc>
          <w:tcPr>
            <w:tcW w:w="1555" w:type="dxa"/>
            <w:tcBorders>
              <w:top w:val="nil"/>
              <w:left w:val="single" w:sz="4" w:space="0" w:color="auto"/>
              <w:bottom w:val="nil"/>
              <w:right w:val="single" w:sz="4" w:space="0" w:color="auto"/>
            </w:tcBorders>
          </w:tcPr>
          <w:p w14:paraId="5303A3C4"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4DAE8AA4" w14:textId="77777777" w:rsidR="00EC6347" w:rsidRPr="00DD6C13" w:rsidRDefault="00EC6347" w:rsidP="008D4DE6">
            <w:pPr>
              <w:pStyle w:val="TableText"/>
              <w:keepNext/>
              <w:rPr>
                <w:szCs w:val="20"/>
                <w:lang w:val="en-AU"/>
              </w:rPr>
            </w:pPr>
            <w:r w:rsidRPr="00DD6C13">
              <w:rPr>
                <w:szCs w:val="20"/>
                <w:lang w:val="en-AU"/>
              </w:rPr>
              <w:t>Wedemeyer H, Aleman S, et al. Treatment with bulevirtide improves patient reported outcomes in patients with chronic hepatitis delta (CHD): An Interim exploratory analysis at week 24.</w:t>
            </w:r>
          </w:p>
        </w:tc>
        <w:tc>
          <w:tcPr>
            <w:tcW w:w="1843" w:type="dxa"/>
            <w:tcBorders>
              <w:left w:val="single" w:sz="4" w:space="0" w:color="auto"/>
              <w:right w:val="single" w:sz="4" w:space="0" w:color="auto"/>
            </w:tcBorders>
          </w:tcPr>
          <w:p w14:paraId="3C0999C2" w14:textId="77777777" w:rsidR="00EC6347" w:rsidRPr="00DD6C13" w:rsidRDefault="00EC6347" w:rsidP="008D4DE6">
            <w:pPr>
              <w:pStyle w:val="TableText"/>
              <w:keepNext/>
              <w:rPr>
                <w:i/>
                <w:szCs w:val="20"/>
                <w:lang w:val="en-AU"/>
              </w:rPr>
            </w:pPr>
            <w:r w:rsidRPr="00DD6C13">
              <w:rPr>
                <w:i/>
                <w:szCs w:val="20"/>
                <w:lang w:val="en-AU"/>
              </w:rPr>
              <w:t>Hepatology</w:t>
            </w:r>
            <w:r w:rsidRPr="00DD6C13">
              <w:rPr>
                <w:iCs/>
                <w:szCs w:val="20"/>
                <w:lang w:val="en-AU"/>
              </w:rPr>
              <w:t xml:space="preserve"> 2021; 74: 413A-414A</w:t>
            </w:r>
          </w:p>
        </w:tc>
      </w:tr>
      <w:tr w:rsidR="00EC6347" w:rsidRPr="00196231" w14:paraId="2462603B" w14:textId="77777777" w:rsidTr="00DD6C13">
        <w:trPr>
          <w:trHeight w:val="20"/>
        </w:trPr>
        <w:tc>
          <w:tcPr>
            <w:tcW w:w="1555" w:type="dxa"/>
            <w:tcBorders>
              <w:top w:val="nil"/>
              <w:left w:val="single" w:sz="4" w:space="0" w:color="auto"/>
              <w:bottom w:val="nil"/>
              <w:right w:val="single" w:sz="4" w:space="0" w:color="auto"/>
            </w:tcBorders>
          </w:tcPr>
          <w:p w14:paraId="12023BCD"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7ABCDCAB" w14:textId="77777777" w:rsidR="00EC6347" w:rsidRPr="00DD6C13" w:rsidRDefault="00EC6347" w:rsidP="008D4DE6">
            <w:pPr>
              <w:pStyle w:val="TableText"/>
              <w:keepNext/>
              <w:rPr>
                <w:szCs w:val="20"/>
                <w:lang w:val="en-AU"/>
              </w:rPr>
            </w:pPr>
            <w:r w:rsidRPr="00DD6C13">
              <w:rPr>
                <w:szCs w:val="20"/>
                <w:lang w:val="en-AU"/>
              </w:rPr>
              <w:t>Wedemeyer H, Aleman S, et al. Efficacy and safety of bulevirtide monotherapy given at 2 mg or 10 mg dose Level once daily for treatment of chronic hepatitis delta: Week 48 primary endpoint results from a Phase 3 randomized, multicenter, parallel design study.</w:t>
            </w:r>
          </w:p>
        </w:tc>
        <w:tc>
          <w:tcPr>
            <w:tcW w:w="1843" w:type="dxa"/>
            <w:tcBorders>
              <w:left w:val="single" w:sz="4" w:space="0" w:color="auto"/>
              <w:right w:val="single" w:sz="4" w:space="0" w:color="auto"/>
            </w:tcBorders>
          </w:tcPr>
          <w:p w14:paraId="3A6A8AFA" w14:textId="77777777" w:rsidR="00EC6347" w:rsidRPr="00DD6C13" w:rsidRDefault="00EC6347" w:rsidP="008D4DE6">
            <w:pPr>
              <w:pStyle w:val="TableText"/>
              <w:keepNext/>
              <w:rPr>
                <w:i/>
                <w:szCs w:val="20"/>
                <w:lang w:val="en-AU"/>
              </w:rPr>
            </w:pPr>
            <w:r w:rsidRPr="00DD6C13">
              <w:rPr>
                <w:i/>
                <w:szCs w:val="20"/>
                <w:lang w:val="en-AU"/>
              </w:rPr>
              <w:t>Zeitschrift für Gastroenterologie</w:t>
            </w:r>
            <w:r w:rsidRPr="00DD6C13">
              <w:rPr>
                <w:iCs/>
                <w:szCs w:val="20"/>
                <w:lang w:val="en-AU"/>
              </w:rPr>
              <w:t xml:space="preserve"> 2023; 61(01): e45-6</w:t>
            </w:r>
          </w:p>
        </w:tc>
      </w:tr>
      <w:tr w:rsidR="00EC6347" w:rsidRPr="00196231" w14:paraId="13E9D4D9" w14:textId="77777777" w:rsidTr="00DD6C13">
        <w:trPr>
          <w:trHeight w:val="20"/>
        </w:trPr>
        <w:tc>
          <w:tcPr>
            <w:tcW w:w="1555" w:type="dxa"/>
            <w:tcBorders>
              <w:top w:val="nil"/>
              <w:left w:val="single" w:sz="4" w:space="0" w:color="auto"/>
              <w:bottom w:val="nil"/>
              <w:right w:val="single" w:sz="4" w:space="0" w:color="auto"/>
            </w:tcBorders>
          </w:tcPr>
          <w:p w14:paraId="6D126EE1"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right w:val="single" w:sz="4" w:space="0" w:color="auto"/>
            </w:tcBorders>
          </w:tcPr>
          <w:p w14:paraId="77349776" w14:textId="77777777" w:rsidR="00EC6347" w:rsidRPr="00DD6C13" w:rsidRDefault="00EC6347" w:rsidP="008D4DE6">
            <w:pPr>
              <w:pStyle w:val="TableText"/>
              <w:keepNext/>
              <w:rPr>
                <w:szCs w:val="20"/>
                <w:lang w:val="en-AU"/>
              </w:rPr>
            </w:pPr>
            <w:r w:rsidRPr="00DD6C13">
              <w:rPr>
                <w:szCs w:val="20"/>
                <w:lang w:val="en-AU"/>
              </w:rPr>
              <w:t>Lee S, Wedemeyer H, et al. S1179 bulevirtide monotherapy at low and high dose in patients with chronic hepatitis Delta: 24-week interim data of the Phase 3 MYR301 study.</w:t>
            </w:r>
          </w:p>
        </w:tc>
        <w:tc>
          <w:tcPr>
            <w:tcW w:w="1843" w:type="dxa"/>
            <w:tcBorders>
              <w:left w:val="single" w:sz="4" w:space="0" w:color="auto"/>
              <w:right w:val="single" w:sz="4" w:space="0" w:color="auto"/>
            </w:tcBorders>
          </w:tcPr>
          <w:p w14:paraId="37A36F19" w14:textId="77777777" w:rsidR="00EC6347" w:rsidRPr="00DD6C13" w:rsidRDefault="00EC6347" w:rsidP="008D4DE6">
            <w:pPr>
              <w:pStyle w:val="TableText"/>
              <w:keepNext/>
              <w:rPr>
                <w:i/>
                <w:szCs w:val="20"/>
                <w:lang w:val="en-AU"/>
              </w:rPr>
            </w:pPr>
            <w:r w:rsidRPr="00DD6C13">
              <w:rPr>
                <w:rFonts w:cstheme="minorHAnsi"/>
                <w:i/>
                <w:iCs/>
                <w:szCs w:val="20"/>
                <w:lang w:val="en-AU"/>
              </w:rPr>
              <w:t>Official journal of the American College of Gastroenterology</w:t>
            </w:r>
            <w:r w:rsidRPr="00DD6C13">
              <w:rPr>
                <w:rFonts w:cstheme="minorHAnsi"/>
                <w:szCs w:val="20"/>
                <w:lang w:val="en-AU"/>
              </w:rPr>
              <w:t xml:space="preserve"> 2022; 117(10S): e858-9.</w:t>
            </w:r>
          </w:p>
        </w:tc>
      </w:tr>
      <w:tr w:rsidR="00EC6347" w:rsidRPr="00196231" w14:paraId="1A36C0B9" w14:textId="77777777" w:rsidTr="00DD6C13">
        <w:trPr>
          <w:trHeight w:val="20"/>
        </w:trPr>
        <w:tc>
          <w:tcPr>
            <w:tcW w:w="1555" w:type="dxa"/>
            <w:tcBorders>
              <w:top w:val="nil"/>
              <w:left w:val="single" w:sz="4" w:space="0" w:color="auto"/>
              <w:bottom w:val="single" w:sz="4" w:space="0" w:color="auto"/>
              <w:right w:val="single" w:sz="4" w:space="0" w:color="auto"/>
            </w:tcBorders>
          </w:tcPr>
          <w:p w14:paraId="0C97363E" w14:textId="77777777" w:rsidR="00EC6347" w:rsidRPr="00DD6C13" w:rsidRDefault="00EC6347" w:rsidP="008D4DE6">
            <w:pPr>
              <w:keepNext/>
              <w:spacing w:before="0"/>
              <w:rPr>
                <w:rFonts w:ascii="Arial Narrow" w:hAnsi="Arial Narrow"/>
                <w:sz w:val="20"/>
                <w:szCs w:val="20"/>
                <w:lang w:val="en-AU"/>
              </w:rPr>
            </w:pPr>
          </w:p>
        </w:tc>
        <w:tc>
          <w:tcPr>
            <w:tcW w:w="5386" w:type="dxa"/>
            <w:tcBorders>
              <w:left w:val="single" w:sz="4" w:space="0" w:color="auto"/>
              <w:bottom w:val="single" w:sz="4" w:space="0" w:color="auto"/>
              <w:right w:val="single" w:sz="4" w:space="0" w:color="auto"/>
            </w:tcBorders>
          </w:tcPr>
          <w:p w14:paraId="20089ED9" w14:textId="77777777" w:rsidR="00EC6347" w:rsidRPr="00DD6C13" w:rsidRDefault="00EC6347" w:rsidP="008D4DE6">
            <w:pPr>
              <w:pStyle w:val="TableText"/>
              <w:keepNext/>
              <w:rPr>
                <w:szCs w:val="20"/>
                <w:lang w:val="en-AU"/>
              </w:rPr>
            </w:pPr>
            <w:r w:rsidRPr="00DD6C13">
              <w:rPr>
                <w:szCs w:val="20"/>
                <w:lang w:val="en-AU"/>
              </w:rPr>
              <w:t>Buti M, Wedemeyer H, et al. Treatment with bulevirtide improves patient-reported outcomes in patients with chronic hepatitis delta: An exploratory analysis of a Phase 3 trial at 48 weeks.</w:t>
            </w:r>
          </w:p>
        </w:tc>
        <w:tc>
          <w:tcPr>
            <w:tcW w:w="1843" w:type="dxa"/>
            <w:tcBorders>
              <w:left w:val="single" w:sz="4" w:space="0" w:color="auto"/>
              <w:bottom w:val="single" w:sz="4" w:space="0" w:color="auto"/>
              <w:right w:val="single" w:sz="4" w:space="0" w:color="auto"/>
            </w:tcBorders>
          </w:tcPr>
          <w:p w14:paraId="05C2B8C3" w14:textId="77777777" w:rsidR="00EC6347" w:rsidRPr="00DD6C13" w:rsidRDefault="00EC6347" w:rsidP="008D4DE6">
            <w:pPr>
              <w:pStyle w:val="TableText"/>
              <w:keepNext/>
              <w:rPr>
                <w:i/>
                <w:szCs w:val="20"/>
                <w:lang w:val="en-AU"/>
              </w:rPr>
            </w:pPr>
            <w:r w:rsidRPr="00DD6C13">
              <w:rPr>
                <w:rFonts w:cstheme="minorHAnsi"/>
                <w:i/>
                <w:iCs/>
                <w:szCs w:val="20"/>
                <w:lang w:val="en-AU"/>
              </w:rPr>
              <w:t>Zeitschrift für Gastroenterologie</w:t>
            </w:r>
            <w:r w:rsidRPr="00DD6C13">
              <w:rPr>
                <w:rFonts w:cstheme="minorHAnsi"/>
                <w:szCs w:val="20"/>
                <w:lang w:val="en-AU"/>
              </w:rPr>
              <w:t xml:space="preserve"> 2023; 61(01): e47-.</w:t>
            </w:r>
          </w:p>
        </w:tc>
      </w:tr>
    </w:tbl>
    <w:p w14:paraId="39FFA2B8" w14:textId="43C14D42" w:rsidR="00EC6347" w:rsidRPr="00196231" w:rsidRDefault="00EC6347" w:rsidP="00DD6C13">
      <w:pPr>
        <w:pStyle w:val="TableFooter"/>
        <w:spacing w:after="120"/>
      </w:pPr>
      <w:r w:rsidRPr="00196231">
        <w:t>Source: Table 2.7-2, pp86-87 of the submission.</w:t>
      </w:r>
    </w:p>
    <w:p w14:paraId="1F124F74" w14:textId="77777777" w:rsidR="00EC6347" w:rsidRPr="00196231" w:rsidRDefault="00EC6347" w:rsidP="00DD6C13">
      <w:pPr>
        <w:pStyle w:val="3-BodyText"/>
        <w:rPr>
          <w:color w:val="0066FF"/>
        </w:rPr>
      </w:pPr>
      <w:r>
        <w:t>The key features of the direct randomised trial are summarised in the table below.</w:t>
      </w:r>
    </w:p>
    <w:p w14:paraId="1C7ECA1E" w14:textId="46C9F9F7" w:rsidR="00EC6347" w:rsidRPr="00196231" w:rsidRDefault="00EC6347" w:rsidP="00F42AAA">
      <w:pPr>
        <w:pStyle w:val="Caption"/>
      </w:pPr>
      <w:r w:rsidRPr="00196231">
        <w:lastRenderedPageBreak/>
        <w:t xml:space="preserve">Table </w:t>
      </w:r>
      <w:r>
        <w:fldChar w:fldCharType="begin" w:fldLock="1"/>
      </w:r>
      <w:r>
        <w:instrText>SEQ Table_PBAC. \* ARABIC</w:instrText>
      </w:r>
      <w:r>
        <w:fldChar w:fldCharType="separate"/>
      </w:r>
      <w:r w:rsidR="00B02BFE">
        <w:rPr>
          <w:noProof/>
        </w:rPr>
        <w:t>5</w:t>
      </w:r>
      <w:r>
        <w:fldChar w:fldCharType="end"/>
      </w:r>
      <w:r w:rsidRPr="00196231">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847"/>
        <w:gridCol w:w="568"/>
        <w:gridCol w:w="1417"/>
        <w:gridCol w:w="1700"/>
        <w:gridCol w:w="2977"/>
        <w:gridCol w:w="1507"/>
      </w:tblGrid>
      <w:tr w:rsidR="00EC6347" w:rsidRPr="00196231" w14:paraId="38BF50DF" w14:textId="77777777" w:rsidTr="00F42AAA">
        <w:tc>
          <w:tcPr>
            <w:tcW w:w="469" w:type="pct"/>
            <w:tcBorders>
              <w:top w:val="single" w:sz="4" w:space="0" w:color="auto"/>
              <w:left w:val="single" w:sz="4" w:space="0" w:color="auto"/>
              <w:bottom w:val="single" w:sz="4" w:space="0" w:color="auto"/>
              <w:right w:val="single" w:sz="4" w:space="0" w:color="auto"/>
            </w:tcBorders>
            <w:vAlign w:val="center"/>
            <w:hideMark/>
          </w:tcPr>
          <w:p w14:paraId="471CA47C" w14:textId="77777777" w:rsidR="00EC6347" w:rsidRPr="00196231" w:rsidRDefault="00EC6347" w:rsidP="00F42AAA">
            <w:pPr>
              <w:pStyle w:val="TableText"/>
              <w:keepNext/>
              <w:rPr>
                <w:b/>
              </w:rPr>
            </w:pPr>
            <w:r w:rsidRPr="00196231">
              <w:rPr>
                <w:b/>
              </w:rPr>
              <w:t>Trial</w:t>
            </w:r>
          </w:p>
        </w:tc>
        <w:tc>
          <w:tcPr>
            <w:tcW w:w="315" w:type="pct"/>
            <w:tcBorders>
              <w:top w:val="single" w:sz="4" w:space="0" w:color="auto"/>
              <w:left w:val="single" w:sz="4" w:space="0" w:color="auto"/>
              <w:bottom w:val="single" w:sz="4" w:space="0" w:color="auto"/>
              <w:right w:val="single" w:sz="4" w:space="0" w:color="auto"/>
            </w:tcBorders>
            <w:vAlign w:val="center"/>
            <w:hideMark/>
          </w:tcPr>
          <w:p w14:paraId="30DEFCBE" w14:textId="77777777" w:rsidR="00EC6347" w:rsidRPr="00196231" w:rsidRDefault="00EC6347" w:rsidP="00F42AAA">
            <w:pPr>
              <w:pStyle w:val="TableText"/>
              <w:keepNext/>
              <w:rPr>
                <w:b/>
              </w:rPr>
            </w:pPr>
            <w:r w:rsidRPr="00196231">
              <w:rPr>
                <w:b/>
              </w:rPr>
              <w:t>N</w:t>
            </w:r>
          </w:p>
        </w:tc>
        <w:tc>
          <w:tcPr>
            <w:tcW w:w="786" w:type="pct"/>
            <w:tcBorders>
              <w:top w:val="single" w:sz="4" w:space="0" w:color="auto"/>
              <w:left w:val="single" w:sz="4" w:space="0" w:color="auto"/>
              <w:bottom w:val="single" w:sz="4" w:space="0" w:color="auto"/>
              <w:right w:val="single" w:sz="4" w:space="0" w:color="auto"/>
            </w:tcBorders>
            <w:vAlign w:val="center"/>
            <w:hideMark/>
          </w:tcPr>
          <w:p w14:paraId="7592DABD" w14:textId="77777777" w:rsidR="00EC6347" w:rsidRPr="00196231" w:rsidRDefault="00EC6347" w:rsidP="00F42AAA">
            <w:pPr>
              <w:pStyle w:val="TableText"/>
              <w:keepNext/>
              <w:rPr>
                <w:b/>
              </w:rPr>
            </w:pPr>
            <w:r w:rsidRPr="00196231">
              <w:rPr>
                <w:b/>
              </w:rPr>
              <w:t>Design/ duration</w:t>
            </w:r>
          </w:p>
        </w:tc>
        <w:tc>
          <w:tcPr>
            <w:tcW w:w="943" w:type="pct"/>
            <w:tcBorders>
              <w:top w:val="single" w:sz="4" w:space="0" w:color="auto"/>
              <w:left w:val="single" w:sz="4" w:space="0" w:color="auto"/>
              <w:bottom w:val="single" w:sz="4" w:space="0" w:color="auto"/>
              <w:right w:val="single" w:sz="4" w:space="0" w:color="auto"/>
            </w:tcBorders>
            <w:vAlign w:val="center"/>
            <w:hideMark/>
          </w:tcPr>
          <w:p w14:paraId="1DDE7D13" w14:textId="77777777" w:rsidR="00EC6347" w:rsidRPr="00196231" w:rsidRDefault="00EC6347" w:rsidP="00F42AAA">
            <w:pPr>
              <w:pStyle w:val="TableText"/>
              <w:keepNext/>
              <w:rPr>
                <w:b/>
              </w:rPr>
            </w:pPr>
            <w:r w:rsidRPr="00196231">
              <w:rPr>
                <w:b/>
              </w:rPr>
              <w:t>Patient population</w:t>
            </w:r>
          </w:p>
        </w:tc>
        <w:tc>
          <w:tcPr>
            <w:tcW w:w="1651" w:type="pct"/>
            <w:tcBorders>
              <w:top w:val="single" w:sz="4" w:space="0" w:color="auto"/>
              <w:left w:val="single" w:sz="4" w:space="0" w:color="auto"/>
              <w:bottom w:val="single" w:sz="4" w:space="0" w:color="auto"/>
              <w:right w:val="single" w:sz="4" w:space="0" w:color="auto"/>
            </w:tcBorders>
            <w:vAlign w:val="center"/>
            <w:hideMark/>
          </w:tcPr>
          <w:p w14:paraId="7B70F17A" w14:textId="77777777" w:rsidR="00EC6347" w:rsidRPr="00196231" w:rsidRDefault="00EC6347" w:rsidP="00F42AAA">
            <w:pPr>
              <w:pStyle w:val="TableText"/>
              <w:keepNext/>
              <w:rPr>
                <w:b/>
              </w:rPr>
            </w:pPr>
            <w:r w:rsidRPr="00196231">
              <w:rPr>
                <w:b/>
              </w:rPr>
              <w:t>Outcome(s)</w:t>
            </w:r>
          </w:p>
        </w:tc>
        <w:tc>
          <w:tcPr>
            <w:tcW w:w="836" w:type="pct"/>
            <w:tcBorders>
              <w:top w:val="single" w:sz="4" w:space="0" w:color="auto"/>
              <w:left w:val="single" w:sz="4" w:space="0" w:color="auto"/>
              <w:bottom w:val="single" w:sz="4" w:space="0" w:color="auto"/>
              <w:right w:val="single" w:sz="4" w:space="0" w:color="auto"/>
            </w:tcBorders>
            <w:vAlign w:val="center"/>
            <w:hideMark/>
          </w:tcPr>
          <w:p w14:paraId="36ECE2A3" w14:textId="77777777" w:rsidR="00EC6347" w:rsidRPr="00196231" w:rsidRDefault="00EC6347" w:rsidP="00F42AAA">
            <w:pPr>
              <w:pStyle w:val="TableText"/>
              <w:keepNext/>
              <w:rPr>
                <w:b/>
              </w:rPr>
            </w:pPr>
            <w:r w:rsidRPr="00196231">
              <w:rPr>
                <w:b/>
              </w:rPr>
              <w:t>Use in modelled evaluation</w:t>
            </w:r>
          </w:p>
        </w:tc>
      </w:tr>
      <w:tr w:rsidR="00EC6347" w:rsidRPr="00196231" w14:paraId="52C7BE7B" w14:textId="77777777" w:rsidTr="00F42AAA">
        <w:trPr>
          <w:trHeight w:val="227"/>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E8E43B2" w14:textId="77777777" w:rsidR="00EC6347" w:rsidRPr="00196231" w:rsidRDefault="00EC6347" w:rsidP="00F42AAA">
            <w:pPr>
              <w:pStyle w:val="TableText"/>
              <w:keepNext/>
            </w:pPr>
            <w:r w:rsidRPr="00196231">
              <w:t>Bulevirtide versus symptom management of CHD</w:t>
            </w:r>
          </w:p>
        </w:tc>
      </w:tr>
      <w:tr w:rsidR="00EC6347" w:rsidRPr="00196231" w14:paraId="67C4F27F" w14:textId="77777777" w:rsidTr="00DD6C13">
        <w:tc>
          <w:tcPr>
            <w:tcW w:w="469" w:type="pct"/>
            <w:tcBorders>
              <w:top w:val="single" w:sz="4" w:space="0" w:color="auto"/>
              <w:left w:val="single" w:sz="4" w:space="0" w:color="auto"/>
              <w:bottom w:val="single" w:sz="4" w:space="0" w:color="auto"/>
              <w:right w:val="single" w:sz="4" w:space="0" w:color="auto"/>
            </w:tcBorders>
            <w:hideMark/>
          </w:tcPr>
          <w:p w14:paraId="53E36513" w14:textId="77777777" w:rsidR="00EC6347" w:rsidRPr="00196231" w:rsidRDefault="00EC6347" w:rsidP="00F42AAA">
            <w:pPr>
              <w:pStyle w:val="TableText"/>
              <w:keepNext/>
            </w:pPr>
            <w:r w:rsidRPr="00196231">
              <w:t>MYR301</w:t>
            </w:r>
          </w:p>
        </w:tc>
        <w:tc>
          <w:tcPr>
            <w:tcW w:w="315" w:type="pct"/>
            <w:tcBorders>
              <w:top w:val="single" w:sz="4" w:space="0" w:color="auto"/>
              <w:left w:val="single" w:sz="4" w:space="0" w:color="auto"/>
              <w:bottom w:val="single" w:sz="4" w:space="0" w:color="auto"/>
              <w:right w:val="single" w:sz="4" w:space="0" w:color="auto"/>
            </w:tcBorders>
            <w:hideMark/>
          </w:tcPr>
          <w:p w14:paraId="55A9756C" w14:textId="77777777" w:rsidR="00EC6347" w:rsidRPr="00196231" w:rsidRDefault="00EC6347" w:rsidP="00F42AAA">
            <w:pPr>
              <w:pStyle w:val="TableText"/>
              <w:keepNext/>
              <w:rPr>
                <w:vertAlign w:val="superscript"/>
              </w:rPr>
            </w:pPr>
            <w:r w:rsidRPr="00196231">
              <w:t>150</w:t>
            </w:r>
            <w:r w:rsidRPr="00196231">
              <w:rPr>
                <w:vertAlign w:val="superscript"/>
              </w:rPr>
              <w:t>a</w:t>
            </w:r>
          </w:p>
        </w:tc>
        <w:tc>
          <w:tcPr>
            <w:tcW w:w="786" w:type="pct"/>
            <w:tcBorders>
              <w:top w:val="single" w:sz="4" w:space="0" w:color="auto"/>
              <w:left w:val="single" w:sz="4" w:space="0" w:color="auto"/>
              <w:bottom w:val="single" w:sz="4" w:space="0" w:color="auto"/>
              <w:right w:val="single" w:sz="4" w:space="0" w:color="auto"/>
            </w:tcBorders>
            <w:hideMark/>
          </w:tcPr>
          <w:p w14:paraId="610AA32C" w14:textId="77777777" w:rsidR="00EC6347" w:rsidRPr="00196231" w:rsidRDefault="00EC6347" w:rsidP="00F42AAA">
            <w:pPr>
              <w:pStyle w:val="TableText"/>
              <w:keepNext/>
            </w:pPr>
            <w:r w:rsidRPr="00196231">
              <w:t>R, MC, OL</w:t>
            </w:r>
          </w:p>
          <w:p w14:paraId="7022C13F" w14:textId="77777777" w:rsidR="00EC6347" w:rsidRPr="00196231" w:rsidRDefault="00EC6347" w:rsidP="00F42AAA">
            <w:pPr>
              <w:pStyle w:val="TableText"/>
              <w:keepNext/>
            </w:pPr>
            <w:r w:rsidRPr="00196231">
              <w:t>Ongoing</w:t>
            </w:r>
          </w:p>
        </w:tc>
        <w:tc>
          <w:tcPr>
            <w:tcW w:w="943" w:type="pct"/>
            <w:tcBorders>
              <w:top w:val="single" w:sz="4" w:space="0" w:color="auto"/>
              <w:left w:val="single" w:sz="4" w:space="0" w:color="auto"/>
              <w:bottom w:val="single" w:sz="4" w:space="0" w:color="auto"/>
              <w:right w:val="single" w:sz="4" w:space="0" w:color="auto"/>
            </w:tcBorders>
            <w:hideMark/>
          </w:tcPr>
          <w:p w14:paraId="005C8E2B" w14:textId="77777777" w:rsidR="00EC6347" w:rsidRPr="00196231" w:rsidRDefault="00EC6347" w:rsidP="00F42AAA">
            <w:pPr>
              <w:pStyle w:val="TableText"/>
              <w:keepNext/>
            </w:pPr>
            <w:r w:rsidRPr="00196231">
              <w:t>Patient with CHD, compensated liver disease, positive HDV RNA detected PCR and elevated serum ALT level</w:t>
            </w:r>
          </w:p>
        </w:tc>
        <w:tc>
          <w:tcPr>
            <w:tcW w:w="1651" w:type="pct"/>
            <w:tcBorders>
              <w:top w:val="single" w:sz="4" w:space="0" w:color="auto"/>
              <w:left w:val="single" w:sz="4" w:space="0" w:color="auto"/>
              <w:bottom w:val="single" w:sz="4" w:space="0" w:color="auto"/>
              <w:right w:val="single" w:sz="4" w:space="0" w:color="auto"/>
            </w:tcBorders>
            <w:hideMark/>
          </w:tcPr>
          <w:p w14:paraId="79C6B9E5" w14:textId="77777777" w:rsidR="00EC6347" w:rsidRPr="00196231" w:rsidRDefault="00EC6347" w:rsidP="00F42AAA">
            <w:pPr>
              <w:pStyle w:val="TableText"/>
              <w:keepNext/>
            </w:pPr>
            <w:r w:rsidRPr="00196231">
              <w:t>Primary efficacy endpoint: combined response defined as virologic response</w:t>
            </w:r>
            <w:r w:rsidRPr="00196231">
              <w:rPr>
                <w:vertAlign w:val="superscript"/>
              </w:rPr>
              <w:t xml:space="preserve">b </w:t>
            </w:r>
            <w:r w:rsidRPr="00196231">
              <w:t>and ALT normalisation</w:t>
            </w:r>
          </w:p>
          <w:p w14:paraId="57D681D3" w14:textId="77777777" w:rsidR="00EC6347" w:rsidRPr="00196231" w:rsidRDefault="00EC6347" w:rsidP="00F42AAA">
            <w:pPr>
              <w:pStyle w:val="TableText"/>
              <w:keepNext/>
            </w:pPr>
            <w:r w:rsidRPr="00196231">
              <w:t>Key secondary and exploratory efficacy endpoints:</w:t>
            </w:r>
          </w:p>
          <w:p w14:paraId="5B3F58A3" w14:textId="77777777" w:rsidR="00EC6347" w:rsidRPr="00196231" w:rsidRDefault="00EC6347" w:rsidP="00F42AAA">
            <w:pPr>
              <w:pStyle w:val="TableText"/>
              <w:keepNext/>
              <w:numPr>
                <w:ilvl w:val="0"/>
                <w:numId w:val="14"/>
              </w:numPr>
              <w:ind w:left="403" w:hanging="317"/>
            </w:pPr>
            <w:r>
              <w:t>Undetectable HDV RNA</w:t>
            </w:r>
          </w:p>
          <w:p w14:paraId="28384F04" w14:textId="77777777" w:rsidR="00EC6347" w:rsidRPr="00196231" w:rsidRDefault="00EC6347" w:rsidP="00F42AAA">
            <w:pPr>
              <w:pStyle w:val="TableText"/>
              <w:keepNext/>
              <w:numPr>
                <w:ilvl w:val="0"/>
                <w:numId w:val="14"/>
              </w:numPr>
              <w:ind w:left="403" w:hanging="317"/>
            </w:pPr>
            <w:r>
              <w:t>Virologic response</w:t>
            </w:r>
            <w:r w:rsidRPr="6CED201C">
              <w:rPr>
                <w:vertAlign w:val="superscript"/>
              </w:rPr>
              <w:t>b</w:t>
            </w:r>
          </w:p>
          <w:p w14:paraId="133C1237" w14:textId="77777777" w:rsidR="00EC6347" w:rsidRPr="00196231" w:rsidRDefault="00EC6347" w:rsidP="00F42AAA">
            <w:pPr>
              <w:pStyle w:val="TableText"/>
              <w:keepNext/>
              <w:numPr>
                <w:ilvl w:val="0"/>
                <w:numId w:val="14"/>
              </w:numPr>
              <w:ind w:left="403" w:hanging="317"/>
            </w:pPr>
            <w:r>
              <w:t xml:space="preserve">ALT normalisation </w:t>
            </w:r>
          </w:p>
          <w:p w14:paraId="02937F95" w14:textId="77777777" w:rsidR="00EC6347" w:rsidRPr="00196231" w:rsidRDefault="00EC6347" w:rsidP="00F42AAA">
            <w:pPr>
              <w:pStyle w:val="TableText"/>
              <w:keepNext/>
              <w:numPr>
                <w:ilvl w:val="0"/>
                <w:numId w:val="14"/>
              </w:numPr>
              <w:ind w:left="403" w:hanging="317"/>
            </w:pPr>
            <w:r>
              <w:t xml:space="preserve">Change from baseline in liver stiffness as measured by elastography </w:t>
            </w:r>
          </w:p>
          <w:p w14:paraId="6F92220F" w14:textId="77777777" w:rsidR="00EC6347" w:rsidRPr="00196231" w:rsidRDefault="00EC6347" w:rsidP="00F42AAA">
            <w:pPr>
              <w:pStyle w:val="TableText"/>
              <w:keepNext/>
            </w:pPr>
            <w:r w:rsidRPr="00196231">
              <w:t>Quality of life outcomes: EQ-5D, FSS and HQLQ</w:t>
            </w:r>
          </w:p>
          <w:p w14:paraId="54319CBA" w14:textId="77777777" w:rsidR="00EC6347" w:rsidRPr="00196231" w:rsidRDefault="00EC6347" w:rsidP="00F42AAA">
            <w:pPr>
              <w:pStyle w:val="TableText"/>
              <w:keepNext/>
            </w:pPr>
          </w:p>
          <w:p w14:paraId="0E565F1E" w14:textId="77777777" w:rsidR="00EC6347" w:rsidRPr="00196231" w:rsidRDefault="00EC6347" w:rsidP="00F42AAA">
            <w:pPr>
              <w:pStyle w:val="TableText"/>
              <w:keepNext/>
            </w:pPr>
            <w:r w:rsidRPr="00196231">
              <w:t>Key safety outcomes: TEAEs</w:t>
            </w:r>
          </w:p>
        </w:tc>
        <w:tc>
          <w:tcPr>
            <w:tcW w:w="836" w:type="pct"/>
            <w:tcBorders>
              <w:top w:val="single" w:sz="4" w:space="0" w:color="auto"/>
              <w:left w:val="single" w:sz="4" w:space="0" w:color="auto"/>
              <w:bottom w:val="single" w:sz="4" w:space="0" w:color="auto"/>
              <w:right w:val="single" w:sz="4" w:space="0" w:color="auto"/>
            </w:tcBorders>
            <w:hideMark/>
          </w:tcPr>
          <w:p w14:paraId="228BC9AF" w14:textId="399AE362" w:rsidR="00EC6347" w:rsidRPr="00196231" w:rsidRDefault="00EC6347" w:rsidP="00F42AAA">
            <w:pPr>
              <w:pStyle w:val="TableText"/>
              <w:keepNext/>
            </w:pPr>
            <w:r w:rsidRPr="00196231">
              <w:t>Virologic response</w:t>
            </w:r>
            <w:r w:rsidRPr="00196231">
              <w:rPr>
                <w:vertAlign w:val="superscript"/>
              </w:rPr>
              <w:t>b</w:t>
            </w:r>
            <w:r w:rsidRPr="00196231">
              <w:t>, EQ-5D, and ≥ Grade 3 TEAEs</w:t>
            </w:r>
          </w:p>
        </w:tc>
      </w:tr>
    </w:tbl>
    <w:p w14:paraId="0997ED9F" w14:textId="77777777" w:rsidR="00EC6347" w:rsidRPr="00196231" w:rsidRDefault="00EC6347" w:rsidP="00F42AAA">
      <w:pPr>
        <w:pStyle w:val="TableFooter"/>
        <w:keepNext/>
      </w:pPr>
      <w:r w:rsidRPr="00196231">
        <w:t>Source: Table 2.9-5, pp101-102 of the submission</w:t>
      </w:r>
    </w:p>
    <w:p w14:paraId="2483AD6D" w14:textId="6FF6D526" w:rsidR="00EC6347" w:rsidRPr="00196231" w:rsidRDefault="00EC6347" w:rsidP="00F42AAA">
      <w:pPr>
        <w:pStyle w:val="TableFooter"/>
        <w:keepNext/>
        <w:rPr>
          <w:szCs w:val="18"/>
        </w:rPr>
      </w:pPr>
      <w:r w:rsidRPr="00196231">
        <w:rPr>
          <w:szCs w:val="18"/>
        </w:rPr>
        <w:t xml:space="preserve">ALT = alanine aminotransferase; CHD = chronic hepatitis D; </w:t>
      </w:r>
      <w:r w:rsidRPr="00196231">
        <w:rPr>
          <w:rFonts w:cstheme="minorHAnsi"/>
          <w:szCs w:val="18"/>
        </w:rPr>
        <w:t>FSS = Fatigue Severity Scale</w:t>
      </w:r>
      <w:r w:rsidRPr="00196231">
        <w:rPr>
          <w:szCs w:val="18"/>
        </w:rPr>
        <w:t xml:space="preserve">; HDV = hepatitis D virus; </w:t>
      </w:r>
      <w:r w:rsidRPr="00196231">
        <w:rPr>
          <w:rFonts w:cstheme="minorHAnsi"/>
          <w:szCs w:val="18"/>
        </w:rPr>
        <w:t>HQLQ = Hepatitis Quality of Life Questionnaire</w:t>
      </w:r>
      <w:r w:rsidRPr="00196231">
        <w:rPr>
          <w:szCs w:val="18"/>
        </w:rPr>
        <w:t>; L</w:t>
      </w:r>
      <w:r w:rsidR="003A6EC7" w:rsidRPr="00196231">
        <w:rPr>
          <w:szCs w:val="18"/>
        </w:rPr>
        <w:t>l</w:t>
      </w:r>
      <w:r w:rsidRPr="00196231">
        <w:rPr>
          <w:szCs w:val="18"/>
        </w:rPr>
        <w:t>oD = lower limit of detection; MC = multi-centre; OL= open label; PCR = polymerase chain reaction; R = randomised;</w:t>
      </w:r>
      <w:r w:rsidRPr="00196231">
        <w:rPr>
          <w:i/>
          <w:szCs w:val="18"/>
        </w:rPr>
        <w:t xml:space="preserve"> </w:t>
      </w:r>
      <w:r w:rsidRPr="00196231">
        <w:rPr>
          <w:szCs w:val="18"/>
        </w:rPr>
        <w:t>RNA = ribonucleic acid; TEAEs = treatment emergent adverse events</w:t>
      </w:r>
    </w:p>
    <w:p w14:paraId="6AA0FF12" w14:textId="11062920" w:rsidR="00EC6347" w:rsidRPr="00196231" w:rsidRDefault="00EC6347" w:rsidP="00F42AAA">
      <w:pPr>
        <w:pStyle w:val="TableFooter"/>
        <w:keepNext/>
      </w:pPr>
      <w:r w:rsidRPr="00196231">
        <w:rPr>
          <w:vertAlign w:val="superscript"/>
        </w:rPr>
        <w:t xml:space="preserve">a </w:t>
      </w:r>
      <w:r w:rsidRPr="00196231">
        <w:t xml:space="preserve">Of the 150 patients randomised, 50 patients were randomised into bulevirtide 10 mg treatment group. As a daily dose of bulevirtide 10 mg is not the recommended dosing regimen, the results from this treatment arms </w:t>
      </w:r>
      <w:r w:rsidRPr="00485890">
        <w:t>were not presented</w:t>
      </w:r>
      <w:r w:rsidR="007A4321" w:rsidRPr="00485890">
        <w:t>.</w:t>
      </w:r>
      <w:r w:rsidRPr="00485890">
        <w:t xml:space="preserve"> </w:t>
      </w:r>
    </w:p>
    <w:p w14:paraId="3D663287" w14:textId="34645C29" w:rsidR="00EC6347" w:rsidRPr="00196231" w:rsidRDefault="00EC6347" w:rsidP="00DD6C13">
      <w:pPr>
        <w:pStyle w:val="TableFooter"/>
        <w:spacing w:after="120"/>
        <w:contextualSpacing w:val="0"/>
      </w:pPr>
      <w:r w:rsidRPr="00196231">
        <w:rPr>
          <w:vertAlign w:val="superscript"/>
        </w:rPr>
        <w:t xml:space="preserve">b </w:t>
      </w:r>
      <w:r w:rsidRPr="00196231">
        <w:t xml:space="preserve">Virologic response was defined as undetectable HDV RNA (HDV RNA &lt; lower level of detection </w:t>
      </w:r>
      <w:r w:rsidR="003A6EC7">
        <w:t>–</w:t>
      </w:r>
      <w:r w:rsidRPr="00196231">
        <w:t xml:space="preserve"> L</w:t>
      </w:r>
      <w:r w:rsidR="003A6EC7" w:rsidRPr="00196231">
        <w:t>l</w:t>
      </w:r>
      <w:r w:rsidRPr="00196231">
        <w:t xml:space="preserve">oD) or decrease in HDV RNA by ≥ 2 log10 IU/ml from baseline </w:t>
      </w:r>
    </w:p>
    <w:p w14:paraId="14AD287B" w14:textId="7457C748" w:rsidR="00EC6347" w:rsidRPr="00543EB7" w:rsidRDefault="00EC6347" w:rsidP="00DD6C13">
      <w:pPr>
        <w:pStyle w:val="4-SubsectionHeading"/>
      </w:pPr>
      <w:bookmarkStart w:id="32" w:name="_Toc156984633"/>
      <w:r w:rsidRPr="00543EB7">
        <w:t>Comparative effectiveness</w:t>
      </w:r>
      <w:bookmarkEnd w:id="32"/>
    </w:p>
    <w:p w14:paraId="51F6BC71" w14:textId="77777777" w:rsidR="00EC6347" w:rsidRPr="00196231" w:rsidRDefault="00EC6347" w:rsidP="00F42AAA">
      <w:pPr>
        <w:pStyle w:val="3-BodyText"/>
      </w:pPr>
      <w:bookmarkStart w:id="33" w:name="_Ref497116463"/>
      <w:bookmarkStart w:id="34" w:name="_Toc487029168"/>
      <w:bookmarkStart w:id="35" w:name="_Toc433202796"/>
      <w:r>
        <w:t xml:space="preserve">A summary of the trial results in patients in the bulevirtide 2 mg treatment arm and in the delayed treatment arm is provided in the table below. </w:t>
      </w:r>
      <w:bookmarkStart w:id="36" w:name="_Hlk153204729"/>
      <w:r>
        <w:t>As patients in the delayed treatment arm were switched to bulevirtide 10 mg at Week 48, data at Week 96 for this treatment arm and the differences between the bulevirtide 2 mg arm and the delayed treatment arm at Week 96 are not presented.</w:t>
      </w:r>
      <w:bookmarkEnd w:id="36"/>
    </w:p>
    <w:bookmarkEnd w:id="33"/>
    <w:p w14:paraId="01A81904" w14:textId="79709801" w:rsidR="00EC6347" w:rsidRPr="00196231" w:rsidRDefault="00EC6347" w:rsidP="00D6408F">
      <w:pPr>
        <w:pStyle w:val="Caption"/>
        <w:keepNext w:val="0"/>
      </w:pPr>
      <w:r w:rsidRPr="00196231">
        <w:t xml:space="preserve">Table </w:t>
      </w:r>
      <w:r>
        <w:fldChar w:fldCharType="begin" w:fldLock="1"/>
      </w:r>
      <w:r>
        <w:instrText>SEQ Table_PBAC. \* ARABIC</w:instrText>
      </w:r>
      <w:r>
        <w:fldChar w:fldCharType="separate"/>
      </w:r>
      <w:r w:rsidR="00B02BFE">
        <w:rPr>
          <w:noProof/>
        </w:rPr>
        <w:t>6</w:t>
      </w:r>
      <w:r>
        <w:fldChar w:fldCharType="end"/>
      </w:r>
      <w:r w:rsidRPr="00196231">
        <w:t>: Key efficacy results reported in the MYR301 trial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Key efficacy results reported in the MYR301 trial"/>
      </w:tblPr>
      <w:tblGrid>
        <w:gridCol w:w="1271"/>
        <w:gridCol w:w="3124"/>
        <w:gridCol w:w="2121"/>
        <w:gridCol w:w="2364"/>
      </w:tblGrid>
      <w:tr w:rsidR="00EC6347" w:rsidRPr="00196231" w14:paraId="77BC9A64" w14:textId="77777777" w:rsidTr="00D6408F">
        <w:trPr>
          <w:tblHeader/>
          <w:jc w:val="center"/>
        </w:trPr>
        <w:tc>
          <w:tcPr>
            <w:tcW w:w="4395" w:type="dxa"/>
            <w:gridSpan w:val="2"/>
            <w:tcBorders>
              <w:top w:val="single" w:sz="4" w:space="0" w:color="auto"/>
              <w:left w:val="single" w:sz="4" w:space="0" w:color="auto"/>
              <w:bottom w:val="single" w:sz="4" w:space="0" w:color="auto"/>
              <w:right w:val="single" w:sz="4" w:space="0" w:color="auto"/>
            </w:tcBorders>
            <w:vAlign w:val="bottom"/>
            <w:hideMark/>
          </w:tcPr>
          <w:p w14:paraId="28D45964" w14:textId="77777777" w:rsidR="00EC6347" w:rsidRPr="00196231" w:rsidRDefault="00EC6347" w:rsidP="00D6408F">
            <w:pPr>
              <w:pStyle w:val="TableText"/>
              <w:jc w:val="center"/>
              <w:rPr>
                <w:b/>
                <w:bCs/>
              </w:rPr>
            </w:pPr>
            <w:r w:rsidRPr="00196231">
              <w:rPr>
                <w:b/>
                <w:bCs/>
              </w:rPr>
              <w:t>Endpoint</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57607E0" w14:textId="36E96E82" w:rsidR="00EC6347" w:rsidRPr="00196231" w:rsidRDefault="00EC6347" w:rsidP="00D6408F">
            <w:pPr>
              <w:pStyle w:val="TableText"/>
              <w:rPr>
                <w:b/>
                <w:bCs/>
              </w:rPr>
            </w:pPr>
            <w:r w:rsidRPr="00196231">
              <w:rPr>
                <w:b/>
                <w:bCs/>
              </w:rPr>
              <w:t xml:space="preserve">Bulevirtide </w:t>
            </w:r>
            <w:r w:rsidR="00E073FA">
              <w:rPr>
                <w:b/>
                <w:bCs/>
              </w:rPr>
              <w:t>2 mg</w:t>
            </w:r>
            <w:r w:rsidRPr="00196231">
              <w:rPr>
                <w:b/>
                <w:bCs/>
              </w:rPr>
              <w:t xml:space="preserve"> (N=49)</w:t>
            </w:r>
          </w:p>
        </w:tc>
        <w:tc>
          <w:tcPr>
            <w:tcW w:w="2364" w:type="dxa"/>
            <w:tcBorders>
              <w:top w:val="single" w:sz="4" w:space="0" w:color="auto"/>
              <w:left w:val="single" w:sz="4" w:space="0" w:color="auto"/>
              <w:bottom w:val="single" w:sz="4" w:space="0" w:color="auto"/>
              <w:right w:val="single" w:sz="4" w:space="0" w:color="auto"/>
            </w:tcBorders>
            <w:vAlign w:val="center"/>
            <w:hideMark/>
          </w:tcPr>
          <w:p w14:paraId="4C190AB5" w14:textId="77777777" w:rsidR="00EC6347" w:rsidRPr="00196231" w:rsidRDefault="00EC6347" w:rsidP="00D6408F">
            <w:pPr>
              <w:pStyle w:val="TableText"/>
              <w:rPr>
                <w:b/>
                <w:bCs/>
              </w:rPr>
            </w:pPr>
            <w:r w:rsidRPr="00196231">
              <w:rPr>
                <w:b/>
                <w:bCs/>
              </w:rPr>
              <w:t>Delayed treatment (N=51)</w:t>
            </w:r>
          </w:p>
        </w:tc>
      </w:tr>
      <w:tr w:rsidR="00EC6347" w:rsidRPr="00196231" w14:paraId="2FF3C211" w14:textId="77777777" w:rsidTr="00AB5E49">
        <w:trPr>
          <w:trHeight w:val="210"/>
          <w:jc w:val="center"/>
        </w:trPr>
        <w:tc>
          <w:tcPr>
            <w:tcW w:w="1271" w:type="dxa"/>
            <w:vMerge w:val="restart"/>
            <w:tcBorders>
              <w:top w:val="single" w:sz="4" w:space="0" w:color="auto"/>
              <w:left w:val="single" w:sz="4" w:space="0" w:color="auto"/>
              <w:right w:val="single" w:sz="4" w:space="0" w:color="auto"/>
            </w:tcBorders>
            <w:hideMark/>
          </w:tcPr>
          <w:p w14:paraId="197BE9F6" w14:textId="77777777" w:rsidR="00EC6347" w:rsidRPr="00196231" w:rsidRDefault="00EC6347" w:rsidP="00D6408F">
            <w:pPr>
              <w:pStyle w:val="TableText"/>
              <w:ind w:left="-57" w:right="-57"/>
              <w:rPr>
                <w:b/>
                <w:bCs/>
              </w:rPr>
            </w:pPr>
            <w:r w:rsidRPr="00196231">
              <w:rPr>
                <w:b/>
                <w:bCs/>
              </w:rPr>
              <w:t>Combined response</w:t>
            </w:r>
            <w:r w:rsidRPr="00196231">
              <w:rPr>
                <w:b/>
                <w:bCs/>
                <w:vertAlign w:val="superscript"/>
              </w:rPr>
              <w:t>a</w:t>
            </w: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41CB511E" w14:textId="77777777" w:rsidR="00EC6347" w:rsidRPr="00196231" w:rsidRDefault="00EC6347" w:rsidP="00D6408F">
            <w:pPr>
              <w:pStyle w:val="TableText"/>
              <w:jc w:val="center"/>
              <w:rPr>
                <w:b/>
                <w:bCs/>
              </w:rPr>
            </w:pPr>
            <w:r w:rsidRPr="00196231">
              <w:rPr>
                <w:b/>
                <w:bCs/>
              </w:rPr>
              <w:t>Week 48 (primary endpoint)</w:t>
            </w:r>
          </w:p>
        </w:tc>
      </w:tr>
      <w:tr w:rsidR="00EC6347" w:rsidRPr="00196231" w14:paraId="4F2402B6" w14:textId="77777777" w:rsidTr="00AB5E49">
        <w:trPr>
          <w:jc w:val="center"/>
        </w:trPr>
        <w:tc>
          <w:tcPr>
            <w:tcW w:w="1271" w:type="dxa"/>
            <w:vMerge/>
            <w:tcBorders>
              <w:left w:val="single" w:sz="4" w:space="0" w:color="auto"/>
              <w:right w:val="single" w:sz="4" w:space="0" w:color="auto"/>
            </w:tcBorders>
            <w:hideMark/>
          </w:tcPr>
          <w:p w14:paraId="3568DBAC" w14:textId="77777777" w:rsidR="00EC6347" w:rsidRPr="00196231" w:rsidRDefault="00EC6347" w:rsidP="00D6408F">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tcPr>
          <w:p w14:paraId="12C012A1" w14:textId="77777777" w:rsidR="00EC6347" w:rsidRPr="00196231" w:rsidRDefault="00EC6347" w:rsidP="00D6408F">
            <w:pPr>
              <w:pStyle w:val="TableT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hideMark/>
          </w:tcPr>
          <w:p w14:paraId="6D97665B" w14:textId="77777777" w:rsidR="00EC6347" w:rsidRPr="00196231" w:rsidRDefault="00EC6347" w:rsidP="00D6408F">
            <w:pPr>
              <w:pStyle w:val="TableText"/>
              <w:jc w:val="center"/>
            </w:pPr>
            <w:r w:rsidRPr="00196231">
              <w:t>22</w:t>
            </w:r>
          </w:p>
        </w:tc>
        <w:tc>
          <w:tcPr>
            <w:tcW w:w="2364" w:type="dxa"/>
            <w:tcBorders>
              <w:top w:val="single" w:sz="4" w:space="0" w:color="auto"/>
              <w:left w:val="single" w:sz="4" w:space="0" w:color="auto"/>
              <w:bottom w:val="single" w:sz="4" w:space="0" w:color="auto"/>
              <w:right w:val="single" w:sz="4" w:space="0" w:color="auto"/>
            </w:tcBorders>
            <w:hideMark/>
          </w:tcPr>
          <w:p w14:paraId="643E8FEA" w14:textId="77777777" w:rsidR="00EC6347" w:rsidRPr="00196231" w:rsidRDefault="00EC6347" w:rsidP="00D6408F">
            <w:pPr>
              <w:pStyle w:val="TableText"/>
              <w:jc w:val="center"/>
            </w:pPr>
            <w:r w:rsidRPr="00196231">
              <w:t>1</w:t>
            </w:r>
          </w:p>
        </w:tc>
      </w:tr>
      <w:tr w:rsidR="00EC6347" w:rsidRPr="00196231" w14:paraId="7F8248DD" w14:textId="77777777" w:rsidTr="00AB5E49">
        <w:trPr>
          <w:jc w:val="center"/>
        </w:trPr>
        <w:tc>
          <w:tcPr>
            <w:tcW w:w="1271" w:type="dxa"/>
            <w:vMerge/>
            <w:tcBorders>
              <w:left w:val="single" w:sz="4" w:space="0" w:color="auto"/>
              <w:right w:val="single" w:sz="4" w:space="0" w:color="auto"/>
            </w:tcBorders>
            <w:hideMark/>
          </w:tcPr>
          <w:p w14:paraId="3388DFE0" w14:textId="77777777" w:rsidR="00EC6347" w:rsidRPr="00196231" w:rsidRDefault="00EC6347" w:rsidP="00D6408F">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tcPr>
          <w:p w14:paraId="25017376" w14:textId="77777777" w:rsidR="00EC6347" w:rsidRPr="00196231" w:rsidRDefault="00EC6347" w:rsidP="00D6408F">
            <w:pPr>
              <w:pStyle w:val="TableText"/>
            </w:pPr>
            <w:r w:rsidRPr="00196231">
              <w:t>Proportion responders, % (95% CI)</w:t>
            </w:r>
          </w:p>
        </w:tc>
        <w:tc>
          <w:tcPr>
            <w:tcW w:w="2121" w:type="dxa"/>
            <w:tcBorders>
              <w:top w:val="single" w:sz="4" w:space="0" w:color="auto"/>
              <w:left w:val="single" w:sz="4" w:space="0" w:color="auto"/>
              <w:bottom w:val="single" w:sz="4" w:space="0" w:color="auto"/>
              <w:right w:val="single" w:sz="4" w:space="0" w:color="auto"/>
            </w:tcBorders>
            <w:hideMark/>
          </w:tcPr>
          <w:p w14:paraId="43B73C99" w14:textId="77777777" w:rsidR="00EC6347" w:rsidRPr="00196231" w:rsidRDefault="00EC6347" w:rsidP="00D6408F">
            <w:pPr>
              <w:pStyle w:val="TableText"/>
              <w:jc w:val="center"/>
            </w:pPr>
            <w:r w:rsidRPr="00196231">
              <w:t>44.9 (30.7, 59.8)</w:t>
            </w:r>
          </w:p>
        </w:tc>
        <w:tc>
          <w:tcPr>
            <w:tcW w:w="2364" w:type="dxa"/>
            <w:tcBorders>
              <w:top w:val="single" w:sz="4" w:space="0" w:color="auto"/>
              <w:left w:val="single" w:sz="4" w:space="0" w:color="auto"/>
              <w:bottom w:val="single" w:sz="4" w:space="0" w:color="auto"/>
              <w:right w:val="single" w:sz="4" w:space="0" w:color="auto"/>
            </w:tcBorders>
            <w:hideMark/>
          </w:tcPr>
          <w:p w14:paraId="679CA567" w14:textId="77777777" w:rsidR="00EC6347" w:rsidRPr="00196231" w:rsidRDefault="00EC6347" w:rsidP="00D6408F">
            <w:pPr>
              <w:pStyle w:val="TableText"/>
              <w:jc w:val="center"/>
            </w:pPr>
            <w:r w:rsidRPr="00196231">
              <w:t>2.0 (0.0, 10.4)</w:t>
            </w:r>
          </w:p>
        </w:tc>
      </w:tr>
      <w:tr w:rsidR="00EC6347" w:rsidRPr="00196231" w14:paraId="3320E36D" w14:textId="77777777" w:rsidTr="00AB5E49">
        <w:trPr>
          <w:jc w:val="center"/>
        </w:trPr>
        <w:tc>
          <w:tcPr>
            <w:tcW w:w="1271" w:type="dxa"/>
            <w:vMerge/>
            <w:tcBorders>
              <w:left w:val="single" w:sz="4" w:space="0" w:color="auto"/>
              <w:right w:val="single" w:sz="4" w:space="0" w:color="auto"/>
            </w:tcBorders>
            <w:hideMark/>
          </w:tcPr>
          <w:p w14:paraId="44324E6E" w14:textId="77777777" w:rsidR="00EC6347" w:rsidRPr="00196231" w:rsidRDefault="00EC6347" w:rsidP="00D6408F">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tcPr>
          <w:p w14:paraId="58F7AD72" w14:textId="77777777" w:rsidR="00EC6347" w:rsidRPr="00196231" w:rsidRDefault="00EC6347" w:rsidP="00D6408F">
            <w:pPr>
              <w:pStyle w:val="TableText"/>
            </w:pPr>
            <w:r w:rsidRPr="00196231">
              <w:t>Difference in proportions (96%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hideMark/>
          </w:tcPr>
          <w:p w14:paraId="30C5E64D" w14:textId="77777777" w:rsidR="00EC6347" w:rsidRPr="00196231" w:rsidRDefault="00EC6347" w:rsidP="00D6408F">
            <w:pPr>
              <w:pStyle w:val="TableText"/>
              <w:jc w:val="center"/>
            </w:pPr>
            <w:r w:rsidRPr="00196231">
              <w:t>42.9 (27.0, 58.5)</w:t>
            </w:r>
          </w:p>
        </w:tc>
      </w:tr>
      <w:tr w:rsidR="00EC6347" w:rsidRPr="00196231" w14:paraId="48E2E2AA" w14:textId="77777777" w:rsidTr="00AB5E49">
        <w:trPr>
          <w:jc w:val="center"/>
        </w:trPr>
        <w:tc>
          <w:tcPr>
            <w:tcW w:w="1271" w:type="dxa"/>
            <w:vMerge/>
            <w:tcBorders>
              <w:left w:val="single" w:sz="4" w:space="0" w:color="auto"/>
              <w:right w:val="single" w:sz="4" w:space="0" w:color="auto"/>
            </w:tcBorders>
          </w:tcPr>
          <w:p w14:paraId="0FC1A311" w14:textId="77777777" w:rsidR="00EC6347" w:rsidRPr="00196231" w:rsidRDefault="00EC6347" w:rsidP="00D6408F">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tcPr>
          <w:p w14:paraId="12998E2F" w14:textId="77777777" w:rsidR="00EC6347" w:rsidRPr="00196231" w:rsidRDefault="00EC6347" w:rsidP="00D6408F">
            <w:pPr>
              <w:pStyle w:val="TableText"/>
              <w:rPr>
                <w:vertAlign w:val="superscript"/>
              </w:rPr>
            </w:pPr>
            <w:r w:rsidRPr="00196231">
              <w:t>p-value</w:t>
            </w:r>
            <w:r w:rsidRPr="00196231">
              <w:rPr>
                <w:vertAlign w:val="superscript"/>
              </w:rPr>
              <w:t>e</w:t>
            </w:r>
          </w:p>
        </w:tc>
        <w:tc>
          <w:tcPr>
            <w:tcW w:w="4485" w:type="dxa"/>
            <w:gridSpan w:val="2"/>
            <w:tcBorders>
              <w:top w:val="single" w:sz="4" w:space="0" w:color="auto"/>
              <w:left w:val="single" w:sz="4" w:space="0" w:color="auto"/>
              <w:bottom w:val="single" w:sz="4" w:space="0" w:color="auto"/>
              <w:right w:val="single" w:sz="4" w:space="0" w:color="auto"/>
            </w:tcBorders>
          </w:tcPr>
          <w:p w14:paraId="27F04DBC" w14:textId="77777777" w:rsidR="00EC6347" w:rsidRPr="00196231" w:rsidRDefault="00EC6347" w:rsidP="00D6408F">
            <w:pPr>
              <w:pStyle w:val="TableText"/>
              <w:jc w:val="center"/>
            </w:pPr>
            <w:r w:rsidRPr="00196231">
              <w:t>&lt;0.0001</w:t>
            </w:r>
          </w:p>
        </w:tc>
      </w:tr>
      <w:tr w:rsidR="00EC6347" w:rsidRPr="00196231" w14:paraId="2281823C" w14:textId="77777777" w:rsidTr="00AB5E49">
        <w:trPr>
          <w:jc w:val="center"/>
        </w:trPr>
        <w:tc>
          <w:tcPr>
            <w:tcW w:w="1271" w:type="dxa"/>
            <w:vMerge/>
            <w:tcBorders>
              <w:left w:val="single" w:sz="4" w:space="0" w:color="auto"/>
              <w:right w:val="single" w:sz="4" w:space="0" w:color="auto"/>
            </w:tcBorders>
          </w:tcPr>
          <w:p w14:paraId="431E6488" w14:textId="77777777" w:rsidR="00EC6347" w:rsidRPr="00196231" w:rsidRDefault="00EC6347" w:rsidP="00D6408F">
            <w:pPr>
              <w:pStyle w:val="TableText"/>
              <w:ind w:left="-57" w:righ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000387E8" w14:textId="77777777" w:rsidR="00EC6347" w:rsidRPr="00196231" w:rsidRDefault="00EC6347" w:rsidP="00D6408F">
            <w:pPr>
              <w:pStyle w:val="TableText"/>
              <w:jc w:val="center"/>
            </w:pPr>
            <w:r w:rsidRPr="00196231">
              <w:rPr>
                <w:b/>
                <w:bCs/>
              </w:rPr>
              <w:t>Week 96 (exploratory endpoint)</w:t>
            </w:r>
            <w:r w:rsidRPr="00196231">
              <w:rPr>
                <w:b/>
                <w:bCs/>
                <w:vertAlign w:val="superscript"/>
              </w:rPr>
              <w:t>d</w:t>
            </w:r>
          </w:p>
        </w:tc>
      </w:tr>
      <w:tr w:rsidR="00EC6347" w:rsidRPr="00196231" w14:paraId="69FBA8B1" w14:textId="77777777" w:rsidTr="00AB5E49">
        <w:trPr>
          <w:jc w:val="center"/>
        </w:trPr>
        <w:tc>
          <w:tcPr>
            <w:tcW w:w="1271" w:type="dxa"/>
            <w:vMerge/>
            <w:tcBorders>
              <w:left w:val="single" w:sz="4" w:space="0" w:color="auto"/>
              <w:right w:val="single" w:sz="4" w:space="0" w:color="auto"/>
            </w:tcBorders>
          </w:tcPr>
          <w:p w14:paraId="5D6DFF0E" w14:textId="77777777" w:rsidR="00EC6347" w:rsidRPr="00196231" w:rsidRDefault="00EC6347" w:rsidP="00D6408F">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tcPr>
          <w:p w14:paraId="5FDE99C8" w14:textId="77777777" w:rsidR="00EC6347" w:rsidRPr="00196231" w:rsidRDefault="00EC6347" w:rsidP="00D6408F">
            <w:pPr>
              <w:pStyle w:val="TableT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tcPr>
          <w:p w14:paraId="79BE8025" w14:textId="77777777" w:rsidR="00EC6347" w:rsidRPr="00196231" w:rsidRDefault="00EC6347" w:rsidP="00D6408F">
            <w:pPr>
              <w:pStyle w:val="TableText"/>
              <w:jc w:val="center"/>
            </w:pPr>
            <w:r w:rsidRPr="00196231">
              <w:t>27</w:t>
            </w:r>
          </w:p>
        </w:tc>
        <w:tc>
          <w:tcPr>
            <w:tcW w:w="2364" w:type="dxa"/>
            <w:tcBorders>
              <w:top w:val="single" w:sz="4" w:space="0" w:color="auto"/>
              <w:left w:val="single" w:sz="4" w:space="0" w:color="auto"/>
              <w:bottom w:val="single" w:sz="4" w:space="0" w:color="auto"/>
              <w:right w:val="single" w:sz="4" w:space="0" w:color="auto"/>
            </w:tcBorders>
          </w:tcPr>
          <w:p w14:paraId="1C46FA43" w14:textId="77777777" w:rsidR="00EC6347" w:rsidRPr="00196231" w:rsidRDefault="00EC6347" w:rsidP="00D6408F">
            <w:pPr>
              <w:pStyle w:val="TableText"/>
              <w:jc w:val="center"/>
            </w:pPr>
            <w:r w:rsidRPr="00196231">
              <w:t>n/a</w:t>
            </w:r>
          </w:p>
        </w:tc>
      </w:tr>
      <w:tr w:rsidR="00EC6347" w:rsidRPr="00196231" w14:paraId="5CD0C452" w14:textId="77777777" w:rsidTr="00AB5E49">
        <w:trPr>
          <w:jc w:val="center"/>
        </w:trPr>
        <w:tc>
          <w:tcPr>
            <w:tcW w:w="1271" w:type="dxa"/>
            <w:vMerge/>
            <w:tcBorders>
              <w:left w:val="single" w:sz="4" w:space="0" w:color="auto"/>
              <w:right w:val="single" w:sz="4" w:space="0" w:color="auto"/>
            </w:tcBorders>
          </w:tcPr>
          <w:p w14:paraId="76836BA9" w14:textId="77777777" w:rsidR="00EC6347" w:rsidRPr="00196231" w:rsidRDefault="00EC6347" w:rsidP="00D6408F">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tcPr>
          <w:p w14:paraId="2AC618AC" w14:textId="77777777" w:rsidR="00EC6347" w:rsidRPr="00196231" w:rsidRDefault="00EC6347" w:rsidP="00D6408F">
            <w:pPr>
              <w:pStyle w:val="TableText"/>
            </w:pPr>
            <w:r w:rsidRPr="00196231">
              <w:t>Proportion responders, % (95% CI)</w:t>
            </w:r>
          </w:p>
        </w:tc>
        <w:tc>
          <w:tcPr>
            <w:tcW w:w="2121" w:type="dxa"/>
            <w:tcBorders>
              <w:top w:val="single" w:sz="4" w:space="0" w:color="auto"/>
              <w:left w:val="single" w:sz="4" w:space="0" w:color="auto"/>
              <w:bottom w:val="single" w:sz="4" w:space="0" w:color="auto"/>
              <w:right w:val="single" w:sz="4" w:space="0" w:color="auto"/>
            </w:tcBorders>
          </w:tcPr>
          <w:p w14:paraId="0CAD5614" w14:textId="77777777" w:rsidR="00EC6347" w:rsidRPr="00196231" w:rsidRDefault="00EC6347" w:rsidP="00D6408F">
            <w:pPr>
              <w:pStyle w:val="TableText"/>
              <w:jc w:val="center"/>
            </w:pPr>
            <w:r w:rsidRPr="00196231">
              <w:t>55.1 (40.2, 69.3)</w:t>
            </w:r>
          </w:p>
        </w:tc>
        <w:tc>
          <w:tcPr>
            <w:tcW w:w="2364" w:type="dxa"/>
            <w:tcBorders>
              <w:top w:val="single" w:sz="4" w:space="0" w:color="auto"/>
              <w:left w:val="single" w:sz="4" w:space="0" w:color="auto"/>
              <w:bottom w:val="single" w:sz="4" w:space="0" w:color="auto"/>
              <w:right w:val="single" w:sz="4" w:space="0" w:color="auto"/>
            </w:tcBorders>
          </w:tcPr>
          <w:p w14:paraId="70CBFDB4" w14:textId="77777777" w:rsidR="00EC6347" w:rsidRPr="00196231" w:rsidRDefault="00EC6347" w:rsidP="00D6408F">
            <w:pPr>
              <w:pStyle w:val="TableText"/>
              <w:jc w:val="center"/>
            </w:pPr>
            <w:r w:rsidRPr="00196231">
              <w:t>n/a</w:t>
            </w:r>
          </w:p>
        </w:tc>
      </w:tr>
      <w:tr w:rsidR="00EC6347" w:rsidRPr="00196231" w14:paraId="7468408A" w14:textId="77777777" w:rsidTr="00AB5E49">
        <w:trPr>
          <w:jc w:val="center"/>
        </w:trPr>
        <w:tc>
          <w:tcPr>
            <w:tcW w:w="1271" w:type="dxa"/>
            <w:vMerge w:val="restart"/>
            <w:tcBorders>
              <w:top w:val="single" w:sz="4" w:space="0" w:color="auto"/>
              <w:left w:val="single" w:sz="4" w:space="0" w:color="auto"/>
              <w:right w:val="single" w:sz="4" w:space="0" w:color="auto"/>
            </w:tcBorders>
          </w:tcPr>
          <w:p w14:paraId="50086736" w14:textId="77777777" w:rsidR="00EC6347" w:rsidRPr="00196231" w:rsidRDefault="00EC6347" w:rsidP="00D6408F">
            <w:pPr>
              <w:pStyle w:val="TableText"/>
              <w:keepNext/>
              <w:ind w:left="-57" w:right="-57"/>
              <w:rPr>
                <w:b/>
                <w:bCs/>
              </w:rPr>
            </w:pPr>
            <w:r w:rsidRPr="00196231">
              <w:rPr>
                <w:b/>
                <w:bCs/>
              </w:rPr>
              <w:lastRenderedPageBreak/>
              <w:t>Virologic response</w:t>
            </w:r>
            <w:r w:rsidRPr="00196231">
              <w:rPr>
                <w:b/>
                <w:bCs/>
                <w:vertAlign w:val="superscript"/>
              </w:rPr>
              <w:t>b</w:t>
            </w: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6D6C7242" w14:textId="77777777" w:rsidR="00EC6347" w:rsidRPr="00196231" w:rsidRDefault="00EC6347" w:rsidP="00D6408F">
            <w:pPr>
              <w:pStyle w:val="TableText"/>
              <w:keepNext/>
              <w:jc w:val="center"/>
              <w:rPr>
                <w:b/>
                <w:bCs/>
              </w:rPr>
            </w:pPr>
            <w:r w:rsidRPr="00196231">
              <w:rPr>
                <w:b/>
                <w:bCs/>
              </w:rPr>
              <w:t>Week 48 (additional endpoint)</w:t>
            </w:r>
          </w:p>
        </w:tc>
      </w:tr>
      <w:tr w:rsidR="00EC6347" w:rsidRPr="00196231" w14:paraId="1DD3B431" w14:textId="77777777" w:rsidTr="00AB5E49">
        <w:trPr>
          <w:jc w:val="center"/>
        </w:trPr>
        <w:tc>
          <w:tcPr>
            <w:tcW w:w="1271" w:type="dxa"/>
            <w:vMerge/>
            <w:tcBorders>
              <w:left w:val="single" w:sz="4" w:space="0" w:color="auto"/>
              <w:right w:val="single" w:sz="4" w:space="0" w:color="auto"/>
            </w:tcBorders>
            <w:hideMark/>
          </w:tcPr>
          <w:p w14:paraId="5E80E3FE"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11B77CD7" w14:textId="77777777" w:rsidR="00EC6347" w:rsidRPr="00196231" w:rsidRDefault="00EC6347" w:rsidP="00D6408F">
            <w:pPr>
              <w:pStyle w:val="TableText"/>
              <w:keepN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tcPr>
          <w:p w14:paraId="473CF75B" w14:textId="77777777" w:rsidR="00EC6347" w:rsidRPr="00196231" w:rsidRDefault="00EC6347" w:rsidP="00D6408F">
            <w:pPr>
              <w:pStyle w:val="TableText"/>
              <w:keepNext/>
              <w:jc w:val="center"/>
            </w:pPr>
            <w:r w:rsidRPr="00196231">
              <w:t>36</w:t>
            </w:r>
          </w:p>
        </w:tc>
        <w:tc>
          <w:tcPr>
            <w:tcW w:w="2364" w:type="dxa"/>
          </w:tcPr>
          <w:p w14:paraId="08EA4131" w14:textId="77777777" w:rsidR="00EC6347" w:rsidRPr="00196231" w:rsidRDefault="00EC6347" w:rsidP="00D6408F">
            <w:pPr>
              <w:pStyle w:val="TableText"/>
              <w:keepNext/>
              <w:jc w:val="center"/>
            </w:pPr>
            <w:r w:rsidRPr="00196231">
              <w:rPr>
                <w:rFonts w:eastAsia="Calibri" w:cstheme="minorHAnsi"/>
              </w:rPr>
              <w:t>2</w:t>
            </w:r>
          </w:p>
        </w:tc>
      </w:tr>
      <w:tr w:rsidR="00EC6347" w:rsidRPr="00196231" w14:paraId="48AB50BB" w14:textId="77777777" w:rsidTr="00AB5E49">
        <w:trPr>
          <w:jc w:val="center"/>
        </w:trPr>
        <w:tc>
          <w:tcPr>
            <w:tcW w:w="1271" w:type="dxa"/>
            <w:vMerge/>
            <w:tcBorders>
              <w:left w:val="single" w:sz="4" w:space="0" w:color="auto"/>
              <w:right w:val="single" w:sz="4" w:space="0" w:color="auto"/>
            </w:tcBorders>
            <w:hideMark/>
          </w:tcPr>
          <w:p w14:paraId="5DB488E7"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71F4DC3C" w14:textId="77777777" w:rsidR="00EC6347" w:rsidRPr="00196231" w:rsidRDefault="00EC6347" w:rsidP="00D6408F">
            <w:pPr>
              <w:pStyle w:val="TableText"/>
              <w:keepNext/>
            </w:pPr>
            <w:r w:rsidRPr="00196231">
              <w:t>Proportion responders, % (95% CI)</w:t>
            </w:r>
          </w:p>
        </w:tc>
        <w:tc>
          <w:tcPr>
            <w:tcW w:w="2121" w:type="dxa"/>
            <w:tcBorders>
              <w:top w:val="single" w:sz="4" w:space="0" w:color="auto"/>
              <w:left w:val="single" w:sz="4" w:space="0" w:color="auto"/>
              <w:bottom w:val="single" w:sz="4" w:space="0" w:color="auto"/>
              <w:right w:val="single" w:sz="4" w:space="0" w:color="auto"/>
            </w:tcBorders>
          </w:tcPr>
          <w:p w14:paraId="59B1CD3A" w14:textId="77777777" w:rsidR="00EC6347" w:rsidRPr="00196231" w:rsidRDefault="00EC6347" w:rsidP="00D6408F">
            <w:pPr>
              <w:pStyle w:val="TableText"/>
              <w:keepNext/>
              <w:jc w:val="center"/>
            </w:pPr>
            <w:r w:rsidRPr="00196231">
              <w:t>73.5 (58.9, 85.1)</w:t>
            </w:r>
          </w:p>
        </w:tc>
        <w:tc>
          <w:tcPr>
            <w:tcW w:w="2364" w:type="dxa"/>
          </w:tcPr>
          <w:p w14:paraId="151B0569" w14:textId="77777777" w:rsidR="00EC6347" w:rsidRPr="00196231" w:rsidRDefault="00EC6347" w:rsidP="00D6408F">
            <w:pPr>
              <w:pStyle w:val="TableText"/>
              <w:keepNext/>
              <w:jc w:val="center"/>
            </w:pPr>
            <w:r w:rsidRPr="00196231">
              <w:rPr>
                <w:rFonts w:eastAsia="Calibri" w:cstheme="minorHAnsi"/>
              </w:rPr>
              <w:t>3.9 (0.5, 13.5)</w:t>
            </w:r>
          </w:p>
        </w:tc>
      </w:tr>
      <w:tr w:rsidR="00EC6347" w:rsidRPr="00196231" w14:paraId="3798E9D7" w14:textId="77777777" w:rsidTr="00AB5E49">
        <w:trPr>
          <w:jc w:val="center"/>
        </w:trPr>
        <w:tc>
          <w:tcPr>
            <w:tcW w:w="1271" w:type="dxa"/>
            <w:vMerge/>
            <w:tcBorders>
              <w:left w:val="single" w:sz="4" w:space="0" w:color="auto"/>
              <w:right w:val="single" w:sz="4" w:space="0" w:color="auto"/>
            </w:tcBorders>
            <w:hideMark/>
          </w:tcPr>
          <w:p w14:paraId="6F44E9A0"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41C39B35" w14:textId="476562CC" w:rsidR="00EC6347" w:rsidRPr="00196231" w:rsidRDefault="00EC6347" w:rsidP="00D6408F">
            <w:pPr>
              <w:pStyle w:val="TableText"/>
              <w:keepNext/>
            </w:pPr>
            <w:r w:rsidRPr="00196231">
              <w:t xml:space="preserve">Difference in proportions (95% CI) (bulevirtide </w:t>
            </w:r>
            <w:r w:rsidR="00E073FA">
              <w:t>2 mg</w:t>
            </w:r>
            <w:r w:rsidRPr="00196231">
              <w:t xml:space="preserve"> vs delayed treatment)</w:t>
            </w:r>
          </w:p>
        </w:tc>
        <w:tc>
          <w:tcPr>
            <w:tcW w:w="4485" w:type="dxa"/>
            <w:gridSpan w:val="2"/>
            <w:tcBorders>
              <w:top w:val="single" w:sz="4" w:space="0" w:color="auto"/>
              <w:left w:val="single" w:sz="4" w:space="0" w:color="auto"/>
              <w:bottom w:val="single" w:sz="4" w:space="0" w:color="auto"/>
              <w:right w:val="single" w:sz="4" w:space="0" w:color="auto"/>
            </w:tcBorders>
            <w:hideMark/>
          </w:tcPr>
          <w:p w14:paraId="0826124E" w14:textId="77777777" w:rsidR="00EC6347" w:rsidRPr="00196231" w:rsidRDefault="00EC6347" w:rsidP="00D6408F">
            <w:pPr>
              <w:pStyle w:val="TableText"/>
              <w:keepNext/>
              <w:jc w:val="center"/>
            </w:pPr>
            <w:r w:rsidRPr="00196231">
              <w:t>69.5 (54.1, 81.9)</w:t>
            </w:r>
          </w:p>
        </w:tc>
      </w:tr>
      <w:tr w:rsidR="00EC6347" w:rsidRPr="00196231" w14:paraId="4E909D52" w14:textId="77777777" w:rsidTr="00AB5E49">
        <w:trPr>
          <w:jc w:val="center"/>
        </w:trPr>
        <w:tc>
          <w:tcPr>
            <w:tcW w:w="1271" w:type="dxa"/>
            <w:vMerge/>
            <w:tcBorders>
              <w:left w:val="single" w:sz="4" w:space="0" w:color="auto"/>
              <w:right w:val="single" w:sz="4" w:space="0" w:color="auto"/>
            </w:tcBorders>
          </w:tcPr>
          <w:p w14:paraId="004FBD18"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0E15E8FC" w14:textId="77777777" w:rsidR="00EC6347" w:rsidRPr="00196231" w:rsidRDefault="00EC6347" w:rsidP="00D6408F">
            <w:pPr>
              <w:pStyle w:val="TableText"/>
              <w:keepNext/>
            </w:pPr>
            <w:r w:rsidRPr="00196231">
              <w:t>p-value</w:t>
            </w:r>
          </w:p>
        </w:tc>
        <w:tc>
          <w:tcPr>
            <w:tcW w:w="4485" w:type="dxa"/>
            <w:gridSpan w:val="2"/>
            <w:tcBorders>
              <w:top w:val="single" w:sz="4" w:space="0" w:color="auto"/>
              <w:left w:val="single" w:sz="4" w:space="0" w:color="auto"/>
              <w:bottom w:val="single" w:sz="4" w:space="0" w:color="auto"/>
              <w:right w:val="single" w:sz="4" w:space="0" w:color="auto"/>
            </w:tcBorders>
          </w:tcPr>
          <w:p w14:paraId="7997C5EA" w14:textId="77777777" w:rsidR="00EC6347" w:rsidRPr="00196231" w:rsidRDefault="00EC6347" w:rsidP="00D6408F">
            <w:pPr>
              <w:pStyle w:val="TableText"/>
              <w:keepNext/>
              <w:jc w:val="center"/>
            </w:pPr>
            <w:r w:rsidRPr="00196231">
              <w:rPr>
                <w:rFonts w:eastAsia="Calibri" w:cstheme="minorHAnsi"/>
              </w:rPr>
              <w:t>&lt; 0.0001</w:t>
            </w:r>
          </w:p>
        </w:tc>
      </w:tr>
      <w:tr w:rsidR="00EC6347" w:rsidRPr="00196231" w14:paraId="2AE129CA" w14:textId="77777777" w:rsidTr="00AB5E49">
        <w:trPr>
          <w:jc w:val="center"/>
        </w:trPr>
        <w:tc>
          <w:tcPr>
            <w:tcW w:w="1271" w:type="dxa"/>
            <w:vMerge/>
            <w:tcBorders>
              <w:left w:val="single" w:sz="4" w:space="0" w:color="auto"/>
              <w:right w:val="single" w:sz="4" w:space="0" w:color="auto"/>
            </w:tcBorders>
          </w:tcPr>
          <w:p w14:paraId="1CF033D3" w14:textId="77777777" w:rsidR="00EC6347" w:rsidRPr="00196231" w:rsidRDefault="00EC6347" w:rsidP="00D6408F">
            <w:pPr>
              <w:pStyle w:val="TableText"/>
              <w:keepNext/>
              <w:ind w:lef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4600E1BF" w14:textId="77777777" w:rsidR="00EC6347" w:rsidRPr="00196231" w:rsidRDefault="00EC6347" w:rsidP="00D6408F">
            <w:pPr>
              <w:pStyle w:val="TableText"/>
              <w:keepNext/>
              <w:jc w:val="center"/>
              <w:rPr>
                <w:b/>
                <w:bCs/>
              </w:rPr>
            </w:pPr>
            <w:r w:rsidRPr="00196231">
              <w:rPr>
                <w:b/>
                <w:bCs/>
              </w:rPr>
              <w:t>Week 96 (exploratory endpoint)</w:t>
            </w:r>
            <w:r w:rsidRPr="00196231">
              <w:rPr>
                <w:b/>
                <w:bCs/>
                <w:vertAlign w:val="superscript"/>
              </w:rPr>
              <w:t>d</w:t>
            </w:r>
          </w:p>
        </w:tc>
      </w:tr>
      <w:tr w:rsidR="00EC6347" w:rsidRPr="00196231" w14:paraId="16CA5E3C" w14:textId="77777777" w:rsidTr="00AB5E49">
        <w:trPr>
          <w:jc w:val="center"/>
        </w:trPr>
        <w:tc>
          <w:tcPr>
            <w:tcW w:w="1271" w:type="dxa"/>
            <w:vMerge/>
            <w:tcBorders>
              <w:left w:val="single" w:sz="4" w:space="0" w:color="auto"/>
              <w:right w:val="single" w:sz="4" w:space="0" w:color="auto"/>
            </w:tcBorders>
            <w:hideMark/>
          </w:tcPr>
          <w:p w14:paraId="1B0CF636"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5B4E4890" w14:textId="77777777" w:rsidR="00EC6347" w:rsidRPr="00196231" w:rsidRDefault="00EC6347" w:rsidP="00D6408F">
            <w:pPr>
              <w:pStyle w:val="TableText"/>
              <w:keepN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tcPr>
          <w:p w14:paraId="65429912" w14:textId="77777777" w:rsidR="00EC6347" w:rsidRPr="00196231" w:rsidRDefault="00EC6347" w:rsidP="00D6408F">
            <w:pPr>
              <w:pStyle w:val="TableText"/>
              <w:keepNext/>
              <w:jc w:val="center"/>
            </w:pPr>
            <w:r w:rsidRPr="00196231">
              <w:t>37</w:t>
            </w:r>
          </w:p>
        </w:tc>
        <w:tc>
          <w:tcPr>
            <w:tcW w:w="2364" w:type="dxa"/>
            <w:tcBorders>
              <w:top w:val="single" w:sz="4" w:space="0" w:color="auto"/>
              <w:left w:val="single" w:sz="4" w:space="0" w:color="auto"/>
              <w:bottom w:val="single" w:sz="4" w:space="0" w:color="auto"/>
              <w:right w:val="single" w:sz="4" w:space="0" w:color="auto"/>
            </w:tcBorders>
          </w:tcPr>
          <w:p w14:paraId="46F742CC" w14:textId="77777777" w:rsidR="00EC6347" w:rsidRPr="00196231" w:rsidRDefault="00EC6347" w:rsidP="00D6408F">
            <w:pPr>
              <w:pStyle w:val="TableText"/>
              <w:keepNext/>
              <w:jc w:val="center"/>
            </w:pPr>
            <w:r w:rsidRPr="00196231">
              <w:t>n/a</w:t>
            </w:r>
          </w:p>
        </w:tc>
      </w:tr>
      <w:tr w:rsidR="00EC6347" w:rsidRPr="00196231" w14:paraId="532CB389" w14:textId="77777777" w:rsidTr="00AB5E49">
        <w:trPr>
          <w:jc w:val="center"/>
        </w:trPr>
        <w:tc>
          <w:tcPr>
            <w:tcW w:w="1271" w:type="dxa"/>
            <w:vMerge/>
            <w:tcBorders>
              <w:left w:val="single" w:sz="4" w:space="0" w:color="auto"/>
              <w:bottom w:val="single" w:sz="4" w:space="0" w:color="auto"/>
              <w:right w:val="single" w:sz="4" w:space="0" w:color="auto"/>
            </w:tcBorders>
          </w:tcPr>
          <w:p w14:paraId="6C8DDA44"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18FB64EE" w14:textId="77777777" w:rsidR="00EC6347" w:rsidRPr="00196231" w:rsidRDefault="00EC6347" w:rsidP="00D6408F">
            <w:pPr>
              <w:pStyle w:val="TableText"/>
              <w:keepNext/>
            </w:pPr>
            <w:r w:rsidRPr="00196231">
              <w:t>Proportion responders, % (95% CI)</w:t>
            </w:r>
          </w:p>
        </w:tc>
        <w:tc>
          <w:tcPr>
            <w:tcW w:w="2121" w:type="dxa"/>
            <w:tcBorders>
              <w:top w:val="single" w:sz="4" w:space="0" w:color="auto"/>
              <w:left w:val="single" w:sz="4" w:space="0" w:color="auto"/>
              <w:bottom w:val="single" w:sz="4" w:space="0" w:color="auto"/>
              <w:right w:val="single" w:sz="4" w:space="0" w:color="auto"/>
            </w:tcBorders>
          </w:tcPr>
          <w:p w14:paraId="7F5BCC9C" w14:textId="77777777" w:rsidR="00EC6347" w:rsidRPr="00196231" w:rsidRDefault="00EC6347" w:rsidP="00D6408F">
            <w:pPr>
              <w:pStyle w:val="TableText"/>
              <w:keepNext/>
              <w:jc w:val="center"/>
            </w:pPr>
            <w:r w:rsidRPr="00196231">
              <w:t>75.5 (61.1, 86,7)</w:t>
            </w:r>
          </w:p>
        </w:tc>
        <w:tc>
          <w:tcPr>
            <w:tcW w:w="2364" w:type="dxa"/>
            <w:tcBorders>
              <w:top w:val="single" w:sz="4" w:space="0" w:color="auto"/>
              <w:left w:val="single" w:sz="4" w:space="0" w:color="auto"/>
              <w:bottom w:val="single" w:sz="4" w:space="0" w:color="auto"/>
              <w:right w:val="single" w:sz="4" w:space="0" w:color="auto"/>
            </w:tcBorders>
          </w:tcPr>
          <w:p w14:paraId="7FC567D1" w14:textId="77777777" w:rsidR="00EC6347" w:rsidRPr="00196231" w:rsidRDefault="00EC6347" w:rsidP="00D6408F">
            <w:pPr>
              <w:pStyle w:val="TableText"/>
              <w:keepNext/>
              <w:jc w:val="center"/>
            </w:pPr>
            <w:r w:rsidRPr="00196231">
              <w:t>n/a</w:t>
            </w:r>
          </w:p>
        </w:tc>
      </w:tr>
      <w:tr w:rsidR="00EC6347" w:rsidRPr="00196231" w14:paraId="20200555" w14:textId="77777777" w:rsidTr="00AB5E49">
        <w:trPr>
          <w:jc w:val="center"/>
        </w:trPr>
        <w:tc>
          <w:tcPr>
            <w:tcW w:w="1271" w:type="dxa"/>
            <w:vMerge w:val="restart"/>
            <w:tcBorders>
              <w:top w:val="single" w:sz="4" w:space="0" w:color="auto"/>
              <w:left w:val="single" w:sz="4" w:space="0" w:color="auto"/>
              <w:right w:val="single" w:sz="4" w:space="0" w:color="auto"/>
            </w:tcBorders>
            <w:hideMark/>
          </w:tcPr>
          <w:p w14:paraId="74F07D49" w14:textId="77777777" w:rsidR="00EC6347" w:rsidRPr="00196231" w:rsidRDefault="00EC6347" w:rsidP="00D6408F">
            <w:pPr>
              <w:pStyle w:val="TableText"/>
              <w:keepNext/>
              <w:ind w:left="-57" w:right="-57"/>
              <w:rPr>
                <w:b/>
                <w:bCs/>
              </w:rPr>
            </w:pPr>
            <w:r w:rsidRPr="00196231">
              <w:rPr>
                <w:b/>
                <w:bCs/>
              </w:rPr>
              <w:t>Undetectable HDV RNA</w:t>
            </w: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490356A6" w14:textId="77777777" w:rsidR="00EC6347" w:rsidRPr="00196231" w:rsidRDefault="00EC6347" w:rsidP="00D6408F">
            <w:pPr>
              <w:pStyle w:val="TableText"/>
              <w:keepNext/>
              <w:jc w:val="center"/>
              <w:rPr>
                <w:b/>
                <w:bCs/>
              </w:rPr>
            </w:pPr>
            <w:r w:rsidRPr="00196231">
              <w:rPr>
                <w:b/>
                <w:bCs/>
              </w:rPr>
              <w:t>Week 48 (key secondary endpoint)</w:t>
            </w:r>
          </w:p>
        </w:tc>
      </w:tr>
      <w:tr w:rsidR="00EC6347" w:rsidRPr="00196231" w14:paraId="69A3DADD" w14:textId="77777777" w:rsidTr="00AB5E49">
        <w:trPr>
          <w:jc w:val="center"/>
        </w:trPr>
        <w:tc>
          <w:tcPr>
            <w:tcW w:w="1271" w:type="dxa"/>
            <w:vMerge/>
            <w:tcBorders>
              <w:left w:val="single" w:sz="4" w:space="0" w:color="auto"/>
              <w:right w:val="single" w:sz="4" w:space="0" w:color="auto"/>
            </w:tcBorders>
            <w:hideMark/>
          </w:tcPr>
          <w:p w14:paraId="07795E5B" w14:textId="77777777" w:rsidR="00EC6347" w:rsidRPr="00196231" w:rsidRDefault="00EC6347" w:rsidP="00D6408F">
            <w:pPr>
              <w:pStyle w:val="TableText"/>
              <w:keepNext/>
              <w:ind w:left="-57" w:right="-57"/>
            </w:pPr>
          </w:p>
        </w:tc>
        <w:tc>
          <w:tcPr>
            <w:tcW w:w="3124" w:type="dxa"/>
            <w:tcBorders>
              <w:top w:val="single" w:sz="4" w:space="0" w:color="auto"/>
              <w:left w:val="single" w:sz="4" w:space="0" w:color="auto"/>
              <w:bottom w:val="single" w:sz="4" w:space="0" w:color="auto"/>
              <w:right w:val="single" w:sz="4" w:space="0" w:color="auto"/>
            </w:tcBorders>
          </w:tcPr>
          <w:p w14:paraId="56257FAE" w14:textId="77777777" w:rsidR="00EC6347" w:rsidRPr="00196231" w:rsidRDefault="00EC6347" w:rsidP="00D6408F">
            <w:pPr>
              <w:pStyle w:val="TableText"/>
              <w:keepN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hideMark/>
          </w:tcPr>
          <w:p w14:paraId="77A02002" w14:textId="77777777" w:rsidR="00EC6347" w:rsidRPr="00196231" w:rsidRDefault="00EC6347" w:rsidP="00D6408F">
            <w:pPr>
              <w:pStyle w:val="TableText"/>
              <w:keepNext/>
              <w:jc w:val="center"/>
            </w:pPr>
            <w:r w:rsidRPr="00196231">
              <w:t>6</w:t>
            </w:r>
          </w:p>
        </w:tc>
        <w:tc>
          <w:tcPr>
            <w:tcW w:w="2364" w:type="dxa"/>
            <w:tcBorders>
              <w:top w:val="single" w:sz="4" w:space="0" w:color="auto"/>
              <w:left w:val="single" w:sz="4" w:space="0" w:color="auto"/>
              <w:bottom w:val="single" w:sz="4" w:space="0" w:color="auto"/>
              <w:right w:val="single" w:sz="4" w:space="0" w:color="auto"/>
            </w:tcBorders>
            <w:hideMark/>
          </w:tcPr>
          <w:p w14:paraId="54F8D8D9" w14:textId="77777777" w:rsidR="00EC6347" w:rsidRPr="00196231" w:rsidRDefault="00EC6347" w:rsidP="00D6408F">
            <w:pPr>
              <w:pStyle w:val="TableText"/>
              <w:keepNext/>
              <w:jc w:val="center"/>
              <w:rPr>
                <w:b/>
                <w:bCs/>
              </w:rPr>
            </w:pPr>
            <w:r w:rsidRPr="00196231">
              <w:rPr>
                <w:b/>
                <w:bCs/>
              </w:rPr>
              <w:t>0</w:t>
            </w:r>
          </w:p>
        </w:tc>
      </w:tr>
      <w:tr w:rsidR="00EC6347" w:rsidRPr="00196231" w14:paraId="66F6A4FF" w14:textId="77777777" w:rsidTr="00AB5E49">
        <w:trPr>
          <w:jc w:val="center"/>
        </w:trPr>
        <w:tc>
          <w:tcPr>
            <w:tcW w:w="1271" w:type="dxa"/>
            <w:vMerge/>
            <w:tcBorders>
              <w:left w:val="single" w:sz="4" w:space="0" w:color="auto"/>
              <w:right w:val="single" w:sz="4" w:space="0" w:color="auto"/>
            </w:tcBorders>
            <w:hideMark/>
          </w:tcPr>
          <w:p w14:paraId="4E104EEA" w14:textId="77777777" w:rsidR="00EC6347" w:rsidRPr="00196231" w:rsidRDefault="00EC6347" w:rsidP="00D6408F">
            <w:pPr>
              <w:pStyle w:val="TableText"/>
              <w:keepNext/>
              <w:ind w:left="-57" w:right="-57"/>
            </w:pPr>
          </w:p>
        </w:tc>
        <w:tc>
          <w:tcPr>
            <w:tcW w:w="3124" w:type="dxa"/>
            <w:tcBorders>
              <w:top w:val="single" w:sz="4" w:space="0" w:color="auto"/>
              <w:left w:val="single" w:sz="4" w:space="0" w:color="auto"/>
              <w:bottom w:val="single" w:sz="4" w:space="0" w:color="auto"/>
              <w:right w:val="single" w:sz="4" w:space="0" w:color="auto"/>
            </w:tcBorders>
          </w:tcPr>
          <w:p w14:paraId="62B03FCC" w14:textId="77777777" w:rsidR="00EC6347" w:rsidRPr="00196231" w:rsidRDefault="00EC6347" w:rsidP="00D6408F">
            <w:pPr>
              <w:pStyle w:val="TableText"/>
              <w:keepNext/>
            </w:pPr>
            <w:r w:rsidRPr="00196231">
              <w:t>Proportion responders, % (95% CI)</w:t>
            </w:r>
          </w:p>
        </w:tc>
        <w:tc>
          <w:tcPr>
            <w:tcW w:w="2121" w:type="dxa"/>
            <w:tcBorders>
              <w:top w:val="single" w:sz="4" w:space="0" w:color="auto"/>
              <w:left w:val="single" w:sz="4" w:space="0" w:color="auto"/>
              <w:bottom w:val="single" w:sz="4" w:space="0" w:color="auto"/>
              <w:right w:val="single" w:sz="4" w:space="0" w:color="auto"/>
            </w:tcBorders>
            <w:hideMark/>
          </w:tcPr>
          <w:p w14:paraId="1E8C5851" w14:textId="77777777" w:rsidR="00EC6347" w:rsidRPr="00196231" w:rsidRDefault="00EC6347" w:rsidP="00D6408F">
            <w:pPr>
              <w:pStyle w:val="TableText"/>
              <w:keepNext/>
              <w:jc w:val="center"/>
            </w:pPr>
            <w:r w:rsidRPr="00196231">
              <w:t>12.2 (4.6, 24.8)</w:t>
            </w:r>
          </w:p>
        </w:tc>
        <w:tc>
          <w:tcPr>
            <w:tcW w:w="2364" w:type="dxa"/>
            <w:tcBorders>
              <w:top w:val="single" w:sz="4" w:space="0" w:color="auto"/>
              <w:left w:val="single" w:sz="4" w:space="0" w:color="auto"/>
              <w:bottom w:val="single" w:sz="4" w:space="0" w:color="auto"/>
              <w:right w:val="single" w:sz="4" w:space="0" w:color="auto"/>
            </w:tcBorders>
          </w:tcPr>
          <w:p w14:paraId="0924E1CA" w14:textId="77777777" w:rsidR="00EC6347" w:rsidRPr="00196231" w:rsidRDefault="00EC6347" w:rsidP="00D6408F">
            <w:pPr>
              <w:pStyle w:val="TableText"/>
              <w:keepNext/>
              <w:jc w:val="center"/>
            </w:pPr>
            <w:r w:rsidRPr="00196231">
              <w:t>0.0 (0.0, 7.0)</w:t>
            </w:r>
          </w:p>
        </w:tc>
      </w:tr>
      <w:tr w:rsidR="00EC6347" w:rsidRPr="00196231" w14:paraId="690D0148" w14:textId="77777777" w:rsidTr="00AB5E49">
        <w:trPr>
          <w:jc w:val="center"/>
        </w:trPr>
        <w:tc>
          <w:tcPr>
            <w:tcW w:w="1271" w:type="dxa"/>
            <w:vMerge/>
            <w:tcBorders>
              <w:left w:val="single" w:sz="4" w:space="0" w:color="auto"/>
              <w:right w:val="single" w:sz="4" w:space="0" w:color="auto"/>
            </w:tcBorders>
            <w:hideMark/>
          </w:tcPr>
          <w:p w14:paraId="1F24C7B2" w14:textId="77777777" w:rsidR="00EC6347" w:rsidRPr="00196231" w:rsidRDefault="00EC6347" w:rsidP="00D6408F">
            <w:pPr>
              <w:pStyle w:val="TableText"/>
              <w:keepNext/>
              <w:ind w:left="-57" w:right="-57"/>
            </w:pPr>
          </w:p>
        </w:tc>
        <w:tc>
          <w:tcPr>
            <w:tcW w:w="3124" w:type="dxa"/>
            <w:tcBorders>
              <w:top w:val="single" w:sz="4" w:space="0" w:color="auto"/>
              <w:left w:val="single" w:sz="4" w:space="0" w:color="auto"/>
              <w:bottom w:val="single" w:sz="4" w:space="0" w:color="auto"/>
              <w:right w:val="single" w:sz="4" w:space="0" w:color="auto"/>
            </w:tcBorders>
          </w:tcPr>
          <w:p w14:paraId="610DB135" w14:textId="77777777" w:rsidR="00EC6347" w:rsidRPr="00196231" w:rsidRDefault="00EC6347" w:rsidP="00D6408F">
            <w:pPr>
              <w:pStyle w:val="TableText"/>
              <w:keepNext/>
            </w:pPr>
            <w:r w:rsidRPr="00196231">
              <w:t>Difference in proportions (96%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hideMark/>
          </w:tcPr>
          <w:p w14:paraId="65542B46" w14:textId="77777777" w:rsidR="00EC6347" w:rsidRPr="00196231" w:rsidRDefault="00EC6347" w:rsidP="00D6408F">
            <w:pPr>
              <w:pStyle w:val="TableText"/>
              <w:keepNext/>
              <w:jc w:val="center"/>
            </w:pPr>
            <w:r w:rsidRPr="00196231">
              <w:t>12.2 (3.7, 24.8)</w:t>
            </w:r>
          </w:p>
        </w:tc>
      </w:tr>
      <w:tr w:rsidR="00EC6347" w:rsidRPr="00196231" w14:paraId="4C7ACB46" w14:textId="77777777" w:rsidTr="00AB5E49">
        <w:trPr>
          <w:jc w:val="center"/>
        </w:trPr>
        <w:tc>
          <w:tcPr>
            <w:tcW w:w="1271" w:type="dxa"/>
            <w:vMerge/>
            <w:tcBorders>
              <w:left w:val="single" w:sz="4" w:space="0" w:color="auto"/>
              <w:right w:val="single" w:sz="4" w:space="0" w:color="auto"/>
            </w:tcBorders>
          </w:tcPr>
          <w:p w14:paraId="32F713BA" w14:textId="77777777" w:rsidR="00EC6347" w:rsidRPr="00196231" w:rsidRDefault="00EC6347" w:rsidP="00D6408F">
            <w:pPr>
              <w:pStyle w:val="TableText"/>
              <w:keepNext/>
              <w:ind w:left="-57" w:right="-57"/>
            </w:pPr>
          </w:p>
        </w:tc>
        <w:tc>
          <w:tcPr>
            <w:tcW w:w="3124" w:type="dxa"/>
            <w:tcBorders>
              <w:top w:val="single" w:sz="4" w:space="0" w:color="auto"/>
              <w:left w:val="single" w:sz="4" w:space="0" w:color="auto"/>
              <w:bottom w:val="single" w:sz="4" w:space="0" w:color="auto"/>
              <w:right w:val="single" w:sz="4" w:space="0" w:color="auto"/>
            </w:tcBorders>
          </w:tcPr>
          <w:p w14:paraId="4BBCA7FA" w14:textId="77777777" w:rsidR="00EC6347" w:rsidRPr="00196231" w:rsidRDefault="00EC6347" w:rsidP="00D6408F">
            <w:pPr>
              <w:pStyle w:val="TableText"/>
              <w:keepNext/>
            </w:pPr>
            <w:r w:rsidRPr="00196231">
              <w:t>p-value</w:t>
            </w:r>
            <w:r w:rsidRPr="00196231">
              <w:rPr>
                <w:vertAlign w:val="superscript"/>
              </w:rPr>
              <w:t>e</w:t>
            </w:r>
          </w:p>
        </w:tc>
        <w:tc>
          <w:tcPr>
            <w:tcW w:w="4485" w:type="dxa"/>
            <w:gridSpan w:val="2"/>
            <w:tcBorders>
              <w:top w:val="single" w:sz="4" w:space="0" w:color="auto"/>
              <w:left w:val="single" w:sz="4" w:space="0" w:color="auto"/>
              <w:bottom w:val="single" w:sz="4" w:space="0" w:color="auto"/>
              <w:right w:val="single" w:sz="4" w:space="0" w:color="auto"/>
            </w:tcBorders>
          </w:tcPr>
          <w:p w14:paraId="1F8500C2" w14:textId="77777777" w:rsidR="00EC6347" w:rsidRPr="00196231" w:rsidRDefault="00EC6347" w:rsidP="00D6408F">
            <w:pPr>
              <w:pStyle w:val="TableText"/>
              <w:keepNext/>
              <w:jc w:val="center"/>
            </w:pPr>
            <w:r w:rsidRPr="00196231">
              <w:t>0.0117</w:t>
            </w:r>
          </w:p>
        </w:tc>
      </w:tr>
      <w:tr w:rsidR="00EC6347" w:rsidRPr="00196231" w14:paraId="417FF7C3" w14:textId="77777777" w:rsidTr="00AB5E49">
        <w:trPr>
          <w:jc w:val="center"/>
        </w:trPr>
        <w:tc>
          <w:tcPr>
            <w:tcW w:w="1271" w:type="dxa"/>
            <w:vMerge/>
            <w:tcBorders>
              <w:left w:val="single" w:sz="4" w:space="0" w:color="auto"/>
              <w:right w:val="single" w:sz="4" w:space="0" w:color="auto"/>
            </w:tcBorders>
          </w:tcPr>
          <w:p w14:paraId="1DD50A22" w14:textId="77777777" w:rsidR="00EC6347" w:rsidRPr="00196231" w:rsidRDefault="00EC6347" w:rsidP="00D6408F">
            <w:pPr>
              <w:pStyle w:val="TableText"/>
              <w:keepNext/>
              <w:ind w:left="-57" w:righ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10F27BB1" w14:textId="77777777" w:rsidR="00EC6347" w:rsidRPr="00196231" w:rsidRDefault="00EC6347" w:rsidP="00D6408F">
            <w:pPr>
              <w:pStyle w:val="TableText"/>
              <w:keepNext/>
              <w:jc w:val="center"/>
              <w:rPr>
                <w:b/>
                <w:bCs/>
              </w:rPr>
            </w:pPr>
            <w:r w:rsidRPr="00196231">
              <w:rPr>
                <w:b/>
                <w:bCs/>
              </w:rPr>
              <w:t>Week 96 (exploratory endpoint)</w:t>
            </w:r>
            <w:r w:rsidRPr="00196231">
              <w:rPr>
                <w:b/>
                <w:bCs/>
                <w:vertAlign w:val="superscript"/>
              </w:rPr>
              <w:t>d</w:t>
            </w:r>
          </w:p>
        </w:tc>
      </w:tr>
      <w:tr w:rsidR="00EC6347" w:rsidRPr="00196231" w14:paraId="3DDEDE86" w14:textId="77777777" w:rsidTr="00AB5E49">
        <w:trPr>
          <w:jc w:val="center"/>
        </w:trPr>
        <w:tc>
          <w:tcPr>
            <w:tcW w:w="1271" w:type="dxa"/>
            <w:vMerge/>
            <w:tcBorders>
              <w:left w:val="single" w:sz="4" w:space="0" w:color="auto"/>
              <w:right w:val="single" w:sz="4" w:space="0" w:color="auto"/>
            </w:tcBorders>
          </w:tcPr>
          <w:p w14:paraId="6550D219" w14:textId="77777777" w:rsidR="00EC6347" w:rsidRPr="00196231" w:rsidRDefault="00EC6347" w:rsidP="00D6408F">
            <w:pPr>
              <w:pStyle w:val="TableText"/>
              <w:keepNext/>
              <w:ind w:left="-57" w:right="-57"/>
            </w:pPr>
          </w:p>
        </w:tc>
        <w:tc>
          <w:tcPr>
            <w:tcW w:w="3124" w:type="dxa"/>
            <w:tcBorders>
              <w:top w:val="single" w:sz="4" w:space="0" w:color="auto"/>
              <w:left w:val="single" w:sz="4" w:space="0" w:color="auto"/>
              <w:bottom w:val="single" w:sz="4" w:space="0" w:color="auto"/>
              <w:right w:val="single" w:sz="4" w:space="0" w:color="auto"/>
            </w:tcBorders>
          </w:tcPr>
          <w:p w14:paraId="6898F640" w14:textId="77777777" w:rsidR="00EC6347" w:rsidRPr="00196231" w:rsidRDefault="00EC6347" w:rsidP="00D6408F">
            <w:pPr>
              <w:pStyle w:val="TableText"/>
              <w:keepN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tcPr>
          <w:p w14:paraId="4F2BE80A" w14:textId="77777777" w:rsidR="00EC6347" w:rsidRPr="00196231" w:rsidRDefault="00EC6347" w:rsidP="00D6408F">
            <w:pPr>
              <w:pStyle w:val="TableText"/>
              <w:keepNext/>
              <w:jc w:val="center"/>
            </w:pPr>
            <w:r w:rsidRPr="00196231">
              <w:t>10</w:t>
            </w:r>
          </w:p>
        </w:tc>
        <w:tc>
          <w:tcPr>
            <w:tcW w:w="2364" w:type="dxa"/>
            <w:tcBorders>
              <w:top w:val="single" w:sz="4" w:space="0" w:color="auto"/>
              <w:left w:val="single" w:sz="4" w:space="0" w:color="auto"/>
              <w:bottom w:val="single" w:sz="4" w:space="0" w:color="auto"/>
              <w:right w:val="single" w:sz="4" w:space="0" w:color="auto"/>
            </w:tcBorders>
          </w:tcPr>
          <w:p w14:paraId="6271ABF6" w14:textId="77777777" w:rsidR="00EC6347" w:rsidRPr="00196231" w:rsidRDefault="00EC6347" w:rsidP="00D6408F">
            <w:pPr>
              <w:pStyle w:val="TableText"/>
              <w:keepNext/>
              <w:jc w:val="center"/>
              <w:rPr>
                <w:b/>
                <w:bCs/>
              </w:rPr>
            </w:pPr>
            <w:r w:rsidRPr="00196231">
              <w:rPr>
                <w:b/>
                <w:bCs/>
              </w:rPr>
              <w:t>n/a</w:t>
            </w:r>
          </w:p>
        </w:tc>
      </w:tr>
      <w:tr w:rsidR="00EC6347" w:rsidRPr="00196231" w14:paraId="3B5432B0" w14:textId="77777777" w:rsidTr="00AB5E49">
        <w:trPr>
          <w:jc w:val="center"/>
        </w:trPr>
        <w:tc>
          <w:tcPr>
            <w:tcW w:w="1271" w:type="dxa"/>
            <w:vMerge/>
            <w:tcBorders>
              <w:left w:val="single" w:sz="4" w:space="0" w:color="auto"/>
              <w:bottom w:val="single" w:sz="4" w:space="0" w:color="auto"/>
              <w:right w:val="single" w:sz="4" w:space="0" w:color="auto"/>
            </w:tcBorders>
          </w:tcPr>
          <w:p w14:paraId="2A0B9292" w14:textId="77777777" w:rsidR="00EC6347" w:rsidRPr="00196231" w:rsidRDefault="00EC6347" w:rsidP="00D6408F">
            <w:pPr>
              <w:pStyle w:val="TableText"/>
              <w:keepNext/>
              <w:ind w:left="-57" w:right="-57"/>
            </w:pPr>
          </w:p>
        </w:tc>
        <w:tc>
          <w:tcPr>
            <w:tcW w:w="3124" w:type="dxa"/>
            <w:tcBorders>
              <w:top w:val="single" w:sz="4" w:space="0" w:color="auto"/>
              <w:left w:val="single" w:sz="4" w:space="0" w:color="auto"/>
              <w:bottom w:val="single" w:sz="4" w:space="0" w:color="auto"/>
              <w:right w:val="single" w:sz="4" w:space="0" w:color="auto"/>
            </w:tcBorders>
          </w:tcPr>
          <w:p w14:paraId="1902C75A" w14:textId="77777777" w:rsidR="00EC6347" w:rsidRPr="00196231" w:rsidRDefault="00EC6347" w:rsidP="00D6408F">
            <w:pPr>
              <w:pStyle w:val="TableText"/>
              <w:keepNext/>
            </w:pPr>
            <w:r w:rsidRPr="00196231">
              <w:t>Proportion responders, % (95% CI) (bulevirtide 2 mg vs delayed treatment)</w:t>
            </w:r>
          </w:p>
        </w:tc>
        <w:tc>
          <w:tcPr>
            <w:tcW w:w="2121" w:type="dxa"/>
            <w:tcBorders>
              <w:top w:val="single" w:sz="4" w:space="0" w:color="auto"/>
              <w:left w:val="single" w:sz="4" w:space="0" w:color="auto"/>
              <w:bottom w:val="single" w:sz="4" w:space="0" w:color="auto"/>
              <w:right w:val="single" w:sz="4" w:space="0" w:color="auto"/>
            </w:tcBorders>
            <w:vAlign w:val="center"/>
          </w:tcPr>
          <w:p w14:paraId="1AA69925" w14:textId="77777777" w:rsidR="00EC6347" w:rsidRPr="00196231" w:rsidRDefault="00EC6347" w:rsidP="00D6408F">
            <w:pPr>
              <w:pStyle w:val="TableText"/>
              <w:keepNext/>
              <w:jc w:val="center"/>
            </w:pPr>
            <w:r w:rsidRPr="00196231">
              <w:t>20.4 (10.2, 34.3)</w:t>
            </w:r>
          </w:p>
        </w:tc>
        <w:tc>
          <w:tcPr>
            <w:tcW w:w="2364" w:type="dxa"/>
            <w:tcBorders>
              <w:top w:val="single" w:sz="4" w:space="0" w:color="auto"/>
              <w:left w:val="single" w:sz="4" w:space="0" w:color="auto"/>
              <w:bottom w:val="single" w:sz="4" w:space="0" w:color="auto"/>
              <w:right w:val="single" w:sz="4" w:space="0" w:color="auto"/>
            </w:tcBorders>
            <w:vAlign w:val="center"/>
          </w:tcPr>
          <w:p w14:paraId="044DE4EE" w14:textId="77777777" w:rsidR="00EC6347" w:rsidRPr="00196231" w:rsidRDefault="00EC6347" w:rsidP="00D6408F">
            <w:pPr>
              <w:pStyle w:val="TableText"/>
              <w:keepNext/>
              <w:jc w:val="center"/>
            </w:pPr>
            <w:r w:rsidRPr="00196231">
              <w:t>n/a</w:t>
            </w:r>
          </w:p>
        </w:tc>
      </w:tr>
      <w:tr w:rsidR="00EC6347" w:rsidRPr="00196231" w14:paraId="4FA0D751" w14:textId="77777777" w:rsidTr="00AB5E49">
        <w:trPr>
          <w:jc w:val="center"/>
        </w:trPr>
        <w:tc>
          <w:tcPr>
            <w:tcW w:w="1271" w:type="dxa"/>
            <w:vMerge w:val="restart"/>
            <w:tcBorders>
              <w:top w:val="single" w:sz="4" w:space="0" w:color="auto"/>
              <w:left w:val="single" w:sz="4" w:space="0" w:color="auto"/>
              <w:right w:val="single" w:sz="4" w:space="0" w:color="auto"/>
            </w:tcBorders>
            <w:hideMark/>
          </w:tcPr>
          <w:p w14:paraId="28295491" w14:textId="77777777" w:rsidR="00EC6347" w:rsidRPr="00196231" w:rsidRDefault="00EC6347" w:rsidP="00D6408F">
            <w:pPr>
              <w:pStyle w:val="TableText"/>
              <w:keepNext/>
              <w:ind w:left="-57" w:right="-57"/>
              <w:rPr>
                <w:b/>
                <w:bCs/>
              </w:rPr>
            </w:pPr>
            <w:r w:rsidRPr="00196231">
              <w:rPr>
                <w:b/>
                <w:bCs/>
              </w:rPr>
              <w:t>ALT normalisation</w:t>
            </w:r>
            <w:r w:rsidRPr="00196231">
              <w:rPr>
                <w:b/>
                <w:bCs/>
                <w:vertAlign w:val="superscript"/>
              </w:rPr>
              <w:t>c</w:t>
            </w: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549E1538" w14:textId="77777777" w:rsidR="00EC6347" w:rsidRPr="00196231" w:rsidRDefault="00EC6347" w:rsidP="00D6408F">
            <w:pPr>
              <w:pStyle w:val="TableText"/>
              <w:keepNext/>
              <w:jc w:val="center"/>
              <w:rPr>
                <w:b/>
                <w:bCs/>
              </w:rPr>
            </w:pPr>
            <w:r w:rsidRPr="00196231">
              <w:rPr>
                <w:b/>
                <w:bCs/>
              </w:rPr>
              <w:t>Week 48 (secondary endpoint)</w:t>
            </w:r>
          </w:p>
        </w:tc>
      </w:tr>
      <w:tr w:rsidR="00EC6347" w:rsidRPr="00196231" w14:paraId="2831A658" w14:textId="77777777" w:rsidTr="00AB5E49">
        <w:trPr>
          <w:jc w:val="center"/>
        </w:trPr>
        <w:tc>
          <w:tcPr>
            <w:tcW w:w="1271" w:type="dxa"/>
            <w:vMerge/>
            <w:tcBorders>
              <w:left w:val="single" w:sz="4" w:space="0" w:color="auto"/>
              <w:right w:val="single" w:sz="4" w:space="0" w:color="auto"/>
            </w:tcBorders>
            <w:hideMark/>
          </w:tcPr>
          <w:p w14:paraId="68710D53"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54190D41" w14:textId="77777777" w:rsidR="00EC6347" w:rsidRPr="00196231" w:rsidRDefault="00EC6347" w:rsidP="00D6408F">
            <w:pPr>
              <w:pStyle w:val="TableText"/>
              <w:keepN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tcPr>
          <w:p w14:paraId="601E6A3A" w14:textId="77777777" w:rsidR="00EC6347" w:rsidRPr="00196231" w:rsidRDefault="00EC6347" w:rsidP="00D6408F">
            <w:pPr>
              <w:pStyle w:val="TableText"/>
              <w:keepNext/>
              <w:jc w:val="center"/>
            </w:pPr>
            <w:r w:rsidRPr="00196231">
              <w:t>25</w:t>
            </w:r>
          </w:p>
        </w:tc>
        <w:tc>
          <w:tcPr>
            <w:tcW w:w="2364" w:type="dxa"/>
            <w:tcBorders>
              <w:top w:val="single" w:sz="4" w:space="0" w:color="auto"/>
              <w:left w:val="single" w:sz="4" w:space="0" w:color="auto"/>
              <w:bottom w:val="single" w:sz="4" w:space="0" w:color="auto"/>
              <w:right w:val="single" w:sz="4" w:space="0" w:color="auto"/>
            </w:tcBorders>
          </w:tcPr>
          <w:p w14:paraId="09DE1754" w14:textId="77777777" w:rsidR="00EC6347" w:rsidRPr="00196231" w:rsidRDefault="00EC6347" w:rsidP="00D6408F">
            <w:pPr>
              <w:pStyle w:val="TableText"/>
              <w:keepNext/>
              <w:jc w:val="center"/>
            </w:pPr>
            <w:r w:rsidRPr="00196231">
              <w:t>6</w:t>
            </w:r>
          </w:p>
        </w:tc>
      </w:tr>
      <w:tr w:rsidR="00EC6347" w:rsidRPr="00196231" w14:paraId="4250F078" w14:textId="77777777" w:rsidTr="00AB5E49">
        <w:trPr>
          <w:jc w:val="center"/>
        </w:trPr>
        <w:tc>
          <w:tcPr>
            <w:tcW w:w="1271" w:type="dxa"/>
            <w:vMerge/>
            <w:tcBorders>
              <w:left w:val="single" w:sz="4" w:space="0" w:color="auto"/>
              <w:right w:val="single" w:sz="4" w:space="0" w:color="auto"/>
            </w:tcBorders>
            <w:hideMark/>
          </w:tcPr>
          <w:p w14:paraId="13C7339F"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5C141056" w14:textId="77777777" w:rsidR="00EC6347" w:rsidRPr="00196231" w:rsidRDefault="00EC6347" w:rsidP="00D6408F">
            <w:pPr>
              <w:pStyle w:val="TableText"/>
              <w:keepNext/>
            </w:pPr>
            <w:r w:rsidRPr="00196231">
              <w:t>Proportion responders, % (95% CI)</w:t>
            </w:r>
          </w:p>
        </w:tc>
        <w:tc>
          <w:tcPr>
            <w:tcW w:w="2121" w:type="dxa"/>
            <w:tcBorders>
              <w:top w:val="single" w:sz="4" w:space="0" w:color="auto"/>
              <w:left w:val="single" w:sz="4" w:space="0" w:color="auto"/>
              <w:bottom w:val="single" w:sz="4" w:space="0" w:color="auto"/>
              <w:right w:val="single" w:sz="4" w:space="0" w:color="auto"/>
            </w:tcBorders>
          </w:tcPr>
          <w:p w14:paraId="08C38837" w14:textId="77777777" w:rsidR="00EC6347" w:rsidRPr="00196231" w:rsidRDefault="00EC6347" w:rsidP="00D6408F">
            <w:pPr>
              <w:pStyle w:val="TableText"/>
              <w:keepNext/>
              <w:jc w:val="center"/>
            </w:pPr>
            <w:r w:rsidRPr="00196231">
              <w:t>51.0 (36.3, 65.6)</w:t>
            </w:r>
          </w:p>
        </w:tc>
        <w:tc>
          <w:tcPr>
            <w:tcW w:w="2364" w:type="dxa"/>
            <w:tcBorders>
              <w:top w:val="single" w:sz="4" w:space="0" w:color="auto"/>
              <w:left w:val="single" w:sz="4" w:space="0" w:color="auto"/>
              <w:bottom w:val="single" w:sz="4" w:space="0" w:color="auto"/>
              <w:right w:val="single" w:sz="4" w:space="0" w:color="auto"/>
            </w:tcBorders>
          </w:tcPr>
          <w:p w14:paraId="504D58B5" w14:textId="77777777" w:rsidR="00EC6347" w:rsidRPr="00196231" w:rsidRDefault="00EC6347" w:rsidP="00D6408F">
            <w:pPr>
              <w:pStyle w:val="TableText"/>
              <w:keepNext/>
              <w:jc w:val="center"/>
            </w:pPr>
            <w:r w:rsidRPr="00196231">
              <w:t>11.8 (4.4, 23.9)</w:t>
            </w:r>
          </w:p>
        </w:tc>
      </w:tr>
      <w:tr w:rsidR="00EC6347" w:rsidRPr="00196231" w14:paraId="31311555" w14:textId="77777777" w:rsidTr="00AB5E49">
        <w:trPr>
          <w:jc w:val="center"/>
        </w:trPr>
        <w:tc>
          <w:tcPr>
            <w:tcW w:w="1271" w:type="dxa"/>
            <w:vMerge/>
            <w:tcBorders>
              <w:left w:val="single" w:sz="4" w:space="0" w:color="auto"/>
              <w:right w:val="single" w:sz="4" w:space="0" w:color="auto"/>
            </w:tcBorders>
            <w:hideMark/>
          </w:tcPr>
          <w:p w14:paraId="362607D5"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6C0740DB" w14:textId="7165919A" w:rsidR="00EC6347" w:rsidRPr="00196231" w:rsidRDefault="00EC6347" w:rsidP="00D6408F">
            <w:pPr>
              <w:pStyle w:val="TableText"/>
              <w:keepNext/>
            </w:pPr>
            <w:r w:rsidRPr="00196231">
              <w:t xml:space="preserve">Difference in proportions (95% CI) (bulevirtide </w:t>
            </w:r>
            <w:r w:rsidR="00E073FA">
              <w:t>2 mg</w:t>
            </w:r>
            <w:r w:rsidRPr="00196231">
              <w:t xml:space="preserve"> vs delayed treatment)</w:t>
            </w:r>
          </w:p>
        </w:tc>
        <w:tc>
          <w:tcPr>
            <w:tcW w:w="4485" w:type="dxa"/>
            <w:gridSpan w:val="2"/>
            <w:tcBorders>
              <w:top w:val="single" w:sz="4" w:space="0" w:color="auto"/>
              <w:left w:val="single" w:sz="4" w:space="0" w:color="auto"/>
              <w:bottom w:val="single" w:sz="4" w:space="0" w:color="auto"/>
              <w:right w:val="single" w:sz="4" w:space="0" w:color="auto"/>
            </w:tcBorders>
            <w:hideMark/>
          </w:tcPr>
          <w:p w14:paraId="6D500086" w14:textId="77777777" w:rsidR="00EC6347" w:rsidRPr="00196231" w:rsidRDefault="00EC6347" w:rsidP="00D6408F">
            <w:pPr>
              <w:pStyle w:val="TableText"/>
              <w:keepNext/>
              <w:jc w:val="center"/>
            </w:pPr>
            <w:r w:rsidRPr="00196231">
              <w:t>39.3 (19.9, 55.8)</w:t>
            </w:r>
          </w:p>
        </w:tc>
      </w:tr>
      <w:tr w:rsidR="00EC6347" w:rsidRPr="00196231" w14:paraId="711EA59F" w14:textId="77777777" w:rsidTr="00AB5E49">
        <w:trPr>
          <w:jc w:val="center"/>
        </w:trPr>
        <w:tc>
          <w:tcPr>
            <w:tcW w:w="1271" w:type="dxa"/>
            <w:vMerge/>
            <w:tcBorders>
              <w:left w:val="single" w:sz="4" w:space="0" w:color="auto"/>
              <w:right w:val="single" w:sz="4" w:space="0" w:color="auto"/>
            </w:tcBorders>
          </w:tcPr>
          <w:p w14:paraId="430C3313"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46102789" w14:textId="77777777" w:rsidR="00EC6347" w:rsidRPr="00196231" w:rsidRDefault="00EC6347" w:rsidP="00D6408F">
            <w:pPr>
              <w:pStyle w:val="TableText"/>
              <w:keepNext/>
            </w:pPr>
            <w:r w:rsidRPr="00196231">
              <w:t>p-value</w:t>
            </w:r>
          </w:p>
        </w:tc>
        <w:tc>
          <w:tcPr>
            <w:tcW w:w="4485" w:type="dxa"/>
            <w:gridSpan w:val="2"/>
            <w:tcBorders>
              <w:top w:val="single" w:sz="4" w:space="0" w:color="auto"/>
              <w:left w:val="single" w:sz="4" w:space="0" w:color="auto"/>
              <w:bottom w:val="single" w:sz="4" w:space="0" w:color="auto"/>
              <w:right w:val="single" w:sz="4" w:space="0" w:color="auto"/>
            </w:tcBorders>
          </w:tcPr>
          <w:p w14:paraId="74C97F1E" w14:textId="77777777" w:rsidR="00EC6347" w:rsidRPr="00196231" w:rsidRDefault="00EC6347" w:rsidP="00D6408F">
            <w:pPr>
              <w:pStyle w:val="TableText"/>
              <w:keepNext/>
              <w:jc w:val="center"/>
            </w:pPr>
            <w:r w:rsidRPr="00196231">
              <w:t>&lt;0.0001</w:t>
            </w:r>
          </w:p>
        </w:tc>
      </w:tr>
      <w:tr w:rsidR="00EC6347" w:rsidRPr="00196231" w14:paraId="456B234A" w14:textId="77777777" w:rsidTr="00AB5E49">
        <w:trPr>
          <w:jc w:val="center"/>
        </w:trPr>
        <w:tc>
          <w:tcPr>
            <w:tcW w:w="1271" w:type="dxa"/>
            <w:vMerge/>
            <w:tcBorders>
              <w:left w:val="single" w:sz="4" w:space="0" w:color="auto"/>
              <w:right w:val="single" w:sz="4" w:space="0" w:color="auto"/>
            </w:tcBorders>
          </w:tcPr>
          <w:p w14:paraId="3FC4AB30" w14:textId="77777777" w:rsidR="00EC6347" w:rsidRPr="00196231" w:rsidRDefault="00EC6347" w:rsidP="00D6408F">
            <w:pPr>
              <w:pStyle w:val="TableText"/>
              <w:keepNext/>
              <w:ind w:lef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76E835F6" w14:textId="77777777" w:rsidR="00EC6347" w:rsidRPr="00196231" w:rsidRDefault="00EC6347" w:rsidP="00D6408F">
            <w:pPr>
              <w:pStyle w:val="TableText"/>
              <w:keepNext/>
              <w:jc w:val="center"/>
              <w:rPr>
                <w:b/>
                <w:bCs/>
              </w:rPr>
            </w:pPr>
            <w:r w:rsidRPr="00196231">
              <w:rPr>
                <w:b/>
                <w:bCs/>
              </w:rPr>
              <w:t>Week 96 (exploratory endpoint)</w:t>
            </w:r>
            <w:r w:rsidRPr="00196231">
              <w:rPr>
                <w:b/>
                <w:bCs/>
                <w:vertAlign w:val="superscript"/>
              </w:rPr>
              <w:t>d</w:t>
            </w:r>
          </w:p>
        </w:tc>
      </w:tr>
      <w:tr w:rsidR="00EC6347" w:rsidRPr="00196231" w14:paraId="03A2A004" w14:textId="77777777" w:rsidTr="00AB5E49">
        <w:trPr>
          <w:jc w:val="center"/>
        </w:trPr>
        <w:tc>
          <w:tcPr>
            <w:tcW w:w="1271" w:type="dxa"/>
            <w:vMerge/>
            <w:tcBorders>
              <w:left w:val="single" w:sz="4" w:space="0" w:color="auto"/>
              <w:right w:val="single" w:sz="4" w:space="0" w:color="auto"/>
            </w:tcBorders>
            <w:hideMark/>
          </w:tcPr>
          <w:p w14:paraId="3A35B0B7"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38C9265C" w14:textId="77777777" w:rsidR="00EC6347" w:rsidRPr="00196231" w:rsidRDefault="00EC6347" w:rsidP="00D6408F">
            <w:pPr>
              <w:pStyle w:val="TableText"/>
              <w:keepNext/>
            </w:pPr>
            <w:r w:rsidRPr="00196231">
              <w:t>Number of responders</w:t>
            </w:r>
          </w:p>
        </w:tc>
        <w:tc>
          <w:tcPr>
            <w:tcW w:w="2121" w:type="dxa"/>
            <w:tcBorders>
              <w:top w:val="single" w:sz="4" w:space="0" w:color="auto"/>
              <w:left w:val="single" w:sz="4" w:space="0" w:color="auto"/>
              <w:bottom w:val="single" w:sz="4" w:space="0" w:color="auto"/>
              <w:right w:val="single" w:sz="4" w:space="0" w:color="auto"/>
            </w:tcBorders>
            <w:hideMark/>
          </w:tcPr>
          <w:p w14:paraId="17D17503" w14:textId="77777777" w:rsidR="00EC6347" w:rsidRPr="00196231" w:rsidRDefault="00EC6347" w:rsidP="00D6408F">
            <w:pPr>
              <w:pStyle w:val="TableText"/>
              <w:keepNext/>
              <w:jc w:val="center"/>
            </w:pPr>
            <w:r w:rsidRPr="00196231">
              <w:t>31</w:t>
            </w:r>
          </w:p>
        </w:tc>
        <w:tc>
          <w:tcPr>
            <w:tcW w:w="2364" w:type="dxa"/>
            <w:tcBorders>
              <w:top w:val="single" w:sz="4" w:space="0" w:color="auto"/>
              <w:left w:val="single" w:sz="4" w:space="0" w:color="auto"/>
              <w:bottom w:val="single" w:sz="4" w:space="0" w:color="auto"/>
              <w:right w:val="single" w:sz="4" w:space="0" w:color="auto"/>
            </w:tcBorders>
            <w:hideMark/>
          </w:tcPr>
          <w:p w14:paraId="5982A28B" w14:textId="77777777" w:rsidR="00EC6347" w:rsidRPr="00196231" w:rsidRDefault="00EC6347" w:rsidP="00D6408F">
            <w:pPr>
              <w:pStyle w:val="TableText"/>
              <w:keepNext/>
              <w:jc w:val="center"/>
            </w:pPr>
            <w:r w:rsidRPr="00196231">
              <w:t>n/a</w:t>
            </w:r>
          </w:p>
        </w:tc>
      </w:tr>
      <w:tr w:rsidR="00EC6347" w:rsidRPr="00196231" w14:paraId="75A1EB0E" w14:textId="77777777" w:rsidTr="00AB5E49">
        <w:trPr>
          <w:jc w:val="center"/>
        </w:trPr>
        <w:tc>
          <w:tcPr>
            <w:tcW w:w="1271" w:type="dxa"/>
            <w:vMerge/>
            <w:tcBorders>
              <w:left w:val="single" w:sz="4" w:space="0" w:color="auto"/>
              <w:bottom w:val="single" w:sz="4" w:space="0" w:color="auto"/>
              <w:right w:val="single" w:sz="4" w:space="0" w:color="auto"/>
            </w:tcBorders>
          </w:tcPr>
          <w:p w14:paraId="10E1740D" w14:textId="77777777" w:rsidR="00EC6347" w:rsidRPr="00196231" w:rsidRDefault="00EC6347" w:rsidP="00D6408F">
            <w:pPr>
              <w:pStyle w:val="TableText"/>
              <w:keepNext/>
              <w:ind w:left="-57"/>
            </w:pPr>
          </w:p>
        </w:tc>
        <w:tc>
          <w:tcPr>
            <w:tcW w:w="3124" w:type="dxa"/>
            <w:tcBorders>
              <w:top w:val="single" w:sz="4" w:space="0" w:color="auto"/>
              <w:left w:val="single" w:sz="4" w:space="0" w:color="auto"/>
              <w:bottom w:val="single" w:sz="4" w:space="0" w:color="auto"/>
              <w:right w:val="single" w:sz="4" w:space="0" w:color="auto"/>
            </w:tcBorders>
          </w:tcPr>
          <w:p w14:paraId="342DCBD9" w14:textId="77777777" w:rsidR="00EC6347" w:rsidRPr="00196231" w:rsidRDefault="00EC6347" w:rsidP="00D6408F">
            <w:pPr>
              <w:pStyle w:val="TableText"/>
              <w:keepNext/>
            </w:pPr>
            <w:r w:rsidRPr="00196231">
              <w:t>Proportion responders, % (95% CI)</w:t>
            </w:r>
          </w:p>
        </w:tc>
        <w:tc>
          <w:tcPr>
            <w:tcW w:w="2121" w:type="dxa"/>
            <w:tcBorders>
              <w:top w:val="single" w:sz="4" w:space="0" w:color="auto"/>
              <w:left w:val="single" w:sz="4" w:space="0" w:color="auto"/>
              <w:bottom w:val="single" w:sz="4" w:space="0" w:color="auto"/>
              <w:right w:val="single" w:sz="4" w:space="0" w:color="auto"/>
            </w:tcBorders>
          </w:tcPr>
          <w:p w14:paraId="5BF2155A" w14:textId="77777777" w:rsidR="00EC6347" w:rsidRPr="00196231" w:rsidRDefault="00EC6347" w:rsidP="00D6408F">
            <w:pPr>
              <w:pStyle w:val="TableText"/>
              <w:keepNext/>
              <w:jc w:val="center"/>
            </w:pPr>
            <w:r w:rsidRPr="00196231">
              <w:t>63.3 (48.3, 76.6)</w:t>
            </w:r>
          </w:p>
        </w:tc>
        <w:tc>
          <w:tcPr>
            <w:tcW w:w="2364" w:type="dxa"/>
            <w:tcBorders>
              <w:top w:val="single" w:sz="4" w:space="0" w:color="auto"/>
              <w:left w:val="single" w:sz="4" w:space="0" w:color="auto"/>
              <w:bottom w:val="single" w:sz="4" w:space="0" w:color="auto"/>
              <w:right w:val="single" w:sz="4" w:space="0" w:color="auto"/>
            </w:tcBorders>
          </w:tcPr>
          <w:p w14:paraId="712A0F82" w14:textId="77777777" w:rsidR="00EC6347" w:rsidRPr="00196231" w:rsidRDefault="00EC6347" w:rsidP="00D6408F">
            <w:pPr>
              <w:pStyle w:val="TableText"/>
              <w:keepNext/>
              <w:jc w:val="center"/>
            </w:pPr>
            <w:r w:rsidRPr="00196231">
              <w:t>n/a</w:t>
            </w:r>
          </w:p>
        </w:tc>
      </w:tr>
      <w:tr w:rsidR="00EC6347" w:rsidRPr="00196231" w14:paraId="196C6E47" w14:textId="77777777" w:rsidTr="00AB5E49">
        <w:trPr>
          <w:jc w:val="center"/>
        </w:trPr>
        <w:tc>
          <w:tcPr>
            <w:tcW w:w="1271" w:type="dxa"/>
            <w:vMerge w:val="restart"/>
            <w:tcBorders>
              <w:top w:val="single" w:sz="4" w:space="0" w:color="auto"/>
              <w:left w:val="single" w:sz="4" w:space="0" w:color="auto"/>
              <w:right w:val="single" w:sz="4" w:space="0" w:color="auto"/>
            </w:tcBorders>
          </w:tcPr>
          <w:p w14:paraId="5FC3699A" w14:textId="77777777" w:rsidR="00EC6347" w:rsidRPr="00196231" w:rsidRDefault="00EC6347" w:rsidP="00D6408F">
            <w:pPr>
              <w:pStyle w:val="TableText"/>
              <w:keepNext/>
              <w:ind w:left="-57"/>
              <w:rPr>
                <w:b/>
                <w:bCs/>
              </w:rPr>
            </w:pPr>
            <w:r w:rsidRPr="00196231">
              <w:rPr>
                <w:b/>
                <w:bCs/>
              </w:rPr>
              <w:t>Change in liver stiffness from baseline</w:t>
            </w: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66B719FA" w14:textId="77777777" w:rsidR="00EC6347" w:rsidRPr="00196231" w:rsidRDefault="00EC6347" w:rsidP="00D6408F">
            <w:pPr>
              <w:pStyle w:val="TableText"/>
              <w:keepNext/>
              <w:jc w:val="center"/>
              <w:rPr>
                <w:b/>
                <w:bCs/>
              </w:rPr>
            </w:pPr>
            <w:r w:rsidRPr="00196231">
              <w:rPr>
                <w:b/>
                <w:bCs/>
              </w:rPr>
              <w:t>Week 48 (secondary endpoint)</w:t>
            </w:r>
          </w:p>
        </w:tc>
      </w:tr>
      <w:tr w:rsidR="00EC6347" w:rsidRPr="00196231" w14:paraId="092C53B6" w14:textId="77777777">
        <w:trPr>
          <w:jc w:val="center"/>
        </w:trPr>
        <w:tc>
          <w:tcPr>
            <w:tcW w:w="1271" w:type="dxa"/>
            <w:vMerge/>
            <w:tcBorders>
              <w:left w:val="single" w:sz="4" w:space="0" w:color="auto"/>
              <w:right w:val="single" w:sz="4" w:space="0" w:color="auto"/>
            </w:tcBorders>
          </w:tcPr>
          <w:p w14:paraId="6FCF6731" w14:textId="77777777" w:rsidR="00EC6347" w:rsidRPr="00196231" w:rsidRDefault="00EC6347" w:rsidP="00D6408F">
            <w:pPr>
              <w:pStyle w:val="TableText"/>
              <w:keepNext/>
            </w:pPr>
          </w:p>
        </w:tc>
        <w:tc>
          <w:tcPr>
            <w:tcW w:w="3124" w:type="dxa"/>
            <w:tcBorders>
              <w:top w:val="single" w:sz="4" w:space="0" w:color="auto"/>
              <w:left w:val="single" w:sz="4" w:space="0" w:color="auto"/>
              <w:bottom w:val="single" w:sz="4" w:space="0" w:color="auto"/>
              <w:right w:val="single" w:sz="4" w:space="0" w:color="auto"/>
            </w:tcBorders>
          </w:tcPr>
          <w:p w14:paraId="02B6B4FF" w14:textId="77777777" w:rsidR="00EC6347" w:rsidRPr="00196231" w:rsidRDefault="00EC6347" w:rsidP="00D6408F">
            <w:pPr>
              <w:pStyle w:val="TableText"/>
              <w:keepNext/>
            </w:pPr>
            <w:r w:rsidRPr="00196231">
              <w:t>Baseline means (SD), kPa</w:t>
            </w:r>
          </w:p>
        </w:tc>
        <w:tc>
          <w:tcPr>
            <w:tcW w:w="2121" w:type="dxa"/>
            <w:tcBorders>
              <w:top w:val="single" w:sz="4" w:space="0" w:color="auto"/>
              <w:left w:val="single" w:sz="4" w:space="0" w:color="auto"/>
              <w:bottom w:val="single" w:sz="4" w:space="0" w:color="auto"/>
              <w:right w:val="single" w:sz="4" w:space="0" w:color="auto"/>
            </w:tcBorders>
          </w:tcPr>
          <w:p w14:paraId="364A4738" w14:textId="77777777" w:rsidR="00EC6347" w:rsidRPr="00196231" w:rsidRDefault="00EC6347" w:rsidP="00D6408F">
            <w:pPr>
              <w:pStyle w:val="TableText"/>
              <w:keepNext/>
              <w:jc w:val="center"/>
            </w:pPr>
            <w:r w:rsidRPr="00196231">
              <w:t>14.0 (8.2)</w:t>
            </w:r>
          </w:p>
        </w:tc>
        <w:tc>
          <w:tcPr>
            <w:tcW w:w="2364" w:type="dxa"/>
            <w:tcBorders>
              <w:top w:val="single" w:sz="4" w:space="0" w:color="auto"/>
              <w:left w:val="single" w:sz="4" w:space="0" w:color="auto"/>
              <w:bottom w:val="single" w:sz="4" w:space="0" w:color="auto"/>
              <w:right w:val="single" w:sz="4" w:space="0" w:color="auto"/>
            </w:tcBorders>
          </w:tcPr>
          <w:p w14:paraId="5A9B0C1B" w14:textId="77777777" w:rsidR="00EC6347" w:rsidRPr="00196231" w:rsidRDefault="00EC6347" w:rsidP="00D6408F">
            <w:pPr>
              <w:pStyle w:val="TableText"/>
              <w:keepNext/>
              <w:jc w:val="center"/>
            </w:pPr>
            <w:r w:rsidRPr="00196231">
              <w:t>15.3 (9.0)</w:t>
            </w:r>
          </w:p>
        </w:tc>
      </w:tr>
      <w:tr w:rsidR="00EC6347" w:rsidRPr="00196231" w14:paraId="48A3A023" w14:textId="77777777">
        <w:trPr>
          <w:jc w:val="center"/>
        </w:trPr>
        <w:tc>
          <w:tcPr>
            <w:tcW w:w="1271" w:type="dxa"/>
            <w:vMerge/>
            <w:tcBorders>
              <w:left w:val="single" w:sz="4" w:space="0" w:color="auto"/>
              <w:right w:val="single" w:sz="4" w:space="0" w:color="auto"/>
            </w:tcBorders>
          </w:tcPr>
          <w:p w14:paraId="04940FD0" w14:textId="77777777" w:rsidR="00EC6347" w:rsidRPr="00196231" w:rsidRDefault="00EC6347" w:rsidP="00D6408F">
            <w:pPr>
              <w:pStyle w:val="TableText"/>
              <w:keepNext/>
            </w:pPr>
          </w:p>
        </w:tc>
        <w:tc>
          <w:tcPr>
            <w:tcW w:w="3124" w:type="dxa"/>
            <w:tcBorders>
              <w:top w:val="single" w:sz="4" w:space="0" w:color="auto"/>
              <w:left w:val="single" w:sz="4" w:space="0" w:color="auto"/>
              <w:bottom w:val="single" w:sz="4" w:space="0" w:color="auto"/>
              <w:right w:val="single" w:sz="4" w:space="0" w:color="auto"/>
            </w:tcBorders>
          </w:tcPr>
          <w:p w14:paraId="3F2F55DC" w14:textId="77777777" w:rsidR="00EC6347" w:rsidRPr="00196231" w:rsidRDefault="00EC6347" w:rsidP="00D6408F">
            <w:pPr>
              <w:pStyle w:val="TableText"/>
              <w:keepNext/>
            </w:pPr>
            <w:r w:rsidRPr="00196231">
              <w:t>Number of participants in analysis</w:t>
            </w:r>
          </w:p>
        </w:tc>
        <w:tc>
          <w:tcPr>
            <w:tcW w:w="2121" w:type="dxa"/>
            <w:tcBorders>
              <w:top w:val="single" w:sz="4" w:space="0" w:color="auto"/>
              <w:left w:val="single" w:sz="4" w:space="0" w:color="auto"/>
              <w:bottom w:val="single" w:sz="4" w:space="0" w:color="auto"/>
              <w:right w:val="single" w:sz="4" w:space="0" w:color="auto"/>
            </w:tcBorders>
          </w:tcPr>
          <w:p w14:paraId="15FDB4B6" w14:textId="77777777" w:rsidR="00EC6347" w:rsidRPr="00196231" w:rsidRDefault="00EC6347" w:rsidP="00D6408F">
            <w:pPr>
              <w:pStyle w:val="TableText"/>
              <w:keepNext/>
              <w:jc w:val="center"/>
            </w:pPr>
            <w:r w:rsidRPr="00196231">
              <w:t>48</w:t>
            </w:r>
          </w:p>
        </w:tc>
        <w:tc>
          <w:tcPr>
            <w:tcW w:w="2364" w:type="dxa"/>
            <w:tcBorders>
              <w:top w:val="single" w:sz="4" w:space="0" w:color="auto"/>
              <w:left w:val="single" w:sz="4" w:space="0" w:color="auto"/>
              <w:bottom w:val="single" w:sz="4" w:space="0" w:color="auto"/>
              <w:right w:val="single" w:sz="4" w:space="0" w:color="auto"/>
            </w:tcBorders>
          </w:tcPr>
          <w:p w14:paraId="410A7126" w14:textId="77777777" w:rsidR="00EC6347" w:rsidRPr="00196231" w:rsidRDefault="00EC6347" w:rsidP="00D6408F">
            <w:pPr>
              <w:pStyle w:val="TableText"/>
              <w:keepNext/>
              <w:jc w:val="center"/>
            </w:pPr>
            <w:r w:rsidRPr="00196231">
              <w:t>45</w:t>
            </w:r>
          </w:p>
        </w:tc>
      </w:tr>
      <w:tr w:rsidR="00EC6347" w:rsidRPr="00196231" w14:paraId="2E019467" w14:textId="77777777">
        <w:trPr>
          <w:jc w:val="center"/>
        </w:trPr>
        <w:tc>
          <w:tcPr>
            <w:tcW w:w="1271" w:type="dxa"/>
            <w:vMerge/>
            <w:tcBorders>
              <w:left w:val="single" w:sz="4" w:space="0" w:color="auto"/>
              <w:right w:val="single" w:sz="4" w:space="0" w:color="auto"/>
            </w:tcBorders>
          </w:tcPr>
          <w:p w14:paraId="484336AE" w14:textId="77777777" w:rsidR="00EC6347" w:rsidRPr="00196231" w:rsidRDefault="00EC6347" w:rsidP="00D6408F">
            <w:pPr>
              <w:pStyle w:val="TableText"/>
              <w:keepNext/>
            </w:pPr>
          </w:p>
        </w:tc>
        <w:tc>
          <w:tcPr>
            <w:tcW w:w="3124" w:type="dxa"/>
            <w:tcBorders>
              <w:top w:val="single" w:sz="4" w:space="0" w:color="auto"/>
              <w:left w:val="single" w:sz="4" w:space="0" w:color="auto"/>
              <w:bottom w:val="single" w:sz="4" w:space="0" w:color="auto"/>
              <w:right w:val="single" w:sz="4" w:space="0" w:color="auto"/>
            </w:tcBorders>
          </w:tcPr>
          <w:p w14:paraId="5595947D" w14:textId="77777777" w:rsidR="00EC6347" w:rsidRPr="00196231" w:rsidRDefault="00EC6347" w:rsidP="00D6408F">
            <w:pPr>
              <w:pStyle w:val="TableText"/>
              <w:keepNext/>
            </w:pPr>
            <w:r w:rsidRPr="00196231">
              <w:t>Least square means (95%CI)</w:t>
            </w:r>
          </w:p>
        </w:tc>
        <w:tc>
          <w:tcPr>
            <w:tcW w:w="2121" w:type="dxa"/>
            <w:tcBorders>
              <w:top w:val="single" w:sz="4" w:space="0" w:color="auto"/>
              <w:left w:val="single" w:sz="4" w:space="0" w:color="auto"/>
              <w:bottom w:val="single" w:sz="4" w:space="0" w:color="auto"/>
              <w:right w:val="single" w:sz="4" w:space="0" w:color="auto"/>
            </w:tcBorders>
          </w:tcPr>
          <w:p w14:paraId="666E7319" w14:textId="77777777" w:rsidR="00EC6347" w:rsidRPr="00196231" w:rsidRDefault="00EC6347" w:rsidP="00D6408F">
            <w:pPr>
              <w:pStyle w:val="TableText"/>
              <w:keepNext/>
              <w:jc w:val="center"/>
            </w:pPr>
            <w:r w:rsidRPr="00196231">
              <w:t>−3.1 (−4.7, −1.5)</w:t>
            </w:r>
          </w:p>
        </w:tc>
        <w:tc>
          <w:tcPr>
            <w:tcW w:w="2364" w:type="dxa"/>
            <w:tcBorders>
              <w:top w:val="single" w:sz="4" w:space="0" w:color="auto"/>
              <w:left w:val="single" w:sz="4" w:space="0" w:color="auto"/>
              <w:bottom w:val="single" w:sz="4" w:space="0" w:color="auto"/>
              <w:right w:val="single" w:sz="4" w:space="0" w:color="auto"/>
            </w:tcBorders>
          </w:tcPr>
          <w:p w14:paraId="3642714E" w14:textId="77777777" w:rsidR="00EC6347" w:rsidRPr="00196231" w:rsidRDefault="00EC6347" w:rsidP="00D6408F">
            <w:pPr>
              <w:pStyle w:val="TableText"/>
              <w:keepNext/>
              <w:jc w:val="center"/>
            </w:pPr>
            <w:r w:rsidRPr="00196231">
              <w:t>0.9 (−0.8, 2.6)</w:t>
            </w:r>
          </w:p>
        </w:tc>
      </w:tr>
      <w:tr w:rsidR="00EC6347" w:rsidRPr="00196231" w14:paraId="1254B4C9" w14:textId="77777777" w:rsidTr="00AB5E49">
        <w:trPr>
          <w:jc w:val="center"/>
        </w:trPr>
        <w:tc>
          <w:tcPr>
            <w:tcW w:w="1271" w:type="dxa"/>
            <w:vMerge/>
            <w:tcBorders>
              <w:left w:val="single" w:sz="4" w:space="0" w:color="auto"/>
              <w:right w:val="single" w:sz="4" w:space="0" w:color="auto"/>
            </w:tcBorders>
          </w:tcPr>
          <w:p w14:paraId="0DA70FCF" w14:textId="77777777" w:rsidR="00EC6347" w:rsidRPr="00196231" w:rsidRDefault="00EC6347" w:rsidP="00D6408F">
            <w:pPr>
              <w:pStyle w:val="TableText"/>
              <w:keepNext/>
            </w:pPr>
          </w:p>
        </w:tc>
        <w:tc>
          <w:tcPr>
            <w:tcW w:w="3124" w:type="dxa"/>
            <w:tcBorders>
              <w:top w:val="single" w:sz="4" w:space="0" w:color="auto"/>
              <w:left w:val="single" w:sz="4" w:space="0" w:color="auto"/>
              <w:bottom w:val="single" w:sz="4" w:space="0" w:color="auto"/>
              <w:right w:val="single" w:sz="4" w:space="0" w:color="auto"/>
            </w:tcBorders>
          </w:tcPr>
          <w:p w14:paraId="5D162A40" w14:textId="051CEA20" w:rsidR="00EC6347" w:rsidRPr="00196231" w:rsidRDefault="00EC6347" w:rsidP="00D6408F">
            <w:pPr>
              <w:pStyle w:val="TableText"/>
              <w:keepNext/>
            </w:pPr>
            <w:r w:rsidRPr="00196231">
              <w:t xml:space="preserve">Difference in least square means (95% CI) (bulevirtide </w:t>
            </w:r>
            <w:r w:rsidR="00E073FA">
              <w:t>2 mg</w:t>
            </w:r>
            <w:r w:rsidRPr="00196231">
              <w:t xml:space="preserve"> vs delayed treatment)</w:t>
            </w:r>
          </w:p>
        </w:tc>
        <w:tc>
          <w:tcPr>
            <w:tcW w:w="4485" w:type="dxa"/>
            <w:gridSpan w:val="2"/>
            <w:tcBorders>
              <w:top w:val="single" w:sz="4" w:space="0" w:color="auto"/>
              <w:left w:val="single" w:sz="4" w:space="0" w:color="auto"/>
              <w:bottom w:val="single" w:sz="4" w:space="0" w:color="auto"/>
              <w:right w:val="single" w:sz="4" w:space="0" w:color="auto"/>
            </w:tcBorders>
          </w:tcPr>
          <w:p w14:paraId="365FBFFA" w14:textId="77777777" w:rsidR="00EC6347" w:rsidRPr="00196231" w:rsidRDefault="00EC6347" w:rsidP="00D6408F">
            <w:pPr>
              <w:pStyle w:val="TableText"/>
              <w:keepNext/>
              <w:jc w:val="center"/>
            </w:pPr>
            <w:r w:rsidRPr="00196231">
              <w:t>−4.0 (−6.3, −1.6)</w:t>
            </w:r>
          </w:p>
        </w:tc>
      </w:tr>
      <w:tr w:rsidR="00EC6347" w:rsidRPr="00196231" w14:paraId="30D09935" w14:textId="77777777">
        <w:trPr>
          <w:jc w:val="center"/>
        </w:trPr>
        <w:tc>
          <w:tcPr>
            <w:tcW w:w="1271" w:type="dxa"/>
            <w:vMerge/>
            <w:tcBorders>
              <w:left w:val="single" w:sz="4" w:space="0" w:color="auto"/>
              <w:right w:val="single" w:sz="4" w:space="0" w:color="auto"/>
            </w:tcBorders>
          </w:tcPr>
          <w:p w14:paraId="56A84A20" w14:textId="77777777" w:rsidR="00EC6347" w:rsidRPr="00196231" w:rsidRDefault="00EC6347" w:rsidP="00D6408F">
            <w:pPr>
              <w:pStyle w:val="TableText"/>
              <w:keepNext/>
            </w:pPr>
          </w:p>
        </w:tc>
        <w:tc>
          <w:tcPr>
            <w:tcW w:w="3124" w:type="dxa"/>
            <w:tcBorders>
              <w:top w:val="single" w:sz="4" w:space="0" w:color="auto"/>
              <w:left w:val="single" w:sz="4" w:space="0" w:color="auto"/>
              <w:bottom w:val="single" w:sz="4" w:space="0" w:color="auto"/>
              <w:right w:val="single" w:sz="4" w:space="0" w:color="auto"/>
            </w:tcBorders>
          </w:tcPr>
          <w:p w14:paraId="113095EE" w14:textId="77777777" w:rsidR="00EC6347" w:rsidRPr="00196231" w:rsidRDefault="00EC6347" w:rsidP="00D6408F">
            <w:pPr>
              <w:pStyle w:val="TableText"/>
              <w:keepNext/>
            </w:pPr>
            <w:r w:rsidRPr="00196231">
              <w:t>p-value</w:t>
            </w:r>
          </w:p>
        </w:tc>
        <w:tc>
          <w:tcPr>
            <w:tcW w:w="4485" w:type="dxa"/>
            <w:gridSpan w:val="2"/>
            <w:tcBorders>
              <w:top w:val="single" w:sz="4" w:space="0" w:color="auto"/>
              <w:left w:val="single" w:sz="4" w:space="0" w:color="auto"/>
              <w:bottom w:val="single" w:sz="4" w:space="0" w:color="auto"/>
              <w:right w:val="single" w:sz="4" w:space="0" w:color="auto"/>
            </w:tcBorders>
          </w:tcPr>
          <w:p w14:paraId="0FF478F2" w14:textId="77777777" w:rsidR="00EC6347" w:rsidRPr="00196231" w:rsidRDefault="00EC6347" w:rsidP="00D6408F">
            <w:pPr>
              <w:pStyle w:val="TableText"/>
              <w:keepNext/>
              <w:jc w:val="center"/>
            </w:pPr>
            <w:r w:rsidRPr="00196231">
              <w:t>0.0010</w:t>
            </w:r>
          </w:p>
        </w:tc>
      </w:tr>
      <w:tr w:rsidR="00EC6347" w:rsidRPr="00196231" w14:paraId="49BF331E" w14:textId="77777777">
        <w:trPr>
          <w:jc w:val="center"/>
        </w:trPr>
        <w:tc>
          <w:tcPr>
            <w:tcW w:w="1271" w:type="dxa"/>
            <w:vMerge/>
            <w:tcBorders>
              <w:left w:val="single" w:sz="4" w:space="0" w:color="auto"/>
              <w:right w:val="single" w:sz="4" w:space="0" w:color="auto"/>
            </w:tcBorders>
          </w:tcPr>
          <w:p w14:paraId="4D92500F" w14:textId="77777777" w:rsidR="00EC6347" w:rsidRPr="00196231" w:rsidRDefault="00EC6347" w:rsidP="00D6408F">
            <w:pPr>
              <w:pStyle w:val="TableText"/>
              <w:keepNext/>
            </w:pPr>
          </w:p>
        </w:tc>
        <w:tc>
          <w:tcPr>
            <w:tcW w:w="7609" w:type="dxa"/>
            <w:gridSpan w:val="3"/>
            <w:tcBorders>
              <w:top w:val="single" w:sz="4" w:space="0" w:color="auto"/>
              <w:left w:val="single" w:sz="4" w:space="0" w:color="auto"/>
              <w:bottom w:val="single" w:sz="4" w:space="0" w:color="auto"/>
              <w:right w:val="single" w:sz="4" w:space="0" w:color="auto"/>
            </w:tcBorders>
            <w:shd w:val="clear" w:color="auto" w:fill="auto"/>
          </w:tcPr>
          <w:p w14:paraId="01162612" w14:textId="77777777" w:rsidR="00EC6347" w:rsidRPr="00196231" w:rsidRDefault="00EC6347" w:rsidP="00D6408F">
            <w:pPr>
              <w:pStyle w:val="TableText"/>
              <w:keepNext/>
              <w:jc w:val="center"/>
              <w:rPr>
                <w:b/>
                <w:bCs/>
              </w:rPr>
            </w:pPr>
            <w:r w:rsidRPr="00196231">
              <w:rPr>
                <w:b/>
                <w:bCs/>
              </w:rPr>
              <w:t>Week 96 (secondary endpoint)</w:t>
            </w:r>
            <w:r w:rsidRPr="00196231">
              <w:rPr>
                <w:b/>
                <w:bCs/>
                <w:vertAlign w:val="superscript"/>
              </w:rPr>
              <w:t>d</w:t>
            </w:r>
          </w:p>
        </w:tc>
      </w:tr>
      <w:tr w:rsidR="00EC6347" w:rsidRPr="00196231" w14:paraId="001AD8DC" w14:textId="77777777">
        <w:trPr>
          <w:jc w:val="center"/>
        </w:trPr>
        <w:tc>
          <w:tcPr>
            <w:tcW w:w="1271" w:type="dxa"/>
            <w:vMerge/>
            <w:tcBorders>
              <w:left w:val="single" w:sz="4" w:space="0" w:color="auto"/>
              <w:right w:val="single" w:sz="4" w:space="0" w:color="auto"/>
            </w:tcBorders>
          </w:tcPr>
          <w:p w14:paraId="4718D0AE" w14:textId="77777777" w:rsidR="00EC6347" w:rsidRPr="00196231" w:rsidRDefault="00EC6347" w:rsidP="00D6408F">
            <w:pPr>
              <w:pStyle w:val="TableText"/>
              <w:keepNext/>
            </w:pPr>
          </w:p>
        </w:tc>
        <w:tc>
          <w:tcPr>
            <w:tcW w:w="3124" w:type="dxa"/>
            <w:tcBorders>
              <w:top w:val="single" w:sz="4" w:space="0" w:color="auto"/>
              <w:left w:val="single" w:sz="4" w:space="0" w:color="auto"/>
              <w:bottom w:val="single" w:sz="4" w:space="0" w:color="auto"/>
              <w:right w:val="single" w:sz="4" w:space="0" w:color="auto"/>
            </w:tcBorders>
          </w:tcPr>
          <w:p w14:paraId="1E0A6CCB" w14:textId="77777777" w:rsidR="00EC6347" w:rsidRPr="00196231" w:rsidRDefault="00EC6347" w:rsidP="00D6408F">
            <w:pPr>
              <w:pStyle w:val="TableText"/>
              <w:keepNext/>
            </w:pPr>
            <w:r w:rsidRPr="00196231">
              <w:t>Number of participants in analysis</w:t>
            </w:r>
          </w:p>
        </w:tc>
        <w:tc>
          <w:tcPr>
            <w:tcW w:w="2121" w:type="dxa"/>
            <w:tcBorders>
              <w:top w:val="single" w:sz="4" w:space="0" w:color="auto"/>
              <w:left w:val="single" w:sz="4" w:space="0" w:color="auto"/>
              <w:bottom w:val="single" w:sz="4" w:space="0" w:color="auto"/>
              <w:right w:val="single" w:sz="4" w:space="0" w:color="auto"/>
            </w:tcBorders>
          </w:tcPr>
          <w:p w14:paraId="10FC6976" w14:textId="77777777" w:rsidR="00EC6347" w:rsidRPr="00196231" w:rsidRDefault="00EC6347" w:rsidP="00D6408F">
            <w:pPr>
              <w:pStyle w:val="TableText"/>
              <w:keepNext/>
              <w:jc w:val="center"/>
            </w:pPr>
            <w:r w:rsidRPr="00196231">
              <w:t>48</w:t>
            </w:r>
          </w:p>
        </w:tc>
        <w:tc>
          <w:tcPr>
            <w:tcW w:w="2364" w:type="dxa"/>
            <w:tcBorders>
              <w:top w:val="single" w:sz="4" w:space="0" w:color="auto"/>
              <w:left w:val="single" w:sz="4" w:space="0" w:color="auto"/>
              <w:bottom w:val="single" w:sz="4" w:space="0" w:color="auto"/>
              <w:right w:val="single" w:sz="4" w:space="0" w:color="auto"/>
            </w:tcBorders>
          </w:tcPr>
          <w:p w14:paraId="3E6692CF" w14:textId="77777777" w:rsidR="00EC6347" w:rsidRPr="00196231" w:rsidRDefault="00EC6347" w:rsidP="00D6408F">
            <w:pPr>
              <w:pStyle w:val="TableText"/>
              <w:keepNext/>
              <w:jc w:val="center"/>
            </w:pPr>
            <w:r w:rsidRPr="00196231">
              <w:t>n/a</w:t>
            </w:r>
          </w:p>
        </w:tc>
      </w:tr>
      <w:tr w:rsidR="00EC6347" w:rsidRPr="00196231" w14:paraId="46BC027A" w14:textId="77777777">
        <w:trPr>
          <w:jc w:val="center"/>
        </w:trPr>
        <w:tc>
          <w:tcPr>
            <w:tcW w:w="1271" w:type="dxa"/>
            <w:vMerge/>
            <w:tcBorders>
              <w:left w:val="single" w:sz="4" w:space="0" w:color="auto"/>
              <w:bottom w:val="single" w:sz="4" w:space="0" w:color="auto"/>
              <w:right w:val="single" w:sz="4" w:space="0" w:color="auto"/>
            </w:tcBorders>
          </w:tcPr>
          <w:p w14:paraId="20FE123E" w14:textId="77777777" w:rsidR="00EC6347" w:rsidRPr="00196231" w:rsidRDefault="00EC6347" w:rsidP="00D6408F">
            <w:pPr>
              <w:pStyle w:val="TableText"/>
              <w:keepNext/>
            </w:pPr>
          </w:p>
        </w:tc>
        <w:tc>
          <w:tcPr>
            <w:tcW w:w="3124" w:type="dxa"/>
            <w:tcBorders>
              <w:top w:val="single" w:sz="4" w:space="0" w:color="auto"/>
              <w:left w:val="single" w:sz="4" w:space="0" w:color="auto"/>
              <w:bottom w:val="single" w:sz="4" w:space="0" w:color="auto"/>
              <w:right w:val="single" w:sz="4" w:space="0" w:color="auto"/>
            </w:tcBorders>
          </w:tcPr>
          <w:p w14:paraId="4E0E8F58" w14:textId="77777777" w:rsidR="00EC6347" w:rsidRPr="00196231" w:rsidRDefault="00EC6347" w:rsidP="00D6408F">
            <w:pPr>
              <w:pStyle w:val="TableText"/>
              <w:keepNext/>
            </w:pPr>
            <w:r w:rsidRPr="00196231">
              <w:t>Least square means (95% CI)</w:t>
            </w:r>
          </w:p>
        </w:tc>
        <w:tc>
          <w:tcPr>
            <w:tcW w:w="2121" w:type="dxa"/>
            <w:tcBorders>
              <w:top w:val="single" w:sz="4" w:space="0" w:color="auto"/>
              <w:left w:val="single" w:sz="4" w:space="0" w:color="auto"/>
              <w:bottom w:val="single" w:sz="4" w:space="0" w:color="auto"/>
              <w:right w:val="single" w:sz="4" w:space="0" w:color="auto"/>
            </w:tcBorders>
          </w:tcPr>
          <w:p w14:paraId="1F9DFB63" w14:textId="77777777" w:rsidR="00EC6347" w:rsidRPr="00196231" w:rsidRDefault="00EC6347" w:rsidP="00D6408F">
            <w:pPr>
              <w:pStyle w:val="TableText"/>
              <w:keepNext/>
              <w:jc w:val="center"/>
            </w:pPr>
            <w:r w:rsidRPr="00196231">
              <w:t>-4.0 (-5.6, -2.5)</w:t>
            </w:r>
          </w:p>
        </w:tc>
        <w:tc>
          <w:tcPr>
            <w:tcW w:w="2364" w:type="dxa"/>
            <w:tcBorders>
              <w:top w:val="single" w:sz="4" w:space="0" w:color="auto"/>
              <w:left w:val="single" w:sz="4" w:space="0" w:color="auto"/>
              <w:bottom w:val="single" w:sz="4" w:space="0" w:color="auto"/>
              <w:right w:val="single" w:sz="4" w:space="0" w:color="auto"/>
            </w:tcBorders>
          </w:tcPr>
          <w:p w14:paraId="0AC1C555" w14:textId="77777777" w:rsidR="00EC6347" w:rsidRPr="00196231" w:rsidRDefault="00EC6347" w:rsidP="00D6408F">
            <w:pPr>
              <w:pStyle w:val="TableText"/>
              <w:keepNext/>
              <w:jc w:val="center"/>
            </w:pPr>
            <w:r w:rsidRPr="00196231">
              <w:t>n/a</w:t>
            </w:r>
          </w:p>
        </w:tc>
      </w:tr>
    </w:tbl>
    <w:p w14:paraId="35B7EFCB" w14:textId="77777777" w:rsidR="00EC6347" w:rsidRPr="00196231" w:rsidRDefault="00EC6347" w:rsidP="00D6408F">
      <w:pPr>
        <w:pStyle w:val="TableFooter"/>
        <w:keepNext/>
      </w:pPr>
      <w:r w:rsidRPr="00196231">
        <w:t>Source: Table 2.10-1, p104; Table 2.10-3, p107; Table 2.10-4, p10, and Table 2.10-5, p110 of the submission</w:t>
      </w:r>
    </w:p>
    <w:p w14:paraId="6C7700AE" w14:textId="77777777" w:rsidR="00EC6347" w:rsidRPr="00196231" w:rsidRDefault="00EC6347" w:rsidP="00D6408F">
      <w:pPr>
        <w:pStyle w:val="TableFooter"/>
        <w:keepNext/>
      </w:pPr>
      <w:r w:rsidRPr="00196231">
        <w:t xml:space="preserve">ALT = alanine aminotransferase; BSC = best supportive care; CI = confidence interval; </w:t>
      </w:r>
      <w:r w:rsidRPr="00196231">
        <w:rPr>
          <w:rStyle w:val="TableTextChar"/>
          <w:rFonts w:eastAsiaTheme="majorEastAsia"/>
        </w:rPr>
        <w:t>N</w:t>
      </w:r>
      <w:r w:rsidRPr="00196231">
        <w:t xml:space="preserve"> = total participants in group; n/a = not applicable</w:t>
      </w:r>
    </w:p>
    <w:p w14:paraId="2C620D6C" w14:textId="1E0E6D7D" w:rsidR="00EC6347" w:rsidRPr="00196231" w:rsidRDefault="00EC6347" w:rsidP="00D6408F">
      <w:pPr>
        <w:pStyle w:val="TableFooter"/>
        <w:keepNext/>
      </w:pPr>
      <w:r w:rsidRPr="00196231">
        <w:rPr>
          <w:vertAlign w:val="superscript"/>
        </w:rPr>
        <w:t>a</w:t>
      </w:r>
      <w:r w:rsidRPr="00196231">
        <w:t xml:space="preserve"> Defined as undetectable HDV RNA (HDV RNA &lt; lower level of detection (L</w:t>
      </w:r>
      <w:r w:rsidR="003A6EC7" w:rsidRPr="00196231">
        <w:t>l</w:t>
      </w:r>
      <w:r w:rsidRPr="00196231">
        <w:t>oD)) or decrease in HDV RNA by ≥ 2 log</w:t>
      </w:r>
      <w:r w:rsidRPr="00196231">
        <w:rPr>
          <w:vertAlign w:val="subscript"/>
        </w:rPr>
        <w:t>10</w:t>
      </w:r>
      <w:r w:rsidRPr="00196231">
        <w:t xml:space="preserve"> IU/ml from baseline and ALT normalisation (i.e., below the central laboratory defined upper level of normal (ULN))</w:t>
      </w:r>
    </w:p>
    <w:p w14:paraId="48A9A59A" w14:textId="77777777" w:rsidR="00EC6347" w:rsidRPr="00196231" w:rsidRDefault="00EC6347" w:rsidP="00D6408F">
      <w:pPr>
        <w:pStyle w:val="TableFooter"/>
        <w:keepNext/>
      </w:pPr>
      <w:r w:rsidRPr="00196231">
        <w:rPr>
          <w:vertAlign w:val="superscript"/>
        </w:rPr>
        <w:t>b</w:t>
      </w:r>
      <w:r w:rsidRPr="00196231">
        <w:t xml:space="preserve"> D</w:t>
      </w:r>
      <w:r w:rsidRPr="00196231">
        <w:rPr>
          <w:szCs w:val="18"/>
        </w:rPr>
        <w:t>efined as undetectable HDV RNA or decrease in HDV RNA by ≥ 2 log</w:t>
      </w:r>
      <w:r w:rsidRPr="00196231">
        <w:rPr>
          <w:szCs w:val="18"/>
          <w:vertAlign w:val="subscript"/>
        </w:rPr>
        <w:t>10</w:t>
      </w:r>
      <w:r w:rsidRPr="00196231">
        <w:rPr>
          <w:szCs w:val="18"/>
        </w:rPr>
        <w:t xml:space="preserve"> IU/ml from baseline</w:t>
      </w:r>
    </w:p>
    <w:p w14:paraId="2F42D5B8" w14:textId="77777777" w:rsidR="00EC6347" w:rsidRPr="00196231" w:rsidRDefault="00EC6347" w:rsidP="00D6408F">
      <w:pPr>
        <w:pStyle w:val="TableFooter"/>
        <w:keepNext/>
        <w:rPr>
          <w:bCs/>
        </w:rPr>
      </w:pPr>
      <w:r w:rsidRPr="00196231">
        <w:rPr>
          <w:bCs/>
          <w:vertAlign w:val="superscript"/>
        </w:rPr>
        <w:t>c</w:t>
      </w:r>
      <w:r w:rsidRPr="00196231">
        <w:rPr>
          <w:bCs/>
        </w:rPr>
        <w:t xml:space="preserve"> ALT normalisation: ≤31 U/L for females and ≤41 U/L for males (Russian sites); ≤34 U/L for females and ≤49 U/L for males (all other sites)</w:t>
      </w:r>
    </w:p>
    <w:p w14:paraId="320DC657" w14:textId="77777777" w:rsidR="00EC6347" w:rsidRPr="00196231" w:rsidRDefault="00EC6347" w:rsidP="00D6408F">
      <w:pPr>
        <w:pStyle w:val="TableFooter"/>
        <w:keepNext/>
        <w:rPr>
          <w:rFonts w:cstheme="minorHAnsi"/>
          <w:bCs/>
          <w:szCs w:val="18"/>
        </w:rPr>
      </w:pPr>
      <w:r w:rsidRPr="00196231">
        <w:rPr>
          <w:rFonts w:cstheme="minorHAnsi"/>
          <w:bCs/>
          <w:sz w:val="20"/>
          <w:vertAlign w:val="superscript"/>
        </w:rPr>
        <w:t>d</w:t>
      </w:r>
      <w:r w:rsidRPr="00196231">
        <w:rPr>
          <w:rFonts w:cstheme="minorHAnsi"/>
          <w:bCs/>
          <w:sz w:val="20"/>
        </w:rPr>
        <w:t xml:space="preserve"> </w:t>
      </w:r>
      <w:r w:rsidRPr="00196231">
        <w:rPr>
          <w:rFonts w:cstheme="minorHAnsi"/>
          <w:bCs/>
          <w:szCs w:val="18"/>
        </w:rPr>
        <w:t>Patients in the delayed treatment arm were switched to bulevirtide 10 mg at Week 48. Data for this arm is not included in the Week 96 presentation nor is the difference between the delayed treatment arm and the 2 mg arm at this timepoint.</w:t>
      </w:r>
    </w:p>
    <w:p w14:paraId="7D21B4FD" w14:textId="69BDAB46" w:rsidR="00EC6347" w:rsidRPr="00196231" w:rsidRDefault="00EC6347" w:rsidP="00D6408F">
      <w:pPr>
        <w:pStyle w:val="TableFooter"/>
        <w:spacing w:after="120"/>
        <w:contextualSpacing w:val="0"/>
      </w:pPr>
      <w:r w:rsidRPr="00196231">
        <w:rPr>
          <w:szCs w:val="18"/>
          <w:vertAlign w:val="superscript"/>
        </w:rPr>
        <w:t xml:space="preserve">e </w:t>
      </w:r>
      <w:r w:rsidRPr="00196231">
        <w:rPr>
          <w:szCs w:val="18"/>
        </w:rPr>
        <w:t>There was a statistically significant difference at Week 48 if P &lt; 0.04.</w:t>
      </w:r>
    </w:p>
    <w:bookmarkEnd w:id="34"/>
    <w:bookmarkEnd w:id="35"/>
    <w:p w14:paraId="11294426" w14:textId="7C289957" w:rsidR="00EC6347" w:rsidRPr="00196231" w:rsidRDefault="00EC6347" w:rsidP="00D6408F">
      <w:pPr>
        <w:pStyle w:val="3-BodyText"/>
        <w:rPr>
          <w:color w:val="3366FF"/>
        </w:rPr>
      </w:pPr>
      <w:r>
        <w:t xml:space="preserve">The primary combined response (achieving both virologic response and ALT normalisation) at Week 48 occurred in 22 of the 49 patients (44.9%; 95% confidence interval (CI): 30.7%, 59.8%) who received bulevirtide 2 mg once daily treatment, and in one of the 51 patients (2.0%; 95% CI: 0.0%, 10.4%) who were in the delayed </w:t>
      </w:r>
      <w:r>
        <w:lastRenderedPageBreak/>
        <w:t>treatment arm and received BSC/no active treatment for the first 48 weeks in the trial. The difference between the two arms was statistically significant (difference: 42.9%; 96% CI: 27.0%, 58.5%; p &lt; 0.0001).</w:t>
      </w:r>
      <w:r w:rsidRPr="264F0FF5">
        <w:rPr>
          <w:i/>
          <w:iCs/>
        </w:rPr>
        <w:t xml:space="preserve"> </w:t>
      </w:r>
      <w:r>
        <w:t xml:space="preserve">The number of responders in the bulevirtide 2 mg treatment arm increased from 22 (44.9%) at Week 48 to 27 (55.1%; 95% CI: 40.2%, 69.3%) at Week 96. After Week 48, patients in the delayed treatment arm started to receive bulevirtide </w:t>
      </w:r>
      <w:r w:rsidR="00E073FA">
        <w:t>10 mg</w:t>
      </w:r>
      <w:r>
        <w:t xml:space="preserve"> once daily. Therefore, there was no comparative data on bulevirtide 2 mg once daily </w:t>
      </w:r>
      <w:r w:rsidRPr="00A9154C">
        <w:t>versus</w:t>
      </w:r>
      <w:r>
        <w:t xml:space="preserve"> BSC after Week 48.</w:t>
      </w:r>
      <w:r w:rsidRPr="264F0FF5">
        <w:rPr>
          <w:i/>
          <w:iCs/>
        </w:rPr>
        <w:t xml:space="preserve"> </w:t>
      </w:r>
    </w:p>
    <w:p w14:paraId="7728318E" w14:textId="2CBCA055" w:rsidR="00EC6347" w:rsidRPr="00196231" w:rsidRDefault="00EC6347" w:rsidP="00D6408F">
      <w:pPr>
        <w:pStyle w:val="3-BodyText"/>
      </w:pPr>
      <w:r>
        <w:t>At Week 48, virologic response (defined as HDV RNA decrease by ≥ 2 log</w:t>
      </w:r>
      <w:r w:rsidRPr="264F0FF5">
        <w:rPr>
          <w:vertAlign w:val="subscript"/>
        </w:rPr>
        <w:t>10</w:t>
      </w:r>
      <w:r>
        <w:t xml:space="preserve"> IU/mL from baseline or undetectable HDV RNA) was achieved in 36 patients in the bulevirtide 2</w:t>
      </w:r>
      <w:r w:rsidR="00DE76E4">
        <w:t> </w:t>
      </w:r>
      <w:r>
        <w:t>mg treatment arm (73.5%; 95% CI: 58.9%, 85.1%), compared with two patients in the delayed treatment arm (3.9%; 95% CI: 0.5%, 13.5%). The difference in virologic response rate between the two arms was 69.5% (95% CI: 54.1%, 81.9%). From 48 weeks to 96 weeks, the virologic response rate in the bulevirtide 2 mg treatment arm increased by 2.0% to 75.5% (95% CI: 61.1%, 96.7%).</w:t>
      </w:r>
    </w:p>
    <w:p w14:paraId="5C0206ED" w14:textId="37719BAF" w:rsidR="00EC6347" w:rsidRPr="00196231" w:rsidRDefault="00EC6347" w:rsidP="00D6408F">
      <w:pPr>
        <w:pStyle w:val="3-BodyText"/>
      </w:pPr>
      <w:r>
        <w:t xml:space="preserve">Six of the 49 patients (12.2%; 95% CI: 4.6%, 24.8%) treated with bulevirtide 2 mg once daily had undetectable HDV RNA at Week 48, compared with no patient in the delayed treatment arm with undetectable HDV RNA at Week 48. Between Week 48 and Week 96, the proportion of patients with </w:t>
      </w:r>
      <w:r w:rsidR="00D146CA">
        <w:t>undetectable</w:t>
      </w:r>
      <w:r>
        <w:t xml:space="preserve"> HDV RNA increased from 12.2% to 20.4% (95% CI: 10.2%, 34.3%) in the bulevirtide 2 mg treatment arm.</w:t>
      </w:r>
    </w:p>
    <w:p w14:paraId="54D09321" w14:textId="77777777" w:rsidR="00EC6347" w:rsidRPr="00196231" w:rsidRDefault="00EC6347" w:rsidP="00D6408F">
      <w:pPr>
        <w:pStyle w:val="3-BodyText"/>
      </w:pPr>
      <w:r>
        <w:t>Normalisation of ALT at Week 48 occurred in 51.0% (95% CI: 36.3%, 65.6%) of patients in the bulevirtide 2 mg arm and in 11.8% (95% CI: 4.4%, 23.9%) of patients in the comparator arm, with statistically significant difference between the two arms (difference: 39.3%; 95% CI: 19.9%, 55.8%; p&lt;0.0001). In the bulevirtide 2 mg treatment arm, the percentage of patients achieving ALT normalisation increased from 51.0% at Week 48 to 63.3% (95% CI: 48.3%, 76.6%) at Week 96.</w:t>
      </w:r>
    </w:p>
    <w:p w14:paraId="60A93B71" w14:textId="6BCAA0D0" w:rsidR="00EC6347" w:rsidRPr="00196231" w:rsidRDefault="00EC6347" w:rsidP="00D6408F">
      <w:pPr>
        <w:pStyle w:val="3-BodyText"/>
        <w:rPr>
          <w:color w:val="3366FF"/>
        </w:rPr>
      </w:pPr>
      <w:r>
        <w:t>Bulevirtide also resulted in a least square mean decrease (improvement) of liver stiffness from baseline by -3.08 kPa (95% CI: -4.70 to -1.46) in treated patients at Week 48 of treatment, while patients receiving no treatment had an increase (worsening) of liver stiffness from baseline by 0.88 kPa (95% CI: -0.80 to 2.56). The difference in the least square means between the two groups was statistically significant (</w:t>
      </w:r>
      <w:r w:rsidRPr="264F0FF5">
        <w:t>−</w:t>
      </w:r>
      <w:r>
        <w:t xml:space="preserve">3.96 kPa; 95% CI: −6.28 to −1.64; p=0.0010). </w:t>
      </w:r>
      <w:bookmarkStart w:id="37" w:name="_Hlk152690886"/>
      <w:r>
        <w:t xml:space="preserve">Liver stiffness continued to improve in patients receiving bulevirtide 2 mg from Week 48 to Week 96, during this </w:t>
      </w:r>
      <w:r w:rsidR="009527B4">
        <w:t xml:space="preserve">time </w:t>
      </w:r>
      <w:r>
        <w:t xml:space="preserve">period the least square mean LS change from baseline decreased further to -4.0 kPa (95% CI: -5.6%, to -2.5%) in the bulevirtide 2 mg treatment arm. </w:t>
      </w:r>
      <w:bookmarkEnd w:id="37"/>
    </w:p>
    <w:p w14:paraId="575A51D0" w14:textId="1DEB8F75" w:rsidR="00EC6347" w:rsidRPr="00196231" w:rsidRDefault="00EC6347" w:rsidP="00D6408F">
      <w:pPr>
        <w:pStyle w:val="3-BodyText"/>
        <w:rPr>
          <w:color w:val="3366FF"/>
        </w:rPr>
      </w:pPr>
      <w:r w:rsidRPr="00196231">
        <w:t xml:space="preserve">At Week 48, scores for the individual EuroQoL-5 Dimension-3 Level (EQ-5D-3L) domains, EuroQol visual analogue scale (EQ-VAS), Fatigue Severity Scale (FSS), and Hepatitis Quality of Life Questionnaire (HQLQ) were generally similar between the bulevirtide 2 mg treatment arm and the delayed treatment arm, with the exception of the EQ-VAS and some components of the HQLQ (such as role physical, hepatitis-specific limitations and hepatitis-specific health stress), in which there was a significant improvement in the bulevirtide treatment arm compared with the delayed </w:t>
      </w:r>
      <w:r w:rsidRPr="00196231">
        <w:lastRenderedPageBreak/>
        <w:t xml:space="preserve">treatment arm. At Week 96, the results for </w:t>
      </w:r>
      <w:r w:rsidR="00120345" w:rsidRPr="00196231">
        <w:t>quality-of-life</w:t>
      </w:r>
      <w:r w:rsidRPr="00196231">
        <w:t xml:space="preserve"> questionnaires were generally consistent with the Week 48 results.</w:t>
      </w:r>
      <w:r w:rsidRPr="264F0FF5">
        <w:rPr>
          <w:i/>
          <w:iCs/>
        </w:rPr>
        <w:t xml:space="preserve"> </w:t>
      </w:r>
      <w:r w:rsidRPr="00D20CA8">
        <w:t>The</w:t>
      </w:r>
      <w:r w:rsidR="009235DC">
        <w:t xml:space="preserve"> </w:t>
      </w:r>
      <w:r w:rsidR="009235DC" w:rsidRPr="00817F36">
        <w:t>evaluation considered the</w:t>
      </w:r>
      <w:r w:rsidRPr="00D20CA8">
        <w:t xml:space="preserve"> quality</w:t>
      </w:r>
      <w:r w:rsidR="00120345" w:rsidRPr="00D20CA8">
        <w:t>-</w:t>
      </w:r>
      <w:r w:rsidRPr="00D20CA8">
        <w:t>of</w:t>
      </w:r>
      <w:r w:rsidR="00120345" w:rsidRPr="00D20CA8">
        <w:t>-</w:t>
      </w:r>
      <w:r w:rsidRPr="00D20CA8">
        <w:t xml:space="preserve">life data should be interpreted with caution, as multiple endpoints were </w:t>
      </w:r>
      <w:r w:rsidR="00B03622" w:rsidRPr="00D20CA8">
        <w:t>tested,</w:t>
      </w:r>
      <w:r w:rsidRPr="00D20CA8">
        <w:t xml:space="preserve"> and the study was not sufficiently powered to test these exploratory endpoints. </w:t>
      </w:r>
      <w:r w:rsidRPr="00D20CA8">
        <w:rPr>
          <w:snapToGrid w:val="0"/>
        </w:rPr>
        <w:t xml:space="preserve">In addition, given the open-label trial design, neither participants nor the study personnel who collected </w:t>
      </w:r>
      <w:r w:rsidR="00913137" w:rsidRPr="00D20CA8">
        <w:rPr>
          <w:snapToGrid w:val="0"/>
        </w:rPr>
        <w:t>health-related quality of life</w:t>
      </w:r>
      <w:r w:rsidRPr="00D20CA8">
        <w:rPr>
          <w:snapToGrid w:val="0"/>
        </w:rPr>
        <w:t xml:space="preserve"> data were blinded to the treatment allocation. </w:t>
      </w:r>
      <w:r w:rsidRPr="00975114">
        <w:rPr>
          <w:snapToGrid w:val="0"/>
        </w:rPr>
        <w:t xml:space="preserve">These patient-reported outcomes are subject to </w:t>
      </w:r>
      <w:r w:rsidR="00485890" w:rsidRPr="00975114">
        <w:rPr>
          <w:snapToGrid w:val="0"/>
        </w:rPr>
        <w:t xml:space="preserve">a high risk of </w:t>
      </w:r>
      <w:r w:rsidRPr="00975114">
        <w:rPr>
          <w:snapToGrid w:val="0"/>
        </w:rPr>
        <w:t>bias.</w:t>
      </w:r>
    </w:p>
    <w:p w14:paraId="3F018AC1" w14:textId="77777777" w:rsidR="00EC6347" w:rsidRPr="00543EB7" w:rsidRDefault="00EC6347" w:rsidP="00D6408F">
      <w:pPr>
        <w:pStyle w:val="4-SubsectionHeading"/>
      </w:pPr>
      <w:bookmarkStart w:id="38" w:name="_Toc156984634"/>
      <w:r w:rsidRPr="00543EB7">
        <w:t>Comparative harms</w:t>
      </w:r>
      <w:bookmarkEnd w:id="38"/>
    </w:p>
    <w:p w14:paraId="3934E10F" w14:textId="5ADAAB9C" w:rsidR="00EC6347" w:rsidRPr="00196231" w:rsidRDefault="00EC6347" w:rsidP="00D6408F">
      <w:pPr>
        <w:pStyle w:val="3-BodyText"/>
      </w:pPr>
      <w:r>
        <w:t>Table 7 below summarises the overall TEAEs in the bulevirtide 2 mg treatment arm at Week 48 and Week 96 and in the delayed treatment arm (i.e., BSC) at Week 48 in the MYR301 trial.</w:t>
      </w:r>
    </w:p>
    <w:p w14:paraId="3CAAD936" w14:textId="7BC13E63" w:rsidR="00EC6347" w:rsidRPr="00196231" w:rsidRDefault="00EC6347" w:rsidP="00D6408F">
      <w:pPr>
        <w:pStyle w:val="Caption"/>
      </w:pPr>
      <w:bookmarkStart w:id="39" w:name="_Ref152425815"/>
      <w:r w:rsidRPr="00196231">
        <w:t xml:space="preserve">Table </w:t>
      </w:r>
      <w:r>
        <w:fldChar w:fldCharType="begin" w:fldLock="1"/>
      </w:r>
      <w:r>
        <w:instrText>SEQ Table_PBAC. \* ARABIC</w:instrText>
      </w:r>
      <w:r>
        <w:fldChar w:fldCharType="separate"/>
      </w:r>
      <w:r w:rsidR="00B02BFE">
        <w:rPr>
          <w:noProof/>
        </w:rPr>
        <w:t>7</w:t>
      </w:r>
      <w:r>
        <w:fldChar w:fldCharType="end"/>
      </w:r>
      <w:bookmarkEnd w:id="39"/>
      <w:r w:rsidRPr="00196231">
        <w:t>: Summary of overall TEAEs in the MYR301 trial</w:t>
      </w:r>
    </w:p>
    <w:tbl>
      <w:tblPr>
        <w:tblStyle w:val="TableGrid"/>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Caption w:val="Table 7: Summary of overall TEAEs in the MYR301 trial"/>
      </w:tblPr>
      <w:tblGrid>
        <w:gridCol w:w="3964"/>
        <w:gridCol w:w="1431"/>
        <w:gridCol w:w="1405"/>
        <w:gridCol w:w="2277"/>
      </w:tblGrid>
      <w:tr w:rsidR="00EC6347" w:rsidRPr="00196231" w14:paraId="44C5E1F7" w14:textId="77777777" w:rsidTr="00D6408F">
        <w:trPr>
          <w:cnfStyle w:val="100000000000" w:firstRow="1" w:lastRow="0" w:firstColumn="0" w:lastColumn="0" w:oddVBand="0" w:evenVBand="0" w:oddHBand="0" w:evenHBand="0" w:firstRowFirstColumn="0" w:firstRowLastColumn="0" w:lastRowFirstColumn="0" w:lastRowLastColumn="0"/>
          <w:trHeight w:val="277"/>
        </w:trPr>
        <w:tc>
          <w:tcPr>
            <w:tcW w:w="2184" w:type="pct"/>
            <w:shd w:val="clear" w:color="auto" w:fill="auto"/>
            <w:vAlign w:val="center"/>
          </w:tcPr>
          <w:p w14:paraId="015BC184" w14:textId="77777777" w:rsidR="00EC6347" w:rsidRPr="00196231" w:rsidRDefault="00EC6347" w:rsidP="00D6408F">
            <w:pPr>
              <w:pStyle w:val="TableText"/>
              <w:keepNext/>
              <w:jc w:val="center"/>
              <w:rPr>
                <w:b w:val="0"/>
                <w:lang w:val="en-AU"/>
              </w:rPr>
            </w:pPr>
          </w:p>
        </w:tc>
        <w:tc>
          <w:tcPr>
            <w:tcW w:w="1562" w:type="pct"/>
            <w:gridSpan w:val="2"/>
            <w:shd w:val="clear" w:color="auto" w:fill="FFFFFF" w:themeFill="background1"/>
            <w:vAlign w:val="center"/>
          </w:tcPr>
          <w:p w14:paraId="381B90B6" w14:textId="7C6AEC3A" w:rsidR="00EC6347" w:rsidRPr="00196231" w:rsidRDefault="00EC6347" w:rsidP="00D6408F">
            <w:pPr>
              <w:pStyle w:val="TableText"/>
              <w:keepNext/>
              <w:jc w:val="center"/>
              <w:rPr>
                <w:bCs/>
                <w:lang w:val="en-AU"/>
              </w:rPr>
            </w:pPr>
            <w:r w:rsidRPr="00196231">
              <w:rPr>
                <w:bCs/>
                <w:lang w:val="en-AU"/>
              </w:rPr>
              <w:t xml:space="preserve">Bulevirtide </w:t>
            </w:r>
            <w:r w:rsidR="00E073FA">
              <w:rPr>
                <w:bCs/>
                <w:lang w:val="en-AU"/>
              </w:rPr>
              <w:t>2 mg</w:t>
            </w:r>
            <w:r w:rsidRPr="00196231">
              <w:rPr>
                <w:bCs/>
                <w:lang w:val="en-AU"/>
              </w:rPr>
              <w:t xml:space="preserve"> (N=49)</w:t>
            </w:r>
          </w:p>
        </w:tc>
        <w:tc>
          <w:tcPr>
            <w:tcW w:w="1255" w:type="pct"/>
            <w:shd w:val="clear" w:color="auto" w:fill="FFFFFF" w:themeFill="background1"/>
            <w:vAlign w:val="center"/>
          </w:tcPr>
          <w:p w14:paraId="148B72F5" w14:textId="77777777" w:rsidR="00EC6347" w:rsidRPr="00196231" w:rsidRDefault="00EC6347" w:rsidP="00D6408F">
            <w:pPr>
              <w:pStyle w:val="TableText"/>
              <w:keepNext/>
              <w:jc w:val="center"/>
              <w:rPr>
                <w:bCs/>
                <w:lang w:val="en-AU"/>
              </w:rPr>
            </w:pPr>
            <w:r w:rsidRPr="00196231">
              <w:rPr>
                <w:bCs/>
                <w:lang w:val="en-AU"/>
              </w:rPr>
              <w:t>Delayed treatment (N=51)</w:t>
            </w:r>
          </w:p>
        </w:tc>
      </w:tr>
      <w:tr w:rsidR="00EC6347" w:rsidRPr="00196231" w14:paraId="4D5373ED" w14:textId="77777777" w:rsidTr="00D6408F">
        <w:trPr>
          <w:trHeight w:val="47"/>
        </w:trPr>
        <w:tc>
          <w:tcPr>
            <w:tcW w:w="2184" w:type="pct"/>
            <w:shd w:val="clear" w:color="auto" w:fill="auto"/>
          </w:tcPr>
          <w:p w14:paraId="767AAD13" w14:textId="77777777" w:rsidR="00EC6347" w:rsidRPr="00196231" w:rsidRDefault="00EC6347" w:rsidP="00D6408F">
            <w:pPr>
              <w:pStyle w:val="TableText"/>
              <w:keepNext/>
              <w:rPr>
                <w:lang w:val="en-AU"/>
              </w:rPr>
            </w:pPr>
            <w:r w:rsidRPr="00196231">
              <w:rPr>
                <w:lang w:val="en-AU"/>
              </w:rPr>
              <w:t>Data cut-off</w:t>
            </w:r>
          </w:p>
        </w:tc>
        <w:tc>
          <w:tcPr>
            <w:tcW w:w="788" w:type="pct"/>
          </w:tcPr>
          <w:p w14:paraId="5B4EA4C4" w14:textId="77777777" w:rsidR="00EC6347" w:rsidRPr="00196231" w:rsidRDefault="00EC6347" w:rsidP="00D6408F">
            <w:pPr>
              <w:pStyle w:val="TableText"/>
              <w:keepNext/>
              <w:jc w:val="center"/>
              <w:rPr>
                <w:lang w:val="en-AU"/>
              </w:rPr>
            </w:pPr>
            <w:r w:rsidRPr="00196231">
              <w:rPr>
                <w:lang w:val="en-AU"/>
              </w:rPr>
              <w:t>Week 48</w:t>
            </w:r>
          </w:p>
        </w:tc>
        <w:tc>
          <w:tcPr>
            <w:tcW w:w="774" w:type="pct"/>
          </w:tcPr>
          <w:p w14:paraId="7313DE93" w14:textId="77777777" w:rsidR="00EC6347" w:rsidRPr="00196231" w:rsidRDefault="00EC6347" w:rsidP="00D6408F">
            <w:pPr>
              <w:pStyle w:val="TableText"/>
              <w:keepNext/>
              <w:jc w:val="center"/>
              <w:rPr>
                <w:lang w:val="en-AU"/>
              </w:rPr>
            </w:pPr>
            <w:r w:rsidRPr="00196231">
              <w:rPr>
                <w:lang w:val="en-AU"/>
              </w:rPr>
              <w:t>Week 96</w:t>
            </w:r>
          </w:p>
        </w:tc>
        <w:tc>
          <w:tcPr>
            <w:tcW w:w="1255" w:type="pct"/>
          </w:tcPr>
          <w:p w14:paraId="5C4E9267" w14:textId="77777777" w:rsidR="00EC6347" w:rsidRPr="00196231" w:rsidRDefault="00EC6347" w:rsidP="00D6408F">
            <w:pPr>
              <w:pStyle w:val="TableText"/>
              <w:keepNext/>
              <w:jc w:val="center"/>
              <w:rPr>
                <w:lang w:val="en-AU"/>
              </w:rPr>
            </w:pPr>
            <w:r w:rsidRPr="00196231">
              <w:rPr>
                <w:lang w:val="en-AU"/>
              </w:rPr>
              <w:t>Week 48</w:t>
            </w:r>
          </w:p>
        </w:tc>
      </w:tr>
      <w:tr w:rsidR="00EC6347" w:rsidRPr="00196231" w14:paraId="4BAA7450" w14:textId="77777777" w:rsidTr="00D6408F">
        <w:trPr>
          <w:trHeight w:val="64"/>
        </w:trPr>
        <w:tc>
          <w:tcPr>
            <w:tcW w:w="2184" w:type="pct"/>
            <w:shd w:val="clear" w:color="auto" w:fill="auto"/>
            <w:vAlign w:val="bottom"/>
          </w:tcPr>
          <w:p w14:paraId="15932444" w14:textId="77777777" w:rsidR="00EC6347" w:rsidRPr="00196231" w:rsidRDefault="00EC6347" w:rsidP="00D6408F">
            <w:pPr>
              <w:pStyle w:val="TableText"/>
              <w:keepNext/>
              <w:rPr>
                <w:lang w:val="en-AU"/>
              </w:rPr>
            </w:pPr>
            <w:r w:rsidRPr="00196231">
              <w:rPr>
                <w:lang w:val="en-AU"/>
              </w:rPr>
              <w:t>TEAE</w:t>
            </w:r>
          </w:p>
        </w:tc>
        <w:tc>
          <w:tcPr>
            <w:tcW w:w="788" w:type="pct"/>
          </w:tcPr>
          <w:p w14:paraId="48E2FE06" w14:textId="77777777" w:rsidR="00EC6347" w:rsidRPr="00196231" w:rsidRDefault="00EC6347" w:rsidP="00D6408F">
            <w:pPr>
              <w:pStyle w:val="TableText"/>
              <w:keepNext/>
              <w:jc w:val="center"/>
              <w:rPr>
                <w:lang w:val="en-AU"/>
              </w:rPr>
            </w:pPr>
            <w:r w:rsidRPr="00196231">
              <w:rPr>
                <w:lang w:val="en-AU"/>
              </w:rPr>
              <w:t>41 (83.7%)</w:t>
            </w:r>
          </w:p>
        </w:tc>
        <w:tc>
          <w:tcPr>
            <w:tcW w:w="774" w:type="pct"/>
          </w:tcPr>
          <w:p w14:paraId="4738044C" w14:textId="77777777" w:rsidR="00EC6347" w:rsidRPr="00196231" w:rsidRDefault="00EC6347" w:rsidP="00D6408F">
            <w:pPr>
              <w:pStyle w:val="TableText"/>
              <w:keepNext/>
              <w:jc w:val="center"/>
              <w:rPr>
                <w:lang w:val="en-AU"/>
              </w:rPr>
            </w:pPr>
            <w:r w:rsidRPr="00196231">
              <w:rPr>
                <w:lang w:val="en-AU"/>
              </w:rPr>
              <w:t>47 (95.9%)</w:t>
            </w:r>
          </w:p>
        </w:tc>
        <w:tc>
          <w:tcPr>
            <w:tcW w:w="1255" w:type="pct"/>
          </w:tcPr>
          <w:p w14:paraId="4B09A276" w14:textId="77777777" w:rsidR="00EC6347" w:rsidRPr="00196231" w:rsidRDefault="00EC6347" w:rsidP="00D6408F">
            <w:pPr>
              <w:pStyle w:val="TableText"/>
              <w:keepNext/>
              <w:jc w:val="center"/>
              <w:rPr>
                <w:lang w:val="en-AU"/>
              </w:rPr>
            </w:pPr>
            <w:r w:rsidRPr="00196231">
              <w:rPr>
                <w:lang w:val="en-AU"/>
              </w:rPr>
              <w:t>39 (76.5%)</w:t>
            </w:r>
          </w:p>
        </w:tc>
      </w:tr>
      <w:tr w:rsidR="00EC6347" w:rsidRPr="00196231" w14:paraId="0C7E8D75" w14:textId="77777777" w:rsidTr="00D6408F">
        <w:tc>
          <w:tcPr>
            <w:tcW w:w="2184" w:type="pct"/>
            <w:shd w:val="clear" w:color="auto" w:fill="auto"/>
            <w:vAlign w:val="bottom"/>
          </w:tcPr>
          <w:p w14:paraId="653D0D08" w14:textId="77777777" w:rsidR="00EC6347" w:rsidRPr="00196231" w:rsidRDefault="00EC6347" w:rsidP="00D6408F">
            <w:pPr>
              <w:pStyle w:val="TableText"/>
              <w:keepNext/>
              <w:rPr>
                <w:lang w:val="en-AU"/>
              </w:rPr>
            </w:pPr>
            <w:r w:rsidRPr="00196231">
              <w:rPr>
                <w:lang w:val="en-AU"/>
              </w:rPr>
              <w:t>TEAE with Grade 3 or higher</w:t>
            </w:r>
          </w:p>
        </w:tc>
        <w:tc>
          <w:tcPr>
            <w:tcW w:w="788" w:type="pct"/>
          </w:tcPr>
          <w:p w14:paraId="7229E24A" w14:textId="77777777" w:rsidR="00EC6347" w:rsidRPr="00196231" w:rsidRDefault="00EC6347" w:rsidP="00D6408F">
            <w:pPr>
              <w:pStyle w:val="TableText"/>
              <w:keepNext/>
              <w:jc w:val="center"/>
              <w:rPr>
                <w:lang w:val="en-AU"/>
              </w:rPr>
            </w:pPr>
            <w:r w:rsidRPr="00196231">
              <w:rPr>
                <w:lang w:val="en-AU"/>
              </w:rPr>
              <w:t>5 (10.2%)</w:t>
            </w:r>
          </w:p>
        </w:tc>
        <w:tc>
          <w:tcPr>
            <w:tcW w:w="774" w:type="pct"/>
          </w:tcPr>
          <w:p w14:paraId="4BDB30C9" w14:textId="77777777" w:rsidR="00EC6347" w:rsidRPr="00196231" w:rsidRDefault="00EC6347" w:rsidP="00D6408F">
            <w:pPr>
              <w:pStyle w:val="TableText"/>
              <w:keepNext/>
              <w:jc w:val="center"/>
              <w:rPr>
                <w:lang w:val="en-AU"/>
              </w:rPr>
            </w:pPr>
            <w:r w:rsidRPr="00196231">
              <w:rPr>
                <w:lang w:val="en-AU"/>
              </w:rPr>
              <w:t>9 (18.4%)</w:t>
            </w:r>
          </w:p>
        </w:tc>
        <w:tc>
          <w:tcPr>
            <w:tcW w:w="1255" w:type="pct"/>
          </w:tcPr>
          <w:p w14:paraId="32EB6B42" w14:textId="77777777" w:rsidR="00EC6347" w:rsidRPr="00196231" w:rsidRDefault="00EC6347" w:rsidP="00D6408F">
            <w:pPr>
              <w:pStyle w:val="TableText"/>
              <w:keepNext/>
              <w:jc w:val="center"/>
              <w:rPr>
                <w:lang w:val="en-AU"/>
              </w:rPr>
            </w:pPr>
            <w:r w:rsidRPr="00196231">
              <w:rPr>
                <w:lang w:val="en-AU"/>
              </w:rPr>
              <w:t>4 (7.8%)</w:t>
            </w:r>
          </w:p>
        </w:tc>
      </w:tr>
      <w:tr w:rsidR="00EC6347" w:rsidRPr="00196231" w14:paraId="16E70AAD" w14:textId="77777777" w:rsidTr="00D6408F">
        <w:tc>
          <w:tcPr>
            <w:tcW w:w="2184" w:type="pct"/>
            <w:shd w:val="clear" w:color="auto" w:fill="auto"/>
            <w:vAlign w:val="center"/>
          </w:tcPr>
          <w:p w14:paraId="6E058A1B" w14:textId="77777777" w:rsidR="00EC6347" w:rsidRPr="00196231" w:rsidRDefault="00EC6347" w:rsidP="00D6408F">
            <w:pPr>
              <w:pStyle w:val="TableText"/>
              <w:keepNext/>
              <w:rPr>
                <w:lang w:val="en-AU"/>
              </w:rPr>
            </w:pPr>
            <w:r w:rsidRPr="00196231">
              <w:rPr>
                <w:lang w:val="en-AU"/>
              </w:rPr>
              <w:t>TEAE related to study drug</w:t>
            </w:r>
          </w:p>
        </w:tc>
        <w:tc>
          <w:tcPr>
            <w:tcW w:w="788" w:type="pct"/>
          </w:tcPr>
          <w:p w14:paraId="65902E62" w14:textId="77777777" w:rsidR="00EC6347" w:rsidRPr="00196231" w:rsidRDefault="00EC6347" w:rsidP="00D6408F">
            <w:pPr>
              <w:pStyle w:val="TableText"/>
              <w:keepNext/>
              <w:jc w:val="center"/>
              <w:rPr>
                <w:lang w:val="en-AU"/>
              </w:rPr>
            </w:pPr>
            <w:r w:rsidRPr="00196231">
              <w:rPr>
                <w:lang w:val="en-AU"/>
              </w:rPr>
              <w:t>24 (49.0%)</w:t>
            </w:r>
          </w:p>
        </w:tc>
        <w:tc>
          <w:tcPr>
            <w:tcW w:w="774" w:type="pct"/>
          </w:tcPr>
          <w:p w14:paraId="67505A1D" w14:textId="77777777" w:rsidR="00EC6347" w:rsidRPr="00196231" w:rsidRDefault="00EC6347" w:rsidP="00D6408F">
            <w:pPr>
              <w:pStyle w:val="TableText"/>
              <w:keepNext/>
              <w:jc w:val="center"/>
              <w:rPr>
                <w:lang w:val="en-AU"/>
              </w:rPr>
            </w:pPr>
            <w:r w:rsidRPr="00196231">
              <w:rPr>
                <w:lang w:val="en-AU"/>
              </w:rPr>
              <w:t>25 (51.0%)</w:t>
            </w:r>
          </w:p>
        </w:tc>
        <w:tc>
          <w:tcPr>
            <w:tcW w:w="1255" w:type="pct"/>
          </w:tcPr>
          <w:p w14:paraId="109DF5B0" w14:textId="77777777" w:rsidR="00EC6347" w:rsidRPr="00196231" w:rsidRDefault="00EC6347" w:rsidP="00D6408F">
            <w:pPr>
              <w:pStyle w:val="TableText"/>
              <w:keepNext/>
              <w:jc w:val="center"/>
              <w:rPr>
                <w:lang w:val="en-AU"/>
              </w:rPr>
            </w:pPr>
            <w:r w:rsidRPr="00196231">
              <w:rPr>
                <w:lang w:val="en-AU"/>
              </w:rPr>
              <w:t>0</w:t>
            </w:r>
          </w:p>
        </w:tc>
      </w:tr>
      <w:tr w:rsidR="00EC6347" w:rsidRPr="00196231" w14:paraId="4A65B960" w14:textId="77777777" w:rsidTr="00D6408F">
        <w:tc>
          <w:tcPr>
            <w:tcW w:w="2184" w:type="pct"/>
            <w:shd w:val="clear" w:color="auto" w:fill="auto"/>
            <w:vAlign w:val="center"/>
          </w:tcPr>
          <w:p w14:paraId="389148FE" w14:textId="77777777" w:rsidR="00EC6347" w:rsidRPr="00196231" w:rsidRDefault="00EC6347" w:rsidP="00D6408F">
            <w:pPr>
              <w:pStyle w:val="TableText"/>
              <w:keepNext/>
              <w:rPr>
                <w:lang w:val="en-AU"/>
              </w:rPr>
            </w:pPr>
            <w:r w:rsidRPr="00196231">
              <w:rPr>
                <w:lang w:val="en-AU"/>
              </w:rPr>
              <w:t>TEAE related to study drug with Grade 3 or higher</w:t>
            </w:r>
          </w:p>
        </w:tc>
        <w:tc>
          <w:tcPr>
            <w:tcW w:w="788" w:type="pct"/>
          </w:tcPr>
          <w:p w14:paraId="38AA1051" w14:textId="77777777" w:rsidR="00EC6347" w:rsidRPr="00196231" w:rsidRDefault="00EC6347" w:rsidP="00D6408F">
            <w:pPr>
              <w:pStyle w:val="TableText"/>
              <w:keepNext/>
              <w:jc w:val="center"/>
              <w:rPr>
                <w:lang w:val="en-AU"/>
              </w:rPr>
            </w:pPr>
            <w:r w:rsidRPr="00196231">
              <w:rPr>
                <w:lang w:val="en-AU"/>
              </w:rPr>
              <w:t>1 (2.0%)</w:t>
            </w:r>
          </w:p>
        </w:tc>
        <w:tc>
          <w:tcPr>
            <w:tcW w:w="774" w:type="pct"/>
          </w:tcPr>
          <w:p w14:paraId="6F40B74F" w14:textId="77777777" w:rsidR="00EC6347" w:rsidRPr="00196231" w:rsidRDefault="00EC6347" w:rsidP="00D6408F">
            <w:pPr>
              <w:pStyle w:val="TableText"/>
              <w:keepNext/>
              <w:jc w:val="center"/>
              <w:rPr>
                <w:lang w:val="en-AU"/>
              </w:rPr>
            </w:pPr>
            <w:r w:rsidRPr="00196231">
              <w:rPr>
                <w:lang w:val="en-AU"/>
              </w:rPr>
              <w:t>4 (8.2%)</w:t>
            </w:r>
          </w:p>
        </w:tc>
        <w:tc>
          <w:tcPr>
            <w:tcW w:w="1255" w:type="pct"/>
          </w:tcPr>
          <w:p w14:paraId="20C54145" w14:textId="77777777" w:rsidR="00EC6347" w:rsidRPr="00196231" w:rsidRDefault="00EC6347" w:rsidP="00D6408F">
            <w:pPr>
              <w:pStyle w:val="TableText"/>
              <w:keepNext/>
              <w:jc w:val="center"/>
              <w:rPr>
                <w:lang w:val="en-AU"/>
              </w:rPr>
            </w:pPr>
            <w:r w:rsidRPr="00196231">
              <w:rPr>
                <w:lang w:val="en-AU"/>
              </w:rPr>
              <w:t>0</w:t>
            </w:r>
          </w:p>
        </w:tc>
      </w:tr>
      <w:tr w:rsidR="00EC6347" w:rsidRPr="00196231" w14:paraId="5F0E586B" w14:textId="77777777" w:rsidTr="00D6408F">
        <w:tc>
          <w:tcPr>
            <w:tcW w:w="2184" w:type="pct"/>
            <w:shd w:val="clear" w:color="auto" w:fill="auto"/>
            <w:vAlign w:val="center"/>
          </w:tcPr>
          <w:p w14:paraId="3B857264" w14:textId="77777777" w:rsidR="00EC6347" w:rsidRPr="00196231" w:rsidRDefault="00EC6347" w:rsidP="00D6408F">
            <w:pPr>
              <w:pStyle w:val="TableText"/>
              <w:keepNext/>
              <w:rPr>
                <w:lang w:val="en-AU"/>
              </w:rPr>
            </w:pPr>
            <w:r w:rsidRPr="00196231">
              <w:rPr>
                <w:lang w:val="en-AU"/>
              </w:rPr>
              <w:t>TE serious AE</w:t>
            </w:r>
          </w:p>
        </w:tc>
        <w:tc>
          <w:tcPr>
            <w:tcW w:w="788" w:type="pct"/>
          </w:tcPr>
          <w:p w14:paraId="098229FE" w14:textId="77777777" w:rsidR="00EC6347" w:rsidRPr="00196231" w:rsidRDefault="00EC6347" w:rsidP="00D6408F">
            <w:pPr>
              <w:pStyle w:val="TableText"/>
              <w:keepNext/>
              <w:jc w:val="center"/>
              <w:rPr>
                <w:lang w:val="en-AU"/>
              </w:rPr>
            </w:pPr>
            <w:r w:rsidRPr="00196231">
              <w:rPr>
                <w:lang w:val="en-AU"/>
              </w:rPr>
              <w:t>2 (4.1%)</w:t>
            </w:r>
          </w:p>
        </w:tc>
        <w:tc>
          <w:tcPr>
            <w:tcW w:w="774" w:type="pct"/>
          </w:tcPr>
          <w:p w14:paraId="6191A992" w14:textId="77777777" w:rsidR="00EC6347" w:rsidRPr="00196231" w:rsidRDefault="00EC6347" w:rsidP="00D6408F">
            <w:pPr>
              <w:pStyle w:val="TableText"/>
              <w:keepNext/>
              <w:jc w:val="center"/>
              <w:rPr>
                <w:lang w:val="en-AU"/>
              </w:rPr>
            </w:pPr>
            <w:r w:rsidRPr="00196231">
              <w:rPr>
                <w:lang w:val="en-AU"/>
              </w:rPr>
              <w:t>2 (4.1%)</w:t>
            </w:r>
          </w:p>
        </w:tc>
        <w:tc>
          <w:tcPr>
            <w:tcW w:w="1255" w:type="pct"/>
          </w:tcPr>
          <w:p w14:paraId="2C233E00" w14:textId="77777777" w:rsidR="00EC6347" w:rsidRPr="00196231" w:rsidRDefault="00EC6347" w:rsidP="00D6408F">
            <w:pPr>
              <w:pStyle w:val="TableText"/>
              <w:keepNext/>
              <w:jc w:val="center"/>
              <w:rPr>
                <w:lang w:val="en-AU"/>
              </w:rPr>
            </w:pPr>
            <w:r w:rsidRPr="00196231">
              <w:rPr>
                <w:lang w:val="en-AU"/>
              </w:rPr>
              <w:t>1 (2.0%)</w:t>
            </w:r>
          </w:p>
        </w:tc>
      </w:tr>
      <w:tr w:rsidR="00EC6347" w:rsidRPr="00196231" w14:paraId="27A2B350" w14:textId="77777777" w:rsidTr="00D6408F">
        <w:tc>
          <w:tcPr>
            <w:tcW w:w="2184" w:type="pct"/>
            <w:shd w:val="clear" w:color="auto" w:fill="auto"/>
            <w:vAlign w:val="center"/>
          </w:tcPr>
          <w:p w14:paraId="4462F995" w14:textId="77777777" w:rsidR="00EC6347" w:rsidRPr="00196231" w:rsidRDefault="00EC6347" w:rsidP="00D6408F">
            <w:pPr>
              <w:pStyle w:val="TableText"/>
              <w:keepNext/>
              <w:rPr>
                <w:lang w:val="en-AU"/>
              </w:rPr>
            </w:pPr>
            <w:r w:rsidRPr="00196231">
              <w:rPr>
                <w:lang w:val="en-AU"/>
              </w:rPr>
              <w:t>TE serious AE related to study drug</w:t>
            </w:r>
          </w:p>
        </w:tc>
        <w:tc>
          <w:tcPr>
            <w:tcW w:w="788" w:type="pct"/>
          </w:tcPr>
          <w:p w14:paraId="240D9482" w14:textId="77777777" w:rsidR="00EC6347" w:rsidRPr="00196231" w:rsidRDefault="00EC6347" w:rsidP="00D6408F">
            <w:pPr>
              <w:pStyle w:val="TableText"/>
              <w:keepNext/>
              <w:jc w:val="center"/>
              <w:rPr>
                <w:lang w:val="en-AU"/>
              </w:rPr>
            </w:pPr>
            <w:r w:rsidRPr="00196231">
              <w:rPr>
                <w:lang w:val="en-AU"/>
              </w:rPr>
              <w:t>0</w:t>
            </w:r>
          </w:p>
        </w:tc>
        <w:tc>
          <w:tcPr>
            <w:tcW w:w="774" w:type="pct"/>
          </w:tcPr>
          <w:p w14:paraId="38070EBA" w14:textId="77777777" w:rsidR="00EC6347" w:rsidRPr="00196231" w:rsidRDefault="00EC6347" w:rsidP="00D6408F">
            <w:pPr>
              <w:pStyle w:val="TableText"/>
              <w:keepNext/>
              <w:jc w:val="center"/>
              <w:rPr>
                <w:lang w:val="en-AU"/>
              </w:rPr>
            </w:pPr>
            <w:r w:rsidRPr="00196231">
              <w:rPr>
                <w:lang w:val="en-AU"/>
              </w:rPr>
              <w:t>0</w:t>
            </w:r>
          </w:p>
        </w:tc>
        <w:tc>
          <w:tcPr>
            <w:tcW w:w="1255" w:type="pct"/>
          </w:tcPr>
          <w:p w14:paraId="01CCC4B3" w14:textId="77777777" w:rsidR="00EC6347" w:rsidRPr="00196231" w:rsidRDefault="00EC6347" w:rsidP="00D6408F">
            <w:pPr>
              <w:pStyle w:val="TableText"/>
              <w:keepNext/>
              <w:jc w:val="center"/>
              <w:rPr>
                <w:lang w:val="en-AU"/>
              </w:rPr>
            </w:pPr>
            <w:r w:rsidRPr="00196231">
              <w:rPr>
                <w:lang w:val="en-AU"/>
              </w:rPr>
              <w:t>0</w:t>
            </w:r>
          </w:p>
        </w:tc>
      </w:tr>
      <w:tr w:rsidR="00EC6347" w:rsidRPr="00196231" w14:paraId="62D271A9" w14:textId="77777777" w:rsidTr="00D6408F">
        <w:tc>
          <w:tcPr>
            <w:tcW w:w="2184" w:type="pct"/>
            <w:shd w:val="clear" w:color="auto" w:fill="auto"/>
            <w:vAlign w:val="center"/>
          </w:tcPr>
          <w:p w14:paraId="27C5C4F4" w14:textId="77777777" w:rsidR="00EC6347" w:rsidRPr="00196231" w:rsidRDefault="00EC6347" w:rsidP="00D6408F">
            <w:pPr>
              <w:pStyle w:val="TableText"/>
              <w:keepNext/>
              <w:rPr>
                <w:lang w:val="en-AU"/>
              </w:rPr>
            </w:pPr>
            <w:r w:rsidRPr="00196231">
              <w:rPr>
                <w:lang w:val="en-AU"/>
              </w:rPr>
              <w:t>TEAE leading to premature discontinuation of study drug</w:t>
            </w:r>
          </w:p>
        </w:tc>
        <w:tc>
          <w:tcPr>
            <w:tcW w:w="788" w:type="pct"/>
            <w:vAlign w:val="center"/>
          </w:tcPr>
          <w:p w14:paraId="69219AA8" w14:textId="77777777" w:rsidR="00EC6347" w:rsidRPr="00196231" w:rsidRDefault="00EC6347" w:rsidP="00D6408F">
            <w:pPr>
              <w:pStyle w:val="TableText"/>
              <w:keepNext/>
              <w:jc w:val="center"/>
              <w:rPr>
                <w:lang w:val="en-AU"/>
              </w:rPr>
            </w:pPr>
            <w:r w:rsidRPr="00196231">
              <w:rPr>
                <w:lang w:val="en-AU"/>
              </w:rPr>
              <w:t>0</w:t>
            </w:r>
          </w:p>
        </w:tc>
        <w:tc>
          <w:tcPr>
            <w:tcW w:w="774" w:type="pct"/>
            <w:vAlign w:val="center"/>
          </w:tcPr>
          <w:p w14:paraId="49370CF3" w14:textId="77777777" w:rsidR="00EC6347" w:rsidRPr="00196231" w:rsidRDefault="00EC6347" w:rsidP="00D6408F">
            <w:pPr>
              <w:pStyle w:val="TableText"/>
              <w:keepNext/>
              <w:jc w:val="center"/>
              <w:rPr>
                <w:lang w:val="en-AU"/>
              </w:rPr>
            </w:pPr>
            <w:r w:rsidRPr="00196231">
              <w:rPr>
                <w:lang w:val="en-AU"/>
              </w:rPr>
              <w:t>0</w:t>
            </w:r>
          </w:p>
        </w:tc>
        <w:tc>
          <w:tcPr>
            <w:tcW w:w="1255" w:type="pct"/>
            <w:vAlign w:val="center"/>
          </w:tcPr>
          <w:p w14:paraId="5FF8B206" w14:textId="77777777" w:rsidR="00EC6347" w:rsidRPr="00196231" w:rsidRDefault="00EC6347" w:rsidP="00D6408F">
            <w:pPr>
              <w:pStyle w:val="TableText"/>
              <w:keepNext/>
              <w:jc w:val="center"/>
              <w:rPr>
                <w:lang w:val="en-AU"/>
              </w:rPr>
            </w:pPr>
            <w:r w:rsidRPr="00196231">
              <w:rPr>
                <w:lang w:val="en-AU"/>
              </w:rPr>
              <w:t>0</w:t>
            </w:r>
          </w:p>
        </w:tc>
      </w:tr>
      <w:tr w:rsidR="00EC6347" w:rsidRPr="00196231" w14:paraId="0D287018" w14:textId="77777777" w:rsidTr="00D6408F">
        <w:tc>
          <w:tcPr>
            <w:tcW w:w="2184" w:type="pct"/>
            <w:shd w:val="clear" w:color="auto" w:fill="auto"/>
            <w:vAlign w:val="center"/>
          </w:tcPr>
          <w:p w14:paraId="3E5F464C" w14:textId="77777777" w:rsidR="00EC6347" w:rsidRPr="00196231" w:rsidRDefault="00EC6347" w:rsidP="00D6408F">
            <w:pPr>
              <w:pStyle w:val="TableText"/>
              <w:keepNext/>
              <w:rPr>
                <w:lang w:val="en-AU"/>
              </w:rPr>
            </w:pPr>
            <w:r w:rsidRPr="00196231">
              <w:rPr>
                <w:lang w:val="en-AU"/>
              </w:rPr>
              <w:t>Death</w:t>
            </w:r>
          </w:p>
        </w:tc>
        <w:tc>
          <w:tcPr>
            <w:tcW w:w="788" w:type="pct"/>
          </w:tcPr>
          <w:p w14:paraId="6818ACA5" w14:textId="77777777" w:rsidR="00EC6347" w:rsidRPr="00196231" w:rsidRDefault="00EC6347" w:rsidP="00D6408F">
            <w:pPr>
              <w:pStyle w:val="TableText"/>
              <w:keepNext/>
              <w:jc w:val="center"/>
              <w:rPr>
                <w:lang w:val="en-AU"/>
              </w:rPr>
            </w:pPr>
            <w:r w:rsidRPr="00196231">
              <w:rPr>
                <w:lang w:val="en-AU"/>
              </w:rPr>
              <w:t>0</w:t>
            </w:r>
          </w:p>
        </w:tc>
        <w:tc>
          <w:tcPr>
            <w:tcW w:w="774" w:type="pct"/>
          </w:tcPr>
          <w:p w14:paraId="15A42A62" w14:textId="77777777" w:rsidR="00EC6347" w:rsidRPr="00196231" w:rsidRDefault="00EC6347" w:rsidP="00D6408F">
            <w:pPr>
              <w:pStyle w:val="TableText"/>
              <w:keepNext/>
              <w:jc w:val="center"/>
              <w:rPr>
                <w:lang w:val="en-AU"/>
              </w:rPr>
            </w:pPr>
            <w:r w:rsidRPr="00196231">
              <w:rPr>
                <w:lang w:val="en-AU"/>
              </w:rPr>
              <w:t>0</w:t>
            </w:r>
          </w:p>
        </w:tc>
        <w:tc>
          <w:tcPr>
            <w:tcW w:w="1255" w:type="pct"/>
          </w:tcPr>
          <w:p w14:paraId="55FAAF6B" w14:textId="77777777" w:rsidR="00EC6347" w:rsidRPr="00196231" w:rsidRDefault="00EC6347" w:rsidP="00D6408F">
            <w:pPr>
              <w:pStyle w:val="TableText"/>
              <w:keepNext/>
              <w:jc w:val="center"/>
              <w:rPr>
                <w:lang w:val="en-AU"/>
              </w:rPr>
            </w:pPr>
            <w:r w:rsidRPr="00196231">
              <w:rPr>
                <w:lang w:val="en-AU"/>
              </w:rPr>
              <w:t>0</w:t>
            </w:r>
          </w:p>
        </w:tc>
      </w:tr>
    </w:tbl>
    <w:p w14:paraId="6361027D" w14:textId="77777777" w:rsidR="00EC6347" w:rsidRPr="00196231" w:rsidRDefault="00EC6347" w:rsidP="00D6408F">
      <w:pPr>
        <w:pStyle w:val="TableFooter"/>
        <w:keepNext/>
        <w:rPr>
          <w:rFonts w:eastAsia="Calibri" w:cstheme="minorHAnsi"/>
          <w:szCs w:val="18"/>
        </w:rPr>
      </w:pPr>
      <w:r w:rsidRPr="00196231">
        <w:rPr>
          <w:rFonts w:eastAsia="Calibri" w:cstheme="minorHAnsi"/>
          <w:szCs w:val="18"/>
        </w:rPr>
        <w:t>Source: Table 2.10-7, p118 of the submission</w:t>
      </w:r>
    </w:p>
    <w:p w14:paraId="499438F2" w14:textId="2C609584" w:rsidR="00EC6347" w:rsidRPr="00196231" w:rsidRDefault="00EC6347" w:rsidP="00D6408F">
      <w:pPr>
        <w:pStyle w:val="TableFooter"/>
        <w:spacing w:after="120"/>
        <w:contextualSpacing w:val="0"/>
      </w:pPr>
      <w:r w:rsidRPr="00196231">
        <w:rPr>
          <w:rFonts w:eastAsia="Calibri" w:cstheme="minorHAnsi"/>
          <w:bCs/>
          <w:szCs w:val="18"/>
        </w:rPr>
        <w:t>AE = adverse event; SAS = Safety Analysis Set; TE = treatment-emergent; TEAE = treatment-emergent adverse event</w:t>
      </w:r>
    </w:p>
    <w:p w14:paraId="5659899C" w14:textId="399E3997" w:rsidR="00EC6347" w:rsidRPr="00196231" w:rsidRDefault="00EC6347" w:rsidP="00D6408F">
      <w:pPr>
        <w:pStyle w:val="3-BodyText"/>
      </w:pPr>
      <w:r>
        <w:t xml:space="preserve">During the first 48 weeks, the proportion of patients experiencing at least one TEAE was comparable between the bulevirtide </w:t>
      </w:r>
      <w:r w:rsidR="00E073FA">
        <w:t>2 mg</w:t>
      </w:r>
      <w:r>
        <w:t xml:space="preserve"> treatment group and the delayed treatment group (83.7% vs. 76.5%). The incidence of drug-related TEAEs, however, was significantly higher in patients treated with bulevirtide 2 mg once daily, compared with those receiving BSC (49.0% vs. 0%). The A</w:t>
      </w:r>
      <w:r w:rsidR="00FA3868">
        <w:t>E</w:t>
      </w:r>
      <w:r>
        <w:t>s reported in MYR301 were mostly Grade 1 (mild) or 2 (moderate) in severity, with TEAEs of ≥ Grade 3 reported in 10.2% and 7.8% of patients in the bulevirtide 2 mg arm and in the delayed treatment arm, respectively (all Grade 3 A</w:t>
      </w:r>
      <w:r w:rsidR="00FA3868">
        <w:t>E</w:t>
      </w:r>
      <w:r>
        <w:t>s). Grade 3 TEAEs were not related to the study drug in all patients except for one (2.0%) patient in the bulevirtide 2 mg treatment group. The incidence of serious TEAEs was low across treatment arms (4.1% in the bulevirtide arm vs. 2.0% in the delayed treatment arm), none of which were related to the study drug. No cases of treatment-related serious A</w:t>
      </w:r>
      <w:r w:rsidR="00FA3868">
        <w:t>E</w:t>
      </w:r>
      <w:r>
        <w:t>s, premature discontinuation of study drug due to TEAEs, or deaths were observed in either treatment arms.</w:t>
      </w:r>
    </w:p>
    <w:p w14:paraId="4400FC84" w14:textId="06142AC1" w:rsidR="00EC6347" w:rsidRPr="00196231" w:rsidRDefault="00EC6347" w:rsidP="00D6408F">
      <w:pPr>
        <w:pStyle w:val="3-BodyText"/>
      </w:pPr>
      <w:r>
        <w:t>It is noted that the blood and lymphatic system disorders accounted for most TEAEs in the first 48 weeks in both treatment arms (36.7% vs. 29.4%). Of the most common A</w:t>
      </w:r>
      <w:r w:rsidR="00FA3868">
        <w:t>E</w:t>
      </w:r>
      <w:r>
        <w:t xml:space="preserve">s, headache (18.4% vs. 0%), pruritus (12.2% vs. 0%), eosinophilia (10.2% vs. 0%), fatigue (10.2% vs. 2.0%) occurred more frequently in the bulevirtide 2 mg treatment arm than in the delayed treatment arm. Grade 3 TEAEs which occurred in more than </w:t>
      </w:r>
      <w:r>
        <w:lastRenderedPageBreak/>
        <w:t>one patient in both treatment arms included thrombocytopenia (1 (2.0%) participant in the bulevirtide 2 mg group and 3 (5.9%) participants in the delayed treatment group) and neutropenia (0 participant</w:t>
      </w:r>
      <w:r w:rsidR="0092794A">
        <w:t>s</w:t>
      </w:r>
      <w:r>
        <w:t xml:space="preserve"> in the bulevirtide 2 mg group and 2 (3.9%) participants in the delayed treatment group). </w:t>
      </w:r>
    </w:p>
    <w:p w14:paraId="74E41B6F" w14:textId="4EB8D9DF" w:rsidR="00EC6347" w:rsidRPr="00196231" w:rsidRDefault="00EC6347" w:rsidP="00D6408F">
      <w:pPr>
        <w:pStyle w:val="3-BodyText"/>
      </w:pPr>
      <w:r>
        <w:t>For the bulevirtide 2 mg treatment group, longer exposure through Week 96 resulted in higher proportions of participants who experienced any TEAEs (95.9% vs. 83.7%), Grade 3 TEAEs (18.4% vs. 10.2%), and drug-related ≥ Grade 3 TEAEs (8.2% vs. 2.0%), compared with Week 48. The incidence of serious TEAEs was the same for both time periods (4.1%). The most commonly reported A</w:t>
      </w:r>
      <w:r w:rsidR="00FA3868">
        <w:t>E</w:t>
      </w:r>
      <w:r>
        <w:t xml:space="preserve">s in the bulevirtide 2 mg treatment group which showed an increased incidence of ≥ 5% from Week 48 to Week 96 were vitamin D deficiency (30.6% vs. 12.2%), neutropenia (12.2% vs. 4.1%), lymphopenia (14.3% vs. 8.2%), arthralgia (12.2% vs. 6.1%) and COVID-19 (8.2% vs. 2.0%). </w:t>
      </w:r>
    </w:p>
    <w:p w14:paraId="6DFD561A" w14:textId="248B1CDA" w:rsidR="00EC6347" w:rsidRPr="00196231" w:rsidRDefault="00EC6347" w:rsidP="00D6408F">
      <w:pPr>
        <w:pStyle w:val="3-BodyText"/>
      </w:pPr>
      <w:r>
        <w:t>A</w:t>
      </w:r>
      <w:r w:rsidR="00FA3868">
        <w:t>E</w:t>
      </w:r>
      <w:r>
        <w:t>s of special interest (AESIs) in the trial include hepatic flares (presented as i</w:t>
      </w:r>
      <w:r w:rsidRPr="264F0FF5">
        <w:rPr>
          <w:rFonts w:eastAsia="Calibri"/>
        </w:rPr>
        <w:t>ncreases in ALT, aspartate aminotransferase (AST) and/or blood bilirubin, increased gamma-glutamyl transferase (GGT), hyperbilirubinemia and hepatic pain)</w:t>
      </w:r>
      <w:r>
        <w:t xml:space="preserve">, eosinophilia and eosinophil count increased, injection site reactions (presented as </w:t>
      </w:r>
      <w:r w:rsidRPr="264F0FF5">
        <w:rPr>
          <w:rFonts w:eastAsia="Calibri"/>
        </w:rPr>
        <w:t>erythema, haematoma, pain, pruritus or swelling</w:t>
      </w:r>
      <w:r>
        <w:t xml:space="preserve">), hypersensitivity or anaphylactoid reactions, skin and subcutaneous disorders (presented as alopecia, angioedema, rash macular, pruritus or night sweats), and increases in bile salt. All AESIs observed in the trial were Grade 1 or 2 in severity and none resulted in discontinuation of treatment. </w:t>
      </w:r>
    </w:p>
    <w:p w14:paraId="2ADD0920" w14:textId="320F435D" w:rsidR="00EC6347" w:rsidRPr="00196231" w:rsidRDefault="00EC6347" w:rsidP="00D6408F">
      <w:pPr>
        <w:pStyle w:val="Caption"/>
      </w:pPr>
      <w:r w:rsidRPr="00196231">
        <w:t xml:space="preserve">Table </w:t>
      </w:r>
      <w:r>
        <w:fldChar w:fldCharType="begin" w:fldLock="1"/>
      </w:r>
      <w:r>
        <w:instrText>SEQ Table_PBAC. \* ARABIC</w:instrText>
      </w:r>
      <w:r>
        <w:fldChar w:fldCharType="separate"/>
      </w:r>
      <w:r w:rsidR="00B02BFE">
        <w:rPr>
          <w:noProof/>
        </w:rPr>
        <w:t>8</w:t>
      </w:r>
      <w:r>
        <w:fldChar w:fldCharType="end"/>
      </w:r>
      <w:r w:rsidRPr="00196231">
        <w:t xml:space="preserve">: Summary of results of AESIs of the MYR301 trial </w:t>
      </w:r>
    </w:p>
    <w:tbl>
      <w:tblPr>
        <w:tblStyle w:val="TableGrid"/>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Table 8: Summary of results of AESIs of the MYR301 trial "/>
      </w:tblPr>
      <w:tblGrid>
        <w:gridCol w:w="2856"/>
        <w:gridCol w:w="2021"/>
        <w:gridCol w:w="2139"/>
        <w:gridCol w:w="2000"/>
      </w:tblGrid>
      <w:tr w:rsidR="00EC6347" w:rsidRPr="00196231" w14:paraId="3C503053" w14:textId="77777777" w:rsidTr="00D6408F">
        <w:trPr>
          <w:cnfStyle w:val="100000000000" w:firstRow="1" w:lastRow="0" w:firstColumn="0" w:lastColumn="0" w:oddVBand="0" w:evenVBand="0" w:oddHBand="0" w:evenHBand="0" w:firstRowFirstColumn="0" w:firstRowLastColumn="0" w:lastRowFirstColumn="0" w:lastRowLastColumn="0"/>
          <w:trHeight w:val="253"/>
        </w:trPr>
        <w:tc>
          <w:tcPr>
            <w:tcW w:w="1584" w:type="pct"/>
            <w:tcBorders>
              <w:bottom w:val="nil"/>
            </w:tcBorders>
            <w:shd w:val="clear" w:color="auto" w:fill="auto"/>
          </w:tcPr>
          <w:p w14:paraId="7CB3D6D4" w14:textId="77777777" w:rsidR="00EC6347" w:rsidRPr="00196231" w:rsidRDefault="00EC6347" w:rsidP="00D6408F">
            <w:pPr>
              <w:pStyle w:val="TableText"/>
              <w:keepNext/>
              <w:rPr>
                <w:b w:val="0"/>
                <w:lang w:val="en-AU"/>
              </w:rPr>
            </w:pPr>
          </w:p>
        </w:tc>
        <w:tc>
          <w:tcPr>
            <w:tcW w:w="1121" w:type="pct"/>
            <w:shd w:val="clear" w:color="auto" w:fill="FFFFFF" w:themeFill="background1"/>
          </w:tcPr>
          <w:p w14:paraId="1A458ACA" w14:textId="706F5726" w:rsidR="00EC6347" w:rsidRPr="00196231" w:rsidRDefault="00EC6347" w:rsidP="00D6408F">
            <w:pPr>
              <w:pStyle w:val="TableText"/>
              <w:keepNext/>
              <w:jc w:val="center"/>
              <w:rPr>
                <w:bCs/>
                <w:lang w:val="en-AU"/>
              </w:rPr>
            </w:pPr>
            <w:r w:rsidRPr="00196231">
              <w:rPr>
                <w:bCs/>
                <w:lang w:val="en-AU"/>
              </w:rPr>
              <w:t xml:space="preserve">Bulevirtide </w:t>
            </w:r>
            <w:r w:rsidR="00E073FA">
              <w:rPr>
                <w:bCs/>
                <w:lang w:val="en-AU"/>
              </w:rPr>
              <w:t>2 mg</w:t>
            </w:r>
            <w:r w:rsidRPr="00196231">
              <w:rPr>
                <w:bCs/>
                <w:lang w:val="en-AU"/>
              </w:rPr>
              <w:t xml:space="preserve"> (N=49)</w:t>
            </w:r>
          </w:p>
        </w:tc>
        <w:tc>
          <w:tcPr>
            <w:tcW w:w="1186" w:type="pct"/>
            <w:shd w:val="clear" w:color="auto" w:fill="FFFFFF" w:themeFill="background1"/>
          </w:tcPr>
          <w:p w14:paraId="78EA1FF3" w14:textId="77777777" w:rsidR="00EC6347" w:rsidRPr="00196231" w:rsidRDefault="00EC6347" w:rsidP="00D6408F">
            <w:pPr>
              <w:pStyle w:val="TableText"/>
              <w:keepNext/>
              <w:jc w:val="center"/>
              <w:rPr>
                <w:bCs/>
                <w:lang w:val="en-AU"/>
              </w:rPr>
            </w:pPr>
            <w:r w:rsidRPr="00196231">
              <w:rPr>
                <w:bCs/>
                <w:lang w:val="en-AU"/>
              </w:rPr>
              <w:t>Delayed treatment (N=51)</w:t>
            </w:r>
          </w:p>
        </w:tc>
        <w:tc>
          <w:tcPr>
            <w:tcW w:w="1109" w:type="pct"/>
            <w:shd w:val="clear" w:color="auto" w:fill="FFFFFF" w:themeFill="background1"/>
          </w:tcPr>
          <w:p w14:paraId="48D8B2CD" w14:textId="1635AD97" w:rsidR="00EC6347" w:rsidRPr="00196231" w:rsidRDefault="00EC6347" w:rsidP="00D6408F">
            <w:pPr>
              <w:pStyle w:val="TableText"/>
              <w:keepNext/>
              <w:jc w:val="center"/>
              <w:rPr>
                <w:bCs/>
                <w:lang w:val="en-AU"/>
              </w:rPr>
            </w:pPr>
            <w:r w:rsidRPr="00196231">
              <w:rPr>
                <w:bCs/>
                <w:lang w:val="en-AU"/>
              </w:rPr>
              <w:t xml:space="preserve">Bulevirtide </w:t>
            </w:r>
            <w:r w:rsidR="00E073FA">
              <w:rPr>
                <w:bCs/>
                <w:lang w:val="en-AU"/>
              </w:rPr>
              <w:t>2 mg</w:t>
            </w:r>
            <w:r w:rsidRPr="00196231">
              <w:rPr>
                <w:bCs/>
                <w:lang w:val="en-AU"/>
              </w:rPr>
              <w:t xml:space="preserve"> (N=49)</w:t>
            </w:r>
          </w:p>
        </w:tc>
      </w:tr>
      <w:tr w:rsidR="00EC6347" w:rsidRPr="00196231" w14:paraId="1CAB23EE" w14:textId="77777777" w:rsidTr="00D6408F">
        <w:trPr>
          <w:trHeight w:val="253"/>
        </w:trPr>
        <w:tc>
          <w:tcPr>
            <w:tcW w:w="1584" w:type="pct"/>
            <w:tcBorders>
              <w:top w:val="nil"/>
            </w:tcBorders>
            <w:shd w:val="clear" w:color="auto" w:fill="auto"/>
          </w:tcPr>
          <w:p w14:paraId="6B5AAF6D" w14:textId="77777777" w:rsidR="00EC6347" w:rsidRPr="00196231" w:rsidRDefault="00EC6347" w:rsidP="00D6408F">
            <w:pPr>
              <w:pStyle w:val="TableText"/>
              <w:keepNext/>
              <w:rPr>
                <w:b/>
                <w:lang w:val="en-AU"/>
              </w:rPr>
            </w:pPr>
          </w:p>
        </w:tc>
        <w:tc>
          <w:tcPr>
            <w:tcW w:w="1121" w:type="pct"/>
            <w:shd w:val="clear" w:color="auto" w:fill="auto"/>
          </w:tcPr>
          <w:p w14:paraId="1108C92F" w14:textId="77777777" w:rsidR="00EC6347" w:rsidRPr="003D1DCA" w:rsidRDefault="00EC6347" w:rsidP="00D6408F">
            <w:pPr>
              <w:pStyle w:val="TableText"/>
              <w:keepNext/>
              <w:jc w:val="center"/>
              <w:rPr>
                <w:b/>
                <w:lang w:val="en-AU"/>
              </w:rPr>
            </w:pPr>
            <w:r w:rsidRPr="003D1DCA">
              <w:rPr>
                <w:b/>
                <w:lang w:val="en-AU"/>
              </w:rPr>
              <w:t>Week 48</w:t>
            </w:r>
          </w:p>
        </w:tc>
        <w:tc>
          <w:tcPr>
            <w:tcW w:w="1186" w:type="pct"/>
          </w:tcPr>
          <w:p w14:paraId="191AC8CC" w14:textId="77777777" w:rsidR="00EC6347" w:rsidRPr="003D1DCA" w:rsidRDefault="00EC6347" w:rsidP="00D6408F">
            <w:pPr>
              <w:pStyle w:val="TableText"/>
              <w:keepNext/>
              <w:jc w:val="center"/>
              <w:rPr>
                <w:b/>
                <w:lang w:val="en-AU"/>
              </w:rPr>
            </w:pPr>
            <w:r w:rsidRPr="003D1DCA">
              <w:rPr>
                <w:b/>
                <w:lang w:val="en-AU"/>
              </w:rPr>
              <w:t>Week 48</w:t>
            </w:r>
          </w:p>
        </w:tc>
        <w:tc>
          <w:tcPr>
            <w:tcW w:w="1109" w:type="pct"/>
            <w:shd w:val="clear" w:color="auto" w:fill="auto"/>
          </w:tcPr>
          <w:p w14:paraId="339600D8" w14:textId="77777777" w:rsidR="00EC6347" w:rsidRPr="003D1DCA" w:rsidRDefault="00EC6347" w:rsidP="00D6408F">
            <w:pPr>
              <w:pStyle w:val="TableText"/>
              <w:keepNext/>
              <w:jc w:val="center"/>
              <w:rPr>
                <w:b/>
                <w:lang w:val="en-AU"/>
              </w:rPr>
            </w:pPr>
            <w:r w:rsidRPr="003D1DCA">
              <w:rPr>
                <w:b/>
                <w:lang w:val="en-AU"/>
              </w:rPr>
              <w:t>Week 96</w:t>
            </w:r>
          </w:p>
        </w:tc>
      </w:tr>
      <w:tr w:rsidR="00EC6347" w:rsidRPr="00196231" w14:paraId="7B8A6D7A" w14:textId="77777777" w:rsidTr="00D6408F">
        <w:trPr>
          <w:trHeight w:val="285"/>
        </w:trPr>
        <w:tc>
          <w:tcPr>
            <w:tcW w:w="1584" w:type="pct"/>
            <w:shd w:val="clear" w:color="auto" w:fill="auto"/>
            <w:vAlign w:val="bottom"/>
          </w:tcPr>
          <w:p w14:paraId="6C8E238C" w14:textId="77777777" w:rsidR="00EC6347" w:rsidRPr="00196231" w:rsidRDefault="00EC6347" w:rsidP="00D6408F">
            <w:pPr>
              <w:pStyle w:val="TableText"/>
              <w:keepNext/>
              <w:rPr>
                <w:bCs/>
                <w:lang w:val="en-AU"/>
              </w:rPr>
            </w:pPr>
            <w:r w:rsidRPr="00196231">
              <w:rPr>
                <w:bCs/>
                <w:lang w:val="en-AU"/>
              </w:rPr>
              <w:t xml:space="preserve">Hepatic flares </w:t>
            </w:r>
          </w:p>
        </w:tc>
        <w:tc>
          <w:tcPr>
            <w:tcW w:w="1121" w:type="pct"/>
          </w:tcPr>
          <w:p w14:paraId="23F693A5" w14:textId="77777777" w:rsidR="00EC6347" w:rsidRPr="00196231" w:rsidRDefault="00EC6347" w:rsidP="00D6408F">
            <w:pPr>
              <w:pStyle w:val="TableText"/>
              <w:keepNext/>
              <w:ind w:left="57"/>
              <w:jc w:val="center"/>
              <w:rPr>
                <w:bCs/>
                <w:lang w:val="en-AU"/>
              </w:rPr>
            </w:pPr>
            <w:r w:rsidRPr="00196231">
              <w:rPr>
                <w:bCs/>
                <w:lang w:val="en-AU"/>
              </w:rPr>
              <w:t>7 (14.3%)</w:t>
            </w:r>
          </w:p>
        </w:tc>
        <w:tc>
          <w:tcPr>
            <w:tcW w:w="1186" w:type="pct"/>
          </w:tcPr>
          <w:p w14:paraId="458AD611" w14:textId="77777777" w:rsidR="00EC6347" w:rsidRPr="00196231" w:rsidRDefault="00EC6347" w:rsidP="00D6408F">
            <w:pPr>
              <w:pStyle w:val="TableText"/>
              <w:keepNext/>
              <w:ind w:left="57"/>
              <w:jc w:val="center"/>
              <w:rPr>
                <w:bCs/>
                <w:lang w:val="en-AU"/>
              </w:rPr>
            </w:pPr>
            <w:r w:rsidRPr="00196231">
              <w:rPr>
                <w:bCs/>
                <w:lang w:val="en-AU"/>
              </w:rPr>
              <w:t>4 (7.8%)</w:t>
            </w:r>
          </w:p>
        </w:tc>
        <w:tc>
          <w:tcPr>
            <w:tcW w:w="1109" w:type="pct"/>
            <w:shd w:val="clear" w:color="auto" w:fill="auto"/>
          </w:tcPr>
          <w:p w14:paraId="7A431BB2" w14:textId="77777777" w:rsidR="00EC6347" w:rsidRPr="00196231" w:rsidRDefault="00EC6347" w:rsidP="00D6408F">
            <w:pPr>
              <w:pStyle w:val="TableText"/>
              <w:keepNext/>
              <w:ind w:left="57"/>
              <w:jc w:val="center"/>
              <w:rPr>
                <w:bCs/>
                <w:lang w:val="en-AU"/>
              </w:rPr>
            </w:pPr>
            <w:r w:rsidRPr="00196231">
              <w:rPr>
                <w:bCs/>
                <w:lang w:val="en-AU"/>
              </w:rPr>
              <w:t>1</w:t>
            </w:r>
            <w:r w:rsidRPr="00196231">
              <w:rPr>
                <w:lang w:val="en-AU"/>
              </w:rPr>
              <w:t>0 (20.4%)</w:t>
            </w:r>
          </w:p>
        </w:tc>
      </w:tr>
      <w:tr w:rsidR="00EC6347" w:rsidRPr="00196231" w14:paraId="3BA6A310" w14:textId="77777777" w:rsidTr="00D6408F">
        <w:tblPrEx>
          <w:tblCellMar>
            <w:left w:w="108" w:type="dxa"/>
            <w:right w:w="108" w:type="dxa"/>
          </w:tblCellMar>
        </w:tblPrEx>
        <w:tc>
          <w:tcPr>
            <w:tcW w:w="1584" w:type="pct"/>
            <w:shd w:val="clear" w:color="auto" w:fill="auto"/>
            <w:vAlign w:val="bottom"/>
          </w:tcPr>
          <w:p w14:paraId="0896DE3B" w14:textId="77777777" w:rsidR="00EC6347" w:rsidRPr="00196231" w:rsidRDefault="00EC6347" w:rsidP="00D6408F">
            <w:pPr>
              <w:pStyle w:val="TableText"/>
              <w:keepNext/>
              <w:rPr>
                <w:bCs/>
                <w:lang w:val="en-AU"/>
              </w:rPr>
            </w:pPr>
            <w:r w:rsidRPr="00196231">
              <w:rPr>
                <w:bCs/>
                <w:lang w:val="en-AU"/>
              </w:rPr>
              <w:t>Eosinophilia and Eosinophil count increased</w:t>
            </w:r>
          </w:p>
        </w:tc>
        <w:tc>
          <w:tcPr>
            <w:tcW w:w="1121" w:type="pct"/>
          </w:tcPr>
          <w:p w14:paraId="1ED8291F" w14:textId="77777777" w:rsidR="00EC6347" w:rsidRPr="00196231" w:rsidRDefault="00EC6347" w:rsidP="00D6408F">
            <w:pPr>
              <w:pStyle w:val="TableText"/>
              <w:keepNext/>
              <w:ind w:left="57"/>
              <w:jc w:val="center"/>
              <w:rPr>
                <w:bCs/>
                <w:lang w:val="en-AU"/>
              </w:rPr>
            </w:pPr>
            <w:r w:rsidRPr="00196231">
              <w:rPr>
                <w:bCs/>
                <w:lang w:val="en-AU"/>
              </w:rPr>
              <w:t>5 (10.2%)</w:t>
            </w:r>
          </w:p>
        </w:tc>
        <w:tc>
          <w:tcPr>
            <w:tcW w:w="1186" w:type="pct"/>
          </w:tcPr>
          <w:p w14:paraId="65AE39C4" w14:textId="77777777" w:rsidR="00EC6347" w:rsidRPr="00196231" w:rsidRDefault="00EC6347" w:rsidP="00D6408F">
            <w:pPr>
              <w:pStyle w:val="TableText"/>
              <w:keepNext/>
              <w:ind w:left="57"/>
              <w:jc w:val="center"/>
              <w:rPr>
                <w:bCs/>
                <w:lang w:val="en-AU"/>
              </w:rPr>
            </w:pPr>
            <w:r w:rsidRPr="00196231">
              <w:rPr>
                <w:bCs/>
                <w:lang w:val="en-AU"/>
              </w:rPr>
              <w:t>1 (2.0%)</w:t>
            </w:r>
          </w:p>
        </w:tc>
        <w:tc>
          <w:tcPr>
            <w:tcW w:w="1109" w:type="pct"/>
            <w:shd w:val="clear" w:color="auto" w:fill="auto"/>
          </w:tcPr>
          <w:p w14:paraId="67EAF42F" w14:textId="77777777" w:rsidR="00EC6347" w:rsidRPr="00196231" w:rsidRDefault="00EC6347" w:rsidP="00D6408F">
            <w:pPr>
              <w:pStyle w:val="TableText"/>
              <w:keepNext/>
              <w:ind w:left="57"/>
              <w:jc w:val="center"/>
              <w:rPr>
                <w:bCs/>
                <w:lang w:val="en-AU"/>
              </w:rPr>
            </w:pPr>
            <w:r w:rsidRPr="00196231">
              <w:rPr>
                <w:bCs/>
                <w:lang w:val="en-AU"/>
              </w:rPr>
              <w:t>5 (10.2%)</w:t>
            </w:r>
          </w:p>
        </w:tc>
      </w:tr>
      <w:tr w:rsidR="00EC6347" w:rsidRPr="00196231" w14:paraId="12FC3C5C" w14:textId="77777777" w:rsidTr="00D6408F">
        <w:tblPrEx>
          <w:tblCellMar>
            <w:left w:w="108" w:type="dxa"/>
            <w:right w:w="108" w:type="dxa"/>
          </w:tblCellMar>
        </w:tblPrEx>
        <w:tc>
          <w:tcPr>
            <w:tcW w:w="1584" w:type="pct"/>
            <w:shd w:val="clear" w:color="auto" w:fill="auto"/>
            <w:vAlign w:val="bottom"/>
          </w:tcPr>
          <w:p w14:paraId="02CA7D8D" w14:textId="77777777" w:rsidR="00EC6347" w:rsidRPr="00196231" w:rsidRDefault="00EC6347" w:rsidP="00D6408F">
            <w:pPr>
              <w:pStyle w:val="TableText"/>
              <w:keepNext/>
              <w:rPr>
                <w:bCs/>
                <w:lang w:val="en-AU"/>
              </w:rPr>
            </w:pPr>
            <w:r w:rsidRPr="00196231">
              <w:rPr>
                <w:bCs/>
                <w:lang w:val="en-AU"/>
              </w:rPr>
              <w:t xml:space="preserve">Injection site reactions </w:t>
            </w:r>
          </w:p>
        </w:tc>
        <w:tc>
          <w:tcPr>
            <w:tcW w:w="1121" w:type="pct"/>
          </w:tcPr>
          <w:p w14:paraId="2D3F2A71" w14:textId="77777777" w:rsidR="00EC6347" w:rsidRPr="00196231" w:rsidRDefault="00EC6347" w:rsidP="00D6408F">
            <w:pPr>
              <w:pStyle w:val="TableText"/>
              <w:keepNext/>
              <w:ind w:left="57"/>
              <w:jc w:val="center"/>
              <w:rPr>
                <w:bCs/>
                <w:lang w:val="en-AU"/>
              </w:rPr>
            </w:pPr>
            <w:r w:rsidRPr="00196231">
              <w:rPr>
                <w:bCs/>
                <w:lang w:val="en-AU"/>
              </w:rPr>
              <w:t>8 (16.3%)</w:t>
            </w:r>
          </w:p>
        </w:tc>
        <w:tc>
          <w:tcPr>
            <w:tcW w:w="1186" w:type="pct"/>
          </w:tcPr>
          <w:p w14:paraId="6B4C0EF0" w14:textId="77777777" w:rsidR="00EC6347" w:rsidRPr="00196231" w:rsidRDefault="00EC6347" w:rsidP="00D6408F">
            <w:pPr>
              <w:pStyle w:val="TableText"/>
              <w:keepNext/>
              <w:ind w:left="57"/>
              <w:jc w:val="center"/>
              <w:rPr>
                <w:bCs/>
                <w:lang w:val="en-AU"/>
              </w:rPr>
            </w:pPr>
            <w:r w:rsidRPr="00196231">
              <w:rPr>
                <w:bCs/>
                <w:lang w:val="en-AU"/>
              </w:rPr>
              <w:t>0 (0.0%)</w:t>
            </w:r>
          </w:p>
        </w:tc>
        <w:tc>
          <w:tcPr>
            <w:tcW w:w="1109" w:type="pct"/>
            <w:shd w:val="clear" w:color="auto" w:fill="auto"/>
          </w:tcPr>
          <w:p w14:paraId="5FE5EE85" w14:textId="77777777" w:rsidR="00EC6347" w:rsidRPr="00196231" w:rsidRDefault="00EC6347" w:rsidP="00D6408F">
            <w:pPr>
              <w:pStyle w:val="TableText"/>
              <w:keepNext/>
              <w:ind w:left="57"/>
              <w:jc w:val="center"/>
              <w:rPr>
                <w:bCs/>
                <w:lang w:val="en-AU"/>
              </w:rPr>
            </w:pPr>
            <w:r w:rsidRPr="00196231">
              <w:rPr>
                <w:bCs/>
                <w:lang w:val="en-AU"/>
              </w:rPr>
              <w:t>1</w:t>
            </w:r>
            <w:r w:rsidRPr="00196231">
              <w:rPr>
                <w:lang w:val="en-AU"/>
              </w:rPr>
              <w:t>0 (20.4%)</w:t>
            </w:r>
          </w:p>
        </w:tc>
      </w:tr>
      <w:tr w:rsidR="00EC6347" w:rsidRPr="00196231" w14:paraId="3A67042C" w14:textId="77777777" w:rsidTr="00D6408F">
        <w:tblPrEx>
          <w:tblCellMar>
            <w:left w:w="108" w:type="dxa"/>
            <w:right w:w="108" w:type="dxa"/>
          </w:tblCellMar>
        </w:tblPrEx>
        <w:tc>
          <w:tcPr>
            <w:tcW w:w="1584" w:type="pct"/>
            <w:shd w:val="clear" w:color="auto" w:fill="auto"/>
            <w:vAlign w:val="center"/>
          </w:tcPr>
          <w:p w14:paraId="71A4594E" w14:textId="77777777" w:rsidR="00EC6347" w:rsidRPr="00196231" w:rsidRDefault="00EC6347" w:rsidP="00D6408F">
            <w:pPr>
              <w:pStyle w:val="TableText"/>
              <w:keepNext/>
              <w:rPr>
                <w:bCs/>
                <w:lang w:val="en-AU"/>
              </w:rPr>
            </w:pPr>
            <w:r w:rsidRPr="00196231">
              <w:rPr>
                <w:bCs/>
                <w:lang w:val="en-AU"/>
              </w:rPr>
              <w:t>Hypersensitivity/Angioedema/</w:t>
            </w:r>
            <w:r w:rsidRPr="00196231">
              <w:rPr>
                <w:bCs/>
                <w:lang w:val="en-AU"/>
              </w:rPr>
              <w:br/>
              <w:t>Anaphylactic/Anaphylactoid</w:t>
            </w:r>
          </w:p>
        </w:tc>
        <w:tc>
          <w:tcPr>
            <w:tcW w:w="1121" w:type="pct"/>
          </w:tcPr>
          <w:p w14:paraId="4902F4E7" w14:textId="77777777" w:rsidR="00EC6347" w:rsidRPr="00196231" w:rsidRDefault="00EC6347" w:rsidP="00D6408F">
            <w:pPr>
              <w:pStyle w:val="TableText"/>
              <w:keepNext/>
              <w:ind w:left="57"/>
              <w:jc w:val="center"/>
              <w:rPr>
                <w:bCs/>
                <w:lang w:val="en-AU"/>
              </w:rPr>
            </w:pPr>
            <w:r w:rsidRPr="00196231">
              <w:rPr>
                <w:bCs/>
                <w:lang w:val="en-AU"/>
              </w:rPr>
              <w:t>1 (2.0%)</w:t>
            </w:r>
          </w:p>
        </w:tc>
        <w:tc>
          <w:tcPr>
            <w:tcW w:w="1186" w:type="pct"/>
          </w:tcPr>
          <w:p w14:paraId="117A2D98" w14:textId="77777777" w:rsidR="00EC6347" w:rsidRPr="00196231" w:rsidRDefault="00EC6347" w:rsidP="00D6408F">
            <w:pPr>
              <w:pStyle w:val="TableText"/>
              <w:keepNext/>
              <w:ind w:left="57"/>
              <w:jc w:val="center"/>
              <w:rPr>
                <w:bCs/>
                <w:lang w:val="en-AU"/>
              </w:rPr>
            </w:pPr>
            <w:r w:rsidRPr="00196231">
              <w:rPr>
                <w:bCs/>
                <w:lang w:val="en-AU"/>
              </w:rPr>
              <w:t>0 (0.0%)</w:t>
            </w:r>
          </w:p>
        </w:tc>
        <w:tc>
          <w:tcPr>
            <w:tcW w:w="1109" w:type="pct"/>
            <w:shd w:val="clear" w:color="auto" w:fill="auto"/>
          </w:tcPr>
          <w:p w14:paraId="1733D45F" w14:textId="77777777" w:rsidR="00EC6347" w:rsidRPr="00196231" w:rsidRDefault="00EC6347" w:rsidP="00D6408F">
            <w:pPr>
              <w:pStyle w:val="TableText"/>
              <w:keepNext/>
              <w:ind w:left="57"/>
              <w:jc w:val="center"/>
              <w:rPr>
                <w:bCs/>
                <w:lang w:val="en-AU"/>
              </w:rPr>
            </w:pPr>
            <w:r w:rsidRPr="00196231">
              <w:rPr>
                <w:bCs/>
                <w:lang w:val="en-AU"/>
              </w:rPr>
              <w:t>4</w:t>
            </w:r>
            <w:r w:rsidRPr="00196231">
              <w:rPr>
                <w:lang w:val="en-AU"/>
              </w:rPr>
              <w:t xml:space="preserve"> (8.2%)</w:t>
            </w:r>
          </w:p>
        </w:tc>
      </w:tr>
      <w:tr w:rsidR="00EC6347" w:rsidRPr="00196231" w14:paraId="33181605" w14:textId="77777777" w:rsidTr="00D6408F">
        <w:tblPrEx>
          <w:tblCellMar>
            <w:left w:w="108" w:type="dxa"/>
            <w:right w:w="108" w:type="dxa"/>
          </w:tblCellMar>
        </w:tblPrEx>
        <w:tc>
          <w:tcPr>
            <w:tcW w:w="1584" w:type="pct"/>
            <w:shd w:val="clear" w:color="auto" w:fill="auto"/>
            <w:vAlign w:val="center"/>
          </w:tcPr>
          <w:p w14:paraId="1D17E6A6" w14:textId="77777777" w:rsidR="00EC6347" w:rsidRPr="00196231" w:rsidRDefault="00EC6347" w:rsidP="00D6408F">
            <w:pPr>
              <w:pStyle w:val="TableText"/>
              <w:keepNext/>
              <w:rPr>
                <w:bCs/>
                <w:lang w:val="en-AU"/>
              </w:rPr>
            </w:pPr>
            <w:r w:rsidRPr="00196231">
              <w:rPr>
                <w:bCs/>
                <w:lang w:val="en-AU"/>
              </w:rPr>
              <w:t xml:space="preserve">Skin and subcutaneous disorders </w:t>
            </w:r>
          </w:p>
        </w:tc>
        <w:tc>
          <w:tcPr>
            <w:tcW w:w="1121" w:type="pct"/>
          </w:tcPr>
          <w:p w14:paraId="38F83FE7" w14:textId="77777777" w:rsidR="00EC6347" w:rsidRPr="00196231" w:rsidRDefault="00EC6347" w:rsidP="00D6408F">
            <w:pPr>
              <w:pStyle w:val="TableText"/>
              <w:keepNext/>
              <w:ind w:left="57"/>
              <w:jc w:val="center"/>
              <w:rPr>
                <w:bCs/>
                <w:lang w:val="en-AU"/>
              </w:rPr>
            </w:pPr>
            <w:r w:rsidRPr="00196231">
              <w:rPr>
                <w:bCs/>
                <w:lang w:val="en-AU"/>
              </w:rPr>
              <w:t>9 (18.4%)</w:t>
            </w:r>
          </w:p>
        </w:tc>
        <w:tc>
          <w:tcPr>
            <w:tcW w:w="1186" w:type="pct"/>
          </w:tcPr>
          <w:p w14:paraId="26B85357" w14:textId="77777777" w:rsidR="00EC6347" w:rsidRPr="00196231" w:rsidRDefault="00EC6347" w:rsidP="00D6408F">
            <w:pPr>
              <w:pStyle w:val="TableText"/>
              <w:keepNext/>
              <w:ind w:left="57"/>
              <w:jc w:val="center"/>
              <w:rPr>
                <w:bCs/>
                <w:lang w:val="en-AU"/>
              </w:rPr>
            </w:pPr>
            <w:r w:rsidRPr="00196231">
              <w:rPr>
                <w:bCs/>
                <w:lang w:val="en-AU"/>
              </w:rPr>
              <w:t>1 (2.0%)</w:t>
            </w:r>
          </w:p>
        </w:tc>
        <w:tc>
          <w:tcPr>
            <w:tcW w:w="1109" w:type="pct"/>
            <w:shd w:val="clear" w:color="auto" w:fill="auto"/>
          </w:tcPr>
          <w:p w14:paraId="086202F5" w14:textId="77777777" w:rsidR="00EC6347" w:rsidRPr="00196231" w:rsidRDefault="00EC6347" w:rsidP="00D6408F">
            <w:pPr>
              <w:pStyle w:val="TableText"/>
              <w:keepNext/>
              <w:ind w:left="57"/>
              <w:jc w:val="center"/>
              <w:rPr>
                <w:bCs/>
                <w:lang w:val="en-AU"/>
              </w:rPr>
            </w:pPr>
            <w:r w:rsidRPr="00196231">
              <w:rPr>
                <w:bCs/>
                <w:lang w:val="en-AU"/>
              </w:rPr>
              <w:t>1</w:t>
            </w:r>
            <w:r w:rsidRPr="00196231">
              <w:rPr>
                <w:lang w:val="en-AU"/>
              </w:rPr>
              <w:t>0 (20.4%)</w:t>
            </w:r>
          </w:p>
        </w:tc>
      </w:tr>
      <w:tr w:rsidR="00EC6347" w:rsidRPr="00196231" w14:paraId="57019DEE" w14:textId="77777777" w:rsidTr="00D6408F">
        <w:trPr>
          <w:trHeight w:val="221"/>
        </w:trPr>
        <w:tc>
          <w:tcPr>
            <w:tcW w:w="1584" w:type="pct"/>
            <w:shd w:val="clear" w:color="auto" w:fill="auto"/>
            <w:vAlign w:val="center"/>
          </w:tcPr>
          <w:p w14:paraId="3E118D51" w14:textId="77777777" w:rsidR="00EC6347" w:rsidRPr="00196231" w:rsidRDefault="00EC6347" w:rsidP="00D6408F">
            <w:pPr>
              <w:pStyle w:val="TableText"/>
              <w:keepNext/>
              <w:rPr>
                <w:bCs/>
                <w:lang w:val="en-AU"/>
              </w:rPr>
            </w:pPr>
            <w:r w:rsidRPr="00196231">
              <w:rPr>
                <w:bCs/>
                <w:lang w:val="en-AU"/>
              </w:rPr>
              <w:t xml:space="preserve">Increases in bile salt </w:t>
            </w:r>
          </w:p>
        </w:tc>
        <w:tc>
          <w:tcPr>
            <w:tcW w:w="1121" w:type="pct"/>
          </w:tcPr>
          <w:p w14:paraId="42672B8D" w14:textId="77777777" w:rsidR="00EC6347" w:rsidRPr="00196231" w:rsidRDefault="00EC6347" w:rsidP="00D6408F">
            <w:pPr>
              <w:pStyle w:val="TableText"/>
              <w:keepNext/>
              <w:ind w:left="57"/>
              <w:jc w:val="center"/>
              <w:rPr>
                <w:bCs/>
                <w:lang w:val="en-AU"/>
              </w:rPr>
            </w:pPr>
            <w:r w:rsidRPr="00196231">
              <w:rPr>
                <w:bCs/>
                <w:lang w:val="en-AU"/>
              </w:rPr>
              <w:t>1 (2.0%)</w:t>
            </w:r>
          </w:p>
        </w:tc>
        <w:tc>
          <w:tcPr>
            <w:tcW w:w="1186" w:type="pct"/>
          </w:tcPr>
          <w:p w14:paraId="0AFE92DF" w14:textId="77777777" w:rsidR="00EC6347" w:rsidRPr="00196231" w:rsidRDefault="00EC6347" w:rsidP="00D6408F">
            <w:pPr>
              <w:pStyle w:val="TableText"/>
              <w:keepNext/>
              <w:ind w:left="57"/>
              <w:jc w:val="center"/>
              <w:rPr>
                <w:bCs/>
                <w:lang w:val="en-AU"/>
              </w:rPr>
            </w:pPr>
            <w:r w:rsidRPr="00196231">
              <w:rPr>
                <w:bCs/>
                <w:lang w:val="en-AU"/>
              </w:rPr>
              <w:t>0 (0.0%)</w:t>
            </w:r>
          </w:p>
        </w:tc>
        <w:tc>
          <w:tcPr>
            <w:tcW w:w="1109" w:type="pct"/>
            <w:shd w:val="clear" w:color="auto" w:fill="auto"/>
          </w:tcPr>
          <w:p w14:paraId="635535E6" w14:textId="77777777" w:rsidR="00EC6347" w:rsidRPr="00196231" w:rsidRDefault="00EC6347" w:rsidP="00D6408F">
            <w:pPr>
              <w:pStyle w:val="TableText"/>
              <w:keepNext/>
              <w:ind w:left="57"/>
              <w:jc w:val="center"/>
              <w:rPr>
                <w:bCs/>
                <w:lang w:val="en-AU"/>
              </w:rPr>
            </w:pPr>
            <w:r w:rsidRPr="00196231">
              <w:rPr>
                <w:bCs/>
                <w:lang w:val="en-AU"/>
              </w:rPr>
              <w:t>1 (2.0%)</w:t>
            </w:r>
          </w:p>
        </w:tc>
      </w:tr>
    </w:tbl>
    <w:p w14:paraId="57DBC256" w14:textId="1054B0D0" w:rsidR="00EC6347" w:rsidRPr="00196231" w:rsidRDefault="00EC6347" w:rsidP="00D6408F">
      <w:pPr>
        <w:pStyle w:val="TableFooter"/>
        <w:spacing w:after="120"/>
        <w:ind w:left="142"/>
        <w:contextualSpacing w:val="0"/>
        <w:rPr>
          <w:rFonts w:eastAsia="Calibri" w:cstheme="minorHAnsi"/>
        </w:rPr>
      </w:pPr>
      <w:r w:rsidRPr="00196231">
        <w:rPr>
          <w:rFonts w:eastAsia="Calibri" w:cstheme="minorHAnsi"/>
        </w:rPr>
        <w:t>Source: Table 2.10-10, p123 of the submission, pp166-173 of the Interim Week 96 CSR</w:t>
      </w:r>
    </w:p>
    <w:p w14:paraId="24BB3EE0" w14:textId="52DDA1C0" w:rsidR="00EC6347" w:rsidRPr="00196231" w:rsidRDefault="00EC6347" w:rsidP="00D6408F">
      <w:pPr>
        <w:pStyle w:val="3-BodyText"/>
      </w:pPr>
      <w:r>
        <w:t xml:space="preserve">It was reported that through to Week 96, only one patient (2.0%) in the bulevirtide 2 mg treatment arm had increases in bile salt. </w:t>
      </w:r>
      <w:r w:rsidRPr="00D20CA8">
        <w:t>Very low incidence of increases in bile salt was reported up to Week 96 in the trial</w:t>
      </w:r>
      <w:r w:rsidR="009527B4" w:rsidRPr="00D20CA8">
        <w:t>.</w:t>
      </w:r>
      <w:r w:rsidRPr="00D20CA8">
        <w:t xml:space="preserve"> </w:t>
      </w:r>
      <w:r w:rsidR="009527B4" w:rsidRPr="00D20CA8">
        <w:t>T</w:t>
      </w:r>
      <w:r w:rsidRPr="00D20CA8">
        <w:t xml:space="preserve">his was because </w:t>
      </w:r>
      <w:r w:rsidRPr="00D20CA8">
        <w:rPr>
          <w:rStyle w:val="CommentReference"/>
          <w:rFonts w:asciiTheme="minorHAnsi" w:hAnsiTheme="minorHAnsi"/>
          <w:b w:val="0"/>
          <w:sz w:val="24"/>
          <w:szCs w:val="24"/>
        </w:rPr>
        <w:t>isolated and asymptomatic increase of total bile salts above the ULN that was considered to be clinical</w:t>
      </w:r>
      <w:r w:rsidR="00BB6176" w:rsidRPr="00D20CA8">
        <w:rPr>
          <w:rStyle w:val="CommentReference"/>
          <w:rFonts w:asciiTheme="minorHAnsi" w:hAnsiTheme="minorHAnsi"/>
          <w:b w:val="0"/>
          <w:sz w:val="24"/>
          <w:szCs w:val="24"/>
        </w:rPr>
        <w:t>ly</w:t>
      </w:r>
      <w:r w:rsidRPr="00D20CA8">
        <w:rPr>
          <w:rStyle w:val="CommentReference"/>
          <w:rFonts w:asciiTheme="minorHAnsi" w:hAnsiTheme="minorHAnsi"/>
          <w:b w:val="0"/>
          <w:sz w:val="24"/>
          <w:szCs w:val="24"/>
        </w:rPr>
        <w:t xml:space="preserve"> insignificant by investigator was not reported as an AE as per the study protocol. </w:t>
      </w:r>
      <w:r w:rsidR="009527B4" w:rsidRPr="00D20CA8">
        <w:rPr>
          <w:rStyle w:val="CommentReference"/>
          <w:rFonts w:asciiTheme="minorHAnsi" w:hAnsiTheme="minorHAnsi"/>
          <w:b w:val="0"/>
          <w:sz w:val="24"/>
          <w:szCs w:val="24"/>
        </w:rPr>
        <w:t>However, i</w:t>
      </w:r>
      <w:r w:rsidRPr="00D20CA8">
        <w:rPr>
          <w:rStyle w:val="CommentReference"/>
          <w:rFonts w:asciiTheme="minorHAnsi" w:hAnsiTheme="minorHAnsi"/>
          <w:b w:val="0"/>
          <w:sz w:val="24"/>
          <w:szCs w:val="24"/>
        </w:rPr>
        <w:t>ncrease in bile salt is the most commonly reported bulevirtide-related adverse event in “real-world” bulevirtide studies.</w:t>
      </w:r>
    </w:p>
    <w:p w14:paraId="3E67E4DA" w14:textId="77777777" w:rsidR="00EC6347" w:rsidRPr="00543EB7" w:rsidRDefault="00EC6347" w:rsidP="00D6408F">
      <w:pPr>
        <w:pStyle w:val="4-SubsectionHeading"/>
      </w:pPr>
      <w:bookmarkStart w:id="40" w:name="_Toc95298226"/>
      <w:bookmarkStart w:id="41" w:name="_Toc156984635"/>
      <w:r w:rsidRPr="00543EB7">
        <w:t>Benefits/harms</w:t>
      </w:r>
      <w:bookmarkEnd w:id="40"/>
      <w:bookmarkEnd w:id="41"/>
    </w:p>
    <w:p w14:paraId="32C351FE" w14:textId="77777777" w:rsidR="00EC6347" w:rsidRPr="00196231" w:rsidRDefault="00EC6347" w:rsidP="00D6408F">
      <w:pPr>
        <w:pStyle w:val="3-BodyText"/>
      </w:pPr>
      <w:r>
        <w:t>A summary of the comparative benefits and harms for bulevirtide</w:t>
      </w:r>
      <w:r w:rsidRPr="00543EB7">
        <w:t xml:space="preserve"> versus</w:t>
      </w:r>
      <w:r w:rsidRPr="264F0FF5">
        <w:rPr>
          <w:i/>
          <w:iCs/>
        </w:rPr>
        <w:t xml:space="preserve"> </w:t>
      </w:r>
      <w:r>
        <w:t xml:space="preserve">BSC at Week 48 in the key trial is presented in the table below. </w:t>
      </w:r>
    </w:p>
    <w:p w14:paraId="0A2D4C1A" w14:textId="1E687BE3" w:rsidR="00EC6347" w:rsidRPr="00196231" w:rsidRDefault="00EC6347" w:rsidP="00D6408F">
      <w:pPr>
        <w:pStyle w:val="Caption"/>
      </w:pPr>
      <w:r w:rsidRPr="00196231">
        <w:lastRenderedPageBreak/>
        <w:t xml:space="preserve">Table </w:t>
      </w:r>
      <w:r>
        <w:fldChar w:fldCharType="begin" w:fldLock="1"/>
      </w:r>
      <w:r>
        <w:instrText>SEQ Table_PBAC. \* ARABIC</w:instrText>
      </w:r>
      <w:r>
        <w:fldChar w:fldCharType="separate"/>
      </w:r>
      <w:r w:rsidR="00B02BFE">
        <w:rPr>
          <w:noProof/>
        </w:rPr>
        <w:t>9</w:t>
      </w:r>
      <w:r>
        <w:fldChar w:fldCharType="end"/>
      </w:r>
      <w:r w:rsidRPr="00196231">
        <w:t>: Summary of comparative benefits and harms for bulevirtide 2 mg and BSC in the MYR301 trial</w:t>
      </w:r>
    </w:p>
    <w:tbl>
      <w:tblPr>
        <w:tblW w:w="5000" w:type="pct"/>
        <w:tblLayout w:type="fixed"/>
        <w:tblCellMar>
          <w:left w:w="28" w:type="dxa"/>
          <w:right w:w="28" w:type="dxa"/>
        </w:tblCellMar>
        <w:tblLook w:val="04A0" w:firstRow="1" w:lastRow="0" w:firstColumn="1" w:lastColumn="0" w:noHBand="0" w:noVBand="1"/>
        <w:tblCaption w:val="Table 9: Summary of comparative benefits and harms for bulevirtide 2 mg and BSC in the MYR301 trial"/>
      </w:tblPr>
      <w:tblGrid>
        <w:gridCol w:w="2543"/>
        <w:gridCol w:w="426"/>
        <w:gridCol w:w="992"/>
        <w:gridCol w:w="1132"/>
        <w:gridCol w:w="429"/>
        <w:gridCol w:w="994"/>
        <w:gridCol w:w="101"/>
        <w:gridCol w:w="965"/>
        <w:gridCol w:w="1434"/>
      </w:tblGrid>
      <w:tr w:rsidR="00EC6347" w:rsidRPr="00196231" w14:paraId="64CC1161" w14:textId="77777777" w:rsidTr="00C1556F">
        <w:trPr>
          <w:trHeight w:val="150"/>
          <w:tblHeader/>
        </w:trPr>
        <w:tc>
          <w:tcPr>
            <w:tcW w:w="1411"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6CD3839" w14:textId="77777777" w:rsidR="00EC6347" w:rsidRPr="00196231" w:rsidRDefault="00EC6347" w:rsidP="00D6408F">
            <w:pPr>
              <w:pStyle w:val="In-tableHeading"/>
              <w:rPr>
                <w:lang w:val="en-AU"/>
              </w:rPr>
            </w:pPr>
            <w:r w:rsidRPr="00196231">
              <w:rPr>
                <w:lang w:val="en-AU"/>
              </w:rPr>
              <w:t>Outcome</w:t>
            </w:r>
          </w:p>
        </w:tc>
        <w:tc>
          <w:tcPr>
            <w:tcW w:w="786" w:type="pct"/>
            <w:gridSpan w:val="2"/>
            <w:vMerge w:val="restart"/>
            <w:tcBorders>
              <w:top w:val="single" w:sz="4" w:space="0" w:color="auto"/>
              <w:left w:val="single" w:sz="4" w:space="0" w:color="auto"/>
              <w:bottom w:val="single" w:sz="4" w:space="0" w:color="auto"/>
              <w:right w:val="single" w:sz="4" w:space="0" w:color="auto"/>
            </w:tcBorders>
            <w:vAlign w:val="bottom"/>
          </w:tcPr>
          <w:p w14:paraId="09F28DB8" w14:textId="77777777" w:rsidR="00EC6347" w:rsidRPr="00196231" w:rsidRDefault="00EC6347" w:rsidP="00D6408F">
            <w:pPr>
              <w:pStyle w:val="In-tableHeading"/>
              <w:jc w:val="center"/>
              <w:rPr>
                <w:lang w:val="en-AU"/>
              </w:rPr>
            </w:pPr>
            <w:r w:rsidRPr="00196231">
              <w:rPr>
                <w:lang w:val="en-AU"/>
              </w:rPr>
              <w:t>Bulevirtide 2 mg n/N</w:t>
            </w:r>
          </w:p>
        </w:tc>
        <w:tc>
          <w:tcPr>
            <w:tcW w:w="628" w:type="pct"/>
            <w:vMerge w:val="restart"/>
            <w:tcBorders>
              <w:top w:val="single" w:sz="4" w:space="0" w:color="auto"/>
              <w:left w:val="single" w:sz="4" w:space="0" w:color="auto"/>
              <w:right w:val="single" w:sz="4" w:space="0" w:color="auto"/>
            </w:tcBorders>
            <w:vAlign w:val="bottom"/>
          </w:tcPr>
          <w:p w14:paraId="3933895C" w14:textId="77777777" w:rsidR="00EC6347" w:rsidRPr="00196231" w:rsidRDefault="00EC6347" w:rsidP="00D6408F">
            <w:pPr>
              <w:pStyle w:val="In-tableHeading"/>
              <w:jc w:val="center"/>
              <w:rPr>
                <w:lang w:val="en-AU"/>
              </w:rPr>
            </w:pPr>
            <w:r w:rsidRPr="00196231">
              <w:rPr>
                <w:lang w:val="en-AU"/>
              </w:rPr>
              <w:t>BSC</w:t>
            </w:r>
          </w:p>
          <w:p w14:paraId="09296D23" w14:textId="77777777" w:rsidR="00EC6347" w:rsidRPr="00196231" w:rsidRDefault="00EC6347" w:rsidP="00D6408F">
            <w:pPr>
              <w:pStyle w:val="In-tableHeading"/>
              <w:jc w:val="center"/>
              <w:rPr>
                <w:lang w:val="en-AU"/>
              </w:rPr>
            </w:pPr>
            <w:r w:rsidRPr="00196231">
              <w:rPr>
                <w:lang w:val="en-AU"/>
              </w:rPr>
              <w:t>n/N</w:t>
            </w:r>
          </w:p>
        </w:tc>
        <w:tc>
          <w:tcPr>
            <w:tcW w:w="1379" w:type="pct"/>
            <w:gridSpan w:val="4"/>
            <w:tcBorders>
              <w:top w:val="single" w:sz="4" w:space="0" w:color="auto"/>
              <w:left w:val="single" w:sz="4" w:space="0" w:color="auto"/>
              <w:bottom w:val="single" w:sz="4" w:space="0" w:color="auto"/>
              <w:right w:val="single" w:sz="4" w:space="0" w:color="auto"/>
            </w:tcBorders>
            <w:vAlign w:val="bottom"/>
          </w:tcPr>
          <w:p w14:paraId="154C7B9C" w14:textId="77777777" w:rsidR="00EC6347" w:rsidRPr="00196231" w:rsidRDefault="00EC6347" w:rsidP="00D6408F">
            <w:pPr>
              <w:pStyle w:val="In-tableHeading"/>
              <w:jc w:val="center"/>
              <w:rPr>
                <w:lang w:val="en-AU"/>
              </w:rPr>
            </w:pPr>
            <w:r w:rsidRPr="00196231">
              <w:rPr>
                <w:lang w:val="en-AU"/>
              </w:rPr>
              <w:t>Event rate/100 patients</w:t>
            </w:r>
          </w:p>
        </w:tc>
        <w:tc>
          <w:tcPr>
            <w:tcW w:w="796" w:type="pct"/>
            <w:vMerge w:val="restart"/>
            <w:tcBorders>
              <w:top w:val="single" w:sz="4" w:space="0" w:color="auto"/>
              <w:left w:val="single" w:sz="4" w:space="0" w:color="auto"/>
              <w:bottom w:val="single" w:sz="4" w:space="0" w:color="auto"/>
              <w:right w:val="single" w:sz="4" w:space="0" w:color="auto"/>
            </w:tcBorders>
            <w:vAlign w:val="bottom"/>
          </w:tcPr>
          <w:p w14:paraId="322EC360" w14:textId="77777777" w:rsidR="00EC6347" w:rsidRPr="00196231" w:rsidRDefault="00EC6347" w:rsidP="00D6408F">
            <w:pPr>
              <w:pStyle w:val="In-tableHeading"/>
              <w:jc w:val="center"/>
              <w:rPr>
                <w:lang w:val="en-AU"/>
              </w:rPr>
            </w:pPr>
            <w:r w:rsidRPr="00196231">
              <w:rPr>
                <w:lang w:val="en-AU"/>
              </w:rPr>
              <w:t>RD</w:t>
            </w:r>
          </w:p>
          <w:p w14:paraId="4709FA17" w14:textId="77777777" w:rsidR="00EC6347" w:rsidRPr="00196231" w:rsidRDefault="00EC6347" w:rsidP="00D6408F">
            <w:pPr>
              <w:pStyle w:val="In-tableHeading"/>
              <w:jc w:val="center"/>
              <w:rPr>
                <w:lang w:val="en-AU"/>
              </w:rPr>
            </w:pPr>
            <w:r w:rsidRPr="00196231">
              <w:rPr>
                <w:lang w:val="en-AU"/>
              </w:rPr>
              <w:t>(95% CI)</w:t>
            </w:r>
          </w:p>
        </w:tc>
      </w:tr>
      <w:tr w:rsidR="00EC6347" w:rsidRPr="00196231" w14:paraId="138793CF" w14:textId="77777777" w:rsidTr="00C1556F">
        <w:trPr>
          <w:trHeight w:val="210"/>
        </w:trPr>
        <w:tc>
          <w:tcPr>
            <w:tcW w:w="14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C3ABF4" w14:textId="77777777" w:rsidR="00EC6347" w:rsidRPr="00196231" w:rsidRDefault="00EC6347" w:rsidP="00D6408F">
            <w:pPr>
              <w:pStyle w:val="In-tableHeading"/>
              <w:jc w:val="center"/>
              <w:rPr>
                <w:lang w:val="en-AU"/>
              </w:rPr>
            </w:pPr>
          </w:p>
        </w:tc>
        <w:tc>
          <w:tcPr>
            <w:tcW w:w="786" w:type="pct"/>
            <w:gridSpan w:val="2"/>
            <w:vMerge/>
            <w:tcBorders>
              <w:top w:val="single" w:sz="4" w:space="0" w:color="auto"/>
              <w:left w:val="single" w:sz="4" w:space="0" w:color="auto"/>
              <w:bottom w:val="single" w:sz="4" w:space="0" w:color="auto"/>
              <w:right w:val="single" w:sz="4" w:space="0" w:color="auto"/>
            </w:tcBorders>
            <w:vAlign w:val="center"/>
          </w:tcPr>
          <w:p w14:paraId="04A870D5" w14:textId="77777777" w:rsidR="00EC6347" w:rsidRPr="00196231" w:rsidRDefault="00EC6347" w:rsidP="00D6408F">
            <w:pPr>
              <w:pStyle w:val="In-tableHeading"/>
              <w:jc w:val="center"/>
              <w:rPr>
                <w:lang w:val="en-AU"/>
              </w:rPr>
            </w:pPr>
          </w:p>
        </w:tc>
        <w:tc>
          <w:tcPr>
            <w:tcW w:w="628" w:type="pct"/>
            <w:vMerge/>
            <w:tcBorders>
              <w:left w:val="single" w:sz="4" w:space="0" w:color="auto"/>
              <w:bottom w:val="single" w:sz="4" w:space="0" w:color="auto"/>
              <w:right w:val="single" w:sz="4" w:space="0" w:color="auto"/>
            </w:tcBorders>
            <w:vAlign w:val="center"/>
          </w:tcPr>
          <w:p w14:paraId="4CFD4FE7" w14:textId="77777777" w:rsidR="00EC6347" w:rsidRPr="00196231" w:rsidRDefault="00EC6347" w:rsidP="00D6408F">
            <w:pPr>
              <w:pStyle w:val="In-tableHeading"/>
              <w:jc w:val="center"/>
              <w:rPr>
                <w:lang w:val="en-AU"/>
              </w:rPr>
            </w:pPr>
          </w:p>
        </w:tc>
        <w:tc>
          <w:tcPr>
            <w:tcW w:w="789" w:type="pct"/>
            <w:gridSpan w:val="2"/>
            <w:tcBorders>
              <w:top w:val="single" w:sz="4" w:space="0" w:color="auto"/>
              <w:left w:val="single" w:sz="4" w:space="0" w:color="auto"/>
              <w:bottom w:val="single" w:sz="4" w:space="0" w:color="auto"/>
              <w:right w:val="single" w:sz="4" w:space="0" w:color="auto"/>
            </w:tcBorders>
            <w:vAlign w:val="bottom"/>
          </w:tcPr>
          <w:p w14:paraId="2CEF376C" w14:textId="77777777" w:rsidR="00EC6347" w:rsidRPr="00196231" w:rsidRDefault="00EC6347" w:rsidP="00D6408F">
            <w:pPr>
              <w:pStyle w:val="In-tableHeading"/>
              <w:jc w:val="center"/>
              <w:rPr>
                <w:lang w:val="en-AU"/>
              </w:rPr>
            </w:pPr>
            <w:r w:rsidRPr="00196231">
              <w:rPr>
                <w:lang w:val="en-AU"/>
              </w:rPr>
              <w:t>Bulevirtide 2 mg</w:t>
            </w:r>
          </w:p>
        </w:tc>
        <w:tc>
          <w:tcPr>
            <w:tcW w:w="591" w:type="pct"/>
            <w:gridSpan w:val="2"/>
            <w:tcBorders>
              <w:top w:val="single" w:sz="4" w:space="0" w:color="auto"/>
              <w:left w:val="single" w:sz="4" w:space="0" w:color="auto"/>
              <w:bottom w:val="single" w:sz="4" w:space="0" w:color="auto"/>
              <w:right w:val="single" w:sz="4" w:space="0" w:color="auto"/>
            </w:tcBorders>
            <w:vAlign w:val="bottom"/>
          </w:tcPr>
          <w:p w14:paraId="702DF04A" w14:textId="77777777" w:rsidR="00EC6347" w:rsidRPr="00196231" w:rsidRDefault="00EC6347" w:rsidP="00D6408F">
            <w:pPr>
              <w:pStyle w:val="In-tableHeading"/>
              <w:jc w:val="center"/>
              <w:rPr>
                <w:lang w:val="en-AU"/>
              </w:rPr>
            </w:pPr>
            <w:r w:rsidRPr="00196231">
              <w:rPr>
                <w:lang w:val="en-AU"/>
              </w:rPr>
              <w:t>BSC</w:t>
            </w:r>
          </w:p>
        </w:tc>
        <w:tc>
          <w:tcPr>
            <w:tcW w:w="796" w:type="pct"/>
            <w:vMerge/>
            <w:tcBorders>
              <w:top w:val="single" w:sz="4" w:space="0" w:color="auto"/>
              <w:left w:val="single" w:sz="4" w:space="0" w:color="auto"/>
              <w:bottom w:val="single" w:sz="4" w:space="0" w:color="auto"/>
              <w:right w:val="single" w:sz="4" w:space="0" w:color="auto"/>
            </w:tcBorders>
            <w:vAlign w:val="center"/>
          </w:tcPr>
          <w:p w14:paraId="2D6840B8" w14:textId="77777777" w:rsidR="00EC6347" w:rsidRPr="00196231" w:rsidRDefault="00EC6347" w:rsidP="00D6408F">
            <w:pPr>
              <w:pStyle w:val="In-tableHeading"/>
              <w:jc w:val="center"/>
              <w:rPr>
                <w:lang w:val="en-AU"/>
              </w:rPr>
            </w:pPr>
          </w:p>
        </w:tc>
      </w:tr>
      <w:tr w:rsidR="00EC6347" w:rsidRPr="00196231" w14:paraId="14180194" w14:textId="77777777" w:rsidTr="008D4DE6">
        <w:tc>
          <w:tcPr>
            <w:tcW w:w="5000" w:type="pct"/>
            <w:gridSpan w:val="9"/>
            <w:tcBorders>
              <w:top w:val="single" w:sz="4" w:space="0" w:color="auto"/>
              <w:left w:val="single" w:sz="4" w:space="0" w:color="auto"/>
              <w:bottom w:val="double" w:sz="4" w:space="0" w:color="auto"/>
              <w:right w:val="single" w:sz="4" w:space="0" w:color="auto"/>
            </w:tcBorders>
            <w:shd w:val="clear" w:color="auto" w:fill="auto"/>
            <w:vAlign w:val="center"/>
          </w:tcPr>
          <w:p w14:paraId="533E322E" w14:textId="77777777" w:rsidR="00EC6347" w:rsidRPr="00196231" w:rsidRDefault="00EC6347" w:rsidP="00D6408F">
            <w:pPr>
              <w:pStyle w:val="In-tableHeading"/>
              <w:rPr>
                <w:lang w:val="en-AU"/>
              </w:rPr>
            </w:pPr>
            <w:r w:rsidRPr="00196231">
              <w:rPr>
                <w:lang w:val="en-AU"/>
              </w:rPr>
              <w:t>Benefits</w:t>
            </w:r>
          </w:p>
        </w:tc>
      </w:tr>
      <w:tr w:rsidR="00EC6347" w:rsidRPr="00196231" w14:paraId="655B640F" w14:textId="77777777" w:rsidTr="008D4DE6">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78014FB2" w14:textId="77777777" w:rsidR="00EC6347" w:rsidRPr="00196231" w:rsidRDefault="00EC6347" w:rsidP="00D6408F">
            <w:pPr>
              <w:pStyle w:val="In-tableHeading"/>
              <w:rPr>
                <w:lang w:val="en-AU"/>
              </w:rPr>
            </w:pPr>
            <w:r w:rsidRPr="00196231">
              <w:rPr>
                <w:lang w:val="en-AU"/>
              </w:rPr>
              <w:t>Dichotomous outcomes</w:t>
            </w:r>
          </w:p>
        </w:tc>
      </w:tr>
      <w:tr w:rsidR="00EC6347" w:rsidRPr="00196231" w14:paraId="464D14CE"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7E1A9226" w14:textId="77777777" w:rsidR="00EC6347" w:rsidRPr="00196231" w:rsidRDefault="00EC6347" w:rsidP="00D6408F">
            <w:pPr>
              <w:pStyle w:val="TableText"/>
              <w:keepNext/>
            </w:pPr>
            <w:r w:rsidRPr="00196231">
              <w:t>Combined response at Week 48</w:t>
            </w:r>
            <w:r w:rsidRPr="00196231">
              <w:rPr>
                <w:vertAlign w:val="superscript"/>
              </w:rPr>
              <w:t>a</w:t>
            </w:r>
          </w:p>
        </w:tc>
        <w:tc>
          <w:tcPr>
            <w:tcW w:w="786" w:type="pct"/>
            <w:gridSpan w:val="2"/>
            <w:tcBorders>
              <w:top w:val="single" w:sz="4" w:space="0" w:color="auto"/>
              <w:left w:val="single" w:sz="4" w:space="0" w:color="auto"/>
              <w:bottom w:val="single" w:sz="4" w:space="0" w:color="auto"/>
              <w:right w:val="single" w:sz="4" w:space="0" w:color="auto"/>
            </w:tcBorders>
          </w:tcPr>
          <w:p w14:paraId="5C65C1ED" w14:textId="77777777" w:rsidR="00EC6347" w:rsidRPr="00196231" w:rsidRDefault="00EC6347" w:rsidP="00D6408F">
            <w:pPr>
              <w:pStyle w:val="TableText"/>
              <w:keepNext/>
              <w:jc w:val="center"/>
            </w:pPr>
            <w:r w:rsidRPr="00196231">
              <w:t>22/49</w:t>
            </w:r>
          </w:p>
        </w:tc>
        <w:tc>
          <w:tcPr>
            <w:tcW w:w="628" w:type="pct"/>
            <w:tcBorders>
              <w:top w:val="single" w:sz="4" w:space="0" w:color="auto"/>
              <w:left w:val="single" w:sz="4" w:space="0" w:color="auto"/>
              <w:bottom w:val="single" w:sz="4" w:space="0" w:color="auto"/>
              <w:right w:val="single" w:sz="4" w:space="0" w:color="auto"/>
            </w:tcBorders>
          </w:tcPr>
          <w:p w14:paraId="0DCB0B71" w14:textId="47051FD9" w:rsidR="00EC6347" w:rsidRPr="00196231" w:rsidRDefault="00EC6347" w:rsidP="00D6408F">
            <w:pPr>
              <w:pStyle w:val="TableText"/>
              <w:keepNext/>
              <w:jc w:val="center"/>
            </w:pPr>
            <w:r w:rsidRPr="00196231">
              <w:t>1/51</w:t>
            </w:r>
          </w:p>
        </w:tc>
        <w:tc>
          <w:tcPr>
            <w:tcW w:w="789" w:type="pct"/>
            <w:gridSpan w:val="2"/>
            <w:tcBorders>
              <w:top w:val="single" w:sz="4" w:space="0" w:color="auto"/>
              <w:left w:val="single" w:sz="4" w:space="0" w:color="auto"/>
              <w:bottom w:val="single" w:sz="4" w:space="0" w:color="auto"/>
              <w:right w:val="single" w:sz="4" w:space="0" w:color="auto"/>
            </w:tcBorders>
          </w:tcPr>
          <w:p w14:paraId="4182B0E3" w14:textId="77777777" w:rsidR="00EC6347" w:rsidRPr="00196231" w:rsidRDefault="00EC6347" w:rsidP="00D6408F">
            <w:pPr>
              <w:pStyle w:val="TableText"/>
              <w:keepNext/>
              <w:jc w:val="center"/>
            </w:pPr>
            <w:r w:rsidRPr="00196231">
              <w:t>44.9</w:t>
            </w:r>
          </w:p>
        </w:tc>
        <w:tc>
          <w:tcPr>
            <w:tcW w:w="591" w:type="pct"/>
            <w:gridSpan w:val="2"/>
            <w:tcBorders>
              <w:top w:val="single" w:sz="4" w:space="0" w:color="auto"/>
              <w:left w:val="single" w:sz="4" w:space="0" w:color="auto"/>
              <w:bottom w:val="single" w:sz="4" w:space="0" w:color="auto"/>
              <w:right w:val="single" w:sz="4" w:space="0" w:color="auto"/>
            </w:tcBorders>
          </w:tcPr>
          <w:p w14:paraId="4DC8CF34" w14:textId="77777777" w:rsidR="00EC6347" w:rsidRPr="00196231" w:rsidRDefault="00EC6347" w:rsidP="00D6408F">
            <w:pPr>
              <w:pStyle w:val="TableText"/>
              <w:keepNext/>
              <w:jc w:val="center"/>
            </w:pPr>
            <w:r w:rsidRPr="00196231">
              <w:t>2.0</w:t>
            </w:r>
          </w:p>
        </w:tc>
        <w:tc>
          <w:tcPr>
            <w:tcW w:w="796" w:type="pct"/>
            <w:tcBorders>
              <w:top w:val="single" w:sz="4" w:space="0" w:color="auto"/>
              <w:left w:val="single" w:sz="4" w:space="0" w:color="auto"/>
              <w:bottom w:val="single" w:sz="4" w:space="0" w:color="auto"/>
              <w:right w:val="single" w:sz="4" w:space="0" w:color="auto"/>
            </w:tcBorders>
          </w:tcPr>
          <w:p w14:paraId="2BC1D675" w14:textId="77777777" w:rsidR="00EC6347" w:rsidRPr="00196231" w:rsidRDefault="00EC6347" w:rsidP="00D6408F">
            <w:pPr>
              <w:pStyle w:val="TableText"/>
              <w:keepNext/>
              <w:jc w:val="center"/>
              <w:rPr>
                <w:vertAlign w:val="superscript"/>
              </w:rPr>
            </w:pPr>
            <w:r w:rsidRPr="00196231">
              <w:t>42.9 (27.0, 58.5)</w:t>
            </w:r>
            <w:r w:rsidRPr="00196231">
              <w:rPr>
                <w:vertAlign w:val="superscript"/>
              </w:rPr>
              <w:t>d</w:t>
            </w:r>
          </w:p>
        </w:tc>
      </w:tr>
      <w:tr w:rsidR="00EC6347" w:rsidRPr="00196231" w14:paraId="0E6996E0"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1623F58F" w14:textId="77777777" w:rsidR="00EC6347" w:rsidRPr="00196231" w:rsidRDefault="00EC6347" w:rsidP="00D6408F">
            <w:pPr>
              <w:pStyle w:val="TableText"/>
              <w:keepNext/>
            </w:pPr>
            <w:r w:rsidRPr="00196231">
              <w:t>Virologic response at Week 48</w:t>
            </w:r>
            <w:r w:rsidRPr="00196231">
              <w:rPr>
                <w:vertAlign w:val="superscript"/>
              </w:rPr>
              <w:t>b</w:t>
            </w:r>
          </w:p>
        </w:tc>
        <w:tc>
          <w:tcPr>
            <w:tcW w:w="786" w:type="pct"/>
            <w:gridSpan w:val="2"/>
            <w:tcBorders>
              <w:top w:val="single" w:sz="4" w:space="0" w:color="auto"/>
              <w:left w:val="single" w:sz="4" w:space="0" w:color="auto"/>
              <w:bottom w:val="single" w:sz="4" w:space="0" w:color="auto"/>
              <w:right w:val="single" w:sz="4" w:space="0" w:color="auto"/>
            </w:tcBorders>
          </w:tcPr>
          <w:p w14:paraId="7C9036CD" w14:textId="77777777" w:rsidR="00EC6347" w:rsidRPr="00196231" w:rsidRDefault="00EC6347" w:rsidP="00D6408F">
            <w:pPr>
              <w:pStyle w:val="TableText"/>
              <w:keepNext/>
              <w:jc w:val="center"/>
            </w:pPr>
            <w:r w:rsidRPr="00196231">
              <w:t>36/49</w:t>
            </w:r>
          </w:p>
        </w:tc>
        <w:tc>
          <w:tcPr>
            <w:tcW w:w="628" w:type="pct"/>
            <w:tcBorders>
              <w:top w:val="single" w:sz="4" w:space="0" w:color="auto"/>
              <w:left w:val="single" w:sz="4" w:space="0" w:color="auto"/>
              <w:bottom w:val="single" w:sz="4" w:space="0" w:color="auto"/>
              <w:right w:val="single" w:sz="4" w:space="0" w:color="auto"/>
            </w:tcBorders>
          </w:tcPr>
          <w:p w14:paraId="43935E18" w14:textId="77777777" w:rsidR="00EC6347" w:rsidRPr="00196231" w:rsidRDefault="00EC6347" w:rsidP="00D6408F">
            <w:pPr>
              <w:pStyle w:val="TableText"/>
              <w:keepNext/>
              <w:jc w:val="center"/>
            </w:pPr>
            <w:r w:rsidRPr="00196231">
              <w:t>2/51</w:t>
            </w:r>
          </w:p>
        </w:tc>
        <w:tc>
          <w:tcPr>
            <w:tcW w:w="789" w:type="pct"/>
            <w:gridSpan w:val="2"/>
            <w:tcBorders>
              <w:top w:val="single" w:sz="4" w:space="0" w:color="auto"/>
              <w:left w:val="single" w:sz="4" w:space="0" w:color="auto"/>
              <w:bottom w:val="single" w:sz="4" w:space="0" w:color="auto"/>
              <w:right w:val="single" w:sz="4" w:space="0" w:color="auto"/>
            </w:tcBorders>
          </w:tcPr>
          <w:p w14:paraId="078D8FDF" w14:textId="77777777" w:rsidR="00EC6347" w:rsidRPr="00196231" w:rsidRDefault="00EC6347" w:rsidP="00D6408F">
            <w:pPr>
              <w:pStyle w:val="TableText"/>
              <w:keepNext/>
              <w:jc w:val="center"/>
            </w:pPr>
            <w:r w:rsidRPr="00196231">
              <w:t>73.5</w:t>
            </w:r>
          </w:p>
        </w:tc>
        <w:tc>
          <w:tcPr>
            <w:tcW w:w="591" w:type="pct"/>
            <w:gridSpan w:val="2"/>
            <w:tcBorders>
              <w:top w:val="single" w:sz="4" w:space="0" w:color="auto"/>
              <w:left w:val="single" w:sz="4" w:space="0" w:color="auto"/>
              <w:bottom w:val="single" w:sz="4" w:space="0" w:color="auto"/>
              <w:right w:val="single" w:sz="4" w:space="0" w:color="auto"/>
            </w:tcBorders>
          </w:tcPr>
          <w:p w14:paraId="5CD5069F" w14:textId="77777777" w:rsidR="00EC6347" w:rsidRPr="00196231" w:rsidRDefault="00EC6347" w:rsidP="00D6408F">
            <w:pPr>
              <w:pStyle w:val="TableText"/>
              <w:keepNext/>
              <w:jc w:val="center"/>
            </w:pPr>
            <w:r w:rsidRPr="00196231">
              <w:t>3.9</w:t>
            </w:r>
          </w:p>
        </w:tc>
        <w:tc>
          <w:tcPr>
            <w:tcW w:w="796" w:type="pct"/>
            <w:tcBorders>
              <w:top w:val="single" w:sz="4" w:space="0" w:color="auto"/>
              <w:left w:val="single" w:sz="4" w:space="0" w:color="auto"/>
              <w:bottom w:val="single" w:sz="4" w:space="0" w:color="auto"/>
              <w:right w:val="single" w:sz="4" w:space="0" w:color="auto"/>
            </w:tcBorders>
          </w:tcPr>
          <w:p w14:paraId="736BECD5" w14:textId="77777777" w:rsidR="00EC6347" w:rsidRPr="00196231" w:rsidRDefault="00EC6347" w:rsidP="00D6408F">
            <w:pPr>
              <w:pStyle w:val="TableText"/>
              <w:keepNext/>
              <w:jc w:val="center"/>
            </w:pPr>
            <w:r w:rsidRPr="00196231">
              <w:t>69.5 (54.1, 81.9)</w:t>
            </w:r>
          </w:p>
        </w:tc>
      </w:tr>
      <w:tr w:rsidR="00EC6347" w:rsidRPr="00196231" w14:paraId="682A45ED"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03CDCDA5" w14:textId="77777777" w:rsidR="00EC6347" w:rsidRPr="00196231" w:rsidRDefault="00EC6347" w:rsidP="00D6408F">
            <w:pPr>
              <w:pStyle w:val="TableText"/>
              <w:keepNext/>
            </w:pPr>
            <w:r w:rsidRPr="00196231">
              <w:t>Undetectable HDV RNA at Week 48</w:t>
            </w:r>
          </w:p>
        </w:tc>
        <w:tc>
          <w:tcPr>
            <w:tcW w:w="786" w:type="pct"/>
            <w:gridSpan w:val="2"/>
            <w:tcBorders>
              <w:top w:val="single" w:sz="4" w:space="0" w:color="auto"/>
              <w:left w:val="single" w:sz="4" w:space="0" w:color="auto"/>
              <w:bottom w:val="single" w:sz="4" w:space="0" w:color="auto"/>
              <w:right w:val="single" w:sz="4" w:space="0" w:color="auto"/>
            </w:tcBorders>
          </w:tcPr>
          <w:p w14:paraId="0956E43F" w14:textId="77777777" w:rsidR="00EC6347" w:rsidRPr="00196231" w:rsidRDefault="00EC6347" w:rsidP="00D6408F">
            <w:pPr>
              <w:pStyle w:val="TableText"/>
              <w:keepNext/>
              <w:jc w:val="center"/>
            </w:pPr>
            <w:r w:rsidRPr="00196231">
              <w:t>6/49</w:t>
            </w:r>
          </w:p>
        </w:tc>
        <w:tc>
          <w:tcPr>
            <w:tcW w:w="628" w:type="pct"/>
            <w:tcBorders>
              <w:top w:val="single" w:sz="4" w:space="0" w:color="auto"/>
              <w:left w:val="single" w:sz="4" w:space="0" w:color="auto"/>
              <w:bottom w:val="single" w:sz="4" w:space="0" w:color="auto"/>
              <w:right w:val="single" w:sz="4" w:space="0" w:color="auto"/>
            </w:tcBorders>
          </w:tcPr>
          <w:p w14:paraId="657F0C4B" w14:textId="77777777" w:rsidR="00EC6347" w:rsidRPr="00196231" w:rsidRDefault="00EC6347" w:rsidP="00D6408F">
            <w:pPr>
              <w:pStyle w:val="TableText"/>
              <w:keepNext/>
              <w:jc w:val="center"/>
            </w:pPr>
            <w:r w:rsidRPr="00196231">
              <w:t>0/51</w:t>
            </w:r>
          </w:p>
        </w:tc>
        <w:tc>
          <w:tcPr>
            <w:tcW w:w="789" w:type="pct"/>
            <w:gridSpan w:val="2"/>
            <w:tcBorders>
              <w:top w:val="single" w:sz="4" w:space="0" w:color="auto"/>
              <w:left w:val="single" w:sz="4" w:space="0" w:color="auto"/>
              <w:bottom w:val="single" w:sz="4" w:space="0" w:color="auto"/>
              <w:right w:val="single" w:sz="4" w:space="0" w:color="auto"/>
            </w:tcBorders>
          </w:tcPr>
          <w:p w14:paraId="5607770E" w14:textId="77777777" w:rsidR="00EC6347" w:rsidRPr="00196231" w:rsidRDefault="00EC6347" w:rsidP="00D6408F">
            <w:pPr>
              <w:pStyle w:val="TableText"/>
              <w:keepNext/>
              <w:jc w:val="center"/>
            </w:pPr>
            <w:r w:rsidRPr="00196231">
              <w:t>12.2</w:t>
            </w:r>
          </w:p>
        </w:tc>
        <w:tc>
          <w:tcPr>
            <w:tcW w:w="591" w:type="pct"/>
            <w:gridSpan w:val="2"/>
            <w:tcBorders>
              <w:top w:val="single" w:sz="4" w:space="0" w:color="auto"/>
              <w:left w:val="single" w:sz="4" w:space="0" w:color="auto"/>
              <w:bottom w:val="single" w:sz="4" w:space="0" w:color="auto"/>
              <w:right w:val="single" w:sz="4" w:space="0" w:color="auto"/>
            </w:tcBorders>
          </w:tcPr>
          <w:p w14:paraId="776F3DCF" w14:textId="77777777" w:rsidR="00EC6347" w:rsidRPr="00196231" w:rsidRDefault="00EC6347" w:rsidP="00D6408F">
            <w:pPr>
              <w:pStyle w:val="TableText"/>
              <w:keepNext/>
              <w:jc w:val="center"/>
            </w:pPr>
            <w:r w:rsidRPr="00196231">
              <w:t>0</w:t>
            </w:r>
          </w:p>
        </w:tc>
        <w:tc>
          <w:tcPr>
            <w:tcW w:w="796" w:type="pct"/>
            <w:tcBorders>
              <w:top w:val="single" w:sz="4" w:space="0" w:color="auto"/>
              <w:left w:val="single" w:sz="4" w:space="0" w:color="auto"/>
              <w:bottom w:val="single" w:sz="4" w:space="0" w:color="auto"/>
              <w:right w:val="single" w:sz="4" w:space="0" w:color="auto"/>
            </w:tcBorders>
          </w:tcPr>
          <w:p w14:paraId="01A3135B" w14:textId="77777777" w:rsidR="00EC6347" w:rsidRPr="00196231" w:rsidRDefault="00EC6347" w:rsidP="00D6408F">
            <w:pPr>
              <w:pStyle w:val="TableText"/>
              <w:keepNext/>
              <w:jc w:val="center"/>
            </w:pPr>
            <w:r w:rsidRPr="00196231">
              <w:t>12.2 (3.7, 24.8)</w:t>
            </w:r>
          </w:p>
        </w:tc>
      </w:tr>
      <w:tr w:rsidR="00EC6347" w:rsidRPr="00196231" w14:paraId="3FDE24B8"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38C973F5" w14:textId="77777777" w:rsidR="00EC6347" w:rsidRPr="00196231" w:rsidRDefault="00EC6347" w:rsidP="00D6408F">
            <w:pPr>
              <w:pStyle w:val="TableText"/>
              <w:keepNext/>
            </w:pPr>
            <w:r w:rsidRPr="00196231">
              <w:t>ALT normalisation at Week 48</w:t>
            </w:r>
            <w:r w:rsidRPr="00196231">
              <w:rPr>
                <w:vertAlign w:val="superscript"/>
              </w:rPr>
              <w:t>c</w:t>
            </w:r>
          </w:p>
        </w:tc>
        <w:tc>
          <w:tcPr>
            <w:tcW w:w="786" w:type="pct"/>
            <w:gridSpan w:val="2"/>
            <w:tcBorders>
              <w:top w:val="single" w:sz="4" w:space="0" w:color="auto"/>
              <w:left w:val="single" w:sz="4" w:space="0" w:color="auto"/>
              <w:bottom w:val="single" w:sz="4" w:space="0" w:color="auto"/>
              <w:right w:val="single" w:sz="4" w:space="0" w:color="auto"/>
            </w:tcBorders>
          </w:tcPr>
          <w:p w14:paraId="237261A9" w14:textId="77777777" w:rsidR="00EC6347" w:rsidRPr="00196231" w:rsidRDefault="00EC6347" w:rsidP="00D6408F">
            <w:pPr>
              <w:pStyle w:val="TableText"/>
              <w:keepNext/>
              <w:jc w:val="center"/>
            </w:pPr>
            <w:r w:rsidRPr="00196231">
              <w:t>25/49</w:t>
            </w:r>
          </w:p>
        </w:tc>
        <w:tc>
          <w:tcPr>
            <w:tcW w:w="628" w:type="pct"/>
            <w:tcBorders>
              <w:top w:val="single" w:sz="4" w:space="0" w:color="auto"/>
              <w:left w:val="single" w:sz="4" w:space="0" w:color="auto"/>
              <w:bottom w:val="single" w:sz="4" w:space="0" w:color="auto"/>
              <w:right w:val="single" w:sz="4" w:space="0" w:color="auto"/>
            </w:tcBorders>
          </w:tcPr>
          <w:p w14:paraId="76195A32" w14:textId="77777777" w:rsidR="00EC6347" w:rsidRPr="00196231" w:rsidRDefault="00EC6347" w:rsidP="00D6408F">
            <w:pPr>
              <w:pStyle w:val="TableText"/>
              <w:keepNext/>
              <w:jc w:val="center"/>
            </w:pPr>
            <w:r w:rsidRPr="00196231">
              <w:t>6/51</w:t>
            </w:r>
          </w:p>
        </w:tc>
        <w:tc>
          <w:tcPr>
            <w:tcW w:w="789" w:type="pct"/>
            <w:gridSpan w:val="2"/>
            <w:tcBorders>
              <w:top w:val="single" w:sz="4" w:space="0" w:color="auto"/>
              <w:left w:val="single" w:sz="4" w:space="0" w:color="auto"/>
              <w:bottom w:val="single" w:sz="4" w:space="0" w:color="auto"/>
              <w:right w:val="single" w:sz="4" w:space="0" w:color="auto"/>
            </w:tcBorders>
          </w:tcPr>
          <w:p w14:paraId="45A62D25" w14:textId="77777777" w:rsidR="00EC6347" w:rsidRPr="00196231" w:rsidRDefault="00EC6347" w:rsidP="00D6408F">
            <w:pPr>
              <w:pStyle w:val="TableText"/>
              <w:keepNext/>
              <w:jc w:val="center"/>
            </w:pPr>
            <w:r w:rsidRPr="00196231">
              <w:t>51.0</w:t>
            </w:r>
          </w:p>
        </w:tc>
        <w:tc>
          <w:tcPr>
            <w:tcW w:w="591" w:type="pct"/>
            <w:gridSpan w:val="2"/>
            <w:tcBorders>
              <w:top w:val="single" w:sz="4" w:space="0" w:color="auto"/>
              <w:left w:val="single" w:sz="4" w:space="0" w:color="auto"/>
              <w:bottom w:val="single" w:sz="4" w:space="0" w:color="auto"/>
              <w:right w:val="single" w:sz="4" w:space="0" w:color="auto"/>
            </w:tcBorders>
          </w:tcPr>
          <w:p w14:paraId="131EBD62" w14:textId="77777777" w:rsidR="00EC6347" w:rsidRPr="00196231" w:rsidRDefault="00EC6347" w:rsidP="00D6408F">
            <w:pPr>
              <w:pStyle w:val="TableText"/>
              <w:keepNext/>
              <w:jc w:val="center"/>
            </w:pPr>
            <w:r w:rsidRPr="00196231">
              <w:t>11.8</w:t>
            </w:r>
          </w:p>
        </w:tc>
        <w:tc>
          <w:tcPr>
            <w:tcW w:w="796" w:type="pct"/>
            <w:tcBorders>
              <w:top w:val="single" w:sz="4" w:space="0" w:color="auto"/>
              <w:left w:val="single" w:sz="4" w:space="0" w:color="auto"/>
              <w:bottom w:val="single" w:sz="4" w:space="0" w:color="auto"/>
              <w:right w:val="single" w:sz="4" w:space="0" w:color="auto"/>
            </w:tcBorders>
          </w:tcPr>
          <w:p w14:paraId="1D542362" w14:textId="77777777" w:rsidR="00EC6347" w:rsidRPr="00196231" w:rsidRDefault="00EC6347" w:rsidP="00D6408F">
            <w:pPr>
              <w:pStyle w:val="TableText"/>
              <w:keepNext/>
              <w:jc w:val="center"/>
            </w:pPr>
            <w:r w:rsidRPr="00196231">
              <w:t>39.3 (19.9, 55.8)</w:t>
            </w:r>
          </w:p>
        </w:tc>
      </w:tr>
      <w:tr w:rsidR="00EC6347" w:rsidRPr="00196231" w14:paraId="7872870C" w14:textId="77777777" w:rsidTr="008D4DE6">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48337093" w14:textId="77777777" w:rsidR="00EC6347" w:rsidRPr="00196231" w:rsidRDefault="00EC6347" w:rsidP="00D6408F">
            <w:pPr>
              <w:pStyle w:val="In-tableHeading"/>
              <w:rPr>
                <w:lang w:val="en-AU"/>
              </w:rPr>
            </w:pPr>
            <w:r w:rsidRPr="00196231">
              <w:rPr>
                <w:lang w:val="en-AU"/>
              </w:rPr>
              <w:t>Continuous outcome</w:t>
            </w:r>
          </w:p>
        </w:tc>
      </w:tr>
      <w:tr w:rsidR="00EC6347" w:rsidRPr="00196231" w14:paraId="5A3F41E9" w14:textId="77777777" w:rsidTr="00C1556F">
        <w:trPr>
          <w:trHeight w:val="225"/>
        </w:trPr>
        <w:tc>
          <w:tcPr>
            <w:tcW w:w="1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3DAC8" w14:textId="77777777" w:rsidR="00EC6347" w:rsidRPr="00196231" w:rsidRDefault="00EC6347" w:rsidP="00D6408F">
            <w:pPr>
              <w:pStyle w:val="TableText"/>
              <w:keepNext/>
            </w:pPr>
          </w:p>
        </w:tc>
        <w:tc>
          <w:tcPr>
            <w:tcW w:w="1414" w:type="pct"/>
            <w:gridSpan w:val="3"/>
            <w:tcBorders>
              <w:top w:val="single" w:sz="4" w:space="0" w:color="auto"/>
              <w:left w:val="single" w:sz="4" w:space="0" w:color="auto"/>
              <w:bottom w:val="single" w:sz="4" w:space="0" w:color="auto"/>
              <w:right w:val="single" w:sz="4" w:space="0" w:color="auto"/>
            </w:tcBorders>
            <w:vAlign w:val="center"/>
          </w:tcPr>
          <w:p w14:paraId="7ADD1B92" w14:textId="77777777" w:rsidR="00EC6347" w:rsidRPr="00196231" w:rsidRDefault="00EC6347" w:rsidP="00D6408F">
            <w:pPr>
              <w:pStyle w:val="In-tableHeading"/>
              <w:jc w:val="center"/>
              <w:rPr>
                <w:lang w:val="en-AU"/>
              </w:rPr>
            </w:pPr>
            <w:r w:rsidRPr="00196231">
              <w:rPr>
                <w:lang w:val="en-AU"/>
              </w:rPr>
              <w:t>Bulevirtide 2 mg</w:t>
            </w:r>
          </w:p>
        </w:tc>
        <w:tc>
          <w:tcPr>
            <w:tcW w:w="1379" w:type="pct"/>
            <w:gridSpan w:val="4"/>
            <w:tcBorders>
              <w:top w:val="single" w:sz="4" w:space="0" w:color="auto"/>
              <w:left w:val="single" w:sz="4" w:space="0" w:color="auto"/>
              <w:bottom w:val="single" w:sz="4" w:space="0" w:color="auto"/>
              <w:right w:val="single" w:sz="4" w:space="0" w:color="auto"/>
            </w:tcBorders>
            <w:vAlign w:val="center"/>
          </w:tcPr>
          <w:p w14:paraId="0F77A5FB" w14:textId="77777777" w:rsidR="00EC6347" w:rsidRPr="00196231" w:rsidRDefault="00EC6347" w:rsidP="00D6408F">
            <w:pPr>
              <w:pStyle w:val="In-tableHeading"/>
              <w:jc w:val="center"/>
              <w:rPr>
                <w:lang w:val="en-AU"/>
              </w:rPr>
            </w:pPr>
            <w:r w:rsidRPr="00196231">
              <w:rPr>
                <w:lang w:val="en-AU"/>
              </w:rPr>
              <w:t>BSC</w:t>
            </w:r>
          </w:p>
        </w:tc>
        <w:tc>
          <w:tcPr>
            <w:tcW w:w="796" w:type="pct"/>
            <w:vMerge w:val="restart"/>
            <w:tcBorders>
              <w:top w:val="single" w:sz="4" w:space="0" w:color="auto"/>
              <w:left w:val="single" w:sz="4" w:space="0" w:color="auto"/>
              <w:bottom w:val="single" w:sz="4" w:space="0" w:color="auto"/>
              <w:right w:val="single" w:sz="4" w:space="0" w:color="auto"/>
            </w:tcBorders>
            <w:vAlign w:val="center"/>
          </w:tcPr>
          <w:p w14:paraId="7C273E0F" w14:textId="77777777" w:rsidR="00EC6347" w:rsidRPr="00196231" w:rsidRDefault="00EC6347" w:rsidP="00D6408F">
            <w:pPr>
              <w:pStyle w:val="In-tableHeading"/>
              <w:jc w:val="center"/>
              <w:rPr>
                <w:lang w:val="en-AU"/>
              </w:rPr>
            </w:pPr>
            <w:r w:rsidRPr="00196231">
              <w:rPr>
                <w:lang w:val="en-AU"/>
              </w:rPr>
              <w:t>Mean difference:</w:t>
            </w:r>
          </w:p>
          <w:p w14:paraId="690404F6" w14:textId="1B9315B3" w:rsidR="00EC6347" w:rsidRPr="00196231" w:rsidRDefault="00EC6347" w:rsidP="00D6408F">
            <w:pPr>
              <w:pStyle w:val="In-tableHeading"/>
              <w:jc w:val="center"/>
              <w:rPr>
                <w:szCs w:val="18"/>
                <w:lang w:val="en-AU"/>
              </w:rPr>
            </w:pPr>
            <w:r w:rsidRPr="00196231">
              <w:rPr>
                <w:szCs w:val="18"/>
                <w:lang w:val="en-AU"/>
              </w:rPr>
              <w:t>Bulevirtide 2 mg vs. BSC</w:t>
            </w:r>
            <w:r w:rsidR="00C1556F">
              <w:rPr>
                <w:szCs w:val="18"/>
                <w:lang w:val="en-AU"/>
              </w:rPr>
              <w:t xml:space="preserve"> </w:t>
            </w:r>
            <w:r w:rsidRPr="00196231">
              <w:rPr>
                <w:szCs w:val="18"/>
                <w:lang w:val="en-AU"/>
              </w:rPr>
              <w:t>(95% CI)</w:t>
            </w:r>
          </w:p>
        </w:tc>
      </w:tr>
      <w:tr w:rsidR="00C1556F" w:rsidRPr="00196231" w14:paraId="579A313F" w14:textId="77777777" w:rsidTr="00C1556F">
        <w:trPr>
          <w:trHeight w:val="225"/>
        </w:trPr>
        <w:tc>
          <w:tcPr>
            <w:tcW w:w="14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D05ABD" w14:textId="77777777" w:rsidR="00EC6347" w:rsidRPr="00196231" w:rsidRDefault="00EC6347" w:rsidP="00D6408F">
            <w:pPr>
              <w:keepNext/>
              <w:keepLines/>
              <w:rPr>
                <w:rFonts w:ascii="Arial Narrow" w:hAnsi="Arial Narrow"/>
                <w:color w:val="000000"/>
                <w:sz w:val="20"/>
                <w:szCs w:val="18"/>
              </w:rPr>
            </w:pPr>
          </w:p>
        </w:tc>
        <w:tc>
          <w:tcPr>
            <w:tcW w:w="236" w:type="pct"/>
            <w:tcBorders>
              <w:top w:val="single" w:sz="4" w:space="0" w:color="auto"/>
              <w:left w:val="single" w:sz="4" w:space="0" w:color="auto"/>
              <w:bottom w:val="single" w:sz="4" w:space="0" w:color="auto"/>
              <w:right w:val="single" w:sz="4" w:space="0" w:color="auto"/>
            </w:tcBorders>
            <w:vAlign w:val="center"/>
          </w:tcPr>
          <w:p w14:paraId="1F35EF5C" w14:textId="77777777" w:rsidR="00EC6347" w:rsidRPr="00196231" w:rsidRDefault="00EC6347" w:rsidP="00D6408F">
            <w:pPr>
              <w:pStyle w:val="In-tableHeading"/>
              <w:jc w:val="center"/>
              <w:rPr>
                <w:lang w:val="en-AU"/>
              </w:rPr>
            </w:pPr>
            <w:r w:rsidRPr="00196231">
              <w:rPr>
                <w:lang w:val="en-AU"/>
              </w:rPr>
              <w:t>n/N</w:t>
            </w:r>
          </w:p>
        </w:tc>
        <w:tc>
          <w:tcPr>
            <w:tcW w:w="550" w:type="pct"/>
            <w:tcBorders>
              <w:top w:val="single" w:sz="4" w:space="0" w:color="auto"/>
              <w:left w:val="single" w:sz="4" w:space="0" w:color="auto"/>
              <w:bottom w:val="single" w:sz="4" w:space="0" w:color="auto"/>
              <w:right w:val="single" w:sz="4" w:space="0" w:color="auto"/>
            </w:tcBorders>
            <w:vAlign w:val="center"/>
          </w:tcPr>
          <w:p w14:paraId="732C6912" w14:textId="77777777" w:rsidR="00EC6347" w:rsidRPr="00196231" w:rsidRDefault="00EC6347" w:rsidP="00D6408F">
            <w:pPr>
              <w:pStyle w:val="In-tableHeading"/>
              <w:jc w:val="center"/>
              <w:rPr>
                <w:lang w:val="en-AU"/>
              </w:rPr>
            </w:pPr>
            <w:r w:rsidRPr="00196231">
              <w:rPr>
                <w:lang w:val="en-AU"/>
              </w:rPr>
              <w:t xml:space="preserve">Mean ∆ baseline </w:t>
            </w:r>
          </w:p>
          <w:p w14:paraId="09C7D0C7" w14:textId="77777777" w:rsidR="00EC6347" w:rsidRPr="00196231" w:rsidRDefault="00EC6347" w:rsidP="00D6408F">
            <w:pPr>
              <w:pStyle w:val="In-tableHeading"/>
              <w:jc w:val="center"/>
              <w:rPr>
                <w:lang w:val="en-AU"/>
              </w:rPr>
            </w:pPr>
            <w:r w:rsidRPr="00196231">
              <w:rPr>
                <w:lang w:val="en-AU"/>
              </w:rPr>
              <w:t>(kPa)</w:t>
            </w:r>
          </w:p>
        </w:tc>
        <w:tc>
          <w:tcPr>
            <w:tcW w:w="628" w:type="pct"/>
            <w:tcBorders>
              <w:top w:val="single" w:sz="4" w:space="0" w:color="auto"/>
              <w:left w:val="single" w:sz="4" w:space="0" w:color="auto"/>
              <w:bottom w:val="single" w:sz="4" w:space="0" w:color="auto"/>
              <w:right w:val="single" w:sz="4" w:space="0" w:color="auto"/>
            </w:tcBorders>
            <w:vAlign w:val="center"/>
          </w:tcPr>
          <w:p w14:paraId="51A111DF" w14:textId="77777777" w:rsidR="00EC6347" w:rsidRPr="00196231" w:rsidRDefault="00EC6347" w:rsidP="00D6408F">
            <w:pPr>
              <w:pStyle w:val="In-tableHeading"/>
              <w:jc w:val="center"/>
              <w:rPr>
                <w:lang w:val="en-AU"/>
              </w:rPr>
            </w:pPr>
            <w:r w:rsidRPr="00196231">
              <w:rPr>
                <w:lang w:val="en-AU"/>
              </w:rPr>
              <w:t>95% CI</w:t>
            </w:r>
          </w:p>
        </w:tc>
        <w:tc>
          <w:tcPr>
            <w:tcW w:w="238" w:type="pct"/>
            <w:tcBorders>
              <w:top w:val="single" w:sz="4" w:space="0" w:color="auto"/>
              <w:left w:val="single" w:sz="4" w:space="0" w:color="auto"/>
              <w:bottom w:val="single" w:sz="4" w:space="0" w:color="auto"/>
              <w:right w:val="single" w:sz="4" w:space="0" w:color="auto"/>
            </w:tcBorders>
            <w:vAlign w:val="center"/>
          </w:tcPr>
          <w:p w14:paraId="2B377EF7" w14:textId="77777777" w:rsidR="00EC6347" w:rsidRPr="00196231" w:rsidRDefault="00EC6347" w:rsidP="00D6408F">
            <w:pPr>
              <w:pStyle w:val="In-tableHeading"/>
              <w:jc w:val="center"/>
              <w:rPr>
                <w:lang w:val="en-AU"/>
              </w:rPr>
            </w:pPr>
            <w:r w:rsidRPr="00196231">
              <w:rPr>
                <w:lang w:val="en-AU"/>
              </w:rPr>
              <w:t>n/N</w:t>
            </w:r>
          </w:p>
        </w:tc>
        <w:tc>
          <w:tcPr>
            <w:tcW w:w="607" w:type="pct"/>
            <w:gridSpan w:val="2"/>
            <w:tcBorders>
              <w:top w:val="single" w:sz="4" w:space="0" w:color="auto"/>
              <w:left w:val="single" w:sz="4" w:space="0" w:color="auto"/>
              <w:bottom w:val="single" w:sz="4" w:space="0" w:color="auto"/>
              <w:right w:val="single" w:sz="4" w:space="0" w:color="auto"/>
            </w:tcBorders>
            <w:vAlign w:val="center"/>
          </w:tcPr>
          <w:p w14:paraId="0B0E933D" w14:textId="77777777" w:rsidR="00EC6347" w:rsidRPr="00196231" w:rsidRDefault="00EC6347" w:rsidP="00D6408F">
            <w:pPr>
              <w:pStyle w:val="In-tableHeading"/>
              <w:jc w:val="center"/>
              <w:rPr>
                <w:lang w:val="en-AU"/>
              </w:rPr>
            </w:pPr>
            <w:r w:rsidRPr="00196231">
              <w:rPr>
                <w:lang w:val="en-AU"/>
              </w:rPr>
              <w:t>Mean ∆ baseline (kPa)</w:t>
            </w:r>
          </w:p>
        </w:tc>
        <w:tc>
          <w:tcPr>
            <w:tcW w:w="534" w:type="pct"/>
            <w:tcBorders>
              <w:top w:val="single" w:sz="4" w:space="0" w:color="auto"/>
              <w:left w:val="single" w:sz="4" w:space="0" w:color="auto"/>
              <w:bottom w:val="single" w:sz="4" w:space="0" w:color="auto"/>
              <w:right w:val="single" w:sz="4" w:space="0" w:color="auto"/>
            </w:tcBorders>
            <w:vAlign w:val="center"/>
          </w:tcPr>
          <w:p w14:paraId="493345E7" w14:textId="77777777" w:rsidR="00EC6347" w:rsidRPr="00196231" w:rsidRDefault="00EC6347" w:rsidP="00D6408F">
            <w:pPr>
              <w:pStyle w:val="In-tableHeading"/>
              <w:jc w:val="center"/>
              <w:rPr>
                <w:lang w:val="en-AU"/>
              </w:rPr>
            </w:pPr>
            <w:r w:rsidRPr="00196231">
              <w:rPr>
                <w:lang w:val="en-AU"/>
              </w:rPr>
              <w:t>95% CI</w:t>
            </w:r>
          </w:p>
        </w:tc>
        <w:tc>
          <w:tcPr>
            <w:tcW w:w="796" w:type="pct"/>
            <w:vMerge/>
            <w:tcBorders>
              <w:top w:val="single" w:sz="4" w:space="0" w:color="auto"/>
              <w:left w:val="single" w:sz="4" w:space="0" w:color="auto"/>
              <w:bottom w:val="single" w:sz="4" w:space="0" w:color="auto"/>
              <w:right w:val="single" w:sz="4" w:space="0" w:color="auto"/>
            </w:tcBorders>
            <w:vAlign w:val="center"/>
          </w:tcPr>
          <w:p w14:paraId="4F0D9857" w14:textId="77777777" w:rsidR="00EC6347" w:rsidRPr="00196231" w:rsidRDefault="00EC6347" w:rsidP="00D6408F">
            <w:pPr>
              <w:keepNext/>
              <w:keepLines/>
              <w:jc w:val="center"/>
              <w:rPr>
                <w:rFonts w:ascii="Arial Narrow" w:hAnsi="Arial Narrow"/>
                <w:b/>
                <w:sz w:val="20"/>
                <w:szCs w:val="18"/>
              </w:rPr>
            </w:pPr>
          </w:p>
        </w:tc>
      </w:tr>
      <w:tr w:rsidR="00C1556F" w:rsidRPr="00196231" w14:paraId="6708AF89" w14:textId="77777777" w:rsidTr="00C1556F">
        <w:tc>
          <w:tcPr>
            <w:tcW w:w="1411" w:type="pct"/>
            <w:tcBorders>
              <w:top w:val="single" w:sz="4" w:space="0" w:color="auto"/>
              <w:left w:val="single" w:sz="4" w:space="0" w:color="auto"/>
              <w:bottom w:val="double" w:sz="4" w:space="0" w:color="auto"/>
              <w:right w:val="single" w:sz="4" w:space="0" w:color="auto"/>
            </w:tcBorders>
            <w:shd w:val="clear" w:color="auto" w:fill="auto"/>
            <w:vAlign w:val="center"/>
          </w:tcPr>
          <w:p w14:paraId="722FA190" w14:textId="74B42A6C" w:rsidR="00EC6347" w:rsidRPr="00196231" w:rsidRDefault="00EC6347" w:rsidP="00D6408F">
            <w:pPr>
              <w:pStyle w:val="TableText"/>
              <w:keepNext/>
            </w:pPr>
            <w:r w:rsidRPr="00196231">
              <w:t>Liver stiffness, change from baseline to Week 48</w:t>
            </w:r>
            <w:r w:rsidR="00C1556F">
              <w:t xml:space="preserve"> </w:t>
            </w:r>
            <w:r w:rsidRPr="00196231">
              <w:t>(kPa)</w:t>
            </w:r>
          </w:p>
        </w:tc>
        <w:tc>
          <w:tcPr>
            <w:tcW w:w="236" w:type="pct"/>
            <w:tcBorders>
              <w:top w:val="single" w:sz="4" w:space="0" w:color="auto"/>
              <w:left w:val="single" w:sz="4" w:space="0" w:color="auto"/>
              <w:bottom w:val="double" w:sz="4" w:space="0" w:color="auto"/>
              <w:right w:val="single" w:sz="4" w:space="0" w:color="auto"/>
            </w:tcBorders>
          </w:tcPr>
          <w:p w14:paraId="2855FFD5" w14:textId="77777777" w:rsidR="00EC6347" w:rsidRPr="00196231" w:rsidRDefault="00EC6347" w:rsidP="00D6408F">
            <w:pPr>
              <w:pStyle w:val="TableText"/>
              <w:keepNext/>
              <w:jc w:val="center"/>
              <w:rPr>
                <w:vertAlign w:val="superscript"/>
              </w:rPr>
            </w:pPr>
            <w:r w:rsidRPr="00196231">
              <w:t>49</w:t>
            </w:r>
            <w:r w:rsidRPr="00196231">
              <w:rPr>
                <w:vertAlign w:val="superscript"/>
              </w:rPr>
              <w:t>e</w:t>
            </w:r>
          </w:p>
        </w:tc>
        <w:tc>
          <w:tcPr>
            <w:tcW w:w="550" w:type="pct"/>
            <w:tcBorders>
              <w:top w:val="single" w:sz="4" w:space="0" w:color="auto"/>
              <w:left w:val="single" w:sz="4" w:space="0" w:color="auto"/>
              <w:bottom w:val="double" w:sz="4" w:space="0" w:color="auto"/>
              <w:right w:val="single" w:sz="4" w:space="0" w:color="auto"/>
            </w:tcBorders>
          </w:tcPr>
          <w:p w14:paraId="0644653A" w14:textId="2AA3B17C" w:rsidR="00EC6347" w:rsidRPr="00196231" w:rsidRDefault="00EC6347" w:rsidP="00D6408F">
            <w:pPr>
              <w:pStyle w:val="TableText"/>
              <w:keepNext/>
              <w:jc w:val="center"/>
            </w:pPr>
            <w:r w:rsidRPr="00196231">
              <w:t>-3.1</w:t>
            </w:r>
          </w:p>
        </w:tc>
        <w:tc>
          <w:tcPr>
            <w:tcW w:w="628" w:type="pct"/>
            <w:tcBorders>
              <w:top w:val="single" w:sz="4" w:space="0" w:color="auto"/>
              <w:left w:val="single" w:sz="4" w:space="0" w:color="auto"/>
              <w:bottom w:val="double" w:sz="4" w:space="0" w:color="auto"/>
              <w:right w:val="single" w:sz="4" w:space="0" w:color="auto"/>
            </w:tcBorders>
          </w:tcPr>
          <w:p w14:paraId="08EC0331" w14:textId="77777777" w:rsidR="00EC6347" w:rsidRPr="00196231" w:rsidRDefault="00EC6347" w:rsidP="00D6408F">
            <w:pPr>
              <w:pStyle w:val="TableText"/>
              <w:keepNext/>
              <w:jc w:val="center"/>
            </w:pPr>
            <w:r w:rsidRPr="00196231">
              <w:t>(-4.7, -1.5%)</w:t>
            </w:r>
          </w:p>
        </w:tc>
        <w:tc>
          <w:tcPr>
            <w:tcW w:w="238" w:type="pct"/>
            <w:tcBorders>
              <w:top w:val="single" w:sz="4" w:space="0" w:color="auto"/>
              <w:left w:val="single" w:sz="4" w:space="0" w:color="auto"/>
              <w:bottom w:val="double" w:sz="4" w:space="0" w:color="auto"/>
              <w:right w:val="single" w:sz="4" w:space="0" w:color="auto"/>
            </w:tcBorders>
          </w:tcPr>
          <w:p w14:paraId="61432D37" w14:textId="77777777" w:rsidR="00EC6347" w:rsidRPr="00196231" w:rsidRDefault="00EC6347" w:rsidP="00D6408F">
            <w:pPr>
              <w:pStyle w:val="TableText"/>
              <w:keepNext/>
              <w:jc w:val="center"/>
              <w:rPr>
                <w:vertAlign w:val="superscript"/>
              </w:rPr>
            </w:pPr>
            <w:r w:rsidRPr="00196231">
              <w:t>51</w:t>
            </w:r>
            <w:r w:rsidRPr="00196231">
              <w:rPr>
                <w:vertAlign w:val="superscript"/>
              </w:rPr>
              <w:t>e</w:t>
            </w:r>
          </w:p>
        </w:tc>
        <w:tc>
          <w:tcPr>
            <w:tcW w:w="607" w:type="pct"/>
            <w:gridSpan w:val="2"/>
            <w:tcBorders>
              <w:top w:val="single" w:sz="4" w:space="0" w:color="auto"/>
              <w:left w:val="single" w:sz="4" w:space="0" w:color="auto"/>
              <w:bottom w:val="double" w:sz="4" w:space="0" w:color="auto"/>
              <w:right w:val="single" w:sz="4" w:space="0" w:color="auto"/>
            </w:tcBorders>
          </w:tcPr>
          <w:p w14:paraId="692A7C95" w14:textId="64DC99DE" w:rsidR="00EC6347" w:rsidRPr="00196231" w:rsidRDefault="00EC6347" w:rsidP="00D6408F">
            <w:pPr>
              <w:pStyle w:val="TableText"/>
              <w:keepNext/>
              <w:jc w:val="center"/>
            </w:pPr>
            <w:r w:rsidRPr="00196231">
              <w:t>0.9</w:t>
            </w:r>
          </w:p>
        </w:tc>
        <w:tc>
          <w:tcPr>
            <w:tcW w:w="534" w:type="pct"/>
            <w:tcBorders>
              <w:top w:val="single" w:sz="4" w:space="0" w:color="auto"/>
              <w:left w:val="single" w:sz="4" w:space="0" w:color="auto"/>
              <w:bottom w:val="double" w:sz="4" w:space="0" w:color="auto"/>
              <w:right w:val="single" w:sz="4" w:space="0" w:color="auto"/>
            </w:tcBorders>
          </w:tcPr>
          <w:p w14:paraId="1DFA45A9" w14:textId="77777777" w:rsidR="00EC6347" w:rsidRPr="00196231" w:rsidRDefault="00EC6347" w:rsidP="00D6408F">
            <w:pPr>
              <w:pStyle w:val="TableText"/>
              <w:keepNext/>
              <w:jc w:val="center"/>
            </w:pPr>
            <w:r w:rsidRPr="00196231">
              <w:t>(-0.8, 2.6%)</w:t>
            </w:r>
          </w:p>
        </w:tc>
        <w:tc>
          <w:tcPr>
            <w:tcW w:w="796" w:type="pct"/>
            <w:tcBorders>
              <w:top w:val="single" w:sz="4" w:space="0" w:color="auto"/>
              <w:left w:val="single" w:sz="4" w:space="0" w:color="auto"/>
              <w:bottom w:val="single" w:sz="4" w:space="0" w:color="auto"/>
              <w:right w:val="single" w:sz="4" w:space="0" w:color="auto"/>
            </w:tcBorders>
          </w:tcPr>
          <w:p w14:paraId="254F1C98" w14:textId="77777777" w:rsidR="00EC6347" w:rsidRPr="00196231" w:rsidRDefault="00EC6347" w:rsidP="00D6408F">
            <w:pPr>
              <w:pStyle w:val="TableText"/>
              <w:keepNext/>
              <w:jc w:val="center"/>
            </w:pPr>
            <w:r w:rsidRPr="00196231">
              <w:t>-4.0 (-6.3, -1.6%)</w:t>
            </w:r>
          </w:p>
        </w:tc>
      </w:tr>
      <w:tr w:rsidR="00EC6347" w:rsidRPr="00196231" w14:paraId="4BF3A7BB" w14:textId="77777777" w:rsidTr="008D4DE6">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5342FD13" w14:textId="77777777" w:rsidR="00EC6347" w:rsidRPr="00196231" w:rsidRDefault="00EC6347" w:rsidP="00D6408F">
            <w:pPr>
              <w:pStyle w:val="In-tableHeading"/>
              <w:rPr>
                <w:lang w:val="en-AU"/>
              </w:rPr>
            </w:pPr>
            <w:r w:rsidRPr="00196231">
              <w:rPr>
                <w:lang w:val="en-AU"/>
              </w:rPr>
              <w:t xml:space="preserve">Harms </w:t>
            </w:r>
          </w:p>
        </w:tc>
      </w:tr>
      <w:tr w:rsidR="00EC6347" w:rsidRPr="00196231" w14:paraId="105B4089" w14:textId="77777777" w:rsidTr="00C1556F">
        <w:trPr>
          <w:trHeight w:val="70"/>
        </w:trPr>
        <w:tc>
          <w:tcPr>
            <w:tcW w:w="1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768500" w14:textId="77777777" w:rsidR="00EC6347" w:rsidRPr="00196231" w:rsidRDefault="00EC6347" w:rsidP="00D6408F">
            <w:pPr>
              <w:pStyle w:val="In-tableHeading"/>
              <w:rPr>
                <w:lang w:val="en-AU"/>
              </w:rPr>
            </w:pPr>
          </w:p>
        </w:tc>
        <w:tc>
          <w:tcPr>
            <w:tcW w:w="786" w:type="pct"/>
            <w:gridSpan w:val="2"/>
            <w:vMerge w:val="restart"/>
            <w:tcBorders>
              <w:top w:val="single" w:sz="4" w:space="0" w:color="auto"/>
              <w:left w:val="single" w:sz="4" w:space="0" w:color="auto"/>
              <w:bottom w:val="single" w:sz="4" w:space="0" w:color="auto"/>
              <w:right w:val="single" w:sz="4" w:space="0" w:color="auto"/>
            </w:tcBorders>
            <w:vAlign w:val="center"/>
          </w:tcPr>
          <w:p w14:paraId="26D94990" w14:textId="77777777" w:rsidR="00EC6347" w:rsidRPr="00196231" w:rsidRDefault="00EC6347" w:rsidP="00D6408F">
            <w:pPr>
              <w:pStyle w:val="In-tableHeading"/>
              <w:jc w:val="center"/>
              <w:rPr>
                <w:lang w:val="en-AU"/>
              </w:rPr>
            </w:pPr>
            <w:r w:rsidRPr="00196231">
              <w:rPr>
                <w:lang w:val="en-AU"/>
              </w:rPr>
              <w:t>Bulevirtide 2 mg</w:t>
            </w:r>
          </w:p>
          <w:p w14:paraId="78E7D6C0" w14:textId="77777777" w:rsidR="00EC6347" w:rsidRPr="00196231" w:rsidRDefault="00EC6347" w:rsidP="00D6408F">
            <w:pPr>
              <w:pStyle w:val="In-tableHeading"/>
              <w:jc w:val="center"/>
              <w:rPr>
                <w:lang w:val="en-AU"/>
              </w:rPr>
            </w:pPr>
            <w:r w:rsidRPr="00196231">
              <w:rPr>
                <w:lang w:val="en-AU"/>
              </w:rPr>
              <w:t>n/N</w:t>
            </w:r>
          </w:p>
        </w:tc>
        <w:tc>
          <w:tcPr>
            <w:tcW w:w="628" w:type="pct"/>
            <w:vMerge w:val="restart"/>
            <w:tcBorders>
              <w:top w:val="single" w:sz="4" w:space="0" w:color="auto"/>
              <w:left w:val="single" w:sz="4" w:space="0" w:color="auto"/>
              <w:right w:val="single" w:sz="4" w:space="0" w:color="auto"/>
            </w:tcBorders>
            <w:vAlign w:val="center"/>
          </w:tcPr>
          <w:p w14:paraId="712681DA" w14:textId="77777777" w:rsidR="00EC6347" w:rsidRPr="00196231" w:rsidRDefault="00EC6347" w:rsidP="00D6408F">
            <w:pPr>
              <w:pStyle w:val="In-tableHeading"/>
              <w:jc w:val="center"/>
              <w:rPr>
                <w:lang w:val="en-AU"/>
              </w:rPr>
            </w:pPr>
            <w:r w:rsidRPr="00196231">
              <w:rPr>
                <w:lang w:val="en-AU"/>
              </w:rPr>
              <w:t>BSC</w:t>
            </w:r>
          </w:p>
          <w:p w14:paraId="6D507D02" w14:textId="77777777" w:rsidR="00EC6347" w:rsidRPr="00196231" w:rsidRDefault="00EC6347" w:rsidP="00D6408F">
            <w:pPr>
              <w:pStyle w:val="In-tableHeading"/>
              <w:jc w:val="center"/>
              <w:rPr>
                <w:lang w:val="en-AU"/>
              </w:rPr>
            </w:pPr>
            <w:r w:rsidRPr="00196231">
              <w:rPr>
                <w:lang w:val="en-AU"/>
              </w:rPr>
              <w:t>n/N</w:t>
            </w:r>
          </w:p>
        </w:tc>
        <w:tc>
          <w:tcPr>
            <w:tcW w:w="1379" w:type="pct"/>
            <w:gridSpan w:val="4"/>
            <w:tcBorders>
              <w:top w:val="single" w:sz="4" w:space="0" w:color="auto"/>
              <w:left w:val="single" w:sz="4" w:space="0" w:color="auto"/>
              <w:bottom w:val="single" w:sz="4" w:space="0" w:color="auto"/>
              <w:right w:val="single" w:sz="4" w:space="0" w:color="auto"/>
            </w:tcBorders>
            <w:vAlign w:val="center"/>
          </w:tcPr>
          <w:p w14:paraId="43D89676" w14:textId="77777777" w:rsidR="00EC6347" w:rsidRPr="00196231" w:rsidRDefault="00EC6347" w:rsidP="00D6408F">
            <w:pPr>
              <w:pStyle w:val="In-tableHeading"/>
              <w:jc w:val="center"/>
              <w:rPr>
                <w:lang w:val="en-AU"/>
              </w:rPr>
            </w:pPr>
            <w:r w:rsidRPr="00196231">
              <w:rPr>
                <w:lang w:val="en-AU"/>
              </w:rPr>
              <w:t>Event rate/100 patients</w:t>
            </w:r>
          </w:p>
        </w:tc>
        <w:tc>
          <w:tcPr>
            <w:tcW w:w="796" w:type="pct"/>
            <w:vMerge w:val="restart"/>
            <w:tcBorders>
              <w:top w:val="single" w:sz="4" w:space="0" w:color="auto"/>
              <w:left w:val="single" w:sz="4" w:space="0" w:color="auto"/>
              <w:right w:val="single" w:sz="4" w:space="0" w:color="auto"/>
            </w:tcBorders>
            <w:vAlign w:val="bottom"/>
          </w:tcPr>
          <w:p w14:paraId="6710F386" w14:textId="77777777" w:rsidR="00EC6347" w:rsidRPr="00196231" w:rsidRDefault="00EC6347" w:rsidP="00D6408F">
            <w:pPr>
              <w:pStyle w:val="In-tableHeading"/>
              <w:jc w:val="center"/>
              <w:rPr>
                <w:lang w:val="en-AU"/>
              </w:rPr>
            </w:pPr>
            <w:r w:rsidRPr="00196231">
              <w:rPr>
                <w:lang w:val="en-AU"/>
              </w:rPr>
              <w:t>RD</w:t>
            </w:r>
          </w:p>
        </w:tc>
      </w:tr>
      <w:tr w:rsidR="00EC6347" w:rsidRPr="00196231" w14:paraId="006FE804" w14:textId="77777777" w:rsidTr="00C1556F">
        <w:trPr>
          <w:trHeight w:val="107"/>
        </w:trPr>
        <w:tc>
          <w:tcPr>
            <w:tcW w:w="14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C78DFB" w14:textId="77777777" w:rsidR="00EC6347" w:rsidRPr="00196231" w:rsidRDefault="00EC6347" w:rsidP="00D6408F">
            <w:pPr>
              <w:pStyle w:val="In-tableHeading"/>
              <w:rPr>
                <w:lang w:val="en-AU"/>
              </w:rPr>
            </w:pPr>
          </w:p>
        </w:tc>
        <w:tc>
          <w:tcPr>
            <w:tcW w:w="786" w:type="pct"/>
            <w:gridSpan w:val="2"/>
            <w:vMerge/>
            <w:tcBorders>
              <w:top w:val="single" w:sz="4" w:space="0" w:color="auto"/>
              <w:left w:val="single" w:sz="4" w:space="0" w:color="auto"/>
              <w:bottom w:val="single" w:sz="4" w:space="0" w:color="auto"/>
              <w:right w:val="single" w:sz="4" w:space="0" w:color="auto"/>
            </w:tcBorders>
            <w:vAlign w:val="center"/>
          </w:tcPr>
          <w:p w14:paraId="5D9E913A" w14:textId="77777777" w:rsidR="00EC6347" w:rsidRPr="00196231" w:rsidRDefault="00EC6347" w:rsidP="00D6408F">
            <w:pPr>
              <w:pStyle w:val="In-tableHeading"/>
              <w:rPr>
                <w:lang w:val="en-AU"/>
              </w:rPr>
            </w:pPr>
          </w:p>
        </w:tc>
        <w:tc>
          <w:tcPr>
            <w:tcW w:w="628" w:type="pct"/>
            <w:vMerge/>
            <w:tcBorders>
              <w:left w:val="single" w:sz="4" w:space="0" w:color="auto"/>
              <w:bottom w:val="single" w:sz="4" w:space="0" w:color="auto"/>
              <w:right w:val="single" w:sz="4" w:space="0" w:color="auto"/>
            </w:tcBorders>
            <w:vAlign w:val="center"/>
          </w:tcPr>
          <w:p w14:paraId="27363D02" w14:textId="77777777" w:rsidR="00EC6347" w:rsidRPr="00196231" w:rsidRDefault="00EC6347" w:rsidP="00D6408F">
            <w:pPr>
              <w:pStyle w:val="In-tableHeading"/>
              <w:rPr>
                <w:lang w:val="en-AU"/>
              </w:rPr>
            </w:pPr>
          </w:p>
        </w:tc>
        <w:tc>
          <w:tcPr>
            <w:tcW w:w="788" w:type="pct"/>
            <w:gridSpan w:val="2"/>
            <w:tcBorders>
              <w:top w:val="single" w:sz="4" w:space="0" w:color="auto"/>
              <w:left w:val="single" w:sz="4" w:space="0" w:color="auto"/>
              <w:bottom w:val="single" w:sz="4" w:space="0" w:color="auto"/>
              <w:right w:val="single" w:sz="4" w:space="0" w:color="auto"/>
            </w:tcBorders>
            <w:vAlign w:val="center"/>
          </w:tcPr>
          <w:p w14:paraId="66CF2E85" w14:textId="77777777" w:rsidR="00EC6347" w:rsidRPr="00196231" w:rsidRDefault="00EC6347" w:rsidP="00D6408F">
            <w:pPr>
              <w:pStyle w:val="In-tableHeading"/>
              <w:jc w:val="center"/>
              <w:rPr>
                <w:lang w:val="en-AU"/>
              </w:rPr>
            </w:pPr>
            <w:r w:rsidRPr="00196231">
              <w:rPr>
                <w:lang w:val="en-AU"/>
              </w:rPr>
              <w:t>Bulevirtide 2 mg</w:t>
            </w:r>
          </w:p>
        </w:tc>
        <w:tc>
          <w:tcPr>
            <w:tcW w:w="591" w:type="pct"/>
            <w:gridSpan w:val="2"/>
            <w:tcBorders>
              <w:top w:val="single" w:sz="4" w:space="0" w:color="auto"/>
              <w:left w:val="single" w:sz="4" w:space="0" w:color="auto"/>
              <w:bottom w:val="single" w:sz="4" w:space="0" w:color="auto"/>
              <w:right w:val="single" w:sz="4" w:space="0" w:color="auto"/>
            </w:tcBorders>
            <w:vAlign w:val="center"/>
          </w:tcPr>
          <w:p w14:paraId="35389862" w14:textId="77777777" w:rsidR="00EC6347" w:rsidRPr="00196231" w:rsidRDefault="00EC6347" w:rsidP="00D6408F">
            <w:pPr>
              <w:pStyle w:val="In-tableHeading"/>
              <w:jc w:val="center"/>
              <w:rPr>
                <w:lang w:val="en-AU"/>
              </w:rPr>
            </w:pPr>
            <w:r w:rsidRPr="00196231">
              <w:rPr>
                <w:lang w:val="en-AU"/>
              </w:rPr>
              <w:t>BSC</w:t>
            </w:r>
          </w:p>
        </w:tc>
        <w:tc>
          <w:tcPr>
            <w:tcW w:w="796" w:type="pct"/>
            <w:vMerge/>
            <w:tcBorders>
              <w:left w:val="single" w:sz="4" w:space="0" w:color="auto"/>
              <w:right w:val="single" w:sz="4" w:space="0" w:color="auto"/>
            </w:tcBorders>
            <w:vAlign w:val="center"/>
          </w:tcPr>
          <w:p w14:paraId="573AA8F0" w14:textId="77777777" w:rsidR="00EC6347" w:rsidRPr="00196231" w:rsidRDefault="00EC6347" w:rsidP="00D6408F">
            <w:pPr>
              <w:pStyle w:val="In-tableHeading"/>
              <w:jc w:val="center"/>
              <w:rPr>
                <w:lang w:val="en-AU"/>
              </w:rPr>
            </w:pPr>
          </w:p>
        </w:tc>
      </w:tr>
      <w:tr w:rsidR="00EC6347" w:rsidRPr="00196231" w14:paraId="771BD880" w14:textId="77777777" w:rsidTr="008D4DE6">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0249959" w14:textId="77777777" w:rsidR="00EC6347" w:rsidRPr="00196231" w:rsidRDefault="00EC6347" w:rsidP="00D6408F">
            <w:pPr>
              <w:pStyle w:val="In-tableHeading"/>
              <w:jc w:val="both"/>
              <w:rPr>
                <w:lang w:val="en-AU"/>
              </w:rPr>
            </w:pPr>
            <w:r w:rsidRPr="00196231">
              <w:rPr>
                <w:lang w:val="en-AU"/>
              </w:rPr>
              <w:t>Adverse event between baseline and Week 48</w:t>
            </w:r>
          </w:p>
        </w:tc>
      </w:tr>
      <w:tr w:rsidR="00EC6347" w:rsidRPr="00196231" w14:paraId="487F8CE8"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024DA4C2" w14:textId="77777777" w:rsidR="00EC6347" w:rsidRPr="00196231" w:rsidRDefault="00EC6347" w:rsidP="00D6408F">
            <w:pPr>
              <w:pStyle w:val="TableText"/>
              <w:keepNext/>
            </w:pPr>
            <w:r w:rsidRPr="00196231">
              <w:t>TEAE related to study drug</w:t>
            </w:r>
          </w:p>
        </w:tc>
        <w:tc>
          <w:tcPr>
            <w:tcW w:w="786" w:type="pct"/>
            <w:gridSpan w:val="2"/>
            <w:tcBorders>
              <w:top w:val="single" w:sz="4" w:space="0" w:color="auto"/>
              <w:left w:val="single" w:sz="4" w:space="0" w:color="auto"/>
              <w:bottom w:val="single" w:sz="4" w:space="0" w:color="auto"/>
              <w:right w:val="single" w:sz="4" w:space="0" w:color="auto"/>
            </w:tcBorders>
          </w:tcPr>
          <w:p w14:paraId="77B65C7F" w14:textId="77777777" w:rsidR="00EC6347" w:rsidRPr="00196231" w:rsidRDefault="00EC6347" w:rsidP="00D6408F">
            <w:pPr>
              <w:pStyle w:val="TableText"/>
              <w:keepNext/>
              <w:jc w:val="center"/>
            </w:pPr>
            <w:r w:rsidRPr="00196231">
              <w:t>24/49</w:t>
            </w:r>
          </w:p>
        </w:tc>
        <w:tc>
          <w:tcPr>
            <w:tcW w:w="628" w:type="pct"/>
            <w:tcBorders>
              <w:top w:val="single" w:sz="4" w:space="0" w:color="auto"/>
              <w:left w:val="single" w:sz="4" w:space="0" w:color="auto"/>
              <w:bottom w:val="single" w:sz="4" w:space="0" w:color="auto"/>
              <w:right w:val="single" w:sz="4" w:space="0" w:color="auto"/>
            </w:tcBorders>
          </w:tcPr>
          <w:p w14:paraId="2A0772EB" w14:textId="77777777" w:rsidR="00EC6347" w:rsidRPr="00196231" w:rsidRDefault="00EC6347" w:rsidP="00D6408F">
            <w:pPr>
              <w:pStyle w:val="TableText"/>
              <w:keepNext/>
              <w:jc w:val="center"/>
            </w:pPr>
            <w:r w:rsidRPr="00196231">
              <w:t>0/51</w:t>
            </w:r>
          </w:p>
        </w:tc>
        <w:tc>
          <w:tcPr>
            <w:tcW w:w="788" w:type="pct"/>
            <w:gridSpan w:val="2"/>
            <w:tcBorders>
              <w:top w:val="single" w:sz="4" w:space="0" w:color="auto"/>
              <w:left w:val="single" w:sz="4" w:space="0" w:color="auto"/>
              <w:bottom w:val="single" w:sz="4" w:space="0" w:color="auto"/>
              <w:right w:val="single" w:sz="4" w:space="0" w:color="auto"/>
            </w:tcBorders>
          </w:tcPr>
          <w:p w14:paraId="7AD078CF" w14:textId="77777777" w:rsidR="00EC6347" w:rsidRPr="00196231" w:rsidRDefault="00EC6347" w:rsidP="00D6408F">
            <w:pPr>
              <w:pStyle w:val="TableText"/>
              <w:keepNext/>
              <w:jc w:val="center"/>
            </w:pPr>
            <w:r w:rsidRPr="00196231">
              <w:t>49.0</w:t>
            </w:r>
          </w:p>
        </w:tc>
        <w:tc>
          <w:tcPr>
            <w:tcW w:w="591" w:type="pct"/>
            <w:gridSpan w:val="2"/>
            <w:tcBorders>
              <w:top w:val="single" w:sz="4" w:space="0" w:color="auto"/>
              <w:left w:val="single" w:sz="4" w:space="0" w:color="auto"/>
              <w:bottom w:val="single" w:sz="4" w:space="0" w:color="auto"/>
              <w:right w:val="single" w:sz="4" w:space="0" w:color="auto"/>
            </w:tcBorders>
          </w:tcPr>
          <w:p w14:paraId="2AB79C6E" w14:textId="77777777" w:rsidR="00EC6347" w:rsidRPr="00196231" w:rsidRDefault="00EC6347" w:rsidP="00D6408F">
            <w:pPr>
              <w:pStyle w:val="TableText"/>
              <w:keepNext/>
              <w:jc w:val="center"/>
            </w:pPr>
            <w:r w:rsidRPr="00196231">
              <w:t>0</w:t>
            </w:r>
          </w:p>
        </w:tc>
        <w:tc>
          <w:tcPr>
            <w:tcW w:w="796" w:type="pct"/>
            <w:tcBorders>
              <w:top w:val="single" w:sz="4" w:space="0" w:color="auto"/>
              <w:left w:val="single" w:sz="4" w:space="0" w:color="auto"/>
              <w:bottom w:val="single" w:sz="4" w:space="0" w:color="auto"/>
              <w:right w:val="single" w:sz="4" w:space="0" w:color="auto"/>
            </w:tcBorders>
          </w:tcPr>
          <w:p w14:paraId="60F8EBEB" w14:textId="77777777" w:rsidR="00EC6347" w:rsidRPr="00196231" w:rsidRDefault="00EC6347" w:rsidP="00D6408F">
            <w:pPr>
              <w:pStyle w:val="TableText"/>
              <w:keepNext/>
              <w:jc w:val="center"/>
            </w:pPr>
            <w:r w:rsidRPr="00196231">
              <w:t>49.0</w:t>
            </w:r>
          </w:p>
        </w:tc>
      </w:tr>
      <w:tr w:rsidR="00EC6347" w:rsidRPr="00196231" w14:paraId="2D78C163"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604D87C1" w14:textId="77777777" w:rsidR="00EC6347" w:rsidRPr="00196231" w:rsidRDefault="00EC6347" w:rsidP="00D6408F">
            <w:pPr>
              <w:pStyle w:val="TableText"/>
              <w:keepNext/>
            </w:pPr>
            <w:r w:rsidRPr="00196231">
              <w:t>≥ Grade 3 TEAEs</w:t>
            </w:r>
          </w:p>
        </w:tc>
        <w:tc>
          <w:tcPr>
            <w:tcW w:w="786" w:type="pct"/>
            <w:gridSpan w:val="2"/>
            <w:tcBorders>
              <w:top w:val="single" w:sz="4" w:space="0" w:color="auto"/>
              <w:left w:val="single" w:sz="4" w:space="0" w:color="auto"/>
              <w:bottom w:val="single" w:sz="4" w:space="0" w:color="auto"/>
              <w:right w:val="single" w:sz="4" w:space="0" w:color="auto"/>
            </w:tcBorders>
          </w:tcPr>
          <w:p w14:paraId="195DF166" w14:textId="77777777" w:rsidR="00EC6347" w:rsidRPr="00196231" w:rsidRDefault="00EC6347" w:rsidP="00D6408F">
            <w:pPr>
              <w:pStyle w:val="TableText"/>
              <w:keepNext/>
              <w:jc w:val="center"/>
            </w:pPr>
            <w:r w:rsidRPr="00196231">
              <w:t>5/49</w:t>
            </w:r>
          </w:p>
        </w:tc>
        <w:tc>
          <w:tcPr>
            <w:tcW w:w="628" w:type="pct"/>
            <w:tcBorders>
              <w:top w:val="single" w:sz="4" w:space="0" w:color="auto"/>
              <w:left w:val="single" w:sz="4" w:space="0" w:color="auto"/>
              <w:bottom w:val="single" w:sz="4" w:space="0" w:color="auto"/>
              <w:right w:val="single" w:sz="4" w:space="0" w:color="auto"/>
            </w:tcBorders>
          </w:tcPr>
          <w:p w14:paraId="44029A50" w14:textId="77777777" w:rsidR="00EC6347" w:rsidRPr="00196231" w:rsidRDefault="00EC6347" w:rsidP="00D6408F">
            <w:pPr>
              <w:pStyle w:val="TableText"/>
              <w:keepNext/>
              <w:jc w:val="center"/>
            </w:pPr>
            <w:r w:rsidRPr="00196231">
              <w:t>4/51</w:t>
            </w:r>
          </w:p>
        </w:tc>
        <w:tc>
          <w:tcPr>
            <w:tcW w:w="788" w:type="pct"/>
            <w:gridSpan w:val="2"/>
            <w:tcBorders>
              <w:top w:val="single" w:sz="4" w:space="0" w:color="auto"/>
              <w:left w:val="single" w:sz="4" w:space="0" w:color="auto"/>
              <w:bottom w:val="single" w:sz="4" w:space="0" w:color="auto"/>
              <w:right w:val="single" w:sz="4" w:space="0" w:color="auto"/>
            </w:tcBorders>
          </w:tcPr>
          <w:p w14:paraId="32E6DB1C" w14:textId="77777777" w:rsidR="00EC6347" w:rsidRPr="00196231" w:rsidRDefault="00EC6347" w:rsidP="00D6408F">
            <w:pPr>
              <w:pStyle w:val="TableText"/>
              <w:keepNext/>
              <w:jc w:val="center"/>
            </w:pPr>
            <w:r w:rsidRPr="00196231">
              <w:t>10.2</w:t>
            </w:r>
          </w:p>
        </w:tc>
        <w:tc>
          <w:tcPr>
            <w:tcW w:w="591" w:type="pct"/>
            <w:gridSpan w:val="2"/>
            <w:tcBorders>
              <w:top w:val="single" w:sz="4" w:space="0" w:color="auto"/>
              <w:left w:val="single" w:sz="4" w:space="0" w:color="auto"/>
              <w:bottom w:val="single" w:sz="4" w:space="0" w:color="auto"/>
              <w:right w:val="single" w:sz="4" w:space="0" w:color="auto"/>
            </w:tcBorders>
          </w:tcPr>
          <w:p w14:paraId="5D70982A" w14:textId="77777777" w:rsidR="00EC6347" w:rsidRPr="00196231" w:rsidRDefault="00EC6347" w:rsidP="00D6408F">
            <w:pPr>
              <w:pStyle w:val="TableText"/>
              <w:keepNext/>
              <w:jc w:val="center"/>
            </w:pPr>
            <w:r w:rsidRPr="00196231">
              <w:t>7.8</w:t>
            </w:r>
          </w:p>
        </w:tc>
        <w:tc>
          <w:tcPr>
            <w:tcW w:w="796" w:type="pct"/>
            <w:tcBorders>
              <w:top w:val="single" w:sz="4" w:space="0" w:color="auto"/>
              <w:left w:val="single" w:sz="4" w:space="0" w:color="auto"/>
              <w:bottom w:val="single" w:sz="4" w:space="0" w:color="auto"/>
              <w:right w:val="single" w:sz="4" w:space="0" w:color="auto"/>
            </w:tcBorders>
          </w:tcPr>
          <w:p w14:paraId="438A58AD" w14:textId="77777777" w:rsidR="00EC6347" w:rsidRPr="00196231" w:rsidRDefault="00EC6347" w:rsidP="00D6408F">
            <w:pPr>
              <w:pStyle w:val="TableText"/>
              <w:keepNext/>
              <w:jc w:val="center"/>
            </w:pPr>
            <w:r w:rsidRPr="00196231">
              <w:t>2.4</w:t>
            </w:r>
          </w:p>
        </w:tc>
      </w:tr>
      <w:tr w:rsidR="00EC6347" w:rsidRPr="00196231" w14:paraId="5C2DBCD6"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0C9FB2F5" w14:textId="77777777" w:rsidR="00EC6347" w:rsidRPr="00196231" w:rsidRDefault="00EC6347" w:rsidP="00D6408F">
            <w:pPr>
              <w:pStyle w:val="TableText"/>
              <w:keepNext/>
            </w:pPr>
            <w:r w:rsidRPr="00196231">
              <w:t>Hepatic flares</w:t>
            </w:r>
          </w:p>
        </w:tc>
        <w:tc>
          <w:tcPr>
            <w:tcW w:w="786" w:type="pct"/>
            <w:gridSpan w:val="2"/>
            <w:tcBorders>
              <w:top w:val="single" w:sz="4" w:space="0" w:color="auto"/>
              <w:left w:val="single" w:sz="4" w:space="0" w:color="auto"/>
              <w:bottom w:val="single" w:sz="4" w:space="0" w:color="auto"/>
              <w:right w:val="single" w:sz="4" w:space="0" w:color="auto"/>
            </w:tcBorders>
          </w:tcPr>
          <w:p w14:paraId="65A11920" w14:textId="77777777" w:rsidR="00EC6347" w:rsidRPr="00196231" w:rsidRDefault="00EC6347" w:rsidP="00D6408F">
            <w:pPr>
              <w:pStyle w:val="TableText"/>
              <w:keepNext/>
              <w:jc w:val="center"/>
            </w:pPr>
            <w:r w:rsidRPr="00196231">
              <w:t>7/49</w:t>
            </w:r>
          </w:p>
        </w:tc>
        <w:tc>
          <w:tcPr>
            <w:tcW w:w="628" w:type="pct"/>
            <w:tcBorders>
              <w:top w:val="single" w:sz="4" w:space="0" w:color="auto"/>
              <w:left w:val="single" w:sz="4" w:space="0" w:color="auto"/>
              <w:bottom w:val="single" w:sz="4" w:space="0" w:color="auto"/>
              <w:right w:val="single" w:sz="4" w:space="0" w:color="auto"/>
            </w:tcBorders>
          </w:tcPr>
          <w:p w14:paraId="704DBC56" w14:textId="77777777" w:rsidR="00EC6347" w:rsidRPr="00196231" w:rsidRDefault="00EC6347" w:rsidP="00D6408F">
            <w:pPr>
              <w:pStyle w:val="TableText"/>
              <w:keepNext/>
              <w:jc w:val="center"/>
            </w:pPr>
            <w:r w:rsidRPr="00196231">
              <w:t>4/51</w:t>
            </w:r>
          </w:p>
        </w:tc>
        <w:tc>
          <w:tcPr>
            <w:tcW w:w="788" w:type="pct"/>
            <w:gridSpan w:val="2"/>
            <w:tcBorders>
              <w:top w:val="single" w:sz="4" w:space="0" w:color="auto"/>
              <w:left w:val="single" w:sz="4" w:space="0" w:color="auto"/>
              <w:bottom w:val="single" w:sz="4" w:space="0" w:color="auto"/>
              <w:right w:val="single" w:sz="4" w:space="0" w:color="auto"/>
            </w:tcBorders>
          </w:tcPr>
          <w:p w14:paraId="713F15AB" w14:textId="77777777" w:rsidR="00EC6347" w:rsidRPr="00196231" w:rsidRDefault="00EC6347" w:rsidP="00D6408F">
            <w:pPr>
              <w:pStyle w:val="TableText"/>
              <w:keepNext/>
              <w:jc w:val="center"/>
            </w:pPr>
            <w:r w:rsidRPr="00196231">
              <w:t>14.3</w:t>
            </w:r>
          </w:p>
        </w:tc>
        <w:tc>
          <w:tcPr>
            <w:tcW w:w="591" w:type="pct"/>
            <w:gridSpan w:val="2"/>
            <w:tcBorders>
              <w:top w:val="single" w:sz="4" w:space="0" w:color="auto"/>
              <w:left w:val="single" w:sz="4" w:space="0" w:color="auto"/>
              <w:bottom w:val="single" w:sz="4" w:space="0" w:color="auto"/>
              <w:right w:val="single" w:sz="4" w:space="0" w:color="auto"/>
            </w:tcBorders>
          </w:tcPr>
          <w:p w14:paraId="1C2F26A7" w14:textId="77777777" w:rsidR="00EC6347" w:rsidRPr="00196231" w:rsidRDefault="00EC6347" w:rsidP="00D6408F">
            <w:pPr>
              <w:pStyle w:val="TableText"/>
              <w:keepNext/>
              <w:jc w:val="center"/>
            </w:pPr>
            <w:r w:rsidRPr="00196231">
              <w:t>7.8</w:t>
            </w:r>
          </w:p>
        </w:tc>
        <w:tc>
          <w:tcPr>
            <w:tcW w:w="796" w:type="pct"/>
            <w:tcBorders>
              <w:top w:val="single" w:sz="4" w:space="0" w:color="auto"/>
              <w:left w:val="single" w:sz="4" w:space="0" w:color="auto"/>
              <w:bottom w:val="single" w:sz="4" w:space="0" w:color="auto"/>
              <w:right w:val="single" w:sz="4" w:space="0" w:color="auto"/>
            </w:tcBorders>
          </w:tcPr>
          <w:p w14:paraId="57EA8CF0" w14:textId="77777777" w:rsidR="00EC6347" w:rsidRPr="00196231" w:rsidRDefault="00EC6347" w:rsidP="00D6408F">
            <w:pPr>
              <w:pStyle w:val="TableText"/>
              <w:keepNext/>
              <w:jc w:val="center"/>
            </w:pPr>
            <w:r w:rsidRPr="00196231">
              <w:t>6.4</w:t>
            </w:r>
          </w:p>
        </w:tc>
      </w:tr>
      <w:tr w:rsidR="00EC6347" w:rsidRPr="00196231" w14:paraId="5F0CE289"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61B23BED" w14:textId="77777777" w:rsidR="00EC6347" w:rsidRPr="00196231" w:rsidRDefault="00EC6347" w:rsidP="00D6408F">
            <w:pPr>
              <w:pStyle w:val="TableText"/>
              <w:keepNext/>
            </w:pPr>
            <w:r w:rsidRPr="00196231">
              <w:t>Eosinophilia and eosinophil count increased</w:t>
            </w:r>
          </w:p>
        </w:tc>
        <w:tc>
          <w:tcPr>
            <w:tcW w:w="786" w:type="pct"/>
            <w:gridSpan w:val="2"/>
            <w:tcBorders>
              <w:top w:val="single" w:sz="4" w:space="0" w:color="auto"/>
              <w:left w:val="single" w:sz="4" w:space="0" w:color="auto"/>
              <w:bottom w:val="single" w:sz="4" w:space="0" w:color="auto"/>
              <w:right w:val="single" w:sz="4" w:space="0" w:color="auto"/>
            </w:tcBorders>
          </w:tcPr>
          <w:p w14:paraId="0DB1D94E" w14:textId="77777777" w:rsidR="00EC6347" w:rsidRPr="00196231" w:rsidRDefault="00EC6347" w:rsidP="00D6408F">
            <w:pPr>
              <w:pStyle w:val="TableText"/>
              <w:keepNext/>
              <w:jc w:val="center"/>
            </w:pPr>
            <w:r w:rsidRPr="00196231">
              <w:t>5/49</w:t>
            </w:r>
          </w:p>
        </w:tc>
        <w:tc>
          <w:tcPr>
            <w:tcW w:w="628" w:type="pct"/>
            <w:tcBorders>
              <w:top w:val="single" w:sz="4" w:space="0" w:color="auto"/>
              <w:left w:val="single" w:sz="4" w:space="0" w:color="auto"/>
              <w:bottom w:val="single" w:sz="4" w:space="0" w:color="auto"/>
              <w:right w:val="single" w:sz="4" w:space="0" w:color="auto"/>
            </w:tcBorders>
          </w:tcPr>
          <w:p w14:paraId="7AEA2F84" w14:textId="77777777" w:rsidR="00EC6347" w:rsidRPr="00196231" w:rsidRDefault="00EC6347" w:rsidP="00D6408F">
            <w:pPr>
              <w:pStyle w:val="TableText"/>
              <w:keepNext/>
              <w:jc w:val="center"/>
            </w:pPr>
            <w:r w:rsidRPr="00196231">
              <w:t>1/51</w:t>
            </w:r>
          </w:p>
        </w:tc>
        <w:tc>
          <w:tcPr>
            <w:tcW w:w="788" w:type="pct"/>
            <w:gridSpan w:val="2"/>
            <w:tcBorders>
              <w:top w:val="single" w:sz="4" w:space="0" w:color="auto"/>
              <w:left w:val="single" w:sz="4" w:space="0" w:color="auto"/>
              <w:bottom w:val="single" w:sz="4" w:space="0" w:color="auto"/>
              <w:right w:val="single" w:sz="4" w:space="0" w:color="auto"/>
            </w:tcBorders>
          </w:tcPr>
          <w:p w14:paraId="052DE546" w14:textId="77777777" w:rsidR="00EC6347" w:rsidRPr="00196231" w:rsidRDefault="00EC6347" w:rsidP="00D6408F">
            <w:pPr>
              <w:pStyle w:val="TableText"/>
              <w:keepNext/>
              <w:jc w:val="center"/>
            </w:pPr>
            <w:r w:rsidRPr="00196231">
              <w:t>10.2</w:t>
            </w:r>
          </w:p>
        </w:tc>
        <w:tc>
          <w:tcPr>
            <w:tcW w:w="591" w:type="pct"/>
            <w:gridSpan w:val="2"/>
            <w:tcBorders>
              <w:top w:val="single" w:sz="4" w:space="0" w:color="auto"/>
              <w:left w:val="single" w:sz="4" w:space="0" w:color="auto"/>
              <w:bottom w:val="single" w:sz="4" w:space="0" w:color="auto"/>
              <w:right w:val="single" w:sz="4" w:space="0" w:color="auto"/>
            </w:tcBorders>
          </w:tcPr>
          <w:p w14:paraId="4CC16DE5" w14:textId="77777777" w:rsidR="00EC6347" w:rsidRPr="00196231" w:rsidRDefault="00EC6347" w:rsidP="00D6408F">
            <w:pPr>
              <w:pStyle w:val="TableText"/>
              <w:keepNext/>
              <w:jc w:val="center"/>
            </w:pPr>
            <w:r w:rsidRPr="00196231">
              <w:t>2.0</w:t>
            </w:r>
          </w:p>
        </w:tc>
        <w:tc>
          <w:tcPr>
            <w:tcW w:w="796" w:type="pct"/>
            <w:tcBorders>
              <w:top w:val="single" w:sz="4" w:space="0" w:color="auto"/>
              <w:left w:val="single" w:sz="4" w:space="0" w:color="auto"/>
              <w:bottom w:val="single" w:sz="4" w:space="0" w:color="auto"/>
              <w:right w:val="single" w:sz="4" w:space="0" w:color="auto"/>
            </w:tcBorders>
          </w:tcPr>
          <w:p w14:paraId="33A1BE43" w14:textId="77777777" w:rsidR="00EC6347" w:rsidRPr="00196231" w:rsidRDefault="00EC6347" w:rsidP="00D6408F">
            <w:pPr>
              <w:pStyle w:val="TableText"/>
              <w:keepNext/>
              <w:jc w:val="center"/>
            </w:pPr>
            <w:r w:rsidRPr="00196231">
              <w:t>8.2</w:t>
            </w:r>
          </w:p>
        </w:tc>
      </w:tr>
      <w:tr w:rsidR="00EC6347" w:rsidRPr="00196231" w14:paraId="2F04AF06"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0C5B8594" w14:textId="77777777" w:rsidR="00EC6347" w:rsidRPr="00196231" w:rsidRDefault="00EC6347" w:rsidP="00D6408F">
            <w:pPr>
              <w:pStyle w:val="TableText"/>
              <w:keepNext/>
            </w:pPr>
            <w:r w:rsidRPr="00196231">
              <w:t>Injection site reactions</w:t>
            </w:r>
          </w:p>
        </w:tc>
        <w:tc>
          <w:tcPr>
            <w:tcW w:w="786" w:type="pct"/>
            <w:gridSpan w:val="2"/>
            <w:tcBorders>
              <w:top w:val="single" w:sz="4" w:space="0" w:color="auto"/>
              <w:left w:val="single" w:sz="4" w:space="0" w:color="auto"/>
              <w:bottom w:val="single" w:sz="4" w:space="0" w:color="auto"/>
              <w:right w:val="single" w:sz="4" w:space="0" w:color="auto"/>
            </w:tcBorders>
          </w:tcPr>
          <w:p w14:paraId="2E203025" w14:textId="77777777" w:rsidR="00EC6347" w:rsidRPr="00196231" w:rsidRDefault="00EC6347" w:rsidP="00D6408F">
            <w:pPr>
              <w:pStyle w:val="TableText"/>
              <w:keepNext/>
              <w:jc w:val="center"/>
            </w:pPr>
            <w:r w:rsidRPr="00196231">
              <w:t>8/49</w:t>
            </w:r>
          </w:p>
        </w:tc>
        <w:tc>
          <w:tcPr>
            <w:tcW w:w="628" w:type="pct"/>
            <w:tcBorders>
              <w:top w:val="single" w:sz="4" w:space="0" w:color="auto"/>
              <w:left w:val="single" w:sz="4" w:space="0" w:color="auto"/>
              <w:bottom w:val="single" w:sz="4" w:space="0" w:color="auto"/>
              <w:right w:val="single" w:sz="4" w:space="0" w:color="auto"/>
            </w:tcBorders>
          </w:tcPr>
          <w:p w14:paraId="23E3C9D2" w14:textId="77777777" w:rsidR="00EC6347" w:rsidRPr="00196231" w:rsidRDefault="00EC6347" w:rsidP="00D6408F">
            <w:pPr>
              <w:pStyle w:val="TableText"/>
              <w:keepNext/>
              <w:jc w:val="center"/>
            </w:pPr>
            <w:r w:rsidRPr="00196231">
              <w:t>0/51</w:t>
            </w:r>
          </w:p>
        </w:tc>
        <w:tc>
          <w:tcPr>
            <w:tcW w:w="788" w:type="pct"/>
            <w:gridSpan w:val="2"/>
            <w:tcBorders>
              <w:top w:val="single" w:sz="4" w:space="0" w:color="auto"/>
              <w:left w:val="single" w:sz="4" w:space="0" w:color="auto"/>
              <w:bottom w:val="single" w:sz="4" w:space="0" w:color="auto"/>
              <w:right w:val="single" w:sz="4" w:space="0" w:color="auto"/>
            </w:tcBorders>
          </w:tcPr>
          <w:p w14:paraId="74C2309D" w14:textId="77777777" w:rsidR="00EC6347" w:rsidRPr="00196231" w:rsidRDefault="00EC6347" w:rsidP="00D6408F">
            <w:pPr>
              <w:pStyle w:val="TableText"/>
              <w:keepNext/>
              <w:jc w:val="center"/>
            </w:pPr>
            <w:r w:rsidRPr="00196231">
              <w:t>16.3</w:t>
            </w:r>
          </w:p>
        </w:tc>
        <w:tc>
          <w:tcPr>
            <w:tcW w:w="591" w:type="pct"/>
            <w:gridSpan w:val="2"/>
            <w:tcBorders>
              <w:top w:val="single" w:sz="4" w:space="0" w:color="auto"/>
              <w:left w:val="single" w:sz="4" w:space="0" w:color="auto"/>
              <w:bottom w:val="single" w:sz="4" w:space="0" w:color="auto"/>
              <w:right w:val="single" w:sz="4" w:space="0" w:color="auto"/>
            </w:tcBorders>
          </w:tcPr>
          <w:p w14:paraId="58CFE122" w14:textId="77777777" w:rsidR="00EC6347" w:rsidRPr="00196231" w:rsidRDefault="00EC6347" w:rsidP="00D6408F">
            <w:pPr>
              <w:pStyle w:val="TableText"/>
              <w:keepNext/>
              <w:jc w:val="center"/>
            </w:pPr>
            <w:r w:rsidRPr="00196231">
              <w:t>0</w:t>
            </w:r>
          </w:p>
        </w:tc>
        <w:tc>
          <w:tcPr>
            <w:tcW w:w="796" w:type="pct"/>
            <w:tcBorders>
              <w:top w:val="single" w:sz="4" w:space="0" w:color="auto"/>
              <w:left w:val="single" w:sz="4" w:space="0" w:color="auto"/>
              <w:bottom w:val="single" w:sz="4" w:space="0" w:color="auto"/>
              <w:right w:val="single" w:sz="4" w:space="0" w:color="auto"/>
            </w:tcBorders>
          </w:tcPr>
          <w:p w14:paraId="39FCB6FC" w14:textId="77777777" w:rsidR="00EC6347" w:rsidRPr="00196231" w:rsidRDefault="00EC6347" w:rsidP="00D6408F">
            <w:pPr>
              <w:pStyle w:val="TableText"/>
              <w:keepNext/>
              <w:jc w:val="center"/>
            </w:pPr>
            <w:r w:rsidRPr="00196231">
              <w:t>16.3</w:t>
            </w:r>
          </w:p>
        </w:tc>
      </w:tr>
      <w:tr w:rsidR="00EC6347" w:rsidRPr="00196231" w14:paraId="568CA537" w14:textId="77777777" w:rsidTr="00C1556F">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61BB4BF9" w14:textId="77777777" w:rsidR="00EC6347" w:rsidRPr="00196231" w:rsidRDefault="00EC6347" w:rsidP="00D6408F">
            <w:pPr>
              <w:pStyle w:val="TableText"/>
              <w:keepNext/>
            </w:pPr>
            <w:r w:rsidRPr="00196231">
              <w:t>Skin and subcutaneous disorders</w:t>
            </w:r>
          </w:p>
        </w:tc>
        <w:tc>
          <w:tcPr>
            <w:tcW w:w="786" w:type="pct"/>
            <w:gridSpan w:val="2"/>
            <w:tcBorders>
              <w:top w:val="single" w:sz="4" w:space="0" w:color="auto"/>
              <w:left w:val="single" w:sz="4" w:space="0" w:color="auto"/>
              <w:bottom w:val="single" w:sz="4" w:space="0" w:color="auto"/>
              <w:right w:val="single" w:sz="4" w:space="0" w:color="auto"/>
            </w:tcBorders>
          </w:tcPr>
          <w:p w14:paraId="695E84A5" w14:textId="77777777" w:rsidR="00EC6347" w:rsidRPr="00196231" w:rsidRDefault="00EC6347" w:rsidP="00D6408F">
            <w:pPr>
              <w:pStyle w:val="TableText"/>
              <w:keepNext/>
              <w:jc w:val="center"/>
            </w:pPr>
            <w:r w:rsidRPr="00196231">
              <w:t>9/49</w:t>
            </w:r>
          </w:p>
        </w:tc>
        <w:tc>
          <w:tcPr>
            <w:tcW w:w="628" w:type="pct"/>
            <w:tcBorders>
              <w:top w:val="single" w:sz="4" w:space="0" w:color="auto"/>
              <w:left w:val="single" w:sz="4" w:space="0" w:color="auto"/>
              <w:bottom w:val="single" w:sz="4" w:space="0" w:color="auto"/>
              <w:right w:val="single" w:sz="4" w:space="0" w:color="auto"/>
            </w:tcBorders>
          </w:tcPr>
          <w:p w14:paraId="6A138B13" w14:textId="77777777" w:rsidR="00EC6347" w:rsidRPr="00196231" w:rsidRDefault="00EC6347" w:rsidP="00D6408F">
            <w:pPr>
              <w:pStyle w:val="TableText"/>
              <w:keepNext/>
              <w:jc w:val="center"/>
            </w:pPr>
            <w:r w:rsidRPr="00196231">
              <w:t>1/51</w:t>
            </w:r>
          </w:p>
        </w:tc>
        <w:tc>
          <w:tcPr>
            <w:tcW w:w="788" w:type="pct"/>
            <w:gridSpan w:val="2"/>
            <w:tcBorders>
              <w:top w:val="single" w:sz="4" w:space="0" w:color="auto"/>
              <w:left w:val="single" w:sz="4" w:space="0" w:color="auto"/>
              <w:bottom w:val="single" w:sz="4" w:space="0" w:color="auto"/>
              <w:right w:val="single" w:sz="4" w:space="0" w:color="auto"/>
            </w:tcBorders>
          </w:tcPr>
          <w:p w14:paraId="0ACB4FA4" w14:textId="77777777" w:rsidR="00EC6347" w:rsidRPr="00196231" w:rsidRDefault="00EC6347" w:rsidP="00D6408F">
            <w:pPr>
              <w:pStyle w:val="TableText"/>
              <w:keepNext/>
              <w:jc w:val="center"/>
            </w:pPr>
            <w:r w:rsidRPr="00196231">
              <w:t>18.4</w:t>
            </w:r>
          </w:p>
        </w:tc>
        <w:tc>
          <w:tcPr>
            <w:tcW w:w="591" w:type="pct"/>
            <w:gridSpan w:val="2"/>
            <w:tcBorders>
              <w:top w:val="single" w:sz="4" w:space="0" w:color="auto"/>
              <w:left w:val="single" w:sz="4" w:space="0" w:color="auto"/>
              <w:bottom w:val="single" w:sz="4" w:space="0" w:color="auto"/>
              <w:right w:val="single" w:sz="4" w:space="0" w:color="auto"/>
            </w:tcBorders>
          </w:tcPr>
          <w:p w14:paraId="34BB0418" w14:textId="77777777" w:rsidR="00EC6347" w:rsidRPr="00196231" w:rsidRDefault="00EC6347" w:rsidP="00D6408F">
            <w:pPr>
              <w:pStyle w:val="TableText"/>
              <w:keepNext/>
              <w:jc w:val="center"/>
            </w:pPr>
            <w:r w:rsidRPr="00196231">
              <w:t>2.0</w:t>
            </w:r>
          </w:p>
        </w:tc>
        <w:tc>
          <w:tcPr>
            <w:tcW w:w="796" w:type="pct"/>
            <w:tcBorders>
              <w:top w:val="single" w:sz="4" w:space="0" w:color="auto"/>
              <w:left w:val="single" w:sz="4" w:space="0" w:color="auto"/>
              <w:bottom w:val="single" w:sz="4" w:space="0" w:color="auto"/>
              <w:right w:val="single" w:sz="4" w:space="0" w:color="auto"/>
            </w:tcBorders>
          </w:tcPr>
          <w:p w14:paraId="0598EB6F" w14:textId="77777777" w:rsidR="00EC6347" w:rsidRPr="00196231" w:rsidRDefault="00EC6347" w:rsidP="00D6408F">
            <w:pPr>
              <w:pStyle w:val="TableText"/>
              <w:keepNext/>
              <w:jc w:val="center"/>
            </w:pPr>
            <w:r w:rsidRPr="00196231">
              <w:t>16.4</w:t>
            </w:r>
          </w:p>
        </w:tc>
      </w:tr>
    </w:tbl>
    <w:p w14:paraId="6CAB090B" w14:textId="77777777" w:rsidR="00EC6347" w:rsidRPr="00196231" w:rsidRDefault="00EC6347" w:rsidP="00D6408F">
      <w:pPr>
        <w:pStyle w:val="TableFooter"/>
        <w:keepNext/>
      </w:pPr>
      <w:r w:rsidRPr="00196231">
        <w:t>Source: Table 2.10-1, p104; Table 2.10-2, p105; Table 2.10-3, p107; Table 2.10-4, p108; Table 2.10-7, p118; Table 2.10-10, p123 of the submission</w:t>
      </w:r>
    </w:p>
    <w:p w14:paraId="7886D192" w14:textId="77777777" w:rsidR="00EC6347" w:rsidRPr="00196231" w:rsidRDefault="00EC6347" w:rsidP="00D6408F">
      <w:pPr>
        <w:pStyle w:val="TableFooter"/>
        <w:keepNext/>
      </w:pPr>
      <w:r w:rsidRPr="00196231">
        <w:t>ALT = alanine aminotransferase; BSC = best supportive care; HDV = hepatitis D virus; RNA = ribonucleic acid; TEAE = treatment-emergent adverse event</w:t>
      </w:r>
    </w:p>
    <w:p w14:paraId="6722C180" w14:textId="5F31D78A" w:rsidR="00EC6347" w:rsidRPr="00196231" w:rsidRDefault="00EC6347" w:rsidP="00D6408F">
      <w:pPr>
        <w:pStyle w:val="TableFooter"/>
        <w:keepNext/>
      </w:pPr>
      <w:r w:rsidRPr="00196231">
        <w:rPr>
          <w:vertAlign w:val="superscript"/>
        </w:rPr>
        <w:t>a</w:t>
      </w:r>
      <w:r w:rsidRPr="00196231">
        <w:t xml:space="preserve"> Defined as undetectable HDV RNA (HDV RNA &lt; lower level of detection (L</w:t>
      </w:r>
      <w:r w:rsidR="003A6EC7" w:rsidRPr="00196231">
        <w:t>l</w:t>
      </w:r>
      <w:r w:rsidRPr="00196231">
        <w:t>oD)) or decrease in HDV RNA by ≥ 2 log</w:t>
      </w:r>
      <w:r w:rsidRPr="00196231">
        <w:rPr>
          <w:vertAlign w:val="subscript"/>
        </w:rPr>
        <w:t>10</w:t>
      </w:r>
      <w:r w:rsidRPr="00196231">
        <w:t xml:space="preserve"> IU/ml from baseline and ALT normalisation (i.e., below the central laboratory defined upper level of normal (ULN))</w:t>
      </w:r>
    </w:p>
    <w:p w14:paraId="3B664842" w14:textId="77777777" w:rsidR="00EC6347" w:rsidRPr="00196231" w:rsidRDefault="00EC6347" w:rsidP="00D6408F">
      <w:pPr>
        <w:pStyle w:val="TableFooter"/>
        <w:keepNext/>
      </w:pPr>
      <w:r w:rsidRPr="00196231">
        <w:rPr>
          <w:vertAlign w:val="superscript"/>
        </w:rPr>
        <w:t>b</w:t>
      </w:r>
      <w:r w:rsidRPr="00196231">
        <w:t xml:space="preserve"> D</w:t>
      </w:r>
      <w:r w:rsidRPr="00196231">
        <w:rPr>
          <w:szCs w:val="18"/>
        </w:rPr>
        <w:t>efined as undetectable HDV RNA or decrease in HDV RNA by ≥ 2 log</w:t>
      </w:r>
      <w:r w:rsidRPr="00196231">
        <w:rPr>
          <w:szCs w:val="18"/>
          <w:vertAlign w:val="subscript"/>
        </w:rPr>
        <w:t>10</w:t>
      </w:r>
      <w:r w:rsidRPr="00196231">
        <w:rPr>
          <w:szCs w:val="18"/>
        </w:rPr>
        <w:t xml:space="preserve"> IU/ml from baseline</w:t>
      </w:r>
    </w:p>
    <w:p w14:paraId="5DEED003" w14:textId="77777777" w:rsidR="00EC6347" w:rsidRPr="00196231" w:rsidRDefault="00EC6347" w:rsidP="00D6408F">
      <w:pPr>
        <w:pStyle w:val="TableFooter"/>
        <w:keepNext/>
        <w:rPr>
          <w:bCs/>
        </w:rPr>
      </w:pPr>
      <w:r w:rsidRPr="00196231">
        <w:rPr>
          <w:bCs/>
          <w:vertAlign w:val="superscript"/>
        </w:rPr>
        <w:t>c</w:t>
      </w:r>
      <w:r w:rsidRPr="00196231">
        <w:rPr>
          <w:bCs/>
        </w:rPr>
        <w:t xml:space="preserve"> ALT normalisation: ≤31 U/L for females and ≤41 U/L for males (Russian sites); ≤ 34 U/L for females and ≤ 49 U/L for males (all other sites)</w:t>
      </w:r>
    </w:p>
    <w:p w14:paraId="2DAEDA3C" w14:textId="77777777" w:rsidR="00EC6347" w:rsidRPr="00196231" w:rsidRDefault="00EC6347" w:rsidP="00D6408F">
      <w:pPr>
        <w:pStyle w:val="TableFooter"/>
        <w:keepNext/>
        <w:rPr>
          <w:bCs/>
        </w:rPr>
      </w:pPr>
      <w:r w:rsidRPr="00196231">
        <w:rPr>
          <w:bCs/>
          <w:vertAlign w:val="superscript"/>
        </w:rPr>
        <w:t>d</w:t>
      </w:r>
      <w:r w:rsidRPr="00196231">
        <w:rPr>
          <w:bCs/>
        </w:rPr>
        <w:t xml:space="preserve"> 96% CI was reported for the RD of the primary endpoint of combined response at Week 48 between the two treatment arms, according to the statistical analysis plan.</w:t>
      </w:r>
    </w:p>
    <w:p w14:paraId="46E6D5AD" w14:textId="1C0FD675" w:rsidR="00EC6347" w:rsidRPr="00196231" w:rsidRDefault="00EC6347" w:rsidP="00D6408F">
      <w:pPr>
        <w:pStyle w:val="TableFooter"/>
        <w:spacing w:after="120"/>
        <w:contextualSpacing w:val="0"/>
        <w:rPr>
          <w:bCs/>
        </w:rPr>
      </w:pPr>
      <w:r w:rsidRPr="00196231">
        <w:rPr>
          <w:bCs/>
          <w:vertAlign w:val="superscript"/>
        </w:rPr>
        <w:t xml:space="preserve">e </w:t>
      </w:r>
      <w:r w:rsidRPr="00196231">
        <w:rPr>
          <w:bCs/>
        </w:rPr>
        <w:t xml:space="preserve">The number of participants in analysis of liver stiffness at Week 48 was 48 in the bulevirtide arm and 45 and in the delayed treatment arm. </w:t>
      </w:r>
    </w:p>
    <w:p w14:paraId="20A034F4" w14:textId="6B4E9699" w:rsidR="00EC6347" w:rsidRPr="00196231" w:rsidRDefault="00EC6347" w:rsidP="00D6408F">
      <w:pPr>
        <w:pStyle w:val="3-BodyText"/>
      </w:pPr>
      <w:r>
        <w:t>On the basis of the MYR301 trial presented by the submission, for every 100 patients treated with bulevirtide in comparison to BSC and over a treatment duration of 48 weeks:</w:t>
      </w:r>
    </w:p>
    <w:p w14:paraId="3D1C25B8" w14:textId="77777777" w:rsidR="00EC6347" w:rsidRPr="00196231" w:rsidRDefault="00EC6347" w:rsidP="00D6408F">
      <w:pPr>
        <w:pStyle w:val="PBACESParagraphBulletPoint"/>
        <w:spacing w:before="0"/>
      </w:pPr>
      <w:r w:rsidRPr="00196231">
        <w:t>Approximately 43 additional patients would achieve a combined response (i.e.,</w:t>
      </w:r>
      <w:r w:rsidRPr="00196231">
        <w:rPr>
          <w:i/>
          <w:iCs/>
        </w:rPr>
        <w:t xml:space="preserve"> </w:t>
      </w:r>
      <w:r w:rsidRPr="00196231">
        <w:t>undetectable HDV RNA or a reduction of serum HDV RNA viral load ≥ 2 log</w:t>
      </w:r>
      <w:r w:rsidRPr="00196231">
        <w:rPr>
          <w:vertAlign w:val="subscript"/>
        </w:rPr>
        <w:t>10</w:t>
      </w:r>
      <w:r w:rsidRPr="00196231">
        <w:t xml:space="preserve"> IU/ml from baseline, and ALT normalisation) at Week 48. </w:t>
      </w:r>
    </w:p>
    <w:p w14:paraId="7BDFDCB5" w14:textId="77777777" w:rsidR="00EC6347" w:rsidRPr="00196231" w:rsidRDefault="00EC6347" w:rsidP="00D6408F">
      <w:pPr>
        <w:pStyle w:val="PBACESParagraphBulletPoint"/>
      </w:pPr>
      <w:r w:rsidRPr="00196231">
        <w:t>Approximately 70 additional patients would achieve either undetectable HDV RNA or a decrease in HDV RNA by ≥ 2 log</w:t>
      </w:r>
      <w:r w:rsidRPr="00196231">
        <w:rPr>
          <w:vertAlign w:val="subscript"/>
        </w:rPr>
        <w:t>10</w:t>
      </w:r>
      <w:r w:rsidRPr="00196231">
        <w:t xml:space="preserve"> IU/ml from baseline at Week 48. </w:t>
      </w:r>
    </w:p>
    <w:p w14:paraId="5622F5ED" w14:textId="26A31781" w:rsidR="00EC6347" w:rsidRPr="00196231" w:rsidRDefault="00EC6347" w:rsidP="00D6408F">
      <w:pPr>
        <w:pStyle w:val="PBACESParagraphBulletPoint"/>
      </w:pPr>
      <w:r w:rsidRPr="00196231">
        <w:t xml:space="preserve">Approximately 12 additional patients would have undetectable HDV RNA at </w:t>
      </w:r>
      <w:r w:rsidR="007230A5" w:rsidRPr="00196231">
        <w:t>Week</w:t>
      </w:r>
      <w:r w:rsidR="007230A5">
        <w:t> </w:t>
      </w:r>
      <w:r w:rsidRPr="00196231">
        <w:t xml:space="preserve">48. </w:t>
      </w:r>
    </w:p>
    <w:p w14:paraId="16416DC6" w14:textId="77777777" w:rsidR="00EC6347" w:rsidRPr="00196231" w:rsidRDefault="00EC6347" w:rsidP="00D6408F">
      <w:pPr>
        <w:pStyle w:val="PBACESParagraphBulletPoint"/>
      </w:pPr>
      <w:r w:rsidRPr="00196231">
        <w:lastRenderedPageBreak/>
        <w:t xml:space="preserve">Approximately 39 additional patients would have their ALT level return to normal at Week 48. </w:t>
      </w:r>
    </w:p>
    <w:p w14:paraId="671D1540" w14:textId="209A84A4" w:rsidR="00EC6347" w:rsidRPr="00196231" w:rsidRDefault="00EC6347" w:rsidP="00D6408F">
      <w:pPr>
        <w:pStyle w:val="PBACESParagraphBulletPoint"/>
      </w:pPr>
      <w:r w:rsidRPr="00196231">
        <w:t>Approximately 49 additional patients would have any drug-relate</w:t>
      </w:r>
      <w:r w:rsidR="00C1556F">
        <w:t>d</w:t>
      </w:r>
      <w:r w:rsidRPr="00196231">
        <w:t xml:space="preserve"> TEAEs. </w:t>
      </w:r>
    </w:p>
    <w:p w14:paraId="61C52DA9" w14:textId="77777777" w:rsidR="00EC6347" w:rsidRPr="00196231" w:rsidRDefault="00EC6347" w:rsidP="00D6408F">
      <w:pPr>
        <w:pStyle w:val="PBACESParagraphBulletPoint"/>
      </w:pPr>
      <w:r w:rsidRPr="00196231">
        <w:t xml:space="preserve">Approximately 2 additional patients would experience TEAEs of </w:t>
      </w:r>
      <w:r w:rsidRPr="00196231">
        <w:rPr>
          <w:rFonts w:cstheme="minorHAnsi"/>
        </w:rPr>
        <w:t>≥</w:t>
      </w:r>
      <w:r w:rsidRPr="00196231">
        <w:t xml:space="preserve"> Grade 3. </w:t>
      </w:r>
    </w:p>
    <w:p w14:paraId="64759E6F" w14:textId="07DE8CB3" w:rsidR="00EC6347" w:rsidRPr="00196231" w:rsidRDefault="00EC6347" w:rsidP="00D6408F">
      <w:pPr>
        <w:pStyle w:val="PBACESParagraphBulletPoint"/>
      </w:pPr>
      <w:r w:rsidRPr="00196231">
        <w:t>Approximately 6 additional patients would experience A</w:t>
      </w:r>
      <w:r w:rsidR="00A33F9B">
        <w:t>E</w:t>
      </w:r>
      <w:r w:rsidRPr="00196231">
        <w:t xml:space="preserve">s indicative of hepatic flare. </w:t>
      </w:r>
    </w:p>
    <w:p w14:paraId="02F67AB8" w14:textId="7A458740" w:rsidR="00BA1178" w:rsidRPr="00543EB7" w:rsidRDefault="00BA1178" w:rsidP="00D6408F">
      <w:pPr>
        <w:pStyle w:val="4-SubsectionHeading"/>
      </w:pPr>
      <w:bookmarkStart w:id="42" w:name="_Toc156984636"/>
      <w:r w:rsidRPr="00543EB7">
        <w:t>Surrogate measures to target clinical outcomes</w:t>
      </w:r>
    </w:p>
    <w:p w14:paraId="44CE965F" w14:textId="5401085B" w:rsidR="00BA1178" w:rsidRPr="00D20CA8" w:rsidRDefault="00BA1178" w:rsidP="00D6408F">
      <w:pPr>
        <w:pStyle w:val="3-BodyText"/>
      </w:pPr>
      <w:bookmarkStart w:id="43" w:name="_Ref159581818"/>
      <w:r w:rsidRPr="00D20CA8">
        <w:t xml:space="preserve">Surrogate endpoints in chronic HDV have </w:t>
      </w:r>
      <w:r>
        <w:t xml:space="preserve">not </w:t>
      </w:r>
      <w:r w:rsidRPr="00D20CA8">
        <w:t xml:space="preserve">been previously considered by the PBAC. </w:t>
      </w:r>
      <w:r>
        <w:t>The submission presented a systematic review and meta-analysis to support the relationship of HDV RNA reduction or undetectability or ALT normalisation on chronic HDV progression but did</w:t>
      </w:r>
      <w:r w:rsidRPr="00D20CA8">
        <w:t xml:space="preserve"> not explicitly use the framework in the PBAC guidelines for translating the comparative treatment effects of the proposed surrogate measure to target clinical outcomes (Appendix 5, PBAC guidelines (v5.0)). Briefly:</w:t>
      </w:r>
      <w:bookmarkEnd w:id="43"/>
    </w:p>
    <w:p w14:paraId="446B96D3" w14:textId="77777777" w:rsidR="00BA1178" w:rsidRPr="00D20CA8" w:rsidRDefault="00BA1178" w:rsidP="00D6408F">
      <w:pPr>
        <w:pStyle w:val="ListParagraph"/>
        <w:numPr>
          <w:ilvl w:val="0"/>
          <w:numId w:val="19"/>
        </w:numPr>
        <w:spacing w:after="120"/>
      </w:pPr>
      <w:r w:rsidRPr="00D20CA8">
        <w:t>The proposed surrogate measure applied in model was virologic response (i.e. undetectable RNA or HDV RNA decline by ≥2 log</w:t>
      </w:r>
      <w:r w:rsidRPr="00D20CA8">
        <w:rPr>
          <w:vertAlign w:val="subscript"/>
        </w:rPr>
        <w:t>10</w:t>
      </w:r>
      <w:r w:rsidRPr="00D20CA8">
        <w:t> IU/mL). In the trial this was measured using the Robogene assay, which has a lower limit of detection (LloD) of 6 IU/mL.</w:t>
      </w:r>
    </w:p>
    <w:p w14:paraId="6E86051A" w14:textId="77777777" w:rsidR="00BA1178" w:rsidRPr="00D20CA8" w:rsidRDefault="00BA1178" w:rsidP="00D6408F">
      <w:pPr>
        <w:pStyle w:val="ListParagraph"/>
        <w:numPr>
          <w:ilvl w:val="0"/>
          <w:numId w:val="19"/>
        </w:numPr>
        <w:spacing w:after="120"/>
      </w:pPr>
      <w:r w:rsidRPr="00D20CA8">
        <w:t>The target clinical outcome was reduced progression or regression of liver-related events (CC, DCC, HCC or liver-related mortality) in chronic HDV.</w:t>
      </w:r>
    </w:p>
    <w:p w14:paraId="267E983B" w14:textId="77777777" w:rsidR="00BA1178" w:rsidRPr="00D20CA8" w:rsidRDefault="00BA1178" w:rsidP="00D6408F">
      <w:pPr>
        <w:pStyle w:val="ListParagraph"/>
        <w:numPr>
          <w:ilvl w:val="0"/>
          <w:numId w:val="19"/>
        </w:numPr>
        <w:spacing w:after="120"/>
      </w:pPr>
      <w:r w:rsidRPr="00D20CA8">
        <w:t>The biological plausibility of the relationship between the proposed surrogate measure and the target clinical outcome was that detectable RNA is indicative of an actively replicating virus, which contributes to hepatitis disease progression. Therefore reducing levels of RNA may indicate a suppression of viral activity, which may slow or reverse liver-related disease progression.</w:t>
      </w:r>
    </w:p>
    <w:p w14:paraId="61A2C48E" w14:textId="56C6CE5C" w:rsidR="00BA1178" w:rsidRPr="00D20CA8" w:rsidRDefault="00BA1178" w:rsidP="00D6408F">
      <w:pPr>
        <w:pStyle w:val="3-BodyText"/>
      </w:pPr>
      <w:bookmarkStart w:id="44" w:name="_Ref163818326"/>
      <w:r w:rsidRPr="00BA1178">
        <w:t>The comparisons presented in a number of the studies are unlikely to be applicable to</w:t>
      </w:r>
      <w:r w:rsidRPr="00D20CA8">
        <w:t xml:space="preserve"> inform the relationship between response as observed in the MYR301 trial and liver-related outcomes in patients with chronic HDV. Some studies presented a comparison of outcomes in patients with acute versus chronic HDV infections or compared outcomes in HBV mono-infection versus HBV/HDV infection. Some studies did not test patients for RNA.</w:t>
      </w:r>
      <w:bookmarkEnd w:id="44"/>
    </w:p>
    <w:p w14:paraId="3B2ECC26" w14:textId="59C970E6" w:rsidR="00BA1178" w:rsidRPr="00BA1178" w:rsidRDefault="00BA1178" w:rsidP="00D6408F">
      <w:pPr>
        <w:pStyle w:val="3-BodyText"/>
        <w:rPr>
          <w:i/>
          <w:iCs/>
        </w:rPr>
      </w:pPr>
      <w:r w:rsidRPr="00D20CA8">
        <w:t>Where relevant comparisons were presented, in general, the definition of the surrogate measure (detectable versus undetectable RNA) used was narrower than the definition of virologic response used in MYR301. Only one study was identified that presented comparisons consistent with the definition of virologic response in MYR301 (undetectable RNA or decrease in HDV RNA levels by ≥2 log</w:t>
      </w:r>
      <w:r w:rsidRPr="00D20CA8">
        <w:rPr>
          <w:vertAlign w:val="subscript"/>
        </w:rPr>
        <w:t>10</w:t>
      </w:r>
      <w:r w:rsidRPr="00D20CA8">
        <w:t xml:space="preserve"> IU/mL from baseline), though the LloD in this study was noted to be higher than the test used in the trial (100 IU/mL versus 6 IU/mL). After excluding studies that contained irrelevant comparisons, revised meta-analyses presented show an increased risk of liver-related events in chronic HDV patients with anti-HDV positive who have detectable HDV RNA </w:t>
      </w:r>
      <w:r w:rsidRPr="00D20CA8">
        <w:lastRenderedPageBreak/>
        <w:t>compared to those with undetectable HDV RNA. Therefore use of response rates from MYR301 defined as undetectable RNA may be more consistent with the studies included in the meta-analyses. However, heterogeneity was also observed across the studies in terms of the LloD of the tests applied and in general differed to the LloD of the test used in the MYR301 trial. It is unclear what impact differences in LLoD have on the transformation of the surrogate to clinical outcomes.</w:t>
      </w:r>
      <w:r>
        <w:t xml:space="preserve"> </w:t>
      </w:r>
      <w:bookmarkStart w:id="45" w:name="_Ref159423273"/>
      <w:r w:rsidR="00817F36">
        <w:t xml:space="preserve">The Pre-PBAC </w:t>
      </w:r>
      <w:r w:rsidR="002F3A1E">
        <w:t>r</w:t>
      </w:r>
      <w:r w:rsidR="00817F36">
        <w:t xml:space="preserve">esponse  argued the assays used to quantify HDV RNA had improved over time and a test able to detect HDV RNA to a level of 6 IU/mL did not become available until approximately 2017. Furthermore, the </w:t>
      </w:r>
      <w:r w:rsidR="002F3A1E">
        <w:t>Pre-PBAC r</w:t>
      </w:r>
      <w:r w:rsidR="00817F36">
        <w:t>esponse argued therefore it is not appropriate to use ‘undetectable HDV RNA’ as a singular outcome as the benchmark for detection has changed with improving tests over time</w:t>
      </w:r>
      <w:r w:rsidR="00072D07">
        <w:t xml:space="preserve">; therefore the use of an alternate measure such as a reduction in HDV RNA was more appropriate, and the threshold of a </w:t>
      </w:r>
      <w:r w:rsidR="00072D07">
        <w:rPr>
          <w:rFonts w:cstheme="minorHAnsi"/>
        </w:rPr>
        <w:t>-</w:t>
      </w:r>
      <w:r w:rsidR="00072D07">
        <w:t>2 log</w:t>
      </w:r>
      <w:r w:rsidR="00072D07">
        <w:rPr>
          <w:vertAlign w:val="subscript"/>
        </w:rPr>
        <w:t>10</w:t>
      </w:r>
      <w:r w:rsidR="00072D07">
        <w:t xml:space="preserve"> reduction has previously been associated with clinical benefit in Farci 2004.</w:t>
      </w:r>
    </w:p>
    <w:p w14:paraId="3C5B7379" w14:textId="4BFCA564" w:rsidR="00BA1178" w:rsidRPr="00543EB7" w:rsidRDefault="00BA1178" w:rsidP="00D6408F">
      <w:pPr>
        <w:pStyle w:val="3-BodyText"/>
      </w:pPr>
      <w:r w:rsidRPr="00543EB7">
        <w:t xml:space="preserve">The PSCR argued that </w:t>
      </w:r>
      <w:r w:rsidRPr="00543EB7">
        <w:rPr>
          <w:lang w:val="en-GB"/>
        </w:rPr>
        <w:t xml:space="preserve">persistent HDV RNA viraemia is the strongest predictor factor of cirrhosis, liver decompensation, HCC and death (Roulot et. al., 2020). </w:t>
      </w:r>
      <w:r w:rsidRPr="00543EB7">
        <w:t xml:space="preserve">The </w:t>
      </w:r>
      <w:r w:rsidR="002F3A1E">
        <w:t>PSCR</w:t>
      </w:r>
      <w:r w:rsidR="002F3A1E" w:rsidRPr="00543EB7">
        <w:t xml:space="preserve"> </w:t>
      </w:r>
      <w:r w:rsidRPr="00543EB7">
        <w:t>also argued this is consistent with well-established surrogacy of viraemia and adverse liver outcomes in CHB, and therefore the most appropriate endpoint for clinical management and prognostic purposes is a virologic response/suppression.</w:t>
      </w:r>
      <w:bookmarkEnd w:id="45"/>
      <w:r w:rsidR="002F3A1E">
        <w:t xml:space="preserve"> The Pre-PBAC response argued the primary endpoint of combined response, which includes ALT normalisation, provides evidence of both a decline in viral load and an improvement in associated liver inflammation to predict clinical benefit.</w:t>
      </w:r>
    </w:p>
    <w:p w14:paraId="08716297" w14:textId="5AB5C50F" w:rsidR="007550E6" w:rsidRPr="00543EB7" w:rsidRDefault="007550E6" w:rsidP="00D6408F">
      <w:pPr>
        <w:pStyle w:val="3-BodyText"/>
      </w:pPr>
      <w:bookmarkStart w:id="46" w:name="_Ref163047122"/>
      <w:r w:rsidRPr="00543EB7">
        <w:t xml:space="preserve">The ESCs considered that the </w:t>
      </w:r>
      <w:r w:rsidR="008151A9" w:rsidRPr="00543EB7">
        <w:t>correlation between the achievement and maintenance of surrogate endpoints and long-term clinical benefits remains uncertain</w:t>
      </w:r>
      <w:r w:rsidR="00001410" w:rsidRPr="00543EB7">
        <w:t xml:space="preserve"> (see also paragraph </w:t>
      </w:r>
      <w:r w:rsidR="00001410" w:rsidRPr="00543EB7">
        <w:fldChar w:fldCharType="begin" w:fldLock="1"/>
      </w:r>
      <w:r w:rsidR="00001410" w:rsidRPr="00543EB7">
        <w:instrText xml:space="preserve"> REF _Ref159582150 \r \h </w:instrText>
      </w:r>
      <w:r w:rsidR="00543EB7">
        <w:instrText xml:space="preserve"> \* MERGEFORMAT </w:instrText>
      </w:r>
      <w:r w:rsidR="00001410" w:rsidRPr="00543EB7">
        <w:fldChar w:fldCharType="separate"/>
      </w:r>
      <w:r w:rsidR="002F3A1E">
        <w:t>6.38</w:t>
      </w:r>
      <w:r w:rsidR="00001410" w:rsidRPr="00543EB7">
        <w:fldChar w:fldCharType="end"/>
      </w:r>
      <w:r w:rsidR="00001410" w:rsidRPr="00543EB7">
        <w:t>)</w:t>
      </w:r>
      <w:r w:rsidR="008151A9" w:rsidRPr="00543EB7">
        <w:t>.</w:t>
      </w:r>
      <w:bookmarkEnd w:id="46"/>
    </w:p>
    <w:p w14:paraId="0F4BF3B3" w14:textId="77777777" w:rsidR="00EC6347" w:rsidRPr="00543EB7" w:rsidRDefault="00EC6347" w:rsidP="00D6408F">
      <w:pPr>
        <w:pStyle w:val="4-SubsectionHeading"/>
      </w:pPr>
      <w:r w:rsidRPr="00543EB7">
        <w:t>Clinical claim</w:t>
      </w:r>
      <w:bookmarkEnd w:id="42"/>
    </w:p>
    <w:p w14:paraId="6FD0D8AA" w14:textId="195CAFEC" w:rsidR="00EC6347" w:rsidRPr="00D20CA8" w:rsidRDefault="00EC6347" w:rsidP="00D6408F">
      <w:pPr>
        <w:pStyle w:val="3-BodyText"/>
      </w:pPr>
      <w:r w:rsidRPr="264F0FF5">
        <w:t>The submission described bulevirtide as superior</w:t>
      </w:r>
      <w:r w:rsidR="00C4001B" w:rsidRPr="264F0FF5">
        <w:t>,</w:t>
      </w:r>
      <w:r w:rsidRPr="264F0FF5">
        <w:t xml:space="preserve"> in terms of effectiveness</w:t>
      </w:r>
      <w:r w:rsidR="00C4001B" w:rsidRPr="264F0FF5">
        <w:t>,</w:t>
      </w:r>
      <w:r w:rsidRPr="264F0FF5">
        <w:t xml:space="preserve"> compared with current symptomatic management of CHD or BSC. </w:t>
      </w:r>
      <w:r w:rsidRPr="00D20CA8">
        <w:t xml:space="preserve">The comparative evidence from the MYR301 trial showed treatment </w:t>
      </w:r>
      <w:r w:rsidR="009527B4" w:rsidRPr="00D20CA8">
        <w:t>effects</w:t>
      </w:r>
      <w:r w:rsidRPr="00D20CA8">
        <w:t xml:space="preserve"> associated with bulevirtide over BSC </w:t>
      </w:r>
      <w:r w:rsidR="65AF6870" w:rsidRPr="00D20CA8">
        <w:t>regarding</w:t>
      </w:r>
      <w:r w:rsidRPr="00D20CA8">
        <w:t xml:space="preserve"> virologic response (undetectable HDV RNA or HDV RNA ≥ 2 log</w:t>
      </w:r>
      <w:r w:rsidRPr="00D20CA8">
        <w:rPr>
          <w:vertAlign w:val="subscript"/>
        </w:rPr>
        <w:t>10</w:t>
      </w:r>
      <w:r w:rsidRPr="00D20CA8">
        <w:t xml:space="preserve"> IU/mL reduction from baseline), biochemical endpoint (ALT normalisation) and clinical parameter (liver stiffness) at Week 48. The key issues were: </w:t>
      </w:r>
    </w:p>
    <w:p w14:paraId="3A14EC44" w14:textId="5486B911" w:rsidR="00EC6347" w:rsidRPr="00D20CA8" w:rsidRDefault="00EC6347" w:rsidP="007230A5">
      <w:pPr>
        <w:pStyle w:val="PBACESParagraphBulletPoint"/>
      </w:pPr>
      <w:r w:rsidRPr="00D20CA8">
        <w:t>it is difficult to quantify the magnitude of patient-relevant benefit (</w:t>
      </w:r>
      <w:r w:rsidR="009C260C" w:rsidRPr="00D20CA8">
        <w:t>i.e.,</w:t>
      </w:r>
      <w:r w:rsidRPr="00D20CA8">
        <w:t xml:space="preserve"> reduction in liver decompensation, HCC, liver transplantation or mortality) from bulevirtide based on the surrogate outcomes observed in the clinical trial; and</w:t>
      </w:r>
    </w:p>
    <w:p w14:paraId="06EA0BB7" w14:textId="796DFDED" w:rsidR="002570AF" w:rsidRPr="00543EB7" w:rsidRDefault="00EC6347" w:rsidP="007230A5">
      <w:pPr>
        <w:pStyle w:val="PBACESParagraphBulletPoint"/>
      </w:pPr>
      <w:r w:rsidRPr="00543EB7">
        <w:t>recurrence of HDV infection after treatment discontinuation.</w:t>
      </w:r>
      <w:r w:rsidR="002570AF" w:rsidRPr="00543EB7">
        <w:t xml:space="preserve"> </w:t>
      </w:r>
    </w:p>
    <w:p w14:paraId="07179BDD" w14:textId="0864CD53" w:rsidR="004C3AF1" w:rsidRPr="00543EB7" w:rsidRDefault="008F6E78" w:rsidP="007230A5">
      <w:pPr>
        <w:pStyle w:val="3-BodyText"/>
      </w:pPr>
      <w:bookmarkStart w:id="47" w:name="_Ref159582150"/>
      <w:bookmarkStart w:id="48" w:name="_Ref163041966"/>
      <w:r w:rsidRPr="00543EB7">
        <w:t>T</w:t>
      </w:r>
      <w:r w:rsidR="004C3AF1" w:rsidRPr="00543EB7">
        <w:t xml:space="preserve">he </w:t>
      </w:r>
      <w:r w:rsidRPr="00543EB7">
        <w:t>ESC</w:t>
      </w:r>
      <w:r w:rsidR="00454F56" w:rsidRPr="00543EB7">
        <w:t>s</w:t>
      </w:r>
      <w:r w:rsidRPr="00543EB7">
        <w:t xml:space="preserve"> noted that the </w:t>
      </w:r>
      <w:r w:rsidR="004C3AF1" w:rsidRPr="00543EB7">
        <w:t>evidence presented to transform the surrogate of virologic response into liver-related outcomes</w:t>
      </w:r>
      <w:r w:rsidR="00484B32" w:rsidRPr="00543EB7">
        <w:t>,</w:t>
      </w:r>
      <w:r w:rsidR="004C3AF1" w:rsidRPr="00543EB7">
        <w:t xml:space="preserve"> in general</w:t>
      </w:r>
      <w:r w:rsidR="00484B32" w:rsidRPr="00543EB7">
        <w:t>,</w:t>
      </w:r>
      <w:r w:rsidR="004C3AF1" w:rsidRPr="00543EB7">
        <w:t xml:space="preserve"> reflected outcomes in patients with detectable versus undetectable HDV RNA</w:t>
      </w:r>
      <w:r w:rsidRPr="00543EB7">
        <w:t xml:space="preserve"> and as such was based on viral clearance </w:t>
      </w:r>
      <w:r w:rsidR="00E274ED" w:rsidRPr="00543EB7">
        <w:t xml:space="preserve">(either spontaneous or IFN-induced) </w:t>
      </w:r>
      <w:r w:rsidRPr="00543EB7">
        <w:t xml:space="preserve">rather than suppression. </w:t>
      </w:r>
      <w:r w:rsidR="00E274ED" w:rsidRPr="00543EB7">
        <w:t xml:space="preserve">As such, the relevance of the trial outcomes to patient-relevant outcomes in this context is uncertain. Overall, </w:t>
      </w:r>
      <w:r w:rsidR="00E274ED" w:rsidRPr="00543EB7">
        <w:lastRenderedPageBreak/>
        <w:t>t</w:t>
      </w:r>
      <w:r w:rsidRPr="00543EB7">
        <w:t xml:space="preserve">he ESCs accepted that bulevirtide demonstrates virologic suppressive activity of HDV </w:t>
      </w:r>
      <w:r w:rsidR="001A1D9A" w:rsidRPr="00543EB7">
        <w:t xml:space="preserve">and reduces biochemical evidence of hepatitis </w:t>
      </w:r>
      <w:r w:rsidRPr="00543EB7">
        <w:t>for some patients</w:t>
      </w:r>
      <w:r w:rsidR="00454F56" w:rsidRPr="00543EB7">
        <w:t xml:space="preserve"> while on therapy</w:t>
      </w:r>
      <w:r w:rsidRPr="00543EB7">
        <w:t>, but considered that the level of clinical benefit associated with virological suppression was uncertain.</w:t>
      </w:r>
      <w:r w:rsidR="00484B32" w:rsidRPr="00543EB7">
        <w:t xml:space="preserve"> The ESC</w:t>
      </w:r>
      <w:r w:rsidR="00454F56" w:rsidRPr="00543EB7">
        <w:t>s</w:t>
      </w:r>
      <w:r w:rsidR="00484B32" w:rsidRPr="00543EB7">
        <w:t xml:space="preserve"> also noted that virological suppression requires ongoing treatment with bulevirtide, and considered that the duration of treatment and therefore longer-term patient-relevant outcomes for bulevirtide </w:t>
      </w:r>
      <w:r w:rsidR="00454F56" w:rsidRPr="00543EB7">
        <w:t>were</w:t>
      </w:r>
      <w:r w:rsidR="00484B32" w:rsidRPr="00543EB7">
        <w:t xml:space="preserve"> uncertain.</w:t>
      </w:r>
      <w:bookmarkEnd w:id="47"/>
      <w:r w:rsidR="0024364F">
        <w:t xml:space="preserve"> </w:t>
      </w:r>
      <w:bookmarkEnd w:id="48"/>
    </w:p>
    <w:p w14:paraId="2DA6D7E0" w14:textId="3661D900" w:rsidR="000D37C0" w:rsidRPr="00DB6C81" w:rsidRDefault="000D37C0" w:rsidP="007230A5">
      <w:pPr>
        <w:pStyle w:val="3-BodyText"/>
        <w:rPr>
          <w:color w:val="3366FF"/>
        </w:rPr>
      </w:pPr>
      <w:r w:rsidRPr="00D20CA8">
        <w:t xml:space="preserve">The submission described bulevirtide as having a manageable safety profile compared to symptomatic management of CHD or BSC. This claim was partially supported by the </w:t>
      </w:r>
      <w:r w:rsidRPr="00543EB7">
        <w:t>evidence presented. Although the vast majority of the AEs were of mild to moderate intensity</w:t>
      </w:r>
      <w:r w:rsidR="008F6E78" w:rsidRPr="00543EB7">
        <w:t xml:space="preserve"> and n</w:t>
      </w:r>
      <w:r w:rsidRPr="00543EB7">
        <w:t>o AEs led to permanent withdrawal</w:t>
      </w:r>
      <w:r w:rsidR="008F6E78" w:rsidRPr="00543EB7">
        <w:t xml:space="preserve"> t</w:t>
      </w:r>
      <w:r w:rsidRPr="00543EB7">
        <w:t>he main areas of concern are: 1) the small sample size of the trial (N=49 in the bulevirtide 2 mg group of MYR301); and 2) the limited follow-up period (safety data from the key trial covered up to 96 weeks of bulevirtide treatment)</w:t>
      </w:r>
      <w:r w:rsidR="008F6E78" w:rsidRPr="00543EB7">
        <w:t xml:space="preserve"> whereas p</w:t>
      </w:r>
      <w:r w:rsidRPr="00543EB7">
        <w:t>atients may receive ongoing treatment as long as associated with clinical benefit. The PSCR stated the MYR-301 study will continue for up to 144 weeks of bulevirtide treatment and thus longer term safety data will become available in the future. The ESCs considered longer term safety data would be informative, when available.</w:t>
      </w:r>
      <w:r w:rsidR="00D86C8B">
        <w:t xml:space="preserve"> </w:t>
      </w:r>
      <w:r w:rsidR="00DB6C81">
        <w:t xml:space="preserve"> </w:t>
      </w:r>
    </w:p>
    <w:p w14:paraId="74A3379C" w14:textId="77777777" w:rsidR="00DB6C81" w:rsidRPr="00DB6C81" w:rsidRDefault="00DB6C81" w:rsidP="007230A5">
      <w:pPr>
        <w:pStyle w:val="3-BodyText"/>
      </w:pPr>
      <w:bookmarkStart w:id="49" w:name="_Hlk76376200"/>
      <w:r w:rsidRPr="00DB6C81">
        <w:t>The PBAC considered that the claim of superior comparative effectiveness was reasonable for the outcomes of virologic response and ALT normalisation, however considered the magnitude of benefit to longer-term and patient-relevant outcomes was uncertain.</w:t>
      </w:r>
    </w:p>
    <w:p w14:paraId="32D80518" w14:textId="1D4B0F17" w:rsidR="00C26781" w:rsidRPr="00DB6C81" w:rsidRDefault="00DB6C81" w:rsidP="007230A5">
      <w:pPr>
        <w:pStyle w:val="3-BodyText"/>
      </w:pPr>
      <w:r w:rsidRPr="00DB6C81">
        <w:t xml:space="preserve">The PBAC considered that the claim </w:t>
      </w:r>
      <w:bookmarkEnd w:id="49"/>
      <w:r w:rsidRPr="00DB6C81">
        <w:t>bulevirtide ha</w:t>
      </w:r>
      <w:r w:rsidR="002F3A1E">
        <w:t>s</w:t>
      </w:r>
      <w:r w:rsidRPr="00DB6C81">
        <w:t xml:space="preserve"> a ‘manageable’ safety profile compared to symptomatic management of CHD or BSC may, on balance, be reasonable, however </w:t>
      </w:r>
      <w:r w:rsidR="002F3A1E">
        <w:t xml:space="preserve">the PBAC </w:t>
      </w:r>
      <w:r w:rsidRPr="00DB6C81">
        <w:t xml:space="preserve">agreed with the ESC that longer term safety data would be informative. </w:t>
      </w:r>
    </w:p>
    <w:p w14:paraId="5BE2C38E" w14:textId="77777777" w:rsidR="00C317F3" w:rsidRPr="00543EB7" w:rsidRDefault="00C317F3" w:rsidP="007230A5">
      <w:pPr>
        <w:pStyle w:val="4-SubsectionHeading"/>
      </w:pPr>
      <w:bookmarkStart w:id="50" w:name="_Toc156984638"/>
      <w:r w:rsidRPr="00543EB7">
        <w:t>Economic analysis</w:t>
      </w:r>
      <w:bookmarkEnd w:id="5"/>
      <w:bookmarkEnd w:id="50"/>
    </w:p>
    <w:p w14:paraId="00F58613" w14:textId="77777777" w:rsidR="00A677E9" w:rsidRPr="00196231" w:rsidRDefault="00A677E9" w:rsidP="007230A5">
      <w:pPr>
        <w:pStyle w:val="3-BodyText"/>
      </w:pPr>
      <w:bookmarkStart w:id="51" w:name="_Toc413139285"/>
      <w:bookmarkStart w:id="52" w:name="_Toc413139286"/>
      <w:r>
        <w:t>The submission presented a modelled economic evaluation based on virologic response rates (defined as undetectable HDV RNA or decrease in HDV RNA by ≥2 log</w:t>
      </w:r>
      <w:r w:rsidRPr="7A2CA021">
        <w:rPr>
          <w:vertAlign w:val="subscript"/>
        </w:rPr>
        <w:t>10</w:t>
      </w:r>
      <w:r>
        <w:t> IU/mL from baseline) reported in the MYR301 trial which compared bulevirtide treatment to BSC (delayed treatment) in patients with HDV RNA positive chronic HDV.</w:t>
      </w:r>
    </w:p>
    <w:p w14:paraId="6625276B" w14:textId="1275C2E0" w:rsidR="00A677E9" w:rsidRPr="00196231" w:rsidRDefault="00A677E9" w:rsidP="007230A5">
      <w:pPr>
        <w:pStyle w:val="3-BodyText"/>
      </w:pPr>
      <w:r>
        <w:t>The key component</w:t>
      </w:r>
      <w:r w:rsidR="00664F13">
        <w:t>s</w:t>
      </w:r>
      <w:r>
        <w:t xml:space="preserve"> of the economic evaluation are summarised in </w:t>
      </w:r>
      <w:r>
        <w:fldChar w:fldCharType="begin" w:fldLock="1"/>
      </w:r>
      <w:r>
        <w:instrText xml:space="preserve"> REF _Ref152349034 \h </w:instrText>
      </w:r>
      <w:r w:rsidR="007230A5">
        <w:instrText xml:space="preserve"> \* MERGEFORMAT </w:instrText>
      </w:r>
      <w:r>
        <w:fldChar w:fldCharType="separate"/>
      </w:r>
      <w:r w:rsidR="00B02BFE" w:rsidRPr="00196231">
        <w:t xml:space="preserve">Table </w:t>
      </w:r>
      <w:r w:rsidR="00B02BFE">
        <w:rPr>
          <w:noProof/>
        </w:rPr>
        <w:t>10</w:t>
      </w:r>
      <w:r>
        <w:fldChar w:fldCharType="end"/>
      </w:r>
      <w:r>
        <w:t>.</w:t>
      </w:r>
    </w:p>
    <w:p w14:paraId="3A662DA2" w14:textId="0465DE79" w:rsidR="00A677E9" w:rsidRPr="00196231" w:rsidRDefault="00A677E9" w:rsidP="00CE1824">
      <w:pPr>
        <w:pStyle w:val="Caption"/>
      </w:pPr>
      <w:bookmarkStart w:id="53" w:name="_Ref152349034"/>
      <w:r w:rsidRPr="00196231">
        <w:t xml:space="preserve">Table </w:t>
      </w:r>
      <w:r>
        <w:fldChar w:fldCharType="begin" w:fldLock="1"/>
      </w:r>
      <w:r>
        <w:instrText>SEQ Table_PBAC. \* ARABIC</w:instrText>
      </w:r>
      <w:r>
        <w:fldChar w:fldCharType="separate"/>
      </w:r>
      <w:r w:rsidR="00B02BFE">
        <w:rPr>
          <w:noProof/>
        </w:rPr>
        <w:t>10</w:t>
      </w:r>
      <w:r>
        <w:fldChar w:fldCharType="end"/>
      </w:r>
      <w:bookmarkEnd w:id="53"/>
      <w:r w:rsidR="00343C2D">
        <w:t>:</w:t>
      </w:r>
      <w:r w:rsidR="00D86C8B">
        <w:t xml:space="preserve"> </w:t>
      </w:r>
      <w:r w:rsidRPr="00196231">
        <w:t>Summary of model structure, key inputs and rationale</w:t>
      </w:r>
    </w:p>
    <w:tbl>
      <w:tblPr>
        <w:tblW w:w="496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ummary of model structure, key inputs and rationale"/>
      </w:tblPr>
      <w:tblGrid>
        <w:gridCol w:w="1805"/>
        <w:gridCol w:w="7146"/>
      </w:tblGrid>
      <w:tr w:rsidR="00A677E9" w:rsidRPr="00D20CA8" w14:paraId="6EF66FCD" w14:textId="77777777" w:rsidTr="6CED201C">
        <w:trPr>
          <w:cantSplit/>
          <w:tblHeader/>
        </w:trPr>
        <w:tc>
          <w:tcPr>
            <w:tcW w:w="1008" w:type="pct"/>
            <w:shd w:val="clear" w:color="auto" w:fill="auto"/>
            <w:vAlign w:val="center"/>
          </w:tcPr>
          <w:p w14:paraId="7CF16528" w14:textId="77777777" w:rsidR="00A677E9" w:rsidRPr="00D20CA8" w:rsidRDefault="00A677E9">
            <w:pPr>
              <w:pStyle w:val="In-tableHeading"/>
              <w:keepNext w:val="0"/>
              <w:rPr>
                <w:lang w:val="en-AU"/>
              </w:rPr>
            </w:pPr>
            <w:r w:rsidRPr="00D20CA8">
              <w:rPr>
                <w:lang w:val="en-AU"/>
              </w:rPr>
              <w:t>Component</w:t>
            </w:r>
          </w:p>
        </w:tc>
        <w:tc>
          <w:tcPr>
            <w:tcW w:w="3992" w:type="pct"/>
            <w:shd w:val="clear" w:color="auto" w:fill="auto"/>
            <w:vAlign w:val="center"/>
          </w:tcPr>
          <w:p w14:paraId="53C2B068" w14:textId="77777777" w:rsidR="00A677E9" w:rsidRPr="00D20CA8" w:rsidRDefault="00A677E9">
            <w:pPr>
              <w:pStyle w:val="In-tableHeading"/>
              <w:keepNext w:val="0"/>
              <w:rPr>
                <w:lang w:val="en-AU"/>
              </w:rPr>
            </w:pPr>
            <w:r w:rsidRPr="00D20CA8">
              <w:rPr>
                <w:lang w:val="en-AU"/>
              </w:rPr>
              <w:t>Summary</w:t>
            </w:r>
          </w:p>
        </w:tc>
      </w:tr>
      <w:tr w:rsidR="00A677E9" w:rsidRPr="00D20CA8" w14:paraId="0827BD53" w14:textId="77777777" w:rsidTr="6CED201C">
        <w:trPr>
          <w:cantSplit/>
        </w:trPr>
        <w:tc>
          <w:tcPr>
            <w:tcW w:w="1008" w:type="pct"/>
            <w:shd w:val="clear" w:color="auto" w:fill="auto"/>
            <w:vAlign w:val="center"/>
          </w:tcPr>
          <w:p w14:paraId="7F2C0C7F" w14:textId="77777777" w:rsidR="00A677E9" w:rsidRPr="00D20CA8" w:rsidRDefault="00A677E9">
            <w:pPr>
              <w:pStyle w:val="TableText"/>
            </w:pPr>
            <w:r w:rsidRPr="00D20CA8">
              <w:t>Comparison modelled</w:t>
            </w:r>
          </w:p>
        </w:tc>
        <w:tc>
          <w:tcPr>
            <w:tcW w:w="3992" w:type="pct"/>
            <w:shd w:val="clear" w:color="auto" w:fill="auto"/>
            <w:vAlign w:val="center"/>
          </w:tcPr>
          <w:p w14:paraId="57E85C3F" w14:textId="59B41E37" w:rsidR="00A677E9" w:rsidRPr="00D20CA8" w:rsidRDefault="00A677E9">
            <w:pPr>
              <w:pStyle w:val="TableText"/>
            </w:pPr>
            <w:r w:rsidRPr="00D20CA8">
              <w:t xml:space="preserve">Bulevirtide with HDV RNA testing to identify one patient eligible for treatment versus BSC. Entry at the point of treatment is </w:t>
            </w:r>
            <w:r w:rsidR="00BB335D" w:rsidRPr="00D20CA8">
              <w:t xml:space="preserve">not the </w:t>
            </w:r>
            <w:r w:rsidRPr="00D20CA8">
              <w:t>preferred approach for modelling codependent technologies (Product type 4, 37 (O)’, PBAC guidelines (v5.0)).</w:t>
            </w:r>
          </w:p>
        </w:tc>
      </w:tr>
      <w:tr w:rsidR="00A677E9" w:rsidRPr="00D20CA8" w14:paraId="7B3EAF26" w14:textId="77777777" w:rsidTr="6CED201C">
        <w:trPr>
          <w:cantSplit/>
        </w:trPr>
        <w:tc>
          <w:tcPr>
            <w:tcW w:w="1008" w:type="pct"/>
            <w:shd w:val="clear" w:color="auto" w:fill="auto"/>
            <w:vAlign w:val="center"/>
          </w:tcPr>
          <w:p w14:paraId="7796C3DC" w14:textId="77777777" w:rsidR="00A677E9" w:rsidRPr="00D20CA8" w:rsidRDefault="00A677E9">
            <w:pPr>
              <w:pStyle w:val="TableText"/>
            </w:pPr>
            <w:r w:rsidRPr="00D20CA8">
              <w:t>Time horizon</w:t>
            </w:r>
          </w:p>
        </w:tc>
        <w:tc>
          <w:tcPr>
            <w:tcW w:w="3992" w:type="pct"/>
            <w:shd w:val="clear" w:color="auto" w:fill="auto"/>
          </w:tcPr>
          <w:p w14:paraId="6DE4BD4A" w14:textId="5BEA2975" w:rsidR="00A677E9" w:rsidRPr="00D20CA8" w:rsidRDefault="00A677E9" w:rsidP="264F0FF5">
            <w:pPr>
              <w:pStyle w:val="TableText"/>
            </w:pPr>
            <w:r w:rsidRPr="00D20CA8">
              <w:t xml:space="preserve">Lifetime (58 years) in the model base case (versus 96 weeks for bulevirtide and 48 weeks for BSC in the key trial). </w:t>
            </w:r>
            <w:r w:rsidR="0021716C" w:rsidRPr="00D20CA8">
              <w:t xml:space="preserve">A time horizon of 20 years (with sensitivity analyses noted using 10 years) has previously been considered by the PBAC in the context of chronic HBV treatment (lamivudine, March 1999 PBAC meeting, and telbivudine PSD, March 2008 PBAC meeting). </w:t>
            </w:r>
          </w:p>
        </w:tc>
      </w:tr>
      <w:tr w:rsidR="00A677E9" w:rsidRPr="00D20CA8" w14:paraId="2384A7F8" w14:textId="77777777" w:rsidTr="6CED201C">
        <w:trPr>
          <w:cantSplit/>
        </w:trPr>
        <w:tc>
          <w:tcPr>
            <w:tcW w:w="1008" w:type="pct"/>
            <w:shd w:val="clear" w:color="auto" w:fill="auto"/>
            <w:vAlign w:val="center"/>
          </w:tcPr>
          <w:p w14:paraId="2ED23AF8" w14:textId="77777777" w:rsidR="00A677E9" w:rsidRPr="00D20CA8" w:rsidRDefault="00A677E9">
            <w:pPr>
              <w:pStyle w:val="TableText"/>
            </w:pPr>
            <w:r w:rsidRPr="00D20CA8">
              <w:t>Outcomes</w:t>
            </w:r>
          </w:p>
        </w:tc>
        <w:tc>
          <w:tcPr>
            <w:tcW w:w="3992" w:type="pct"/>
            <w:shd w:val="clear" w:color="auto" w:fill="auto"/>
          </w:tcPr>
          <w:p w14:paraId="522D00CD" w14:textId="78DEA190" w:rsidR="00A677E9" w:rsidRPr="00D20CA8" w:rsidRDefault="00A677E9">
            <w:pPr>
              <w:pStyle w:val="TableText"/>
            </w:pPr>
            <w:r w:rsidRPr="00D20CA8">
              <w:t xml:space="preserve">Quality-adjusted life years. </w:t>
            </w:r>
          </w:p>
        </w:tc>
      </w:tr>
      <w:tr w:rsidR="00A677E9" w:rsidRPr="00D20CA8" w14:paraId="2B2921C4" w14:textId="77777777" w:rsidTr="6CED201C">
        <w:trPr>
          <w:cantSplit/>
        </w:trPr>
        <w:tc>
          <w:tcPr>
            <w:tcW w:w="1008" w:type="pct"/>
            <w:shd w:val="clear" w:color="auto" w:fill="auto"/>
            <w:vAlign w:val="center"/>
          </w:tcPr>
          <w:p w14:paraId="332C935C" w14:textId="77777777" w:rsidR="00A677E9" w:rsidRPr="00D20CA8" w:rsidRDefault="00A677E9">
            <w:pPr>
              <w:pStyle w:val="TableText"/>
            </w:pPr>
            <w:r w:rsidRPr="00D20CA8">
              <w:lastRenderedPageBreak/>
              <w:t>Methods used to generate results</w:t>
            </w:r>
          </w:p>
        </w:tc>
        <w:tc>
          <w:tcPr>
            <w:tcW w:w="3992" w:type="pct"/>
            <w:shd w:val="clear" w:color="auto" w:fill="auto"/>
          </w:tcPr>
          <w:p w14:paraId="501E0816" w14:textId="0FE8FA84" w:rsidR="00A677E9" w:rsidRPr="00D20CA8" w:rsidRDefault="00A677E9">
            <w:pPr>
              <w:pStyle w:val="TableText"/>
            </w:pPr>
            <w:r w:rsidRPr="00D20CA8">
              <w:t xml:space="preserve">State-transition Markov model. </w:t>
            </w:r>
          </w:p>
        </w:tc>
      </w:tr>
      <w:tr w:rsidR="00A677E9" w:rsidRPr="00D20CA8" w14:paraId="10A33EB3" w14:textId="77777777" w:rsidTr="6CED201C">
        <w:trPr>
          <w:cantSplit/>
        </w:trPr>
        <w:tc>
          <w:tcPr>
            <w:tcW w:w="1008" w:type="pct"/>
            <w:shd w:val="clear" w:color="auto" w:fill="auto"/>
            <w:vAlign w:val="center"/>
          </w:tcPr>
          <w:p w14:paraId="640113A6" w14:textId="77777777" w:rsidR="00A677E9" w:rsidRPr="00D20CA8" w:rsidRDefault="00A677E9">
            <w:pPr>
              <w:pStyle w:val="TableText"/>
            </w:pPr>
            <w:r w:rsidRPr="00D20CA8">
              <w:t>Health states</w:t>
            </w:r>
          </w:p>
        </w:tc>
        <w:tc>
          <w:tcPr>
            <w:tcW w:w="3992" w:type="pct"/>
            <w:shd w:val="clear" w:color="auto" w:fill="auto"/>
          </w:tcPr>
          <w:p w14:paraId="185BB108" w14:textId="45675DAB" w:rsidR="00A677E9" w:rsidRPr="00D20CA8" w:rsidRDefault="00A677E9">
            <w:pPr>
              <w:pStyle w:val="TableText"/>
            </w:pPr>
            <w:r w:rsidRPr="00D20CA8">
              <w:t>Eleven health states: NC (separated into F0, F1, F2 and F3 states), CC (i.e. F4), DCC, HCC, liver transplantation, post-liver transplantation, dead (liver-related) and dead (background). The NC and CC health states were also separated by responder status, or whether patient had experienced H</w:t>
            </w:r>
            <w:r w:rsidR="003A6EC7" w:rsidRPr="00D20CA8">
              <w:t>b</w:t>
            </w:r>
            <w:r w:rsidRPr="00D20CA8">
              <w:t>sAg seroclearance. Patients enter the model as non-responders distributed across the NC and CC health states (based on MYR301 and Romeo 2009 </w:t>
            </w:r>
            <w:r w:rsidRPr="00D20CA8">
              <w:rPr>
                <w:vertAlign w:val="superscript"/>
              </w:rPr>
              <w:t>a</w:t>
            </w:r>
            <w:r w:rsidRPr="00D20CA8">
              <w:t>). While the health states included are consistent with the existing literature, limited data are available in chronic HDV to model progression within the NC health states. It may be more appropriate to have a single health state representing NC disease.</w:t>
            </w:r>
          </w:p>
        </w:tc>
      </w:tr>
      <w:tr w:rsidR="00A677E9" w:rsidRPr="00D20CA8" w14:paraId="0D4B1B23" w14:textId="77777777" w:rsidTr="6CED201C">
        <w:trPr>
          <w:cantSplit/>
        </w:trPr>
        <w:tc>
          <w:tcPr>
            <w:tcW w:w="1008" w:type="pct"/>
            <w:shd w:val="clear" w:color="auto" w:fill="auto"/>
            <w:vAlign w:val="center"/>
          </w:tcPr>
          <w:p w14:paraId="61A914BE" w14:textId="77777777" w:rsidR="00A677E9" w:rsidRPr="00D20CA8" w:rsidRDefault="00A677E9">
            <w:pPr>
              <w:pStyle w:val="TableText"/>
            </w:pPr>
            <w:r w:rsidRPr="00D20CA8">
              <w:t>Cycle length</w:t>
            </w:r>
          </w:p>
        </w:tc>
        <w:tc>
          <w:tcPr>
            <w:tcW w:w="3992" w:type="pct"/>
            <w:shd w:val="clear" w:color="auto" w:fill="auto"/>
          </w:tcPr>
          <w:p w14:paraId="2E8DB450" w14:textId="77DF4E53" w:rsidR="00A677E9" w:rsidRPr="00D20CA8" w:rsidRDefault="00A677E9">
            <w:pPr>
              <w:pStyle w:val="TableText"/>
            </w:pPr>
            <w:r w:rsidRPr="00D20CA8">
              <w:t xml:space="preserve">24 weeks. </w:t>
            </w:r>
          </w:p>
        </w:tc>
      </w:tr>
      <w:tr w:rsidR="00A677E9" w:rsidRPr="00D20CA8" w14:paraId="48AA0424" w14:textId="77777777" w:rsidTr="6CED201C">
        <w:trPr>
          <w:cantSplit/>
        </w:trPr>
        <w:tc>
          <w:tcPr>
            <w:tcW w:w="1008" w:type="pct"/>
            <w:shd w:val="clear" w:color="auto" w:fill="auto"/>
            <w:vAlign w:val="center"/>
          </w:tcPr>
          <w:p w14:paraId="155CB86D" w14:textId="77777777" w:rsidR="00A677E9" w:rsidRPr="00D20CA8" w:rsidRDefault="00A677E9">
            <w:pPr>
              <w:pStyle w:val="TableText"/>
            </w:pPr>
            <w:r w:rsidRPr="00D20CA8">
              <w:t>Test parameters</w:t>
            </w:r>
          </w:p>
        </w:tc>
        <w:tc>
          <w:tcPr>
            <w:tcW w:w="3992" w:type="pct"/>
            <w:shd w:val="clear" w:color="auto" w:fill="auto"/>
            <w:vAlign w:val="center"/>
          </w:tcPr>
          <w:p w14:paraId="211BF59B" w14:textId="318F2DAE" w:rsidR="00A677E9" w:rsidRPr="00D20CA8" w:rsidRDefault="00A677E9">
            <w:pPr>
              <w:pStyle w:val="TableText"/>
            </w:pPr>
            <w:r w:rsidRPr="00D20CA8">
              <w:t>The positivity rate of HDV RNA testing modelled was 56.2% based on a weighted average of Australian studies. </w:t>
            </w:r>
            <w:r w:rsidRPr="00D20CA8">
              <w:rPr>
                <w:vertAlign w:val="superscript"/>
              </w:rPr>
              <w:t>b,c,d</w:t>
            </w:r>
            <w:r w:rsidRPr="00D20CA8">
              <w:t xml:space="preserve"> Test performance assumed was 100% and was not explicitly modelled. The approach to weighting the Australian data may have resulted in an overestimate </w:t>
            </w:r>
            <w:r w:rsidR="0021716C" w:rsidRPr="00D20CA8">
              <w:t>as the submission applied the proportion of positives (50%) from the randomly tested sample in Jackson 2018)</w:t>
            </w:r>
            <w:r w:rsidR="0021716C" w:rsidRPr="00D20CA8">
              <w:rPr>
                <w:vertAlign w:val="superscript"/>
              </w:rPr>
              <w:t>c</w:t>
            </w:r>
            <w:r w:rsidR="0021716C" w:rsidRPr="00D20CA8">
              <w:t xml:space="preserve"> (n = 20) to the denominator for the sample where PCR testing had been requested (n = 63, where 46% were positive). An estimate of 54.4% was derived during the evaluation. All patients identified with detectable RNA were assumed to be eligible and </w:t>
            </w:r>
            <w:r w:rsidR="00E274ED">
              <w:t>receive</w:t>
            </w:r>
            <w:r w:rsidR="00E274ED" w:rsidRPr="00D20CA8">
              <w:t xml:space="preserve"> </w:t>
            </w:r>
            <w:r w:rsidR="0021716C" w:rsidRPr="00D20CA8">
              <w:t>treatment. This may not be reasonable given that use is excluded in patients with normal ALT or who have decompensated disease. However the analysis is not sensitive to changes in the proportion of patients tested who receive bulevirtide treatment.</w:t>
            </w:r>
          </w:p>
        </w:tc>
      </w:tr>
      <w:tr w:rsidR="00A677E9" w:rsidRPr="00D20CA8" w14:paraId="6BAC3750" w14:textId="77777777" w:rsidTr="6CED201C">
        <w:trPr>
          <w:cantSplit/>
        </w:trPr>
        <w:tc>
          <w:tcPr>
            <w:tcW w:w="1008" w:type="pct"/>
            <w:tcBorders>
              <w:bottom w:val="single" w:sz="4" w:space="0" w:color="auto"/>
            </w:tcBorders>
            <w:shd w:val="clear" w:color="auto" w:fill="auto"/>
            <w:vAlign w:val="center"/>
          </w:tcPr>
          <w:p w14:paraId="3D6DA1D5" w14:textId="77777777" w:rsidR="00A677E9" w:rsidRPr="00D20CA8" w:rsidRDefault="00A677E9">
            <w:pPr>
              <w:pStyle w:val="TableText"/>
            </w:pPr>
            <w:r w:rsidRPr="00D20CA8">
              <w:t>Implications of false positive and false negative results</w:t>
            </w:r>
          </w:p>
        </w:tc>
        <w:tc>
          <w:tcPr>
            <w:tcW w:w="3992" w:type="pct"/>
            <w:tcBorders>
              <w:bottom w:val="single" w:sz="4" w:space="0" w:color="auto"/>
            </w:tcBorders>
            <w:shd w:val="clear" w:color="auto" w:fill="auto"/>
            <w:vAlign w:val="center"/>
          </w:tcPr>
          <w:p w14:paraId="31E65088" w14:textId="77777777" w:rsidR="00A677E9" w:rsidRPr="00D20CA8" w:rsidRDefault="00A677E9">
            <w:pPr>
              <w:pStyle w:val="TableText"/>
            </w:pPr>
            <w:r w:rsidRPr="00D20CA8">
              <w:t>Not modelled. The submission stated that low levels of FP or FN patients would have minimal impact on the overall cost-effectiveness results. The impact of false results may differ depending on whether testing is used to determine treatment initiation or for monitoring. False positives at initiation may falsely appear to respond to treatment and so could be considered to benefit from ongoing treatment.</w:t>
            </w:r>
          </w:p>
        </w:tc>
      </w:tr>
      <w:tr w:rsidR="00A677E9" w:rsidRPr="00D20CA8" w14:paraId="14F4E851" w14:textId="77777777" w:rsidTr="6CED201C">
        <w:trPr>
          <w:cantSplit/>
        </w:trPr>
        <w:tc>
          <w:tcPr>
            <w:tcW w:w="1008" w:type="pct"/>
            <w:shd w:val="clear" w:color="auto" w:fill="auto"/>
          </w:tcPr>
          <w:p w14:paraId="66844DFA" w14:textId="77777777" w:rsidR="00A677E9" w:rsidRPr="00D20CA8" w:rsidRDefault="00A677E9" w:rsidP="00F70E11">
            <w:pPr>
              <w:pStyle w:val="TableText"/>
            </w:pPr>
            <w:r w:rsidRPr="00D20CA8">
              <w:t>Natural history of chronic HDV</w:t>
            </w:r>
          </w:p>
        </w:tc>
        <w:tc>
          <w:tcPr>
            <w:tcW w:w="3992" w:type="pct"/>
            <w:shd w:val="clear" w:color="auto" w:fill="auto"/>
          </w:tcPr>
          <w:p w14:paraId="7CB05D36" w14:textId="613A2EC9" w:rsidR="00A677E9" w:rsidRPr="00D20CA8" w:rsidRDefault="00A677E9">
            <w:pPr>
              <w:pStyle w:val="TableText"/>
            </w:pPr>
            <w:r w:rsidRPr="00D20CA8">
              <w:t>Disease progression in non-responders was based on estimates reported in chronic HBV </w:t>
            </w:r>
            <w:r w:rsidRPr="00D20CA8">
              <w:rPr>
                <w:vertAlign w:val="superscript"/>
              </w:rPr>
              <w:t>e</w:t>
            </w:r>
            <w:r w:rsidRPr="00D20CA8">
              <w:rPr>
                <w:rFonts w:eastAsia="MS Gothic"/>
                <w:bCs/>
                <w:szCs w:val="24"/>
              </w:rPr>
              <w:t>, adjusted for concomitant HBV/HDV infection. </w:t>
            </w:r>
            <w:r w:rsidRPr="00D20CA8">
              <w:rPr>
                <w:rFonts w:eastAsia="MS Gothic"/>
                <w:bCs/>
                <w:szCs w:val="24"/>
                <w:vertAlign w:val="superscript"/>
              </w:rPr>
              <w:t>f,g,h</w:t>
            </w:r>
            <w:r w:rsidRPr="00D20CA8">
              <w:t xml:space="preserve"> H</w:t>
            </w:r>
            <w:r w:rsidR="003A6EC7" w:rsidRPr="00D20CA8">
              <w:t>b</w:t>
            </w:r>
            <w:r w:rsidRPr="00D20CA8">
              <w:t>sAg seroclearance rate based on Zhou (2019) </w:t>
            </w:r>
            <w:r w:rsidRPr="00D20CA8">
              <w:rPr>
                <w:vertAlign w:val="superscript"/>
              </w:rPr>
              <w:t>i</w:t>
            </w:r>
            <w:r w:rsidRPr="00D20CA8">
              <w:t>. Background mortality based on ABS Australian life tables (2019−21). The sources used to model the natural history of chronic HDV were inadequately justified, given that additional sources </w:t>
            </w:r>
            <w:r w:rsidRPr="00D20CA8">
              <w:rPr>
                <w:vertAlign w:val="superscript"/>
              </w:rPr>
              <w:t>a,h,j</w:t>
            </w:r>
            <w:r w:rsidRPr="00D20CA8">
              <w:t xml:space="preserve"> report outcomes directly in HBV/HDV patients, </w:t>
            </w:r>
            <w:r w:rsidR="00B158D8" w:rsidRPr="00D20CA8">
              <w:t>and because</w:t>
            </w:r>
            <w:r w:rsidRPr="00D20CA8">
              <w:t xml:space="preserve"> an Australian Markov model of chronic HBV progression is available. </w:t>
            </w:r>
            <w:r w:rsidRPr="00D20CA8">
              <w:rPr>
                <w:vertAlign w:val="superscript"/>
              </w:rPr>
              <w:t>k</w:t>
            </w:r>
            <w:r w:rsidRPr="00D20CA8">
              <w:t xml:space="preserve"> </w:t>
            </w:r>
          </w:p>
        </w:tc>
      </w:tr>
      <w:tr w:rsidR="00A677E9" w:rsidRPr="00D20CA8" w14:paraId="6BC56DDE" w14:textId="77777777" w:rsidTr="6CED201C">
        <w:trPr>
          <w:cantSplit/>
        </w:trPr>
        <w:tc>
          <w:tcPr>
            <w:tcW w:w="1008" w:type="pct"/>
            <w:shd w:val="clear" w:color="auto" w:fill="auto"/>
          </w:tcPr>
          <w:p w14:paraId="12811D1B" w14:textId="77777777" w:rsidR="00A677E9" w:rsidRPr="00D20CA8" w:rsidRDefault="00A677E9" w:rsidP="00F70E11">
            <w:pPr>
              <w:pStyle w:val="TableText"/>
            </w:pPr>
            <w:r w:rsidRPr="00D20CA8">
              <w:t>Effect in responders</w:t>
            </w:r>
          </w:p>
        </w:tc>
        <w:tc>
          <w:tcPr>
            <w:tcW w:w="3992" w:type="pct"/>
            <w:shd w:val="clear" w:color="auto" w:fill="auto"/>
          </w:tcPr>
          <w:p w14:paraId="7E4658B1" w14:textId="77777777" w:rsidR="00A677E9" w:rsidRPr="00D20CA8" w:rsidRDefault="00A677E9">
            <w:pPr>
              <w:pStyle w:val="TableText"/>
            </w:pPr>
            <w:r w:rsidRPr="00D20CA8">
              <w:t>Relative reduction in progression in responders was based on a meta-analysis of liver disease progression in HDV RNA negative versus HDV RNA positive patients (Attachment 11 of the submission). Regression in F3 and CC responders was also included. A number of the studies included in the meta-analysis were not relevant to inform the relationship of a reduction in HDV RNA levels on liver-related outcomes. Where relevant comparisons were presented, the definition of the surrogate measure (detectable versus undetectable RNA) was in general narrower than the definition of virologic response used in MYR301.</w:t>
            </w:r>
          </w:p>
        </w:tc>
      </w:tr>
      <w:tr w:rsidR="00A677E9" w:rsidRPr="00D20CA8" w14:paraId="1E4C38DF" w14:textId="77777777" w:rsidTr="6CED201C">
        <w:trPr>
          <w:cantSplit/>
        </w:trPr>
        <w:tc>
          <w:tcPr>
            <w:tcW w:w="1008" w:type="pct"/>
            <w:shd w:val="clear" w:color="auto" w:fill="auto"/>
          </w:tcPr>
          <w:p w14:paraId="1014C953" w14:textId="77777777" w:rsidR="00A677E9" w:rsidRPr="00D20CA8" w:rsidRDefault="00A677E9" w:rsidP="00F70E11">
            <w:pPr>
              <w:pStyle w:val="TableText"/>
            </w:pPr>
            <w:r w:rsidRPr="00D20CA8">
              <w:t>Response rate</w:t>
            </w:r>
          </w:p>
        </w:tc>
        <w:tc>
          <w:tcPr>
            <w:tcW w:w="3992" w:type="pct"/>
            <w:shd w:val="clear" w:color="auto" w:fill="auto"/>
          </w:tcPr>
          <w:p w14:paraId="087C2962" w14:textId="77777777" w:rsidR="00A677E9" w:rsidRPr="00D20CA8" w:rsidRDefault="00A677E9">
            <w:pPr>
              <w:pStyle w:val="TableText"/>
            </w:pPr>
            <w:r w:rsidRPr="00D20CA8">
              <w:t>Virologic response reported in MYR301. The use of response defined as undetectable RNA may be more consistent with the studies translating the comparative treatment effects of the proposed surrogate measure to target clinical outcomes. Extrapolation of virologic response rates in the delayed treatment arm of MYR301 to 72 and 96 weeks using an E</w:t>
            </w:r>
            <w:r w:rsidRPr="00D20CA8">
              <w:rPr>
                <w:vertAlign w:val="subscript"/>
              </w:rPr>
              <w:t>max</w:t>
            </w:r>
            <w:r w:rsidRPr="00D20CA8">
              <w:t xml:space="preserve"> function. While the fitted E</w:t>
            </w:r>
            <w:r w:rsidRPr="00D20CA8">
              <w:rPr>
                <w:vertAlign w:val="subscript"/>
              </w:rPr>
              <w:t>max</w:t>
            </w:r>
            <w:r w:rsidRPr="00D20CA8">
              <w:t xml:space="preserve"> model did not appear to be a good predictor of response to treatment at earlier time points, the ICER is not sensitive to plausible changes in BSC response</w:t>
            </w:r>
          </w:p>
        </w:tc>
      </w:tr>
      <w:tr w:rsidR="00A677E9" w:rsidRPr="00D20CA8" w14:paraId="40F2AAFB" w14:textId="77777777" w:rsidTr="6CED201C">
        <w:trPr>
          <w:cantSplit/>
        </w:trPr>
        <w:tc>
          <w:tcPr>
            <w:tcW w:w="1008" w:type="pct"/>
            <w:shd w:val="clear" w:color="auto" w:fill="auto"/>
            <w:vAlign w:val="center"/>
          </w:tcPr>
          <w:p w14:paraId="6D2E7330" w14:textId="77777777" w:rsidR="00A677E9" w:rsidRPr="00D20CA8" w:rsidRDefault="00A677E9">
            <w:pPr>
              <w:pStyle w:val="TableText"/>
            </w:pPr>
            <w:r w:rsidRPr="00D20CA8">
              <w:t>Duration of bulevirtide treatment</w:t>
            </w:r>
          </w:p>
        </w:tc>
        <w:tc>
          <w:tcPr>
            <w:tcW w:w="3992" w:type="pct"/>
            <w:shd w:val="clear" w:color="auto" w:fill="auto"/>
          </w:tcPr>
          <w:p w14:paraId="2A05F0C6" w14:textId="78495390" w:rsidR="00A677E9" w:rsidRPr="00D20CA8" w:rsidRDefault="00A677E9">
            <w:pPr>
              <w:pStyle w:val="TableText"/>
            </w:pPr>
            <w:r w:rsidRPr="00D20CA8">
              <w:t>All patients were assumed to remain on bulevirtide treatment in the model until Week 96, unless they progress or experience H</w:t>
            </w:r>
            <w:r w:rsidR="003A6EC7" w:rsidRPr="00D20CA8">
              <w:t>b</w:t>
            </w:r>
            <w:r w:rsidRPr="00D20CA8">
              <w:t>sAg seroclearance. After Week 96, only those patients who achieved a response were assumed to continue. This was inconsistent with the use in the trial (all patients receive 144 weeks of treatment) and with the proposed PBS restriction (which may preclude use in patients with undetectable RNA or normal ALT levels, and may allow continued use in non-responders).</w:t>
            </w:r>
          </w:p>
        </w:tc>
      </w:tr>
      <w:tr w:rsidR="00A677E9" w:rsidRPr="00D20CA8" w14:paraId="6B5E933F" w14:textId="77777777" w:rsidTr="6CED201C">
        <w:trPr>
          <w:cantSplit/>
        </w:trPr>
        <w:tc>
          <w:tcPr>
            <w:tcW w:w="1008" w:type="pct"/>
            <w:shd w:val="clear" w:color="auto" w:fill="auto"/>
            <w:vAlign w:val="center"/>
          </w:tcPr>
          <w:p w14:paraId="38962ADD" w14:textId="77777777" w:rsidR="00A677E9" w:rsidRPr="00D20CA8" w:rsidRDefault="00A677E9">
            <w:pPr>
              <w:pStyle w:val="TableText"/>
            </w:pPr>
            <w:r w:rsidRPr="00D20CA8">
              <w:lastRenderedPageBreak/>
              <w:t>Health related quality of life</w:t>
            </w:r>
          </w:p>
        </w:tc>
        <w:tc>
          <w:tcPr>
            <w:tcW w:w="3992" w:type="pct"/>
            <w:shd w:val="clear" w:color="auto" w:fill="auto"/>
            <w:vAlign w:val="center"/>
          </w:tcPr>
          <w:p w14:paraId="73F7254B" w14:textId="4CCCC515" w:rsidR="00A677E9" w:rsidRPr="00D20CA8" w:rsidRDefault="00A677E9">
            <w:pPr>
              <w:pStyle w:val="TableText"/>
            </w:pPr>
            <w:r w:rsidRPr="00D20CA8">
              <w:t>NC (0.813) and CC (0.812) utilities in non-responders were derived from baseline utility in MYR301. Little difference in utility was observed in patients with and without cirrhosis at baseline, which is inconsistent with differences previously considered by the PBAC (para 6.38, daclatasvir PSD, March 2015 PBAC meeting). Patients who achieved a response were assumed to have a utility gain of 0.057, based on a Tobit regression model fitted to data from MYR301 at Week 48. A utility gain in responders may not be reasonable in chronic HDV as this was considered uncertain in chronic HCV, where SVR is an accepted surrogate for a cure (para 6.33, daclatasvir PSD, March 2015 PBAC meeting). Utility values in the remaining health states were derived from a sponsor-commissioned meta-analysis of health state utility in chronic HBV</w:t>
            </w:r>
            <w:r w:rsidR="00A22EEA">
              <w:t>.</w:t>
            </w:r>
            <w:r w:rsidRPr="00D20CA8">
              <w:t xml:space="preserve"> </w:t>
            </w:r>
          </w:p>
        </w:tc>
      </w:tr>
    </w:tbl>
    <w:p w14:paraId="2643D265" w14:textId="77777777" w:rsidR="00A677E9" w:rsidRPr="00196231" w:rsidRDefault="00A677E9" w:rsidP="00A677E9">
      <w:pPr>
        <w:pStyle w:val="TableFooter"/>
      </w:pPr>
      <w:r w:rsidRPr="00196231">
        <w:t>Source: Adapted from Table 3.1−1, p134 of the submission.</w:t>
      </w:r>
    </w:p>
    <w:p w14:paraId="12EB45EF" w14:textId="197EA8E8" w:rsidR="00A677E9" w:rsidRPr="00196231" w:rsidRDefault="00A677E9" w:rsidP="00A677E9">
      <w:pPr>
        <w:pStyle w:val="TableFooter"/>
      </w:pPr>
      <w:r w:rsidRPr="00196231">
        <w:t>ALT = alanine transaminase; BSC = best supportive care; CC = compensated cirrhosis; DCC = decompensated cirrhosis; FN = false negative; FP = false positive; H</w:t>
      </w:r>
      <w:r w:rsidR="003A6EC7" w:rsidRPr="00196231">
        <w:t>b</w:t>
      </w:r>
      <w:r w:rsidRPr="00196231">
        <w:t>sAg = hepatitis B surface antigen; HBV = hepatitis B virus; HCC = hepatocellular carcinoma; HCV = hepatitis C virus; HDV = hepatitis D virus; ICER = incremental cost-effectiveness ratio; NC = non-cirrhotic; SVR = sustained virologic response.</w:t>
      </w:r>
    </w:p>
    <w:p w14:paraId="66E6A21C" w14:textId="77777777" w:rsidR="00A677E9" w:rsidRPr="00196231" w:rsidRDefault="00A677E9" w:rsidP="00A677E9">
      <w:pPr>
        <w:pStyle w:val="TableFooter"/>
      </w:pPr>
      <w:r w:rsidRPr="00196231">
        <w:rPr>
          <w:vertAlign w:val="superscript"/>
        </w:rPr>
        <w:t>a</w:t>
      </w:r>
      <w:r w:rsidRPr="00196231">
        <w:t xml:space="preserve"> Romeo R, Del Ninno E, Rumi M, Russo A, Sangiovanni A, de Franchis R, et al. A 28-year study of the course of hepatitis Delta infection: a risk factor for cirrhosis and hepatocellular carcinoma. Gastroenterology. 2009 May;136(5):1629-38.</w:t>
      </w:r>
    </w:p>
    <w:p w14:paraId="38E60688" w14:textId="77777777" w:rsidR="00A677E9" w:rsidRPr="00196231" w:rsidRDefault="00A677E9" w:rsidP="00A677E9">
      <w:pPr>
        <w:pStyle w:val="TableFooter"/>
      </w:pPr>
      <w:r w:rsidRPr="00196231">
        <w:rPr>
          <w:vertAlign w:val="superscript"/>
        </w:rPr>
        <w:t>b</w:t>
      </w:r>
      <w:r w:rsidRPr="00196231">
        <w:t xml:space="preserve"> Coghill S, McNamara J, Woods M, Hajkowicz K. Epidemiology and clinical outcomes of hepatitis delta (D) virus infection in Queensland, Australia. Int J Infect Dis. 2018 Sep;74:123-7.</w:t>
      </w:r>
    </w:p>
    <w:p w14:paraId="6B955AA2" w14:textId="77777777" w:rsidR="00A677E9" w:rsidRPr="00196231" w:rsidRDefault="00A677E9" w:rsidP="00A677E9">
      <w:pPr>
        <w:pStyle w:val="TableFooter"/>
      </w:pPr>
      <w:r w:rsidRPr="00196231">
        <w:rPr>
          <w:vertAlign w:val="superscript"/>
        </w:rPr>
        <w:t>c</w:t>
      </w:r>
      <w:r w:rsidRPr="00196231">
        <w:t xml:space="preserve"> Jackson K, MacLachlan J, Cowie B, Locarnini S, Bowden S, Higgins N, et al. Epidemiology and phylogenetic analysis of hepatitis D virus infection in Australia. Intern Med J. 2018 Nov;48(11):1308-17.</w:t>
      </w:r>
    </w:p>
    <w:p w14:paraId="5BC2E0C7" w14:textId="77777777" w:rsidR="00A677E9" w:rsidRPr="00196231" w:rsidRDefault="00A677E9" w:rsidP="00A677E9">
      <w:pPr>
        <w:pStyle w:val="TableFooter"/>
      </w:pPr>
      <w:r w:rsidRPr="00196231">
        <w:rPr>
          <w:vertAlign w:val="superscript"/>
        </w:rPr>
        <w:t>d</w:t>
      </w:r>
      <w:r w:rsidRPr="00196231">
        <w:t xml:space="preserve"> Shadur B, MacLachlan J, Cowie B. Hepatitis D virus in Victoria 2000-2009. Intern Med J. 2013 Oct;43(10):1081-7.</w:t>
      </w:r>
    </w:p>
    <w:p w14:paraId="5E3609BC" w14:textId="0D9CEA0B" w:rsidR="00A677E9" w:rsidRPr="00196231" w:rsidRDefault="00A677E9" w:rsidP="00A677E9">
      <w:pPr>
        <w:pStyle w:val="TableFooter"/>
      </w:pPr>
      <w:r w:rsidRPr="00196231">
        <w:rPr>
          <w:vertAlign w:val="superscript"/>
        </w:rPr>
        <w:t>e</w:t>
      </w:r>
      <w:r w:rsidRPr="00196231">
        <w:t xml:space="preserve"> Bermingham SL, Hughes R, Fenu E, Sawyer LM, Boxall E, P TK, et al. Cost-Effectiveness Analysis of Alternative Antiviral Strategies for the Treatment of H</w:t>
      </w:r>
      <w:r w:rsidR="003A6EC7" w:rsidRPr="00196231">
        <w:t>b</w:t>
      </w:r>
      <w:r w:rsidRPr="00196231">
        <w:t>eAg-Positive and H</w:t>
      </w:r>
      <w:r w:rsidR="003A6EC7" w:rsidRPr="00196231">
        <w:t>b</w:t>
      </w:r>
      <w:r w:rsidRPr="00196231">
        <w:t>eAg-Negative Chronic Hepatitis B in the United Kingdom. Value Health. 2015 Sep;18(6):800-9.</w:t>
      </w:r>
    </w:p>
    <w:p w14:paraId="5A204A29" w14:textId="77777777" w:rsidR="00A677E9" w:rsidRPr="00196231" w:rsidRDefault="00A677E9" w:rsidP="00A677E9">
      <w:pPr>
        <w:pStyle w:val="TableFooter"/>
      </w:pPr>
      <w:r w:rsidRPr="00196231">
        <w:rPr>
          <w:vertAlign w:val="superscript"/>
        </w:rPr>
        <w:t>f</w:t>
      </w:r>
      <w:r w:rsidRPr="00196231">
        <w:t xml:space="preserve"> Da BL, Heller T, Koh C. Hepatitis D infection: from initial discovery to current investigational therapies. Gastroenterol Rep (Oxf). 2019 Aug;7(4):231-45.</w:t>
      </w:r>
    </w:p>
    <w:p w14:paraId="23C9F112" w14:textId="77777777" w:rsidR="00A677E9" w:rsidRPr="00196231" w:rsidRDefault="00A677E9" w:rsidP="00A677E9">
      <w:pPr>
        <w:pStyle w:val="TableFooter"/>
      </w:pPr>
      <w:r w:rsidRPr="00196231">
        <w:rPr>
          <w:vertAlign w:val="superscript"/>
        </w:rPr>
        <w:t>g</w:t>
      </w:r>
      <w:r w:rsidRPr="00196231">
        <w:t xml:space="preserve"> Alfaiate D, Clement S, Gomes D, Goossens N, Negro F. Chronic hepatitis D and hepatocellular carcinoma: A systematic review and meta-analysis of observational studies. J Hepatol. 2020 Sep;73(3):533-9.</w:t>
      </w:r>
    </w:p>
    <w:p w14:paraId="153201C7" w14:textId="77777777" w:rsidR="00A677E9" w:rsidRPr="00196231" w:rsidRDefault="00A677E9" w:rsidP="00A677E9">
      <w:pPr>
        <w:pStyle w:val="TableFooter"/>
      </w:pPr>
      <w:r w:rsidRPr="00196231">
        <w:rPr>
          <w:vertAlign w:val="superscript"/>
        </w:rPr>
        <w:t>h</w:t>
      </w:r>
      <w:r w:rsidRPr="00196231">
        <w:t xml:space="preserve"> Fattovich G, Giustina G, Christensen E, Pantalena M, Zagni I, Realdi G, et al. Influence of hepatitis delta virus infection on morbidity and mortality in compensated cirrhosis type B. The European Concerted Action on Viral Hepatitis (Eurohep). Gut. 2000 Mar;46(3):420-6.</w:t>
      </w:r>
    </w:p>
    <w:p w14:paraId="3A7AF8A6" w14:textId="77777777" w:rsidR="00A677E9" w:rsidRPr="00196231" w:rsidRDefault="00A677E9" w:rsidP="00A677E9">
      <w:pPr>
        <w:pStyle w:val="TableFooter"/>
      </w:pPr>
      <w:r w:rsidRPr="00196231">
        <w:rPr>
          <w:vertAlign w:val="superscript"/>
        </w:rPr>
        <w:t>i</w:t>
      </w:r>
      <w:r w:rsidRPr="00196231">
        <w:t xml:space="preserve"> Zhou K, Contag C, Whitaker E, Terrault N. Spontaneous loss of surface antigen among adults living with chronic hepatitis B virus infection: a systematic review and pooled meta-analyses. Lancet Gastroenterol Hepatol. 2019 Mar;4(3):227-38.</w:t>
      </w:r>
    </w:p>
    <w:p w14:paraId="1AA1CB7A" w14:textId="77777777" w:rsidR="00A677E9" w:rsidRPr="00196231" w:rsidRDefault="00A677E9" w:rsidP="00A677E9">
      <w:pPr>
        <w:pStyle w:val="TableFooter"/>
      </w:pPr>
      <w:r w:rsidRPr="00196231">
        <w:rPr>
          <w:vertAlign w:val="superscript"/>
        </w:rPr>
        <w:t>j</w:t>
      </w:r>
      <w:r w:rsidRPr="00196231">
        <w:t xml:space="preserve"> Goyal A, Murray JM. Cost-Effectiveness of Peg-Interferon, Interferon and Oral Nucleoside Analogues in the Treatment of Chronic Hepatitis B and D Infections in China. Clin Drug Investig. 2016 Aug;36(8):637-48.</w:t>
      </w:r>
    </w:p>
    <w:p w14:paraId="4C07D29F" w14:textId="77777777" w:rsidR="00A677E9" w:rsidRPr="00196231" w:rsidRDefault="00A677E9" w:rsidP="00190AF8">
      <w:pPr>
        <w:pStyle w:val="TableFooter"/>
        <w:spacing w:after="120"/>
      </w:pPr>
      <w:r w:rsidRPr="00196231">
        <w:rPr>
          <w:vertAlign w:val="superscript"/>
        </w:rPr>
        <w:t xml:space="preserve">k </w:t>
      </w:r>
      <w:r w:rsidRPr="00196231">
        <w:t>Xiao Y, Howell J, van Gemert C, Thompson AJ, Seaman CP, McCulloch K, et al. Enhancing the hepatitis B care cascade in Australia: A cost-effectiveness model. J Viral Hepat. 2020 May;27(5):526-36.</w:t>
      </w:r>
    </w:p>
    <w:p w14:paraId="63280CA7" w14:textId="3B33ACDB" w:rsidR="00A677E9" w:rsidRPr="00196231" w:rsidRDefault="00A677E9" w:rsidP="00BC0799">
      <w:pPr>
        <w:pStyle w:val="3-BodyText"/>
      </w:pPr>
      <w:r>
        <w:t xml:space="preserve">Alternate scenarios of test/treatment provision were not explored in the submission. </w:t>
      </w:r>
    </w:p>
    <w:p w14:paraId="127A5C48" w14:textId="40B22F74" w:rsidR="00A677E9" w:rsidRPr="00D50F74" w:rsidRDefault="00A677E9" w:rsidP="00BC0799">
      <w:pPr>
        <w:pStyle w:val="3-BodyText"/>
        <w:rPr>
          <w:i/>
          <w:iCs/>
        </w:rPr>
      </w:pPr>
      <w:r w:rsidRPr="00196231">
        <w:t xml:space="preserve">Patients enter the model at the point of treatment, and so the cost of testing in order to find one patient eligible for treatment was applied at model entry. </w:t>
      </w:r>
      <w:r w:rsidR="00A22EEA" w:rsidRPr="00196231">
        <w:t>Under the submission’s assumption of the rate of HDV RNA positivity (56.2%) and 100% test performance, the cost of testing applied on model entry was $</w:t>
      </w:r>
      <w:r w:rsidR="00A22EEA" w:rsidRPr="00190AF8">
        <w:t>270.64</w:t>
      </w:r>
      <w:r w:rsidR="00A22EEA" w:rsidRPr="00196231">
        <w:rPr>
          <w:rStyle w:val="FootnoteReference"/>
        </w:rPr>
        <w:footnoteReference w:id="12"/>
      </w:r>
      <w:r w:rsidR="00A22EEA">
        <w:t xml:space="preserve">. </w:t>
      </w:r>
      <w:r w:rsidRPr="00D20CA8">
        <w:t>Entry at the point of treatment is not the approach preferred for codependent technologies (Product type 4, 37 (O), PBAC guidelines (v5.0)), as this does not explicitly allow the impact of false-positive and/or false-negative results to be explored.</w:t>
      </w:r>
      <w:r w:rsidRPr="7A2CA021">
        <w:rPr>
          <w:i/>
          <w:iCs/>
        </w:rPr>
        <w:t xml:space="preserve"> </w:t>
      </w:r>
      <w:r w:rsidRPr="00196231">
        <w:t xml:space="preserve">The submission stated that if in practice there are low levels of false positives or false negatives due to uncertainty in the sensitivity and specificity of the proposed HDV RNA PCR testing, this will have minimal impact on the overall cost-effectiveness results. </w:t>
      </w:r>
      <w:r w:rsidRPr="00D20CA8">
        <w:t xml:space="preserve">At treatment initiation, the impact of a false negative result may be limited to foregone potential benefit from bulevirtide treatment (i.e. cost of testing incurred, without benefit from treatment), though this would likely have been captured in the yield data used. The impact of a false positive result may not be insignificant – these patients may appear </w:t>
      </w:r>
      <w:r w:rsidRPr="00D20CA8">
        <w:lastRenderedPageBreak/>
        <w:t>to falsely respond to bulevirtide treatment, and depending on the continuation criteria for treatment, may receive ongoing treatment for no benefit. False results may have different effects when the test is used for monitoring. False negatives may appear to respond to treatment, whereas false positives would not. These may affect decisions to continue or cease treatment, depending on bulevirtide continuation and stopping rules.</w:t>
      </w:r>
      <w:r w:rsidRPr="7A2CA021">
        <w:rPr>
          <w:i/>
          <w:iCs/>
        </w:rPr>
        <w:t xml:space="preserve"> </w:t>
      </w:r>
    </w:p>
    <w:p w14:paraId="7B32E210" w14:textId="60059043" w:rsidR="00A677E9" w:rsidRPr="00196231" w:rsidRDefault="00A677E9" w:rsidP="00BC0799">
      <w:pPr>
        <w:pStyle w:val="3-BodyText"/>
      </w:pPr>
      <w:r>
        <w:t>The structure of the economic evaluation included eleven distinct health states: non-cirrhosis (separated into F0, F1, F2 and F3 states), compensated cirrhosis (CC) (i.e. F4), decompensated cirrhosis (DCC), hepatocellular carcinoma (HCC), liver transplantation, post-liver transplantation, dead (liver-related) and dead (</w:t>
      </w:r>
      <w:r w:rsidRPr="00D86C8B">
        <w:t>background) (</w:t>
      </w:r>
      <w:r w:rsidRPr="00D86C8B">
        <w:fldChar w:fldCharType="begin" w:fldLock="1"/>
      </w:r>
      <w:r w:rsidRPr="00D86C8B">
        <w:instrText xml:space="preserve"> REF _Ref152349104 \h </w:instrText>
      </w:r>
      <w:r w:rsidR="00BF711C" w:rsidRPr="00D86C8B">
        <w:instrText xml:space="preserve"> \* MERGEFORMAT </w:instrText>
      </w:r>
      <w:r w:rsidRPr="00D86C8B">
        <w:fldChar w:fldCharType="separate"/>
      </w:r>
      <w:r w:rsidR="00B02BFE" w:rsidRPr="00D86C8B">
        <w:t xml:space="preserve">Figure </w:t>
      </w:r>
      <w:r w:rsidR="00B02BFE" w:rsidRPr="00D86C8B">
        <w:rPr>
          <w:noProof/>
        </w:rPr>
        <w:t>1</w:t>
      </w:r>
      <w:r w:rsidRPr="00D86C8B">
        <w:fldChar w:fldCharType="end"/>
      </w:r>
      <w:r w:rsidRPr="00D86C8B">
        <w:t>).</w:t>
      </w:r>
      <w:r>
        <w:t xml:space="preserve"> </w:t>
      </w:r>
    </w:p>
    <w:p w14:paraId="6A176A95" w14:textId="23D7CD6A" w:rsidR="00A677E9" w:rsidRPr="00196231" w:rsidRDefault="00A677E9" w:rsidP="00190AF8">
      <w:pPr>
        <w:pStyle w:val="TableFigureHeading"/>
      </w:pPr>
      <w:bookmarkStart w:id="54" w:name="_Ref152349104"/>
      <w:r w:rsidRPr="00196231">
        <w:t xml:space="preserve">Figure </w:t>
      </w:r>
      <w:r>
        <w:fldChar w:fldCharType="begin" w:fldLock="1"/>
      </w:r>
      <w:r>
        <w:instrText>SEQ Figure_PBAC. \* ARABIC</w:instrText>
      </w:r>
      <w:r>
        <w:fldChar w:fldCharType="separate"/>
      </w:r>
      <w:r w:rsidR="00B02BFE">
        <w:rPr>
          <w:noProof/>
        </w:rPr>
        <w:t>1</w:t>
      </w:r>
      <w:r>
        <w:fldChar w:fldCharType="end"/>
      </w:r>
      <w:bookmarkEnd w:id="54"/>
      <w:r w:rsidR="00343C2D">
        <w:t>:</w:t>
      </w:r>
      <w:r w:rsidR="00D86C8B">
        <w:t xml:space="preserve"> </w:t>
      </w:r>
      <w:r w:rsidRPr="00196231">
        <w:t>Structure of the economic evaluation</w:t>
      </w:r>
    </w:p>
    <w:p w14:paraId="1F60D030" w14:textId="77777777" w:rsidR="00A677E9" w:rsidRPr="00196231" w:rsidRDefault="00A677E9" w:rsidP="00190AF8">
      <w:pPr>
        <w:keepNext/>
        <w:spacing w:before="0" w:after="0"/>
      </w:pPr>
      <w:r w:rsidRPr="00196231">
        <w:rPr>
          <w:noProof/>
        </w:rPr>
        <w:drawing>
          <wp:inline distT="0" distB="0" distL="0" distR="0" wp14:anchorId="4C6ED990" wp14:editId="0B1632ED">
            <wp:extent cx="5731510" cy="2851785"/>
            <wp:effectExtent l="0" t="0" r="2540" b="5715"/>
            <wp:docPr id="602643516" name="Picture 602643516" descr="Figure 1: Structure of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43516" name="Picture 602643516" descr="Figure 1: Structure of the economic evaluation"/>
                    <pic:cNvPicPr/>
                  </pic:nvPicPr>
                  <pic:blipFill>
                    <a:blip r:embed="rId8"/>
                    <a:stretch>
                      <a:fillRect/>
                    </a:stretch>
                  </pic:blipFill>
                  <pic:spPr>
                    <a:xfrm>
                      <a:off x="0" y="0"/>
                      <a:ext cx="5731510" cy="2851785"/>
                    </a:xfrm>
                    <a:prstGeom prst="rect">
                      <a:avLst/>
                    </a:prstGeom>
                  </pic:spPr>
                </pic:pic>
              </a:graphicData>
            </a:graphic>
          </wp:inline>
        </w:drawing>
      </w:r>
    </w:p>
    <w:p w14:paraId="601F9727" w14:textId="77777777" w:rsidR="00A677E9" w:rsidRPr="00196231" w:rsidRDefault="00A677E9" w:rsidP="00190AF8">
      <w:pPr>
        <w:pStyle w:val="TableFooter"/>
        <w:keepNext/>
      </w:pPr>
      <w:r w:rsidRPr="00196231">
        <w:t>Source: Adapted from Figure 3.2−1, p143 of the submission.</w:t>
      </w:r>
    </w:p>
    <w:p w14:paraId="36F6AB94" w14:textId="2FDA35A0" w:rsidR="00A677E9" w:rsidRPr="00196231" w:rsidRDefault="00A677E9" w:rsidP="00190AF8">
      <w:pPr>
        <w:pStyle w:val="TableFooter"/>
        <w:keepNext/>
      </w:pPr>
      <w:r w:rsidRPr="00196231">
        <w:t>CC = compensated cirrhosis; DCC = decompensated cirrhosis; H</w:t>
      </w:r>
      <w:r w:rsidR="003A6EC7" w:rsidRPr="00196231">
        <w:t>b</w:t>
      </w:r>
      <w:r w:rsidRPr="00196231">
        <w:t>sAg = hepatitis B surface antigen; HCC = hepatocellular carcinoma; LT = liver transplantation; PLT = post-liver transplantation.</w:t>
      </w:r>
    </w:p>
    <w:p w14:paraId="302122A2" w14:textId="77777777" w:rsidR="00A677E9" w:rsidRPr="00196231" w:rsidRDefault="00A677E9" w:rsidP="00190AF8">
      <w:pPr>
        <w:pStyle w:val="TableFooter"/>
        <w:keepNext/>
      </w:pPr>
      <w:r w:rsidRPr="00196231">
        <w:t># Until Week 96, patients can move between non-responders and responders. After Week 96, responders can discontinue treatment (transitioning to non-responder status), but non-responders no longer receive treatment and so are unable to achieve a response.</w:t>
      </w:r>
    </w:p>
    <w:p w14:paraId="023A80D7" w14:textId="77777777" w:rsidR="00A677E9" w:rsidRPr="00196231" w:rsidRDefault="00A677E9" w:rsidP="00190AF8">
      <w:pPr>
        <w:pStyle w:val="TableFooter"/>
        <w:keepNext/>
      </w:pPr>
      <w:r w:rsidRPr="00196231">
        <w:t>^ Patients could progress and respond within the same cycle until Week 96</w:t>
      </w:r>
    </w:p>
    <w:p w14:paraId="196D5F5F" w14:textId="77777777" w:rsidR="00A677E9" w:rsidRPr="00196231" w:rsidRDefault="00A677E9" w:rsidP="00190AF8">
      <w:pPr>
        <w:pStyle w:val="TableFooter"/>
        <w:spacing w:after="120"/>
        <w:contextualSpacing w:val="0"/>
      </w:pPr>
      <w:r w:rsidRPr="00196231">
        <w:t>All health states are also subject to background mortality</w:t>
      </w:r>
    </w:p>
    <w:p w14:paraId="13F079E3" w14:textId="0ED3574D" w:rsidR="00A677E9" w:rsidRPr="00D20CA8" w:rsidRDefault="00A677E9" w:rsidP="00190AF8">
      <w:pPr>
        <w:pStyle w:val="3-BodyText"/>
      </w:pPr>
      <w:r w:rsidRPr="00D20CA8">
        <w:t>While the model presented was similar to models in chronic hepatitis previously presented to the PBAC, no data were identified to inform progression within the non-cirrhotic health states (i.e. F0 to F3). The submission used a probability of developing cirrhosis in non-cirrhotic patients to approximate fibrosis stage progression, which may not be appropriate. The incremental cost-effectiveness ratio (ICER) is sensitive to changes in transition probabilities applied within the fibrosis health states. Simplifying the model structure to include one non-cirrhotic health state may be more appropriate.</w:t>
      </w:r>
    </w:p>
    <w:p w14:paraId="0B80B0B1" w14:textId="77777777" w:rsidR="00A677E9" w:rsidRPr="00196231" w:rsidRDefault="00A677E9" w:rsidP="00190AF8">
      <w:pPr>
        <w:pStyle w:val="3-BodyText"/>
      </w:pPr>
      <w:r>
        <w:t xml:space="preserve">Patients eligible for bulevirtide treatment include those with non-cirrhotic or CC disease. Therefore patients entering the model were distributed across these health </w:t>
      </w:r>
      <w:r>
        <w:lastRenderedPageBreak/>
        <w:t>states, as non-responders. Within each model cycle (24 weeks), patients in either treatment arm could respond to treatment (up to 96 weeks only) and/or progress. Responding to treatment was assumed to reduce further disease progression, and allowed regression of F3 (to F2) and CC (to F3) disease. The modelled benefit for bulevirtide was therefore mediated through an increase in the proportion of responders, who were assumed to have slower disease progression and higher quality of life.</w:t>
      </w:r>
    </w:p>
    <w:p w14:paraId="630724C1" w14:textId="2848096D" w:rsidR="00A677E9" w:rsidRPr="00543EB7" w:rsidRDefault="00A677E9" w:rsidP="00190AF8">
      <w:pPr>
        <w:pStyle w:val="3-BodyText"/>
      </w:pPr>
      <w:r w:rsidRPr="00543EB7">
        <w:t>A lifetime time horizon (i.e. until 100 years of age) was assumed, based on the claim that an improvement in response delays, potentially avoiding, sequelae that result in substantial excess mortality. Given an average age of 42 years on model entry, the time horizon was therefore 58 years. This was substantially longer than the trial (96 weeks</w:t>
      </w:r>
      <w:r w:rsidR="00B069BA" w:rsidRPr="00543EB7">
        <w:t xml:space="preserve"> for bulevirtide, 48 weeks for BSC</w:t>
      </w:r>
      <w:r w:rsidRPr="00543EB7">
        <w:t xml:space="preserve">) and longer than </w:t>
      </w:r>
      <w:r w:rsidR="0021716C" w:rsidRPr="00543EB7">
        <w:t xml:space="preserve">previously considered by the PBAC in the context of chronic HBV treatment (20 years) (lamivudine, March 1999 PBAC meeting, and telbivudine </w:t>
      </w:r>
      <w:r w:rsidR="00A23F1D" w:rsidRPr="00A23F1D">
        <w:t xml:space="preserve">Public Summary Document </w:t>
      </w:r>
      <w:r w:rsidR="00A23F1D">
        <w:t>(</w:t>
      </w:r>
      <w:r w:rsidR="0021716C" w:rsidRPr="00543EB7">
        <w:t>PSD</w:t>
      </w:r>
      <w:r w:rsidR="00A23F1D">
        <w:t>)</w:t>
      </w:r>
      <w:r w:rsidR="0021716C" w:rsidRPr="00543EB7">
        <w:t xml:space="preserve">, March 2008 PBAC meeting). The model is sensitive to changes in the time horizon </w:t>
      </w:r>
      <w:r w:rsidRPr="00543EB7">
        <w:t xml:space="preserve">(see </w:t>
      </w:r>
      <w:r w:rsidRPr="00543EB7">
        <w:fldChar w:fldCharType="begin" w:fldLock="1"/>
      </w:r>
      <w:r w:rsidRPr="00543EB7">
        <w:instrText xml:space="preserve"> REF _Ref152349164 \h  \* MERGEFORMAT </w:instrText>
      </w:r>
      <w:r w:rsidRPr="00543EB7">
        <w:fldChar w:fldCharType="separate"/>
      </w:r>
      <w:r w:rsidR="0005150D" w:rsidRPr="00196231">
        <w:t xml:space="preserve">Table </w:t>
      </w:r>
      <w:r w:rsidR="0005150D">
        <w:t>14</w:t>
      </w:r>
      <w:r w:rsidRPr="00543EB7">
        <w:fldChar w:fldCharType="end"/>
      </w:r>
      <w:r w:rsidRPr="00543EB7">
        <w:t>).</w:t>
      </w:r>
      <w:r w:rsidR="00364639" w:rsidRPr="00543EB7">
        <w:t xml:space="preserve"> </w:t>
      </w:r>
    </w:p>
    <w:p w14:paraId="4B850CB5" w14:textId="5D428D36" w:rsidR="00364639" w:rsidRPr="00543EB7" w:rsidRDefault="00364639" w:rsidP="00190AF8">
      <w:pPr>
        <w:pStyle w:val="3-BodyText"/>
      </w:pPr>
      <w:r w:rsidRPr="00543EB7">
        <w:t xml:space="preserve">The PSCR argued the time horizon of 58 years was reasonable because HDV is a chronic and progressive disease and bulevirtide treatment significantly extends survival; therefore, many patients will have a normal life expectancy. The </w:t>
      </w:r>
      <w:r w:rsidR="00454F56" w:rsidRPr="00543EB7">
        <w:t>PSCR</w:t>
      </w:r>
      <w:r w:rsidRPr="00543EB7">
        <w:t xml:space="preserve"> also reiterated the base case model predicts 85% and 70% of the bulevirtide and BSC </w:t>
      </w:r>
      <w:r w:rsidR="00732869" w:rsidRPr="00543EB7">
        <w:t>cohorts</w:t>
      </w:r>
      <w:r w:rsidRPr="00543EB7">
        <w:t xml:space="preserve"> (respectively) are still alive</w:t>
      </w:r>
      <w:r w:rsidR="00B069BA" w:rsidRPr="00543EB7">
        <w:t xml:space="preserve"> after 30 years</w:t>
      </w:r>
      <w:r w:rsidRPr="00543EB7">
        <w:t xml:space="preserve">, and the approach is consistent with the PBAC Guidelines. </w:t>
      </w:r>
      <w:r w:rsidR="00626A54" w:rsidRPr="00543EB7">
        <w:t xml:space="preserve">The ESCs considered the claim of an overall survival benefit was speculative and not directly supported by the available (shorter term) evidence and </w:t>
      </w:r>
      <w:r w:rsidR="00454F56" w:rsidRPr="00543EB7">
        <w:t>the uncertaint</w:t>
      </w:r>
      <w:r w:rsidR="00DB6C81">
        <w:t>y</w:t>
      </w:r>
      <w:r w:rsidR="00454F56" w:rsidRPr="00543EB7">
        <w:t xml:space="preserve"> was further increased</w:t>
      </w:r>
      <w:r w:rsidR="00626A54" w:rsidRPr="00543EB7">
        <w:t xml:space="preserve"> by the surrogate to final </w:t>
      </w:r>
      <w:r w:rsidR="00454F56" w:rsidRPr="00543EB7">
        <w:t xml:space="preserve">outcome </w:t>
      </w:r>
      <w:r w:rsidR="00626A54" w:rsidRPr="00543EB7">
        <w:t xml:space="preserve">approach used. Furthermore, </w:t>
      </w:r>
      <w:r w:rsidR="00545BE6" w:rsidRPr="00543EB7">
        <w:t>the ESC</w:t>
      </w:r>
      <w:r w:rsidR="00DA53DD" w:rsidRPr="00543EB7">
        <w:t>s</w:t>
      </w:r>
      <w:r w:rsidR="00545BE6" w:rsidRPr="00543EB7">
        <w:t xml:space="preserve"> noted that patients were treated for a modelled average of 8.8 years and as patients only experience benefit while on treatment the duration of response and </w:t>
      </w:r>
      <w:r w:rsidR="00670986" w:rsidRPr="00543EB7">
        <w:t xml:space="preserve">disease outcomes over the extended time horizon </w:t>
      </w:r>
      <w:r w:rsidR="00DA53DD" w:rsidRPr="00543EB7">
        <w:t>are</w:t>
      </w:r>
      <w:r w:rsidR="00670986" w:rsidRPr="00543EB7">
        <w:t xml:space="preserve"> highly uncertain</w:t>
      </w:r>
      <w:r w:rsidR="00545BE6" w:rsidRPr="00543EB7">
        <w:t xml:space="preserve">. </w:t>
      </w:r>
      <w:r w:rsidR="00085B70" w:rsidRPr="00543EB7">
        <w:t>Overall, t</w:t>
      </w:r>
      <w:r w:rsidRPr="00543EB7">
        <w:t>he ESC</w:t>
      </w:r>
      <w:r w:rsidR="00043D01" w:rsidRPr="00543EB7">
        <w:t>s</w:t>
      </w:r>
      <w:r w:rsidRPr="00543EB7">
        <w:t xml:space="preserve"> considered </w:t>
      </w:r>
      <w:r w:rsidR="00670986" w:rsidRPr="00543EB7">
        <w:t xml:space="preserve">a </w:t>
      </w:r>
      <w:r w:rsidRPr="00543EB7">
        <w:t>time horizon</w:t>
      </w:r>
      <w:r w:rsidR="00B069BA" w:rsidRPr="00543EB7">
        <w:t xml:space="preserve"> of 10-20 years</w:t>
      </w:r>
      <w:r w:rsidR="00670986" w:rsidRPr="00543EB7">
        <w:t xml:space="preserve"> was more appropriate in the context of these uncertainties</w:t>
      </w:r>
      <w:r w:rsidR="00AA349F">
        <w:t>, and would be consistent with previous considerations of chronic HBV treatments</w:t>
      </w:r>
      <w:r w:rsidRPr="00543EB7">
        <w:t xml:space="preserve">. </w:t>
      </w:r>
      <w:r w:rsidR="003B5BDF">
        <w:t xml:space="preserve">The Pre-PBAC </w:t>
      </w:r>
      <w:r w:rsidR="0005150D">
        <w:t>r</w:t>
      </w:r>
      <w:r w:rsidR="003B5BDF">
        <w:t>esponse argued a shorter time horizon would not allow the model to capture future benefits associated with treatment</w:t>
      </w:r>
      <w:r w:rsidR="0005150D">
        <w:t xml:space="preserve"> (as per PBAC guidelines)</w:t>
      </w:r>
      <w:r w:rsidR="003B5BDF">
        <w:t xml:space="preserve">. </w:t>
      </w:r>
    </w:p>
    <w:p w14:paraId="2419F1A2" w14:textId="566A5BEF" w:rsidR="00A677E9" w:rsidRPr="00543EB7" w:rsidRDefault="00A677E9" w:rsidP="00190AF8">
      <w:pPr>
        <w:pStyle w:val="3-BodyText"/>
      </w:pPr>
      <w:r w:rsidRPr="00543EB7">
        <w:t xml:space="preserve">The general approach to model chronic HDV disease progression used probabilities reported for disease progression with HBV mono-infection, adjusted for an increased risk in patients with HBV/HDV concomitant infection. </w:t>
      </w:r>
      <w:r w:rsidR="00545BE6" w:rsidRPr="00543EB7">
        <w:t>The evaluation identified a</w:t>
      </w:r>
      <w:r w:rsidRPr="00543EB7">
        <w:t>dditional sources</w:t>
      </w:r>
      <w:r w:rsidRPr="00543EB7">
        <w:rPr>
          <w:rStyle w:val="FootnoteReference"/>
        </w:rPr>
        <w:footnoteReference w:id="13"/>
      </w:r>
      <w:r w:rsidRPr="00543EB7">
        <w:rPr>
          <w:vertAlign w:val="superscript"/>
        </w:rPr>
        <w:t>,</w:t>
      </w:r>
      <w:bookmarkStart w:id="55" w:name="_Ref153208100"/>
      <w:r w:rsidRPr="00543EB7">
        <w:rPr>
          <w:rStyle w:val="FootnoteReference"/>
        </w:rPr>
        <w:footnoteReference w:id="14"/>
      </w:r>
      <w:bookmarkEnd w:id="55"/>
      <w:r w:rsidRPr="00543EB7">
        <w:rPr>
          <w:vertAlign w:val="superscript"/>
        </w:rPr>
        <w:t>,</w:t>
      </w:r>
      <w:r w:rsidRPr="00543EB7">
        <w:rPr>
          <w:rStyle w:val="FootnoteReference"/>
        </w:rPr>
        <w:footnoteReference w:id="15"/>
      </w:r>
      <w:r w:rsidRPr="00543EB7">
        <w:t xml:space="preserve"> that report outcomes directly in HBV/HDV patients. These may provide a more reasonable basis for deriving the transition probabilities for use </w:t>
      </w:r>
      <w:r w:rsidRPr="00543EB7">
        <w:lastRenderedPageBreak/>
        <w:t>in the economic model and the ICER was noted to be sensitive to using these probabilities, where applicable. The primary source for the HBV mono-infection transition probabilities was an economic evaluation of alternate treatment options for chronic HBV conducted in the United Kingdom (UK)</w:t>
      </w:r>
      <w:r w:rsidRPr="00543EB7">
        <w:rPr>
          <w:rStyle w:val="FootnoteReference"/>
        </w:rPr>
        <w:footnoteReference w:id="16"/>
      </w:r>
      <w:r w:rsidRPr="00543EB7">
        <w:t xml:space="preserve">. The submission did not justify the selection of this source, nor were alternate sources considered. </w:t>
      </w:r>
    </w:p>
    <w:p w14:paraId="7FAACE1E" w14:textId="3B9DD6F2" w:rsidR="00A677E9" w:rsidRPr="00543EB7" w:rsidRDefault="00A677E9" w:rsidP="0049624A">
      <w:pPr>
        <w:pStyle w:val="3-BodyText"/>
      </w:pPr>
      <w:r w:rsidRPr="00543EB7">
        <w:t>The benefit of bulevirtide was modelled through increasing the proportion of patients who respond to treatment. The MYR301 trial reported response rates to Week 96 for patients treated with 2 mg bulevirtide, and to Week 48 for those who received BSC in the delayed treatment arm. While the primary outcome of the trial was combined response defined as undetectable RNA or decrease in HDV RNA levels by ≥2 log</w:t>
      </w:r>
      <w:r w:rsidRPr="00543EB7">
        <w:rPr>
          <w:vertAlign w:val="subscript"/>
        </w:rPr>
        <w:t>10</w:t>
      </w:r>
      <w:r w:rsidRPr="00543EB7">
        <w:t> IU/mL from baseline and ALT normalisation, the definition of response applied in the model was that of virologic response defined as undetectable RNA or decrease in HDV RNA levels by ≥2 log</w:t>
      </w:r>
      <w:r w:rsidRPr="00543EB7">
        <w:rPr>
          <w:vertAlign w:val="subscript"/>
        </w:rPr>
        <w:t>10</w:t>
      </w:r>
      <w:r w:rsidRPr="00543EB7">
        <w:rPr>
          <w:sz w:val="22"/>
        </w:rPr>
        <w:t> </w:t>
      </w:r>
      <w:r w:rsidRPr="00543EB7">
        <w:t xml:space="preserve">IU/mL from baseline (noted to be an additional efficacy end point of MYR301). </w:t>
      </w:r>
    </w:p>
    <w:p w14:paraId="6858E713" w14:textId="5D303A44" w:rsidR="00B64496" w:rsidRPr="00543EB7" w:rsidRDefault="00B64496" w:rsidP="0049624A">
      <w:pPr>
        <w:pStyle w:val="3-BodyText"/>
      </w:pPr>
      <w:r w:rsidRPr="00543EB7">
        <w:t xml:space="preserve">The PSCR argued a HDV RNA decrease of ≥2 log10 IU/mL from baseline, was an appropriate measure of virologic response </w:t>
      </w:r>
      <w:r w:rsidR="00B828F3" w:rsidRPr="00543EB7">
        <w:t xml:space="preserve">to define a responder </w:t>
      </w:r>
      <w:r w:rsidRPr="00543EB7">
        <w:t xml:space="preserve">because: </w:t>
      </w:r>
    </w:p>
    <w:p w14:paraId="35A5B4F8" w14:textId="77777777" w:rsidR="00B64496" w:rsidRPr="00BF711C" w:rsidRDefault="00B64496" w:rsidP="0049624A">
      <w:pPr>
        <w:pStyle w:val="PBACESParagraphBulletPoint"/>
      </w:pPr>
      <w:r w:rsidRPr="00BF711C">
        <w:t>It represents a clinically significant reduction in viral load, as the associated percentage reduction in baseline HDV viral load for a ≥2log10 IU/mL decrease from baseline is &gt;99</w:t>
      </w:r>
      <w:proofErr w:type="gramStart"/>
      <w:r w:rsidRPr="00BF711C">
        <w:t>%;</w:t>
      </w:r>
      <w:proofErr w:type="gramEnd"/>
      <w:r w:rsidRPr="00BF711C">
        <w:t xml:space="preserve"> </w:t>
      </w:r>
    </w:p>
    <w:p w14:paraId="311C6B9B" w14:textId="77777777" w:rsidR="00B64496" w:rsidRPr="00BF711C" w:rsidRDefault="00B64496" w:rsidP="0049624A">
      <w:pPr>
        <w:pStyle w:val="PBACESParagraphBulletPoint"/>
      </w:pPr>
      <w:r w:rsidRPr="00BF711C">
        <w:t xml:space="preserve">ALT normalisation can fluctuate over time due to various factors, as noted by the evaluators; and </w:t>
      </w:r>
    </w:p>
    <w:p w14:paraId="2A58E729" w14:textId="235FFDA3" w:rsidR="00B64496" w:rsidRPr="00BF711C" w:rsidRDefault="00B64496" w:rsidP="0049624A">
      <w:pPr>
        <w:pStyle w:val="PBACESParagraphBulletPoint"/>
      </w:pPr>
      <w:r w:rsidRPr="00BF711C">
        <w:t xml:space="preserve">Undetectable HDV RNA is a function of test LLoD, which has significantly reduced over time based on assay improvements, and </w:t>
      </w:r>
      <w:r w:rsidR="00132939">
        <w:t>is</w:t>
      </w:r>
      <w:r w:rsidRPr="00BF711C">
        <w:t xml:space="preserve"> difficult to achieve with modern testing. </w:t>
      </w:r>
    </w:p>
    <w:p w14:paraId="645D3DCB" w14:textId="34920C50" w:rsidR="000F5A1E" w:rsidRPr="00BF711C" w:rsidRDefault="000F5A1E" w:rsidP="0049624A">
      <w:pPr>
        <w:pStyle w:val="3-BodyText"/>
      </w:pPr>
      <w:r w:rsidRPr="00BF711C">
        <w:t xml:space="preserve">The ESCs were concerned that the benefits of viral suppression in the economic evaluation were modelled based on extrapolation of sustained viral immune clearance (either spontaneous or associated with interferon treatment) and considered there </w:t>
      </w:r>
      <w:r w:rsidR="00132939">
        <w:t>are</w:t>
      </w:r>
      <w:r w:rsidR="00132939" w:rsidRPr="00BF711C">
        <w:t xml:space="preserve"> </w:t>
      </w:r>
      <w:r w:rsidRPr="00BF711C">
        <w:t xml:space="preserve">likely to be differences in outcomes between patients who are able to clear HDV infection (and are essentially cured) and those who are achieving and/or sustaining virologic suppression with ongoing treatment. Therefore, the ESCs considered the surrogate outcomes measured in the MYR-301 study were likely not </w:t>
      </w:r>
      <w:r w:rsidR="00BF1255" w:rsidRPr="00BF711C">
        <w:t>translated</w:t>
      </w:r>
      <w:r w:rsidRPr="00BF711C">
        <w:t xml:space="preserve"> to patient relevant liver-related outcomes appropriately.</w:t>
      </w:r>
      <w:r w:rsidR="00F36EC5" w:rsidRPr="00BF711C">
        <w:t xml:space="preserve"> The ESCs agreed with the evaluation and considered that whilst there may be improvements in tests over time, the use of undetectable viral load as the response measure </w:t>
      </w:r>
      <w:r w:rsidR="00484B32" w:rsidRPr="00BF711C">
        <w:t>would</w:t>
      </w:r>
      <w:r w:rsidR="00F36EC5" w:rsidRPr="00BF711C">
        <w:t xml:space="preserve"> be more consistent with studies used to quantify the effect of virological response on outcomes</w:t>
      </w:r>
      <w:r w:rsidR="00DA53DD" w:rsidRPr="00BF711C">
        <w:t xml:space="preserve">. </w:t>
      </w:r>
    </w:p>
    <w:p w14:paraId="56B25EFD" w14:textId="1E3820E4" w:rsidR="00A677E9" w:rsidRPr="00BF711C" w:rsidRDefault="00A677E9" w:rsidP="0049624A">
      <w:pPr>
        <w:pStyle w:val="3-BodyText"/>
      </w:pPr>
      <w:r w:rsidRPr="00BF711C">
        <w:t>All patients who enter the intervention arm of the model receive 96 weeks of bulevirtide treatment, unless they experience H</w:t>
      </w:r>
      <w:r w:rsidR="003A6EC7" w:rsidRPr="00BF711C">
        <w:t>b</w:t>
      </w:r>
      <w:r w:rsidRPr="00BF711C">
        <w:t xml:space="preserve">sAg seroclearance, disease </w:t>
      </w:r>
      <w:r w:rsidRPr="00BF711C">
        <w:lastRenderedPageBreak/>
        <w:t>progression (DCC or HCC) or die. The proportion of patients remaining in the F0−4 health states was not based on the MYR301 trial, but rather on external sources. In the first four model cycles, the average duration of treatment ap</w:t>
      </w:r>
      <w:r w:rsidRPr="0049624A">
        <w:t>plied was 87.0 weeks, which was lower than the average duration reported in MYR301 to 96 weeks (94.4</w:t>
      </w:r>
      <w:r w:rsidR="0049624A" w:rsidRPr="0049624A">
        <w:t> </w:t>
      </w:r>
      <w:r w:rsidRPr="0049624A">
        <w:t>weeks) in patients randomised to 2 mg bulevirtide.</w:t>
      </w:r>
    </w:p>
    <w:p w14:paraId="13F30720" w14:textId="37684C88" w:rsidR="00A677E9" w:rsidRPr="00BF711C" w:rsidRDefault="00A677E9" w:rsidP="0049624A">
      <w:pPr>
        <w:pStyle w:val="3-BodyText"/>
      </w:pPr>
      <w:r w:rsidRPr="00BF711C">
        <w:t>After Week 96, non-responders were assumed to cease treatment. The basis for this assumption was not clear, given that patients enrolled in MYR301 will receive bulevirtide treatment up to 144 weeks, regardless of response</w:t>
      </w:r>
      <w:r w:rsidR="00DD30CD" w:rsidRPr="00BF711C">
        <w:t>,</w:t>
      </w:r>
      <w:r w:rsidRPr="00BF711C">
        <w:t xml:space="preserve"> and that the proposed PBS restriction does not </w:t>
      </w:r>
      <w:r w:rsidR="0061037B" w:rsidRPr="00BF711C">
        <w:t xml:space="preserve">include </w:t>
      </w:r>
      <w:r w:rsidRPr="00BF711C">
        <w:t>a stopping rule in non-responders. While the proposed PI suggests that treatment should be continued as long as associated with clinical benefit, it is unclear when in clinical practice it would be decided that there was no longer a possibility for clinical benefit</w:t>
      </w:r>
      <w:r w:rsidR="750E9642" w:rsidRPr="00BF711C">
        <w:t xml:space="preserve"> to be realised</w:t>
      </w:r>
      <w:r w:rsidR="00232F6C">
        <w:t>, or whether treatment would continue</w:t>
      </w:r>
      <w:r w:rsidRPr="00BF711C">
        <w:t xml:space="preserve">. </w:t>
      </w:r>
      <w:r w:rsidR="00BD4D8C" w:rsidRPr="00BF711C">
        <w:t xml:space="preserve">The PSCR noted week 144 data was not available at time of submission, however argued it was likely to have a minor impact on </w:t>
      </w:r>
      <w:r w:rsidR="59E8F2E3" w:rsidRPr="00BF711C">
        <w:t xml:space="preserve">the </w:t>
      </w:r>
      <w:r w:rsidR="00BD4D8C" w:rsidRPr="00BF711C">
        <w:t>model results because the potential incremental cost due to the use of 96 weeks compared to 144</w:t>
      </w:r>
      <w:r w:rsidR="0049624A">
        <w:t> </w:t>
      </w:r>
      <w:r w:rsidR="00BD4D8C" w:rsidRPr="00BF711C">
        <w:t xml:space="preserve">weeks affects cost calculations for only two cycles and for less than 25% of patients. The </w:t>
      </w:r>
      <w:r w:rsidR="00454F56" w:rsidRPr="00BF711C">
        <w:t>PSCR</w:t>
      </w:r>
      <w:r w:rsidR="00BD4D8C" w:rsidRPr="00BF711C">
        <w:t xml:space="preserve"> stated a scenario analysis performed assuming no increase in response to week 144 but with a treatment duration of the same, the ICER increased by </w:t>
      </w:r>
      <w:r w:rsidR="001A4B8B" w:rsidRPr="00CC2E88">
        <w:rPr>
          <w:color w:val="000000"/>
          <w:w w:val="15"/>
          <w:shd w:val="solid" w:color="000000" w:fill="000000"/>
          <w:fitText w:val="-20" w:id="-961838846"/>
          <w14:textFill>
            <w14:solidFill>
              <w14:srgbClr w14:val="000000">
                <w14:alpha w14:val="100000"/>
              </w14:srgbClr>
            </w14:solidFill>
          </w14:textFill>
        </w:rPr>
        <w:t xml:space="preserve">|  </w:t>
      </w:r>
      <w:r w:rsidR="001A4B8B" w:rsidRPr="00CC2E88">
        <w:rPr>
          <w:color w:val="000000"/>
          <w:spacing w:val="-69"/>
          <w:w w:val="15"/>
          <w:shd w:val="solid" w:color="000000" w:fill="000000"/>
          <w:fitText w:val="-20" w:id="-961838846"/>
          <w14:textFill>
            <w14:solidFill>
              <w14:srgbClr w14:val="000000">
                <w14:alpha w14:val="100000"/>
              </w14:srgbClr>
            </w14:solidFill>
          </w14:textFill>
        </w:rPr>
        <w:t>|</w:t>
      </w:r>
      <w:r w:rsidR="00BD4D8C" w:rsidRPr="00BF711C">
        <w:t>% to $</w:t>
      </w:r>
      <w:r w:rsidR="007E5C5A" w:rsidRPr="007E5C5A">
        <w:t>95,000 to &lt; $115,000</w:t>
      </w:r>
      <w:r w:rsidR="007E5C5A">
        <w:t xml:space="preserve"> </w:t>
      </w:r>
      <w:r w:rsidR="00BD4D8C" w:rsidRPr="00BF711C">
        <w:t xml:space="preserve">per </w:t>
      </w:r>
      <w:r w:rsidR="00EF386F">
        <w:t>Q</w:t>
      </w:r>
      <w:r w:rsidR="00EF386F" w:rsidRPr="00EF386F">
        <w:t>uality-</w:t>
      </w:r>
      <w:r w:rsidR="00EF386F">
        <w:t>A</w:t>
      </w:r>
      <w:r w:rsidR="00EF386F" w:rsidRPr="00EF386F">
        <w:t xml:space="preserve">djusted </w:t>
      </w:r>
      <w:r w:rsidR="00EF386F">
        <w:t>L</w:t>
      </w:r>
      <w:r w:rsidR="00EF386F" w:rsidRPr="00EF386F">
        <w:t xml:space="preserve">ife </w:t>
      </w:r>
      <w:r w:rsidR="00EF386F">
        <w:t>Y</w:t>
      </w:r>
      <w:r w:rsidR="00EF386F" w:rsidRPr="00EF386F">
        <w:t>ear</w:t>
      </w:r>
      <w:r w:rsidR="00EF386F">
        <w:t xml:space="preserve"> (</w:t>
      </w:r>
      <w:r w:rsidR="00BD4D8C" w:rsidRPr="00BF711C">
        <w:t>QALY</w:t>
      </w:r>
      <w:r w:rsidR="00EF386F">
        <w:t>)</w:t>
      </w:r>
      <w:r w:rsidR="00BD4D8C" w:rsidRPr="00BF711C">
        <w:t>. The ESC</w:t>
      </w:r>
      <w:r w:rsidR="00043D01" w:rsidRPr="00BF711C">
        <w:t>s</w:t>
      </w:r>
      <w:r w:rsidR="00BD4D8C" w:rsidRPr="00BF711C">
        <w:t xml:space="preserve"> considered, given the restriction is not intended to be prescriptive around continuation of therapy it was unclear whether the model</w:t>
      </w:r>
      <w:r w:rsidR="00663C0F" w:rsidRPr="00BF711C">
        <w:t xml:space="preserve"> appropriately</w:t>
      </w:r>
      <w:r w:rsidR="00BD4D8C" w:rsidRPr="00BF711C">
        <w:t xml:space="preserve"> captured how bulevirtide is likely to be used in practice.</w:t>
      </w:r>
      <w:r w:rsidR="00072D07">
        <w:t xml:space="preserve"> The Pre-PBAC Response reiterated the week 144 data was not available at time of submission and the results of the scenario analysis undertaken for the PSCR.</w:t>
      </w:r>
    </w:p>
    <w:p w14:paraId="70A26F25" w14:textId="555160A7" w:rsidR="0021716C" w:rsidRPr="00BF711C" w:rsidRDefault="00A677E9" w:rsidP="0049624A">
      <w:pPr>
        <w:pStyle w:val="3-BodyText"/>
      </w:pPr>
      <w:r w:rsidRPr="00BF711C">
        <w:t xml:space="preserve">Responders were modelled to continue bulevirtide treatment beyond Week 96 unless they experience the events noted above, or discontinue due to other reasons. </w:t>
      </w:r>
      <w:r w:rsidR="0021716C" w:rsidRPr="00BF711C">
        <w:t xml:space="preserve">An annual probability of discontinuation (implemented as a loss of response and cessation of treatment) (5.07%) was applied based on the proportion of patients who permanently discontinued treatment to Week 48 across the bulevirtide 2 mg treatment arms of MYR301 and MYR203. The submission did not consider whether the reasons for treatment discontinuation in the trial were due to lack of response. As the submission has applied this estimate in responders only and this estimate did not change over time in the model, the applicability of the estimate as applied is uncertain and does not seem reasonable. </w:t>
      </w:r>
    </w:p>
    <w:p w14:paraId="1A65CC63" w14:textId="31555005" w:rsidR="0021716C" w:rsidRPr="00BF711C" w:rsidRDefault="0021716C" w:rsidP="0049624A">
      <w:pPr>
        <w:pStyle w:val="3-BodyText"/>
      </w:pPr>
      <w:bookmarkStart w:id="56" w:name="_Ref158724463"/>
      <w:r w:rsidRPr="00BF711C">
        <w:t xml:space="preserve">Over the 58-year time horizon, the average duration of bulevirtide treatment was estimated to be 8.8 </w:t>
      </w:r>
      <w:r w:rsidRPr="00D86C8B">
        <w:t>years (</w:t>
      </w:r>
      <w:r w:rsidRPr="00D86C8B">
        <w:fldChar w:fldCharType="begin" w:fldLock="1"/>
      </w:r>
      <w:r w:rsidRPr="00D86C8B">
        <w:instrText xml:space="preserve"> REF _Ref155975776 \h </w:instrText>
      </w:r>
      <w:r w:rsidR="00BF711C" w:rsidRPr="00D86C8B">
        <w:instrText xml:space="preserve"> \* MERGEFORMAT </w:instrText>
      </w:r>
      <w:r w:rsidRPr="00D86C8B">
        <w:fldChar w:fldCharType="separate"/>
      </w:r>
      <w:r w:rsidR="00B02BFE" w:rsidRPr="00D86C8B">
        <w:t xml:space="preserve">Figure </w:t>
      </w:r>
      <w:r w:rsidR="00B02BFE" w:rsidRPr="00D86C8B">
        <w:rPr>
          <w:noProof/>
        </w:rPr>
        <w:t>2</w:t>
      </w:r>
      <w:r w:rsidRPr="00D86C8B">
        <w:fldChar w:fldCharType="end"/>
      </w:r>
      <w:r w:rsidRPr="00D86C8B">
        <w:t>). Given</w:t>
      </w:r>
      <w:r w:rsidRPr="00BF711C">
        <w:t xml:space="preserve"> issues noted above, the modelled duration of bulevirtide treatment is uncertain. The</w:t>
      </w:r>
      <w:r w:rsidR="00AA15DF">
        <w:t xml:space="preserve"> evaluation considered the</w:t>
      </w:r>
      <w:r w:rsidRPr="00BF711C">
        <w:t xml:space="preserve"> plausibility of these estimates </w:t>
      </w:r>
      <w:r w:rsidR="00AA15DF">
        <w:t>was uncertain, as</w:t>
      </w:r>
      <w:r w:rsidRPr="00BF711C">
        <w:t xml:space="preserve"> the proportion of patients completing 10 years of treatment (30%) was similar to studies of chronic HBV treatment (32%)</w:t>
      </w:r>
      <w:r w:rsidRPr="00BF711C">
        <w:rPr>
          <w:rStyle w:val="FootnoteReference"/>
        </w:rPr>
        <w:footnoteReference w:id="17"/>
      </w:r>
      <w:r w:rsidRPr="00BF711C">
        <w:t>.</w:t>
      </w:r>
      <w:bookmarkEnd w:id="56"/>
    </w:p>
    <w:p w14:paraId="4E5EB7F3" w14:textId="61D06CB5" w:rsidR="0021716C" w:rsidRPr="00196231" w:rsidRDefault="0021716C" w:rsidP="0076655B">
      <w:pPr>
        <w:pStyle w:val="Caption"/>
      </w:pPr>
      <w:bookmarkStart w:id="57" w:name="_Ref155975776"/>
      <w:r w:rsidRPr="00196231">
        <w:lastRenderedPageBreak/>
        <w:t xml:space="preserve">Figure </w:t>
      </w:r>
      <w:fldSimple w:instr=" SEQ Figure_PBAC. \* ARABIC " w:fldLock="1">
        <w:r w:rsidR="00B02BFE">
          <w:rPr>
            <w:noProof/>
          </w:rPr>
          <w:t>2</w:t>
        </w:r>
      </w:fldSimple>
      <w:bookmarkEnd w:id="57"/>
      <w:r w:rsidR="007C3FED">
        <w:rPr>
          <w:noProof/>
        </w:rPr>
        <w:t>:</w:t>
      </w:r>
      <w:r w:rsidR="00D86C8B">
        <w:t xml:space="preserve"> </w:t>
      </w:r>
      <w:r>
        <w:t>Proportion of patients remaining on bulevirtide treatment</w:t>
      </w:r>
    </w:p>
    <w:p w14:paraId="22C3B1C8" w14:textId="441E52FB" w:rsidR="0021716C" w:rsidRDefault="00B11B7F" w:rsidP="0076655B">
      <w:pPr>
        <w:keepNext/>
        <w:spacing w:before="0" w:after="0"/>
      </w:pPr>
      <w:r>
        <w:rPr>
          <w:noProof/>
        </w:rPr>
        <w:drawing>
          <wp:inline distT="0" distB="0" distL="0" distR="0" wp14:anchorId="2A1B13B9" wp14:editId="2612485B">
            <wp:extent cx="5719313" cy="3184200"/>
            <wp:effectExtent l="0" t="0" r="0" b="0"/>
            <wp:docPr id="415292595" name="Picture 415292595" descr="Figure 2: Proportion of patients remaining on bulevirtide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92595" name="Picture 415292595" descr="Figure 2: Proportion of patients remaining on bulevirtide treat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9004" cy="3189596"/>
                    </a:xfrm>
                    <a:prstGeom prst="rect">
                      <a:avLst/>
                    </a:prstGeom>
                    <a:noFill/>
                  </pic:spPr>
                </pic:pic>
              </a:graphicData>
            </a:graphic>
          </wp:inline>
        </w:drawing>
      </w:r>
    </w:p>
    <w:p w14:paraId="48880A97" w14:textId="50A9E650" w:rsidR="0021716C" w:rsidRPr="0081119A" w:rsidRDefault="0021716C" w:rsidP="0076655B">
      <w:pPr>
        <w:keepNext/>
        <w:spacing w:before="0" w:after="120"/>
        <w:contextualSpacing/>
        <w:rPr>
          <w:rFonts w:ascii="Arial Narrow" w:eastAsia="Times New Roman" w:hAnsi="Arial Narrow" w:cs="Arial"/>
          <w:snapToGrid w:val="0"/>
          <w:sz w:val="18"/>
          <w:lang w:eastAsia="en-AU"/>
        </w:rPr>
      </w:pPr>
      <w:r w:rsidRPr="0081119A">
        <w:rPr>
          <w:rFonts w:ascii="Arial Narrow" w:eastAsia="Times New Roman" w:hAnsi="Arial Narrow" w:cs="Arial"/>
          <w:snapToGrid w:val="0"/>
          <w:sz w:val="18"/>
          <w:lang w:eastAsia="en-AU"/>
        </w:rPr>
        <w:t xml:space="preserve">Source: Constructed during the evaluation from the ‘Attachment 10 </w:t>
      </w:r>
      <w:r w:rsidR="003A6EC7" w:rsidRPr="0081119A">
        <w:rPr>
          <w:rFonts w:ascii="Arial Narrow" w:eastAsia="Times New Roman" w:hAnsi="Arial Narrow" w:cs="Arial"/>
          <w:snapToGrid w:val="0"/>
          <w:sz w:val="18"/>
          <w:lang w:eastAsia="en-AU"/>
        </w:rPr>
        <w:t>–</w:t>
      </w:r>
      <w:r w:rsidRPr="0081119A">
        <w:rPr>
          <w:rFonts w:ascii="Arial Narrow" w:eastAsia="Times New Roman" w:hAnsi="Arial Narrow" w:cs="Arial"/>
          <w:snapToGrid w:val="0"/>
          <w:sz w:val="18"/>
          <w:lang w:eastAsia="en-AU"/>
        </w:rPr>
        <w:t xml:space="preserve"> Hepcludex HDV Section 3A Cost-Eff Model_vfinal.xlsm’ file included with the submission.</w:t>
      </w:r>
    </w:p>
    <w:p w14:paraId="260B20E4" w14:textId="77777777" w:rsidR="0021716C" w:rsidRPr="0081119A" w:rsidRDefault="0021716C" w:rsidP="0076655B">
      <w:pPr>
        <w:keepNext/>
        <w:spacing w:before="0" w:after="120"/>
        <w:contextualSpacing/>
        <w:rPr>
          <w:rFonts w:ascii="Arial Narrow" w:eastAsia="Times New Roman" w:hAnsi="Arial Narrow" w:cs="Arial"/>
          <w:snapToGrid w:val="0"/>
          <w:sz w:val="18"/>
          <w:lang w:eastAsia="en-AU"/>
        </w:rPr>
      </w:pPr>
      <w:r w:rsidRPr="0081119A">
        <w:rPr>
          <w:rFonts w:ascii="Arial Narrow" w:eastAsia="Times New Roman" w:hAnsi="Arial Narrow" w:cs="Arial"/>
          <w:snapToGrid w:val="0"/>
          <w:sz w:val="18"/>
          <w:lang w:eastAsia="en-AU"/>
        </w:rPr>
        <w:t>BSC = best supportive care; LYG = life years gained.</w:t>
      </w:r>
    </w:p>
    <w:p w14:paraId="5102A8C5" w14:textId="0DF61E90" w:rsidR="00721802" w:rsidRPr="0081119A" w:rsidRDefault="00721802" w:rsidP="0076655B">
      <w:pPr>
        <w:keepNext/>
        <w:spacing w:before="0" w:after="120"/>
        <w:contextualSpacing/>
        <w:rPr>
          <w:rFonts w:ascii="Arial Narrow" w:eastAsia="Times New Roman" w:hAnsi="Arial Narrow" w:cs="Arial"/>
          <w:snapToGrid w:val="0"/>
          <w:sz w:val="18"/>
          <w:lang w:eastAsia="en-AU"/>
        </w:rPr>
      </w:pPr>
      <w:r w:rsidRPr="0081119A">
        <w:rPr>
          <w:rFonts w:ascii="Arial Narrow" w:eastAsia="Times New Roman" w:hAnsi="Arial Narrow" w:cs="Arial"/>
          <w:snapToGrid w:val="0"/>
          <w:sz w:val="18"/>
          <w:lang w:eastAsia="en-AU"/>
        </w:rPr>
        <w:t>* Average duration of treatment with 5-year cap in responders (maintaining Week 96 cap in non-</w:t>
      </w:r>
      <w:r w:rsidR="0076655B" w:rsidRPr="0081119A">
        <w:rPr>
          <w:rFonts w:ascii="Arial Narrow" w:eastAsia="Times New Roman" w:hAnsi="Arial Narrow" w:cs="Arial"/>
          <w:snapToGrid w:val="0"/>
          <w:sz w:val="18"/>
          <w:lang w:eastAsia="en-AU"/>
        </w:rPr>
        <w:t>responders</w:t>
      </w:r>
      <w:r w:rsidRPr="0081119A">
        <w:rPr>
          <w:rFonts w:ascii="Arial Narrow" w:eastAsia="Times New Roman" w:hAnsi="Arial Narrow" w:cs="Arial"/>
          <w:snapToGrid w:val="0"/>
          <w:sz w:val="18"/>
          <w:lang w:eastAsia="en-AU"/>
        </w:rPr>
        <w:t>) is 3.5 years</w:t>
      </w:r>
    </w:p>
    <w:p w14:paraId="6E1167C7" w14:textId="35FF37C1" w:rsidR="00721802" w:rsidRPr="0081119A" w:rsidRDefault="00721802" w:rsidP="0076655B">
      <w:pPr>
        <w:spacing w:before="0" w:after="120"/>
        <w:rPr>
          <w:rFonts w:ascii="Arial Narrow" w:eastAsia="Times New Roman" w:hAnsi="Arial Narrow" w:cs="Arial"/>
          <w:snapToGrid w:val="0"/>
          <w:sz w:val="18"/>
          <w:lang w:eastAsia="en-AU"/>
        </w:rPr>
      </w:pPr>
      <w:r w:rsidRPr="0081119A">
        <w:rPr>
          <w:rFonts w:ascii="Arial Narrow" w:eastAsia="Times New Roman" w:hAnsi="Arial Narrow" w:cs="Arial"/>
          <w:snapToGrid w:val="0"/>
          <w:sz w:val="18"/>
          <w:lang w:eastAsia="en-AU"/>
        </w:rPr>
        <w:t>^ Average duration of treatment with 10-year cap in responders (maintaining Week 96 cap in non-</w:t>
      </w:r>
      <w:r w:rsidR="0076655B" w:rsidRPr="0081119A">
        <w:rPr>
          <w:rFonts w:ascii="Arial Narrow" w:eastAsia="Times New Roman" w:hAnsi="Arial Narrow" w:cs="Arial"/>
          <w:snapToGrid w:val="0"/>
          <w:sz w:val="18"/>
          <w:lang w:eastAsia="en-AU"/>
        </w:rPr>
        <w:t>responders</w:t>
      </w:r>
      <w:r w:rsidRPr="0081119A">
        <w:rPr>
          <w:rFonts w:ascii="Arial Narrow" w:eastAsia="Times New Roman" w:hAnsi="Arial Narrow" w:cs="Arial"/>
          <w:snapToGrid w:val="0"/>
          <w:sz w:val="18"/>
          <w:lang w:eastAsia="en-AU"/>
        </w:rPr>
        <w:t>) is 5.4 years</w:t>
      </w:r>
    </w:p>
    <w:p w14:paraId="5832F9C3" w14:textId="228ED5BB" w:rsidR="00A677E9" w:rsidRPr="00D20CA8" w:rsidRDefault="00A677E9" w:rsidP="004D3616">
      <w:pPr>
        <w:pStyle w:val="3-BodyText"/>
      </w:pPr>
      <w:r w:rsidRPr="00196231">
        <w:t xml:space="preserve">The submission assumed six-monthly HDV RNA testing while patients remained on treatment. </w:t>
      </w:r>
      <w:r w:rsidRPr="00D20CA8">
        <w:t xml:space="preserve">While this was consistent with the proposed MBS item, the only change in management modelled due to the inclusion of HDV RNA monitoring was to cease treatment in non-responders at Week 96, which does not seem reasonable. </w:t>
      </w:r>
    </w:p>
    <w:p w14:paraId="36A49BE9" w14:textId="29F8946D" w:rsidR="00A677E9" w:rsidRDefault="00A677E9" w:rsidP="004D3616">
      <w:pPr>
        <w:pStyle w:val="3-BodyText"/>
      </w:pPr>
      <w:r w:rsidRPr="00196231">
        <w:t>The weighted DPMQ applied in the model per script was $</w:t>
      </w:r>
      <w:r w:rsidR="001A4B8B" w:rsidRPr="001A4B8B">
        <w:rPr>
          <w:color w:val="000000"/>
          <w:w w:val="60"/>
          <w:shd w:val="solid" w:color="000000" w:fill="000000"/>
          <w:fitText w:val="468" w:id="-961838845"/>
          <w14:textFill>
            <w14:solidFill>
              <w14:srgbClr w14:val="000000">
                <w14:alpha w14:val="100000"/>
              </w14:srgbClr>
            </w14:solidFill>
          </w14:textFill>
        </w:rPr>
        <w:t>|||  ||</w:t>
      </w:r>
      <w:r w:rsidR="001A4B8B" w:rsidRPr="001A4B8B">
        <w:rPr>
          <w:color w:val="000000"/>
          <w:spacing w:val="4"/>
          <w:w w:val="60"/>
          <w:shd w:val="solid" w:color="000000" w:fill="000000"/>
          <w:fitText w:val="468" w:id="-961838845"/>
          <w14:textFill>
            <w14:solidFill>
              <w14:srgbClr w14:val="000000">
                <w14:alpha w14:val="100000"/>
              </w14:srgbClr>
            </w14:solidFill>
          </w14:textFill>
        </w:rPr>
        <w:t>|</w:t>
      </w:r>
      <w:r w:rsidRPr="00196231">
        <w:t>, assuming 80% of scripts dispensed in a private hospital or community access, and the remaining 20% in a public hospital. After assuming a relative dose intensity of 90%, the cost per 24-week model cycle applied was $</w:t>
      </w:r>
      <w:r w:rsidR="001A4B8B" w:rsidRPr="00CC2E88">
        <w:rPr>
          <w:color w:val="000000"/>
          <w:w w:val="15"/>
          <w:shd w:val="solid" w:color="000000" w:fill="000000"/>
          <w:fitText w:val="-20" w:id="-961838844"/>
          <w14:textFill>
            <w14:solidFill>
              <w14:srgbClr w14:val="000000">
                <w14:alpha w14:val="100000"/>
              </w14:srgbClr>
            </w14:solidFill>
          </w14:textFill>
        </w:rPr>
        <w:t xml:space="preserve">|  </w:t>
      </w:r>
      <w:r w:rsidR="001A4B8B" w:rsidRPr="00CC2E88">
        <w:rPr>
          <w:color w:val="000000"/>
          <w:spacing w:val="-69"/>
          <w:w w:val="15"/>
          <w:shd w:val="solid" w:color="000000" w:fill="000000"/>
          <w:fitText w:val="-20" w:id="-961838844"/>
          <w14:textFill>
            <w14:solidFill>
              <w14:srgbClr w14:val="000000">
                <w14:alpha w14:val="100000"/>
              </w14:srgbClr>
            </w14:solidFill>
          </w14:textFill>
        </w:rPr>
        <w:t>|</w:t>
      </w:r>
      <w:r w:rsidRPr="00196231">
        <w:rPr>
          <w:rStyle w:val="FootnoteReference"/>
        </w:rPr>
        <w:footnoteReference w:id="18"/>
      </w:r>
      <w:r w:rsidRPr="00196231">
        <w:t xml:space="preserve">. </w:t>
      </w:r>
      <w:r w:rsidRPr="00D20CA8">
        <w:t>The submission did not justify the relative dose intensity applied. Average compliance in patients randomised to bulevirtide 2 mg at Week 96 in MYR301 was 98.1% (Table 32, Study MYR301 Interim Week 96 Clinical Study Report). The submission adjusted drug cost for the lower adherence to treatment expected in practice, but such adjustment was not made for estimates of response. This was not reasonable. Increasing the adherence to treatment in the estimation of bulevirtide treatment cost had a moderate effect on the ICER.</w:t>
      </w:r>
      <w:r w:rsidR="00BD4D8C">
        <w:t xml:space="preserve"> </w:t>
      </w:r>
    </w:p>
    <w:p w14:paraId="74D7EAE3" w14:textId="1B0ABEDB" w:rsidR="00BD4D8C" w:rsidRPr="00BF711C" w:rsidRDefault="00BD4D8C" w:rsidP="004D3616">
      <w:pPr>
        <w:pStyle w:val="3-BodyText"/>
      </w:pPr>
      <w:r w:rsidRPr="00BF711C">
        <w:t>The PSCR argued it was reasonable to assume longer term compliance would be reduced with a daily injection despite a motivated population and noted a French real world retrospective cohort study (Loustaud-Ratti et al 2023</w:t>
      </w:r>
      <w:r w:rsidRPr="00BF711C">
        <w:rPr>
          <w:rStyle w:val="FootnoteReference"/>
        </w:rPr>
        <w:footnoteReference w:id="19"/>
      </w:r>
      <w:r w:rsidRPr="00BF711C">
        <w:t xml:space="preserve">) of bulevirtide found </w:t>
      </w:r>
      <w:r w:rsidRPr="00BF711C">
        <w:lastRenderedPageBreak/>
        <w:t xml:space="preserve">compliance was 91% at 6 months 88% at 12 months and 78% at 24 months. </w:t>
      </w:r>
      <w:r w:rsidR="003A6EC7" w:rsidRPr="00BF711C">
        <w:t>The ESC</w:t>
      </w:r>
      <w:r w:rsidR="00043D01" w:rsidRPr="00BF711C">
        <w:t>s</w:t>
      </w:r>
      <w:r w:rsidR="003A6EC7" w:rsidRPr="00BF711C">
        <w:t xml:space="preserve"> acknowledged that compliance was likely to be lower than observed in the clinical trial given the </w:t>
      </w:r>
      <w:r w:rsidR="009136A2" w:rsidRPr="00BF711C">
        <w:t>daily injections re</w:t>
      </w:r>
      <w:r w:rsidR="00F34290" w:rsidRPr="00BF711C">
        <w:t>q</w:t>
      </w:r>
      <w:r w:rsidR="009136A2" w:rsidRPr="00BF711C">
        <w:t>uired</w:t>
      </w:r>
      <w:r w:rsidR="003A6EC7" w:rsidRPr="00BF711C">
        <w:t xml:space="preserve"> and the lack of a clear relationship between treatment and patients’ improvement in quality of life. However,</w:t>
      </w:r>
      <w:r w:rsidRPr="00BF711C">
        <w:t xml:space="preserve"> </w:t>
      </w:r>
      <w:r w:rsidR="003A6EC7" w:rsidRPr="00BF711C">
        <w:t>t</w:t>
      </w:r>
      <w:r w:rsidRPr="00BF711C">
        <w:t>he ESC</w:t>
      </w:r>
      <w:r w:rsidR="00043D01" w:rsidRPr="00BF711C">
        <w:t>s</w:t>
      </w:r>
      <w:r w:rsidR="003A6EC7" w:rsidRPr="00BF711C">
        <w:t xml:space="preserve"> </w:t>
      </w:r>
      <w:r w:rsidR="009136A2" w:rsidRPr="00BF711C">
        <w:t>agreed with the evaluation that assumptions regarding compliance should be</w:t>
      </w:r>
      <w:r w:rsidR="00F34290" w:rsidRPr="00BF711C">
        <w:t xml:space="preserve"> aligned with the trial to be</w:t>
      </w:r>
      <w:r w:rsidR="009136A2" w:rsidRPr="00BF711C">
        <w:t xml:space="preserve"> consistent with assumptions regarding ongoing benefit.</w:t>
      </w:r>
    </w:p>
    <w:p w14:paraId="63FE0CF7" w14:textId="3932FFDF" w:rsidR="00A677E9" w:rsidRPr="00BF711C" w:rsidRDefault="00A677E9" w:rsidP="004D3616">
      <w:pPr>
        <w:pStyle w:val="3-BodyText"/>
      </w:pPr>
      <w:r w:rsidRPr="00BF711C">
        <w:t xml:space="preserve">Health state utilities for non-responders in the non-cirrhotic and CC health states were based on EQ-5D-3L data at baseline in patients enrolled in the MYR301 trial, estimated using UK preferences. Limited information was provided in the submission on how these estimates were generated, including the number of patients these were based on. Very little difference in utility </w:t>
      </w:r>
      <w:r w:rsidR="00E535E7" w:rsidRPr="00BF711C">
        <w:t xml:space="preserve">was </w:t>
      </w:r>
      <w:r w:rsidRPr="00BF711C">
        <w:t>observed between patients with (0.812) and without (0.813) cirrhosis at baseline, which is not consistent with differences between these health states previously considered by the PBAC (para 6.38, daclatasvir PSD, March 2015 PBAC meeting) (utility values in mild non-cirrhosis, moderate non-cirrhosis and CC of 0.77, 0.66 and 0.55, respectively, from Wright et al. 2006).</w:t>
      </w:r>
      <w:r w:rsidRPr="00BF711C">
        <w:rPr>
          <w:rStyle w:val="FootnoteReference"/>
        </w:rPr>
        <w:footnoteReference w:id="20"/>
      </w:r>
      <w:r w:rsidRPr="00BF711C">
        <w:t xml:space="preserve"> </w:t>
      </w:r>
    </w:p>
    <w:p w14:paraId="244438F9" w14:textId="1266BD48" w:rsidR="00A677E9" w:rsidRPr="00BF711C" w:rsidRDefault="00A677E9" w:rsidP="004D3616">
      <w:pPr>
        <w:pStyle w:val="3-BodyText"/>
      </w:pPr>
      <w:r w:rsidRPr="00BF711C">
        <w:t>Responders were assumed to gain additional utility of 0.057 based on a Tobit regression model fitted to data at Week 48 from MYR301. The 95%CI for this estimate (−0.</w:t>
      </w:r>
      <w:r w:rsidR="00D336ED" w:rsidRPr="00BF711C">
        <w:t>103</w:t>
      </w:r>
      <w:r w:rsidRPr="00BF711C">
        <w:t>, 0.2</w:t>
      </w:r>
      <w:r w:rsidR="00D336ED" w:rsidRPr="00BF711C">
        <w:t>18</w:t>
      </w:r>
      <w:r w:rsidRPr="00BF711C">
        <w:t xml:space="preserve">) suggested that the utility increment estimated was not statistically significant, and so it may not be reasonable to assume higher utility in patients who respond. Further, while a utility increment of 0.05 in patients who achieved an SVR with chronic HCV treatment had previously been assumed in submissions presented to the PBAC (para 6.33, daclatasvir PSD, March 2015 PBAC meeting), this was considered to be a source of uncertainty. Given the differences in the surrogacy claims in chronic HCV versus HDV, the application (and magnitude) of any utility increment in chronic HDV is uncertain. </w:t>
      </w:r>
      <w:r w:rsidR="00F3769F" w:rsidRPr="00BF711C">
        <w:t xml:space="preserve"> </w:t>
      </w:r>
    </w:p>
    <w:p w14:paraId="4259AE29" w14:textId="0648A5F0" w:rsidR="00F3769F" w:rsidRPr="00BF711C" w:rsidRDefault="00F3769F" w:rsidP="004D3616">
      <w:pPr>
        <w:pStyle w:val="3-BodyText"/>
      </w:pPr>
      <w:r w:rsidRPr="00BF711C">
        <w:t xml:space="preserve">The PSCR noted the use of the </w:t>
      </w:r>
      <w:r w:rsidR="006170C4" w:rsidRPr="00BF711C">
        <w:t>utility increment</w:t>
      </w:r>
      <w:r w:rsidRPr="00BF711C">
        <w:t xml:space="preserve"> for composite responders (0.057, 95% CI</w:t>
      </w:r>
      <w:r w:rsidR="00077C00" w:rsidRPr="00BF711C">
        <w:t>:</w:t>
      </w:r>
      <w:r w:rsidRPr="00BF711C">
        <w:t xml:space="preserve"> -0.103</w:t>
      </w:r>
      <w:r w:rsidR="00077C00" w:rsidRPr="00BF711C">
        <w:t>,</w:t>
      </w:r>
      <w:r w:rsidRPr="00BF711C">
        <w:t xml:space="preserve"> 0.218</w:t>
      </w:r>
      <w:r w:rsidR="006170C4" w:rsidRPr="00BF711C">
        <w:t xml:space="preserve"> p=0.477</w:t>
      </w:r>
      <w:r w:rsidRPr="00BF711C">
        <w:t>), as used in the submission, was more conservative than that observed for virologic responders (0.075, 95% CI</w:t>
      </w:r>
      <w:r w:rsidR="00077C00" w:rsidRPr="00BF711C">
        <w:t>:</w:t>
      </w:r>
      <w:r w:rsidRPr="00BF711C">
        <w:t xml:space="preserve"> -0.059</w:t>
      </w:r>
      <w:r w:rsidR="00077C00" w:rsidRPr="00BF711C">
        <w:t>,</w:t>
      </w:r>
      <w:r w:rsidRPr="00BF711C">
        <w:t xml:space="preserve"> 0.207</w:t>
      </w:r>
      <w:r w:rsidR="006170C4" w:rsidRPr="00BF711C">
        <w:t xml:space="preserve"> p=0.27</w:t>
      </w:r>
      <w:r w:rsidRPr="00BF711C">
        <w:t>) and argued the lack of significance was likely due to the small sample size. The ESC</w:t>
      </w:r>
      <w:r w:rsidR="00085B70" w:rsidRPr="00BF711C">
        <w:t>s</w:t>
      </w:r>
      <w:r w:rsidRPr="00BF711C">
        <w:t xml:space="preserve"> noted the results were not statistically significant and considered it was not clear whether a utility gain in week 48 responders was plausible or appropriately applied throughout the model. The ESC</w:t>
      </w:r>
      <w:r w:rsidR="00085B70" w:rsidRPr="00BF711C">
        <w:t>s</w:t>
      </w:r>
      <w:r w:rsidRPr="00BF711C">
        <w:t xml:space="preserve"> further noted that treatment effect was mediated through an assumed avoidance of liver-related events and disease progression, therefore health-related quality of life gains are realised in the model in other ways and the approach may double count quality of life gains.</w:t>
      </w:r>
    </w:p>
    <w:p w14:paraId="684A68BE" w14:textId="127757C1" w:rsidR="00A677E9" w:rsidRPr="00196231" w:rsidRDefault="00A677E9" w:rsidP="004D3616">
      <w:pPr>
        <w:pStyle w:val="3-BodyText"/>
      </w:pPr>
      <w:r>
        <w:t xml:space="preserve">A summary of the key drivers of the model are presented in </w:t>
      </w:r>
      <w:r>
        <w:fldChar w:fldCharType="begin" w:fldLock="1"/>
      </w:r>
      <w:r>
        <w:instrText xml:space="preserve"> REF _Ref152349129 \h </w:instrText>
      </w:r>
      <w:r w:rsidR="004D3616">
        <w:instrText xml:space="preserve"> \* MERGEFORMAT </w:instrText>
      </w:r>
      <w:r>
        <w:fldChar w:fldCharType="separate"/>
      </w:r>
      <w:r w:rsidR="00B02BFE" w:rsidRPr="00196231">
        <w:t xml:space="preserve">Table </w:t>
      </w:r>
      <w:r w:rsidR="00B02BFE">
        <w:rPr>
          <w:noProof/>
        </w:rPr>
        <w:t>11</w:t>
      </w:r>
      <w:r>
        <w:fldChar w:fldCharType="end"/>
      </w:r>
      <w:r>
        <w:t xml:space="preserve">. </w:t>
      </w:r>
    </w:p>
    <w:p w14:paraId="09A13B63" w14:textId="5047E001" w:rsidR="00A677E9" w:rsidRPr="00196231" w:rsidRDefault="00A677E9" w:rsidP="00642A77">
      <w:pPr>
        <w:pStyle w:val="Caption"/>
        <w:keepLines/>
      </w:pPr>
      <w:bookmarkStart w:id="58" w:name="_Ref152349129"/>
      <w:r w:rsidRPr="00196231">
        <w:lastRenderedPageBreak/>
        <w:t xml:space="preserve">Table </w:t>
      </w:r>
      <w:r>
        <w:fldChar w:fldCharType="begin" w:fldLock="1"/>
      </w:r>
      <w:r>
        <w:instrText>SEQ Table_PBAC. \* ARABIC</w:instrText>
      </w:r>
      <w:r>
        <w:fldChar w:fldCharType="separate"/>
      </w:r>
      <w:r w:rsidR="00B02BFE">
        <w:rPr>
          <w:noProof/>
        </w:rPr>
        <w:t>11</w:t>
      </w:r>
      <w:r>
        <w:fldChar w:fldCharType="end"/>
      </w:r>
      <w:bookmarkEnd w:id="58"/>
      <w:r w:rsidR="00343C2D">
        <w:t>:</w:t>
      </w:r>
      <w:r w:rsidR="00D86C8B">
        <w:t xml:space="preserve"> </w:t>
      </w:r>
      <w:r w:rsidRPr="00196231">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96"/>
        <w:gridCol w:w="3378"/>
        <w:gridCol w:w="4342"/>
      </w:tblGrid>
      <w:tr w:rsidR="00A677E9" w:rsidRPr="00D20CA8" w14:paraId="33CF8D13" w14:textId="77777777" w:rsidTr="006E3EFD">
        <w:trPr>
          <w:tblHeader/>
        </w:trPr>
        <w:tc>
          <w:tcPr>
            <w:tcW w:w="718" w:type="pct"/>
            <w:shd w:val="clear" w:color="auto" w:fill="auto"/>
            <w:vAlign w:val="center"/>
          </w:tcPr>
          <w:p w14:paraId="096FE9D5" w14:textId="77777777" w:rsidR="00A677E9" w:rsidRPr="00D20CA8" w:rsidRDefault="00A677E9" w:rsidP="00642A77">
            <w:pPr>
              <w:pStyle w:val="In-tableHeading"/>
              <w:keepLines/>
              <w:rPr>
                <w:lang w:val="en-AU"/>
              </w:rPr>
            </w:pPr>
            <w:r w:rsidRPr="00D20CA8">
              <w:rPr>
                <w:lang w:val="en-AU"/>
              </w:rPr>
              <w:t>Description</w:t>
            </w:r>
          </w:p>
        </w:tc>
        <w:tc>
          <w:tcPr>
            <w:tcW w:w="1873" w:type="pct"/>
            <w:shd w:val="clear" w:color="auto" w:fill="auto"/>
            <w:vAlign w:val="center"/>
          </w:tcPr>
          <w:p w14:paraId="256A51F1" w14:textId="77777777" w:rsidR="00A677E9" w:rsidRPr="00D20CA8" w:rsidRDefault="00A677E9" w:rsidP="00642A77">
            <w:pPr>
              <w:pStyle w:val="In-tableHeading"/>
              <w:keepLines/>
              <w:rPr>
                <w:lang w:val="en-AU"/>
              </w:rPr>
            </w:pPr>
            <w:r w:rsidRPr="00D20CA8">
              <w:rPr>
                <w:lang w:val="en-AU"/>
              </w:rPr>
              <w:t>Method/Value</w:t>
            </w:r>
          </w:p>
        </w:tc>
        <w:tc>
          <w:tcPr>
            <w:tcW w:w="2408" w:type="pct"/>
            <w:shd w:val="clear" w:color="auto" w:fill="auto"/>
            <w:vAlign w:val="center"/>
          </w:tcPr>
          <w:p w14:paraId="7AD661EA" w14:textId="77777777" w:rsidR="00A677E9" w:rsidRPr="00D20CA8" w:rsidRDefault="00A677E9" w:rsidP="00642A77">
            <w:pPr>
              <w:pStyle w:val="In-tableHeading"/>
              <w:keepLines/>
              <w:jc w:val="center"/>
              <w:rPr>
                <w:lang w:val="en-AU"/>
              </w:rPr>
            </w:pPr>
            <w:r w:rsidRPr="00D20CA8">
              <w:rPr>
                <w:lang w:val="en-AU"/>
              </w:rPr>
              <w:t>Impact</w:t>
            </w:r>
          </w:p>
          <w:p w14:paraId="0D774645" w14:textId="73951FE7" w:rsidR="00A677E9" w:rsidRPr="00D20CA8" w:rsidRDefault="00A677E9" w:rsidP="00642A77">
            <w:pPr>
              <w:pStyle w:val="TableText"/>
              <w:keepNext/>
              <w:keepLines/>
              <w:jc w:val="center"/>
            </w:pPr>
            <w:r w:rsidRPr="00D20CA8">
              <w:rPr>
                <w:rFonts w:cs="Arial"/>
                <w:szCs w:val="20"/>
              </w:rPr>
              <w:t>Base case: $</w:t>
            </w:r>
            <w:r w:rsidR="001A4B8B" w:rsidRPr="001A4B8B">
              <w:rPr>
                <w:rFonts w:cs="Arial"/>
                <w:color w:val="000000"/>
                <w:szCs w:val="20"/>
                <w:shd w:val="solid" w:color="000000" w:fill="000000"/>
                <w14:textFill>
                  <w14:solidFill>
                    <w14:srgbClr w14:val="000000">
                      <w14:alpha w14:val="100000"/>
                    </w14:srgbClr>
                  </w14:solidFill>
                </w14:textFill>
              </w:rPr>
              <w:t>|</w:t>
            </w:r>
            <w:r w:rsidR="00785E13" w:rsidRPr="00785E13">
              <w:rPr>
                <w:rFonts w:cs="Arial"/>
                <w:szCs w:val="20"/>
                <w:vertAlign w:val="superscript"/>
              </w:rPr>
              <w:t>1</w:t>
            </w:r>
            <w:r w:rsidR="00785E13">
              <w:rPr>
                <w:rFonts w:cs="Arial"/>
                <w:szCs w:val="20"/>
              </w:rPr>
              <w:t xml:space="preserve"> </w:t>
            </w:r>
            <w:r w:rsidRPr="00D20CA8">
              <w:rPr>
                <w:rFonts w:cs="Arial"/>
                <w:szCs w:val="20"/>
              </w:rPr>
              <w:t>/QALY gained</w:t>
            </w:r>
            <w:r w:rsidRPr="00D20CA8">
              <w:rPr>
                <w:rFonts w:cs="Arial"/>
                <w:color w:val="3366FF"/>
                <w:szCs w:val="20"/>
              </w:rPr>
              <w:t>.</w:t>
            </w:r>
          </w:p>
        </w:tc>
      </w:tr>
      <w:tr w:rsidR="0021716C" w:rsidRPr="00D20CA8" w14:paraId="5D3C2848" w14:textId="77777777" w:rsidTr="006E3EFD">
        <w:tc>
          <w:tcPr>
            <w:tcW w:w="718" w:type="pct"/>
            <w:shd w:val="clear" w:color="auto" w:fill="auto"/>
            <w:vAlign w:val="center"/>
          </w:tcPr>
          <w:p w14:paraId="3C63DABC" w14:textId="77777777" w:rsidR="0021716C" w:rsidRPr="00D20CA8" w:rsidRDefault="0021716C" w:rsidP="00642A77">
            <w:pPr>
              <w:pStyle w:val="TableText"/>
              <w:keepNext/>
              <w:keepLines/>
            </w:pPr>
            <w:r w:rsidRPr="00D20CA8">
              <w:t>Definition of response</w:t>
            </w:r>
          </w:p>
        </w:tc>
        <w:tc>
          <w:tcPr>
            <w:tcW w:w="1873" w:type="pct"/>
            <w:shd w:val="clear" w:color="auto" w:fill="auto"/>
            <w:vAlign w:val="center"/>
          </w:tcPr>
          <w:p w14:paraId="5DCB270D" w14:textId="1641E75C" w:rsidR="0021716C" w:rsidRPr="00D20CA8" w:rsidRDefault="0021716C" w:rsidP="00642A77">
            <w:pPr>
              <w:pStyle w:val="TableText"/>
              <w:keepNext/>
              <w:keepLines/>
            </w:pPr>
            <w:r w:rsidRPr="00D20CA8">
              <w:t>Virologic response </w:t>
            </w:r>
            <w:r w:rsidRPr="00D20CA8">
              <w:rPr>
                <w:vertAlign w:val="superscript"/>
              </w:rPr>
              <w:t>a</w:t>
            </w:r>
            <w:r w:rsidRPr="00D20CA8">
              <w:t xml:space="preserve">. </w:t>
            </w:r>
          </w:p>
        </w:tc>
        <w:tc>
          <w:tcPr>
            <w:tcW w:w="2408" w:type="pct"/>
            <w:shd w:val="clear" w:color="auto" w:fill="auto"/>
            <w:vAlign w:val="center"/>
          </w:tcPr>
          <w:p w14:paraId="55A605DF" w14:textId="4E2B2003" w:rsidR="0021716C" w:rsidRPr="00D20CA8" w:rsidRDefault="0021716C" w:rsidP="00642A77">
            <w:pPr>
              <w:pStyle w:val="TableText"/>
              <w:keepNext/>
              <w:keepLines/>
            </w:pPr>
            <w:r w:rsidRPr="00D20CA8">
              <w:t>High, favours bulevirtide. Using combined response </w:t>
            </w:r>
            <w:r w:rsidRPr="00D20CA8">
              <w:rPr>
                <w:vertAlign w:val="superscript"/>
              </w:rPr>
              <w:t>b</w:t>
            </w:r>
            <w:r w:rsidRPr="00D20CA8">
              <w:t xml:space="preserve"> rates increases the ICER to $</w:t>
            </w:r>
            <w:r w:rsidR="001A4B8B" w:rsidRPr="001A4B8B">
              <w:rPr>
                <w:color w:val="000000"/>
                <w:spacing w:val="51"/>
                <w:shd w:val="solid" w:color="000000" w:fill="000000"/>
                <w:fitText w:val="325" w:id="-961838843"/>
                <w14:textFill>
                  <w14:solidFill>
                    <w14:srgbClr w14:val="000000">
                      <w14:alpha w14:val="100000"/>
                    </w14:srgbClr>
                  </w14:solidFill>
                </w14:textFill>
              </w:rPr>
              <w:t>|||</w:t>
            </w:r>
            <w:r w:rsidR="001A4B8B" w:rsidRPr="001A4B8B">
              <w:rPr>
                <w:color w:val="000000"/>
                <w:spacing w:val="2"/>
                <w:shd w:val="solid" w:color="000000" w:fill="000000"/>
                <w:fitText w:val="325" w:id="-961838843"/>
                <w14:textFill>
                  <w14:solidFill>
                    <w14:srgbClr w14:val="000000">
                      <w14:alpha w14:val="100000"/>
                    </w14:srgbClr>
                  </w14:solidFill>
                </w14:textFill>
              </w:rPr>
              <w:t>|</w:t>
            </w:r>
            <w:r w:rsidR="00785E13" w:rsidRPr="00785E13">
              <w:rPr>
                <w:vertAlign w:val="superscript"/>
              </w:rPr>
              <w:t>2</w:t>
            </w:r>
            <w:r w:rsidRPr="00D20CA8">
              <w:t>/QALY gained and using rates where undetectable RNA was achieved increases the ICER to $</w:t>
            </w:r>
            <w:r w:rsidR="001A4B8B" w:rsidRPr="001A4B8B">
              <w:rPr>
                <w:color w:val="000000"/>
                <w:spacing w:val="55"/>
                <w:shd w:val="solid" w:color="000000" w:fill="000000"/>
                <w:fitText w:val="338" w:id="-961838842"/>
                <w14:textFill>
                  <w14:solidFill>
                    <w14:srgbClr w14:val="000000">
                      <w14:alpha w14:val="100000"/>
                    </w14:srgbClr>
                  </w14:solidFill>
                </w14:textFill>
              </w:rPr>
              <w:t>|||</w:t>
            </w:r>
            <w:r w:rsidR="001A4B8B" w:rsidRPr="001A4B8B">
              <w:rPr>
                <w:color w:val="000000"/>
                <w:spacing w:val="3"/>
                <w:shd w:val="solid" w:color="000000" w:fill="000000"/>
                <w:fitText w:val="338" w:id="-961838842"/>
                <w14:textFill>
                  <w14:solidFill>
                    <w14:srgbClr w14:val="000000">
                      <w14:alpha w14:val="100000"/>
                    </w14:srgbClr>
                  </w14:solidFill>
                </w14:textFill>
              </w:rPr>
              <w:t>|</w:t>
            </w:r>
            <w:r w:rsidR="00430348" w:rsidRPr="00430348">
              <w:rPr>
                <w:vertAlign w:val="superscript"/>
              </w:rPr>
              <w:t>3</w:t>
            </w:r>
            <w:r w:rsidRPr="00D20CA8">
              <w:t>/QALY gained.</w:t>
            </w:r>
          </w:p>
        </w:tc>
      </w:tr>
      <w:tr w:rsidR="0021716C" w:rsidRPr="00D20CA8" w14:paraId="61FBD098" w14:textId="77777777" w:rsidTr="006E3EFD">
        <w:tc>
          <w:tcPr>
            <w:tcW w:w="718" w:type="pct"/>
            <w:shd w:val="clear" w:color="auto" w:fill="auto"/>
            <w:vAlign w:val="center"/>
          </w:tcPr>
          <w:p w14:paraId="67E23E0D" w14:textId="77777777" w:rsidR="0021716C" w:rsidRPr="00D20CA8" w:rsidRDefault="0021716C" w:rsidP="00642A77">
            <w:pPr>
              <w:pStyle w:val="TableText"/>
              <w:keepNext/>
              <w:keepLines/>
            </w:pPr>
            <w:r w:rsidRPr="00D20CA8">
              <w:t>Natural history of chronic HDV</w:t>
            </w:r>
          </w:p>
        </w:tc>
        <w:tc>
          <w:tcPr>
            <w:tcW w:w="1873" w:type="pct"/>
            <w:shd w:val="clear" w:color="auto" w:fill="auto"/>
            <w:vAlign w:val="center"/>
          </w:tcPr>
          <w:p w14:paraId="6D736823" w14:textId="2B542F49" w:rsidR="0021716C" w:rsidRPr="00D20CA8" w:rsidRDefault="0021716C" w:rsidP="00642A77">
            <w:pPr>
              <w:pStyle w:val="TableText"/>
              <w:keepNext/>
              <w:keepLines/>
            </w:pPr>
            <w:r w:rsidRPr="00D20CA8">
              <w:t>Bermingham (2015) </w:t>
            </w:r>
            <w:r w:rsidRPr="00D20CA8">
              <w:rPr>
                <w:vertAlign w:val="superscript"/>
              </w:rPr>
              <w:t>c</w:t>
            </w:r>
            <w:r w:rsidRPr="00D20CA8">
              <w:t xml:space="preserve"> adjusted for increased risk with HBV/HDV infection. </w:t>
            </w:r>
          </w:p>
        </w:tc>
        <w:tc>
          <w:tcPr>
            <w:tcW w:w="2408" w:type="pct"/>
            <w:shd w:val="clear" w:color="auto" w:fill="auto"/>
            <w:vAlign w:val="center"/>
          </w:tcPr>
          <w:p w14:paraId="7F6F0ABC" w14:textId="030B7898" w:rsidR="00364639" w:rsidRPr="00D20CA8" w:rsidRDefault="0021716C" w:rsidP="00642A77">
            <w:pPr>
              <w:pStyle w:val="TableText"/>
              <w:keepNext/>
              <w:keepLines/>
            </w:pPr>
            <w:r w:rsidRPr="00D20CA8">
              <w:t>High, favours bulevirtide. Using chronic HBV probabilities from Xiao (2020) </w:t>
            </w:r>
            <w:r w:rsidRPr="00D20CA8">
              <w:rPr>
                <w:vertAlign w:val="superscript"/>
              </w:rPr>
              <w:t>d</w:t>
            </w:r>
            <w:r w:rsidRPr="00D20CA8">
              <w:t xml:space="preserve"> increases the ICER to $</w:t>
            </w:r>
            <w:r w:rsidR="001A4B8B" w:rsidRPr="001A4B8B">
              <w:rPr>
                <w:color w:val="000000"/>
                <w:spacing w:val="51"/>
                <w:shd w:val="solid" w:color="000000" w:fill="000000"/>
                <w:fitText w:val="326" w:id="-961838841"/>
                <w14:textFill>
                  <w14:solidFill>
                    <w14:srgbClr w14:val="000000">
                      <w14:alpha w14:val="100000"/>
                    </w14:srgbClr>
                  </w14:solidFill>
                </w14:textFill>
              </w:rPr>
              <w:t>|||</w:t>
            </w:r>
            <w:r w:rsidR="001A4B8B" w:rsidRPr="001A4B8B">
              <w:rPr>
                <w:color w:val="000000"/>
                <w:spacing w:val="3"/>
                <w:shd w:val="solid" w:color="000000" w:fill="000000"/>
                <w:fitText w:val="326" w:id="-961838841"/>
                <w14:textFill>
                  <w14:solidFill>
                    <w14:srgbClr w14:val="000000">
                      <w14:alpha w14:val="100000"/>
                    </w14:srgbClr>
                  </w14:solidFill>
                </w14:textFill>
              </w:rPr>
              <w:t>|</w:t>
            </w:r>
            <w:r w:rsidR="00430348" w:rsidRPr="00430348">
              <w:rPr>
                <w:vertAlign w:val="superscript"/>
              </w:rPr>
              <w:t>4</w:t>
            </w:r>
            <w:r w:rsidRPr="00D20CA8">
              <w:t>/QALY gained, whereas using probabilities (except HBsAg seroclearance) from Goyal and Murray (2016) </w:t>
            </w:r>
            <w:r w:rsidRPr="00D20CA8">
              <w:rPr>
                <w:vertAlign w:val="superscript"/>
              </w:rPr>
              <w:t>e</w:t>
            </w:r>
            <w:r w:rsidRPr="00D20CA8">
              <w:t>, increases the ICER to $</w:t>
            </w:r>
            <w:r w:rsidR="001A4B8B" w:rsidRPr="001A4B8B">
              <w:rPr>
                <w:color w:val="000000"/>
                <w:spacing w:val="55"/>
                <w:shd w:val="solid" w:color="000000" w:fill="000000"/>
                <w:fitText w:val="338" w:id="-961838840"/>
                <w14:textFill>
                  <w14:solidFill>
                    <w14:srgbClr w14:val="000000">
                      <w14:alpha w14:val="100000"/>
                    </w14:srgbClr>
                  </w14:solidFill>
                </w14:textFill>
              </w:rPr>
              <w:t>|||</w:t>
            </w:r>
            <w:r w:rsidR="001A4B8B" w:rsidRPr="001A4B8B">
              <w:rPr>
                <w:color w:val="000000"/>
                <w:spacing w:val="3"/>
                <w:shd w:val="solid" w:color="000000" w:fill="000000"/>
                <w:fitText w:val="338" w:id="-961838840"/>
                <w14:textFill>
                  <w14:solidFill>
                    <w14:srgbClr w14:val="000000">
                      <w14:alpha w14:val="100000"/>
                    </w14:srgbClr>
                  </w14:solidFill>
                </w14:textFill>
              </w:rPr>
              <w:t>|</w:t>
            </w:r>
            <w:r w:rsidR="00430348" w:rsidRPr="00785E13">
              <w:rPr>
                <w:vertAlign w:val="superscript"/>
              </w:rPr>
              <w:t>2</w:t>
            </w:r>
            <w:r w:rsidRPr="00D20CA8">
              <w:t>/QALY gained.</w:t>
            </w:r>
            <w:r w:rsidR="00364639">
              <w:t xml:space="preserve"> </w:t>
            </w:r>
          </w:p>
        </w:tc>
      </w:tr>
      <w:tr w:rsidR="0021716C" w:rsidRPr="00D20CA8" w14:paraId="3BE143BC" w14:textId="77777777" w:rsidTr="006E3EFD">
        <w:tc>
          <w:tcPr>
            <w:tcW w:w="718" w:type="pct"/>
            <w:shd w:val="clear" w:color="auto" w:fill="auto"/>
            <w:vAlign w:val="center"/>
          </w:tcPr>
          <w:p w14:paraId="147E52A1" w14:textId="77777777" w:rsidR="0021716C" w:rsidRPr="00D20CA8" w:rsidRDefault="0021716C" w:rsidP="00642A77">
            <w:pPr>
              <w:pStyle w:val="TableText"/>
              <w:keepNext/>
              <w:keepLines/>
            </w:pPr>
            <w:r w:rsidRPr="00D20CA8">
              <w:t>Time horizon</w:t>
            </w:r>
          </w:p>
        </w:tc>
        <w:tc>
          <w:tcPr>
            <w:tcW w:w="1873" w:type="pct"/>
            <w:shd w:val="clear" w:color="auto" w:fill="auto"/>
            <w:vAlign w:val="center"/>
          </w:tcPr>
          <w:p w14:paraId="4D34A42F" w14:textId="7E9591FF" w:rsidR="0021716C" w:rsidRPr="00D20CA8" w:rsidRDefault="0021716C" w:rsidP="00642A77">
            <w:pPr>
              <w:pStyle w:val="TableText"/>
              <w:keepNext/>
              <w:keepLines/>
            </w:pPr>
            <w:r w:rsidRPr="00D20CA8">
              <w:t xml:space="preserve">58 years. </w:t>
            </w:r>
          </w:p>
        </w:tc>
        <w:tc>
          <w:tcPr>
            <w:tcW w:w="2408" w:type="pct"/>
            <w:shd w:val="clear" w:color="auto" w:fill="auto"/>
            <w:vAlign w:val="center"/>
          </w:tcPr>
          <w:p w14:paraId="778B73AA" w14:textId="72306C53" w:rsidR="0021716C" w:rsidRPr="00D20CA8" w:rsidRDefault="0021716C" w:rsidP="00642A77">
            <w:pPr>
              <w:pStyle w:val="TableText"/>
              <w:keepNext/>
              <w:keepLines/>
            </w:pPr>
            <w:r w:rsidRPr="00D20CA8">
              <w:t>Moderate, decreasing the time horizon to 20 years increases the ICER to $</w:t>
            </w:r>
            <w:r w:rsidR="001A4B8B" w:rsidRPr="001A4B8B">
              <w:rPr>
                <w:color w:val="000000"/>
                <w:spacing w:val="51"/>
                <w:shd w:val="solid" w:color="000000" w:fill="000000"/>
                <w:fitText w:val="325" w:id="-961838839"/>
                <w14:textFill>
                  <w14:solidFill>
                    <w14:srgbClr w14:val="000000">
                      <w14:alpha w14:val="100000"/>
                    </w14:srgbClr>
                  </w14:solidFill>
                </w14:textFill>
              </w:rPr>
              <w:t>|||</w:t>
            </w:r>
            <w:r w:rsidR="001A4B8B" w:rsidRPr="001A4B8B">
              <w:rPr>
                <w:color w:val="000000"/>
                <w:spacing w:val="2"/>
                <w:shd w:val="solid" w:color="000000" w:fill="000000"/>
                <w:fitText w:val="325" w:id="-961838839"/>
                <w14:textFill>
                  <w14:solidFill>
                    <w14:srgbClr w14:val="000000">
                      <w14:alpha w14:val="100000"/>
                    </w14:srgbClr>
                  </w14:solidFill>
                </w14:textFill>
              </w:rPr>
              <w:t>|</w:t>
            </w:r>
            <w:r w:rsidR="00430348">
              <w:rPr>
                <w:vertAlign w:val="superscript"/>
              </w:rPr>
              <w:t>4</w:t>
            </w:r>
            <w:r w:rsidRPr="00D20CA8">
              <w:t>/QALY gained. Using 10 years increases the ICER to $</w:t>
            </w:r>
            <w:r w:rsidR="001A4B8B" w:rsidRPr="001A4B8B">
              <w:rPr>
                <w:color w:val="000000"/>
                <w:spacing w:val="51"/>
                <w:shd w:val="solid" w:color="000000" w:fill="000000"/>
                <w:fitText w:val="325" w:id="-961838838"/>
                <w14:textFill>
                  <w14:solidFill>
                    <w14:srgbClr w14:val="000000">
                      <w14:alpha w14:val="100000"/>
                    </w14:srgbClr>
                  </w14:solidFill>
                </w14:textFill>
              </w:rPr>
              <w:t>|||</w:t>
            </w:r>
            <w:r w:rsidR="001A4B8B" w:rsidRPr="001A4B8B">
              <w:rPr>
                <w:color w:val="000000"/>
                <w:spacing w:val="2"/>
                <w:shd w:val="solid" w:color="000000" w:fill="000000"/>
                <w:fitText w:val="325" w:id="-961838838"/>
                <w14:textFill>
                  <w14:solidFill>
                    <w14:srgbClr w14:val="000000">
                      <w14:alpha w14:val="100000"/>
                    </w14:srgbClr>
                  </w14:solidFill>
                </w14:textFill>
              </w:rPr>
              <w:t>|</w:t>
            </w:r>
            <w:r w:rsidR="00430348">
              <w:rPr>
                <w:vertAlign w:val="superscript"/>
              </w:rPr>
              <w:t>3</w:t>
            </w:r>
            <w:r w:rsidRPr="00D20CA8">
              <w:t>/QALY gained.</w:t>
            </w:r>
          </w:p>
        </w:tc>
      </w:tr>
      <w:tr w:rsidR="0021716C" w:rsidRPr="00D20CA8" w14:paraId="435C7230" w14:textId="77777777" w:rsidTr="006E3EFD">
        <w:tc>
          <w:tcPr>
            <w:tcW w:w="718" w:type="pct"/>
            <w:shd w:val="clear" w:color="auto" w:fill="auto"/>
            <w:vAlign w:val="center"/>
          </w:tcPr>
          <w:p w14:paraId="4BF04A41" w14:textId="77777777" w:rsidR="0021716C" w:rsidRPr="00D20CA8" w:rsidRDefault="0021716C" w:rsidP="00642A77">
            <w:pPr>
              <w:pStyle w:val="TableText"/>
              <w:keepNext/>
              <w:keepLines/>
            </w:pPr>
            <w:r w:rsidRPr="00D20CA8">
              <w:t>Utility increment in responders</w:t>
            </w:r>
          </w:p>
        </w:tc>
        <w:tc>
          <w:tcPr>
            <w:tcW w:w="1873" w:type="pct"/>
            <w:shd w:val="clear" w:color="auto" w:fill="auto"/>
            <w:vAlign w:val="center"/>
          </w:tcPr>
          <w:p w14:paraId="5C5D79FA" w14:textId="7C3F5AF4" w:rsidR="0021716C" w:rsidRPr="00D20CA8" w:rsidRDefault="0021716C" w:rsidP="00642A77">
            <w:pPr>
              <w:pStyle w:val="TableText"/>
              <w:keepNext/>
              <w:keepLines/>
            </w:pPr>
            <w:r w:rsidRPr="00D20CA8">
              <w:t xml:space="preserve">0.0574, based on Tobit regression model fitted to MYR301 data at Week 48. </w:t>
            </w:r>
          </w:p>
        </w:tc>
        <w:tc>
          <w:tcPr>
            <w:tcW w:w="2408" w:type="pct"/>
            <w:shd w:val="clear" w:color="auto" w:fill="auto"/>
            <w:vAlign w:val="center"/>
          </w:tcPr>
          <w:p w14:paraId="091D47E9" w14:textId="22D08226" w:rsidR="0021716C" w:rsidRPr="00D20CA8" w:rsidRDefault="0021716C" w:rsidP="00642A77">
            <w:pPr>
              <w:pStyle w:val="TableText"/>
              <w:keepNext/>
              <w:keepLines/>
            </w:pPr>
            <w:r w:rsidRPr="00D20CA8">
              <w:t>Moderate, favours bulevirtide. Excluding the utility increment in responders increases the ICER to $</w:t>
            </w:r>
            <w:r w:rsidR="001A4B8B" w:rsidRPr="001A4B8B">
              <w:rPr>
                <w:color w:val="000000"/>
                <w:spacing w:val="51"/>
                <w:shd w:val="solid" w:color="000000" w:fill="000000"/>
                <w:fitText w:val="325" w:id="-961838837"/>
                <w14:textFill>
                  <w14:solidFill>
                    <w14:srgbClr w14:val="000000">
                      <w14:alpha w14:val="100000"/>
                    </w14:srgbClr>
                  </w14:solidFill>
                </w14:textFill>
              </w:rPr>
              <w:t>|||</w:t>
            </w:r>
            <w:r w:rsidR="001A4B8B" w:rsidRPr="001A4B8B">
              <w:rPr>
                <w:color w:val="000000"/>
                <w:spacing w:val="2"/>
                <w:shd w:val="solid" w:color="000000" w:fill="000000"/>
                <w:fitText w:val="325" w:id="-961838837"/>
                <w14:textFill>
                  <w14:solidFill>
                    <w14:srgbClr w14:val="000000">
                      <w14:alpha w14:val="100000"/>
                    </w14:srgbClr>
                  </w14:solidFill>
                </w14:textFill>
              </w:rPr>
              <w:t>|</w:t>
            </w:r>
            <w:r w:rsidR="00430348" w:rsidRPr="00785E13">
              <w:rPr>
                <w:vertAlign w:val="superscript"/>
              </w:rPr>
              <w:t>2</w:t>
            </w:r>
            <w:r w:rsidRPr="00D20CA8">
              <w:t>/QALY gained.</w:t>
            </w:r>
          </w:p>
        </w:tc>
      </w:tr>
      <w:tr w:rsidR="0021716C" w:rsidRPr="00D20CA8" w14:paraId="0A7765A9" w14:textId="77777777" w:rsidTr="006E3EFD">
        <w:tc>
          <w:tcPr>
            <w:tcW w:w="718" w:type="pct"/>
            <w:shd w:val="clear" w:color="auto" w:fill="auto"/>
            <w:vAlign w:val="center"/>
          </w:tcPr>
          <w:p w14:paraId="4C956C49" w14:textId="77777777" w:rsidR="0021716C" w:rsidRPr="00D20CA8" w:rsidRDefault="0021716C" w:rsidP="00642A77">
            <w:pPr>
              <w:pStyle w:val="TableText"/>
              <w:keepNext/>
              <w:keepLines/>
            </w:pPr>
            <w:r w:rsidRPr="00D20CA8">
              <w:t>Health state utilities, NC and CC</w:t>
            </w:r>
          </w:p>
        </w:tc>
        <w:tc>
          <w:tcPr>
            <w:tcW w:w="1873" w:type="pct"/>
            <w:shd w:val="clear" w:color="auto" w:fill="auto"/>
            <w:vAlign w:val="center"/>
          </w:tcPr>
          <w:p w14:paraId="1B6805FD" w14:textId="5F05CCCF" w:rsidR="0021716C" w:rsidRPr="00D20CA8" w:rsidRDefault="0021716C" w:rsidP="00642A77">
            <w:pPr>
              <w:pStyle w:val="TableText"/>
              <w:keepNext/>
              <w:keepLines/>
            </w:pPr>
            <w:r w:rsidRPr="00D20CA8">
              <w:t xml:space="preserve">0.813 and 0.812, respectively. </w:t>
            </w:r>
          </w:p>
        </w:tc>
        <w:tc>
          <w:tcPr>
            <w:tcW w:w="2408" w:type="pct"/>
            <w:shd w:val="clear" w:color="auto" w:fill="auto"/>
            <w:vAlign w:val="center"/>
          </w:tcPr>
          <w:p w14:paraId="00BA69BF" w14:textId="524E3DC5" w:rsidR="0021716C" w:rsidRPr="00D20CA8" w:rsidRDefault="0021716C" w:rsidP="00642A77">
            <w:pPr>
              <w:pStyle w:val="TableText"/>
              <w:keepNext/>
              <w:keepLines/>
            </w:pPr>
            <w:r w:rsidRPr="00D20CA8">
              <w:t>Moderate, using utility values consistent with Wright et al. (2006) </w:t>
            </w:r>
            <w:r w:rsidRPr="00D20CA8">
              <w:rPr>
                <w:vertAlign w:val="superscript"/>
              </w:rPr>
              <w:t>f</w:t>
            </w:r>
            <w:r w:rsidRPr="00D20CA8">
              <w:t xml:space="preserve"> (F0−2: 0.77, F3: 0.66 and CC: 0.55), increases the ICER to $</w:t>
            </w:r>
            <w:r w:rsidR="001A4B8B" w:rsidRPr="001A4B8B">
              <w:rPr>
                <w:color w:val="000000"/>
                <w:spacing w:val="51"/>
                <w:shd w:val="solid" w:color="000000" w:fill="000000"/>
                <w:fitText w:val="325" w:id="-961838836"/>
                <w14:textFill>
                  <w14:solidFill>
                    <w14:srgbClr w14:val="000000">
                      <w14:alpha w14:val="100000"/>
                    </w14:srgbClr>
                  </w14:solidFill>
                </w14:textFill>
              </w:rPr>
              <w:t>|||</w:t>
            </w:r>
            <w:r w:rsidR="001A4B8B" w:rsidRPr="001A4B8B">
              <w:rPr>
                <w:color w:val="000000"/>
                <w:spacing w:val="2"/>
                <w:shd w:val="solid" w:color="000000" w:fill="000000"/>
                <w:fitText w:val="325" w:id="-961838836"/>
                <w14:textFill>
                  <w14:solidFill>
                    <w14:srgbClr w14:val="000000">
                      <w14:alpha w14:val="100000"/>
                    </w14:srgbClr>
                  </w14:solidFill>
                </w14:textFill>
              </w:rPr>
              <w:t>|</w:t>
            </w:r>
            <w:r w:rsidR="00430348" w:rsidRPr="00785E13">
              <w:rPr>
                <w:vertAlign w:val="superscript"/>
              </w:rPr>
              <w:t>2</w:t>
            </w:r>
            <w:r w:rsidRPr="00D20CA8">
              <w:t>/QALY gained.</w:t>
            </w:r>
          </w:p>
        </w:tc>
      </w:tr>
      <w:tr w:rsidR="0021716C" w:rsidRPr="00D20CA8" w14:paraId="33C324B7" w14:textId="77777777" w:rsidTr="006E3EFD">
        <w:tc>
          <w:tcPr>
            <w:tcW w:w="718" w:type="pct"/>
            <w:shd w:val="clear" w:color="auto" w:fill="auto"/>
            <w:vAlign w:val="center"/>
          </w:tcPr>
          <w:p w14:paraId="2183AA63" w14:textId="77777777" w:rsidR="0021716C" w:rsidRPr="00D20CA8" w:rsidRDefault="0021716C" w:rsidP="00642A77">
            <w:pPr>
              <w:pStyle w:val="TableText"/>
              <w:keepNext/>
              <w:keepLines/>
            </w:pPr>
            <w:r w:rsidRPr="00D20CA8">
              <w:t>Compliance to treatment</w:t>
            </w:r>
          </w:p>
        </w:tc>
        <w:tc>
          <w:tcPr>
            <w:tcW w:w="1873" w:type="pct"/>
            <w:shd w:val="clear" w:color="auto" w:fill="auto"/>
            <w:vAlign w:val="center"/>
          </w:tcPr>
          <w:p w14:paraId="532C5A76" w14:textId="77F73C4C" w:rsidR="0021716C" w:rsidRPr="00D20CA8" w:rsidRDefault="0021716C" w:rsidP="00642A77">
            <w:pPr>
              <w:pStyle w:val="TableText"/>
              <w:keepNext/>
              <w:keepLines/>
            </w:pPr>
            <w:r w:rsidRPr="00D20CA8">
              <w:t xml:space="preserve">90.0% (assumed). </w:t>
            </w:r>
          </w:p>
        </w:tc>
        <w:tc>
          <w:tcPr>
            <w:tcW w:w="2408" w:type="pct"/>
            <w:shd w:val="clear" w:color="auto" w:fill="auto"/>
            <w:vAlign w:val="center"/>
          </w:tcPr>
          <w:p w14:paraId="679755CA" w14:textId="10C95C9B" w:rsidR="0021716C" w:rsidRPr="00D20CA8" w:rsidRDefault="0021716C" w:rsidP="00642A77">
            <w:pPr>
              <w:pStyle w:val="TableText"/>
              <w:keepNext/>
              <w:keepLines/>
            </w:pPr>
            <w:r w:rsidRPr="00D20CA8">
              <w:t xml:space="preserve">Moderate, favours bulevirtide. Increasing the compliance to </w:t>
            </w:r>
            <w:r w:rsidRPr="00642A77">
              <w:t>98.1</w:t>
            </w:r>
            <w:r w:rsidRPr="00D20CA8">
              <w:t>% increases the ICER to $</w:t>
            </w:r>
            <w:r w:rsidR="001A4B8B" w:rsidRPr="001A4B8B">
              <w:rPr>
                <w:color w:val="000000"/>
                <w:spacing w:val="55"/>
                <w:shd w:val="solid" w:color="000000" w:fill="000000"/>
                <w:fitText w:val="338" w:id="-961838835"/>
                <w14:textFill>
                  <w14:solidFill>
                    <w14:srgbClr w14:val="000000">
                      <w14:alpha w14:val="100000"/>
                    </w14:srgbClr>
                  </w14:solidFill>
                </w14:textFill>
              </w:rPr>
              <w:t>|||</w:t>
            </w:r>
            <w:r w:rsidR="001A4B8B" w:rsidRPr="001A4B8B">
              <w:rPr>
                <w:color w:val="000000"/>
                <w:spacing w:val="3"/>
                <w:shd w:val="solid" w:color="000000" w:fill="000000"/>
                <w:fitText w:val="338" w:id="-961838835"/>
                <w14:textFill>
                  <w14:solidFill>
                    <w14:srgbClr w14:val="000000">
                      <w14:alpha w14:val="100000"/>
                    </w14:srgbClr>
                  </w14:solidFill>
                </w14:textFill>
              </w:rPr>
              <w:t>|</w:t>
            </w:r>
            <w:r w:rsidR="00430348" w:rsidRPr="00785E13">
              <w:rPr>
                <w:vertAlign w:val="superscript"/>
              </w:rPr>
              <w:t>2</w:t>
            </w:r>
            <w:r w:rsidRPr="00D20CA8">
              <w:t>/QALY gained.</w:t>
            </w:r>
          </w:p>
        </w:tc>
      </w:tr>
      <w:tr w:rsidR="0021716C" w:rsidRPr="00D20CA8" w14:paraId="0BCA2E80" w14:textId="77777777" w:rsidTr="006E3EFD">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14:paraId="155C44E2" w14:textId="77777777" w:rsidR="0021716C" w:rsidRPr="00D20CA8" w:rsidRDefault="0021716C" w:rsidP="00642A77">
            <w:pPr>
              <w:pStyle w:val="TableText"/>
              <w:keepNext/>
              <w:keepLines/>
            </w:pPr>
            <w:r w:rsidRPr="00D20CA8">
              <w:t>HRs for disease progression in responders</w:t>
            </w:r>
          </w:p>
        </w:tc>
        <w:tc>
          <w:tcPr>
            <w:tcW w:w="1873" w:type="pct"/>
            <w:tcBorders>
              <w:top w:val="single" w:sz="4" w:space="0" w:color="auto"/>
              <w:left w:val="single" w:sz="4" w:space="0" w:color="auto"/>
              <w:bottom w:val="single" w:sz="4" w:space="0" w:color="auto"/>
              <w:right w:val="single" w:sz="4" w:space="0" w:color="auto"/>
            </w:tcBorders>
            <w:shd w:val="clear" w:color="auto" w:fill="auto"/>
            <w:vAlign w:val="center"/>
          </w:tcPr>
          <w:p w14:paraId="0FCB60B4" w14:textId="77777777" w:rsidR="0021716C" w:rsidRPr="00D20CA8" w:rsidRDefault="0021716C" w:rsidP="00642A77">
            <w:pPr>
              <w:pStyle w:val="TableText"/>
              <w:keepNext/>
              <w:keepLines/>
            </w:pPr>
            <w:r w:rsidRPr="00D20CA8">
              <w:t xml:space="preserve">HRs were estimated from a meta-analysis of the relationship of undetectable HDV RNA on any liver event (HR = 0.42); HCC (HR = 0.34); DCC (HR = 0.26) and liver-related death (HR = 0.22). </w:t>
            </w:r>
          </w:p>
        </w:tc>
        <w:tc>
          <w:tcPr>
            <w:tcW w:w="2408" w:type="pct"/>
            <w:tcBorders>
              <w:top w:val="single" w:sz="4" w:space="0" w:color="auto"/>
              <w:left w:val="single" w:sz="4" w:space="0" w:color="auto"/>
              <w:bottom w:val="single" w:sz="4" w:space="0" w:color="auto"/>
              <w:right w:val="single" w:sz="4" w:space="0" w:color="auto"/>
            </w:tcBorders>
            <w:shd w:val="clear" w:color="auto" w:fill="auto"/>
            <w:vAlign w:val="center"/>
          </w:tcPr>
          <w:p w14:paraId="0849A1A0" w14:textId="5DC8DB46" w:rsidR="0021716C" w:rsidRPr="00D20CA8" w:rsidRDefault="0021716C" w:rsidP="00642A77">
            <w:pPr>
              <w:pStyle w:val="TableText"/>
              <w:keepNext/>
              <w:keepLines/>
            </w:pPr>
            <w:r w:rsidRPr="00D20CA8">
              <w:t>Moderate, favours bulevirtide. Using HRs derived excluding studies that contained irrelevant comparisons (any liver event, HR = 0.51; HCC, HR = 0.39; DCC, HR = 0.35; and liver-related death, HR = 0.29) increased the ICER to $</w:t>
            </w:r>
            <w:r w:rsidR="001A4B8B" w:rsidRPr="001A4B8B">
              <w:rPr>
                <w:color w:val="000000"/>
                <w:spacing w:val="51"/>
                <w:shd w:val="solid" w:color="000000" w:fill="000000"/>
                <w:fitText w:val="325" w:id="-961838834"/>
                <w14:textFill>
                  <w14:solidFill>
                    <w14:srgbClr w14:val="000000">
                      <w14:alpha w14:val="100000"/>
                    </w14:srgbClr>
                  </w14:solidFill>
                </w14:textFill>
              </w:rPr>
              <w:t>|||</w:t>
            </w:r>
            <w:r w:rsidR="001A4B8B" w:rsidRPr="001A4B8B">
              <w:rPr>
                <w:color w:val="000000"/>
                <w:spacing w:val="2"/>
                <w:shd w:val="solid" w:color="000000" w:fill="000000"/>
                <w:fitText w:val="325" w:id="-961838834"/>
                <w14:textFill>
                  <w14:solidFill>
                    <w14:srgbClr w14:val="000000">
                      <w14:alpha w14:val="100000"/>
                    </w14:srgbClr>
                  </w14:solidFill>
                </w14:textFill>
              </w:rPr>
              <w:t>|</w:t>
            </w:r>
            <w:r w:rsidR="00430348" w:rsidRPr="00785E13">
              <w:rPr>
                <w:vertAlign w:val="superscript"/>
              </w:rPr>
              <w:t>2</w:t>
            </w:r>
            <w:r w:rsidRPr="00D20CA8">
              <w:t>/QALY gained.</w:t>
            </w:r>
          </w:p>
        </w:tc>
      </w:tr>
    </w:tbl>
    <w:p w14:paraId="60643D65" w14:textId="77777777" w:rsidR="00A677E9" w:rsidRPr="00D20CA8" w:rsidRDefault="00A677E9" w:rsidP="00642A77">
      <w:pPr>
        <w:pStyle w:val="TableFigureFooter"/>
        <w:keepNext/>
        <w:keepLines/>
      </w:pPr>
      <w:r w:rsidRPr="00D20CA8">
        <w:t>Source: Compiled during the evaluation.</w:t>
      </w:r>
    </w:p>
    <w:p w14:paraId="00943F63" w14:textId="77777777" w:rsidR="00A677E9" w:rsidRPr="00196231" w:rsidRDefault="00A677E9" w:rsidP="00642A77">
      <w:pPr>
        <w:pStyle w:val="TableFooter"/>
        <w:keepNext/>
        <w:keepLines/>
      </w:pPr>
      <w:r w:rsidRPr="00196231">
        <w:t>CC = compensated cirrhosis; HBV = hepatitis B virus; HCV = hepatitis C virus; HDV = hepatitis D virus; ICER = incremental cost-effectiveness ratio; NC = non-cirrhosis; QALY = quality-adjusted life year; RNA = ribonucleic acid.</w:t>
      </w:r>
    </w:p>
    <w:p w14:paraId="52505776" w14:textId="77777777" w:rsidR="00A677E9" w:rsidRPr="00196231" w:rsidRDefault="00A677E9" w:rsidP="00642A77">
      <w:pPr>
        <w:pStyle w:val="TableFigureFooter"/>
        <w:keepNext/>
        <w:keepLines/>
      </w:pPr>
      <w:r w:rsidRPr="00196231">
        <w:rPr>
          <w:vertAlign w:val="superscript"/>
        </w:rPr>
        <w:t xml:space="preserve">a </w:t>
      </w:r>
      <w:r w:rsidRPr="00196231">
        <w:t>Virologic response defined as undetectable HDV RNA or decrease in HDV RNA levels by ≥2 log</w:t>
      </w:r>
      <w:r w:rsidRPr="00196231">
        <w:rPr>
          <w:vertAlign w:val="subscript"/>
        </w:rPr>
        <w:t>10</w:t>
      </w:r>
      <w:r w:rsidRPr="00196231">
        <w:t xml:space="preserve"> IU/mL</w:t>
      </w:r>
    </w:p>
    <w:p w14:paraId="6F3820EF" w14:textId="77777777" w:rsidR="00A677E9" w:rsidRPr="00196231" w:rsidRDefault="00A677E9" w:rsidP="00642A77">
      <w:pPr>
        <w:pStyle w:val="TableFigureFooter"/>
        <w:keepNext/>
        <w:keepLines/>
      </w:pPr>
      <w:r w:rsidRPr="00196231">
        <w:rPr>
          <w:vertAlign w:val="superscript"/>
        </w:rPr>
        <w:t xml:space="preserve">b </w:t>
      </w:r>
      <w:r w:rsidRPr="00196231">
        <w:t>Combined response defined as virologic response (</w:t>
      </w:r>
      <w:r w:rsidRPr="00196231">
        <w:rPr>
          <w:i/>
          <w:iCs/>
        </w:rPr>
        <w:t xml:space="preserve">i.e. </w:t>
      </w:r>
      <w:r w:rsidRPr="00196231">
        <w:t>undetectable RNA or decrease in HDV RNA levels by ≥2 log10 IU/mL from baseline) and ALT normalisation</w:t>
      </w:r>
    </w:p>
    <w:p w14:paraId="575458AC" w14:textId="77777777" w:rsidR="00A677E9" w:rsidRPr="00196231" w:rsidRDefault="00A677E9" w:rsidP="00642A77">
      <w:pPr>
        <w:pStyle w:val="TableFooter"/>
        <w:keepNext/>
        <w:keepLines/>
      </w:pPr>
      <w:r w:rsidRPr="00196231">
        <w:rPr>
          <w:vertAlign w:val="superscript"/>
        </w:rPr>
        <w:t>c</w:t>
      </w:r>
      <w:r w:rsidRPr="00196231">
        <w:t xml:space="preserve"> Bermingham SL, Hughes R, Fenu E, Sawyer LM, Boxall E, P TK, et al. Cost-Effectiveness Analysis of Alternative Antiviral Strategies for the Treatment of HBeAg-Positive and HBeAg-Negative Chronic Hepatitis B in the United Kingdom. Value Health. 2015 Sep;18(6):800-9.</w:t>
      </w:r>
    </w:p>
    <w:p w14:paraId="6D38A9C4" w14:textId="7C837F70" w:rsidR="0021716C" w:rsidRPr="00196231" w:rsidRDefault="0021716C" w:rsidP="00642A77">
      <w:pPr>
        <w:pStyle w:val="TableFooter"/>
        <w:keepNext/>
        <w:keepLines/>
      </w:pPr>
      <w:r w:rsidRPr="00196231">
        <w:rPr>
          <w:vertAlign w:val="superscript"/>
        </w:rPr>
        <w:t>d</w:t>
      </w:r>
      <w:r w:rsidRPr="00196231">
        <w:t xml:space="preserve"> Xiao Y, Howell J, van Gemert C, Thompson AJ, Seaman CP, McCulloch K, et al. Enhancing the hepatitis B care cascade in Australia: A cost-effectiveness model. J Viral Hepat. 2020 May;27(5):526-36.</w:t>
      </w:r>
    </w:p>
    <w:p w14:paraId="31D5C3CF" w14:textId="4A98F51C" w:rsidR="0021716C" w:rsidRPr="00196231" w:rsidRDefault="0021716C" w:rsidP="00642A77">
      <w:pPr>
        <w:pStyle w:val="TableFooter"/>
        <w:keepNext/>
        <w:keepLines/>
      </w:pPr>
      <w:r w:rsidRPr="00196231">
        <w:rPr>
          <w:vertAlign w:val="superscript"/>
        </w:rPr>
        <w:t xml:space="preserve">e </w:t>
      </w:r>
      <w:r w:rsidRPr="00196231">
        <w:t>Goyal A, Murray JM. Cost-Effectiveness of Peg-Interferon, Interferon and Oral Nucleoside Analogues in the Treatment of Chronic Hepatitis B and D Infections in China. Clin Drug Investig. 2016 Aug;36(8):637-48.</w:t>
      </w:r>
    </w:p>
    <w:p w14:paraId="2C90EA9F" w14:textId="77777777" w:rsidR="00A677E9" w:rsidRDefault="00A677E9" w:rsidP="00642A77">
      <w:pPr>
        <w:pStyle w:val="TableFooter"/>
        <w:keepNext/>
        <w:keepLines/>
      </w:pPr>
      <w:r w:rsidRPr="00196231">
        <w:rPr>
          <w:vertAlign w:val="superscript"/>
        </w:rPr>
        <w:t>f</w:t>
      </w:r>
      <w:r w:rsidRPr="00196231">
        <w:t xml:space="preserve"> Wright M, Grieve R, Roberts J, Main J, Thomas HC, Investigators UKMHCT. Health benefits of antiviral therapy for mild chronic hepatitis C: randomised controlled trial and economic evaluation. Health Technol Assess. 2006 Jul;10(21):1-113, iii.</w:t>
      </w:r>
    </w:p>
    <w:p w14:paraId="36456456" w14:textId="77777777" w:rsidR="00785E13" w:rsidRDefault="00785E13" w:rsidP="00642A77">
      <w:pPr>
        <w:keepNext/>
        <w:keepLines/>
        <w:spacing w:before="0" w:after="120"/>
        <w:contextualSpacing/>
        <w:rPr>
          <w:rFonts w:ascii="Arial Narrow" w:eastAsia="Times New Roman" w:hAnsi="Arial Narrow" w:cs="Arial"/>
          <w:i/>
          <w:snapToGrid w:val="0"/>
          <w:sz w:val="18"/>
          <w:szCs w:val="18"/>
          <w:lang w:eastAsia="en-AU"/>
        </w:rPr>
      </w:pPr>
      <w:r w:rsidRPr="00785E13">
        <w:rPr>
          <w:rFonts w:ascii="Arial Narrow" w:eastAsia="Times New Roman" w:hAnsi="Arial Narrow" w:cs="Arial"/>
          <w:i/>
          <w:snapToGrid w:val="0"/>
          <w:sz w:val="18"/>
          <w:szCs w:val="18"/>
          <w:lang w:eastAsia="en-AU"/>
        </w:rPr>
        <w:t>The redacted values correspond to the following ranges:</w:t>
      </w:r>
    </w:p>
    <w:p w14:paraId="14F97D77" w14:textId="58EB0EBD" w:rsidR="00785E13" w:rsidRPr="00785E13" w:rsidRDefault="00785E13" w:rsidP="00642A77">
      <w:pPr>
        <w:keepNext/>
        <w:keepLines/>
        <w:spacing w:before="0" w:after="120"/>
        <w:contextualSpacing/>
        <w:rPr>
          <w:rFonts w:ascii="Arial Narrow" w:eastAsia="Times New Roman" w:hAnsi="Arial Narrow" w:cs="Arial"/>
          <w:i/>
          <w:snapToGrid w:val="0"/>
          <w:sz w:val="18"/>
          <w:szCs w:val="18"/>
          <w:lang w:eastAsia="en-AU"/>
        </w:rPr>
      </w:pPr>
      <w:r w:rsidRPr="00785E13">
        <w:rPr>
          <w:rFonts w:ascii="Arial Narrow" w:eastAsia="Times New Roman" w:hAnsi="Arial Narrow" w:cs="Arial"/>
          <w:i/>
          <w:snapToGrid w:val="0"/>
          <w:sz w:val="18"/>
          <w:szCs w:val="18"/>
          <w:vertAlign w:val="superscript"/>
          <w:lang w:eastAsia="en-AU"/>
        </w:rPr>
        <w:t>1</w:t>
      </w:r>
      <w:r w:rsidRPr="00785E13">
        <w:rPr>
          <w:rFonts w:ascii="Arial Narrow" w:eastAsia="Times New Roman" w:hAnsi="Arial Narrow" w:cs="Arial"/>
          <w:i/>
          <w:snapToGrid w:val="0"/>
          <w:sz w:val="18"/>
          <w:szCs w:val="18"/>
          <w:lang w:eastAsia="en-AU"/>
        </w:rPr>
        <w:t>$95,000 to &lt; $115,000</w:t>
      </w:r>
    </w:p>
    <w:p w14:paraId="15AAD65F" w14:textId="410BAE95" w:rsidR="00785E13" w:rsidRPr="00785E13" w:rsidRDefault="00785E13" w:rsidP="00642A77">
      <w:pPr>
        <w:keepNext/>
        <w:keepLines/>
        <w:spacing w:before="0" w:after="120"/>
        <w:contextualSpacing/>
        <w:rPr>
          <w:rFonts w:ascii="Arial Narrow" w:eastAsia="Times New Roman" w:hAnsi="Arial Narrow" w:cs="Arial"/>
          <w:i/>
          <w:snapToGrid w:val="0"/>
          <w:sz w:val="18"/>
          <w:szCs w:val="18"/>
          <w:lang w:eastAsia="en-AU"/>
        </w:rPr>
      </w:pPr>
      <w:r>
        <w:rPr>
          <w:rFonts w:ascii="Arial Narrow" w:eastAsia="Times New Roman" w:hAnsi="Arial Narrow" w:cs="Arial"/>
          <w:i/>
          <w:snapToGrid w:val="0"/>
          <w:sz w:val="18"/>
          <w:szCs w:val="18"/>
          <w:vertAlign w:val="superscript"/>
          <w:lang w:eastAsia="en-AU"/>
        </w:rPr>
        <w:t>2</w:t>
      </w:r>
      <w:r>
        <w:rPr>
          <w:rFonts w:ascii="Arial Narrow" w:eastAsia="Times New Roman" w:hAnsi="Arial Narrow" w:cs="Arial"/>
          <w:i/>
          <w:snapToGrid w:val="0"/>
          <w:sz w:val="18"/>
          <w:szCs w:val="18"/>
          <w:lang w:eastAsia="en-AU"/>
        </w:rPr>
        <w:t xml:space="preserve"> </w:t>
      </w:r>
      <w:r w:rsidRPr="00785E13">
        <w:rPr>
          <w:rFonts w:ascii="Arial Narrow" w:eastAsia="Times New Roman" w:hAnsi="Arial Narrow" w:cs="Arial"/>
          <w:i/>
          <w:snapToGrid w:val="0"/>
          <w:sz w:val="18"/>
          <w:szCs w:val="18"/>
          <w:lang w:eastAsia="en-AU"/>
        </w:rPr>
        <w:t>$115,000 to &lt; $135,000</w:t>
      </w:r>
    </w:p>
    <w:p w14:paraId="647258B0" w14:textId="598703B8" w:rsidR="00430348" w:rsidRDefault="00430348" w:rsidP="00642A77">
      <w:pPr>
        <w:keepNext/>
        <w:keepLines/>
        <w:spacing w:before="0" w:after="120"/>
        <w:contextualSpacing/>
        <w:rPr>
          <w:rFonts w:ascii="Arial Narrow" w:eastAsia="Times New Roman" w:hAnsi="Arial Narrow" w:cs="Arial"/>
          <w:i/>
          <w:snapToGrid w:val="0"/>
          <w:sz w:val="18"/>
          <w:szCs w:val="18"/>
          <w:lang w:eastAsia="en-AU"/>
        </w:rPr>
      </w:pPr>
      <w:r w:rsidRPr="00430348">
        <w:rPr>
          <w:rFonts w:ascii="Arial Narrow" w:eastAsia="Times New Roman" w:hAnsi="Arial Narrow" w:cs="Arial"/>
          <w:i/>
          <w:snapToGrid w:val="0"/>
          <w:sz w:val="18"/>
          <w:szCs w:val="18"/>
          <w:vertAlign w:val="superscript"/>
          <w:lang w:eastAsia="en-AU"/>
        </w:rPr>
        <w:t>3</w:t>
      </w:r>
      <w:r>
        <w:rPr>
          <w:rFonts w:ascii="Arial Narrow" w:eastAsia="Times New Roman" w:hAnsi="Arial Narrow" w:cs="Arial"/>
          <w:i/>
          <w:snapToGrid w:val="0"/>
          <w:sz w:val="18"/>
          <w:szCs w:val="18"/>
          <w:lang w:eastAsia="en-AU"/>
        </w:rPr>
        <w:t xml:space="preserve"> </w:t>
      </w:r>
      <w:r w:rsidRPr="00785E13">
        <w:rPr>
          <w:rFonts w:ascii="Arial Narrow" w:eastAsia="Times New Roman" w:hAnsi="Arial Narrow" w:cs="Arial"/>
          <w:i/>
          <w:snapToGrid w:val="0"/>
          <w:sz w:val="18"/>
          <w:szCs w:val="18"/>
          <w:lang w:eastAsia="en-AU"/>
        </w:rPr>
        <w:t>$1</w:t>
      </w:r>
      <w:r>
        <w:rPr>
          <w:rFonts w:ascii="Arial Narrow" w:eastAsia="Times New Roman" w:hAnsi="Arial Narrow" w:cs="Arial"/>
          <w:i/>
          <w:snapToGrid w:val="0"/>
          <w:sz w:val="18"/>
          <w:szCs w:val="18"/>
          <w:lang w:eastAsia="en-AU"/>
        </w:rPr>
        <w:t>5</w:t>
      </w:r>
      <w:r w:rsidRPr="00785E13">
        <w:rPr>
          <w:rFonts w:ascii="Arial Narrow" w:eastAsia="Times New Roman" w:hAnsi="Arial Narrow" w:cs="Arial"/>
          <w:i/>
          <w:snapToGrid w:val="0"/>
          <w:sz w:val="18"/>
          <w:szCs w:val="18"/>
          <w:lang w:eastAsia="en-AU"/>
        </w:rPr>
        <w:t>5,000 to &lt; $</w:t>
      </w:r>
      <w:r>
        <w:rPr>
          <w:rFonts w:ascii="Arial Narrow" w:eastAsia="Times New Roman" w:hAnsi="Arial Narrow" w:cs="Arial"/>
          <w:i/>
          <w:snapToGrid w:val="0"/>
          <w:sz w:val="18"/>
          <w:szCs w:val="18"/>
          <w:lang w:eastAsia="en-AU"/>
        </w:rPr>
        <w:t>25</w:t>
      </w:r>
      <w:r w:rsidRPr="00785E13">
        <w:rPr>
          <w:rFonts w:ascii="Arial Narrow" w:eastAsia="Times New Roman" w:hAnsi="Arial Narrow" w:cs="Arial"/>
          <w:i/>
          <w:snapToGrid w:val="0"/>
          <w:sz w:val="18"/>
          <w:szCs w:val="18"/>
          <w:lang w:eastAsia="en-AU"/>
        </w:rPr>
        <w:t>5,000</w:t>
      </w:r>
    </w:p>
    <w:p w14:paraId="4E859BE5" w14:textId="60E4DAB0" w:rsidR="00A677E9" w:rsidRPr="00196231" w:rsidRDefault="00430348" w:rsidP="00AB14EE">
      <w:pPr>
        <w:spacing w:before="0" w:after="120"/>
        <w:contextualSpacing/>
      </w:pPr>
      <w:r>
        <w:rPr>
          <w:rFonts w:ascii="Arial Narrow" w:eastAsia="Times New Roman" w:hAnsi="Arial Narrow" w:cs="Arial"/>
          <w:i/>
          <w:snapToGrid w:val="0"/>
          <w:sz w:val="18"/>
          <w:szCs w:val="18"/>
          <w:vertAlign w:val="superscript"/>
          <w:lang w:eastAsia="en-AU"/>
        </w:rPr>
        <w:t xml:space="preserve">4 </w:t>
      </w:r>
      <w:r w:rsidRPr="00430348">
        <w:rPr>
          <w:rFonts w:ascii="Arial Narrow" w:eastAsia="Times New Roman" w:hAnsi="Arial Narrow" w:cs="Arial"/>
          <w:i/>
          <w:snapToGrid w:val="0"/>
          <w:sz w:val="18"/>
          <w:szCs w:val="18"/>
          <w:lang w:eastAsia="en-AU"/>
        </w:rPr>
        <w:t>$135,000 to &lt; $155,000</w:t>
      </w:r>
    </w:p>
    <w:p w14:paraId="76BA7AA0" w14:textId="797AD138" w:rsidR="00A677E9" w:rsidRPr="00D20CA8" w:rsidRDefault="00A677E9" w:rsidP="00AB14EE">
      <w:pPr>
        <w:pStyle w:val="3-BodyText"/>
      </w:pPr>
      <w:r w:rsidRPr="00196231">
        <w:t xml:space="preserve">The results of the stepped economic evaluation are presented in </w:t>
      </w:r>
      <w:r w:rsidRPr="00196231">
        <w:fldChar w:fldCharType="begin" w:fldLock="1"/>
      </w:r>
      <w:r w:rsidRPr="00196231">
        <w:instrText xml:space="preserve"> REF _Ref152349136 \h </w:instrText>
      </w:r>
      <w:r w:rsidR="00AB14EE">
        <w:instrText xml:space="preserve"> \* MERGEFORMAT </w:instrText>
      </w:r>
      <w:r w:rsidRPr="00196231">
        <w:fldChar w:fldCharType="separate"/>
      </w:r>
      <w:r w:rsidR="00B02BFE" w:rsidRPr="00196231">
        <w:t xml:space="preserve">Table </w:t>
      </w:r>
      <w:r w:rsidR="00B02BFE">
        <w:rPr>
          <w:noProof/>
        </w:rPr>
        <w:t>12</w:t>
      </w:r>
      <w:r w:rsidRPr="00196231">
        <w:fldChar w:fldCharType="end"/>
      </w:r>
      <w:r w:rsidRPr="00196231">
        <w:t xml:space="preserve">. </w:t>
      </w:r>
      <w:r w:rsidRPr="00D20CA8">
        <w:t>The stepped analyses presented in the submission combined a number of transformations of the trial data to the proposed clinical setting from Steps 3 to Step 4</w:t>
      </w:r>
      <w:r w:rsidR="0021716C" w:rsidRPr="00D20CA8">
        <w:t>, including the transformation of the surrogate outcome of response into effect on disease progression, assumption of reduced compliance to bulevirtide treatment expected in practice and extrapolation of costs and outcomes over the 58-year time horizon</w:t>
      </w:r>
      <w:r w:rsidRPr="00D20CA8">
        <w:t xml:space="preserve">. </w:t>
      </w:r>
      <w:r w:rsidRPr="00D20CA8">
        <w:lastRenderedPageBreak/>
        <w:t>Additional steps (3a and 3b) were included during the evaluation to allow the effect of each of these transformations to be distinguished from one another.</w:t>
      </w:r>
    </w:p>
    <w:p w14:paraId="6AFF558B" w14:textId="3ECFCE35" w:rsidR="00A677E9" w:rsidRPr="00196231" w:rsidRDefault="00A677E9" w:rsidP="00CF7993">
      <w:pPr>
        <w:pStyle w:val="Caption"/>
        <w:keepNext w:val="0"/>
      </w:pPr>
      <w:bookmarkStart w:id="59" w:name="_Ref152349136"/>
      <w:r w:rsidRPr="00196231">
        <w:t xml:space="preserve">Table </w:t>
      </w:r>
      <w:r>
        <w:fldChar w:fldCharType="begin" w:fldLock="1"/>
      </w:r>
      <w:r>
        <w:instrText>SEQ Table_PBAC. \* ARABIC</w:instrText>
      </w:r>
      <w:r>
        <w:fldChar w:fldCharType="separate"/>
      </w:r>
      <w:r w:rsidR="00B02BFE">
        <w:rPr>
          <w:noProof/>
        </w:rPr>
        <w:t>12</w:t>
      </w:r>
      <w:r>
        <w:fldChar w:fldCharType="end"/>
      </w:r>
      <w:bookmarkEnd w:id="59"/>
      <w:r w:rsidR="00343C2D">
        <w:t>:</w:t>
      </w:r>
      <w:r w:rsidR="00D86C8B">
        <w:t xml:space="preserve"> </w:t>
      </w:r>
      <w:r w:rsidRPr="00196231">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757"/>
        <w:gridCol w:w="2451"/>
        <w:gridCol w:w="2297"/>
        <w:gridCol w:w="1511"/>
      </w:tblGrid>
      <w:tr w:rsidR="00A677E9" w:rsidRPr="00196231" w14:paraId="768B7333" w14:textId="77777777">
        <w:trPr>
          <w:tblHeader/>
        </w:trPr>
        <w:tc>
          <w:tcPr>
            <w:tcW w:w="1529" w:type="pct"/>
            <w:vAlign w:val="center"/>
          </w:tcPr>
          <w:p w14:paraId="6081946E" w14:textId="77777777" w:rsidR="00A677E9" w:rsidRPr="00196231" w:rsidRDefault="00A677E9" w:rsidP="00CF7993">
            <w:pPr>
              <w:pStyle w:val="In-tableHeading"/>
              <w:keepNext w:val="0"/>
              <w:rPr>
                <w:lang w:val="en-AU"/>
              </w:rPr>
            </w:pPr>
            <w:r w:rsidRPr="00196231">
              <w:rPr>
                <w:lang w:val="en-AU"/>
              </w:rPr>
              <w:t>Step and component</w:t>
            </w:r>
          </w:p>
        </w:tc>
        <w:tc>
          <w:tcPr>
            <w:tcW w:w="1359" w:type="pct"/>
            <w:vAlign w:val="center"/>
          </w:tcPr>
          <w:p w14:paraId="66281F31" w14:textId="77777777" w:rsidR="00A677E9" w:rsidRPr="00196231" w:rsidRDefault="00A677E9" w:rsidP="00CF7993">
            <w:pPr>
              <w:pStyle w:val="In-tableHeading"/>
              <w:keepNext w:val="0"/>
              <w:jc w:val="center"/>
              <w:rPr>
                <w:lang w:val="en-AU"/>
              </w:rPr>
            </w:pPr>
            <w:r w:rsidRPr="00196231">
              <w:rPr>
                <w:lang w:val="en-AU"/>
              </w:rPr>
              <w:t>Bulevirtide</w:t>
            </w:r>
          </w:p>
        </w:tc>
        <w:tc>
          <w:tcPr>
            <w:tcW w:w="1274" w:type="pct"/>
            <w:vAlign w:val="center"/>
          </w:tcPr>
          <w:p w14:paraId="2C4195D6" w14:textId="77777777" w:rsidR="00A677E9" w:rsidRPr="00196231" w:rsidRDefault="00A677E9" w:rsidP="00CF7993">
            <w:pPr>
              <w:pStyle w:val="In-tableHeading"/>
              <w:keepNext w:val="0"/>
              <w:jc w:val="center"/>
              <w:rPr>
                <w:lang w:val="en-AU"/>
              </w:rPr>
            </w:pPr>
            <w:r w:rsidRPr="00196231">
              <w:rPr>
                <w:lang w:val="en-AU"/>
              </w:rPr>
              <w:t>BSC</w:t>
            </w:r>
          </w:p>
        </w:tc>
        <w:tc>
          <w:tcPr>
            <w:tcW w:w="838" w:type="pct"/>
            <w:vAlign w:val="center"/>
          </w:tcPr>
          <w:p w14:paraId="6B1DEFF5" w14:textId="77777777" w:rsidR="00A677E9" w:rsidRPr="00196231" w:rsidRDefault="00A677E9" w:rsidP="00CF7993">
            <w:pPr>
              <w:pStyle w:val="In-tableHeading"/>
              <w:keepNext w:val="0"/>
              <w:jc w:val="center"/>
              <w:rPr>
                <w:lang w:val="en-AU"/>
              </w:rPr>
            </w:pPr>
            <w:r w:rsidRPr="00196231">
              <w:rPr>
                <w:lang w:val="en-AU"/>
              </w:rPr>
              <w:t>Increment</w:t>
            </w:r>
          </w:p>
        </w:tc>
      </w:tr>
      <w:tr w:rsidR="00A677E9" w:rsidRPr="00196231" w14:paraId="1C0E0842" w14:textId="77777777">
        <w:tc>
          <w:tcPr>
            <w:tcW w:w="5000" w:type="pct"/>
            <w:gridSpan w:val="4"/>
            <w:vAlign w:val="center"/>
          </w:tcPr>
          <w:p w14:paraId="5ECF6CA1" w14:textId="77777777" w:rsidR="00A677E9" w:rsidRPr="00196231" w:rsidRDefault="00A677E9" w:rsidP="00CF7993">
            <w:pPr>
              <w:pStyle w:val="TableText"/>
              <w:rPr>
                <w:b/>
                <w:bCs/>
              </w:rPr>
            </w:pPr>
            <w:r w:rsidRPr="00196231">
              <w:rPr>
                <w:b/>
                <w:bCs/>
              </w:rPr>
              <w:t>Step 1: Trial-based costs and outcomes (48 weeks)</w:t>
            </w:r>
          </w:p>
          <w:p w14:paraId="56873521" w14:textId="77777777" w:rsidR="00A677E9" w:rsidRPr="00196231" w:rsidRDefault="00A677E9" w:rsidP="00CF7993">
            <w:pPr>
              <w:pStyle w:val="TableText"/>
            </w:pPr>
            <w:r w:rsidRPr="00196231">
              <w:t>Trial-based analysis at 48 weeks. Cost of testing to identify one patient with detectable HDV RNA included (assuming 56.2% positivity rate), based on a weighted average from Coghill et al. (2018)</w:t>
            </w:r>
            <w:r w:rsidRPr="00196231">
              <w:rPr>
                <w:vertAlign w:val="superscript"/>
              </w:rPr>
              <w:t>a</w:t>
            </w:r>
            <w:r w:rsidRPr="00196231">
              <w:t>, Jackson et al. (2018)</w:t>
            </w:r>
            <w:r w:rsidRPr="00196231">
              <w:rPr>
                <w:vertAlign w:val="superscript"/>
              </w:rPr>
              <w:t>b</w:t>
            </w:r>
            <w:r w:rsidRPr="00196231">
              <w:t xml:space="preserve"> and Shadur et al. (2013)</w:t>
            </w:r>
            <w:r w:rsidRPr="00196231">
              <w:rPr>
                <w:vertAlign w:val="superscript"/>
              </w:rPr>
              <w:t>c</w:t>
            </w:r>
            <w:r w:rsidRPr="00196231">
              <w:t>. Compliance to bulevirtide was 99.6% based on MYR301 trial compliance at 48 weeks (equivalent to 5.57 scripts per patient per 48 weeks).</w:t>
            </w:r>
          </w:p>
        </w:tc>
      </w:tr>
      <w:tr w:rsidR="00A677E9" w:rsidRPr="00196231" w14:paraId="738393F9" w14:textId="77777777">
        <w:tc>
          <w:tcPr>
            <w:tcW w:w="1529" w:type="pct"/>
            <w:vAlign w:val="center"/>
          </w:tcPr>
          <w:p w14:paraId="615F9A93" w14:textId="77777777" w:rsidR="00A677E9" w:rsidRPr="00196231" w:rsidRDefault="00A677E9" w:rsidP="00CF7993">
            <w:pPr>
              <w:pStyle w:val="TableText"/>
              <w:rPr>
                <w:rFonts w:ascii="Times" w:hAnsi="Times"/>
              </w:rPr>
            </w:pPr>
            <w:r w:rsidRPr="00196231">
              <w:t>Costs</w:t>
            </w:r>
          </w:p>
        </w:tc>
        <w:tc>
          <w:tcPr>
            <w:tcW w:w="1359" w:type="pct"/>
          </w:tcPr>
          <w:p w14:paraId="2BB9E800" w14:textId="21E2673A" w:rsidR="00A677E9" w:rsidRPr="00196231" w:rsidRDefault="00A677E9"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c>
          <w:tcPr>
            <w:tcW w:w="1274" w:type="pct"/>
          </w:tcPr>
          <w:p w14:paraId="1605FF60" w14:textId="77777777" w:rsidR="00A677E9" w:rsidRPr="00196231" w:rsidRDefault="00A677E9" w:rsidP="00CF7993">
            <w:pPr>
              <w:pStyle w:val="TableText"/>
              <w:jc w:val="center"/>
              <w:rPr>
                <w:rFonts w:ascii="Times" w:hAnsi="Times"/>
              </w:rPr>
            </w:pPr>
            <w:r w:rsidRPr="00196231">
              <w:t>$</w:t>
            </w:r>
            <w:r w:rsidRPr="008850CD">
              <w:t>0</w:t>
            </w:r>
          </w:p>
        </w:tc>
        <w:tc>
          <w:tcPr>
            <w:tcW w:w="838" w:type="pct"/>
          </w:tcPr>
          <w:p w14:paraId="7F22C244" w14:textId="7AF64C8C" w:rsidR="00A677E9" w:rsidRPr="00196231" w:rsidRDefault="00A677E9"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r>
      <w:tr w:rsidR="00A677E9" w:rsidRPr="00196231" w14:paraId="1124BBFD" w14:textId="77777777">
        <w:tc>
          <w:tcPr>
            <w:tcW w:w="1529" w:type="pct"/>
            <w:vAlign w:val="center"/>
          </w:tcPr>
          <w:p w14:paraId="19D0BF9B" w14:textId="77777777" w:rsidR="00A677E9" w:rsidRPr="00196231" w:rsidRDefault="00A677E9" w:rsidP="00CF7993">
            <w:pPr>
              <w:pStyle w:val="TableText"/>
              <w:rPr>
                <w:rFonts w:ascii="Times" w:hAnsi="Times"/>
              </w:rPr>
            </w:pPr>
            <w:r w:rsidRPr="00196231">
              <w:t>Virologic response </w:t>
            </w:r>
            <w:r w:rsidRPr="00196231">
              <w:rPr>
                <w:vertAlign w:val="superscript"/>
              </w:rPr>
              <w:t>d</w:t>
            </w:r>
            <w:r w:rsidRPr="00196231">
              <w:t xml:space="preserve"> at 48 weeks</w:t>
            </w:r>
          </w:p>
        </w:tc>
        <w:tc>
          <w:tcPr>
            <w:tcW w:w="1359" w:type="pct"/>
          </w:tcPr>
          <w:p w14:paraId="7853526E" w14:textId="77777777" w:rsidR="00A677E9" w:rsidRPr="00196231" w:rsidRDefault="00A677E9" w:rsidP="00CF7993">
            <w:pPr>
              <w:pStyle w:val="TableText"/>
              <w:jc w:val="center"/>
              <w:rPr>
                <w:rFonts w:ascii="Times" w:hAnsi="Times"/>
              </w:rPr>
            </w:pPr>
            <w:r w:rsidRPr="00196231">
              <w:t>73.5%</w:t>
            </w:r>
          </w:p>
        </w:tc>
        <w:tc>
          <w:tcPr>
            <w:tcW w:w="1274" w:type="pct"/>
          </w:tcPr>
          <w:p w14:paraId="2F8E3DD9" w14:textId="77777777" w:rsidR="00A677E9" w:rsidRPr="00196231" w:rsidRDefault="00A677E9" w:rsidP="00CF7993">
            <w:pPr>
              <w:pStyle w:val="TableText"/>
              <w:jc w:val="center"/>
              <w:rPr>
                <w:rFonts w:ascii="Times" w:hAnsi="Times"/>
              </w:rPr>
            </w:pPr>
            <w:r w:rsidRPr="00196231">
              <w:t>3.9%</w:t>
            </w:r>
          </w:p>
        </w:tc>
        <w:tc>
          <w:tcPr>
            <w:tcW w:w="838" w:type="pct"/>
          </w:tcPr>
          <w:p w14:paraId="7EE77948" w14:textId="77777777" w:rsidR="00A677E9" w:rsidRPr="00196231" w:rsidRDefault="00A677E9" w:rsidP="00CF7993">
            <w:pPr>
              <w:pStyle w:val="TableText"/>
              <w:jc w:val="center"/>
            </w:pPr>
            <w:r w:rsidRPr="00196231">
              <w:t>69.6%</w:t>
            </w:r>
          </w:p>
        </w:tc>
      </w:tr>
      <w:tr w:rsidR="00A677E9" w:rsidRPr="00196231" w14:paraId="325B930E" w14:textId="77777777">
        <w:tc>
          <w:tcPr>
            <w:tcW w:w="4162" w:type="pct"/>
            <w:gridSpan w:val="3"/>
            <w:vAlign w:val="center"/>
          </w:tcPr>
          <w:p w14:paraId="494CA410" w14:textId="77777777" w:rsidR="00A677E9" w:rsidRPr="00196231" w:rsidRDefault="00A677E9" w:rsidP="00CF7993">
            <w:pPr>
              <w:pStyle w:val="TableText"/>
              <w:rPr>
                <w:rFonts w:ascii="Times" w:hAnsi="Times"/>
              </w:rPr>
            </w:pPr>
            <w:r w:rsidRPr="00196231">
              <w:t>Incremental cost/additional responder</w:t>
            </w:r>
          </w:p>
        </w:tc>
        <w:tc>
          <w:tcPr>
            <w:tcW w:w="838" w:type="pct"/>
            <w:vAlign w:val="center"/>
          </w:tcPr>
          <w:p w14:paraId="1C3EDAC6" w14:textId="292EA0C8" w:rsidR="00A677E9" w:rsidRPr="00196231" w:rsidRDefault="00A677E9"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r w:rsidR="00E63A7A">
              <w:rPr>
                <w:vertAlign w:val="superscript"/>
              </w:rPr>
              <w:t>1</w:t>
            </w:r>
          </w:p>
        </w:tc>
      </w:tr>
      <w:tr w:rsidR="00A677E9" w:rsidRPr="00196231" w14:paraId="476C3EAB" w14:textId="77777777">
        <w:tc>
          <w:tcPr>
            <w:tcW w:w="5000" w:type="pct"/>
            <w:gridSpan w:val="4"/>
            <w:vAlign w:val="center"/>
          </w:tcPr>
          <w:p w14:paraId="7E25519B" w14:textId="77777777" w:rsidR="00A677E9" w:rsidRPr="00196231" w:rsidRDefault="00A677E9" w:rsidP="00CF7993">
            <w:pPr>
              <w:pStyle w:val="TableText"/>
              <w:rPr>
                <w:b/>
                <w:bCs/>
              </w:rPr>
            </w:pPr>
            <w:r w:rsidRPr="00196231">
              <w:rPr>
                <w:b/>
                <w:bCs/>
              </w:rPr>
              <w:t>Step 2: Trial-based costs and outcomes to 96 weeks, with extrapolation of comparator outcomes</w:t>
            </w:r>
          </w:p>
          <w:p w14:paraId="78B8991F" w14:textId="77777777" w:rsidR="00A677E9" w:rsidRPr="00196231" w:rsidRDefault="00A677E9" w:rsidP="00CF7993">
            <w:pPr>
              <w:pStyle w:val="In-tableHeading"/>
              <w:keepNext w:val="0"/>
              <w:rPr>
                <w:b w:val="0"/>
                <w:bCs/>
                <w:lang w:val="en-AU"/>
              </w:rPr>
            </w:pPr>
            <w:r w:rsidRPr="00196231">
              <w:rPr>
                <w:b w:val="0"/>
                <w:bCs/>
                <w:lang w:val="en-AU"/>
              </w:rPr>
              <w:t xml:space="preserve">Trial-based analysis at 96 weeks, assuming extrapolation of virologic response in the comparator arm. </w:t>
            </w:r>
          </w:p>
          <w:p w14:paraId="5CD7372A" w14:textId="77777777" w:rsidR="00A677E9" w:rsidRPr="00196231" w:rsidRDefault="00A677E9" w:rsidP="00CF7993">
            <w:pPr>
              <w:pStyle w:val="In-tableHeading"/>
              <w:keepNext w:val="0"/>
              <w:rPr>
                <w:b w:val="0"/>
                <w:bCs/>
                <w:lang w:val="en-AU"/>
              </w:rPr>
            </w:pPr>
            <w:r w:rsidRPr="00196231">
              <w:rPr>
                <w:b w:val="0"/>
                <w:bCs/>
                <w:lang w:val="en-AU"/>
              </w:rPr>
              <w:t>Compliance to bulevirtide was 98.1% based on MYR301 trial compliance at 96 weeks (equivalent to 10.98 scripts</w:t>
            </w:r>
            <w:r w:rsidRPr="00196231">
              <w:rPr>
                <w:lang w:val="en-AU"/>
              </w:rPr>
              <w:t xml:space="preserve"> </w:t>
            </w:r>
            <w:r w:rsidRPr="00196231">
              <w:rPr>
                <w:b w:val="0"/>
                <w:bCs/>
                <w:lang w:val="en-AU"/>
              </w:rPr>
              <w:t>per patient per 96 weeks).</w:t>
            </w:r>
          </w:p>
        </w:tc>
      </w:tr>
      <w:tr w:rsidR="00A677E9" w:rsidRPr="00196231" w14:paraId="7100A9F9" w14:textId="77777777">
        <w:tc>
          <w:tcPr>
            <w:tcW w:w="1529" w:type="pct"/>
            <w:vAlign w:val="center"/>
          </w:tcPr>
          <w:p w14:paraId="1EACFBFE" w14:textId="77777777" w:rsidR="00A677E9" w:rsidRPr="00196231" w:rsidRDefault="00A677E9" w:rsidP="00CF7993">
            <w:pPr>
              <w:pStyle w:val="TableText"/>
              <w:rPr>
                <w:rFonts w:ascii="Times" w:hAnsi="Times"/>
              </w:rPr>
            </w:pPr>
            <w:r w:rsidRPr="00196231">
              <w:t>Costs</w:t>
            </w:r>
          </w:p>
        </w:tc>
        <w:tc>
          <w:tcPr>
            <w:tcW w:w="1359" w:type="pct"/>
          </w:tcPr>
          <w:p w14:paraId="6D4BF8E4" w14:textId="7F065E44" w:rsidR="00A677E9" w:rsidRPr="00196231" w:rsidRDefault="00A677E9"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c>
          <w:tcPr>
            <w:tcW w:w="1274" w:type="pct"/>
          </w:tcPr>
          <w:p w14:paraId="169836D2" w14:textId="77777777" w:rsidR="00A677E9" w:rsidRPr="00196231" w:rsidRDefault="00A677E9" w:rsidP="00CF7993">
            <w:pPr>
              <w:pStyle w:val="TableText"/>
              <w:jc w:val="center"/>
              <w:rPr>
                <w:rFonts w:ascii="Times" w:hAnsi="Times"/>
              </w:rPr>
            </w:pPr>
            <w:r w:rsidRPr="00196231">
              <w:t>$</w:t>
            </w:r>
            <w:r w:rsidRPr="008850CD">
              <w:t>0</w:t>
            </w:r>
          </w:p>
        </w:tc>
        <w:tc>
          <w:tcPr>
            <w:tcW w:w="838" w:type="pct"/>
          </w:tcPr>
          <w:p w14:paraId="687BD0A8" w14:textId="2B1060AB" w:rsidR="00A677E9" w:rsidRPr="00196231" w:rsidRDefault="00A677E9"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r>
      <w:tr w:rsidR="00A677E9" w:rsidRPr="00196231" w14:paraId="356E5ACD" w14:textId="77777777">
        <w:tc>
          <w:tcPr>
            <w:tcW w:w="1529" w:type="pct"/>
            <w:vAlign w:val="center"/>
          </w:tcPr>
          <w:p w14:paraId="4185B9B5" w14:textId="77777777" w:rsidR="00A677E9" w:rsidRPr="00196231" w:rsidRDefault="00A677E9" w:rsidP="00CF7993">
            <w:pPr>
              <w:pStyle w:val="TableText"/>
              <w:rPr>
                <w:rFonts w:ascii="Times" w:hAnsi="Times"/>
              </w:rPr>
            </w:pPr>
            <w:r w:rsidRPr="00196231">
              <w:t>Virologic response </w:t>
            </w:r>
            <w:r w:rsidRPr="00196231">
              <w:rPr>
                <w:vertAlign w:val="superscript"/>
              </w:rPr>
              <w:t>d</w:t>
            </w:r>
            <w:r w:rsidRPr="00196231">
              <w:t xml:space="preserve"> at 96 weeks</w:t>
            </w:r>
          </w:p>
        </w:tc>
        <w:tc>
          <w:tcPr>
            <w:tcW w:w="1359" w:type="pct"/>
          </w:tcPr>
          <w:p w14:paraId="42321F28" w14:textId="77777777" w:rsidR="00A677E9" w:rsidRPr="00196231" w:rsidRDefault="00A677E9" w:rsidP="00CF7993">
            <w:pPr>
              <w:pStyle w:val="TableText"/>
              <w:jc w:val="center"/>
              <w:rPr>
                <w:rFonts w:ascii="Times" w:hAnsi="Times"/>
              </w:rPr>
            </w:pPr>
            <w:r w:rsidRPr="00196231">
              <w:t>75.5%</w:t>
            </w:r>
          </w:p>
        </w:tc>
        <w:tc>
          <w:tcPr>
            <w:tcW w:w="1274" w:type="pct"/>
          </w:tcPr>
          <w:p w14:paraId="17E22989" w14:textId="77777777" w:rsidR="00A677E9" w:rsidRPr="00196231" w:rsidRDefault="00A677E9" w:rsidP="00CF7993">
            <w:pPr>
              <w:pStyle w:val="TableText"/>
              <w:jc w:val="center"/>
              <w:rPr>
                <w:rFonts w:ascii="Times" w:hAnsi="Times"/>
              </w:rPr>
            </w:pPr>
            <w:r w:rsidRPr="00196231">
              <w:t>4.2%</w:t>
            </w:r>
          </w:p>
        </w:tc>
        <w:tc>
          <w:tcPr>
            <w:tcW w:w="838" w:type="pct"/>
          </w:tcPr>
          <w:p w14:paraId="5A6024BD" w14:textId="77777777" w:rsidR="00A677E9" w:rsidRPr="00196231" w:rsidRDefault="00A677E9" w:rsidP="00CF7993">
            <w:pPr>
              <w:pStyle w:val="TableText"/>
              <w:jc w:val="center"/>
            </w:pPr>
            <w:r w:rsidRPr="00196231">
              <w:t>71.3%</w:t>
            </w:r>
          </w:p>
        </w:tc>
      </w:tr>
      <w:tr w:rsidR="00A677E9" w:rsidRPr="00196231" w14:paraId="32DA7546" w14:textId="77777777">
        <w:tc>
          <w:tcPr>
            <w:tcW w:w="4162" w:type="pct"/>
            <w:gridSpan w:val="3"/>
            <w:vAlign w:val="center"/>
          </w:tcPr>
          <w:p w14:paraId="659E32C7" w14:textId="77777777" w:rsidR="00A677E9" w:rsidRPr="00196231" w:rsidRDefault="00A677E9" w:rsidP="00CF7993">
            <w:pPr>
              <w:pStyle w:val="TableText"/>
              <w:rPr>
                <w:rFonts w:ascii="Times" w:hAnsi="Times"/>
              </w:rPr>
            </w:pPr>
            <w:r w:rsidRPr="00196231">
              <w:t>Incremental cost/additional responder</w:t>
            </w:r>
          </w:p>
        </w:tc>
        <w:tc>
          <w:tcPr>
            <w:tcW w:w="838" w:type="pct"/>
            <w:vAlign w:val="center"/>
          </w:tcPr>
          <w:p w14:paraId="010EE100" w14:textId="604C3DC1" w:rsidR="00A677E9" w:rsidRPr="00196231" w:rsidRDefault="00A677E9"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r w:rsidR="00E63A7A">
              <w:rPr>
                <w:vertAlign w:val="superscript"/>
              </w:rPr>
              <w:t>2</w:t>
            </w:r>
          </w:p>
        </w:tc>
      </w:tr>
      <w:tr w:rsidR="0021716C" w:rsidRPr="00196231" w14:paraId="338AFD9F" w14:textId="77777777">
        <w:tc>
          <w:tcPr>
            <w:tcW w:w="5000" w:type="pct"/>
            <w:gridSpan w:val="4"/>
            <w:vAlign w:val="center"/>
          </w:tcPr>
          <w:p w14:paraId="4311576F" w14:textId="77777777" w:rsidR="0021716C" w:rsidRPr="00196231" w:rsidRDefault="0021716C" w:rsidP="00CF7993">
            <w:pPr>
              <w:pStyle w:val="In-tableHeading"/>
              <w:keepNext w:val="0"/>
              <w:rPr>
                <w:lang w:val="en-AU"/>
              </w:rPr>
            </w:pPr>
            <w:r w:rsidRPr="00196231">
              <w:rPr>
                <w:lang w:val="en-AU"/>
              </w:rPr>
              <w:t>Step 3: Transformation of virologic response into QALYs</w:t>
            </w:r>
          </w:p>
          <w:p w14:paraId="0B5413DF" w14:textId="564792D4" w:rsidR="0021716C" w:rsidRPr="00196231" w:rsidRDefault="0021716C" w:rsidP="00CF7993">
            <w:pPr>
              <w:pStyle w:val="In-tableHeading"/>
              <w:keepNext w:val="0"/>
              <w:rPr>
                <w:b w:val="0"/>
                <w:bCs/>
                <w:lang w:val="en-AU"/>
              </w:rPr>
            </w:pPr>
            <w:r w:rsidRPr="00196231">
              <w:rPr>
                <w:b w:val="0"/>
                <w:bCs/>
                <w:lang w:val="en-AU"/>
              </w:rPr>
              <w:t>A utility increment of 0.0574 × 1.84 years (i.e. 96 weeks) was applied per patient with virologic response at 96 weeks.</w:t>
            </w:r>
          </w:p>
        </w:tc>
      </w:tr>
      <w:tr w:rsidR="0021716C" w:rsidRPr="00196231" w14:paraId="731C64B3" w14:textId="77777777">
        <w:tc>
          <w:tcPr>
            <w:tcW w:w="1529" w:type="pct"/>
            <w:vAlign w:val="center"/>
          </w:tcPr>
          <w:p w14:paraId="76308BA9" w14:textId="77777777" w:rsidR="0021716C" w:rsidRPr="00196231" w:rsidRDefault="0021716C" w:rsidP="00CF7993">
            <w:pPr>
              <w:pStyle w:val="TableText"/>
              <w:rPr>
                <w:rFonts w:ascii="Times" w:hAnsi="Times"/>
              </w:rPr>
            </w:pPr>
            <w:r w:rsidRPr="00196231">
              <w:t>Costs</w:t>
            </w:r>
          </w:p>
        </w:tc>
        <w:tc>
          <w:tcPr>
            <w:tcW w:w="1359" w:type="pct"/>
          </w:tcPr>
          <w:p w14:paraId="3F6AB680" w14:textId="6D039F29" w:rsidR="0021716C" w:rsidRPr="00196231" w:rsidRDefault="0021716C"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c>
          <w:tcPr>
            <w:tcW w:w="1274" w:type="pct"/>
          </w:tcPr>
          <w:p w14:paraId="7BE819BF" w14:textId="77777777" w:rsidR="0021716C" w:rsidRPr="00196231" w:rsidRDefault="0021716C" w:rsidP="00CF7993">
            <w:pPr>
              <w:pStyle w:val="TableText"/>
              <w:jc w:val="center"/>
              <w:rPr>
                <w:rFonts w:ascii="Times" w:hAnsi="Times"/>
              </w:rPr>
            </w:pPr>
            <w:r w:rsidRPr="00196231">
              <w:t>$</w:t>
            </w:r>
            <w:r w:rsidRPr="008850CD">
              <w:t>0</w:t>
            </w:r>
          </w:p>
        </w:tc>
        <w:tc>
          <w:tcPr>
            <w:tcW w:w="838" w:type="pct"/>
          </w:tcPr>
          <w:p w14:paraId="1230BF02" w14:textId="48BA3448" w:rsidR="0021716C" w:rsidRPr="00196231" w:rsidRDefault="0021716C"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r>
      <w:tr w:rsidR="0021716C" w:rsidRPr="00196231" w14:paraId="176BD6AF" w14:textId="77777777">
        <w:tc>
          <w:tcPr>
            <w:tcW w:w="1529" w:type="pct"/>
            <w:vAlign w:val="center"/>
          </w:tcPr>
          <w:p w14:paraId="235010FA" w14:textId="77777777" w:rsidR="0021716C" w:rsidRPr="00196231" w:rsidRDefault="0021716C" w:rsidP="00CF7993">
            <w:pPr>
              <w:pStyle w:val="TableText"/>
              <w:rPr>
                <w:rFonts w:ascii="Times" w:hAnsi="Times"/>
              </w:rPr>
            </w:pPr>
            <w:r w:rsidRPr="00196231">
              <w:t>QALY gained</w:t>
            </w:r>
          </w:p>
        </w:tc>
        <w:tc>
          <w:tcPr>
            <w:tcW w:w="1359" w:type="pct"/>
          </w:tcPr>
          <w:p w14:paraId="51A81AAA" w14:textId="77777777" w:rsidR="0021716C" w:rsidRPr="00632A52" w:rsidRDefault="0021716C" w:rsidP="00CF7993">
            <w:pPr>
              <w:pStyle w:val="TableText"/>
              <w:jc w:val="center"/>
              <w:rPr>
                <w:rFonts w:ascii="Times" w:hAnsi="Times"/>
              </w:rPr>
            </w:pPr>
            <w:r w:rsidRPr="00632A52">
              <w:t>0.080</w:t>
            </w:r>
          </w:p>
        </w:tc>
        <w:tc>
          <w:tcPr>
            <w:tcW w:w="1274" w:type="pct"/>
          </w:tcPr>
          <w:p w14:paraId="3913CF6A" w14:textId="77777777" w:rsidR="0021716C" w:rsidRPr="00632A52" w:rsidRDefault="0021716C" w:rsidP="00CF7993">
            <w:pPr>
              <w:pStyle w:val="TableText"/>
              <w:jc w:val="center"/>
              <w:rPr>
                <w:rFonts w:ascii="Times" w:hAnsi="Times"/>
              </w:rPr>
            </w:pPr>
            <w:r w:rsidRPr="00632A52">
              <w:t>0.004</w:t>
            </w:r>
          </w:p>
        </w:tc>
        <w:tc>
          <w:tcPr>
            <w:tcW w:w="838" w:type="pct"/>
          </w:tcPr>
          <w:p w14:paraId="4808DF50" w14:textId="77777777" w:rsidR="0021716C" w:rsidRPr="00632A52" w:rsidRDefault="0021716C" w:rsidP="00CF7993">
            <w:pPr>
              <w:pStyle w:val="TableText"/>
              <w:jc w:val="center"/>
            </w:pPr>
            <w:r w:rsidRPr="00632A52">
              <w:t>0.075</w:t>
            </w:r>
          </w:p>
        </w:tc>
      </w:tr>
      <w:tr w:rsidR="0021716C" w:rsidRPr="00196231" w14:paraId="6D187C64" w14:textId="77777777">
        <w:tc>
          <w:tcPr>
            <w:tcW w:w="4162" w:type="pct"/>
            <w:gridSpan w:val="3"/>
            <w:vAlign w:val="center"/>
          </w:tcPr>
          <w:p w14:paraId="1F17AA27" w14:textId="77777777" w:rsidR="0021716C" w:rsidRPr="00196231" w:rsidRDefault="0021716C" w:rsidP="00CF7993">
            <w:pPr>
              <w:pStyle w:val="TableText"/>
              <w:rPr>
                <w:rFonts w:ascii="Times" w:hAnsi="Times"/>
              </w:rPr>
            </w:pPr>
            <w:r w:rsidRPr="00196231">
              <w:t>Incremental cost/extra QALY gained</w:t>
            </w:r>
          </w:p>
        </w:tc>
        <w:tc>
          <w:tcPr>
            <w:tcW w:w="838" w:type="pct"/>
            <w:vAlign w:val="center"/>
          </w:tcPr>
          <w:p w14:paraId="69E764F2" w14:textId="1D008B90" w:rsidR="0021716C" w:rsidRPr="00196231" w:rsidRDefault="0021716C"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r w:rsidR="00E63A7A">
              <w:rPr>
                <w:vertAlign w:val="superscript"/>
              </w:rPr>
              <w:t>3</w:t>
            </w:r>
          </w:p>
        </w:tc>
      </w:tr>
      <w:tr w:rsidR="0021716C" w:rsidRPr="00D20CA8" w14:paraId="32EDB92A" w14:textId="77777777">
        <w:tc>
          <w:tcPr>
            <w:tcW w:w="5000" w:type="pct"/>
            <w:gridSpan w:val="4"/>
            <w:vAlign w:val="center"/>
          </w:tcPr>
          <w:p w14:paraId="5F68F86B" w14:textId="77777777" w:rsidR="0021716C" w:rsidRPr="00D20CA8" w:rsidRDefault="0021716C" w:rsidP="00CF7993">
            <w:pPr>
              <w:pStyle w:val="In-tableHeading"/>
              <w:keepNext w:val="0"/>
              <w:rPr>
                <w:lang w:val="en-AU"/>
              </w:rPr>
            </w:pPr>
            <w:r w:rsidRPr="00D20CA8">
              <w:rPr>
                <w:lang w:val="en-AU"/>
              </w:rPr>
              <w:t>Step 3a: Transformation of the surrogate outcome of response into effect on disease progression</w:t>
            </w:r>
          </w:p>
          <w:p w14:paraId="590F16E2" w14:textId="77777777" w:rsidR="0021716C" w:rsidRPr="00D20CA8" w:rsidRDefault="0021716C" w:rsidP="00CF7993">
            <w:pPr>
              <w:pStyle w:val="In-tableHeading"/>
              <w:keepNext w:val="0"/>
              <w:rPr>
                <w:b w:val="0"/>
                <w:bCs/>
                <w:lang w:val="en-AU"/>
              </w:rPr>
            </w:pPr>
            <w:r w:rsidRPr="00D20CA8">
              <w:rPr>
                <w:b w:val="0"/>
                <w:bCs/>
                <w:lang w:val="en-AU"/>
              </w:rPr>
              <w:t>Differences in disease progression were modelled across responders and non-responders based on the estimated relationship between response and liver-related outcomes. While the cost of testing was unchanged from the steps prior, the cost of bulevirtide treatment was reduced due to disease progression or HBsAg seroclearance. Costs of managing AEs, monitoring costs and other health state costs (disease management, liver transplantation and liver-related death) were included. Utility weights were applied according to the time spent in each health state and disutility due to AEs was included.</w:t>
            </w:r>
          </w:p>
        </w:tc>
      </w:tr>
      <w:tr w:rsidR="0021716C" w:rsidRPr="00D20CA8" w14:paraId="19059E19" w14:textId="77777777">
        <w:tc>
          <w:tcPr>
            <w:tcW w:w="1529" w:type="pct"/>
            <w:vAlign w:val="center"/>
          </w:tcPr>
          <w:p w14:paraId="64E54AA9" w14:textId="77777777" w:rsidR="0021716C" w:rsidRPr="00D20CA8" w:rsidRDefault="0021716C" w:rsidP="00CF7993">
            <w:pPr>
              <w:pStyle w:val="TableText"/>
              <w:rPr>
                <w:rFonts w:ascii="Times" w:hAnsi="Times"/>
              </w:rPr>
            </w:pPr>
            <w:r w:rsidRPr="00D20CA8">
              <w:t>Costs</w:t>
            </w:r>
          </w:p>
        </w:tc>
        <w:tc>
          <w:tcPr>
            <w:tcW w:w="1359" w:type="pct"/>
          </w:tcPr>
          <w:p w14:paraId="4B6E1D65" w14:textId="51347C0A" w:rsidR="0021716C" w:rsidRPr="00D20CA8" w:rsidRDefault="0021716C" w:rsidP="00CF7993">
            <w:pPr>
              <w:pStyle w:val="TableText"/>
              <w:jc w:val="center"/>
              <w:rPr>
                <w:rFonts w:ascii="Times" w:hAnsi="Times"/>
              </w:rPr>
            </w:pPr>
            <w:r w:rsidRPr="00D20CA8">
              <w:t>$</w:t>
            </w:r>
            <w:r w:rsidR="001A4B8B" w:rsidRPr="001A4B8B">
              <w:rPr>
                <w:color w:val="000000"/>
                <w:shd w:val="solid" w:color="000000" w:fill="000000"/>
                <w14:textFill>
                  <w14:solidFill>
                    <w14:srgbClr w14:val="000000">
                      <w14:alpha w14:val="100000"/>
                    </w14:srgbClr>
                  </w14:solidFill>
                </w14:textFill>
              </w:rPr>
              <w:t>|</w:t>
            </w:r>
          </w:p>
        </w:tc>
        <w:tc>
          <w:tcPr>
            <w:tcW w:w="1274" w:type="pct"/>
          </w:tcPr>
          <w:p w14:paraId="5A6A8A06" w14:textId="77777777" w:rsidR="0021716C" w:rsidRPr="00D20CA8" w:rsidRDefault="0021716C" w:rsidP="00CF7993">
            <w:pPr>
              <w:pStyle w:val="TableText"/>
              <w:jc w:val="center"/>
              <w:rPr>
                <w:rFonts w:ascii="Times" w:hAnsi="Times"/>
              </w:rPr>
            </w:pPr>
            <w:r w:rsidRPr="00D20CA8">
              <w:t>$</w:t>
            </w:r>
            <w:r w:rsidRPr="008850CD">
              <w:t>8,688</w:t>
            </w:r>
          </w:p>
        </w:tc>
        <w:tc>
          <w:tcPr>
            <w:tcW w:w="838" w:type="pct"/>
          </w:tcPr>
          <w:p w14:paraId="443DFC52" w14:textId="08B43F4C" w:rsidR="0021716C" w:rsidRPr="00D20CA8" w:rsidRDefault="0021716C" w:rsidP="00CF7993">
            <w:pPr>
              <w:pStyle w:val="TableText"/>
              <w:jc w:val="center"/>
              <w:rPr>
                <w:rFonts w:ascii="Times" w:hAnsi="Times"/>
              </w:rPr>
            </w:pPr>
            <w:r w:rsidRPr="00D20CA8">
              <w:t>$</w:t>
            </w:r>
            <w:r w:rsidR="001A4B8B" w:rsidRPr="001A4B8B">
              <w:rPr>
                <w:color w:val="000000"/>
                <w:shd w:val="solid" w:color="000000" w:fill="000000"/>
                <w14:textFill>
                  <w14:solidFill>
                    <w14:srgbClr w14:val="000000">
                      <w14:alpha w14:val="100000"/>
                    </w14:srgbClr>
                  </w14:solidFill>
                </w14:textFill>
              </w:rPr>
              <w:t>|</w:t>
            </w:r>
          </w:p>
        </w:tc>
      </w:tr>
      <w:tr w:rsidR="0021716C" w:rsidRPr="00D20CA8" w14:paraId="478EA0F3" w14:textId="77777777">
        <w:tc>
          <w:tcPr>
            <w:tcW w:w="1529" w:type="pct"/>
            <w:vAlign w:val="center"/>
          </w:tcPr>
          <w:p w14:paraId="078EE36D" w14:textId="77777777" w:rsidR="0021716C" w:rsidRPr="00D20CA8" w:rsidRDefault="0021716C" w:rsidP="00CF7993">
            <w:pPr>
              <w:pStyle w:val="TableText"/>
            </w:pPr>
            <w:r w:rsidRPr="00D20CA8">
              <w:t>LY gained</w:t>
            </w:r>
          </w:p>
        </w:tc>
        <w:tc>
          <w:tcPr>
            <w:tcW w:w="1359" w:type="pct"/>
          </w:tcPr>
          <w:p w14:paraId="0FB784DF" w14:textId="77777777" w:rsidR="0021716C" w:rsidRPr="00632A52" w:rsidRDefault="0021716C" w:rsidP="00CF7993">
            <w:pPr>
              <w:pStyle w:val="TableText"/>
              <w:jc w:val="center"/>
            </w:pPr>
            <w:r w:rsidRPr="00632A52">
              <w:t>1.688</w:t>
            </w:r>
          </w:p>
        </w:tc>
        <w:tc>
          <w:tcPr>
            <w:tcW w:w="1274" w:type="pct"/>
          </w:tcPr>
          <w:p w14:paraId="0E71224D" w14:textId="77777777" w:rsidR="0021716C" w:rsidRPr="00632A52" w:rsidRDefault="0021716C" w:rsidP="00CF7993">
            <w:pPr>
              <w:pStyle w:val="TableText"/>
              <w:jc w:val="center"/>
            </w:pPr>
            <w:r w:rsidRPr="00632A52">
              <w:t>1.674</w:t>
            </w:r>
          </w:p>
        </w:tc>
        <w:tc>
          <w:tcPr>
            <w:tcW w:w="838" w:type="pct"/>
          </w:tcPr>
          <w:p w14:paraId="253D9BCC" w14:textId="77777777" w:rsidR="0021716C" w:rsidRPr="00632A52" w:rsidRDefault="0021716C" w:rsidP="00CF7993">
            <w:pPr>
              <w:pStyle w:val="TableText"/>
              <w:jc w:val="center"/>
            </w:pPr>
            <w:r w:rsidRPr="00632A52">
              <w:t>0.015</w:t>
            </w:r>
          </w:p>
        </w:tc>
      </w:tr>
      <w:tr w:rsidR="0021716C" w:rsidRPr="00D20CA8" w14:paraId="0F56CB70" w14:textId="77777777">
        <w:tc>
          <w:tcPr>
            <w:tcW w:w="1529" w:type="pct"/>
            <w:vAlign w:val="center"/>
          </w:tcPr>
          <w:p w14:paraId="45C15AD3" w14:textId="77777777" w:rsidR="0021716C" w:rsidRPr="00D20CA8" w:rsidRDefault="0021716C" w:rsidP="00CF7993">
            <w:pPr>
              <w:pStyle w:val="TableText"/>
              <w:rPr>
                <w:rFonts w:ascii="Times" w:hAnsi="Times"/>
              </w:rPr>
            </w:pPr>
            <w:r w:rsidRPr="00D20CA8">
              <w:t>QALY gained</w:t>
            </w:r>
          </w:p>
        </w:tc>
        <w:tc>
          <w:tcPr>
            <w:tcW w:w="1359" w:type="pct"/>
          </w:tcPr>
          <w:p w14:paraId="25C6349C" w14:textId="77777777" w:rsidR="0021716C" w:rsidRPr="00632A52" w:rsidRDefault="0021716C" w:rsidP="00CF7993">
            <w:pPr>
              <w:pStyle w:val="TableText"/>
              <w:jc w:val="center"/>
              <w:rPr>
                <w:rFonts w:ascii="Times" w:hAnsi="Times"/>
              </w:rPr>
            </w:pPr>
            <w:r w:rsidRPr="00632A52">
              <w:t>1.396</w:t>
            </w:r>
          </w:p>
        </w:tc>
        <w:tc>
          <w:tcPr>
            <w:tcW w:w="1274" w:type="pct"/>
          </w:tcPr>
          <w:p w14:paraId="3FDD03FD" w14:textId="77777777" w:rsidR="0021716C" w:rsidRPr="00632A52" w:rsidRDefault="0021716C" w:rsidP="00CF7993">
            <w:pPr>
              <w:pStyle w:val="TableText"/>
              <w:jc w:val="center"/>
              <w:rPr>
                <w:rFonts w:ascii="Times" w:hAnsi="Times"/>
              </w:rPr>
            </w:pPr>
            <w:r w:rsidRPr="00632A52">
              <w:t>1.323</w:t>
            </w:r>
          </w:p>
        </w:tc>
        <w:tc>
          <w:tcPr>
            <w:tcW w:w="838" w:type="pct"/>
          </w:tcPr>
          <w:p w14:paraId="1CEEC70C" w14:textId="77777777" w:rsidR="0021716C" w:rsidRPr="00632A52" w:rsidRDefault="0021716C" w:rsidP="00CF7993">
            <w:pPr>
              <w:pStyle w:val="TableText"/>
              <w:jc w:val="center"/>
            </w:pPr>
            <w:r w:rsidRPr="00632A52">
              <w:t>0.074</w:t>
            </w:r>
          </w:p>
        </w:tc>
      </w:tr>
      <w:tr w:rsidR="0021716C" w:rsidRPr="00D20CA8" w14:paraId="421AE367" w14:textId="77777777">
        <w:tc>
          <w:tcPr>
            <w:tcW w:w="4162" w:type="pct"/>
            <w:gridSpan w:val="3"/>
            <w:vAlign w:val="center"/>
          </w:tcPr>
          <w:p w14:paraId="0FC74462" w14:textId="77777777" w:rsidR="0021716C" w:rsidRPr="00D20CA8" w:rsidRDefault="0021716C" w:rsidP="00CF7993">
            <w:pPr>
              <w:pStyle w:val="TableText"/>
              <w:rPr>
                <w:rFonts w:ascii="Times" w:hAnsi="Times"/>
              </w:rPr>
            </w:pPr>
            <w:r w:rsidRPr="00D20CA8">
              <w:t>Incremental cost/extra QALY gained</w:t>
            </w:r>
          </w:p>
        </w:tc>
        <w:tc>
          <w:tcPr>
            <w:tcW w:w="838" w:type="pct"/>
            <w:vAlign w:val="center"/>
          </w:tcPr>
          <w:p w14:paraId="6A971C05" w14:textId="3861E095" w:rsidR="0021716C" w:rsidRPr="00D20CA8" w:rsidRDefault="0021716C" w:rsidP="00CF7993">
            <w:pPr>
              <w:pStyle w:val="TableText"/>
              <w:jc w:val="center"/>
            </w:pPr>
            <w:r w:rsidRPr="00D20CA8">
              <w:t>$</w:t>
            </w:r>
            <w:r w:rsidR="001A4B8B" w:rsidRPr="001A4B8B">
              <w:rPr>
                <w:color w:val="000000"/>
                <w:shd w:val="solid" w:color="000000" w:fill="000000"/>
                <w14:textFill>
                  <w14:solidFill>
                    <w14:srgbClr w14:val="000000">
                      <w14:alpha w14:val="100000"/>
                    </w14:srgbClr>
                  </w14:solidFill>
                </w14:textFill>
              </w:rPr>
              <w:t>|</w:t>
            </w:r>
            <w:r w:rsidR="00E63A7A">
              <w:rPr>
                <w:vertAlign w:val="superscript"/>
              </w:rPr>
              <w:t>4</w:t>
            </w:r>
          </w:p>
        </w:tc>
      </w:tr>
      <w:tr w:rsidR="0021716C" w:rsidRPr="00D20CA8" w14:paraId="71EEB860" w14:textId="77777777">
        <w:tc>
          <w:tcPr>
            <w:tcW w:w="5000" w:type="pct"/>
            <w:gridSpan w:val="4"/>
            <w:vAlign w:val="center"/>
          </w:tcPr>
          <w:p w14:paraId="1C92BC5D" w14:textId="77777777" w:rsidR="0021716C" w:rsidRPr="00D20CA8" w:rsidRDefault="0021716C" w:rsidP="00CF7993">
            <w:pPr>
              <w:pStyle w:val="In-tableHeading"/>
              <w:keepNext w:val="0"/>
              <w:rPr>
                <w:lang w:val="en-AU"/>
              </w:rPr>
            </w:pPr>
            <w:r w:rsidRPr="00D20CA8">
              <w:rPr>
                <w:lang w:val="en-AU"/>
              </w:rPr>
              <w:t>Step 3b: Adjustment of compliance to bulevirtide treatment</w:t>
            </w:r>
          </w:p>
          <w:p w14:paraId="4450FC60" w14:textId="77777777" w:rsidR="0021716C" w:rsidRPr="00D20CA8" w:rsidRDefault="0021716C" w:rsidP="00CF7993">
            <w:pPr>
              <w:pStyle w:val="In-tableHeading"/>
              <w:keepNext w:val="0"/>
              <w:rPr>
                <w:b w:val="0"/>
                <w:bCs/>
                <w:lang w:val="en-AU"/>
              </w:rPr>
            </w:pPr>
            <w:r w:rsidRPr="00D20CA8">
              <w:rPr>
                <w:b w:val="0"/>
                <w:bCs/>
                <w:lang w:val="en-AU"/>
              </w:rPr>
              <w:t>Costs and outcomes as per Step 3a, except bulevirtide costs were adjusted for reduced compliance (90%)</w:t>
            </w:r>
          </w:p>
        </w:tc>
      </w:tr>
      <w:tr w:rsidR="0021716C" w:rsidRPr="00D20CA8" w14:paraId="5D65A858" w14:textId="77777777">
        <w:tc>
          <w:tcPr>
            <w:tcW w:w="1529" w:type="pct"/>
            <w:vAlign w:val="center"/>
          </w:tcPr>
          <w:p w14:paraId="6E244258" w14:textId="77777777" w:rsidR="0021716C" w:rsidRPr="00D20CA8" w:rsidRDefault="0021716C" w:rsidP="00CF7993">
            <w:pPr>
              <w:pStyle w:val="TableText"/>
              <w:rPr>
                <w:rFonts w:ascii="Times" w:hAnsi="Times"/>
              </w:rPr>
            </w:pPr>
            <w:r w:rsidRPr="00D20CA8">
              <w:t>Costs</w:t>
            </w:r>
          </w:p>
        </w:tc>
        <w:tc>
          <w:tcPr>
            <w:tcW w:w="1359" w:type="pct"/>
          </w:tcPr>
          <w:p w14:paraId="00121366" w14:textId="68E4F59C" w:rsidR="0021716C" w:rsidRPr="00D20CA8" w:rsidRDefault="0021716C" w:rsidP="00CF7993">
            <w:pPr>
              <w:pStyle w:val="TableText"/>
              <w:jc w:val="center"/>
              <w:rPr>
                <w:rFonts w:ascii="Times" w:hAnsi="Times"/>
              </w:rPr>
            </w:pPr>
            <w:r w:rsidRPr="00D20CA8">
              <w:t>$</w:t>
            </w:r>
            <w:r w:rsidR="001A4B8B" w:rsidRPr="001A4B8B">
              <w:rPr>
                <w:color w:val="000000"/>
                <w:shd w:val="solid" w:color="000000" w:fill="000000"/>
                <w14:textFill>
                  <w14:solidFill>
                    <w14:srgbClr w14:val="000000">
                      <w14:alpha w14:val="100000"/>
                    </w14:srgbClr>
                  </w14:solidFill>
                </w14:textFill>
              </w:rPr>
              <w:t>|</w:t>
            </w:r>
          </w:p>
        </w:tc>
        <w:tc>
          <w:tcPr>
            <w:tcW w:w="1274" w:type="pct"/>
          </w:tcPr>
          <w:p w14:paraId="507ED30C" w14:textId="77777777" w:rsidR="0021716C" w:rsidRPr="00D20CA8" w:rsidRDefault="0021716C" w:rsidP="00CF7993">
            <w:pPr>
              <w:pStyle w:val="TableText"/>
              <w:jc w:val="center"/>
              <w:rPr>
                <w:rFonts w:ascii="Times" w:hAnsi="Times"/>
              </w:rPr>
            </w:pPr>
            <w:r w:rsidRPr="00D20CA8">
              <w:t>$</w:t>
            </w:r>
            <w:r w:rsidRPr="008850CD">
              <w:t>8,688</w:t>
            </w:r>
          </w:p>
        </w:tc>
        <w:tc>
          <w:tcPr>
            <w:tcW w:w="838" w:type="pct"/>
          </w:tcPr>
          <w:p w14:paraId="2C734688" w14:textId="2217C404" w:rsidR="0021716C" w:rsidRPr="00D20CA8" w:rsidRDefault="0021716C" w:rsidP="00CF7993">
            <w:pPr>
              <w:pStyle w:val="TableText"/>
              <w:jc w:val="center"/>
              <w:rPr>
                <w:rFonts w:ascii="Times" w:hAnsi="Times"/>
              </w:rPr>
            </w:pPr>
            <w:r w:rsidRPr="00D20CA8">
              <w:t>$</w:t>
            </w:r>
            <w:r w:rsidR="001A4B8B" w:rsidRPr="001A4B8B">
              <w:rPr>
                <w:color w:val="000000"/>
                <w:shd w:val="solid" w:color="000000" w:fill="000000"/>
                <w14:textFill>
                  <w14:solidFill>
                    <w14:srgbClr w14:val="000000">
                      <w14:alpha w14:val="100000"/>
                    </w14:srgbClr>
                  </w14:solidFill>
                </w14:textFill>
              </w:rPr>
              <w:t>|</w:t>
            </w:r>
          </w:p>
        </w:tc>
      </w:tr>
      <w:tr w:rsidR="0021716C" w:rsidRPr="00D20CA8" w14:paraId="1FCAC574" w14:textId="77777777">
        <w:tc>
          <w:tcPr>
            <w:tcW w:w="1529" w:type="pct"/>
            <w:vAlign w:val="center"/>
          </w:tcPr>
          <w:p w14:paraId="1FF8291D" w14:textId="77777777" w:rsidR="0021716C" w:rsidRPr="00D20CA8" w:rsidRDefault="0021716C" w:rsidP="00CF7993">
            <w:pPr>
              <w:pStyle w:val="TableText"/>
            </w:pPr>
            <w:r w:rsidRPr="00D20CA8">
              <w:t>LY gained</w:t>
            </w:r>
          </w:p>
        </w:tc>
        <w:tc>
          <w:tcPr>
            <w:tcW w:w="1359" w:type="pct"/>
          </w:tcPr>
          <w:p w14:paraId="0E4DFBA7" w14:textId="77777777" w:rsidR="0021716C" w:rsidRPr="00632A52" w:rsidRDefault="0021716C" w:rsidP="00CF7993">
            <w:pPr>
              <w:pStyle w:val="TableText"/>
              <w:jc w:val="center"/>
            </w:pPr>
            <w:r w:rsidRPr="00632A52">
              <w:t>1.688</w:t>
            </w:r>
          </w:p>
        </w:tc>
        <w:tc>
          <w:tcPr>
            <w:tcW w:w="1274" w:type="pct"/>
          </w:tcPr>
          <w:p w14:paraId="60BBFF65" w14:textId="77777777" w:rsidR="0021716C" w:rsidRPr="00632A52" w:rsidRDefault="0021716C" w:rsidP="00CF7993">
            <w:pPr>
              <w:pStyle w:val="TableText"/>
              <w:jc w:val="center"/>
            </w:pPr>
            <w:r w:rsidRPr="00632A52">
              <w:t>1.674</w:t>
            </w:r>
          </w:p>
        </w:tc>
        <w:tc>
          <w:tcPr>
            <w:tcW w:w="838" w:type="pct"/>
          </w:tcPr>
          <w:p w14:paraId="2741BBB5" w14:textId="77777777" w:rsidR="0021716C" w:rsidRPr="00632A52" w:rsidRDefault="0021716C" w:rsidP="00CF7993">
            <w:pPr>
              <w:pStyle w:val="TableText"/>
              <w:jc w:val="center"/>
            </w:pPr>
            <w:r w:rsidRPr="00632A52">
              <w:t>0.015</w:t>
            </w:r>
          </w:p>
        </w:tc>
      </w:tr>
      <w:tr w:rsidR="0021716C" w:rsidRPr="00D20CA8" w14:paraId="5AFC569A" w14:textId="77777777">
        <w:tc>
          <w:tcPr>
            <w:tcW w:w="1529" w:type="pct"/>
            <w:vAlign w:val="center"/>
          </w:tcPr>
          <w:p w14:paraId="4105BD8B" w14:textId="77777777" w:rsidR="0021716C" w:rsidRPr="00D20CA8" w:rsidRDefault="0021716C" w:rsidP="00CF7993">
            <w:pPr>
              <w:pStyle w:val="TableText"/>
              <w:rPr>
                <w:rFonts w:ascii="Times" w:hAnsi="Times"/>
              </w:rPr>
            </w:pPr>
            <w:r w:rsidRPr="00D20CA8">
              <w:t>QALY gained</w:t>
            </w:r>
          </w:p>
        </w:tc>
        <w:tc>
          <w:tcPr>
            <w:tcW w:w="1359" w:type="pct"/>
          </w:tcPr>
          <w:p w14:paraId="14456580" w14:textId="77777777" w:rsidR="0021716C" w:rsidRPr="00632A52" w:rsidRDefault="0021716C" w:rsidP="00CF7993">
            <w:pPr>
              <w:pStyle w:val="TableText"/>
              <w:jc w:val="center"/>
              <w:rPr>
                <w:rFonts w:ascii="Times" w:hAnsi="Times"/>
              </w:rPr>
            </w:pPr>
            <w:r w:rsidRPr="00632A52">
              <w:t>1.396</w:t>
            </w:r>
          </w:p>
        </w:tc>
        <w:tc>
          <w:tcPr>
            <w:tcW w:w="1274" w:type="pct"/>
          </w:tcPr>
          <w:p w14:paraId="45539779" w14:textId="77777777" w:rsidR="0021716C" w:rsidRPr="00632A52" w:rsidRDefault="0021716C" w:rsidP="00CF7993">
            <w:pPr>
              <w:pStyle w:val="TableText"/>
              <w:jc w:val="center"/>
              <w:rPr>
                <w:rFonts w:ascii="Times" w:hAnsi="Times"/>
              </w:rPr>
            </w:pPr>
            <w:r w:rsidRPr="00632A52">
              <w:t>1.323</w:t>
            </w:r>
          </w:p>
        </w:tc>
        <w:tc>
          <w:tcPr>
            <w:tcW w:w="838" w:type="pct"/>
          </w:tcPr>
          <w:p w14:paraId="32E6CABC" w14:textId="77777777" w:rsidR="0021716C" w:rsidRPr="00632A52" w:rsidRDefault="0021716C" w:rsidP="00CF7993">
            <w:pPr>
              <w:pStyle w:val="TableText"/>
              <w:jc w:val="center"/>
            </w:pPr>
            <w:r w:rsidRPr="00632A52">
              <w:t>0.074</w:t>
            </w:r>
          </w:p>
        </w:tc>
      </w:tr>
      <w:tr w:rsidR="0021716C" w:rsidRPr="00D20CA8" w14:paraId="438E4CD6" w14:textId="77777777">
        <w:tc>
          <w:tcPr>
            <w:tcW w:w="4162" w:type="pct"/>
            <w:gridSpan w:val="3"/>
            <w:vAlign w:val="center"/>
          </w:tcPr>
          <w:p w14:paraId="1D9336A7" w14:textId="77777777" w:rsidR="0021716C" w:rsidRPr="00D20CA8" w:rsidRDefault="0021716C" w:rsidP="00CF7993">
            <w:pPr>
              <w:pStyle w:val="TableText"/>
              <w:rPr>
                <w:rFonts w:ascii="Times" w:hAnsi="Times"/>
              </w:rPr>
            </w:pPr>
            <w:r w:rsidRPr="00D20CA8">
              <w:t>Incremental cost/extra QALY gained</w:t>
            </w:r>
          </w:p>
        </w:tc>
        <w:tc>
          <w:tcPr>
            <w:tcW w:w="838" w:type="pct"/>
            <w:vAlign w:val="center"/>
          </w:tcPr>
          <w:p w14:paraId="33A45CF1" w14:textId="1E20D253" w:rsidR="0021716C" w:rsidRPr="00D20CA8" w:rsidRDefault="0021716C" w:rsidP="00CF7993">
            <w:pPr>
              <w:pStyle w:val="TableText"/>
              <w:jc w:val="center"/>
              <w:rPr>
                <w:rFonts w:ascii="Times" w:hAnsi="Times"/>
              </w:rPr>
            </w:pPr>
            <w:r w:rsidRPr="00D20CA8">
              <w:t>$</w:t>
            </w:r>
            <w:r w:rsidR="001A4B8B" w:rsidRPr="001A4B8B">
              <w:rPr>
                <w:color w:val="000000"/>
                <w:shd w:val="solid" w:color="000000" w:fill="000000"/>
                <w14:textFill>
                  <w14:solidFill>
                    <w14:srgbClr w14:val="000000">
                      <w14:alpha w14:val="100000"/>
                    </w14:srgbClr>
                  </w14:solidFill>
                </w14:textFill>
              </w:rPr>
              <w:t>|</w:t>
            </w:r>
            <w:r w:rsidR="00E63A7A">
              <w:rPr>
                <w:vertAlign w:val="superscript"/>
              </w:rPr>
              <w:t>5</w:t>
            </w:r>
          </w:p>
        </w:tc>
      </w:tr>
      <w:tr w:rsidR="0021716C" w:rsidRPr="00196231" w14:paraId="204CFF86" w14:textId="77777777">
        <w:tc>
          <w:tcPr>
            <w:tcW w:w="5000" w:type="pct"/>
            <w:gridSpan w:val="4"/>
            <w:vAlign w:val="center"/>
          </w:tcPr>
          <w:p w14:paraId="45268BED" w14:textId="77777777" w:rsidR="0021716C" w:rsidRPr="00196231" w:rsidRDefault="0021716C" w:rsidP="00CF7993">
            <w:pPr>
              <w:pStyle w:val="In-tableHeading"/>
              <w:keepNext w:val="0"/>
              <w:rPr>
                <w:lang w:val="en-AU"/>
              </w:rPr>
            </w:pPr>
            <w:r w:rsidRPr="00196231">
              <w:rPr>
                <w:lang w:val="en-AU"/>
              </w:rPr>
              <w:t>Step 4: Extrapolation over 58 years</w:t>
            </w:r>
          </w:p>
          <w:p w14:paraId="72D2E94C" w14:textId="77777777" w:rsidR="0021716C" w:rsidRPr="00196231" w:rsidRDefault="0021716C" w:rsidP="00CF7993">
            <w:pPr>
              <w:pStyle w:val="In-tableHeading"/>
              <w:keepNext w:val="0"/>
              <w:rPr>
                <w:b w:val="0"/>
                <w:bCs/>
                <w:lang w:val="en-AU"/>
              </w:rPr>
            </w:pPr>
            <w:r w:rsidRPr="00196231">
              <w:rPr>
                <w:b w:val="0"/>
                <w:bCs/>
                <w:lang w:val="en-AU"/>
              </w:rPr>
              <w:t xml:space="preserve">Cost of testing and costs and outcomes due to AEs were unchanged from previous steps. All other costs and outcomes were extrapolated over 58-year time horizon. </w:t>
            </w:r>
          </w:p>
        </w:tc>
      </w:tr>
      <w:tr w:rsidR="0021716C" w:rsidRPr="00196231" w14:paraId="199E4C8A" w14:textId="77777777">
        <w:tc>
          <w:tcPr>
            <w:tcW w:w="1529" w:type="pct"/>
            <w:vAlign w:val="center"/>
          </w:tcPr>
          <w:p w14:paraId="44F37558" w14:textId="77777777" w:rsidR="0021716C" w:rsidRPr="00196231" w:rsidRDefault="0021716C" w:rsidP="00CF7993">
            <w:pPr>
              <w:pStyle w:val="TableText"/>
              <w:rPr>
                <w:rFonts w:ascii="Times" w:hAnsi="Times"/>
              </w:rPr>
            </w:pPr>
            <w:r w:rsidRPr="00196231">
              <w:t>Costs</w:t>
            </w:r>
          </w:p>
        </w:tc>
        <w:tc>
          <w:tcPr>
            <w:tcW w:w="1359" w:type="pct"/>
          </w:tcPr>
          <w:p w14:paraId="4AE99D9D" w14:textId="39FE9E79" w:rsidR="0021716C" w:rsidRPr="00196231" w:rsidRDefault="0021716C"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c>
          <w:tcPr>
            <w:tcW w:w="1274" w:type="pct"/>
          </w:tcPr>
          <w:p w14:paraId="7F507868" w14:textId="77777777" w:rsidR="0021716C" w:rsidRPr="00196231" w:rsidRDefault="0021716C" w:rsidP="00CF7993">
            <w:pPr>
              <w:pStyle w:val="TableText"/>
              <w:jc w:val="center"/>
              <w:rPr>
                <w:rFonts w:ascii="Times" w:hAnsi="Times"/>
              </w:rPr>
            </w:pPr>
            <w:r w:rsidRPr="00196231">
              <w:t>$</w:t>
            </w:r>
            <w:r w:rsidRPr="008850CD">
              <w:t>68,278</w:t>
            </w:r>
          </w:p>
        </w:tc>
        <w:tc>
          <w:tcPr>
            <w:tcW w:w="838" w:type="pct"/>
          </w:tcPr>
          <w:p w14:paraId="4D282EF5" w14:textId="6CA2FC9E" w:rsidR="0021716C" w:rsidRPr="00196231" w:rsidRDefault="0021716C" w:rsidP="00CF7993">
            <w:pPr>
              <w:pStyle w:val="TableText"/>
              <w:jc w:val="center"/>
              <w:rPr>
                <w:rFonts w:ascii="Times" w:hAnsi="Times"/>
              </w:rPr>
            </w:pPr>
            <w:r w:rsidRPr="00196231">
              <w:t>$</w:t>
            </w:r>
            <w:r w:rsidR="001A4B8B" w:rsidRPr="001A4B8B">
              <w:rPr>
                <w:color w:val="000000"/>
                <w:shd w:val="solid" w:color="000000" w:fill="000000"/>
                <w14:textFill>
                  <w14:solidFill>
                    <w14:srgbClr w14:val="000000">
                      <w14:alpha w14:val="100000"/>
                    </w14:srgbClr>
                  </w14:solidFill>
                </w14:textFill>
              </w:rPr>
              <w:t>|</w:t>
            </w:r>
          </w:p>
        </w:tc>
      </w:tr>
      <w:tr w:rsidR="0021716C" w:rsidRPr="00196231" w14:paraId="4E1607F0" w14:textId="77777777">
        <w:tc>
          <w:tcPr>
            <w:tcW w:w="1529" w:type="pct"/>
            <w:vAlign w:val="center"/>
          </w:tcPr>
          <w:p w14:paraId="68EB144F" w14:textId="77777777" w:rsidR="0021716C" w:rsidRPr="00196231" w:rsidRDefault="0021716C" w:rsidP="00CF7993">
            <w:pPr>
              <w:pStyle w:val="TableText"/>
            </w:pPr>
            <w:r>
              <w:t>LY gained</w:t>
            </w:r>
          </w:p>
        </w:tc>
        <w:tc>
          <w:tcPr>
            <w:tcW w:w="1359" w:type="pct"/>
          </w:tcPr>
          <w:p w14:paraId="1D771429" w14:textId="77777777" w:rsidR="0021716C" w:rsidRPr="00632A52" w:rsidRDefault="0021716C" w:rsidP="00CF7993">
            <w:pPr>
              <w:pStyle w:val="TableText"/>
              <w:jc w:val="center"/>
            </w:pPr>
            <w:r w:rsidRPr="00632A52">
              <w:t>10.851</w:t>
            </w:r>
          </w:p>
        </w:tc>
        <w:tc>
          <w:tcPr>
            <w:tcW w:w="1274" w:type="pct"/>
          </w:tcPr>
          <w:p w14:paraId="7C4D2D3A" w14:textId="77777777" w:rsidR="0021716C" w:rsidRPr="00632A52" w:rsidRDefault="0021716C" w:rsidP="00CF7993">
            <w:pPr>
              <w:pStyle w:val="TableText"/>
              <w:jc w:val="center"/>
            </w:pPr>
            <w:r w:rsidRPr="00632A52">
              <w:t>8.462</w:t>
            </w:r>
          </w:p>
        </w:tc>
        <w:tc>
          <w:tcPr>
            <w:tcW w:w="838" w:type="pct"/>
          </w:tcPr>
          <w:p w14:paraId="37CCFD16" w14:textId="77777777" w:rsidR="0021716C" w:rsidRPr="00632A52" w:rsidRDefault="0021716C" w:rsidP="00CF7993">
            <w:pPr>
              <w:pStyle w:val="TableText"/>
              <w:jc w:val="center"/>
            </w:pPr>
            <w:r w:rsidRPr="00632A52">
              <w:t>2.389</w:t>
            </w:r>
          </w:p>
        </w:tc>
      </w:tr>
      <w:tr w:rsidR="0021716C" w:rsidRPr="00196231" w14:paraId="7FB210CD" w14:textId="77777777">
        <w:tc>
          <w:tcPr>
            <w:tcW w:w="1529" w:type="pct"/>
            <w:vAlign w:val="center"/>
          </w:tcPr>
          <w:p w14:paraId="3E3B5EF3" w14:textId="77777777" w:rsidR="0021716C" w:rsidRPr="00196231" w:rsidRDefault="0021716C" w:rsidP="00CF7993">
            <w:pPr>
              <w:pStyle w:val="TableText"/>
              <w:rPr>
                <w:rFonts w:ascii="Times" w:hAnsi="Times"/>
              </w:rPr>
            </w:pPr>
            <w:r w:rsidRPr="00196231">
              <w:t>QALY gained</w:t>
            </w:r>
          </w:p>
        </w:tc>
        <w:tc>
          <w:tcPr>
            <w:tcW w:w="1359" w:type="pct"/>
          </w:tcPr>
          <w:p w14:paraId="06B6652D" w14:textId="77777777" w:rsidR="0021716C" w:rsidRPr="00632A52" w:rsidRDefault="0021716C" w:rsidP="00CF7993">
            <w:pPr>
              <w:pStyle w:val="TableText"/>
              <w:jc w:val="center"/>
              <w:rPr>
                <w:rFonts w:ascii="Times" w:hAnsi="Times"/>
              </w:rPr>
            </w:pPr>
            <w:r w:rsidRPr="00632A52">
              <w:t>8.548</w:t>
            </w:r>
          </w:p>
        </w:tc>
        <w:tc>
          <w:tcPr>
            <w:tcW w:w="1274" w:type="pct"/>
          </w:tcPr>
          <w:p w14:paraId="1E541B1C" w14:textId="77777777" w:rsidR="0021716C" w:rsidRPr="00632A52" w:rsidRDefault="0021716C" w:rsidP="00CF7993">
            <w:pPr>
              <w:pStyle w:val="TableText"/>
              <w:jc w:val="center"/>
              <w:rPr>
                <w:rFonts w:ascii="Times" w:hAnsi="Times"/>
              </w:rPr>
            </w:pPr>
            <w:r w:rsidRPr="00632A52">
              <w:t>6.327</w:t>
            </w:r>
          </w:p>
        </w:tc>
        <w:tc>
          <w:tcPr>
            <w:tcW w:w="838" w:type="pct"/>
          </w:tcPr>
          <w:p w14:paraId="1BA0B7A6" w14:textId="77777777" w:rsidR="0021716C" w:rsidRPr="00632A52" w:rsidRDefault="0021716C" w:rsidP="00CF7993">
            <w:pPr>
              <w:pStyle w:val="TableText"/>
              <w:jc w:val="center"/>
            </w:pPr>
            <w:r w:rsidRPr="00632A52">
              <w:t>2.221</w:t>
            </w:r>
          </w:p>
        </w:tc>
      </w:tr>
      <w:tr w:rsidR="0021716C" w:rsidRPr="00196231" w14:paraId="581B1AED" w14:textId="77777777">
        <w:tc>
          <w:tcPr>
            <w:tcW w:w="4162" w:type="pct"/>
            <w:gridSpan w:val="3"/>
            <w:vAlign w:val="center"/>
          </w:tcPr>
          <w:p w14:paraId="6D3B7CD5" w14:textId="77777777" w:rsidR="0021716C" w:rsidRPr="00196231" w:rsidRDefault="0021716C" w:rsidP="00CF7993">
            <w:pPr>
              <w:pStyle w:val="TableText"/>
              <w:rPr>
                <w:rFonts w:ascii="Times" w:hAnsi="Times"/>
                <w:b/>
              </w:rPr>
            </w:pPr>
            <w:r w:rsidRPr="00196231">
              <w:rPr>
                <w:b/>
              </w:rPr>
              <w:t>Incremental cost/extra QALY gained (base case)</w:t>
            </w:r>
          </w:p>
        </w:tc>
        <w:tc>
          <w:tcPr>
            <w:tcW w:w="838" w:type="pct"/>
            <w:vAlign w:val="center"/>
          </w:tcPr>
          <w:p w14:paraId="1E30FB08" w14:textId="452EC698" w:rsidR="0021716C" w:rsidRPr="00196231" w:rsidRDefault="0021716C" w:rsidP="00CF7993">
            <w:pPr>
              <w:pStyle w:val="TableText"/>
              <w:jc w:val="center"/>
              <w:rPr>
                <w:rFonts w:ascii="Times" w:hAnsi="Times"/>
                <w:b/>
              </w:rPr>
            </w:pPr>
            <w:r w:rsidRPr="00196231">
              <w:rPr>
                <w:b/>
              </w:rPr>
              <w:t>$</w:t>
            </w:r>
            <w:r w:rsidR="001A4B8B" w:rsidRPr="001A4B8B">
              <w:rPr>
                <w:b/>
                <w:color w:val="000000"/>
                <w:shd w:val="solid" w:color="000000" w:fill="000000"/>
                <w14:textFill>
                  <w14:solidFill>
                    <w14:srgbClr w14:val="000000">
                      <w14:alpha w14:val="100000"/>
                    </w14:srgbClr>
                  </w14:solidFill>
                </w14:textFill>
              </w:rPr>
              <w:t>|</w:t>
            </w:r>
            <w:r w:rsidR="007113C0">
              <w:rPr>
                <w:b/>
                <w:vertAlign w:val="superscript"/>
              </w:rPr>
              <w:t>6</w:t>
            </w:r>
            <w:r w:rsidR="00700BF1">
              <w:rPr>
                <w:b/>
              </w:rPr>
              <w:t xml:space="preserve"> </w:t>
            </w:r>
          </w:p>
        </w:tc>
      </w:tr>
    </w:tbl>
    <w:p w14:paraId="22E4D8B5" w14:textId="77777777" w:rsidR="0021716C" w:rsidRPr="00196231" w:rsidRDefault="0021716C" w:rsidP="00CF7993">
      <w:pPr>
        <w:pStyle w:val="TableFooter"/>
      </w:pPr>
      <w:r w:rsidRPr="00196231">
        <w:t>Source: Adapted from Table 3.8−1, p171 of the of the submission and Attachment 13 - Hepcludex HDV Section 3A Stepped Evaluation.</w:t>
      </w:r>
    </w:p>
    <w:p w14:paraId="405A4CBB" w14:textId="77777777" w:rsidR="0021716C" w:rsidRPr="00196231" w:rsidRDefault="0021716C" w:rsidP="00CF7993">
      <w:pPr>
        <w:pStyle w:val="TableFooter"/>
      </w:pPr>
      <w:r w:rsidRPr="00196231">
        <w:t xml:space="preserve">AE = adverse event; BSC = best supportive care; HBsAg = hepatitis B surface antigen; HDV = hepatitis D virus; </w:t>
      </w:r>
      <w:r>
        <w:t xml:space="preserve">LY = life years; </w:t>
      </w:r>
      <w:r w:rsidRPr="00196231">
        <w:t>QALYs = quality adjusted life years; RNA = ribonucleic acid.</w:t>
      </w:r>
    </w:p>
    <w:p w14:paraId="473810C1" w14:textId="1208BE29" w:rsidR="00A677E9" w:rsidRPr="00196231" w:rsidRDefault="00A677E9" w:rsidP="00CF7993">
      <w:pPr>
        <w:pStyle w:val="TableFigureFooter"/>
        <w:ind w:left="284" w:hanging="284"/>
      </w:pPr>
      <w:r w:rsidRPr="00196231">
        <w:t xml:space="preserve">Note: Analyses in </w:t>
      </w:r>
      <w:r w:rsidR="00D20CA8" w:rsidRPr="00D20CA8">
        <w:t>Step 3a and 3b</w:t>
      </w:r>
      <w:r w:rsidRPr="00D20CA8">
        <w:t xml:space="preserve"> text were</w:t>
      </w:r>
      <w:r w:rsidRPr="00196231">
        <w:t xml:space="preserve"> conducted during the evaluation.</w:t>
      </w:r>
    </w:p>
    <w:p w14:paraId="4CE7853E" w14:textId="77777777" w:rsidR="00A677E9" w:rsidRPr="00196231" w:rsidRDefault="00A677E9" w:rsidP="00CF7993">
      <w:pPr>
        <w:pStyle w:val="TableFooter"/>
      </w:pPr>
      <w:r w:rsidRPr="00196231">
        <w:rPr>
          <w:vertAlign w:val="superscript"/>
        </w:rPr>
        <w:t>a</w:t>
      </w:r>
      <w:r w:rsidRPr="00196231">
        <w:t xml:space="preserve"> Coghill S, McNamara J, Woods M, Hajkowicz K. Epidemiology and clinical outcomes of hepatitis delta (D) virus infection in Queensland, </w:t>
      </w:r>
      <w:r w:rsidRPr="00196231">
        <w:lastRenderedPageBreak/>
        <w:t>Australia. Int J Infect Dis. 2018 Sep;74:123-7.</w:t>
      </w:r>
    </w:p>
    <w:p w14:paraId="68EF8026" w14:textId="77777777" w:rsidR="00A677E9" w:rsidRPr="00196231" w:rsidRDefault="00A677E9" w:rsidP="00CF7993">
      <w:pPr>
        <w:pStyle w:val="TableFooter"/>
      </w:pPr>
      <w:r w:rsidRPr="00196231">
        <w:rPr>
          <w:vertAlign w:val="superscript"/>
        </w:rPr>
        <w:t>b</w:t>
      </w:r>
      <w:r w:rsidRPr="00196231">
        <w:t xml:space="preserve"> Jackson K, MacLachlan J, Cowie B, Locarnini S, Bowden S, Higgins N, et al. Epidemiology and phylogenetic analysis of hepatitis D virus infection in Australia. Intern Med J. 2018 Nov;48(11):1308-17.</w:t>
      </w:r>
    </w:p>
    <w:p w14:paraId="47142FD5" w14:textId="77777777" w:rsidR="00A677E9" w:rsidRPr="00196231" w:rsidRDefault="00A677E9" w:rsidP="00CF7993">
      <w:pPr>
        <w:pStyle w:val="TableFooter"/>
      </w:pPr>
      <w:r w:rsidRPr="00196231">
        <w:rPr>
          <w:vertAlign w:val="superscript"/>
        </w:rPr>
        <w:t>c</w:t>
      </w:r>
      <w:r w:rsidRPr="00196231">
        <w:t xml:space="preserve"> Shadur B, MacLachlan J, Cowie B. Hepatitis D virus in Victoria 2000-2009. Intern Med J. 2013 Oct;43(10):1081-7.</w:t>
      </w:r>
    </w:p>
    <w:p w14:paraId="6C7BEC25" w14:textId="77777777" w:rsidR="00A677E9" w:rsidRDefault="00A677E9" w:rsidP="00CF7993">
      <w:pPr>
        <w:pStyle w:val="TableFooter"/>
      </w:pPr>
      <w:r w:rsidRPr="00196231">
        <w:rPr>
          <w:sz w:val="20"/>
          <w:vertAlign w:val="superscript"/>
        </w:rPr>
        <w:t>d</w:t>
      </w:r>
      <w:r w:rsidRPr="00196231">
        <w:rPr>
          <w:sz w:val="20"/>
        </w:rPr>
        <w:t xml:space="preserve"> </w:t>
      </w:r>
      <w:r w:rsidRPr="00196231">
        <w:t>defined as undetectable HDV RNA or decrease in HDV RNA by ≥2 log</w:t>
      </w:r>
      <w:r w:rsidRPr="00196231">
        <w:rPr>
          <w:vertAlign w:val="subscript"/>
        </w:rPr>
        <w:t>10</w:t>
      </w:r>
      <w:r w:rsidRPr="00196231">
        <w:t> IU/mL from baseline.</w:t>
      </w:r>
    </w:p>
    <w:p w14:paraId="0AFA0B1D" w14:textId="77777777" w:rsidR="00685CE8" w:rsidRPr="00462EC2" w:rsidRDefault="00685CE8" w:rsidP="00CF7993">
      <w:pPr>
        <w:pStyle w:val="TableFooter"/>
        <w:rPr>
          <w:i/>
          <w:iCs/>
        </w:rPr>
      </w:pPr>
      <w:bookmarkStart w:id="60" w:name="_Hlk165299972"/>
      <w:r w:rsidRPr="00462EC2">
        <w:rPr>
          <w:i/>
          <w:iCs/>
        </w:rPr>
        <w:t>The redacted values correspond to the following ranges:</w:t>
      </w:r>
    </w:p>
    <w:p w14:paraId="7B8FD7B8" w14:textId="278B8E97" w:rsidR="00685CE8" w:rsidRPr="00462EC2" w:rsidRDefault="00E63A7A" w:rsidP="00CF7993">
      <w:pPr>
        <w:pStyle w:val="TableFooter"/>
        <w:rPr>
          <w:i/>
          <w:iCs/>
        </w:rPr>
      </w:pPr>
      <w:r w:rsidRPr="00462EC2">
        <w:rPr>
          <w:i/>
          <w:iCs/>
          <w:vertAlign w:val="superscript"/>
        </w:rPr>
        <w:t>1</w:t>
      </w:r>
      <w:r w:rsidR="00685CE8" w:rsidRPr="00462EC2">
        <w:rPr>
          <w:i/>
          <w:iCs/>
        </w:rPr>
        <w:t xml:space="preserve"> $55,000 to &lt; $75,000 </w:t>
      </w:r>
    </w:p>
    <w:p w14:paraId="2A6CD40F" w14:textId="51B01512" w:rsidR="00685CE8" w:rsidRPr="00462EC2" w:rsidRDefault="00E63A7A" w:rsidP="00CF7993">
      <w:pPr>
        <w:pStyle w:val="TableFooter"/>
        <w:rPr>
          <w:i/>
          <w:iCs/>
        </w:rPr>
      </w:pPr>
      <w:r w:rsidRPr="00462EC2">
        <w:rPr>
          <w:i/>
          <w:iCs/>
          <w:vertAlign w:val="superscript"/>
        </w:rPr>
        <w:t>2</w:t>
      </w:r>
      <w:r w:rsidR="00685CE8" w:rsidRPr="00462EC2">
        <w:rPr>
          <w:i/>
          <w:iCs/>
        </w:rPr>
        <w:t xml:space="preserve"> $115,000 to &lt; $135,000</w:t>
      </w:r>
    </w:p>
    <w:p w14:paraId="4A8245C3" w14:textId="7714D4F9" w:rsidR="00685CE8" w:rsidRPr="00462EC2" w:rsidRDefault="00E63A7A" w:rsidP="00CF7993">
      <w:pPr>
        <w:pStyle w:val="TableFooter"/>
        <w:rPr>
          <w:i/>
          <w:iCs/>
        </w:rPr>
      </w:pPr>
      <w:r w:rsidRPr="00462EC2">
        <w:rPr>
          <w:i/>
          <w:iCs/>
          <w:vertAlign w:val="superscript"/>
        </w:rPr>
        <w:t>3</w:t>
      </w:r>
      <w:r w:rsidR="00685CE8" w:rsidRPr="00462EC2">
        <w:rPr>
          <w:i/>
          <w:iCs/>
        </w:rPr>
        <w:t xml:space="preserve"> &gt; $1,055,000</w:t>
      </w:r>
    </w:p>
    <w:p w14:paraId="3AFA53F6" w14:textId="1ABED373" w:rsidR="00700BF1" w:rsidRPr="00462EC2" w:rsidRDefault="00E63A7A" w:rsidP="00CF7993">
      <w:pPr>
        <w:pStyle w:val="TableFooter"/>
        <w:rPr>
          <w:i/>
          <w:iCs/>
        </w:rPr>
      </w:pPr>
      <w:r w:rsidRPr="00462EC2">
        <w:rPr>
          <w:i/>
          <w:iCs/>
          <w:vertAlign w:val="superscript"/>
        </w:rPr>
        <w:t>4</w:t>
      </w:r>
      <w:r w:rsidR="00700BF1" w:rsidRPr="00462EC2">
        <w:rPr>
          <w:i/>
          <w:iCs/>
        </w:rPr>
        <w:t xml:space="preserve"> $955,000 to &lt; $1,055,000</w:t>
      </w:r>
    </w:p>
    <w:p w14:paraId="63EBFD75" w14:textId="186A415B" w:rsidR="00E63A7A" w:rsidRPr="00462EC2" w:rsidRDefault="00E63A7A" w:rsidP="00CF7993">
      <w:pPr>
        <w:pStyle w:val="TableFooter"/>
        <w:rPr>
          <w:i/>
          <w:iCs/>
        </w:rPr>
      </w:pPr>
      <w:r w:rsidRPr="00462EC2">
        <w:rPr>
          <w:i/>
          <w:iCs/>
          <w:vertAlign w:val="superscript"/>
        </w:rPr>
        <w:t>5</w:t>
      </w:r>
      <w:r w:rsidRPr="00462EC2">
        <w:rPr>
          <w:i/>
          <w:iCs/>
        </w:rPr>
        <w:t xml:space="preserve"> $855,000 to &lt; $955,000</w:t>
      </w:r>
    </w:p>
    <w:p w14:paraId="691F4B9D" w14:textId="7AAC7583" w:rsidR="00A677E9" w:rsidRPr="00462EC2" w:rsidRDefault="007113C0" w:rsidP="00A677E9">
      <w:pPr>
        <w:pStyle w:val="TableFooter"/>
        <w:rPr>
          <w:i/>
          <w:iCs/>
          <w:sz w:val="20"/>
        </w:rPr>
      </w:pPr>
      <w:r w:rsidRPr="00462EC2">
        <w:rPr>
          <w:i/>
          <w:iCs/>
          <w:vertAlign w:val="superscript"/>
        </w:rPr>
        <w:t>6</w:t>
      </w:r>
      <w:r w:rsidR="00700BF1" w:rsidRPr="00462EC2">
        <w:rPr>
          <w:i/>
          <w:iCs/>
        </w:rPr>
        <w:t xml:space="preserve"> </w:t>
      </w:r>
      <w:r w:rsidR="00685CE8" w:rsidRPr="00462EC2">
        <w:rPr>
          <w:i/>
          <w:iCs/>
        </w:rPr>
        <w:t xml:space="preserve">$95,000 to &lt; $115,000 </w:t>
      </w:r>
      <w:bookmarkEnd w:id="60"/>
    </w:p>
    <w:p w14:paraId="70A4AFC2" w14:textId="456741AF" w:rsidR="00A677E9" w:rsidRPr="00196231" w:rsidRDefault="00A677E9" w:rsidP="00AB14EE">
      <w:pPr>
        <w:pStyle w:val="3-BodyText"/>
      </w:pPr>
      <w:r w:rsidRPr="00196231">
        <w:t xml:space="preserve">Each of the steps included in the submission’s stepped analysis had a substantial effect on the estimate of incremental cost-effectiveness. Extending the trial-based costs and outcomes from 48 to 96 weeks </w:t>
      </w:r>
      <w:r w:rsidR="001A4B8B" w:rsidRPr="00CC2E88">
        <w:rPr>
          <w:color w:val="000000"/>
          <w:w w:val="15"/>
          <w:shd w:val="solid" w:color="000000" w:fill="000000"/>
          <w:fitText w:val="-20" w:id="-961838833"/>
          <w14:textFill>
            <w14:solidFill>
              <w14:srgbClr w14:val="000000">
                <w14:alpha w14:val="100000"/>
              </w14:srgbClr>
            </w14:solidFill>
          </w14:textFill>
        </w:rPr>
        <w:t xml:space="preserve">|  </w:t>
      </w:r>
      <w:r w:rsidR="001A4B8B" w:rsidRPr="00CC2E88">
        <w:rPr>
          <w:color w:val="000000"/>
          <w:spacing w:val="-69"/>
          <w:w w:val="15"/>
          <w:shd w:val="solid" w:color="000000" w:fill="000000"/>
          <w:fitText w:val="-20" w:id="-961838833"/>
          <w14:textFill>
            <w14:solidFill>
              <w14:srgbClr w14:val="000000">
                <w14:alpha w14:val="100000"/>
              </w14:srgbClr>
            </w14:solidFill>
          </w14:textFill>
        </w:rPr>
        <w:t>|</w:t>
      </w:r>
      <w:r w:rsidRPr="00196231">
        <w:t xml:space="preserve"> the ICER, due to the doubling of the cost of treatment, for little incremental benefit in terms of additional responders.</w:t>
      </w:r>
    </w:p>
    <w:p w14:paraId="12EF9A2E" w14:textId="45251BC0" w:rsidR="0021716C" w:rsidRPr="00D20CA8" w:rsidRDefault="0021716C" w:rsidP="00AB14EE">
      <w:pPr>
        <w:pStyle w:val="3-BodyText"/>
      </w:pPr>
      <w:bookmarkStart w:id="61" w:name="_Hlk155981751"/>
      <w:bookmarkStart w:id="62" w:name="_Hlk155971957"/>
      <w:r>
        <w:rPr>
          <w:rFonts w:eastAsia="Times New Roman"/>
        </w:rPr>
        <w:t xml:space="preserve">The ICER expressed as $ per QALY (Step 3) was observed to be numerically much larger than when expressed as $ per responder (Step 2), </w:t>
      </w:r>
      <w:bookmarkEnd w:id="61"/>
      <w:r w:rsidRPr="00196231">
        <w:t xml:space="preserve">due to the small utility increment applied per year in responders (0.0574). </w:t>
      </w:r>
      <w:r w:rsidRPr="00D20CA8">
        <w:t>As above, the</w:t>
      </w:r>
      <w:r w:rsidR="00CA530F">
        <w:t xml:space="preserve"> evaluation considered the</w:t>
      </w:r>
      <w:r w:rsidRPr="00D20CA8">
        <w:t xml:space="preserve"> application of a utility gain in responders may not be reasonable as this was not statistically significant and because </w:t>
      </w:r>
      <w:r w:rsidR="00611150">
        <w:t>a similar gain for responders</w:t>
      </w:r>
      <w:r w:rsidRPr="00D20CA8">
        <w:t xml:space="preserve"> was considered uncertain in chronic HCV (para 6.33, daclatasvir PSD, March 2015 PBAC meeting). Furthermore, the submission assumed that the additional utility due to response would apply across the 96-week time horizon of the analysis, which does not account for the time in the model before patients achieved a response.</w:t>
      </w:r>
    </w:p>
    <w:bookmarkEnd w:id="62"/>
    <w:p w14:paraId="0CFA8A7D" w14:textId="33A44E44" w:rsidR="0021716C" w:rsidRPr="00D20CA8" w:rsidRDefault="0021716C" w:rsidP="00AB14EE">
      <w:pPr>
        <w:pStyle w:val="3-BodyText"/>
      </w:pPr>
      <w:r w:rsidRPr="00196231">
        <w:t>Modelling disease progression</w:t>
      </w:r>
      <w:r>
        <w:t>, adjustment for bulevirtide compliance</w:t>
      </w:r>
      <w:r w:rsidRPr="00196231">
        <w:t xml:space="preserve"> and extrapolation over a lifetime time horizon (58 years) led to a substantial reduction in the ICER. </w:t>
      </w:r>
    </w:p>
    <w:p w14:paraId="426A7EBE" w14:textId="3BA663A6" w:rsidR="0021716C" w:rsidRPr="00BF711C" w:rsidRDefault="0021716C" w:rsidP="00AB14EE">
      <w:pPr>
        <w:pStyle w:val="3-BodyText"/>
      </w:pPr>
      <w:bookmarkStart w:id="63" w:name="_Ref158807894"/>
      <w:bookmarkStart w:id="64" w:name="_Ref152964010"/>
      <w:r w:rsidRPr="00BF711C">
        <w:t>As only limited liver-related outcomes were reported in MYR301, with the primary and key secondary and additional efficacy endpoints being surrogate outcomes, the economic evaluation is completely reliant on modelling and assumptions regarding the durability of a response to bulevirtide treatment and the relationship between the response and chronic HDV disease progression. As depicted in</w:t>
      </w:r>
      <w:r w:rsidR="002F3E3E" w:rsidRPr="00BF711C">
        <w:t xml:space="preserve"> </w:t>
      </w:r>
      <w:r w:rsidR="002F3E3E" w:rsidRPr="00BF711C">
        <w:fldChar w:fldCharType="begin" w:fldLock="1"/>
      </w:r>
      <w:r w:rsidR="002F3E3E" w:rsidRPr="00BF711C">
        <w:instrText xml:space="preserve"> REF _Ref156217286 \h  \* MERGEFORMAT </w:instrText>
      </w:r>
      <w:r w:rsidR="002F3E3E" w:rsidRPr="00BF711C">
        <w:fldChar w:fldCharType="separate"/>
      </w:r>
      <w:r w:rsidR="00B02BFE" w:rsidRPr="00BF711C">
        <w:t xml:space="preserve">Figure </w:t>
      </w:r>
      <w:r w:rsidR="00B02BFE" w:rsidRPr="00BF711C">
        <w:rPr>
          <w:noProof/>
        </w:rPr>
        <w:t>3</w:t>
      </w:r>
      <w:r w:rsidR="002F3E3E" w:rsidRPr="00BF711C">
        <w:fldChar w:fldCharType="end"/>
      </w:r>
      <w:r w:rsidRPr="00BF711C">
        <w:t xml:space="preserve">, </w:t>
      </w:r>
      <w:proofErr w:type="gramStart"/>
      <w:r w:rsidRPr="00BF711C">
        <w:t>the majority of</w:t>
      </w:r>
      <w:proofErr w:type="gramEnd"/>
      <w:r w:rsidRPr="00BF711C">
        <w:t xml:space="preserve"> the life years gained (6.237 years, 99.7%) were accrued in the extrapolated period. Given that estimates of life years gained were informed by a transformation of surrogate outcomes, extrapolated over a very extended time horizon relative to the trial data, the</w:t>
      </w:r>
      <w:r w:rsidR="00085B70" w:rsidRPr="00BF711C">
        <w:t xml:space="preserve"> evaluation considered </w:t>
      </w:r>
      <w:r w:rsidR="004A2934" w:rsidRPr="00BF711C">
        <w:t>the modelled</w:t>
      </w:r>
      <w:r w:rsidRPr="00BF711C">
        <w:t xml:space="preserve"> benefit quantified is inherently uncertain.</w:t>
      </w:r>
      <w:r w:rsidR="00085B70" w:rsidRPr="00BF711C">
        <w:t xml:space="preserve"> The ESC</w:t>
      </w:r>
      <w:r w:rsidR="00454F56" w:rsidRPr="00BF711C">
        <w:t>s</w:t>
      </w:r>
      <w:r w:rsidR="00085B70" w:rsidRPr="00BF711C">
        <w:t xml:space="preserve"> agreed with the evaluation and considered the resulting undiscounted life year gain of </w:t>
      </w:r>
      <w:r w:rsidR="00CA00B9" w:rsidRPr="00BF711C">
        <w:t>~</w:t>
      </w:r>
      <w:r w:rsidR="00085B70" w:rsidRPr="00BF711C">
        <w:t>6.</w:t>
      </w:r>
      <w:r w:rsidR="00CA00B9" w:rsidRPr="00BF711C">
        <w:t>3</w:t>
      </w:r>
      <w:r w:rsidR="00085B70" w:rsidRPr="00BF711C">
        <w:t xml:space="preserve"> years to be highly implausible, given the model assumes only 8.8 years of treatment (paragraph </w:t>
      </w:r>
      <w:r w:rsidR="00085B70" w:rsidRPr="00BF711C">
        <w:fldChar w:fldCharType="begin" w:fldLock="1"/>
      </w:r>
      <w:r w:rsidR="00085B70" w:rsidRPr="00BF711C">
        <w:instrText xml:space="preserve"> REF _Ref158724463 \r \h </w:instrText>
      </w:r>
      <w:r w:rsidR="00BF711C" w:rsidRPr="00BF711C">
        <w:instrText xml:space="preserve"> \* MERGEFORMAT </w:instrText>
      </w:r>
      <w:r w:rsidR="00085B70" w:rsidRPr="00BF711C">
        <w:fldChar w:fldCharType="separate"/>
      </w:r>
      <w:r w:rsidR="00F23D1D">
        <w:t>6.60</w:t>
      </w:r>
      <w:r w:rsidR="00085B70" w:rsidRPr="00BF711C">
        <w:fldChar w:fldCharType="end"/>
      </w:r>
      <w:r w:rsidR="00085B70" w:rsidRPr="00BF711C">
        <w:t xml:space="preserve">) </w:t>
      </w:r>
      <w:r w:rsidR="00766069" w:rsidRPr="00BF711C">
        <w:t>and the mechanism of action suppresses HDV only with ongoing treatment</w:t>
      </w:r>
      <w:r w:rsidR="00057535" w:rsidRPr="00BF711C">
        <w:t>. T</w:t>
      </w:r>
      <w:r w:rsidR="00766069" w:rsidRPr="00BF711C">
        <w:t xml:space="preserve">herefore </w:t>
      </w:r>
      <w:r w:rsidR="00057535" w:rsidRPr="00BF711C">
        <w:t xml:space="preserve">the ESCs </w:t>
      </w:r>
      <w:r w:rsidR="00766069" w:rsidRPr="00BF711C">
        <w:t xml:space="preserve">considered the </w:t>
      </w:r>
      <w:r w:rsidR="00057535" w:rsidRPr="00BF711C">
        <w:t>modelled</w:t>
      </w:r>
      <w:r w:rsidR="00766069" w:rsidRPr="00BF711C">
        <w:t xml:space="preserve"> survival </w:t>
      </w:r>
      <w:r w:rsidR="00057535" w:rsidRPr="00BF711C">
        <w:t xml:space="preserve">gain </w:t>
      </w:r>
      <w:r w:rsidR="00766069" w:rsidRPr="00BF711C">
        <w:t>was extremely optimistic.</w:t>
      </w:r>
      <w:bookmarkEnd w:id="63"/>
      <w:r w:rsidR="00766069" w:rsidRPr="00BF711C">
        <w:t xml:space="preserve"> </w:t>
      </w:r>
    </w:p>
    <w:p w14:paraId="18D00274" w14:textId="39417860" w:rsidR="00A677E9" w:rsidRPr="00196231" w:rsidRDefault="00A677E9" w:rsidP="000B39FC">
      <w:pPr>
        <w:pStyle w:val="Caption"/>
        <w:keepLines/>
      </w:pPr>
      <w:bookmarkStart w:id="65" w:name="_Ref156217286"/>
      <w:r w:rsidRPr="00196231">
        <w:lastRenderedPageBreak/>
        <w:t xml:space="preserve">Figure </w:t>
      </w:r>
      <w:r>
        <w:fldChar w:fldCharType="begin" w:fldLock="1"/>
      </w:r>
      <w:r>
        <w:instrText>SEQ Figure_PBAC. \* ARABIC</w:instrText>
      </w:r>
      <w:r>
        <w:fldChar w:fldCharType="separate"/>
      </w:r>
      <w:r w:rsidR="00B02BFE">
        <w:rPr>
          <w:noProof/>
        </w:rPr>
        <w:t>3</w:t>
      </w:r>
      <w:r>
        <w:fldChar w:fldCharType="end"/>
      </w:r>
      <w:bookmarkEnd w:id="64"/>
      <w:bookmarkEnd w:id="65"/>
      <w:r w:rsidR="00343C2D">
        <w:t>:</w:t>
      </w:r>
      <w:r w:rsidR="00D86C8B">
        <w:t xml:space="preserve"> </w:t>
      </w:r>
      <w:r w:rsidRPr="00196231">
        <w:t>Cumulative life years gained over the time horizon of the model (undiscounted)</w:t>
      </w:r>
    </w:p>
    <w:p w14:paraId="7EFAE9D6" w14:textId="77777777" w:rsidR="00A677E9" w:rsidRPr="00196231" w:rsidRDefault="00A677E9" w:rsidP="000B39FC">
      <w:pPr>
        <w:keepNext/>
        <w:keepLines/>
        <w:spacing w:before="0" w:after="0"/>
        <w:rPr>
          <w:snapToGrid w:val="0"/>
          <w:lang w:eastAsia="en-AU"/>
        </w:rPr>
      </w:pPr>
      <w:r w:rsidRPr="00196231">
        <w:rPr>
          <w:noProof/>
          <w:snapToGrid w:val="0"/>
          <w:lang w:eastAsia="en-AU"/>
        </w:rPr>
        <w:drawing>
          <wp:inline distT="0" distB="0" distL="0" distR="0" wp14:anchorId="52542A48" wp14:editId="44636AA1">
            <wp:extent cx="5715000" cy="3208179"/>
            <wp:effectExtent l="0" t="0" r="0" b="0"/>
            <wp:docPr id="1022424632" name="Picture 1022424632" descr="Figure 3: Cumulative life year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24632" name="Picture 1022424632" descr="Figure 3: Cumulative life years gained over the time horizon of the model (undiscoun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8922" cy="3215994"/>
                    </a:xfrm>
                    <a:prstGeom prst="rect">
                      <a:avLst/>
                    </a:prstGeom>
                    <a:noFill/>
                  </pic:spPr>
                </pic:pic>
              </a:graphicData>
            </a:graphic>
          </wp:inline>
        </w:drawing>
      </w:r>
    </w:p>
    <w:p w14:paraId="7AE9C4CE" w14:textId="77777777" w:rsidR="00A677E9" w:rsidRPr="00196231" w:rsidRDefault="00A677E9" w:rsidP="000B39FC">
      <w:pPr>
        <w:keepNext/>
        <w:keepLines/>
        <w:spacing w:before="0" w:after="120"/>
        <w:contextualSpacing/>
        <w:rPr>
          <w:rFonts w:ascii="Arial Narrow" w:eastAsia="Times New Roman" w:hAnsi="Arial Narrow" w:cs="Arial"/>
          <w:i/>
          <w:iCs/>
          <w:snapToGrid w:val="0"/>
          <w:sz w:val="18"/>
          <w:lang w:eastAsia="en-AU"/>
        </w:rPr>
      </w:pPr>
      <w:r w:rsidRPr="00196231">
        <w:rPr>
          <w:rFonts w:ascii="Arial Narrow" w:eastAsia="Times New Roman" w:hAnsi="Arial Narrow" w:cs="Arial"/>
          <w:i/>
          <w:iCs/>
          <w:snapToGrid w:val="0"/>
          <w:sz w:val="18"/>
          <w:lang w:eastAsia="en-AU"/>
        </w:rPr>
        <w:t>Source: Constructed during the evaluation from Attachment 10 - Hepcludex HDV Section 3A Cost-Eff Model_vfinal.</w:t>
      </w:r>
    </w:p>
    <w:p w14:paraId="4CD660BB" w14:textId="7949BB68" w:rsidR="00A677E9" w:rsidRPr="00196231" w:rsidRDefault="00A677E9" w:rsidP="00A677E9">
      <w:pPr>
        <w:spacing w:before="0" w:after="120"/>
        <w:contextualSpacing/>
        <w:rPr>
          <w:rFonts w:ascii="Arial Narrow" w:eastAsia="Times New Roman" w:hAnsi="Arial Narrow" w:cs="Arial"/>
          <w:snapToGrid w:val="0"/>
          <w:sz w:val="18"/>
          <w:lang w:eastAsia="en-AU"/>
        </w:rPr>
      </w:pPr>
      <w:r w:rsidRPr="00196231">
        <w:rPr>
          <w:rFonts w:ascii="Arial Narrow" w:eastAsia="Times New Roman" w:hAnsi="Arial Narrow" w:cs="Arial"/>
          <w:i/>
          <w:iCs/>
          <w:snapToGrid w:val="0"/>
          <w:sz w:val="18"/>
          <w:lang w:eastAsia="en-AU"/>
        </w:rPr>
        <w:t>BSC = best supportive care; LYG = life years gained.</w:t>
      </w:r>
    </w:p>
    <w:p w14:paraId="7ADDBA83" w14:textId="3D75AC73" w:rsidR="0021716C" w:rsidRPr="00D20CA8" w:rsidRDefault="0021716C" w:rsidP="00AB14EE">
      <w:pPr>
        <w:pStyle w:val="3-BodyText"/>
      </w:pPr>
      <w:bookmarkStart w:id="66" w:name="_Ref152349154"/>
      <w:r w:rsidRPr="00196231">
        <w:t xml:space="preserve">The number of liver-related events </w:t>
      </w:r>
      <w:r>
        <w:t xml:space="preserve">experienced </w:t>
      </w:r>
      <w:r w:rsidRPr="00196231">
        <w:t xml:space="preserve">across model arms over the extrapolated time horizon is presented in </w:t>
      </w:r>
      <w:r w:rsidR="002F3E3E">
        <w:fldChar w:fldCharType="begin" w:fldLock="1"/>
      </w:r>
      <w:r w:rsidR="002F3E3E">
        <w:instrText xml:space="preserve"> REF _Ref156217336 \h </w:instrText>
      </w:r>
      <w:r w:rsidR="00AB14EE">
        <w:instrText xml:space="preserve"> \* MERGEFORMAT </w:instrText>
      </w:r>
      <w:r w:rsidR="002F3E3E">
        <w:fldChar w:fldCharType="separate"/>
      </w:r>
      <w:r w:rsidR="00B02BFE" w:rsidRPr="00196231">
        <w:t xml:space="preserve">Table </w:t>
      </w:r>
      <w:r w:rsidR="00B02BFE">
        <w:rPr>
          <w:noProof/>
        </w:rPr>
        <w:t>13</w:t>
      </w:r>
      <w:r w:rsidR="002F3E3E">
        <w:fldChar w:fldCharType="end"/>
      </w:r>
      <w:r w:rsidR="002F3E3E">
        <w:t xml:space="preserve">. </w:t>
      </w:r>
      <w:r>
        <w:t xml:space="preserve">These were based on published chronic HBV transition probabilities adjusted for HDV/HBV coinfection, with HRs for reduced progression in responders applied, sourced from meta-analyses investigating the effect of undetectable RNA on liver-related events. </w:t>
      </w:r>
      <w:r w:rsidRPr="00D20CA8">
        <w:t>Issues were noted above regarding both the source of transition probabilities for chronic HDV disease progression and the HRs applied in patients who achieved a response. While bulevirtide treatment was associated with fewer DCC, HCC, liver transplantation and death due to liver-related disease (which were consistent with modelled benefit associated with response to treatment), the number of compensated cirrhosis events was increased with bulevirtide. This was due to the modelled assumptions regarding regression from cirrhosis. However, once a patient had regressed, the risk of developing cirrhosis was unchanged (and so patients could experience another cirrhotic event).</w:t>
      </w:r>
    </w:p>
    <w:p w14:paraId="4182F54B" w14:textId="3720BD11" w:rsidR="00A677E9" w:rsidRPr="00196231" w:rsidRDefault="00A677E9" w:rsidP="000B39FC">
      <w:pPr>
        <w:pStyle w:val="Caption"/>
        <w:keepLines/>
      </w:pPr>
      <w:bookmarkStart w:id="67" w:name="_Ref156217336"/>
      <w:r w:rsidRPr="00196231">
        <w:t xml:space="preserve">Table </w:t>
      </w:r>
      <w:r>
        <w:fldChar w:fldCharType="begin" w:fldLock="1"/>
      </w:r>
      <w:r>
        <w:instrText>SEQ Table_PBAC. \* ARABIC</w:instrText>
      </w:r>
      <w:r>
        <w:fldChar w:fldCharType="separate"/>
      </w:r>
      <w:r w:rsidR="00B02BFE">
        <w:rPr>
          <w:noProof/>
        </w:rPr>
        <w:t>13</w:t>
      </w:r>
      <w:r>
        <w:fldChar w:fldCharType="end"/>
      </w:r>
      <w:bookmarkEnd w:id="66"/>
      <w:bookmarkEnd w:id="67"/>
      <w:r w:rsidR="00343C2D">
        <w:t>:</w:t>
      </w:r>
      <w:r w:rsidR="00D86C8B">
        <w:rPr>
          <w:noProof/>
        </w:rPr>
        <w:t xml:space="preserve"> </w:t>
      </w:r>
      <w:r w:rsidR="0021716C">
        <w:rPr>
          <w:noProof/>
        </w:rPr>
        <w:t xml:space="preserve">Total proportion of patients who experience </w:t>
      </w:r>
      <w:r w:rsidR="0021716C">
        <w:rPr>
          <w:lang w:eastAsia="en-AU"/>
        </w:rPr>
        <w:t>l</w:t>
      </w:r>
      <w:r w:rsidR="0021716C" w:rsidRPr="00196231">
        <w:rPr>
          <w:lang w:eastAsia="en-AU"/>
        </w:rPr>
        <w:t>iver-related events over the model time horizon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Total proportion of patients who experience liver-related events over the model time horizon"/>
      </w:tblPr>
      <w:tblGrid>
        <w:gridCol w:w="3292"/>
        <w:gridCol w:w="1908"/>
        <w:gridCol w:w="1908"/>
        <w:gridCol w:w="1908"/>
      </w:tblGrid>
      <w:tr w:rsidR="00A677E9" w:rsidRPr="00196231" w14:paraId="1AC069BE" w14:textId="77777777">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091ED4" w14:textId="77777777" w:rsidR="00A677E9" w:rsidRPr="00196231" w:rsidRDefault="00A677E9" w:rsidP="000B39FC">
            <w:pPr>
              <w:pStyle w:val="In-tableHeading"/>
              <w:keepLines/>
              <w:rPr>
                <w:lang w:val="en-AU"/>
              </w:rPr>
            </w:pPr>
            <w:r w:rsidRPr="00196231">
              <w:rPr>
                <w:lang w:val="en-AU"/>
              </w:rPr>
              <w:t>Event</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F08A06" w14:textId="77777777" w:rsidR="00A677E9" w:rsidRPr="00196231" w:rsidRDefault="00A677E9" w:rsidP="000B39FC">
            <w:pPr>
              <w:pStyle w:val="In-tableHeading"/>
              <w:keepLines/>
              <w:jc w:val="center"/>
              <w:rPr>
                <w:lang w:val="en-AU"/>
              </w:rPr>
            </w:pPr>
            <w:r w:rsidRPr="00196231">
              <w:rPr>
                <w:lang w:val="en-AU"/>
              </w:rPr>
              <w:t>Bulevirtide</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EBEE4E" w14:textId="77777777" w:rsidR="00A677E9" w:rsidRPr="00196231" w:rsidRDefault="00A677E9" w:rsidP="000B39FC">
            <w:pPr>
              <w:pStyle w:val="In-tableHeading"/>
              <w:keepLines/>
              <w:jc w:val="center"/>
              <w:rPr>
                <w:lang w:val="en-AU"/>
              </w:rPr>
            </w:pPr>
            <w:r w:rsidRPr="00196231">
              <w:rPr>
                <w:lang w:val="en-AU"/>
              </w:rPr>
              <w:t>BSC</w:t>
            </w:r>
          </w:p>
        </w:tc>
        <w:tc>
          <w:tcPr>
            <w:tcW w:w="1058" w:type="pct"/>
            <w:tcBorders>
              <w:top w:val="single" w:sz="4" w:space="0" w:color="auto"/>
              <w:left w:val="single" w:sz="4" w:space="0" w:color="auto"/>
              <w:bottom w:val="single" w:sz="4" w:space="0" w:color="auto"/>
              <w:right w:val="single" w:sz="4" w:space="0" w:color="auto"/>
            </w:tcBorders>
            <w:vAlign w:val="center"/>
          </w:tcPr>
          <w:p w14:paraId="3422165B" w14:textId="77777777" w:rsidR="00A677E9" w:rsidRPr="00196231" w:rsidRDefault="00A677E9" w:rsidP="000B39FC">
            <w:pPr>
              <w:pStyle w:val="In-tableHeading"/>
              <w:keepLines/>
              <w:jc w:val="center"/>
              <w:rPr>
                <w:lang w:val="en-AU"/>
              </w:rPr>
            </w:pPr>
            <w:r w:rsidRPr="00196231">
              <w:rPr>
                <w:lang w:val="en-AU"/>
              </w:rPr>
              <w:t>Difference</w:t>
            </w:r>
          </w:p>
        </w:tc>
      </w:tr>
      <w:tr w:rsidR="00A677E9" w:rsidRPr="00196231" w14:paraId="26ABAA3B" w14:textId="77777777">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62A558D7" w14:textId="77777777" w:rsidR="00A677E9" w:rsidRPr="00196231" w:rsidRDefault="00A677E9" w:rsidP="000B39FC">
            <w:pPr>
              <w:pStyle w:val="TableText"/>
              <w:keepNext/>
              <w:keepLines/>
            </w:pPr>
            <w:r w:rsidRPr="00196231">
              <w:t>Cirrhosis (compensated)</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C4E207F" w14:textId="7E58FF44" w:rsidR="00A677E9" w:rsidRPr="00196231" w:rsidRDefault="0021716C" w:rsidP="000B39FC">
            <w:pPr>
              <w:pStyle w:val="TableText"/>
              <w:keepNext/>
              <w:keepLines/>
              <w:jc w:val="center"/>
            </w:pPr>
            <w:r w:rsidRPr="00196231">
              <w:t>0.397</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5C4193A8" w14:textId="77777777" w:rsidR="00A677E9" w:rsidRPr="00196231" w:rsidRDefault="00A677E9" w:rsidP="000B39FC">
            <w:pPr>
              <w:pStyle w:val="TableText"/>
              <w:keepNext/>
              <w:keepLines/>
              <w:jc w:val="center"/>
            </w:pPr>
            <w:r w:rsidRPr="00196231">
              <w:t>0.339</w:t>
            </w:r>
          </w:p>
        </w:tc>
        <w:tc>
          <w:tcPr>
            <w:tcW w:w="1058" w:type="pct"/>
            <w:tcBorders>
              <w:top w:val="single" w:sz="4" w:space="0" w:color="auto"/>
              <w:left w:val="single" w:sz="4" w:space="0" w:color="auto"/>
              <w:bottom w:val="single" w:sz="4" w:space="0" w:color="auto"/>
              <w:right w:val="single" w:sz="4" w:space="0" w:color="auto"/>
            </w:tcBorders>
          </w:tcPr>
          <w:p w14:paraId="5ACA870B" w14:textId="77777777" w:rsidR="00A677E9" w:rsidRPr="00196231" w:rsidRDefault="00A677E9" w:rsidP="000B39FC">
            <w:pPr>
              <w:pStyle w:val="TableText"/>
              <w:keepNext/>
              <w:keepLines/>
              <w:jc w:val="center"/>
            </w:pPr>
            <w:r w:rsidRPr="00196231">
              <w:t>0.058</w:t>
            </w:r>
          </w:p>
        </w:tc>
      </w:tr>
      <w:tr w:rsidR="00A677E9" w:rsidRPr="00196231" w14:paraId="56F42712" w14:textId="77777777">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22AE6F3B" w14:textId="77777777" w:rsidR="00A677E9" w:rsidRPr="00196231" w:rsidRDefault="00A677E9" w:rsidP="000B39FC">
            <w:pPr>
              <w:pStyle w:val="TableText"/>
              <w:keepNext/>
              <w:keepLines/>
            </w:pPr>
            <w:r w:rsidRPr="00196231">
              <w:t>Decompensated cirrhosis</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18EDDD16" w14:textId="77777777" w:rsidR="00A677E9" w:rsidRPr="00196231" w:rsidRDefault="00A677E9" w:rsidP="000B39FC">
            <w:pPr>
              <w:pStyle w:val="TableText"/>
              <w:keepNext/>
              <w:keepLines/>
              <w:jc w:val="center"/>
            </w:pPr>
            <w:r w:rsidRPr="00196231">
              <w:t>0.274</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84766BC" w14:textId="77777777" w:rsidR="00A677E9" w:rsidRPr="00196231" w:rsidRDefault="00A677E9" w:rsidP="000B39FC">
            <w:pPr>
              <w:pStyle w:val="TableText"/>
              <w:keepNext/>
              <w:keepLines/>
              <w:jc w:val="center"/>
            </w:pPr>
            <w:r w:rsidRPr="00196231">
              <w:t>0.331</w:t>
            </w:r>
          </w:p>
        </w:tc>
        <w:tc>
          <w:tcPr>
            <w:tcW w:w="1058" w:type="pct"/>
            <w:tcBorders>
              <w:top w:val="single" w:sz="4" w:space="0" w:color="auto"/>
              <w:left w:val="single" w:sz="4" w:space="0" w:color="auto"/>
              <w:bottom w:val="single" w:sz="4" w:space="0" w:color="auto"/>
              <w:right w:val="single" w:sz="4" w:space="0" w:color="auto"/>
            </w:tcBorders>
          </w:tcPr>
          <w:p w14:paraId="663D4104" w14:textId="77777777" w:rsidR="00A677E9" w:rsidRPr="00196231" w:rsidRDefault="00A677E9" w:rsidP="000B39FC">
            <w:pPr>
              <w:pStyle w:val="TableText"/>
              <w:keepNext/>
              <w:keepLines/>
              <w:jc w:val="center"/>
            </w:pPr>
            <w:r w:rsidRPr="00196231">
              <w:t>−0.057</w:t>
            </w:r>
          </w:p>
        </w:tc>
      </w:tr>
      <w:tr w:rsidR="00A677E9" w:rsidRPr="00196231" w14:paraId="1EF5FBE4" w14:textId="77777777">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6F8BB79A" w14:textId="77777777" w:rsidR="00A677E9" w:rsidRPr="00196231" w:rsidRDefault="00A677E9" w:rsidP="000B39FC">
            <w:pPr>
              <w:pStyle w:val="TableText"/>
              <w:keepNext/>
              <w:keepLines/>
            </w:pPr>
            <w:r w:rsidRPr="00196231">
              <w:t>Hepatocellular carcinoma</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5E0F7585" w14:textId="77777777" w:rsidR="00A677E9" w:rsidRPr="00196231" w:rsidRDefault="00A677E9" w:rsidP="000B39FC">
            <w:pPr>
              <w:pStyle w:val="TableText"/>
              <w:keepNext/>
              <w:keepLines/>
              <w:jc w:val="center"/>
            </w:pPr>
            <w:r w:rsidRPr="00196231">
              <w:t>0.374</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121C62C9" w14:textId="77777777" w:rsidR="00A677E9" w:rsidRPr="00196231" w:rsidRDefault="00A677E9" w:rsidP="000B39FC">
            <w:pPr>
              <w:pStyle w:val="TableText"/>
              <w:keepNext/>
              <w:keepLines/>
              <w:jc w:val="center"/>
            </w:pPr>
            <w:r w:rsidRPr="00196231">
              <w:t>0.402</w:t>
            </w:r>
          </w:p>
        </w:tc>
        <w:tc>
          <w:tcPr>
            <w:tcW w:w="1058" w:type="pct"/>
            <w:tcBorders>
              <w:top w:val="single" w:sz="4" w:space="0" w:color="auto"/>
              <w:left w:val="single" w:sz="4" w:space="0" w:color="auto"/>
              <w:bottom w:val="single" w:sz="4" w:space="0" w:color="auto"/>
              <w:right w:val="single" w:sz="4" w:space="0" w:color="auto"/>
            </w:tcBorders>
          </w:tcPr>
          <w:p w14:paraId="660668F9" w14:textId="77777777" w:rsidR="00A677E9" w:rsidRPr="00196231" w:rsidRDefault="00A677E9" w:rsidP="000B39FC">
            <w:pPr>
              <w:pStyle w:val="TableText"/>
              <w:keepNext/>
              <w:keepLines/>
              <w:jc w:val="center"/>
            </w:pPr>
            <w:r w:rsidRPr="00196231">
              <w:t>−0.028</w:t>
            </w:r>
          </w:p>
        </w:tc>
      </w:tr>
      <w:tr w:rsidR="00A677E9" w:rsidRPr="00196231" w14:paraId="53C68964" w14:textId="77777777">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5DCD0EBA" w14:textId="77777777" w:rsidR="00A677E9" w:rsidRPr="00196231" w:rsidRDefault="00A677E9" w:rsidP="000B39FC">
            <w:pPr>
              <w:pStyle w:val="TableText"/>
              <w:keepNext/>
              <w:keepLines/>
            </w:pPr>
            <w:r w:rsidRPr="00196231">
              <w:t>Liver transplantation</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1EBAD88E" w14:textId="77777777" w:rsidR="00A677E9" w:rsidRPr="00196231" w:rsidRDefault="00A677E9" w:rsidP="000B39FC">
            <w:pPr>
              <w:pStyle w:val="TableText"/>
              <w:keepNext/>
              <w:keepLines/>
              <w:jc w:val="center"/>
            </w:pPr>
            <w:r w:rsidRPr="00196231">
              <w:t>0.024</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0112710B" w14:textId="77777777" w:rsidR="00A677E9" w:rsidRPr="00196231" w:rsidRDefault="00A677E9" w:rsidP="000B39FC">
            <w:pPr>
              <w:pStyle w:val="TableText"/>
              <w:keepNext/>
              <w:keepLines/>
              <w:jc w:val="center"/>
            </w:pPr>
            <w:r w:rsidRPr="00196231">
              <w:t>0.028</w:t>
            </w:r>
          </w:p>
        </w:tc>
        <w:tc>
          <w:tcPr>
            <w:tcW w:w="1058" w:type="pct"/>
            <w:tcBorders>
              <w:top w:val="single" w:sz="4" w:space="0" w:color="auto"/>
              <w:left w:val="single" w:sz="4" w:space="0" w:color="auto"/>
              <w:bottom w:val="single" w:sz="4" w:space="0" w:color="auto"/>
              <w:right w:val="single" w:sz="4" w:space="0" w:color="auto"/>
            </w:tcBorders>
          </w:tcPr>
          <w:p w14:paraId="3B8761FA" w14:textId="77777777" w:rsidR="00A677E9" w:rsidRPr="00196231" w:rsidRDefault="00A677E9" w:rsidP="000B39FC">
            <w:pPr>
              <w:pStyle w:val="TableText"/>
              <w:keepNext/>
              <w:keepLines/>
              <w:jc w:val="center"/>
            </w:pPr>
            <w:r w:rsidRPr="00196231">
              <w:t>−0.004</w:t>
            </w:r>
          </w:p>
        </w:tc>
      </w:tr>
      <w:tr w:rsidR="00A677E9" w:rsidRPr="00196231" w14:paraId="48E180B3" w14:textId="77777777">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029190E8" w14:textId="77777777" w:rsidR="00A677E9" w:rsidRPr="00196231" w:rsidRDefault="00A677E9" w:rsidP="000B39FC">
            <w:pPr>
              <w:pStyle w:val="TableText"/>
              <w:keepNext/>
              <w:keepLines/>
            </w:pPr>
            <w:r w:rsidRPr="00196231">
              <w:t>Death, due to liver-related disease</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2570C403" w14:textId="77777777" w:rsidR="00A677E9" w:rsidRPr="00196231" w:rsidRDefault="00A677E9" w:rsidP="000B39FC">
            <w:pPr>
              <w:pStyle w:val="TableText"/>
              <w:keepNext/>
              <w:keepLines/>
              <w:jc w:val="center"/>
            </w:pPr>
            <w:r w:rsidRPr="00196231">
              <w:t>0.725</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21C759D" w14:textId="77777777" w:rsidR="00A677E9" w:rsidRPr="00196231" w:rsidRDefault="00A677E9" w:rsidP="000B39FC">
            <w:pPr>
              <w:pStyle w:val="TableText"/>
              <w:keepNext/>
              <w:keepLines/>
              <w:jc w:val="center"/>
            </w:pPr>
            <w:r w:rsidRPr="00196231">
              <w:t>0.842</w:t>
            </w:r>
          </w:p>
        </w:tc>
        <w:tc>
          <w:tcPr>
            <w:tcW w:w="1058" w:type="pct"/>
            <w:tcBorders>
              <w:top w:val="single" w:sz="4" w:space="0" w:color="auto"/>
              <w:left w:val="single" w:sz="4" w:space="0" w:color="auto"/>
              <w:bottom w:val="single" w:sz="4" w:space="0" w:color="auto"/>
              <w:right w:val="single" w:sz="4" w:space="0" w:color="auto"/>
            </w:tcBorders>
          </w:tcPr>
          <w:p w14:paraId="48D906AA" w14:textId="77777777" w:rsidR="00A677E9" w:rsidRPr="00196231" w:rsidRDefault="00A677E9" w:rsidP="000B39FC">
            <w:pPr>
              <w:pStyle w:val="TableText"/>
              <w:keepNext/>
              <w:keepLines/>
              <w:jc w:val="center"/>
            </w:pPr>
            <w:r w:rsidRPr="00196231">
              <w:t>−0.117</w:t>
            </w:r>
          </w:p>
        </w:tc>
      </w:tr>
    </w:tbl>
    <w:p w14:paraId="0E131DCF" w14:textId="77777777" w:rsidR="00A677E9" w:rsidRPr="00196231" w:rsidRDefault="00A677E9" w:rsidP="000B39FC">
      <w:pPr>
        <w:keepNext/>
        <w:keepLines/>
        <w:spacing w:before="0" w:after="120"/>
        <w:contextualSpacing/>
        <w:rPr>
          <w:rFonts w:ascii="Arial Narrow" w:eastAsia="Times New Roman" w:hAnsi="Arial Narrow" w:cs="Arial"/>
          <w:snapToGrid w:val="0"/>
          <w:sz w:val="18"/>
          <w:lang w:eastAsia="en-AU"/>
        </w:rPr>
      </w:pPr>
      <w:r w:rsidRPr="00196231">
        <w:rPr>
          <w:rFonts w:ascii="Arial Narrow" w:eastAsia="Times New Roman" w:hAnsi="Arial Narrow" w:cs="Arial"/>
          <w:snapToGrid w:val="0"/>
          <w:sz w:val="18"/>
          <w:lang w:eastAsia="en-AU"/>
        </w:rPr>
        <w:t>Source: Constructed during the evaluation from the ‘Attachment 10 - Hepcludex HDV Section 3A Cost-Eff Model_vfinal.xlsm’ file included with the submission.</w:t>
      </w:r>
    </w:p>
    <w:p w14:paraId="0E6B4C51" w14:textId="77777777" w:rsidR="00A677E9" w:rsidRPr="00196231" w:rsidRDefault="00A677E9" w:rsidP="000B39FC">
      <w:pPr>
        <w:keepNext/>
        <w:keepLines/>
        <w:spacing w:before="0" w:after="120"/>
        <w:contextualSpacing/>
        <w:rPr>
          <w:rFonts w:ascii="Arial Narrow" w:eastAsia="Times New Roman" w:hAnsi="Arial Narrow" w:cs="Arial"/>
          <w:snapToGrid w:val="0"/>
          <w:sz w:val="18"/>
          <w:lang w:eastAsia="en-AU"/>
        </w:rPr>
      </w:pPr>
      <w:r w:rsidRPr="00196231">
        <w:rPr>
          <w:rFonts w:ascii="Arial Narrow" w:eastAsia="Times New Roman" w:hAnsi="Arial Narrow" w:cs="Arial"/>
          <w:snapToGrid w:val="0"/>
          <w:sz w:val="18"/>
          <w:lang w:eastAsia="en-AU"/>
        </w:rPr>
        <w:t>BSC = best supportive care.</w:t>
      </w:r>
    </w:p>
    <w:p w14:paraId="455B8928" w14:textId="77777777" w:rsidR="00A677E9" w:rsidRPr="00196231" w:rsidRDefault="00A677E9" w:rsidP="00A677E9">
      <w:pPr>
        <w:spacing w:before="0" w:after="120"/>
        <w:contextualSpacing/>
        <w:rPr>
          <w:rFonts w:ascii="Arial Narrow" w:eastAsia="Times New Roman" w:hAnsi="Arial Narrow" w:cs="Arial"/>
          <w:snapToGrid w:val="0"/>
          <w:sz w:val="18"/>
          <w:lang w:eastAsia="en-AU"/>
        </w:rPr>
      </w:pPr>
      <w:r w:rsidRPr="00196231">
        <w:rPr>
          <w:rFonts w:ascii="Arial Narrow" w:eastAsia="Times New Roman" w:hAnsi="Arial Narrow" w:cs="Arial"/>
          <w:snapToGrid w:val="0"/>
          <w:sz w:val="18"/>
          <w:lang w:eastAsia="en-AU"/>
        </w:rPr>
        <w:t>Note: A patient could experience more than one event.</w:t>
      </w:r>
    </w:p>
    <w:p w14:paraId="01BA8E26" w14:textId="26A9C134" w:rsidR="00D17D63" w:rsidRDefault="00E430E2" w:rsidP="00AB14EE">
      <w:pPr>
        <w:pStyle w:val="3-BodyText"/>
      </w:pPr>
      <w:r w:rsidRPr="00D20CA8">
        <w:lastRenderedPageBreak/>
        <w:t>Romeo et al. (2009)</w:t>
      </w:r>
      <w:r w:rsidRPr="00FE7DCF">
        <w:rPr>
          <w:vertAlign w:val="superscript"/>
        </w:rPr>
        <w:fldChar w:fldCharType="begin" w:fldLock="1"/>
      </w:r>
      <w:r w:rsidRPr="00FE7DCF">
        <w:rPr>
          <w:vertAlign w:val="superscript"/>
        </w:rPr>
        <w:instrText xml:space="preserve"> NOTEREF _Ref153208100 \h  \* MERGEFORMAT </w:instrText>
      </w:r>
      <w:r w:rsidRPr="00FE7DCF">
        <w:rPr>
          <w:vertAlign w:val="superscript"/>
        </w:rPr>
      </w:r>
      <w:r w:rsidRPr="00FE7DCF">
        <w:rPr>
          <w:vertAlign w:val="superscript"/>
        </w:rPr>
        <w:fldChar w:fldCharType="separate"/>
      </w:r>
      <w:r w:rsidR="00B02BFE">
        <w:rPr>
          <w:vertAlign w:val="superscript"/>
        </w:rPr>
        <w:t>31</w:t>
      </w:r>
      <w:r w:rsidRPr="00FE7DCF">
        <w:rPr>
          <w:vertAlign w:val="superscript"/>
        </w:rPr>
        <w:fldChar w:fldCharType="end"/>
      </w:r>
      <w:r w:rsidRPr="00D20CA8">
        <w:t xml:space="preserve"> reported long-term outcomes in patients with chronic HDV over a mean observation period of 233 months (19.4 years). While modelled estimates over 20 years </w:t>
      </w:r>
      <w:r w:rsidR="00E32AF0" w:rsidRPr="00D20CA8">
        <w:t xml:space="preserve">in the BSC arm </w:t>
      </w:r>
      <w:r w:rsidRPr="00D20CA8">
        <w:t xml:space="preserve">were similar to those observed for </w:t>
      </w:r>
      <w:r w:rsidR="00E32AF0" w:rsidRPr="00D20CA8">
        <w:t xml:space="preserve">a </w:t>
      </w:r>
      <w:r w:rsidRPr="00D20CA8">
        <w:t xml:space="preserve">diagnosis of cirrhosis during the follow-up period (28.6% estimated in the model, compared to 27.4% observed), the model predicted </w:t>
      </w:r>
      <w:r w:rsidR="00E32AF0" w:rsidRPr="00D20CA8">
        <w:t xml:space="preserve">a </w:t>
      </w:r>
      <w:r w:rsidRPr="00D20CA8">
        <w:t>higher incidence of DCC (29.8% vs 18.1%) and HCC (35.3% vs 15.4</w:t>
      </w:r>
      <w:r w:rsidRPr="00D86C8B">
        <w:t>%).</w:t>
      </w:r>
      <w:r w:rsidR="00DA0F3B" w:rsidRPr="00D86C8B">
        <w:t xml:space="preserve"> </w:t>
      </w:r>
      <w:r w:rsidR="00D17D63" w:rsidRPr="00D86C8B">
        <w:t>The ESCs considered that the modelled DCC and HCC events appeared to be more frequent than would be expected in practice and noted that this favoured bulevirtide.</w:t>
      </w:r>
    </w:p>
    <w:p w14:paraId="7ADBFA28" w14:textId="5FC29F05" w:rsidR="00E430E2" w:rsidRPr="00BF711C" w:rsidRDefault="00FE7DCF" w:rsidP="00AB14EE">
      <w:pPr>
        <w:pStyle w:val="3-BodyText"/>
      </w:pPr>
      <w:r w:rsidRPr="00BF711C">
        <w:t xml:space="preserve">The PSCR  argued long term data for HDV are limited and the approach taken to model the natural history of chronic HDV was reasonable. The </w:t>
      </w:r>
      <w:r w:rsidR="00CB12DD">
        <w:t>PSCR</w:t>
      </w:r>
      <w:r w:rsidR="00CB12DD" w:rsidRPr="00BF711C">
        <w:t xml:space="preserve"> </w:t>
      </w:r>
      <w:r w:rsidRPr="00BF711C">
        <w:t>argued that whilst the Xiao 2020 study</w:t>
      </w:r>
      <w:r w:rsidR="00D17D63" w:rsidRPr="00BF711C">
        <w:t xml:space="preserve"> (as used in the sensitivity analyses)</w:t>
      </w:r>
      <w:r w:rsidRPr="00BF711C">
        <w:t xml:space="preserve"> is an Australian-specific hepatitis B model, the inputs are not necessarily Australian specific as they appeared to use data from East Asian countries, therefore the use of epidemiological data from that paper may not be reliable. The ESCs noted additional alternative data sources were raised during the evaluation (such as Goyal and Murray 2016).</w:t>
      </w:r>
      <w:r w:rsidR="00D17D63" w:rsidRPr="00BF711C">
        <w:t xml:space="preserve"> </w:t>
      </w:r>
      <w:r w:rsidR="00072D07">
        <w:t xml:space="preserve">The </w:t>
      </w:r>
      <w:r w:rsidR="00CB12DD">
        <w:t>p</w:t>
      </w:r>
      <w:r w:rsidR="00072D07">
        <w:t xml:space="preserve">re-PBAC Response  argued there are also significant applicability issues with the Goyal and Murray 2016 study to the Australian context, as the epidemiological inputs are derived from a cohort of Chinese CHB </w:t>
      </w:r>
      <w:r w:rsidR="003B5BDF">
        <w:t xml:space="preserve">patients and use predominately Chinese publications to source epidemiological data and transition probabilities. </w:t>
      </w:r>
      <w:r w:rsidR="00EA7502">
        <w:t>The PBAC considered the approach take</w:t>
      </w:r>
      <w:r w:rsidR="00CB12DD">
        <w:t>n</w:t>
      </w:r>
      <w:r w:rsidR="00EA7502">
        <w:t xml:space="preserve"> to the natural history of chronic HDV added uncertainty as the </w:t>
      </w:r>
      <w:r w:rsidR="00CB12DD">
        <w:t>ICER was sensitive to the source used.</w:t>
      </w:r>
    </w:p>
    <w:p w14:paraId="63A9932E" w14:textId="7F094D6D" w:rsidR="00A677E9" w:rsidRPr="00BF711C" w:rsidRDefault="00A677E9" w:rsidP="00AB14EE">
      <w:pPr>
        <w:pStyle w:val="3-BodyText"/>
      </w:pPr>
      <w:r w:rsidRPr="00BF711C">
        <w:t xml:space="preserve">Results of the key sensitivity analyses presented by the submission and additional analyses conducted during the evaluation are summarised in </w:t>
      </w:r>
      <w:r w:rsidRPr="00BF711C">
        <w:fldChar w:fldCharType="begin" w:fldLock="1"/>
      </w:r>
      <w:r w:rsidRPr="00BF711C">
        <w:instrText xml:space="preserve"> REF _Ref152349164 \h </w:instrText>
      </w:r>
      <w:r w:rsidR="00D20CA8" w:rsidRPr="00BF711C">
        <w:instrText xml:space="preserve"> \* MERGEFORMAT </w:instrText>
      </w:r>
      <w:r w:rsidRPr="00BF711C">
        <w:fldChar w:fldCharType="separate"/>
      </w:r>
      <w:r w:rsidR="00B02BFE" w:rsidRPr="00BF711C">
        <w:t xml:space="preserve">Table </w:t>
      </w:r>
      <w:r w:rsidR="00B02BFE" w:rsidRPr="00BF711C">
        <w:rPr>
          <w:noProof/>
        </w:rPr>
        <w:t>14</w:t>
      </w:r>
      <w:r w:rsidRPr="00BF711C">
        <w:fldChar w:fldCharType="end"/>
      </w:r>
      <w:r w:rsidRPr="00BF711C">
        <w:t>. The results of the univariate sensitivity analyses conducted during the evaluation show that the ICER is sensitive to the definition of response and the source used to model chronic HDV disease progression. The results are also sensitive to assumptions around utility values modelled (e.g. source for health state utilities and inclusion of utility increment in responders), some specific transition probabilities (e.g. fibrosis stage progression, HBsAg seroclearance and regression), time horizon and discount rate applied.</w:t>
      </w:r>
    </w:p>
    <w:p w14:paraId="7B8028C5" w14:textId="4E81E0F8" w:rsidR="00A677E9" w:rsidRPr="00196231" w:rsidRDefault="00A677E9" w:rsidP="0064083C">
      <w:pPr>
        <w:pStyle w:val="TableFigureHeading"/>
        <w:keepLines/>
        <w:rPr>
          <w:rStyle w:val="CommentReference"/>
          <w:b/>
        </w:rPr>
      </w:pPr>
      <w:bookmarkStart w:id="68" w:name="_Ref152349164"/>
      <w:r w:rsidRPr="00196231">
        <w:t xml:space="preserve">Table </w:t>
      </w:r>
      <w:r>
        <w:fldChar w:fldCharType="begin" w:fldLock="1"/>
      </w:r>
      <w:r>
        <w:instrText>SEQ Table_PBAC. \* ARABIC</w:instrText>
      </w:r>
      <w:r>
        <w:fldChar w:fldCharType="separate"/>
      </w:r>
      <w:r w:rsidR="00B02BFE">
        <w:rPr>
          <w:noProof/>
        </w:rPr>
        <w:t>14</w:t>
      </w:r>
      <w:r>
        <w:fldChar w:fldCharType="end"/>
      </w:r>
      <w:bookmarkEnd w:id="68"/>
      <w:r w:rsidR="00343C2D">
        <w:t>:</w:t>
      </w:r>
      <w:r w:rsidR="00D86C8B">
        <w:t xml:space="preserve"> </w:t>
      </w:r>
      <w:r w:rsidRPr="00196231">
        <w:rPr>
          <w:rStyle w:val="CommentReference"/>
          <w:b/>
        </w:rPr>
        <w:t>Sensitivity analyses</w:t>
      </w:r>
    </w:p>
    <w:tbl>
      <w:tblPr>
        <w:tblStyle w:val="ASDTable1"/>
        <w:tblW w:w="5000" w:type="pct"/>
        <w:tblLayout w:type="fixed"/>
        <w:tblLook w:val="04A0" w:firstRow="1" w:lastRow="0" w:firstColumn="1" w:lastColumn="0" w:noHBand="0" w:noVBand="1"/>
        <w:tblCaption w:val="Table 14: Sensitivity analyses"/>
      </w:tblPr>
      <w:tblGrid>
        <w:gridCol w:w="5234"/>
        <w:gridCol w:w="992"/>
        <w:gridCol w:w="994"/>
        <w:gridCol w:w="994"/>
        <w:gridCol w:w="802"/>
      </w:tblGrid>
      <w:tr w:rsidR="00A677E9" w:rsidRPr="00D20CA8" w14:paraId="6E83B13A" w14:textId="77777777" w:rsidTr="001A4B8B">
        <w:trPr>
          <w:trHeight w:val="20"/>
          <w:tblHeader/>
        </w:trPr>
        <w:tc>
          <w:tcPr>
            <w:tcW w:w="2903" w:type="pct"/>
            <w:noWrap/>
            <w:hideMark/>
          </w:tcPr>
          <w:p w14:paraId="7EA8FE54" w14:textId="77777777" w:rsidR="00A677E9" w:rsidRPr="00D20CA8" w:rsidRDefault="00A677E9" w:rsidP="0064083C">
            <w:pPr>
              <w:pStyle w:val="In-tableHeading"/>
              <w:keepLines/>
              <w:jc w:val="center"/>
              <w:rPr>
                <w:lang w:val="en-AU"/>
              </w:rPr>
            </w:pPr>
          </w:p>
        </w:tc>
        <w:tc>
          <w:tcPr>
            <w:tcW w:w="550" w:type="pct"/>
            <w:tcBorders>
              <w:bottom w:val="single" w:sz="4" w:space="0" w:color="auto"/>
            </w:tcBorders>
            <w:noWrap/>
            <w:hideMark/>
          </w:tcPr>
          <w:p w14:paraId="3431EAF5" w14:textId="0D0CBF95" w:rsidR="00A677E9" w:rsidRPr="00D20CA8" w:rsidRDefault="00A677E9" w:rsidP="0064083C">
            <w:pPr>
              <w:pStyle w:val="In-tableHeading"/>
              <w:keepLines/>
              <w:jc w:val="center"/>
              <w:rPr>
                <w:lang w:val="en-AU"/>
              </w:rPr>
            </w:pPr>
            <w:r w:rsidRPr="00D20CA8">
              <w:rPr>
                <w:lang w:val="en-AU"/>
              </w:rPr>
              <w:t>Inc. cost</w:t>
            </w:r>
            <w:r w:rsidR="00700BF1">
              <w:rPr>
                <w:lang w:val="en-AU"/>
              </w:rPr>
              <w:t xml:space="preserve"> ($)</w:t>
            </w:r>
          </w:p>
        </w:tc>
        <w:tc>
          <w:tcPr>
            <w:tcW w:w="551" w:type="pct"/>
            <w:noWrap/>
            <w:hideMark/>
          </w:tcPr>
          <w:p w14:paraId="7A0F7804" w14:textId="77777777" w:rsidR="00A677E9" w:rsidRPr="00D20CA8" w:rsidRDefault="00A677E9" w:rsidP="0064083C">
            <w:pPr>
              <w:pStyle w:val="In-tableHeading"/>
              <w:keepLines/>
              <w:jc w:val="center"/>
              <w:rPr>
                <w:lang w:val="en-AU"/>
              </w:rPr>
            </w:pPr>
            <w:r w:rsidRPr="00D20CA8">
              <w:rPr>
                <w:lang w:val="en-AU"/>
              </w:rPr>
              <w:t>Inc. QALYs</w:t>
            </w:r>
          </w:p>
        </w:tc>
        <w:tc>
          <w:tcPr>
            <w:tcW w:w="551" w:type="pct"/>
            <w:noWrap/>
            <w:hideMark/>
          </w:tcPr>
          <w:p w14:paraId="3E7C2871" w14:textId="1010EB75" w:rsidR="00A677E9" w:rsidRPr="00D20CA8" w:rsidRDefault="00A677E9" w:rsidP="0064083C">
            <w:pPr>
              <w:pStyle w:val="In-tableHeading"/>
              <w:keepLines/>
              <w:jc w:val="center"/>
              <w:rPr>
                <w:lang w:val="en-AU"/>
              </w:rPr>
            </w:pPr>
            <w:r w:rsidRPr="00D20CA8">
              <w:rPr>
                <w:lang w:val="en-AU"/>
              </w:rPr>
              <w:t>ICER</w:t>
            </w:r>
            <w:r w:rsidR="00700BF1">
              <w:rPr>
                <w:lang w:val="en-AU"/>
              </w:rPr>
              <w:t xml:space="preserve"> ($)</w:t>
            </w:r>
          </w:p>
        </w:tc>
        <w:tc>
          <w:tcPr>
            <w:tcW w:w="445" w:type="pct"/>
            <w:noWrap/>
            <w:hideMark/>
          </w:tcPr>
          <w:p w14:paraId="3C283B9C" w14:textId="77777777" w:rsidR="00A677E9" w:rsidRPr="00D20CA8" w:rsidRDefault="00A677E9" w:rsidP="0064083C">
            <w:pPr>
              <w:pStyle w:val="In-tableHeading"/>
              <w:keepLines/>
              <w:jc w:val="center"/>
              <w:rPr>
                <w:lang w:val="en-AU"/>
              </w:rPr>
            </w:pPr>
            <w:r w:rsidRPr="00D20CA8">
              <w:rPr>
                <w:lang w:val="en-AU"/>
              </w:rPr>
              <w:t>% change</w:t>
            </w:r>
          </w:p>
        </w:tc>
      </w:tr>
      <w:tr w:rsidR="00A677E9" w:rsidRPr="00D20CA8" w14:paraId="71722D50" w14:textId="77777777" w:rsidTr="001A4B8B">
        <w:trPr>
          <w:trHeight w:val="20"/>
        </w:trPr>
        <w:tc>
          <w:tcPr>
            <w:tcW w:w="2903" w:type="pct"/>
            <w:tcBorders>
              <w:bottom w:val="single" w:sz="4" w:space="0" w:color="auto"/>
            </w:tcBorders>
            <w:noWrap/>
            <w:hideMark/>
          </w:tcPr>
          <w:p w14:paraId="4D32EAF1" w14:textId="77777777" w:rsidR="00A677E9" w:rsidRPr="00D20CA8" w:rsidRDefault="00A677E9" w:rsidP="0064083C">
            <w:pPr>
              <w:pStyle w:val="TableText"/>
              <w:keepNext/>
              <w:keepLines/>
              <w:rPr>
                <w:b/>
                <w:bCs/>
              </w:rPr>
            </w:pPr>
            <w:r w:rsidRPr="00D20CA8">
              <w:rPr>
                <w:b/>
                <w:bCs/>
              </w:rPr>
              <w:t>Base case</w:t>
            </w:r>
          </w:p>
        </w:tc>
        <w:tc>
          <w:tcPr>
            <w:tcW w:w="550" w:type="pct"/>
            <w:tcBorders>
              <w:bottom w:val="single" w:sz="4" w:space="0" w:color="auto"/>
            </w:tcBorders>
            <w:shd w:val="solid" w:color="000000" w:fill="000000"/>
            <w:noWrap/>
            <w:hideMark/>
          </w:tcPr>
          <w:p w14:paraId="356BF68B" w14:textId="152DB1C1" w:rsidR="00A677E9" w:rsidRPr="00D20CA8" w:rsidRDefault="001A4B8B" w:rsidP="0064083C">
            <w:pPr>
              <w:pStyle w:val="TableText"/>
              <w:keepNext/>
              <w:keepLines/>
              <w:jc w:val="center"/>
              <w:rPr>
                <w:b/>
                <w:bCs/>
              </w:rPr>
            </w:pPr>
            <w:r w:rsidRPr="001A4B8B">
              <w:rPr>
                <w:b/>
                <w:bCs/>
                <w:color w:val="000000"/>
                <w:spacing w:val="109"/>
                <w:fitText w:val="201" w:id="-961838832"/>
                <w14:textFill>
                  <w14:solidFill>
                    <w14:srgbClr w14:val="000000">
                      <w14:alpha w14:val="100000"/>
                    </w14:srgbClr>
                  </w14:solidFill>
                </w14:textFill>
              </w:rPr>
              <w:t>|</w:t>
            </w:r>
            <w:r w:rsidRPr="001A4B8B">
              <w:rPr>
                <w:b/>
                <w:bCs/>
                <w:color w:val="000000"/>
                <w:fitText w:val="201" w:id="-961838832"/>
                <w14:textFill>
                  <w14:solidFill>
                    <w14:srgbClr w14:val="000000">
                      <w14:alpha w14:val="100000"/>
                    </w14:srgbClr>
                  </w14:solidFill>
                </w14:textFill>
              </w:rPr>
              <w:t>|</w:t>
            </w:r>
          </w:p>
        </w:tc>
        <w:tc>
          <w:tcPr>
            <w:tcW w:w="551" w:type="pct"/>
            <w:tcBorders>
              <w:bottom w:val="single" w:sz="4" w:space="0" w:color="auto"/>
            </w:tcBorders>
            <w:noWrap/>
            <w:hideMark/>
          </w:tcPr>
          <w:p w14:paraId="09DE07EB" w14:textId="77777777" w:rsidR="00A677E9" w:rsidRPr="00D20CA8" w:rsidRDefault="00A677E9" w:rsidP="0064083C">
            <w:pPr>
              <w:pStyle w:val="TableText"/>
              <w:keepNext/>
              <w:keepLines/>
              <w:jc w:val="right"/>
              <w:rPr>
                <w:b/>
                <w:bCs/>
                <w:lang w:eastAsia="en-US"/>
              </w:rPr>
            </w:pPr>
            <w:r w:rsidRPr="00D20CA8">
              <w:rPr>
                <w:b/>
                <w:bCs/>
                <w:lang w:eastAsia="en-US"/>
              </w:rPr>
              <w:t>2.221</w:t>
            </w:r>
          </w:p>
        </w:tc>
        <w:tc>
          <w:tcPr>
            <w:tcW w:w="551" w:type="pct"/>
            <w:tcBorders>
              <w:bottom w:val="single" w:sz="4" w:space="0" w:color="auto"/>
            </w:tcBorders>
            <w:noWrap/>
            <w:hideMark/>
          </w:tcPr>
          <w:p w14:paraId="25E2788C" w14:textId="517DE32E" w:rsidR="00A677E9" w:rsidRPr="00D20CA8" w:rsidRDefault="001A4B8B" w:rsidP="0064083C">
            <w:pPr>
              <w:pStyle w:val="TableText"/>
              <w:keepNext/>
              <w:keepLines/>
              <w:jc w:val="center"/>
              <w:rPr>
                <w:b/>
                <w:bCs/>
                <w:lang w:eastAsia="en-US"/>
              </w:rPr>
            </w:pPr>
            <w:r w:rsidRPr="001A4B8B">
              <w:rPr>
                <w:b/>
                <w:bCs/>
                <w:color w:val="000000"/>
                <w:spacing w:val="50"/>
                <w:shd w:val="solid" w:color="000000" w:fill="000000"/>
                <w:fitText w:val="238" w:id="-961838848"/>
                <w:lang w:eastAsia="en-US"/>
                <w14:textFill>
                  <w14:solidFill>
                    <w14:srgbClr w14:val="000000">
                      <w14:alpha w14:val="100000"/>
                    </w14:srgbClr>
                  </w14:solidFill>
                </w14:textFill>
              </w:rPr>
              <w:t>||</w:t>
            </w:r>
            <w:r w:rsidRPr="001A4B8B">
              <w:rPr>
                <w:b/>
                <w:bCs/>
                <w:color w:val="000000"/>
                <w:spacing w:val="1"/>
                <w:shd w:val="solid" w:color="000000" w:fill="000000"/>
                <w:fitText w:val="238" w:id="-961838848"/>
                <w:lang w:eastAsia="en-US"/>
                <w14:textFill>
                  <w14:solidFill>
                    <w14:srgbClr w14:val="000000">
                      <w14:alpha w14:val="100000"/>
                    </w14:srgbClr>
                  </w14:solidFill>
                </w14:textFill>
              </w:rPr>
              <w:t>|</w:t>
            </w:r>
            <w:r w:rsidR="00556738" w:rsidRPr="00556738">
              <w:rPr>
                <w:b/>
                <w:bCs/>
                <w:vertAlign w:val="superscript"/>
                <w:lang w:eastAsia="en-US"/>
              </w:rPr>
              <w:t>1</w:t>
            </w:r>
          </w:p>
        </w:tc>
        <w:tc>
          <w:tcPr>
            <w:tcW w:w="445" w:type="pct"/>
            <w:tcBorders>
              <w:bottom w:val="single" w:sz="4" w:space="0" w:color="auto"/>
            </w:tcBorders>
            <w:noWrap/>
            <w:hideMark/>
          </w:tcPr>
          <w:p w14:paraId="7C3752D8" w14:textId="77777777" w:rsidR="00A677E9" w:rsidRPr="00D20CA8" w:rsidRDefault="00A677E9" w:rsidP="0064083C">
            <w:pPr>
              <w:pStyle w:val="TableText"/>
              <w:keepNext/>
              <w:keepLines/>
              <w:jc w:val="right"/>
              <w:rPr>
                <w:b/>
                <w:bCs/>
                <w:lang w:eastAsia="en-US"/>
              </w:rPr>
            </w:pPr>
          </w:p>
        </w:tc>
      </w:tr>
      <w:tr w:rsidR="00A677E9" w:rsidRPr="00D20CA8" w14:paraId="506E64E5" w14:textId="77777777" w:rsidTr="001A4B8B">
        <w:trPr>
          <w:trHeight w:val="20"/>
        </w:trPr>
        <w:tc>
          <w:tcPr>
            <w:tcW w:w="2903" w:type="pct"/>
            <w:tcBorders>
              <w:bottom w:val="single" w:sz="4" w:space="0" w:color="auto"/>
              <w:right w:val="nil"/>
            </w:tcBorders>
            <w:noWrap/>
            <w:vAlign w:val="bottom"/>
          </w:tcPr>
          <w:p w14:paraId="44415837" w14:textId="77777777" w:rsidR="00A677E9" w:rsidRPr="00D20CA8" w:rsidRDefault="00A677E9" w:rsidP="0064083C">
            <w:pPr>
              <w:pStyle w:val="TableText"/>
              <w:keepNext/>
              <w:keepLines/>
            </w:pPr>
            <w:r w:rsidRPr="00D20CA8">
              <w:t>Time horizon (base case: 58 years)</w:t>
            </w:r>
          </w:p>
        </w:tc>
        <w:tc>
          <w:tcPr>
            <w:tcW w:w="550" w:type="pct"/>
            <w:tcBorders>
              <w:left w:val="nil"/>
              <w:bottom w:val="single" w:sz="4" w:space="0" w:color="auto"/>
              <w:right w:val="nil"/>
            </w:tcBorders>
            <w:noWrap/>
          </w:tcPr>
          <w:p w14:paraId="19E1FD17" w14:textId="77777777" w:rsidR="00A677E9" w:rsidRPr="00D20CA8" w:rsidRDefault="00A677E9" w:rsidP="0064083C">
            <w:pPr>
              <w:pStyle w:val="TableText"/>
              <w:keepNext/>
              <w:keepLines/>
              <w:jc w:val="right"/>
            </w:pPr>
          </w:p>
        </w:tc>
        <w:tc>
          <w:tcPr>
            <w:tcW w:w="551" w:type="pct"/>
            <w:tcBorders>
              <w:left w:val="nil"/>
              <w:bottom w:val="single" w:sz="4" w:space="0" w:color="auto"/>
              <w:right w:val="nil"/>
            </w:tcBorders>
            <w:noWrap/>
          </w:tcPr>
          <w:p w14:paraId="0DB71D4C" w14:textId="77777777" w:rsidR="00A677E9" w:rsidRPr="00D20CA8" w:rsidRDefault="00A677E9" w:rsidP="0064083C">
            <w:pPr>
              <w:pStyle w:val="TableText"/>
              <w:keepNext/>
              <w:keepLines/>
              <w:jc w:val="right"/>
            </w:pPr>
          </w:p>
        </w:tc>
        <w:tc>
          <w:tcPr>
            <w:tcW w:w="551" w:type="pct"/>
            <w:tcBorders>
              <w:left w:val="nil"/>
              <w:bottom w:val="single" w:sz="4" w:space="0" w:color="auto"/>
              <w:right w:val="nil"/>
            </w:tcBorders>
            <w:noWrap/>
          </w:tcPr>
          <w:p w14:paraId="44EB9A17" w14:textId="77777777" w:rsidR="00A677E9" w:rsidRPr="00D20CA8" w:rsidRDefault="00A677E9" w:rsidP="0064083C">
            <w:pPr>
              <w:pStyle w:val="TableText"/>
              <w:keepNext/>
              <w:keepLines/>
              <w:jc w:val="right"/>
            </w:pPr>
          </w:p>
        </w:tc>
        <w:tc>
          <w:tcPr>
            <w:tcW w:w="445" w:type="pct"/>
            <w:tcBorders>
              <w:left w:val="nil"/>
              <w:bottom w:val="single" w:sz="4" w:space="0" w:color="auto"/>
            </w:tcBorders>
            <w:noWrap/>
          </w:tcPr>
          <w:p w14:paraId="1D834803" w14:textId="77777777" w:rsidR="00A677E9" w:rsidRPr="00D20CA8" w:rsidRDefault="00A677E9" w:rsidP="0064083C">
            <w:pPr>
              <w:pStyle w:val="TableText"/>
              <w:keepNext/>
              <w:keepLines/>
              <w:jc w:val="right"/>
            </w:pPr>
          </w:p>
        </w:tc>
      </w:tr>
      <w:tr w:rsidR="0021716C" w:rsidRPr="00D20CA8" w14:paraId="65AF99ED" w14:textId="77777777" w:rsidTr="001A4B8B">
        <w:trPr>
          <w:trHeight w:val="20"/>
        </w:trPr>
        <w:tc>
          <w:tcPr>
            <w:tcW w:w="2903" w:type="pct"/>
            <w:tcBorders>
              <w:top w:val="nil"/>
              <w:bottom w:val="nil"/>
            </w:tcBorders>
            <w:noWrap/>
            <w:vAlign w:val="bottom"/>
          </w:tcPr>
          <w:p w14:paraId="35D9F5CB" w14:textId="432B7767" w:rsidR="0021716C" w:rsidRPr="00D20CA8" w:rsidRDefault="0021716C" w:rsidP="0064083C">
            <w:pPr>
              <w:pStyle w:val="TableText"/>
              <w:keepNext/>
              <w:keepLines/>
              <w:numPr>
                <w:ilvl w:val="0"/>
                <w:numId w:val="25"/>
              </w:numPr>
              <w:ind w:left="306" w:hanging="142"/>
            </w:pPr>
            <w:r w:rsidRPr="00D20CA8">
              <w:t xml:space="preserve">30 years </w:t>
            </w:r>
          </w:p>
        </w:tc>
        <w:tc>
          <w:tcPr>
            <w:tcW w:w="550" w:type="pct"/>
            <w:tcBorders>
              <w:top w:val="single" w:sz="4" w:space="0" w:color="auto"/>
              <w:bottom w:val="nil"/>
            </w:tcBorders>
            <w:shd w:val="solid" w:color="000000" w:fill="000000"/>
            <w:noWrap/>
            <w:vAlign w:val="bottom"/>
          </w:tcPr>
          <w:p w14:paraId="05B73D00" w14:textId="7FC4C04F" w:rsidR="0021716C" w:rsidRPr="00700BF1" w:rsidRDefault="001A4B8B" w:rsidP="0064083C">
            <w:pPr>
              <w:pStyle w:val="TableText"/>
              <w:keepNext/>
              <w:keepLines/>
              <w:jc w:val="center"/>
              <w:rPr>
                <w:highlight w:val="lightGray"/>
              </w:rPr>
            </w:pPr>
            <w:r w:rsidRPr="001A4B8B">
              <w:rPr>
                <w:color w:val="000000"/>
                <w:spacing w:val="65"/>
                <w:fitText w:val="151" w:id="-961838847"/>
                <w14:textFill>
                  <w14:solidFill>
                    <w14:srgbClr w14:val="000000">
                      <w14:alpha w14:val="100000"/>
                    </w14:srgbClr>
                  </w14:solidFill>
                </w14:textFill>
              </w:rPr>
              <w:t>|</w:t>
            </w:r>
            <w:r w:rsidRPr="001A4B8B">
              <w:rPr>
                <w:color w:val="000000"/>
                <w:fitText w:val="151" w:id="-961838847"/>
                <w14:textFill>
                  <w14:solidFill>
                    <w14:srgbClr w14:val="000000">
                      <w14:alpha w14:val="100000"/>
                    </w14:srgbClr>
                  </w14:solidFill>
                </w14:textFill>
              </w:rPr>
              <w:t>|</w:t>
            </w:r>
          </w:p>
        </w:tc>
        <w:tc>
          <w:tcPr>
            <w:tcW w:w="551" w:type="pct"/>
            <w:tcBorders>
              <w:top w:val="nil"/>
              <w:bottom w:val="nil"/>
            </w:tcBorders>
            <w:noWrap/>
            <w:vAlign w:val="bottom"/>
          </w:tcPr>
          <w:p w14:paraId="61ABCAB7" w14:textId="77777777" w:rsidR="0021716C" w:rsidRPr="00D20CA8" w:rsidRDefault="0021716C" w:rsidP="0064083C">
            <w:pPr>
              <w:pStyle w:val="TableText"/>
              <w:keepNext/>
              <w:keepLines/>
              <w:jc w:val="right"/>
            </w:pPr>
            <w:r w:rsidRPr="00D20CA8">
              <w:t>2.021</w:t>
            </w:r>
          </w:p>
        </w:tc>
        <w:tc>
          <w:tcPr>
            <w:tcW w:w="551" w:type="pct"/>
            <w:tcBorders>
              <w:top w:val="nil"/>
              <w:bottom w:val="nil"/>
            </w:tcBorders>
            <w:noWrap/>
            <w:vAlign w:val="bottom"/>
          </w:tcPr>
          <w:p w14:paraId="168CC4A5" w14:textId="027CC713" w:rsidR="0021716C" w:rsidRPr="00221F0B" w:rsidRDefault="001A4B8B" w:rsidP="0064083C">
            <w:pPr>
              <w:pStyle w:val="TableText"/>
              <w:keepNext/>
              <w:keepLines/>
              <w:jc w:val="center"/>
              <w:rPr>
                <w:highlight w:val="lightGray"/>
              </w:rPr>
            </w:pPr>
            <w:r w:rsidRPr="001A4B8B">
              <w:rPr>
                <w:color w:val="000000"/>
                <w:spacing w:val="102"/>
                <w:shd w:val="solid" w:color="000000" w:fill="000000"/>
                <w:fitText w:val="188" w:id="-961838846"/>
                <w14:textFill>
                  <w14:solidFill>
                    <w14:srgbClr w14:val="000000">
                      <w14:alpha w14:val="100000"/>
                    </w14:srgbClr>
                  </w14:solidFill>
                </w14:textFill>
              </w:rPr>
              <w:t>|</w:t>
            </w:r>
            <w:r w:rsidRPr="001A4B8B">
              <w:rPr>
                <w:color w:val="000000"/>
                <w:spacing w:val="1"/>
                <w:shd w:val="solid" w:color="000000" w:fill="000000"/>
                <w:fitText w:val="188" w:id="-961838846"/>
                <w14:textFill>
                  <w14:solidFill>
                    <w14:srgbClr w14:val="000000">
                      <w14:alpha w14:val="100000"/>
                    </w14:srgbClr>
                  </w14:solidFill>
                </w14:textFill>
              </w:rPr>
              <w:t>|</w:t>
            </w:r>
            <w:r w:rsidR="00556738" w:rsidRPr="00556738">
              <w:rPr>
                <w:vertAlign w:val="superscript"/>
              </w:rPr>
              <w:t>2</w:t>
            </w:r>
          </w:p>
        </w:tc>
        <w:tc>
          <w:tcPr>
            <w:tcW w:w="445" w:type="pct"/>
            <w:tcBorders>
              <w:top w:val="nil"/>
              <w:bottom w:val="nil"/>
            </w:tcBorders>
            <w:noWrap/>
            <w:vAlign w:val="bottom"/>
          </w:tcPr>
          <w:p w14:paraId="3160B294" w14:textId="60F235F4" w:rsidR="0021716C" w:rsidRPr="00D20CA8" w:rsidRDefault="001A4B8B" w:rsidP="0064083C">
            <w:pPr>
              <w:pStyle w:val="TableText"/>
              <w:keepNext/>
              <w:keepLines/>
              <w:jc w:val="right"/>
            </w:pPr>
            <w:r w:rsidRPr="001A4B8B">
              <w:rPr>
                <w:color w:val="000000"/>
                <w:spacing w:val="47"/>
                <w:shd w:val="solid" w:color="000000" w:fill="000000"/>
                <w:fitText w:val="313" w:id="-961838845"/>
                <w14:textFill>
                  <w14:solidFill>
                    <w14:srgbClr w14:val="000000">
                      <w14:alpha w14:val="100000"/>
                    </w14:srgbClr>
                  </w14:solidFill>
                </w14:textFill>
              </w:rPr>
              <w:t>|||</w:t>
            </w:r>
            <w:r w:rsidRPr="001A4B8B">
              <w:rPr>
                <w:color w:val="000000"/>
                <w:spacing w:val="2"/>
                <w:shd w:val="solid" w:color="000000" w:fill="000000"/>
                <w:fitText w:val="313" w:id="-961838845"/>
                <w14:textFill>
                  <w14:solidFill>
                    <w14:srgbClr w14:val="000000">
                      <w14:alpha w14:val="100000"/>
                    </w14:srgbClr>
                  </w14:solidFill>
                </w14:textFill>
              </w:rPr>
              <w:t>|</w:t>
            </w:r>
            <w:r w:rsidR="0021716C" w:rsidRPr="00D20CA8">
              <w:t>%</w:t>
            </w:r>
          </w:p>
        </w:tc>
      </w:tr>
      <w:tr w:rsidR="0021716C" w:rsidRPr="00D20CA8" w14:paraId="36331F93" w14:textId="77777777" w:rsidTr="001A4B8B">
        <w:trPr>
          <w:trHeight w:val="20"/>
        </w:trPr>
        <w:tc>
          <w:tcPr>
            <w:tcW w:w="2903" w:type="pct"/>
            <w:tcBorders>
              <w:top w:val="nil"/>
              <w:bottom w:val="nil"/>
            </w:tcBorders>
            <w:noWrap/>
            <w:vAlign w:val="bottom"/>
          </w:tcPr>
          <w:p w14:paraId="1CB101DA" w14:textId="575CFEB5" w:rsidR="0021716C" w:rsidRPr="00D20CA8" w:rsidRDefault="0021716C" w:rsidP="0064083C">
            <w:pPr>
              <w:pStyle w:val="TableText"/>
              <w:keepNext/>
              <w:keepLines/>
              <w:numPr>
                <w:ilvl w:val="0"/>
                <w:numId w:val="25"/>
              </w:numPr>
              <w:ind w:left="306" w:hanging="142"/>
              <w:rPr>
                <w:rFonts w:cstheme="minorBidi"/>
                <w:lang w:eastAsia="en-US"/>
              </w:rPr>
            </w:pPr>
            <w:r w:rsidRPr="00D20CA8">
              <w:t xml:space="preserve">20 years </w:t>
            </w:r>
            <w:r w:rsidRPr="00D20CA8">
              <w:rPr>
                <w:b/>
                <w:bCs/>
              </w:rPr>
              <w:t>(#3)</w:t>
            </w:r>
          </w:p>
        </w:tc>
        <w:tc>
          <w:tcPr>
            <w:tcW w:w="550" w:type="pct"/>
            <w:tcBorders>
              <w:top w:val="nil"/>
              <w:bottom w:val="nil"/>
            </w:tcBorders>
            <w:shd w:val="solid" w:color="000000" w:fill="000000"/>
            <w:noWrap/>
          </w:tcPr>
          <w:p w14:paraId="4DA0B91F" w14:textId="13A85488" w:rsidR="0021716C" w:rsidRPr="00700BF1" w:rsidRDefault="001A4B8B" w:rsidP="0064083C">
            <w:pPr>
              <w:pStyle w:val="TableText"/>
              <w:keepNext/>
              <w:keepLines/>
              <w:jc w:val="center"/>
              <w:rPr>
                <w:highlight w:val="lightGray"/>
              </w:rPr>
            </w:pPr>
            <w:r w:rsidRPr="001A4B8B">
              <w:rPr>
                <w:color w:val="000000"/>
                <w:spacing w:val="65"/>
                <w:fitText w:val="151" w:id="-961838844"/>
                <w14:textFill>
                  <w14:solidFill>
                    <w14:srgbClr w14:val="000000">
                      <w14:alpha w14:val="100000"/>
                    </w14:srgbClr>
                  </w14:solidFill>
                </w14:textFill>
              </w:rPr>
              <w:t>|</w:t>
            </w:r>
            <w:r w:rsidRPr="001A4B8B">
              <w:rPr>
                <w:color w:val="000000"/>
                <w:fitText w:val="151" w:id="-961838844"/>
                <w14:textFill>
                  <w14:solidFill>
                    <w14:srgbClr w14:val="000000">
                      <w14:alpha w14:val="100000"/>
                    </w14:srgbClr>
                  </w14:solidFill>
                </w14:textFill>
              </w:rPr>
              <w:t>|</w:t>
            </w:r>
          </w:p>
        </w:tc>
        <w:tc>
          <w:tcPr>
            <w:tcW w:w="551" w:type="pct"/>
            <w:tcBorders>
              <w:top w:val="nil"/>
              <w:bottom w:val="nil"/>
            </w:tcBorders>
            <w:noWrap/>
          </w:tcPr>
          <w:p w14:paraId="29EACB8E" w14:textId="2C3658B7" w:rsidR="0021716C" w:rsidRPr="00D20CA8" w:rsidRDefault="0021716C" w:rsidP="0064083C">
            <w:pPr>
              <w:pStyle w:val="TableText"/>
              <w:keepNext/>
              <w:keepLines/>
              <w:jc w:val="right"/>
              <w:rPr>
                <w:rFonts w:cstheme="minorBidi"/>
                <w:lang w:eastAsia="en-US"/>
              </w:rPr>
            </w:pPr>
            <w:r w:rsidRPr="00D20CA8">
              <w:t>1.621</w:t>
            </w:r>
          </w:p>
        </w:tc>
        <w:tc>
          <w:tcPr>
            <w:tcW w:w="551" w:type="pct"/>
            <w:tcBorders>
              <w:top w:val="nil"/>
              <w:bottom w:val="nil"/>
            </w:tcBorders>
            <w:noWrap/>
          </w:tcPr>
          <w:p w14:paraId="2F8FD2A4" w14:textId="1E761388" w:rsidR="0021716C" w:rsidRPr="00221F0B" w:rsidRDefault="001A4B8B" w:rsidP="0064083C">
            <w:pPr>
              <w:pStyle w:val="TableText"/>
              <w:keepNext/>
              <w:keepLines/>
              <w:jc w:val="center"/>
              <w:rPr>
                <w:rFonts w:cstheme="minorBidi"/>
                <w:highlight w:val="lightGray"/>
                <w:lang w:eastAsia="en-US"/>
              </w:rPr>
            </w:pPr>
            <w:r w:rsidRPr="001A4B8B">
              <w:rPr>
                <w:color w:val="000000"/>
                <w:spacing w:val="102"/>
                <w:shd w:val="solid" w:color="000000" w:fill="000000"/>
                <w:fitText w:val="188" w:id="-961838843"/>
                <w14:textFill>
                  <w14:solidFill>
                    <w14:srgbClr w14:val="000000">
                      <w14:alpha w14:val="100000"/>
                    </w14:srgbClr>
                  </w14:solidFill>
                </w14:textFill>
              </w:rPr>
              <w:t>|</w:t>
            </w:r>
            <w:r w:rsidRPr="001A4B8B">
              <w:rPr>
                <w:color w:val="000000"/>
                <w:spacing w:val="1"/>
                <w:shd w:val="solid" w:color="000000" w:fill="000000"/>
                <w:fitText w:val="188" w:id="-961838843"/>
                <w14:textFill>
                  <w14:solidFill>
                    <w14:srgbClr w14:val="000000">
                      <w14:alpha w14:val="100000"/>
                    </w14:srgbClr>
                  </w14:solidFill>
                </w14:textFill>
              </w:rPr>
              <w:t>|</w:t>
            </w:r>
            <w:r w:rsidR="00556738" w:rsidRPr="00556738">
              <w:rPr>
                <w:vertAlign w:val="superscript"/>
              </w:rPr>
              <w:t>3</w:t>
            </w:r>
          </w:p>
        </w:tc>
        <w:tc>
          <w:tcPr>
            <w:tcW w:w="445" w:type="pct"/>
            <w:tcBorders>
              <w:top w:val="nil"/>
              <w:bottom w:val="nil"/>
            </w:tcBorders>
            <w:noWrap/>
          </w:tcPr>
          <w:p w14:paraId="3B909F11" w14:textId="6E984B44" w:rsidR="0021716C" w:rsidRPr="00D20CA8" w:rsidRDefault="001A4B8B" w:rsidP="0064083C">
            <w:pPr>
              <w:pStyle w:val="TableText"/>
              <w:keepNext/>
              <w:keepLines/>
              <w:jc w:val="right"/>
              <w:rPr>
                <w:rFonts w:cstheme="minorBidi"/>
                <w:lang w:eastAsia="en-US"/>
              </w:rPr>
            </w:pPr>
            <w:r w:rsidRPr="001A4B8B">
              <w:rPr>
                <w:color w:val="000000"/>
                <w:spacing w:val="47"/>
                <w:shd w:val="solid" w:color="000000" w:fill="000000"/>
                <w:fitText w:val="313" w:id="-961838842"/>
                <w14:textFill>
                  <w14:solidFill>
                    <w14:srgbClr w14:val="000000">
                      <w14:alpha w14:val="100000"/>
                    </w14:srgbClr>
                  </w14:solidFill>
                </w14:textFill>
              </w:rPr>
              <w:t>|||</w:t>
            </w:r>
            <w:r w:rsidRPr="001A4B8B">
              <w:rPr>
                <w:color w:val="000000"/>
                <w:spacing w:val="2"/>
                <w:shd w:val="solid" w:color="000000" w:fill="000000"/>
                <w:fitText w:val="313" w:id="-961838842"/>
                <w14:textFill>
                  <w14:solidFill>
                    <w14:srgbClr w14:val="000000">
                      <w14:alpha w14:val="100000"/>
                    </w14:srgbClr>
                  </w14:solidFill>
                </w14:textFill>
              </w:rPr>
              <w:t>|</w:t>
            </w:r>
            <w:r w:rsidR="0021716C" w:rsidRPr="00D20CA8">
              <w:t>%</w:t>
            </w:r>
          </w:p>
        </w:tc>
      </w:tr>
      <w:tr w:rsidR="0021716C" w:rsidRPr="00D20CA8" w14:paraId="7302B62C" w14:textId="77777777" w:rsidTr="001A4B8B">
        <w:trPr>
          <w:trHeight w:val="20"/>
        </w:trPr>
        <w:tc>
          <w:tcPr>
            <w:tcW w:w="2903" w:type="pct"/>
            <w:tcBorders>
              <w:top w:val="nil"/>
              <w:bottom w:val="single" w:sz="4" w:space="0" w:color="auto"/>
            </w:tcBorders>
            <w:noWrap/>
            <w:vAlign w:val="bottom"/>
          </w:tcPr>
          <w:p w14:paraId="624F206B" w14:textId="77777777" w:rsidR="0021716C" w:rsidRPr="00D20CA8" w:rsidRDefault="0021716C" w:rsidP="0064083C">
            <w:pPr>
              <w:pStyle w:val="TableText"/>
              <w:keepNext/>
              <w:keepLines/>
              <w:numPr>
                <w:ilvl w:val="0"/>
                <w:numId w:val="25"/>
              </w:numPr>
              <w:ind w:left="306" w:hanging="142"/>
            </w:pPr>
            <w:r w:rsidRPr="00D20CA8">
              <w:t>10 years</w:t>
            </w:r>
          </w:p>
        </w:tc>
        <w:tc>
          <w:tcPr>
            <w:tcW w:w="550" w:type="pct"/>
            <w:tcBorders>
              <w:top w:val="nil"/>
              <w:bottom w:val="single" w:sz="4" w:space="0" w:color="auto"/>
            </w:tcBorders>
            <w:shd w:val="solid" w:color="000000" w:fill="000000"/>
            <w:noWrap/>
          </w:tcPr>
          <w:p w14:paraId="109B96CB" w14:textId="3C97B54D" w:rsidR="0021716C" w:rsidRPr="00700BF1" w:rsidRDefault="001A4B8B" w:rsidP="0064083C">
            <w:pPr>
              <w:pStyle w:val="TableText"/>
              <w:keepNext/>
              <w:keepLines/>
              <w:jc w:val="center"/>
              <w:rPr>
                <w:highlight w:val="lightGray"/>
              </w:rPr>
            </w:pPr>
            <w:r w:rsidRPr="001A4B8B">
              <w:rPr>
                <w:color w:val="000000"/>
                <w:spacing w:val="65"/>
                <w:fitText w:val="151" w:id="-961838841"/>
                <w14:textFill>
                  <w14:solidFill>
                    <w14:srgbClr w14:val="000000">
                      <w14:alpha w14:val="100000"/>
                    </w14:srgbClr>
                  </w14:solidFill>
                </w14:textFill>
              </w:rPr>
              <w:t>|</w:t>
            </w:r>
            <w:r w:rsidRPr="001A4B8B">
              <w:rPr>
                <w:color w:val="000000"/>
                <w:fitText w:val="151" w:id="-961838841"/>
                <w14:textFill>
                  <w14:solidFill>
                    <w14:srgbClr w14:val="000000">
                      <w14:alpha w14:val="100000"/>
                    </w14:srgbClr>
                  </w14:solidFill>
                </w14:textFill>
              </w:rPr>
              <w:t>|</w:t>
            </w:r>
          </w:p>
        </w:tc>
        <w:tc>
          <w:tcPr>
            <w:tcW w:w="551" w:type="pct"/>
            <w:tcBorders>
              <w:top w:val="nil"/>
              <w:bottom w:val="single" w:sz="4" w:space="0" w:color="auto"/>
            </w:tcBorders>
            <w:noWrap/>
          </w:tcPr>
          <w:p w14:paraId="3BF4AF21" w14:textId="77777777" w:rsidR="0021716C" w:rsidRPr="00D20CA8" w:rsidRDefault="0021716C" w:rsidP="0064083C">
            <w:pPr>
              <w:pStyle w:val="TableText"/>
              <w:keepNext/>
              <w:keepLines/>
              <w:jc w:val="right"/>
            </w:pPr>
            <w:r w:rsidRPr="00D20CA8">
              <w:t>0.805</w:t>
            </w:r>
          </w:p>
        </w:tc>
        <w:tc>
          <w:tcPr>
            <w:tcW w:w="551" w:type="pct"/>
            <w:tcBorders>
              <w:top w:val="nil"/>
              <w:bottom w:val="single" w:sz="4" w:space="0" w:color="auto"/>
            </w:tcBorders>
            <w:noWrap/>
          </w:tcPr>
          <w:p w14:paraId="34EF6679" w14:textId="72FFC72F" w:rsidR="0021716C" w:rsidRPr="00221F0B" w:rsidRDefault="001A4B8B" w:rsidP="0064083C">
            <w:pPr>
              <w:pStyle w:val="TableText"/>
              <w:keepNext/>
              <w:keepLines/>
              <w:jc w:val="center"/>
              <w:rPr>
                <w:highlight w:val="lightGray"/>
              </w:rPr>
            </w:pPr>
            <w:r w:rsidRPr="001A4B8B">
              <w:rPr>
                <w:color w:val="000000"/>
                <w:spacing w:val="102"/>
                <w:shd w:val="solid" w:color="000000" w:fill="000000"/>
                <w:fitText w:val="188" w:id="-961838840"/>
                <w14:textFill>
                  <w14:solidFill>
                    <w14:srgbClr w14:val="000000">
                      <w14:alpha w14:val="100000"/>
                    </w14:srgbClr>
                  </w14:solidFill>
                </w14:textFill>
              </w:rPr>
              <w:t>|</w:t>
            </w:r>
            <w:r w:rsidRPr="001A4B8B">
              <w:rPr>
                <w:color w:val="000000"/>
                <w:spacing w:val="1"/>
                <w:shd w:val="solid" w:color="000000" w:fill="000000"/>
                <w:fitText w:val="188" w:id="-961838840"/>
                <w14:textFill>
                  <w14:solidFill>
                    <w14:srgbClr w14:val="000000">
                      <w14:alpha w14:val="100000"/>
                    </w14:srgbClr>
                  </w14:solidFill>
                </w14:textFill>
              </w:rPr>
              <w:t>|</w:t>
            </w:r>
            <w:r w:rsidR="006F5F9D" w:rsidRPr="006F5F9D">
              <w:rPr>
                <w:vertAlign w:val="superscript"/>
              </w:rPr>
              <w:t>4</w:t>
            </w:r>
          </w:p>
        </w:tc>
        <w:tc>
          <w:tcPr>
            <w:tcW w:w="445" w:type="pct"/>
            <w:tcBorders>
              <w:top w:val="nil"/>
              <w:bottom w:val="single" w:sz="4" w:space="0" w:color="auto"/>
            </w:tcBorders>
            <w:noWrap/>
          </w:tcPr>
          <w:p w14:paraId="5F3AEF7F" w14:textId="5ED07354" w:rsidR="0021716C" w:rsidRPr="00D20CA8" w:rsidRDefault="001A4B8B" w:rsidP="0064083C">
            <w:pPr>
              <w:pStyle w:val="TableText"/>
              <w:keepNext/>
              <w:keepLines/>
              <w:jc w:val="right"/>
            </w:pPr>
            <w:r w:rsidRPr="001A4B8B">
              <w:rPr>
                <w:color w:val="000000"/>
                <w:spacing w:val="47"/>
                <w:shd w:val="solid" w:color="000000" w:fill="000000"/>
                <w:fitText w:val="313" w:id="-961838839"/>
                <w14:textFill>
                  <w14:solidFill>
                    <w14:srgbClr w14:val="000000">
                      <w14:alpha w14:val="100000"/>
                    </w14:srgbClr>
                  </w14:solidFill>
                </w14:textFill>
              </w:rPr>
              <w:t>|||</w:t>
            </w:r>
            <w:r w:rsidRPr="001A4B8B">
              <w:rPr>
                <w:color w:val="000000"/>
                <w:spacing w:val="2"/>
                <w:shd w:val="solid" w:color="000000" w:fill="000000"/>
                <w:fitText w:val="313" w:id="-961838839"/>
                <w14:textFill>
                  <w14:solidFill>
                    <w14:srgbClr w14:val="000000">
                      <w14:alpha w14:val="100000"/>
                    </w14:srgbClr>
                  </w14:solidFill>
                </w14:textFill>
              </w:rPr>
              <w:t>|</w:t>
            </w:r>
            <w:r w:rsidR="0021716C" w:rsidRPr="00D20CA8">
              <w:t>%</w:t>
            </w:r>
          </w:p>
        </w:tc>
      </w:tr>
      <w:tr w:rsidR="00A677E9" w:rsidRPr="00D20CA8" w14:paraId="0EA74C6B" w14:textId="77777777" w:rsidTr="001A4B8B">
        <w:trPr>
          <w:trHeight w:val="20"/>
        </w:trPr>
        <w:tc>
          <w:tcPr>
            <w:tcW w:w="2903" w:type="pct"/>
            <w:tcBorders>
              <w:bottom w:val="single" w:sz="4" w:space="0" w:color="auto"/>
              <w:right w:val="nil"/>
            </w:tcBorders>
            <w:noWrap/>
            <w:vAlign w:val="bottom"/>
          </w:tcPr>
          <w:p w14:paraId="29FA8ECA" w14:textId="77777777" w:rsidR="00A677E9" w:rsidRPr="00D20CA8" w:rsidRDefault="00A677E9" w:rsidP="000B39FC">
            <w:pPr>
              <w:pStyle w:val="TableText"/>
              <w:rPr>
                <w:rFonts w:cstheme="minorBidi"/>
                <w:lang w:eastAsia="en-US"/>
              </w:rPr>
            </w:pPr>
            <w:r w:rsidRPr="00D20CA8">
              <w:t>Discount rate (base case: 5%)</w:t>
            </w:r>
          </w:p>
        </w:tc>
        <w:tc>
          <w:tcPr>
            <w:tcW w:w="550" w:type="pct"/>
            <w:tcBorders>
              <w:left w:val="nil"/>
              <w:bottom w:val="single" w:sz="4" w:space="0" w:color="auto"/>
              <w:right w:val="nil"/>
            </w:tcBorders>
            <w:noWrap/>
            <w:vAlign w:val="bottom"/>
          </w:tcPr>
          <w:p w14:paraId="0C449D19"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3F4B8706"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4F87BAD5" w14:textId="77777777" w:rsidR="00A677E9" w:rsidRPr="00D20CA8" w:rsidRDefault="00A677E9" w:rsidP="000B39FC">
            <w:pPr>
              <w:pStyle w:val="TableText"/>
              <w:jc w:val="right"/>
            </w:pPr>
          </w:p>
        </w:tc>
        <w:tc>
          <w:tcPr>
            <w:tcW w:w="445" w:type="pct"/>
            <w:tcBorders>
              <w:left w:val="nil"/>
              <w:bottom w:val="single" w:sz="4" w:space="0" w:color="auto"/>
            </w:tcBorders>
            <w:noWrap/>
            <w:vAlign w:val="bottom"/>
          </w:tcPr>
          <w:p w14:paraId="25176C6D" w14:textId="77777777" w:rsidR="00A677E9" w:rsidRPr="00D20CA8" w:rsidRDefault="00A677E9" w:rsidP="000B39FC">
            <w:pPr>
              <w:pStyle w:val="TableText"/>
              <w:jc w:val="right"/>
            </w:pPr>
          </w:p>
        </w:tc>
      </w:tr>
      <w:tr w:rsidR="00A677E9" w:rsidRPr="00D20CA8" w14:paraId="03A59A06" w14:textId="77777777" w:rsidTr="001A4B8B">
        <w:trPr>
          <w:trHeight w:val="20"/>
        </w:trPr>
        <w:tc>
          <w:tcPr>
            <w:tcW w:w="2903" w:type="pct"/>
            <w:tcBorders>
              <w:bottom w:val="nil"/>
            </w:tcBorders>
            <w:noWrap/>
            <w:vAlign w:val="bottom"/>
          </w:tcPr>
          <w:p w14:paraId="432B6EE6" w14:textId="77777777" w:rsidR="00A677E9" w:rsidRPr="00D20CA8" w:rsidRDefault="00A677E9" w:rsidP="000B39FC">
            <w:pPr>
              <w:pStyle w:val="TableText"/>
              <w:numPr>
                <w:ilvl w:val="0"/>
                <w:numId w:val="25"/>
              </w:numPr>
              <w:ind w:left="306" w:hanging="142"/>
            </w:pPr>
            <w:r w:rsidRPr="00D20CA8">
              <w:t>0%</w:t>
            </w:r>
          </w:p>
        </w:tc>
        <w:tc>
          <w:tcPr>
            <w:tcW w:w="550" w:type="pct"/>
            <w:tcBorders>
              <w:bottom w:val="nil"/>
            </w:tcBorders>
            <w:shd w:val="solid" w:color="000000" w:fill="000000"/>
            <w:noWrap/>
            <w:vAlign w:val="bottom"/>
          </w:tcPr>
          <w:p w14:paraId="744A5913" w14:textId="420B3EEF" w:rsidR="00A677E9" w:rsidRPr="00700BF1" w:rsidRDefault="001A4B8B" w:rsidP="000B39FC">
            <w:pPr>
              <w:pStyle w:val="TableText"/>
              <w:jc w:val="center"/>
              <w:rPr>
                <w:highlight w:val="lightGray"/>
              </w:rPr>
            </w:pPr>
            <w:r w:rsidRPr="001A4B8B">
              <w:rPr>
                <w:color w:val="000000"/>
                <w:spacing w:val="65"/>
                <w:fitText w:val="151" w:id="-961838838"/>
                <w14:textFill>
                  <w14:solidFill>
                    <w14:srgbClr w14:val="000000">
                      <w14:alpha w14:val="100000"/>
                    </w14:srgbClr>
                  </w14:solidFill>
                </w14:textFill>
              </w:rPr>
              <w:t>|</w:t>
            </w:r>
            <w:r w:rsidRPr="001A4B8B">
              <w:rPr>
                <w:color w:val="000000"/>
                <w:fitText w:val="151" w:id="-961838838"/>
                <w14:textFill>
                  <w14:solidFill>
                    <w14:srgbClr w14:val="000000">
                      <w14:alpha w14:val="100000"/>
                    </w14:srgbClr>
                  </w14:solidFill>
                </w14:textFill>
              </w:rPr>
              <w:t>|</w:t>
            </w:r>
          </w:p>
        </w:tc>
        <w:tc>
          <w:tcPr>
            <w:tcW w:w="551" w:type="pct"/>
            <w:tcBorders>
              <w:bottom w:val="nil"/>
            </w:tcBorders>
            <w:noWrap/>
            <w:vAlign w:val="bottom"/>
          </w:tcPr>
          <w:p w14:paraId="634820D7" w14:textId="77777777" w:rsidR="00A677E9" w:rsidRPr="00D20CA8" w:rsidRDefault="00A677E9" w:rsidP="000B39FC">
            <w:pPr>
              <w:pStyle w:val="TableText"/>
              <w:jc w:val="right"/>
              <w:rPr>
                <w:rFonts w:cstheme="minorBidi"/>
                <w:lang w:eastAsia="en-US"/>
              </w:rPr>
            </w:pPr>
            <w:r w:rsidRPr="00D20CA8">
              <w:t>5.331</w:t>
            </w:r>
          </w:p>
        </w:tc>
        <w:tc>
          <w:tcPr>
            <w:tcW w:w="551" w:type="pct"/>
            <w:tcBorders>
              <w:bottom w:val="nil"/>
            </w:tcBorders>
            <w:noWrap/>
            <w:vAlign w:val="bottom"/>
          </w:tcPr>
          <w:p w14:paraId="6120CA85" w14:textId="70FD91C8" w:rsidR="00A677E9" w:rsidRPr="00221F0B" w:rsidRDefault="001A4B8B" w:rsidP="001A4B8B">
            <w:pPr>
              <w:pStyle w:val="TableText"/>
              <w:jc w:val="center"/>
              <w:rPr>
                <w:rFonts w:cstheme="minorBidi"/>
                <w:highlight w:val="lightGray"/>
                <w:lang w:eastAsia="en-US"/>
              </w:rPr>
            </w:pPr>
            <w:r w:rsidRPr="001A4B8B">
              <w:rPr>
                <w:color w:val="000000"/>
                <w:spacing w:val="102"/>
                <w:shd w:val="solid" w:color="000000" w:fill="000000"/>
                <w:fitText w:val="188" w:id="-961838837"/>
                <w14:textFill>
                  <w14:solidFill>
                    <w14:srgbClr w14:val="000000">
                      <w14:alpha w14:val="100000"/>
                    </w14:srgbClr>
                  </w14:solidFill>
                </w14:textFill>
              </w:rPr>
              <w:t>|</w:t>
            </w:r>
            <w:r w:rsidRPr="001A4B8B">
              <w:rPr>
                <w:color w:val="000000"/>
                <w:spacing w:val="1"/>
                <w:shd w:val="solid" w:color="000000" w:fill="000000"/>
                <w:fitText w:val="188" w:id="-961838837"/>
                <w14:textFill>
                  <w14:solidFill>
                    <w14:srgbClr w14:val="000000">
                      <w14:alpha w14:val="100000"/>
                    </w14:srgbClr>
                  </w14:solidFill>
                </w14:textFill>
              </w:rPr>
              <w:t>|</w:t>
            </w:r>
            <w:r w:rsidR="006F5F9D" w:rsidRPr="006F5F9D">
              <w:rPr>
                <w:vertAlign w:val="superscript"/>
              </w:rPr>
              <w:t>5</w:t>
            </w:r>
          </w:p>
        </w:tc>
        <w:tc>
          <w:tcPr>
            <w:tcW w:w="445" w:type="pct"/>
            <w:tcBorders>
              <w:bottom w:val="nil"/>
            </w:tcBorders>
            <w:noWrap/>
            <w:vAlign w:val="bottom"/>
          </w:tcPr>
          <w:p w14:paraId="4206382B" w14:textId="430AAE87" w:rsidR="00A677E9" w:rsidRPr="00D20CA8" w:rsidRDefault="00A677E9" w:rsidP="000B39FC">
            <w:pPr>
              <w:pStyle w:val="TableText"/>
              <w:jc w:val="right"/>
              <w:rPr>
                <w:rFonts w:cstheme="minorBidi"/>
                <w:lang w:eastAsia="en-US"/>
              </w:rPr>
            </w:pPr>
            <w:r w:rsidRPr="00D20CA8">
              <w:t>−</w:t>
            </w:r>
            <w:r w:rsidR="001A4B8B" w:rsidRPr="001A4B8B">
              <w:rPr>
                <w:color w:val="000000"/>
                <w:spacing w:val="77"/>
                <w:shd w:val="solid" w:color="000000" w:fill="000000"/>
                <w:fitText w:val="163" w:id="-961838836"/>
                <w14:textFill>
                  <w14:solidFill>
                    <w14:srgbClr w14:val="000000">
                      <w14:alpha w14:val="100000"/>
                    </w14:srgbClr>
                  </w14:solidFill>
                </w14:textFill>
              </w:rPr>
              <w:t>|</w:t>
            </w:r>
            <w:r w:rsidR="001A4B8B" w:rsidRPr="001A4B8B">
              <w:rPr>
                <w:color w:val="000000"/>
                <w:spacing w:val="1"/>
                <w:shd w:val="solid" w:color="000000" w:fill="000000"/>
                <w:fitText w:val="163" w:id="-961838836"/>
                <w14:textFill>
                  <w14:solidFill>
                    <w14:srgbClr w14:val="000000">
                      <w14:alpha w14:val="100000"/>
                    </w14:srgbClr>
                  </w14:solidFill>
                </w14:textFill>
              </w:rPr>
              <w:t>|</w:t>
            </w:r>
            <w:r w:rsidRPr="00D20CA8">
              <w:t>%</w:t>
            </w:r>
          </w:p>
        </w:tc>
      </w:tr>
      <w:tr w:rsidR="00A677E9" w:rsidRPr="00D20CA8" w14:paraId="28A19181" w14:textId="77777777" w:rsidTr="001A4B8B">
        <w:trPr>
          <w:trHeight w:val="20"/>
        </w:trPr>
        <w:tc>
          <w:tcPr>
            <w:tcW w:w="2903" w:type="pct"/>
            <w:tcBorders>
              <w:top w:val="nil"/>
              <w:bottom w:val="single" w:sz="4" w:space="0" w:color="auto"/>
            </w:tcBorders>
            <w:noWrap/>
            <w:vAlign w:val="bottom"/>
          </w:tcPr>
          <w:p w14:paraId="031287D7" w14:textId="77777777" w:rsidR="00A677E9" w:rsidRPr="00D20CA8" w:rsidRDefault="00A677E9" w:rsidP="000B39FC">
            <w:pPr>
              <w:pStyle w:val="TableText"/>
              <w:numPr>
                <w:ilvl w:val="0"/>
                <w:numId w:val="25"/>
              </w:numPr>
              <w:ind w:left="306" w:hanging="142"/>
              <w:rPr>
                <w:rFonts w:cstheme="minorBidi"/>
                <w:lang w:eastAsia="en-US"/>
              </w:rPr>
            </w:pPr>
            <w:r w:rsidRPr="00D20CA8">
              <w:t>3.50%</w:t>
            </w:r>
          </w:p>
        </w:tc>
        <w:tc>
          <w:tcPr>
            <w:tcW w:w="550" w:type="pct"/>
            <w:tcBorders>
              <w:top w:val="nil"/>
              <w:bottom w:val="single" w:sz="4" w:space="0" w:color="auto"/>
            </w:tcBorders>
            <w:shd w:val="solid" w:color="000000" w:fill="000000"/>
            <w:noWrap/>
            <w:vAlign w:val="bottom"/>
          </w:tcPr>
          <w:p w14:paraId="78F1E44C" w14:textId="080D82AD" w:rsidR="00A677E9" w:rsidRPr="00700BF1" w:rsidRDefault="001A4B8B" w:rsidP="000B39FC">
            <w:pPr>
              <w:pStyle w:val="TableText"/>
              <w:jc w:val="center"/>
              <w:rPr>
                <w:highlight w:val="lightGray"/>
              </w:rPr>
            </w:pPr>
            <w:r w:rsidRPr="001A4B8B">
              <w:rPr>
                <w:color w:val="000000"/>
                <w:spacing w:val="65"/>
                <w:fitText w:val="151" w:id="-961838835"/>
                <w14:textFill>
                  <w14:solidFill>
                    <w14:srgbClr w14:val="000000">
                      <w14:alpha w14:val="100000"/>
                    </w14:srgbClr>
                  </w14:solidFill>
                </w14:textFill>
              </w:rPr>
              <w:t>|</w:t>
            </w:r>
            <w:r w:rsidRPr="001A4B8B">
              <w:rPr>
                <w:color w:val="000000"/>
                <w:fitText w:val="151" w:id="-961838835"/>
                <w14:textFill>
                  <w14:solidFill>
                    <w14:srgbClr w14:val="000000">
                      <w14:alpha w14:val="100000"/>
                    </w14:srgbClr>
                  </w14:solidFill>
                </w14:textFill>
              </w:rPr>
              <w:t>|</w:t>
            </w:r>
          </w:p>
        </w:tc>
        <w:tc>
          <w:tcPr>
            <w:tcW w:w="551" w:type="pct"/>
            <w:tcBorders>
              <w:top w:val="nil"/>
              <w:bottom w:val="single" w:sz="4" w:space="0" w:color="auto"/>
            </w:tcBorders>
            <w:noWrap/>
            <w:vAlign w:val="bottom"/>
          </w:tcPr>
          <w:p w14:paraId="72D0235B" w14:textId="77777777" w:rsidR="00A677E9" w:rsidRPr="00D20CA8" w:rsidRDefault="00A677E9" w:rsidP="000B39FC">
            <w:pPr>
              <w:pStyle w:val="TableText"/>
              <w:jc w:val="right"/>
              <w:rPr>
                <w:rFonts w:cstheme="minorBidi"/>
                <w:lang w:eastAsia="en-US"/>
              </w:rPr>
            </w:pPr>
            <w:r w:rsidRPr="00D20CA8">
              <w:t>2.791</w:t>
            </w:r>
          </w:p>
        </w:tc>
        <w:tc>
          <w:tcPr>
            <w:tcW w:w="551" w:type="pct"/>
            <w:tcBorders>
              <w:top w:val="nil"/>
              <w:bottom w:val="single" w:sz="4" w:space="0" w:color="auto"/>
            </w:tcBorders>
            <w:noWrap/>
            <w:vAlign w:val="bottom"/>
          </w:tcPr>
          <w:p w14:paraId="35E9529F" w14:textId="0AACA50C" w:rsidR="00A677E9" w:rsidRPr="00221F0B" w:rsidRDefault="001A4B8B" w:rsidP="000B39FC">
            <w:pPr>
              <w:pStyle w:val="TableText"/>
              <w:jc w:val="center"/>
              <w:rPr>
                <w:rFonts w:cstheme="minorBidi"/>
                <w:highlight w:val="lightGray"/>
                <w:lang w:eastAsia="en-US"/>
              </w:rPr>
            </w:pPr>
            <w:r w:rsidRPr="001A4B8B">
              <w:rPr>
                <w:color w:val="000000"/>
                <w:spacing w:val="102"/>
                <w:shd w:val="solid" w:color="000000" w:fill="000000"/>
                <w:fitText w:val="188" w:id="-961838834"/>
                <w14:textFill>
                  <w14:solidFill>
                    <w14:srgbClr w14:val="000000">
                      <w14:alpha w14:val="100000"/>
                    </w14:srgbClr>
                  </w14:solidFill>
                </w14:textFill>
              </w:rPr>
              <w:t>|</w:t>
            </w:r>
            <w:r w:rsidRPr="001A4B8B">
              <w:rPr>
                <w:color w:val="000000"/>
                <w:spacing w:val="1"/>
                <w:shd w:val="solid" w:color="000000" w:fill="000000"/>
                <w:fitText w:val="188" w:id="-961838834"/>
                <w14:textFill>
                  <w14:solidFill>
                    <w14:srgbClr w14:val="000000">
                      <w14:alpha w14:val="100000"/>
                    </w14:srgbClr>
                  </w14:solidFill>
                </w14:textFill>
              </w:rPr>
              <w:t>|</w:t>
            </w:r>
            <w:r w:rsidR="00556738" w:rsidRPr="00556738">
              <w:rPr>
                <w:b/>
                <w:bCs/>
                <w:vertAlign w:val="superscript"/>
                <w:lang w:eastAsia="en-US"/>
              </w:rPr>
              <w:t>1</w:t>
            </w:r>
          </w:p>
        </w:tc>
        <w:tc>
          <w:tcPr>
            <w:tcW w:w="445" w:type="pct"/>
            <w:tcBorders>
              <w:top w:val="nil"/>
              <w:bottom w:val="single" w:sz="4" w:space="0" w:color="auto"/>
            </w:tcBorders>
            <w:noWrap/>
            <w:vAlign w:val="bottom"/>
          </w:tcPr>
          <w:p w14:paraId="53135B47" w14:textId="4BEF41C6" w:rsidR="00A677E9" w:rsidRPr="00D20CA8" w:rsidRDefault="00A677E9" w:rsidP="000B39FC">
            <w:pPr>
              <w:pStyle w:val="TableText"/>
              <w:jc w:val="right"/>
              <w:rPr>
                <w:rFonts w:cstheme="minorBidi"/>
                <w:lang w:eastAsia="en-US"/>
              </w:rPr>
            </w:pPr>
            <w:r w:rsidRPr="00D20CA8">
              <w:t>−</w:t>
            </w:r>
            <w:r w:rsidR="001A4B8B" w:rsidRPr="001A4B8B">
              <w:rPr>
                <w:color w:val="000000"/>
                <w:spacing w:val="77"/>
                <w:shd w:val="solid" w:color="000000" w:fill="000000"/>
                <w:fitText w:val="163" w:id="-961838833"/>
                <w14:textFill>
                  <w14:solidFill>
                    <w14:srgbClr w14:val="000000">
                      <w14:alpha w14:val="100000"/>
                    </w14:srgbClr>
                  </w14:solidFill>
                </w14:textFill>
              </w:rPr>
              <w:t>|</w:t>
            </w:r>
            <w:r w:rsidR="001A4B8B" w:rsidRPr="001A4B8B">
              <w:rPr>
                <w:color w:val="000000"/>
                <w:spacing w:val="1"/>
                <w:shd w:val="solid" w:color="000000" w:fill="000000"/>
                <w:fitText w:val="163" w:id="-961838833"/>
                <w14:textFill>
                  <w14:solidFill>
                    <w14:srgbClr w14:val="000000">
                      <w14:alpha w14:val="100000"/>
                    </w14:srgbClr>
                  </w14:solidFill>
                </w14:textFill>
              </w:rPr>
              <w:t>|</w:t>
            </w:r>
            <w:r w:rsidRPr="00D20CA8">
              <w:t>%</w:t>
            </w:r>
          </w:p>
        </w:tc>
      </w:tr>
      <w:tr w:rsidR="00A677E9" w:rsidRPr="00D20CA8" w14:paraId="4E4C2E1B" w14:textId="77777777" w:rsidTr="001A4B8B">
        <w:trPr>
          <w:trHeight w:val="20"/>
        </w:trPr>
        <w:tc>
          <w:tcPr>
            <w:tcW w:w="2903" w:type="pct"/>
            <w:tcBorders>
              <w:bottom w:val="single" w:sz="4" w:space="0" w:color="auto"/>
              <w:right w:val="nil"/>
            </w:tcBorders>
            <w:noWrap/>
            <w:vAlign w:val="bottom"/>
          </w:tcPr>
          <w:p w14:paraId="5957CC1E" w14:textId="77777777" w:rsidR="00A677E9" w:rsidRPr="00D20CA8" w:rsidRDefault="00A677E9" w:rsidP="000B39FC">
            <w:pPr>
              <w:pStyle w:val="TableText"/>
              <w:rPr>
                <w:rFonts w:cstheme="minorBidi"/>
                <w:lang w:eastAsia="en-US"/>
              </w:rPr>
            </w:pPr>
            <w:r w:rsidRPr="00D20CA8">
              <w:t>Distribution of stage at baseline (base case: Romeo et al. 2009)</w:t>
            </w:r>
          </w:p>
        </w:tc>
        <w:tc>
          <w:tcPr>
            <w:tcW w:w="550" w:type="pct"/>
            <w:tcBorders>
              <w:left w:val="nil"/>
              <w:bottom w:val="single" w:sz="4" w:space="0" w:color="auto"/>
              <w:right w:val="nil"/>
            </w:tcBorders>
            <w:noWrap/>
            <w:vAlign w:val="bottom"/>
          </w:tcPr>
          <w:p w14:paraId="183E74F7"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2F19E7F2" w14:textId="77777777" w:rsidR="00A677E9" w:rsidRPr="00D20CA8" w:rsidRDefault="00A677E9" w:rsidP="000B39FC">
            <w:pPr>
              <w:pStyle w:val="TableText"/>
              <w:jc w:val="right"/>
              <w:rPr>
                <w:rFonts w:cstheme="minorBidi"/>
                <w:lang w:eastAsia="en-US"/>
              </w:rPr>
            </w:pPr>
          </w:p>
        </w:tc>
        <w:tc>
          <w:tcPr>
            <w:tcW w:w="551" w:type="pct"/>
            <w:tcBorders>
              <w:left w:val="nil"/>
              <w:bottom w:val="single" w:sz="4" w:space="0" w:color="auto"/>
              <w:right w:val="nil"/>
            </w:tcBorders>
            <w:noWrap/>
            <w:vAlign w:val="bottom"/>
          </w:tcPr>
          <w:p w14:paraId="0FE3FBF2" w14:textId="77777777" w:rsidR="00A677E9" w:rsidRPr="00D20CA8" w:rsidRDefault="00A677E9" w:rsidP="000B39FC">
            <w:pPr>
              <w:pStyle w:val="TableText"/>
              <w:jc w:val="right"/>
              <w:rPr>
                <w:rFonts w:cstheme="minorBidi"/>
                <w:lang w:eastAsia="en-US"/>
              </w:rPr>
            </w:pPr>
          </w:p>
        </w:tc>
        <w:tc>
          <w:tcPr>
            <w:tcW w:w="445" w:type="pct"/>
            <w:tcBorders>
              <w:left w:val="nil"/>
              <w:bottom w:val="single" w:sz="4" w:space="0" w:color="auto"/>
            </w:tcBorders>
            <w:noWrap/>
            <w:vAlign w:val="bottom"/>
          </w:tcPr>
          <w:p w14:paraId="38451BE7" w14:textId="77777777" w:rsidR="00A677E9" w:rsidRPr="00D20CA8" w:rsidRDefault="00A677E9" w:rsidP="000B39FC">
            <w:pPr>
              <w:pStyle w:val="TableText"/>
              <w:jc w:val="right"/>
              <w:rPr>
                <w:rFonts w:cstheme="minorBidi"/>
                <w:lang w:eastAsia="en-US"/>
              </w:rPr>
            </w:pPr>
          </w:p>
        </w:tc>
      </w:tr>
      <w:tr w:rsidR="00A677E9" w:rsidRPr="00D20CA8" w14:paraId="66290843" w14:textId="77777777" w:rsidTr="001A4B8B">
        <w:trPr>
          <w:trHeight w:val="20"/>
        </w:trPr>
        <w:tc>
          <w:tcPr>
            <w:tcW w:w="2903" w:type="pct"/>
            <w:tcBorders>
              <w:bottom w:val="nil"/>
            </w:tcBorders>
            <w:noWrap/>
            <w:vAlign w:val="bottom"/>
          </w:tcPr>
          <w:p w14:paraId="5B919CB2" w14:textId="77777777" w:rsidR="00A677E9" w:rsidRPr="00D20CA8" w:rsidRDefault="00A677E9" w:rsidP="000B39FC">
            <w:pPr>
              <w:pStyle w:val="TableText"/>
              <w:numPr>
                <w:ilvl w:val="0"/>
                <w:numId w:val="25"/>
              </w:numPr>
              <w:ind w:left="306" w:hanging="142"/>
            </w:pPr>
            <w:r w:rsidRPr="00D20CA8">
              <w:t>MYR301</w:t>
            </w:r>
          </w:p>
        </w:tc>
        <w:tc>
          <w:tcPr>
            <w:tcW w:w="550" w:type="pct"/>
            <w:tcBorders>
              <w:bottom w:val="nil"/>
            </w:tcBorders>
            <w:shd w:val="solid" w:color="000000" w:fill="000000"/>
            <w:noWrap/>
            <w:vAlign w:val="bottom"/>
          </w:tcPr>
          <w:p w14:paraId="7C353F2A" w14:textId="222CA86C" w:rsidR="00A677E9" w:rsidRPr="00700BF1" w:rsidRDefault="001A4B8B" w:rsidP="000B39FC">
            <w:pPr>
              <w:pStyle w:val="TableText"/>
              <w:jc w:val="center"/>
              <w:rPr>
                <w:highlight w:val="lightGray"/>
              </w:rPr>
            </w:pPr>
            <w:r w:rsidRPr="001A4B8B">
              <w:rPr>
                <w:color w:val="000000"/>
                <w:spacing w:val="65"/>
                <w:fitText w:val="151" w:id="-961838832"/>
                <w14:textFill>
                  <w14:solidFill>
                    <w14:srgbClr w14:val="000000">
                      <w14:alpha w14:val="100000"/>
                    </w14:srgbClr>
                  </w14:solidFill>
                </w14:textFill>
              </w:rPr>
              <w:t>|</w:t>
            </w:r>
            <w:r w:rsidRPr="001A4B8B">
              <w:rPr>
                <w:color w:val="000000"/>
                <w:fitText w:val="151" w:id="-961838832"/>
                <w14:textFill>
                  <w14:solidFill>
                    <w14:srgbClr w14:val="000000">
                      <w14:alpha w14:val="100000"/>
                    </w14:srgbClr>
                  </w14:solidFill>
                </w14:textFill>
              </w:rPr>
              <w:t>|</w:t>
            </w:r>
          </w:p>
        </w:tc>
        <w:tc>
          <w:tcPr>
            <w:tcW w:w="551" w:type="pct"/>
            <w:tcBorders>
              <w:bottom w:val="nil"/>
            </w:tcBorders>
            <w:noWrap/>
            <w:vAlign w:val="bottom"/>
          </w:tcPr>
          <w:p w14:paraId="21C51AAE" w14:textId="77777777" w:rsidR="00A677E9" w:rsidRPr="00D20CA8" w:rsidRDefault="00A677E9" w:rsidP="000B39FC">
            <w:pPr>
              <w:pStyle w:val="TableText"/>
              <w:jc w:val="right"/>
            </w:pPr>
            <w:r w:rsidRPr="00D20CA8">
              <w:t>2.145</w:t>
            </w:r>
          </w:p>
        </w:tc>
        <w:tc>
          <w:tcPr>
            <w:tcW w:w="551" w:type="pct"/>
            <w:tcBorders>
              <w:bottom w:val="nil"/>
            </w:tcBorders>
            <w:noWrap/>
            <w:vAlign w:val="bottom"/>
          </w:tcPr>
          <w:p w14:paraId="219D58C2" w14:textId="441EE46A" w:rsidR="00A677E9" w:rsidRPr="00221F0B" w:rsidRDefault="001A4B8B" w:rsidP="000B39FC">
            <w:pPr>
              <w:pStyle w:val="TableText"/>
              <w:jc w:val="center"/>
              <w:rPr>
                <w:highlight w:val="lightGray"/>
              </w:rPr>
            </w:pPr>
            <w:r w:rsidRPr="001A4B8B">
              <w:rPr>
                <w:color w:val="000000"/>
                <w:spacing w:val="102"/>
                <w:shd w:val="solid" w:color="000000" w:fill="000000"/>
                <w:fitText w:val="188" w:id="-961838592"/>
                <w14:textFill>
                  <w14:solidFill>
                    <w14:srgbClr w14:val="000000">
                      <w14:alpha w14:val="100000"/>
                    </w14:srgbClr>
                  </w14:solidFill>
                </w14:textFill>
              </w:rPr>
              <w:t>|</w:t>
            </w:r>
            <w:r w:rsidRPr="001A4B8B">
              <w:rPr>
                <w:color w:val="000000"/>
                <w:spacing w:val="1"/>
                <w:shd w:val="solid" w:color="000000" w:fill="000000"/>
                <w:fitText w:val="188" w:id="-961838592"/>
                <w14:textFill>
                  <w14:solidFill>
                    <w14:srgbClr w14:val="000000">
                      <w14:alpha w14:val="100000"/>
                    </w14:srgbClr>
                  </w14:solidFill>
                </w14:textFill>
              </w:rPr>
              <w:t>|</w:t>
            </w:r>
            <w:r w:rsidR="00556738" w:rsidRPr="00556738">
              <w:rPr>
                <w:vertAlign w:val="superscript"/>
              </w:rPr>
              <w:t>2</w:t>
            </w:r>
          </w:p>
        </w:tc>
        <w:tc>
          <w:tcPr>
            <w:tcW w:w="445" w:type="pct"/>
            <w:tcBorders>
              <w:bottom w:val="nil"/>
            </w:tcBorders>
            <w:noWrap/>
            <w:vAlign w:val="bottom"/>
          </w:tcPr>
          <w:p w14:paraId="2C62D242" w14:textId="7322AA96" w:rsidR="00A677E9" w:rsidRPr="00D20CA8" w:rsidRDefault="001A4B8B" w:rsidP="000B39FC">
            <w:pPr>
              <w:pStyle w:val="TableText"/>
              <w:jc w:val="right"/>
            </w:pPr>
            <w:r w:rsidRPr="001A4B8B">
              <w:rPr>
                <w:color w:val="000000"/>
                <w:spacing w:val="47"/>
                <w:shd w:val="solid" w:color="000000" w:fill="000000"/>
                <w:fitText w:val="313" w:id="-961838591"/>
                <w14:textFill>
                  <w14:solidFill>
                    <w14:srgbClr w14:val="000000">
                      <w14:alpha w14:val="100000"/>
                    </w14:srgbClr>
                  </w14:solidFill>
                </w14:textFill>
              </w:rPr>
              <w:t>|||</w:t>
            </w:r>
            <w:r w:rsidRPr="001A4B8B">
              <w:rPr>
                <w:color w:val="000000"/>
                <w:spacing w:val="2"/>
                <w:shd w:val="solid" w:color="000000" w:fill="000000"/>
                <w:fitText w:val="313" w:id="-961838591"/>
                <w14:textFill>
                  <w14:solidFill>
                    <w14:srgbClr w14:val="000000">
                      <w14:alpha w14:val="100000"/>
                    </w14:srgbClr>
                  </w14:solidFill>
                </w14:textFill>
              </w:rPr>
              <w:t>|</w:t>
            </w:r>
            <w:r w:rsidR="00A677E9" w:rsidRPr="00D20CA8">
              <w:t>%</w:t>
            </w:r>
          </w:p>
        </w:tc>
      </w:tr>
      <w:tr w:rsidR="00A677E9" w:rsidRPr="00D20CA8" w14:paraId="7A401C94" w14:textId="77777777" w:rsidTr="001A4B8B">
        <w:trPr>
          <w:trHeight w:val="20"/>
        </w:trPr>
        <w:tc>
          <w:tcPr>
            <w:tcW w:w="2903" w:type="pct"/>
            <w:tcBorders>
              <w:top w:val="nil"/>
              <w:bottom w:val="single" w:sz="4" w:space="0" w:color="auto"/>
            </w:tcBorders>
            <w:noWrap/>
            <w:vAlign w:val="bottom"/>
          </w:tcPr>
          <w:p w14:paraId="4F2EEDD2" w14:textId="77777777" w:rsidR="00A677E9" w:rsidRPr="00D20CA8" w:rsidRDefault="00A677E9" w:rsidP="000B39FC">
            <w:pPr>
              <w:pStyle w:val="TableText"/>
              <w:numPr>
                <w:ilvl w:val="0"/>
                <w:numId w:val="25"/>
              </w:numPr>
              <w:ind w:left="306" w:hanging="142"/>
            </w:pPr>
            <w:r w:rsidRPr="00D20CA8">
              <w:t xml:space="preserve">Assuming all non-cirrhotic patients enter model as F3 </w:t>
            </w:r>
            <w:r w:rsidRPr="00D20CA8">
              <w:rPr>
                <w:b/>
                <w:bCs/>
              </w:rPr>
              <w:t>(#8)</w:t>
            </w:r>
          </w:p>
        </w:tc>
        <w:tc>
          <w:tcPr>
            <w:tcW w:w="550" w:type="pct"/>
            <w:tcBorders>
              <w:top w:val="nil"/>
              <w:bottom w:val="single" w:sz="4" w:space="0" w:color="auto"/>
            </w:tcBorders>
            <w:shd w:val="solid" w:color="000000" w:fill="000000"/>
            <w:noWrap/>
          </w:tcPr>
          <w:p w14:paraId="56667850" w14:textId="203C9DEA" w:rsidR="00A677E9" w:rsidRPr="00700BF1" w:rsidRDefault="001A4B8B" w:rsidP="000B39FC">
            <w:pPr>
              <w:pStyle w:val="TableText"/>
              <w:jc w:val="center"/>
              <w:rPr>
                <w:highlight w:val="lightGray"/>
              </w:rPr>
            </w:pPr>
            <w:r w:rsidRPr="001A4B8B">
              <w:rPr>
                <w:color w:val="000000"/>
                <w:spacing w:val="65"/>
                <w:fitText w:val="151" w:id="-961838590"/>
                <w14:textFill>
                  <w14:solidFill>
                    <w14:srgbClr w14:val="000000">
                      <w14:alpha w14:val="100000"/>
                    </w14:srgbClr>
                  </w14:solidFill>
                </w14:textFill>
              </w:rPr>
              <w:t>|</w:t>
            </w:r>
            <w:r w:rsidRPr="001A4B8B">
              <w:rPr>
                <w:color w:val="000000"/>
                <w:fitText w:val="151" w:id="-961838590"/>
                <w14:textFill>
                  <w14:solidFill>
                    <w14:srgbClr w14:val="000000">
                      <w14:alpha w14:val="100000"/>
                    </w14:srgbClr>
                  </w14:solidFill>
                </w14:textFill>
              </w:rPr>
              <w:t>|</w:t>
            </w:r>
          </w:p>
        </w:tc>
        <w:tc>
          <w:tcPr>
            <w:tcW w:w="551" w:type="pct"/>
            <w:tcBorders>
              <w:top w:val="nil"/>
              <w:bottom w:val="single" w:sz="4" w:space="0" w:color="auto"/>
            </w:tcBorders>
            <w:noWrap/>
          </w:tcPr>
          <w:p w14:paraId="34228BE6" w14:textId="77777777" w:rsidR="00A677E9" w:rsidRPr="00D20CA8" w:rsidRDefault="00A677E9" w:rsidP="000B39FC">
            <w:pPr>
              <w:pStyle w:val="TableText"/>
              <w:jc w:val="right"/>
            </w:pPr>
            <w:r w:rsidRPr="00D20CA8">
              <w:t>2.589</w:t>
            </w:r>
          </w:p>
        </w:tc>
        <w:tc>
          <w:tcPr>
            <w:tcW w:w="551" w:type="pct"/>
            <w:tcBorders>
              <w:top w:val="nil"/>
              <w:bottom w:val="single" w:sz="4" w:space="0" w:color="auto"/>
            </w:tcBorders>
            <w:noWrap/>
          </w:tcPr>
          <w:p w14:paraId="2C5DD38B" w14:textId="27F77DB2"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9"/>
                <w14:textFill>
                  <w14:solidFill>
                    <w14:srgbClr w14:val="000000">
                      <w14:alpha w14:val="100000"/>
                    </w14:srgbClr>
                  </w14:solidFill>
                </w14:textFill>
              </w:rPr>
              <w:t>|</w:t>
            </w:r>
            <w:r w:rsidRPr="001A4B8B">
              <w:rPr>
                <w:color w:val="000000"/>
                <w:spacing w:val="1"/>
                <w:shd w:val="solid" w:color="000000" w:fill="000000"/>
                <w:fitText w:val="188" w:id="-961838589"/>
                <w14:textFill>
                  <w14:solidFill>
                    <w14:srgbClr w14:val="000000">
                      <w14:alpha w14:val="100000"/>
                    </w14:srgbClr>
                  </w14:solidFill>
                </w14:textFill>
              </w:rPr>
              <w:t>|</w:t>
            </w:r>
            <w:r w:rsidR="006F5F9D" w:rsidRPr="006F5F9D">
              <w:rPr>
                <w:vertAlign w:val="superscript"/>
              </w:rPr>
              <w:t>6</w:t>
            </w:r>
          </w:p>
        </w:tc>
        <w:tc>
          <w:tcPr>
            <w:tcW w:w="445" w:type="pct"/>
            <w:tcBorders>
              <w:top w:val="nil"/>
              <w:bottom w:val="single" w:sz="4" w:space="0" w:color="auto"/>
            </w:tcBorders>
            <w:noWrap/>
          </w:tcPr>
          <w:p w14:paraId="26893EEF" w14:textId="36F41A0D" w:rsidR="00A677E9" w:rsidRPr="00D20CA8" w:rsidRDefault="00A677E9" w:rsidP="000B39FC">
            <w:pPr>
              <w:pStyle w:val="TableText"/>
              <w:jc w:val="right"/>
            </w:pPr>
            <w:r w:rsidRPr="00D20CA8">
              <w:t>−</w:t>
            </w:r>
            <w:r w:rsidR="001A4B8B" w:rsidRPr="001A4B8B">
              <w:rPr>
                <w:color w:val="000000"/>
                <w:spacing w:val="77"/>
                <w:shd w:val="solid" w:color="000000" w:fill="000000"/>
                <w:fitText w:val="163" w:id="-961838588"/>
                <w14:textFill>
                  <w14:solidFill>
                    <w14:srgbClr w14:val="000000">
                      <w14:alpha w14:val="100000"/>
                    </w14:srgbClr>
                  </w14:solidFill>
                </w14:textFill>
              </w:rPr>
              <w:t>|</w:t>
            </w:r>
            <w:r w:rsidR="001A4B8B" w:rsidRPr="001A4B8B">
              <w:rPr>
                <w:color w:val="000000"/>
                <w:spacing w:val="1"/>
                <w:shd w:val="solid" w:color="000000" w:fill="000000"/>
                <w:fitText w:val="163" w:id="-961838588"/>
                <w14:textFill>
                  <w14:solidFill>
                    <w14:srgbClr w14:val="000000">
                      <w14:alpha w14:val="100000"/>
                    </w14:srgbClr>
                  </w14:solidFill>
                </w14:textFill>
              </w:rPr>
              <w:t>|</w:t>
            </w:r>
            <w:r w:rsidRPr="00D20CA8">
              <w:t>%</w:t>
            </w:r>
          </w:p>
        </w:tc>
      </w:tr>
      <w:tr w:rsidR="00A677E9" w:rsidRPr="00D20CA8" w14:paraId="654769CD" w14:textId="77777777" w:rsidTr="7A2CA021">
        <w:trPr>
          <w:trHeight w:val="20"/>
        </w:trPr>
        <w:tc>
          <w:tcPr>
            <w:tcW w:w="5000" w:type="pct"/>
            <w:gridSpan w:val="5"/>
            <w:tcBorders>
              <w:bottom w:val="single" w:sz="4" w:space="0" w:color="auto"/>
            </w:tcBorders>
            <w:noWrap/>
            <w:vAlign w:val="bottom"/>
          </w:tcPr>
          <w:p w14:paraId="08955E18" w14:textId="77777777" w:rsidR="00A677E9" w:rsidRPr="00D20CA8" w:rsidRDefault="00A677E9" w:rsidP="000B39FC">
            <w:pPr>
              <w:pStyle w:val="TableText"/>
              <w:rPr>
                <w:rFonts w:cstheme="minorBidi"/>
                <w:lang w:eastAsia="en-US"/>
              </w:rPr>
            </w:pPr>
            <w:r w:rsidRPr="00D20CA8">
              <w:t>Transition probabilities (base case: chronic HBV probabilities from Bermingham (2015), adjusted for HBV/HDV)</w:t>
            </w:r>
          </w:p>
        </w:tc>
      </w:tr>
      <w:tr w:rsidR="00A677E9" w:rsidRPr="00D20CA8" w14:paraId="72C80E07" w14:textId="77777777" w:rsidTr="001A4B8B">
        <w:trPr>
          <w:trHeight w:val="20"/>
        </w:trPr>
        <w:tc>
          <w:tcPr>
            <w:tcW w:w="2903" w:type="pct"/>
            <w:tcBorders>
              <w:top w:val="single" w:sz="4" w:space="0" w:color="auto"/>
              <w:bottom w:val="nil"/>
            </w:tcBorders>
            <w:noWrap/>
            <w:vAlign w:val="bottom"/>
          </w:tcPr>
          <w:p w14:paraId="7FB2C851" w14:textId="77777777" w:rsidR="00A677E9" w:rsidRPr="00D20CA8" w:rsidRDefault="00A677E9" w:rsidP="000B39FC">
            <w:pPr>
              <w:pStyle w:val="TableText"/>
              <w:numPr>
                <w:ilvl w:val="0"/>
                <w:numId w:val="25"/>
              </w:numPr>
              <w:ind w:left="306" w:hanging="142"/>
              <w:rPr>
                <w:rFonts w:cstheme="minorBidi"/>
                <w:lang w:eastAsia="en-US"/>
              </w:rPr>
            </w:pPr>
            <w:r w:rsidRPr="00D20CA8">
              <w:t>Xiao et al. (2020), adjusted for HBV/HDV as in submission</w:t>
            </w:r>
          </w:p>
        </w:tc>
        <w:tc>
          <w:tcPr>
            <w:tcW w:w="550" w:type="pct"/>
            <w:tcBorders>
              <w:top w:val="single" w:sz="4" w:space="0" w:color="auto"/>
              <w:bottom w:val="nil"/>
            </w:tcBorders>
            <w:shd w:val="solid" w:color="000000" w:fill="000000"/>
            <w:noWrap/>
            <w:vAlign w:val="bottom"/>
          </w:tcPr>
          <w:p w14:paraId="08BBCC62" w14:textId="01930F1E" w:rsidR="00A677E9" w:rsidRPr="00700BF1" w:rsidRDefault="001A4B8B" w:rsidP="000B39FC">
            <w:pPr>
              <w:pStyle w:val="TableText"/>
              <w:jc w:val="center"/>
              <w:rPr>
                <w:highlight w:val="lightGray"/>
              </w:rPr>
            </w:pPr>
            <w:r w:rsidRPr="001A4B8B">
              <w:rPr>
                <w:color w:val="000000"/>
                <w:spacing w:val="65"/>
                <w:fitText w:val="151" w:id="-961838587"/>
                <w14:textFill>
                  <w14:solidFill>
                    <w14:srgbClr w14:val="000000">
                      <w14:alpha w14:val="100000"/>
                    </w14:srgbClr>
                  </w14:solidFill>
                </w14:textFill>
              </w:rPr>
              <w:t>|</w:t>
            </w:r>
            <w:r w:rsidRPr="001A4B8B">
              <w:rPr>
                <w:color w:val="000000"/>
                <w:fitText w:val="151" w:id="-961838587"/>
                <w14:textFill>
                  <w14:solidFill>
                    <w14:srgbClr w14:val="000000">
                      <w14:alpha w14:val="100000"/>
                    </w14:srgbClr>
                  </w14:solidFill>
                </w14:textFill>
              </w:rPr>
              <w:t>|</w:t>
            </w:r>
          </w:p>
        </w:tc>
        <w:tc>
          <w:tcPr>
            <w:tcW w:w="551" w:type="pct"/>
            <w:tcBorders>
              <w:top w:val="single" w:sz="4" w:space="0" w:color="auto"/>
              <w:bottom w:val="nil"/>
            </w:tcBorders>
            <w:noWrap/>
            <w:vAlign w:val="bottom"/>
          </w:tcPr>
          <w:p w14:paraId="279C6FF2" w14:textId="77777777" w:rsidR="00A677E9" w:rsidRPr="00D20CA8" w:rsidRDefault="00A677E9" w:rsidP="000B39FC">
            <w:pPr>
              <w:pStyle w:val="TableText"/>
              <w:jc w:val="right"/>
              <w:rPr>
                <w:rFonts w:cstheme="minorBidi"/>
                <w:lang w:eastAsia="en-US"/>
              </w:rPr>
            </w:pPr>
            <w:r w:rsidRPr="00D20CA8">
              <w:t>1.906</w:t>
            </w:r>
          </w:p>
        </w:tc>
        <w:tc>
          <w:tcPr>
            <w:tcW w:w="551" w:type="pct"/>
            <w:tcBorders>
              <w:top w:val="single" w:sz="4" w:space="0" w:color="auto"/>
              <w:bottom w:val="nil"/>
            </w:tcBorders>
            <w:noWrap/>
            <w:vAlign w:val="bottom"/>
          </w:tcPr>
          <w:p w14:paraId="377F4E10" w14:textId="7362371A" w:rsidR="00A677E9" w:rsidRPr="00221F0B" w:rsidRDefault="001A4B8B" w:rsidP="006E0BBC">
            <w:pPr>
              <w:pStyle w:val="TableText"/>
              <w:jc w:val="center"/>
              <w:rPr>
                <w:rFonts w:cstheme="minorBidi"/>
                <w:highlight w:val="lightGray"/>
                <w:lang w:eastAsia="en-US"/>
              </w:rPr>
            </w:pPr>
            <w:r w:rsidRPr="006E0BBC">
              <w:rPr>
                <w:color w:val="000000"/>
                <w:spacing w:val="13"/>
                <w:w w:val="15"/>
                <w:shd w:val="solid" w:color="000000" w:fill="000000"/>
                <w:fitText w:val="50" w:id="-961838586"/>
                <w14:textFill>
                  <w14:solidFill>
                    <w14:srgbClr w14:val="000000">
                      <w14:alpha w14:val="100000"/>
                    </w14:srgbClr>
                  </w14:solidFill>
                </w14:textFill>
              </w:rPr>
              <w:t>|</w:t>
            </w:r>
            <w:r w:rsidRPr="006E0BBC">
              <w:rPr>
                <w:rFonts w:hint="eastAsia"/>
                <w:color w:val="000000"/>
                <w:spacing w:val="1"/>
                <w:w w:val="15"/>
                <w:shd w:val="solid" w:color="000000" w:fill="000000"/>
                <w:fitText w:val="50" w:id="-961838586"/>
                <w14:textFill>
                  <w14:solidFill>
                    <w14:srgbClr w14:val="000000">
                      <w14:alpha w14:val="100000"/>
                    </w14:srgbClr>
                  </w14:solidFill>
                </w14:textFill>
              </w:rPr>
              <w:t xml:space="preserve">　</w:t>
            </w:r>
            <w:r w:rsidR="00556738" w:rsidRPr="00556738">
              <w:rPr>
                <w:vertAlign w:val="superscript"/>
              </w:rPr>
              <w:t>3</w:t>
            </w:r>
          </w:p>
        </w:tc>
        <w:tc>
          <w:tcPr>
            <w:tcW w:w="445" w:type="pct"/>
            <w:tcBorders>
              <w:top w:val="single" w:sz="4" w:space="0" w:color="auto"/>
              <w:bottom w:val="nil"/>
            </w:tcBorders>
            <w:noWrap/>
            <w:vAlign w:val="bottom"/>
          </w:tcPr>
          <w:p w14:paraId="29E289AA" w14:textId="58249BD9" w:rsidR="00A677E9" w:rsidRPr="00D20CA8" w:rsidRDefault="001A4B8B" w:rsidP="000B39FC">
            <w:pPr>
              <w:pStyle w:val="TableText"/>
              <w:jc w:val="right"/>
              <w:rPr>
                <w:rFonts w:cstheme="minorBidi"/>
                <w:lang w:eastAsia="en-US"/>
              </w:rPr>
            </w:pPr>
            <w:r w:rsidRPr="001A4B8B">
              <w:rPr>
                <w:color w:val="000000"/>
                <w:spacing w:val="47"/>
                <w:shd w:val="solid" w:color="000000" w:fill="000000"/>
                <w:fitText w:val="313" w:id="-961838585"/>
                <w14:textFill>
                  <w14:solidFill>
                    <w14:srgbClr w14:val="000000">
                      <w14:alpha w14:val="100000"/>
                    </w14:srgbClr>
                  </w14:solidFill>
                </w14:textFill>
              </w:rPr>
              <w:t>|||</w:t>
            </w:r>
            <w:r w:rsidRPr="001A4B8B">
              <w:rPr>
                <w:color w:val="000000"/>
                <w:spacing w:val="2"/>
                <w:shd w:val="solid" w:color="000000" w:fill="000000"/>
                <w:fitText w:val="313" w:id="-961838585"/>
                <w14:textFill>
                  <w14:solidFill>
                    <w14:srgbClr w14:val="000000">
                      <w14:alpha w14:val="100000"/>
                    </w14:srgbClr>
                  </w14:solidFill>
                </w14:textFill>
              </w:rPr>
              <w:t>|</w:t>
            </w:r>
            <w:r w:rsidR="00A677E9" w:rsidRPr="00D20CA8">
              <w:t>%</w:t>
            </w:r>
          </w:p>
        </w:tc>
      </w:tr>
      <w:tr w:rsidR="00A677E9" w:rsidRPr="00D20CA8" w14:paraId="685610FA" w14:textId="77777777" w:rsidTr="001A4B8B">
        <w:trPr>
          <w:trHeight w:val="20"/>
        </w:trPr>
        <w:tc>
          <w:tcPr>
            <w:tcW w:w="2903" w:type="pct"/>
            <w:tcBorders>
              <w:top w:val="nil"/>
              <w:bottom w:val="nil"/>
            </w:tcBorders>
            <w:noWrap/>
            <w:vAlign w:val="bottom"/>
          </w:tcPr>
          <w:p w14:paraId="7FCF297C" w14:textId="77777777" w:rsidR="00A677E9" w:rsidRPr="00D20CA8" w:rsidRDefault="00A677E9" w:rsidP="000B39FC">
            <w:pPr>
              <w:pStyle w:val="TableText"/>
              <w:numPr>
                <w:ilvl w:val="0"/>
                <w:numId w:val="25"/>
              </w:numPr>
              <w:ind w:left="306" w:hanging="142"/>
              <w:rPr>
                <w:rFonts w:cstheme="minorBidi"/>
                <w:lang w:eastAsia="en-US"/>
              </w:rPr>
            </w:pPr>
            <w:r w:rsidRPr="00D20CA8">
              <w:lastRenderedPageBreak/>
              <w:t>Goyal and Murray (2016)</w:t>
            </w:r>
          </w:p>
        </w:tc>
        <w:tc>
          <w:tcPr>
            <w:tcW w:w="550" w:type="pct"/>
            <w:tcBorders>
              <w:top w:val="nil"/>
              <w:bottom w:val="nil"/>
            </w:tcBorders>
            <w:shd w:val="solid" w:color="000000" w:fill="000000"/>
            <w:noWrap/>
            <w:vAlign w:val="bottom"/>
          </w:tcPr>
          <w:p w14:paraId="49777F7E" w14:textId="2B2526A4" w:rsidR="00A677E9" w:rsidRPr="00700BF1" w:rsidRDefault="001A4B8B" w:rsidP="000B39FC">
            <w:pPr>
              <w:pStyle w:val="TableText"/>
              <w:jc w:val="center"/>
              <w:rPr>
                <w:highlight w:val="lightGray"/>
              </w:rPr>
            </w:pPr>
            <w:r w:rsidRPr="001A4B8B">
              <w:rPr>
                <w:color w:val="000000"/>
                <w:spacing w:val="65"/>
                <w:fitText w:val="151" w:id="-961838584"/>
                <w14:textFill>
                  <w14:solidFill>
                    <w14:srgbClr w14:val="000000">
                      <w14:alpha w14:val="100000"/>
                    </w14:srgbClr>
                  </w14:solidFill>
                </w14:textFill>
              </w:rPr>
              <w:t>|</w:t>
            </w:r>
            <w:r w:rsidRPr="001A4B8B">
              <w:rPr>
                <w:color w:val="000000"/>
                <w:fitText w:val="151" w:id="-961838584"/>
                <w14:textFill>
                  <w14:solidFill>
                    <w14:srgbClr w14:val="000000">
                      <w14:alpha w14:val="100000"/>
                    </w14:srgbClr>
                  </w14:solidFill>
                </w14:textFill>
              </w:rPr>
              <w:t>|</w:t>
            </w:r>
          </w:p>
        </w:tc>
        <w:tc>
          <w:tcPr>
            <w:tcW w:w="551" w:type="pct"/>
            <w:tcBorders>
              <w:top w:val="nil"/>
              <w:bottom w:val="nil"/>
            </w:tcBorders>
            <w:noWrap/>
            <w:vAlign w:val="bottom"/>
          </w:tcPr>
          <w:p w14:paraId="0862F1F3" w14:textId="77777777" w:rsidR="00A677E9" w:rsidRPr="00D20CA8" w:rsidRDefault="00A677E9" w:rsidP="000B39FC">
            <w:pPr>
              <w:pStyle w:val="TableText"/>
              <w:jc w:val="right"/>
              <w:rPr>
                <w:rFonts w:cstheme="minorBidi"/>
                <w:lang w:eastAsia="en-US"/>
              </w:rPr>
            </w:pPr>
            <w:r w:rsidRPr="00D20CA8">
              <w:t>1.499</w:t>
            </w:r>
          </w:p>
        </w:tc>
        <w:tc>
          <w:tcPr>
            <w:tcW w:w="551" w:type="pct"/>
            <w:tcBorders>
              <w:top w:val="nil"/>
              <w:bottom w:val="nil"/>
            </w:tcBorders>
            <w:noWrap/>
            <w:vAlign w:val="bottom"/>
          </w:tcPr>
          <w:p w14:paraId="56E89D57" w14:textId="19E8E00D" w:rsidR="00A677E9" w:rsidRPr="00221F0B" w:rsidRDefault="001A4B8B" w:rsidP="006E0BBC">
            <w:pPr>
              <w:pStyle w:val="TableText"/>
              <w:jc w:val="center"/>
              <w:rPr>
                <w:rFonts w:cstheme="minorBidi"/>
                <w:highlight w:val="lightGray"/>
                <w:lang w:eastAsia="en-US"/>
              </w:rPr>
            </w:pPr>
            <w:r w:rsidRPr="006E0BBC">
              <w:rPr>
                <w:color w:val="000000"/>
                <w:spacing w:val="13"/>
                <w:w w:val="15"/>
                <w:shd w:val="solid" w:color="000000" w:fill="000000"/>
                <w:fitText w:val="50" w:id="-961838583"/>
                <w14:textFill>
                  <w14:solidFill>
                    <w14:srgbClr w14:val="000000">
                      <w14:alpha w14:val="100000"/>
                    </w14:srgbClr>
                  </w14:solidFill>
                </w14:textFill>
              </w:rPr>
              <w:t>|</w:t>
            </w:r>
            <w:r w:rsidRPr="006E0BBC">
              <w:rPr>
                <w:rFonts w:hint="eastAsia"/>
                <w:color w:val="000000"/>
                <w:spacing w:val="1"/>
                <w:w w:val="15"/>
                <w:shd w:val="solid" w:color="000000" w:fill="000000"/>
                <w:fitText w:val="50" w:id="-961838583"/>
                <w14:textFill>
                  <w14:solidFill>
                    <w14:srgbClr w14:val="000000">
                      <w14:alpha w14:val="100000"/>
                    </w14:srgbClr>
                  </w14:solidFill>
                </w14:textFill>
              </w:rPr>
              <w:t xml:space="preserve">　</w:t>
            </w:r>
            <w:r w:rsidR="00556738" w:rsidRPr="006F5F9D">
              <w:rPr>
                <w:vertAlign w:val="superscript"/>
                <w:lang w:eastAsia="en-US"/>
              </w:rPr>
              <w:t>1</w:t>
            </w:r>
          </w:p>
        </w:tc>
        <w:tc>
          <w:tcPr>
            <w:tcW w:w="445" w:type="pct"/>
            <w:tcBorders>
              <w:top w:val="nil"/>
              <w:bottom w:val="nil"/>
            </w:tcBorders>
            <w:noWrap/>
            <w:vAlign w:val="bottom"/>
          </w:tcPr>
          <w:p w14:paraId="34E8F6EF" w14:textId="2CFA771D" w:rsidR="00A677E9" w:rsidRPr="00D20CA8" w:rsidRDefault="00A677E9" w:rsidP="000B39FC">
            <w:pPr>
              <w:pStyle w:val="TableText"/>
              <w:jc w:val="right"/>
              <w:rPr>
                <w:rFonts w:cstheme="minorBidi"/>
                <w:lang w:eastAsia="en-US"/>
              </w:rPr>
            </w:pPr>
            <w:r w:rsidRPr="00D20CA8">
              <w:t>−</w:t>
            </w:r>
            <w:r w:rsidR="001A4B8B" w:rsidRPr="001A4B8B">
              <w:rPr>
                <w:color w:val="000000"/>
                <w:spacing w:val="77"/>
                <w:shd w:val="solid" w:color="000000" w:fill="000000"/>
                <w:fitText w:val="163" w:id="-961838582"/>
                <w14:textFill>
                  <w14:solidFill>
                    <w14:srgbClr w14:val="000000">
                      <w14:alpha w14:val="100000"/>
                    </w14:srgbClr>
                  </w14:solidFill>
                </w14:textFill>
              </w:rPr>
              <w:t>|</w:t>
            </w:r>
            <w:r w:rsidR="001A4B8B" w:rsidRPr="001A4B8B">
              <w:rPr>
                <w:color w:val="000000"/>
                <w:spacing w:val="1"/>
                <w:shd w:val="solid" w:color="000000" w:fill="000000"/>
                <w:fitText w:val="163" w:id="-961838582"/>
                <w14:textFill>
                  <w14:solidFill>
                    <w14:srgbClr w14:val="000000">
                      <w14:alpha w14:val="100000"/>
                    </w14:srgbClr>
                  </w14:solidFill>
                </w14:textFill>
              </w:rPr>
              <w:t>|</w:t>
            </w:r>
            <w:r w:rsidRPr="00D20CA8">
              <w:t>%</w:t>
            </w:r>
          </w:p>
        </w:tc>
      </w:tr>
      <w:tr w:rsidR="00A677E9" w:rsidRPr="00D20CA8" w14:paraId="199551FF" w14:textId="77777777" w:rsidTr="001A4B8B">
        <w:trPr>
          <w:trHeight w:val="20"/>
        </w:trPr>
        <w:tc>
          <w:tcPr>
            <w:tcW w:w="2903" w:type="pct"/>
            <w:tcBorders>
              <w:top w:val="nil"/>
              <w:bottom w:val="single" w:sz="4" w:space="0" w:color="auto"/>
            </w:tcBorders>
            <w:noWrap/>
            <w:vAlign w:val="bottom"/>
          </w:tcPr>
          <w:p w14:paraId="48D64513" w14:textId="77777777" w:rsidR="00A677E9" w:rsidRPr="00D20CA8" w:rsidRDefault="00A677E9" w:rsidP="000B39FC">
            <w:pPr>
              <w:pStyle w:val="TableText"/>
              <w:numPr>
                <w:ilvl w:val="0"/>
                <w:numId w:val="25"/>
              </w:numPr>
              <w:ind w:left="306" w:hanging="142"/>
              <w:rPr>
                <w:rFonts w:cstheme="minorBidi"/>
                <w:lang w:eastAsia="en-US"/>
              </w:rPr>
            </w:pPr>
            <w:r w:rsidRPr="00D20CA8">
              <w:t xml:space="preserve">Goyal and Murray (2016) (using base case probability of HBsAg seroclearance) </w:t>
            </w:r>
            <w:r w:rsidRPr="00D20CA8">
              <w:rPr>
                <w:b/>
                <w:bCs/>
              </w:rPr>
              <w:t>(#4)</w:t>
            </w:r>
          </w:p>
        </w:tc>
        <w:tc>
          <w:tcPr>
            <w:tcW w:w="550" w:type="pct"/>
            <w:tcBorders>
              <w:top w:val="nil"/>
              <w:bottom w:val="single" w:sz="4" w:space="0" w:color="auto"/>
            </w:tcBorders>
            <w:shd w:val="solid" w:color="000000" w:fill="000000"/>
            <w:noWrap/>
            <w:vAlign w:val="bottom"/>
          </w:tcPr>
          <w:p w14:paraId="5F24C636" w14:textId="13390BFD" w:rsidR="00A677E9" w:rsidRPr="00700BF1" w:rsidRDefault="001A4B8B" w:rsidP="000B39FC">
            <w:pPr>
              <w:pStyle w:val="TableText"/>
              <w:jc w:val="center"/>
              <w:rPr>
                <w:highlight w:val="lightGray"/>
              </w:rPr>
            </w:pPr>
            <w:r w:rsidRPr="001A4B8B">
              <w:rPr>
                <w:color w:val="000000"/>
                <w:spacing w:val="65"/>
                <w:fitText w:val="151" w:id="-961838581"/>
                <w14:textFill>
                  <w14:solidFill>
                    <w14:srgbClr w14:val="000000">
                      <w14:alpha w14:val="100000"/>
                    </w14:srgbClr>
                  </w14:solidFill>
                </w14:textFill>
              </w:rPr>
              <w:t>|</w:t>
            </w:r>
            <w:r w:rsidRPr="001A4B8B">
              <w:rPr>
                <w:color w:val="000000"/>
                <w:fitText w:val="151" w:id="-961838581"/>
                <w14:textFill>
                  <w14:solidFill>
                    <w14:srgbClr w14:val="000000">
                      <w14:alpha w14:val="100000"/>
                    </w14:srgbClr>
                  </w14:solidFill>
                </w14:textFill>
              </w:rPr>
              <w:t>|</w:t>
            </w:r>
          </w:p>
        </w:tc>
        <w:tc>
          <w:tcPr>
            <w:tcW w:w="551" w:type="pct"/>
            <w:tcBorders>
              <w:top w:val="nil"/>
              <w:bottom w:val="single" w:sz="4" w:space="0" w:color="auto"/>
            </w:tcBorders>
            <w:noWrap/>
            <w:vAlign w:val="bottom"/>
          </w:tcPr>
          <w:p w14:paraId="20D4FD6E" w14:textId="77777777" w:rsidR="00A677E9" w:rsidRPr="00D20CA8" w:rsidRDefault="00A677E9" w:rsidP="000B39FC">
            <w:pPr>
              <w:pStyle w:val="TableText"/>
              <w:jc w:val="right"/>
              <w:rPr>
                <w:rFonts w:cstheme="minorBidi"/>
                <w:lang w:eastAsia="en-US"/>
              </w:rPr>
            </w:pPr>
            <w:r w:rsidRPr="00D20CA8">
              <w:t>1.639</w:t>
            </w:r>
          </w:p>
        </w:tc>
        <w:tc>
          <w:tcPr>
            <w:tcW w:w="551" w:type="pct"/>
            <w:tcBorders>
              <w:top w:val="nil"/>
              <w:bottom w:val="single" w:sz="4" w:space="0" w:color="auto"/>
            </w:tcBorders>
            <w:noWrap/>
            <w:vAlign w:val="bottom"/>
          </w:tcPr>
          <w:p w14:paraId="260B2973" w14:textId="7B48C25C" w:rsidR="00A677E9" w:rsidRPr="00221F0B" w:rsidRDefault="001A4B8B" w:rsidP="000B39FC">
            <w:pPr>
              <w:pStyle w:val="TableText"/>
              <w:jc w:val="center"/>
              <w:rPr>
                <w:rFonts w:cstheme="minorBidi"/>
                <w:highlight w:val="lightGray"/>
                <w:lang w:eastAsia="en-US"/>
              </w:rPr>
            </w:pPr>
            <w:r w:rsidRPr="001A4B8B">
              <w:rPr>
                <w:color w:val="000000"/>
                <w:spacing w:val="102"/>
                <w:shd w:val="solid" w:color="000000" w:fill="000000"/>
                <w:fitText w:val="188" w:id="-961838580"/>
                <w14:textFill>
                  <w14:solidFill>
                    <w14:srgbClr w14:val="000000">
                      <w14:alpha w14:val="100000"/>
                    </w14:srgbClr>
                  </w14:solidFill>
                </w14:textFill>
              </w:rPr>
              <w:t>|</w:t>
            </w:r>
            <w:r w:rsidRPr="001A4B8B">
              <w:rPr>
                <w:color w:val="000000"/>
                <w:spacing w:val="1"/>
                <w:shd w:val="solid" w:color="000000" w:fill="000000"/>
                <w:fitText w:val="188" w:id="-961838580"/>
                <w14:textFill>
                  <w14:solidFill>
                    <w14:srgbClr w14:val="000000">
                      <w14:alpha w14:val="100000"/>
                    </w14:srgbClr>
                  </w14:solidFill>
                </w14:textFill>
              </w:rPr>
              <w:t>|</w:t>
            </w:r>
            <w:r w:rsidR="00556738" w:rsidRPr="00556738">
              <w:rPr>
                <w:vertAlign w:val="superscript"/>
              </w:rPr>
              <w:t>2</w:t>
            </w:r>
          </w:p>
        </w:tc>
        <w:tc>
          <w:tcPr>
            <w:tcW w:w="445" w:type="pct"/>
            <w:tcBorders>
              <w:top w:val="nil"/>
              <w:bottom w:val="single" w:sz="4" w:space="0" w:color="auto"/>
            </w:tcBorders>
            <w:noWrap/>
            <w:vAlign w:val="bottom"/>
          </w:tcPr>
          <w:p w14:paraId="1541D501" w14:textId="60FA5048" w:rsidR="00A677E9" w:rsidRPr="00D20CA8" w:rsidRDefault="001A4B8B" w:rsidP="000B39FC">
            <w:pPr>
              <w:pStyle w:val="TableText"/>
              <w:jc w:val="right"/>
              <w:rPr>
                <w:rFonts w:cstheme="minorBidi"/>
                <w:lang w:eastAsia="en-US"/>
              </w:rPr>
            </w:pPr>
            <w:r w:rsidRPr="001A4B8B">
              <w:rPr>
                <w:color w:val="000000"/>
                <w:spacing w:val="47"/>
                <w:shd w:val="solid" w:color="000000" w:fill="000000"/>
                <w:fitText w:val="313" w:id="-961838579"/>
                <w14:textFill>
                  <w14:solidFill>
                    <w14:srgbClr w14:val="000000">
                      <w14:alpha w14:val="100000"/>
                    </w14:srgbClr>
                  </w14:solidFill>
                </w14:textFill>
              </w:rPr>
              <w:t>|||</w:t>
            </w:r>
            <w:r w:rsidRPr="001A4B8B">
              <w:rPr>
                <w:color w:val="000000"/>
                <w:spacing w:val="2"/>
                <w:shd w:val="solid" w:color="000000" w:fill="000000"/>
                <w:fitText w:val="313" w:id="-961838579"/>
                <w14:textFill>
                  <w14:solidFill>
                    <w14:srgbClr w14:val="000000">
                      <w14:alpha w14:val="100000"/>
                    </w14:srgbClr>
                  </w14:solidFill>
                </w14:textFill>
              </w:rPr>
              <w:t>|</w:t>
            </w:r>
            <w:r w:rsidR="00A677E9" w:rsidRPr="00D20CA8">
              <w:t>%</w:t>
            </w:r>
          </w:p>
        </w:tc>
      </w:tr>
      <w:tr w:rsidR="00A677E9" w:rsidRPr="00D20CA8" w14:paraId="60F3670B" w14:textId="77777777" w:rsidTr="001A4B8B">
        <w:trPr>
          <w:trHeight w:val="20"/>
        </w:trPr>
        <w:tc>
          <w:tcPr>
            <w:tcW w:w="2903" w:type="pct"/>
            <w:tcBorders>
              <w:bottom w:val="single" w:sz="4" w:space="0" w:color="auto"/>
              <w:right w:val="nil"/>
            </w:tcBorders>
            <w:noWrap/>
            <w:vAlign w:val="bottom"/>
          </w:tcPr>
          <w:p w14:paraId="107753D2" w14:textId="77777777" w:rsidR="00A677E9" w:rsidRPr="00D20CA8" w:rsidRDefault="00A677E9" w:rsidP="000B39FC">
            <w:pPr>
              <w:pStyle w:val="TableText"/>
              <w:rPr>
                <w:rFonts w:cstheme="minorBidi"/>
                <w:lang w:eastAsia="en-US"/>
              </w:rPr>
            </w:pPr>
            <w:r w:rsidRPr="00D20CA8">
              <w:t>F</w:t>
            </w:r>
            <w:r w:rsidRPr="00D20CA8">
              <w:rPr>
                <w:vertAlign w:val="subscript"/>
              </w:rPr>
              <w:t>x</w:t>
            </w:r>
            <w:r w:rsidRPr="00D20CA8">
              <w:t xml:space="preserve"> to F</w:t>
            </w:r>
            <w:r w:rsidRPr="00D20CA8">
              <w:rPr>
                <w:vertAlign w:val="subscript"/>
              </w:rPr>
              <w:t xml:space="preserve">x+1 </w:t>
            </w:r>
            <w:r w:rsidRPr="00D20CA8">
              <w:t>(base case: 15.07%, 5.3% with RR of 3 applied) </w:t>
            </w:r>
            <w:r w:rsidRPr="00D20CA8">
              <w:rPr>
                <w:vertAlign w:val="superscript"/>
              </w:rPr>
              <w:t>a</w:t>
            </w:r>
          </w:p>
        </w:tc>
        <w:tc>
          <w:tcPr>
            <w:tcW w:w="550" w:type="pct"/>
            <w:tcBorders>
              <w:left w:val="nil"/>
              <w:bottom w:val="single" w:sz="4" w:space="0" w:color="auto"/>
              <w:right w:val="nil"/>
            </w:tcBorders>
            <w:noWrap/>
            <w:vAlign w:val="bottom"/>
          </w:tcPr>
          <w:p w14:paraId="4CD74AE6"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7A612873" w14:textId="77777777" w:rsidR="00A677E9" w:rsidRPr="00D20CA8" w:rsidRDefault="00A677E9" w:rsidP="000B39FC">
            <w:pPr>
              <w:pStyle w:val="TableText"/>
              <w:jc w:val="right"/>
              <w:rPr>
                <w:rFonts w:cstheme="minorBidi"/>
                <w:lang w:eastAsia="en-US"/>
              </w:rPr>
            </w:pPr>
          </w:p>
        </w:tc>
        <w:tc>
          <w:tcPr>
            <w:tcW w:w="551" w:type="pct"/>
            <w:tcBorders>
              <w:left w:val="nil"/>
              <w:bottom w:val="single" w:sz="4" w:space="0" w:color="auto"/>
              <w:right w:val="nil"/>
            </w:tcBorders>
            <w:noWrap/>
            <w:vAlign w:val="bottom"/>
          </w:tcPr>
          <w:p w14:paraId="7C59CE3E" w14:textId="77777777" w:rsidR="00A677E9" w:rsidRPr="00D20CA8" w:rsidRDefault="00A677E9" w:rsidP="000B39FC">
            <w:pPr>
              <w:pStyle w:val="TableText"/>
              <w:jc w:val="right"/>
              <w:rPr>
                <w:rFonts w:cstheme="minorBidi"/>
                <w:lang w:eastAsia="en-US"/>
              </w:rPr>
            </w:pPr>
          </w:p>
        </w:tc>
        <w:tc>
          <w:tcPr>
            <w:tcW w:w="445" w:type="pct"/>
            <w:tcBorders>
              <w:left w:val="nil"/>
              <w:bottom w:val="single" w:sz="4" w:space="0" w:color="auto"/>
            </w:tcBorders>
            <w:noWrap/>
            <w:vAlign w:val="bottom"/>
          </w:tcPr>
          <w:p w14:paraId="1C4A1424" w14:textId="77777777" w:rsidR="00A677E9" w:rsidRPr="00D20CA8" w:rsidRDefault="00A677E9" w:rsidP="000B39FC">
            <w:pPr>
              <w:pStyle w:val="TableText"/>
              <w:jc w:val="right"/>
              <w:rPr>
                <w:rFonts w:cstheme="minorBidi"/>
                <w:lang w:eastAsia="en-US"/>
              </w:rPr>
            </w:pPr>
          </w:p>
        </w:tc>
      </w:tr>
      <w:tr w:rsidR="00A677E9" w:rsidRPr="00D20CA8" w14:paraId="6F35D803" w14:textId="77777777" w:rsidTr="001A4B8B">
        <w:trPr>
          <w:trHeight w:val="20"/>
        </w:trPr>
        <w:tc>
          <w:tcPr>
            <w:tcW w:w="2903" w:type="pct"/>
            <w:tcBorders>
              <w:bottom w:val="nil"/>
            </w:tcBorders>
            <w:noWrap/>
            <w:vAlign w:val="bottom"/>
          </w:tcPr>
          <w:p w14:paraId="74C4F326" w14:textId="77777777" w:rsidR="00A677E9" w:rsidRPr="00D20CA8" w:rsidRDefault="00A677E9" w:rsidP="000B39FC">
            <w:pPr>
              <w:pStyle w:val="TableText"/>
              <w:numPr>
                <w:ilvl w:val="0"/>
                <w:numId w:val="25"/>
              </w:numPr>
              <w:ind w:left="306" w:hanging="142"/>
            </w:pPr>
            <w:r w:rsidRPr="00D20CA8">
              <w:t>3.91% (Romeo et al. 2009)</w:t>
            </w:r>
          </w:p>
        </w:tc>
        <w:tc>
          <w:tcPr>
            <w:tcW w:w="550" w:type="pct"/>
            <w:tcBorders>
              <w:bottom w:val="nil"/>
            </w:tcBorders>
            <w:shd w:val="solid" w:color="000000" w:fill="000000"/>
            <w:noWrap/>
            <w:vAlign w:val="bottom"/>
          </w:tcPr>
          <w:p w14:paraId="42B0F70F" w14:textId="2D61D200" w:rsidR="00A677E9" w:rsidRPr="00700BF1" w:rsidRDefault="001A4B8B" w:rsidP="000B39FC">
            <w:pPr>
              <w:pStyle w:val="TableText"/>
              <w:jc w:val="center"/>
              <w:rPr>
                <w:highlight w:val="lightGray"/>
              </w:rPr>
            </w:pPr>
            <w:r w:rsidRPr="001A4B8B">
              <w:rPr>
                <w:color w:val="000000"/>
                <w:spacing w:val="65"/>
                <w:fitText w:val="151" w:id="-961838578"/>
                <w14:textFill>
                  <w14:solidFill>
                    <w14:srgbClr w14:val="000000">
                      <w14:alpha w14:val="100000"/>
                    </w14:srgbClr>
                  </w14:solidFill>
                </w14:textFill>
              </w:rPr>
              <w:t>|</w:t>
            </w:r>
            <w:r w:rsidRPr="001A4B8B">
              <w:rPr>
                <w:color w:val="000000"/>
                <w:fitText w:val="151" w:id="-961838578"/>
                <w14:textFill>
                  <w14:solidFill>
                    <w14:srgbClr w14:val="000000">
                      <w14:alpha w14:val="100000"/>
                    </w14:srgbClr>
                  </w14:solidFill>
                </w14:textFill>
              </w:rPr>
              <w:t>|</w:t>
            </w:r>
          </w:p>
        </w:tc>
        <w:tc>
          <w:tcPr>
            <w:tcW w:w="551" w:type="pct"/>
            <w:tcBorders>
              <w:bottom w:val="nil"/>
            </w:tcBorders>
            <w:noWrap/>
            <w:vAlign w:val="bottom"/>
          </w:tcPr>
          <w:p w14:paraId="1A02D6D7" w14:textId="77777777" w:rsidR="00A677E9" w:rsidRPr="00D20CA8" w:rsidRDefault="00A677E9" w:rsidP="000B39FC">
            <w:pPr>
              <w:pStyle w:val="TableText"/>
              <w:jc w:val="right"/>
              <w:rPr>
                <w:rFonts w:cstheme="minorBidi"/>
                <w:lang w:eastAsia="en-US"/>
              </w:rPr>
            </w:pPr>
            <w:r w:rsidRPr="00D20CA8">
              <w:t>2.024</w:t>
            </w:r>
          </w:p>
        </w:tc>
        <w:tc>
          <w:tcPr>
            <w:tcW w:w="551" w:type="pct"/>
            <w:tcBorders>
              <w:bottom w:val="nil"/>
            </w:tcBorders>
            <w:noWrap/>
            <w:vAlign w:val="bottom"/>
          </w:tcPr>
          <w:p w14:paraId="79F8A828" w14:textId="1D7821D9" w:rsidR="00A677E9" w:rsidRPr="00221F0B" w:rsidRDefault="001A4B8B" w:rsidP="000B39FC">
            <w:pPr>
              <w:pStyle w:val="TableText"/>
              <w:jc w:val="center"/>
              <w:rPr>
                <w:rFonts w:cstheme="minorBidi"/>
                <w:highlight w:val="lightGray"/>
                <w:lang w:eastAsia="en-US"/>
              </w:rPr>
            </w:pPr>
            <w:r w:rsidRPr="001A4B8B">
              <w:rPr>
                <w:color w:val="000000"/>
                <w:spacing w:val="102"/>
                <w:shd w:val="solid" w:color="000000" w:fill="000000"/>
                <w:fitText w:val="188" w:id="-961838577"/>
                <w14:textFill>
                  <w14:solidFill>
                    <w14:srgbClr w14:val="000000">
                      <w14:alpha w14:val="100000"/>
                    </w14:srgbClr>
                  </w14:solidFill>
                </w14:textFill>
              </w:rPr>
              <w:t>|</w:t>
            </w:r>
            <w:r w:rsidRPr="001A4B8B">
              <w:rPr>
                <w:color w:val="000000"/>
                <w:spacing w:val="1"/>
                <w:shd w:val="solid" w:color="000000" w:fill="000000"/>
                <w:fitText w:val="188" w:id="-961838577"/>
                <w14:textFill>
                  <w14:solidFill>
                    <w14:srgbClr w14:val="000000">
                      <w14:alpha w14:val="100000"/>
                    </w14:srgbClr>
                  </w14:solidFill>
                </w14:textFill>
              </w:rPr>
              <w:t>|</w:t>
            </w:r>
            <w:r w:rsidR="00556738" w:rsidRPr="00556738">
              <w:rPr>
                <w:vertAlign w:val="superscript"/>
              </w:rPr>
              <w:t>2</w:t>
            </w:r>
          </w:p>
        </w:tc>
        <w:tc>
          <w:tcPr>
            <w:tcW w:w="445" w:type="pct"/>
            <w:tcBorders>
              <w:bottom w:val="nil"/>
            </w:tcBorders>
            <w:noWrap/>
            <w:vAlign w:val="bottom"/>
          </w:tcPr>
          <w:p w14:paraId="5357ED42" w14:textId="7DCA437F" w:rsidR="00A677E9" w:rsidRPr="00D20CA8" w:rsidRDefault="001A4B8B" w:rsidP="000B39FC">
            <w:pPr>
              <w:pStyle w:val="TableText"/>
              <w:jc w:val="right"/>
              <w:rPr>
                <w:rFonts w:cstheme="minorBidi"/>
                <w:lang w:eastAsia="en-US"/>
              </w:rPr>
            </w:pPr>
            <w:r w:rsidRPr="001A4B8B">
              <w:rPr>
                <w:color w:val="000000"/>
                <w:spacing w:val="47"/>
                <w:shd w:val="solid" w:color="000000" w:fill="000000"/>
                <w:fitText w:val="313" w:id="-961838576"/>
                <w14:textFill>
                  <w14:solidFill>
                    <w14:srgbClr w14:val="000000">
                      <w14:alpha w14:val="100000"/>
                    </w14:srgbClr>
                  </w14:solidFill>
                </w14:textFill>
              </w:rPr>
              <w:t>|||</w:t>
            </w:r>
            <w:r w:rsidRPr="001A4B8B">
              <w:rPr>
                <w:color w:val="000000"/>
                <w:spacing w:val="2"/>
                <w:shd w:val="solid" w:color="000000" w:fill="000000"/>
                <w:fitText w:val="313" w:id="-961838576"/>
                <w14:textFill>
                  <w14:solidFill>
                    <w14:srgbClr w14:val="000000">
                      <w14:alpha w14:val="100000"/>
                    </w14:srgbClr>
                  </w14:solidFill>
                </w14:textFill>
              </w:rPr>
              <w:t>|</w:t>
            </w:r>
            <w:r w:rsidR="00A677E9" w:rsidRPr="00D20CA8">
              <w:t>%</w:t>
            </w:r>
          </w:p>
        </w:tc>
      </w:tr>
      <w:tr w:rsidR="00A677E9" w:rsidRPr="00D20CA8" w14:paraId="2F0DD412" w14:textId="77777777" w:rsidTr="001A4B8B">
        <w:trPr>
          <w:trHeight w:val="20"/>
        </w:trPr>
        <w:tc>
          <w:tcPr>
            <w:tcW w:w="2903" w:type="pct"/>
            <w:tcBorders>
              <w:top w:val="nil"/>
              <w:bottom w:val="single" w:sz="4" w:space="0" w:color="auto"/>
              <w:right w:val="single" w:sz="4" w:space="0" w:color="auto"/>
            </w:tcBorders>
            <w:noWrap/>
            <w:vAlign w:val="bottom"/>
          </w:tcPr>
          <w:p w14:paraId="7FACDF86" w14:textId="77777777" w:rsidR="00A677E9" w:rsidRPr="00D20CA8" w:rsidRDefault="00A677E9" w:rsidP="000B39FC">
            <w:pPr>
              <w:pStyle w:val="TableText"/>
              <w:numPr>
                <w:ilvl w:val="0"/>
                <w:numId w:val="25"/>
              </w:numPr>
              <w:ind w:left="306" w:hanging="142"/>
            </w:pPr>
            <w:r w:rsidRPr="00D20CA8">
              <w:t>4.1% (Goyal and Murray 2016)</w:t>
            </w:r>
          </w:p>
        </w:tc>
        <w:tc>
          <w:tcPr>
            <w:tcW w:w="550" w:type="pct"/>
            <w:tcBorders>
              <w:top w:val="nil"/>
              <w:left w:val="single" w:sz="4" w:space="0" w:color="auto"/>
              <w:bottom w:val="single" w:sz="4" w:space="0" w:color="auto"/>
              <w:right w:val="single" w:sz="4" w:space="0" w:color="auto"/>
            </w:tcBorders>
            <w:shd w:val="solid" w:color="000000" w:fill="000000"/>
            <w:noWrap/>
            <w:vAlign w:val="bottom"/>
          </w:tcPr>
          <w:p w14:paraId="26082260" w14:textId="5D389F13" w:rsidR="00A677E9" w:rsidRPr="00700BF1" w:rsidRDefault="001A4B8B" w:rsidP="000B39FC">
            <w:pPr>
              <w:pStyle w:val="TableText"/>
              <w:jc w:val="center"/>
              <w:rPr>
                <w:highlight w:val="lightGray"/>
              </w:rPr>
            </w:pPr>
            <w:r w:rsidRPr="001A4B8B">
              <w:rPr>
                <w:color w:val="000000"/>
                <w:spacing w:val="65"/>
                <w:fitText w:val="151" w:id="-961838592"/>
                <w14:textFill>
                  <w14:solidFill>
                    <w14:srgbClr w14:val="000000">
                      <w14:alpha w14:val="100000"/>
                    </w14:srgbClr>
                  </w14:solidFill>
                </w14:textFill>
              </w:rPr>
              <w:t>|</w:t>
            </w:r>
            <w:r w:rsidRPr="001A4B8B">
              <w:rPr>
                <w:color w:val="000000"/>
                <w:fitText w:val="151" w:id="-961838592"/>
                <w14:textFill>
                  <w14:solidFill>
                    <w14:srgbClr w14:val="000000">
                      <w14:alpha w14:val="100000"/>
                    </w14:srgbClr>
                  </w14:solidFill>
                </w14:textFill>
              </w:rPr>
              <w:t>|</w:t>
            </w:r>
          </w:p>
        </w:tc>
        <w:tc>
          <w:tcPr>
            <w:tcW w:w="551" w:type="pct"/>
            <w:tcBorders>
              <w:top w:val="nil"/>
              <w:left w:val="single" w:sz="4" w:space="0" w:color="auto"/>
              <w:bottom w:val="single" w:sz="4" w:space="0" w:color="auto"/>
              <w:right w:val="single" w:sz="4" w:space="0" w:color="auto"/>
            </w:tcBorders>
            <w:noWrap/>
            <w:vAlign w:val="bottom"/>
          </w:tcPr>
          <w:p w14:paraId="211B78BF" w14:textId="77777777" w:rsidR="00A677E9" w:rsidRPr="00D20CA8" w:rsidRDefault="00A677E9" w:rsidP="000B39FC">
            <w:pPr>
              <w:pStyle w:val="TableText"/>
              <w:jc w:val="right"/>
            </w:pPr>
            <w:r w:rsidRPr="00D20CA8">
              <w:t>2.029</w:t>
            </w:r>
          </w:p>
        </w:tc>
        <w:tc>
          <w:tcPr>
            <w:tcW w:w="551" w:type="pct"/>
            <w:tcBorders>
              <w:top w:val="nil"/>
              <w:left w:val="single" w:sz="4" w:space="0" w:color="auto"/>
              <w:bottom w:val="single" w:sz="4" w:space="0" w:color="auto"/>
              <w:right w:val="single" w:sz="4" w:space="0" w:color="auto"/>
            </w:tcBorders>
            <w:noWrap/>
            <w:vAlign w:val="bottom"/>
          </w:tcPr>
          <w:p w14:paraId="35F3EFE2" w14:textId="742F8583" w:rsidR="00A677E9" w:rsidRPr="00221F0B" w:rsidRDefault="001A4B8B" w:rsidP="000B39FC">
            <w:pPr>
              <w:pStyle w:val="TableText"/>
              <w:jc w:val="center"/>
              <w:rPr>
                <w:highlight w:val="lightGray"/>
              </w:rPr>
            </w:pPr>
            <w:r w:rsidRPr="001A4B8B">
              <w:rPr>
                <w:color w:val="000000"/>
                <w:spacing w:val="102"/>
                <w:shd w:val="solid" w:color="000000" w:fill="000000"/>
                <w:fitText w:val="188" w:id="-961838591"/>
                <w14:textFill>
                  <w14:solidFill>
                    <w14:srgbClr w14:val="000000">
                      <w14:alpha w14:val="100000"/>
                    </w14:srgbClr>
                  </w14:solidFill>
                </w14:textFill>
              </w:rPr>
              <w:t>|</w:t>
            </w:r>
            <w:r w:rsidRPr="001A4B8B">
              <w:rPr>
                <w:color w:val="000000"/>
                <w:spacing w:val="1"/>
                <w:shd w:val="solid" w:color="000000" w:fill="000000"/>
                <w:fitText w:val="188" w:id="-961838591"/>
                <w14:textFill>
                  <w14:solidFill>
                    <w14:srgbClr w14:val="000000">
                      <w14:alpha w14:val="100000"/>
                    </w14:srgbClr>
                  </w14:solidFill>
                </w14:textFill>
              </w:rPr>
              <w:t>|</w:t>
            </w:r>
            <w:r w:rsidR="00556738" w:rsidRPr="00556738">
              <w:rPr>
                <w:vertAlign w:val="superscript"/>
              </w:rPr>
              <w:t>2</w:t>
            </w:r>
          </w:p>
        </w:tc>
        <w:tc>
          <w:tcPr>
            <w:tcW w:w="445" w:type="pct"/>
            <w:tcBorders>
              <w:top w:val="nil"/>
              <w:left w:val="single" w:sz="4" w:space="0" w:color="auto"/>
              <w:bottom w:val="single" w:sz="4" w:space="0" w:color="auto"/>
            </w:tcBorders>
            <w:noWrap/>
            <w:vAlign w:val="bottom"/>
          </w:tcPr>
          <w:p w14:paraId="6A46894A" w14:textId="7231BB1E" w:rsidR="00A677E9" w:rsidRPr="00D20CA8" w:rsidRDefault="001A4B8B" w:rsidP="000B39FC">
            <w:pPr>
              <w:pStyle w:val="TableText"/>
              <w:jc w:val="right"/>
            </w:pPr>
            <w:r w:rsidRPr="001A4B8B">
              <w:rPr>
                <w:color w:val="000000"/>
                <w:spacing w:val="47"/>
                <w:shd w:val="solid" w:color="000000" w:fill="000000"/>
                <w:fitText w:val="313" w:id="-961838590"/>
                <w14:textFill>
                  <w14:solidFill>
                    <w14:srgbClr w14:val="000000">
                      <w14:alpha w14:val="100000"/>
                    </w14:srgbClr>
                  </w14:solidFill>
                </w14:textFill>
              </w:rPr>
              <w:t>|||</w:t>
            </w:r>
            <w:r w:rsidRPr="001A4B8B">
              <w:rPr>
                <w:color w:val="000000"/>
                <w:spacing w:val="2"/>
                <w:shd w:val="solid" w:color="000000" w:fill="000000"/>
                <w:fitText w:val="313" w:id="-961838590"/>
                <w14:textFill>
                  <w14:solidFill>
                    <w14:srgbClr w14:val="000000">
                      <w14:alpha w14:val="100000"/>
                    </w14:srgbClr>
                  </w14:solidFill>
                </w14:textFill>
              </w:rPr>
              <w:t>|</w:t>
            </w:r>
            <w:r w:rsidR="00A677E9" w:rsidRPr="00D20CA8">
              <w:t>%</w:t>
            </w:r>
          </w:p>
        </w:tc>
      </w:tr>
      <w:tr w:rsidR="00A677E9" w:rsidRPr="00D20CA8" w14:paraId="74C115F0" w14:textId="77777777" w:rsidTr="001A4B8B">
        <w:trPr>
          <w:trHeight w:val="20"/>
        </w:trPr>
        <w:tc>
          <w:tcPr>
            <w:tcW w:w="2903" w:type="pct"/>
            <w:tcBorders>
              <w:bottom w:val="single" w:sz="4" w:space="0" w:color="auto"/>
              <w:right w:val="nil"/>
            </w:tcBorders>
            <w:noWrap/>
            <w:vAlign w:val="bottom"/>
          </w:tcPr>
          <w:p w14:paraId="408D7781" w14:textId="77777777" w:rsidR="00A677E9" w:rsidRPr="00D20CA8" w:rsidRDefault="00A677E9" w:rsidP="000B39FC">
            <w:pPr>
              <w:pStyle w:val="TableText"/>
            </w:pPr>
            <w:r w:rsidRPr="00D20CA8">
              <w:t>HBsAg seroclearance (base case: 1.13%) </w:t>
            </w:r>
            <w:r w:rsidRPr="00D20CA8">
              <w:rPr>
                <w:vertAlign w:val="superscript"/>
              </w:rPr>
              <w:t>a</w:t>
            </w:r>
          </w:p>
        </w:tc>
        <w:tc>
          <w:tcPr>
            <w:tcW w:w="550" w:type="pct"/>
            <w:tcBorders>
              <w:left w:val="nil"/>
              <w:bottom w:val="single" w:sz="4" w:space="0" w:color="auto"/>
              <w:right w:val="nil"/>
            </w:tcBorders>
            <w:noWrap/>
            <w:vAlign w:val="bottom"/>
          </w:tcPr>
          <w:p w14:paraId="0E2E55DA"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22A03256"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76B7D22C" w14:textId="77777777" w:rsidR="00A677E9" w:rsidRPr="00D20CA8" w:rsidRDefault="00A677E9" w:rsidP="000B39FC">
            <w:pPr>
              <w:pStyle w:val="TableText"/>
              <w:jc w:val="right"/>
            </w:pPr>
          </w:p>
        </w:tc>
        <w:tc>
          <w:tcPr>
            <w:tcW w:w="445" w:type="pct"/>
            <w:tcBorders>
              <w:left w:val="nil"/>
              <w:bottom w:val="single" w:sz="4" w:space="0" w:color="auto"/>
            </w:tcBorders>
            <w:noWrap/>
            <w:vAlign w:val="bottom"/>
          </w:tcPr>
          <w:p w14:paraId="0506E663" w14:textId="77777777" w:rsidR="00A677E9" w:rsidRPr="00D20CA8" w:rsidRDefault="00A677E9" w:rsidP="000B39FC">
            <w:pPr>
              <w:pStyle w:val="TableText"/>
              <w:jc w:val="right"/>
            </w:pPr>
          </w:p>
        </w:tc>
      </w:tr>
      <w:tr w:rsidR="00A677E9" w:rsidRPr="00D20CA8" w14:paraId="1F11CDEF" w14:textId="77777777" w:rsidTr="001A4B8B">
        <w:trPr>
          <w:trHeight w:val="20"/>
        </w:trPr>
        <w:tc>
          <w:tcPr>
            <w:tcW w:w="2903" w:type="pct"/>
            <w:tcBorders>
              <w:bottom w:val="nil"/>
            </w:tcBorders>
            <w:noWrap/>
            <w:vAlign w:val="bottom"/>
          </w:tcPr>
          <w:p w14:paraId="2E739E50" w14:textId="77777777" w:rsidR="00A677E9" w:rsidRPr="00D20CA8" w:rsidRDefault="00A677E9" w:rsidP="000B39FC">
            <w:pPr>
              <w:pStyle w:val="TableText"/>
              <w:numPr>
                <w:ilvl w:val="0"/>
                <w:numId w:val="25"/>
              </w:numPr>
              <w:ind w:left="306" w:hanging="142"/>
            </w:pPr>
            <w:r w:rsidRPr="00D20CA8">
              <w:t xml:space="preserve">0.25% (Romeo et al. 2009) </w:t>
            </w:r>
            <w:r w:rsidRPr="00D20CA8">
              <w:rPr>
                <w:b/>
                <w:bCs/>
              </w:rPr>
              <w:t>(#9)</w:t>
            </w:r>
          </w:p>
        </w:tc>
        <w:tc>
          <w:tcPr>
            <w:tcW w:w="550" w:type="pct"/>
            <w:tcBorders>
              <w:bottom w:val="nil"/>
            </w:tcBorders>
            <w:shd w:val="solid" w:color="000000" w:fill="000000"/>
            <w:noWrap/>
            <w:vAlign w:val="bottom"/>
          </w:tcPr>
          <w:p w14:paraId="248D1BEF" w14:textId="034552E1" w:rsidR="00A677E9" w:rsidRPr="00700BF1" w:rsidRDefault="001A4B8B" w:rsidP="000B39FC">
            <w:pPr>
              <w:pStyle w:val="TableText"/>
              <w:jc w:val="center"/>
              <w:rPr>
                <w:highlight w:val="lightGray"/>
              </w:rPr>
            </w:pPr>
            <w:r w:rsidRPr="001A4B8B">
              <w:rPr>
                <w:color w:val="000000"/>
                <w:spacing w:val="65"/>
                <w:fitText w:val="151" w:id="-961838589"/>
                <w14:textFill>
                  <w14:solidFill>
                    <w14:srgbClr w14:val="000000">
                      <w14:alpha w14:val="100000"/>
                    </w14:srgbClr>
                  </w14:solidFill>
                </w14:textFill>
              </w:rPr>
              <w:t>|</w:t>
            </w:r>
            <w:r w:rsidRPr="001A4B8B">
              <w:rPr>
                <w:color w:val="000000"/>
                <w:fitText w:val="151" w:id="-961838589"/>
                <w14:textFill>
                  <w14:solidFill>
                    <w14:srgbClr w14:val="000000">
                      <w14:alpha w14:val="100000"/>
                    </w14:srgbClr>
                  </w14:solidFill>
                </w14:textFill>
              </w:rPr>
              <w:t>|</w:t>
            </w:r>
          </w:p>
        </w:tc>
        <w:tc>
          <w:tcPr>
            <w:tcW w:w="551" w:type="pct"/>
            <w:tcBorders>
              <w:bottom w:val="nil"/>
            </w:tcBorders>
            <w:noWrap/>
            <w:vAlign w:val="bottom"/>
          </w:tcPr>
          <w:p w14:paraId="5475747E" w14:textId="77777777" w:rsidR="00A677E9" w:rsidRPr="00D20CA8" w:rsidRDefault="00A677E9" w:rsidP="000B39FC">
            <w:pPr>
              <w:pStyle w:val="TableText"/>
              <w:jc w:val="right"/>
            </w:pPr>
            <w:r w:rsidRPr="00D20CA8">
              <w:t>2.245</w:t>
            </w:r>
          </w:p>
        </w:tc>
        <w:tc>
          <w:tcPr>
            <w:tcW w:w="551" w:type="pct"/>
            <w:tcBorders>
              <w:bottom w:val="nil"/>
            </w:tcBorders>
            <w:noWrap/>
            <w:vAlign w:val="bottom"/>
          </w:tcPr>
          <w:p w14:paraId="3902E95B" w14:textId="4E2A0274"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8"/>
                <w14:textFill>
                  <w14:solidFill>
                    <w14:srgbClr w14:val="000000">
                      <w14:alpha w14:val="100000"/>
                    </w14:srgbClr>
                  </w14:solidFill>
                </w14:textFill>
              </w:rPr>
              <w:t>|</w:t>
            </w:r>
            <w:r w:rsidRPr="001A4B8B">
              <w:rPr>
                <w:color w:val="000000"/>
                <w:spacing w:val="1"/>
                <w:shd w:val="solid" w:color="000000" w:fill="000000"/>
                <w:fitText w:val="188" w:id="-961838588"/>
                <w14:textFill>
                  <w14:solidFill>
                    <w14:srgbClr w14:val="000000">
                      <w14:alpha w14:val="100000"/>
                    </w14:srgbClr>
                  </w14:solidFill>
                </w14:textFill>
              </w:rPr>
              <w:t>|</w:t>
            </w:r>
            <w:r w:rsidR="00556738" w:rsidRPr="00556738">
              <w:rPr>
                <w:vertAlign w:val="superscript"/>
              </w:rPr>
              <w:t>2</w:t>
            </w:r>
          </w:p>
        </w:tc>
        <w:tc>
          <w:tcPr>
            <w:tcW w:w="445" w:type="pct"/>
            <w:tcBorders>
              <w:bottom w:val="nil"/>
            </w:tcBorders>
            <w:noWrap/>
            <w:vAlign w:val="bottom"/>
          </w:tcPr>
          <w:p w14:paraId="3FBF0AE5" w14:textId="1CF7311D" w:rsidR="00A677E9" w:rsidRPr="00D20CA8" w:rsidRDefault="001A4B8B" w:rsidP="000B39FC">
            <w:pPr>
              <w:pStyle w:val="TableText"/>
              <w:jc w:val="right"/>
            </w:pPr>
            <w:r w:rsidRPr="001A4B8B">
              <w:rPr>
                <w:color w:val="000000"/>
                <w:spacing w:val="47"/>
                <w:shd w:val="solid" w:color="000000" w:fill="000000"/>
                <w:fitText w:val="313" w:id="-961838587"/>
                <w14:textFill>
                  <w14:solidFill>
                    <w14:srgbClr w14:val="000000">
                      <w14:alpha w14:val="100000"/>
                    </w14:srgbClr>
                  </w14:solidFill>
                </w14:textFill>
              </w:rPr>
              <w:t>|||</w:t>
            </w:r>
            <w:r w:rsidRPr="001A4B8B">
              <w:rPr>
                <w:color w:val="000000"/>
                <w:spacing w:val="2"/>
                <w:shd w:val="solid" w:color="000000" w:fill="000000"/>
                <w:fitText w:val="313" w:id="-961838587"/>
                <w14:textFill>
                  <w14:solidFill>
                    <w14:srgbClr w14:val="000000">
                      <w14:alpha w14:val="100000"/>
                    </w14:srgbClr>
                  </w14:solidFill>
                </w14:textFill>
              </w:rPr>
              <w:t>|</w:t>
            </w:r>
            <w:r w:rsidR="00A677E9" w:rsidRPr="00D20CA8">
              <w:t>%</w:t>
            </w:r>
          </w:p>
        </w:tc>
      </w:tr>
      <w:tr w:rsidR="00A677E9" w:rsidRPr="00D20CA8" w14:paraId="55478FE1" w14:textId="77777777" w:rsidTr="001A4B8B">
        <w:trPr>
          <w:trHeight w:val="20"/>
        </w:trPr>
        <w:tc>
          <w:tcPr>
            <w:tcW w:w="2903" w:type="pct"/>
            <w:tcBorders>
              <w:top w:val="nil"/>
              <w:bottom w:val="single" w:sz="4" w:space="0" w:color="auto"/>
            </w:tcBorders>
            <w:noWrap/>
            <w:vAlign w:val="bottom"/>
          </w:tcPr>
          <w:p w14:paraId="0915FC08" w14:textId="77777777" w:rsidR="00A677E9" w:rsidRPr="00D20CA8" w:rsidRDefault="00A677E9" w:rsidP="000B39FC">
            <w:pPr>
              <w:pStyle w:val="TableText"/>
              <w:numPr>
                <w:ilvl w:val="0"/>
                <w:numId w:val="25"/>
              </w:numPr>
              <w:ind w:left="306" w:hanging="142"/>
            </w:pPr>
            <w:r w:rsidRPr="00D20CA8">
              <w:t>6.7% (Goyal and Murray 2016)</w:t>
            </w:r>
          </w:p>
        </w:tc>
        <w:tc>
          <w:tcPr>
            <w:tcW w:w="550" w:type="pct"/>
            <w:tcBorders>
              <w:top w:val="nil"/>
              <w:bottom w:val="single" w:sz="4" w:space="0" w:color="auto"/>
            </w:tcBorders>
            <w:shd w:val="solid" w:color="000000" w:fill="000000"/>
            <w:noWrap/>
            <w:vAlign w:val="bottom"/>
          </w:tcPr>
          <w:p w14:paraId="2B7266D8" w14:textId="379172C9" w:rsidR="00A677E9" w:rsidRPr="00700BF1" w:rsidRDefault="001A4B8B" w:rsidP="000B39FC">
            <w:pPr>
              <w:pStyle w:val="TableText"/>
              <w:jc w:val="center"/>
              <w:rPr>
                <w:highlight w:val="lightGray"/>
              </w:rPr>
            </w:pPr>
            <w:r w:rsidRPr="001A4B8B">
              <w:rPr>
                <w:color w:val="000000"/>
                <w:spacing w:val="65"/>
                <w:fitText w:val="151" w:id="-961838586"/>
                <w14:textFill>
                  <w14:solidFill>
                    <w14:srgbClr w14:val="000000">
                      <w14:alpha w14:val="100000"/>
                    </w14:srgbClr>
                  </w14:solidFill>
                </w14:textFill>
              </w:rPr>
              <w:t>|</w:t>
            </w:r>
            <w:r w:rsidRPr="001A4B8B">
              <w:rPr>
                <w:color w:val="000000"/>
                <w:fitText w:val="151" w:id="-961838586"/>
                <w14:textFill>
                  <w14:solidFill>
                    <w14:srgbClr w14:val="000000">
                      <w14:alpha w14:val="100000"/>
                    </w14:srgbClr>
                  </w14:solidFill>
                </w14:textFill>
              </w:rPr>
              <w:t>|</w:t>
            </w:r>
          </w:p>
        </w:tc>
        <w:tc>
          <w:tcPr>
            <w:tcW w:w="551" w:type="pct"/>
            <w:tcBorders>
              <w:top w:val="nil"/>
              <w:bottom w:val="single" w:sz="4" w:space="0" w:color="auto"/>
            </w:tcBorders>
            <w:noWrap/>
            <w:vAlign w:val="bottom"/>
          </w:tcPr>
          <w:p w14:paraId="5EE03F30" w14:textId="77777777" w:rsidR="00A677E9" w:rsidRPr="00D20CA8" w:rsidRDefault="00A677E9" w:rsidP="000B39FC">
            <w:pPr>
              <w:pStyle w:val="TableText"/>
              <w:jc w:val="right"/>
            </w:pPr>
            <w:r w:rsidRPr="00D20CA8">
              <w:t>1.960</w:t>
            </w:r>
          </w:p>
        </w:tc>
        <w:tc>
          <w:tcPr>
            <w:tcW w:w="551" w:type="pct"/>
            <w:tcBorders>
              <w:top w:val="nil"/>
              <w:bottom w:val="single" w:sz="4" w:space="0" w:color="auto"/>
            </w:tcBorders>
            <w:noWrap/>
            <w:vAlign w:val="bottom"/>
          </w:tcPr>
          <w:p w14:paraId="5BE502A8" w14:textId="704A5C4A"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5"/>
                <w14:textFill>
                  <w14:solidFill>
                    <w14:srgbClr w14:val="000000">
                      <w14:alpha w14:val="100000"/>
                    </w14:srgbClr>
                  </w14:solidFill>
                </w14:textFill>
              </w:rPr>
              <w:t>|</w:t>
            </w:r>
            <w:r w:rsidRPr="001A4B8B">
              <w:rPr>
                <w:color w:val="000000"/>
                <w:spacing w:val="1"/>
                <w:shd w:val="solid" w:color="000000" w:fill="000000"/>
                <w:fitText w:val="188" w:id="-961838585"/>
                <w14:textFill>
                  <w14:solidFill>
                    <w14:srgbClr w14:val="000000">
                      <w14:alpha w14:val="100000"/>
                    </w14:srgbClr>
                  </w14:solidFill>
                </w14:textFill>
              </w:rPr>
              <w:t>|</w:t>
            </w:r>
            <w:r w:rsidR="006F5F9D" w:rsidRPr="006F5F9D">
              <w:rPr>
                <w:vertAlign w:val="superscript"/>
              </w:rPr>
              <w:t>6</w:t>
            </w:r>
          </w:p>
        </w:tc>
        <w:tc>
          <w:tcPr>
            <w:tcW w:w="445" w:type="pct"/>
            <w:tcBorders>
              <w:top w:val="nil"/>
              <w:bottom w:val="single" w:sz="4" w:space="0" w:color="auto"/>
            </w:tcBorders>
            <w:noWrap/>
            <w:vAlign w:val="bottom"/>
          </w:tcPr>
          <w:p w14:paraId="7BA3C849" w14:textId="2ABC0F3D" w:rsidR="00A677E9" w:rsidRPr="00D20CA8" w:rsidRDefault="00A677E9" w:rsidP="000B39FC">
            <w:pPr>
              <w:pStyle w:val="TableText"/>
              <w:jc w:val="right"/>
            </w:pPr>
            <w:r w:rsidRPr="00D20CA8">
              <w:t>−</w:t>
            </w:r>
            <w:r w:rsidR="001A4B8B" w:rsidRPr="001A4B8B">
              <w:rPr>
                <w:color w:val="000000"/>
                <w:spacing w:val="77"/>
                <w:shd w:val="solid" w:color="000000" w:fill="000000"/>
                <w:fitText w:val="163" w:id="-961838584"/>
                <w14:textFill>
                  <w14:solidFill>
                    <w14:srgbClr w14:val="000000">
                      <w14:alpha w14:val="100000"/>
                    </w14:srgbClr>
                  </w14:solidFill>
                </w14:textFill>
              </w:rPr>
              <w:t>|</w:t>
            </w:r>
            <w:r w:rsidR="001A4B8B" w:rsidRPr="001A4B8B">
              <w:rPr>
                <w:color w:val="000000"/>
                <w:spacing w:val="1"/>
                <w:shd w:val="solid" w:color="000000" w:fill="000000"/>
                <w:fitText w:val="163" w:id="-961838584"/>
                <w14:textFill>
                  <w14:solidFill>
                    <w14:srgbClr w14:val="000000">
                      <w14:alpha w14:val="100000"/>
                    </w14:srgbClr>
                  </w14:solidFill>
                </w14:textFill>
              </w:rPr>
              <w:t>|</w:t>
            </w:r>
            <w:r w:rsidRPr="00D20CA8">
              <w:t>%</w:t>
            </w:r>
          </w:p>
        </w:tc>
      </w:tr>
      <w:tr w:rsidR="00A677E9" w:rsidRPr="00D20CA8" w14:paraId="7CD9F2FD" w14:textId="77777777" w:rsidTr="001A4B8B">
        <w:trPr>
          <w:trHeight w:val="20"/>
        </w:trPr>
        <w:tc>
          <w:tcPr>
            <w:tcW w:w="2903" w:type="pct"/>
            <w:tcBorders>
              <w:bottom w:val="single" w:sz="4" w:space="0" w:color="auto"/>
              <w:right w:val="nil"/>
            </w:tcBorders>
            <w:noWrap/>
            <w:vAlign w:val="bottom"/>
          </w:tcPr>
          <w:p w14:paraId="35679237" w14:textId="77777777" w:rsidR="00A677E9" w:rsidRPr="00D20CA8" w:rsidRDefault="00A677E9" w:rsidP="000B39FC">
            <w:pPr>
              <w:pStyle w:val="TableText"/>
            </w:pPr>
            <w:r w:rsidRPr="00D20CA8">
              <w:t>Definition of response (base case: virologic)</w:t>
            </w:r>
          </w:p>
        </w:tc>
        <w:tc>
          <w:tcPr>
            <w:tcW w:w="550" w:type="pct"/>
            <w:tcBorders>
              <w:left w:val="nil"/>
              <w:bottom w:val="single" w:sz="4" w:space="0" w:color="auto"/>
              <w:right w:val="nil"/>
            </w:tcBorders>
            <w:noWrap/>
            <w:vAlign w:val="bottom"/>
          </w:tcPr>
          <w:p w14:paraId="61611BE6"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6578312D"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4F037765" w14:textId="77777777" w:rsidR="00A677E9" w:rsidRPr="00D20CA8" w:rsidRDefault="00A677E9" w:rsidP="000B39FC">
            <w:pPr>
              <w:pStyle w:val="TableText"/>
              <w:jc w:val="right"/>
            </w:pPr>
          </w:p>
        </w:tc>
        <w:tc>
          <w:tcPr>
            <w:tcW w:w="445" w:type="pct"/>
            <w:tcBorders>
              <w:left w:val="nil"/>
              <w:bottom w:val="single" w:sz="4" w:space="0" w:color="auto"/>
            </w:tcBorders>
            <w:noWrap/>
            <w:vAlign w:val="bottom"/>
          </w:tcPr>
          <w:p w14:paraId="530834AF" w14:textId="77777777" w:rsidR="00A677E9" w:rsidRPr="00D20CA8" w:rsidRDefault="00A677E9" w:rsidP="000B39FC">
            <w:pPr>
              <w:pStyle w:val="TableText"/>
              <w:jc w:val="right"/>
            </w:pPr>
          </w:p>
        </w:tc>
      </w:tr>
      <w:tr w:rsidR="00A677E9" w:rsidRPr="00D20CA8" w14:paraId="210CDFDB" w14:textId="77777777" w:rsidTr="001A4B8B">
        <w:trPr>
          <w:trHeight w:val="20"/>
        </w:trPr>
        <w:tc>
          <w:tcPr>
            <w:tcW w:w="2903" w:type="pct"/>
            <w:tcBorders>
              <w:bottom w:val="nil"/>
            </w:tcBorders>
            <w:noWrap/>
            <w:vAlign w:val="bottom"/>
          </w:tcPr>
          <w:p w14:paraId="504BD6CF" w14:textId="77777777" w:rsidR="00A677E9" w:rsidRPr="00D20CA8" w:rsidRDefault="00A677E9" w:rsidP="000B39FC">
            <w:pPr>
              <w:pStyle w:val="TableText"/>
              <w:numPr>
                <w:ilvl w:val="0"/>
                <w:numId w:val="25"/>
              </w:numPr>
              <w:ind w:left="306" w:hanging="142"/>
            </w:pPr>
            <w:r w:rsidRPr="00D20CA8">
              <w:t>Combined</w:t>
            </w:r>
          </w:p>
        </w:tc>
        <w:tc>
          <w:tcPr>
            <w:tcW w:w="550" w:type="pct"/>
            <w:tcBorders>
              <w:bottom w:val="nil"/>
            </w:tcBorders>
            <w:shd w:val="solid" w:color="000000" w:fill="000000"/>
            <w:noWrap/>
            <w:vAlign w:val="bottom"/>
          </w:tcPr>
          <w:p w14:paraId="087CA9A1" w14:textId="62DCD24B" w:rsidR="00A677E9" w:rsidRPr="00700BF1" w:rsidRDefault="001A4B8B" w:rsidP="000B39FC">
            <w:pPr>
              <w:pStyle w:val="TableText"/>
              <w:jc w:val="center"/>
              <w:rPr>
                <w:highlight w:val="lightGray"/>
              </w:rPr>
            </w:pPr>
            <w:r w:rsidRPr="001A4B8B">
              <w:rPr>
                <w:color w:val="000000"/>
                <w:spacing w:val="65"/>
                <w:fitText w:val="151" w:id="-961838583"/>
                <w14:textFill>
                  <w14:solidFill>
                    <w14:srgbClr w14:val="000000">
                      <w14:alpha w14:val="100000"/>
                    </w14:srgbClr>
                  </w14:solidFill>
                </w14:textFill>
              </w:rPr>
              <w:t>|</w:t>
            </w:r>
            <w:r w:rsidRPr="001A4B8B">
              <w:rPr>
                <w:color w:val="000000"/>
                <w:fitText w:val="151" w:id="-961838583"/>
                <w14:textFill>
                  <w14:solidFill>
                    <w14:srgbClr w14:val="000000">
                      <w14:alpha w14:val="100000"/>
                    </w14:srgbClr>
                  </w14:solidFill>
                </w14:textFill>
              </w:rPr>
              <w:t>|</w:t>
            </w:r>
          </w:p>
        </w:tc>
        <w:tc>
          <w:tcPr>
            <w:tcW w:w="551" w:type="pct"/>
            <w:tcBorders>
              <w:bottom w:val="nil"/>
            </w:tcBorders>
            <w:noWrap/>
            <w:vAlign w:val="bottom"/>
          </w:tcPr>
          <w:p w14:paraId="31844494" w14:textId="77777777" w:rsidR="00A677E9" w:rsidRPr="00D20CA8" w:rsidRDefault="00A677E9" w:rsidP="000B39FC">
            <w:pPr>
              <w:pStyle w:val="TableText"/>
              <w:jc w:val="right"/>
            </w:pPr>
            <w:r w:rsidRPr="00D20CA8">
              <w:t>1.308</w:t>
            </w:r>
          </w:p>
        </w:tc>
        <w:tc>
          <w:tcPr>
            <w:tcW w:w="551" w:type="pct"/>
            <w:tcBorders>
              <w:bottom w:val="nil"/>
            </w:tcBorders>
            <w:noWrap/>
            <w:vAlign w:val="bottom"/>
          </w:tcPr>
          <w:p w14:paraId="3A47B95C" w14:textId="3CEEB774"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2"/>
                <w14:textFill>
                  <w14:solidFill>
                    <w14:srgbClr w14:val="000000">
                      <w14:alpha w14:val="100000"/>
                    </w14:srgbClr>
                  </w14:solidFill>
                </w14:textFill>
              </w:rPr>
              <w:t>|</w:t>
            </w:r>
            <w:r w:rsidRPr="001A4B8B">
              <w:rPr>
                <w:color w:val="000000"/>
                <w:spacing w:val="1"/>
                <w:shd w:val="solid" w:color="000000" w:fill="000000"/>
                <w:fitText w:val="188" w:id="-961838582"/>
                <w14:textFill>
                  <w14:solidFill>
                    <w14:srgbClr w14:val="000000">
                      <w14:alpha w14:val="100000"/>
                    </w14:srgbClr>
                  </w14:solidFill>
                </w14:textFill>
              </w:rPr>
              <w:t>|</w:t>
            </w:r>
            <w:r w:rsidR="00556738" w:rsidRPr="00556738">
              <w:rPr>
                <w:vertAlign w:val="superscript"/>
              </w:rPr>
              <w:t>2</w:t>
            </w:r>
          </w:p>
        </w:tc>
        <w:tc>
          <w:tcPr>
            <w:tcW w:w="445" w:type="pct"/>
            <w:tcBorders>
              <w:bottom w:val="nil"/>
            </w:tcBorders>
            <w:noWrap/>
            <w:vAlign w:val="bottom"/>
          </w:tcPr>
          <w:p w14:paraId="6C9EBEDC" w14:textId="2FF60142" w:rsidR="00A677E9" w:rsidRPr="00D20CA8" w:rsidRDefault="001A4B8B" w:rsidP="000B39FC">
            <w:pPr>
              <w:pStyle w:val="TableText"/>
              <w:jc w:val="right"/>
            </w:pPr>
            <w:r w:rsidRPr="001A4B8B">
              <w:rPr>
                <w:color w:val="000000"/>
                <w:spacing w:val="47"/>
                <w:shd w:val="solid" w:color="000000" w:fill="000000"/>
                <w:fitText w:val="313" w:id="-961838581"/>
                <w14:textFill>
                  <w14:solidFill>
                    <w14:srgbClr w14:val="000000">
                      <w14:alpha w14:val="100000"/>
                    </w14:srgbClr>
                  </w14:solidFill>
                </w14:textFill>
              </w:rPr>
              <w:t>|||</w:t>
            </w:r>
            <w:r w:rsidRPr="001A4B8B">
              <w:rPr>
                <w:color w:val="000000"/>
                <w:spacing w:val="2"/>
                <w:shd w:val="solid" w:color="000000" w:fill="000000"/>
                <w:fitText w:val="313" w:id="-961838581"/>
                <w14:textFill>
                  <w14:solidFill>
                    <w14:srgbClr w14:val="000000">
                      <w14:alpha w14:val="100000"/>
                    </w14:srgbClr>
                  </w14:solidFill>
                </w14:textFill>
              </w:rPr>
              <w:t>|</w:t>
            </w:r>
            <w:r w:rsidR="00A677E9" w:rsidRPr="00D20CA8">
              <w:t>%</w:t>
            </w:r>
          </w:p>
        </w:tc>
      </w:tr>
      <w:tr w:rsidR="00A677E9" w:rsidRPr="00D20CA8" w14:paraId="06D8DDE1" w14:textId="77777777" w:rsidTr="001A4B8B">
        <w:trPr>
          <w:trHeight w:val="20"/>
        </w:trPr>
        <w:tc>
          <w:tcPr>
            <w:tcW w:w="2903" w:type="pct"/>
            <w:tcBorders>
              <w:top w:val="nil"/>
              <w:bottom w:val="single" w:sz="4" w:space="0" w:color="auto"/>
            </w:tcBorders>
            <w:noWrap/>
            <w:vAlign w:val="bottom"/>
          </w:tcPr>
          <w:p w14:paraId="05F497A0" w14:textId="77777777" w:rsidR="00A677E9" w:rsidRPr="00D20CA8" w:rsidRDefault="00A677E9" w:rsidP="000B39FC">
            <w:pPr>
              <w:pStyle w:val="TableText"/>
              <w:numPr>
                <w:ilvl w:val="0"/>
                <w:numId w:val="25"/>
              </w:numPr>
              <w:ind w:left="306" w:hanging="142"/>
            </w:pPr>
            <w:r w:rsidRPr="00D20CA8">
              <w:t xml:space="preserve">Undetectable RNA </w:t>
            </w:r>
            <w:r w:rsidRPr="00D20CA8">
              <w:rPr>
                <w:b/>
                <w:bCs/>
              </w:rPr>
              <w:t>(#2)</w:t>
            </w:r>
          </w:p>
        </w:tc>
        <w:tc>
          <w:tcPr>
            <w:tcW w:w="550" w:type="pct"/>
            <w:tcBorders>
              <w:top w:val="nil"/>
              <w:bottom w:val="single" w:sz="4" w:space="0" w:color="auto"/>
            </w:tcBorders>
            <w:shd w:val="solid" w:color="000000" w:fill="000000"/>
            <w:noWrap/>
            <w:vAlign w:val="bottom"/>
          </w:tcPr>
          <w:p w14:paraId="1369780B" w14:textId="3E131CB2" w:rsidR="00A677E9" w:rsidRPr="00700BF1" w:rsidRDefault="001A4B8B" w:rsidP="000B39FC">
            <w:pPr>
              <w:pStyle w:val="TableText"/>
              <w:jc w:val="center"/>
              <w:rPr>
                <w:highlight w:val="lightGray"/>
              </w:rPr>
            </w:pPr>
            <w:r w:rsidRPr="001A4B8B">
              <w:rPr>
                <w:color w:val="000000"/>
                <w:spacing w:val="65"/>
                <w:fitText w:val="151" w:id="-961838580"/>
                <w14:textFill>
                  <w14:solidFill>
                    <w14:srgbClr w14:val="000000">
                      <w14:alpha w14:val="100000"/>
                    </w14:srgbClr>
                  </w14:solidFill>
                </w14:textFill>
              </w:rPr>
              <w:t>|</w:t>
            </w:r>
            <w:r w:rsidRPr="001A4B8B">
              <w:rPr>
                <w:color w:val="000000"/>
                <w:fitText w:val="151" w:id="-961838580"/>
                <w14:textFill>
                  <w14:solidFill>
                    <w14:srgbClr w14:val="000000">
                      <w14:alpha w14:val="100000"/>
                    </w14:srgbClr>
                  </w14:solidFill>
                </w14:textFill>
              </w:rPr>
              <w:t>|</w:t>
            </w:r>
          </w:p>
        </w:tc>
        <w:tc>
          <w:tcPr>
            <w:tcW w:w="551" w:type="pct"/>
            <w:tcBorders>
              <w:top w:val="nil"/>
              <w:bottom w:val="single" w:sz="4" w:space="0" w:color="auto"/>
            </w:tcBorders>
            <w:noWrap/>
            <w:vAlign w:val="bottom"/>
          </w:tcPr>
          <w:p w14:paraId="502F0A33" w14:textId="77777777" w:rsidR="00A677E9" w:rsidRPr="00D20CA8" w:rsidRDefault="00A677E9" w:rsidP="000B39FC">
            <w:pPr>
              <w:pStyle w:val="TableText"/>
              <w:jc w:val="right"/>
            </w:pPr>
            <w:r w:rsidRPr="00D20CA8">
              <w:t>0.640</w:t>
            </w:r>
          </w:p>
        </w:tc>
        <w:tc>
          <w:tcPr>
            <w:tcW w:w="551" w:type="pct"/>
            <w:tcBorders>
              <w:top w:val="nil"/>
              <w:bottom w:val="single" w:sz="4" w:space="0" w:color="auto"/>
            </w:tcBorders>
            <w:noWrap/>
            <w:vAlign w:val="bottom"/>
          </w:tcPr>
          <w:p w14:paraId="37A715F4" w14:textId="19386EC2" w:rsidR="00A677E9" w:rsidRPr="00221F0B" w:rsidRDefault="001A4B8B" w:rsidP="000B39FC">
            <w:pPr>
              <w:pStyle w:val="TableText"/>
              <w:jc w:val="center"/>
              <w:rPr>
                <w:highlight w:val="lightGray"/>
              </w:rPr>
            </w:pPr>
            <w:r w:rsidRPr="001A4B8B">
              <w:rPr>
                <w:color w:val="000000"/>
                <w:spacing w:val="102"/>
                <w:shd w:val="solid" w:color="000000" w:fill="000000"/>
                <w:fitText w:val="188" w:id="-961838579"/>
                <w14:textFill>
                  <w14:solidFill>
                    <w14:srgbClr w14:val="000000">
                      <w14:alpha w14:val="100000"/>
                    </w14:srgbClr>
                  </w14:solidFill>
                </w14:textFill>
              </w:rPr>
              <w:t>|</w:t>
            </w:r>
            <w:r w:rsidRPr="001A4B8B">
              <w:rPr>
                <w:color w:val="000000"/>
                <w:spacing w:val="1"/>
                <w:shd w:val="solid" w:color="000000" w:fill="000000"/>
                <w:fitText w:val="188" w:id="-961838579"/>
                <w14:textFill>
                  <w14:solidFill>
                    <w14:srgbClr w14:val="000000">
                      <w14:alpha w14:val="100000"/>
                    </w14:srgbClr>
                  </w14:solidFill>
                </w14:textFill>
              </w:rPr>
              <w:t>|</w:t>
            </w:r>
            <w:r w:rsidR="006F5F9D" w:rsidRPr="006F5F9D">
              <w:rPr>
                <w:vertAlign w:val="superscript"/>
              </w:rPr>
              <w:t>4</w:t>
            </w:r>
          </w:p>
        </w:tc>
        <w:tc>
          <w:tcPr>
            <w:tcW w:w="445" w:type="pct"/>
            <w:tcBorders>
              <w:top w:val="nil"/>
              <w:bottom w:val="single" w:sz="4" w:space="0" w:color="auto"/>
            </w:tcBorders>
            <w:noWrap/>
            <w:vAlign w:val="bottom"/>
          </w:tcPr>
          <w:p w14:paraId="2001F9CD" w14:textId="46170E69" w:rsidR="00A677E9" w:rsidRPr="00D20CA8" w:rsidRDefault="001A4B8B" w:rsidP="000B39FC">
            <w:pPr>
              <w:pStyle w:val="TableText"/>
              <w:jc w:val="right"/>
            </w:pPr>
            <w:r w:rsidRPr="001A4B8B">
              <w:rPr>
                <w:color w:val="000000"/>
                <w:spacing w:val="47"/>
                <w:shd w:val="solid" w:color="000000" w:fill="000000"/>
                <w:fitText w:val="313" w:id="-961838578"/>
                <w14:textFill>
                  <w14:solidFill>
                    <w14:srgbClr w14:val="000000">
                      <w14:alpha w14:val="100000"/>
                    </w14:srgbClr>
                  </w14:solidFill>
                </w14:textFill>
              </w:rPr>
              <w:t>|||</w:t>
            </w:r>
            <w:r w:rsidRPr="001A4B8B">
              <w:rPr>
                <w:color w:val="000000"/>
                <w:spacing w:val="2"/>
                <w:shd w:val="solid" w:color="000000" w:fill="000000"/>
                <w:fitText w:val="313" w:id="-961838578"/>
                <w14:textFill>
                  <w14:solidFill>
                    <w14:srgbClr w14:val="000000">
                      <w14:alpha w14:val="100000"/>
                    </w14:srgbClr>
                  </w14:solidFill>
                </w14:textFill>
              </w:rPr>
              <w:t>|</w:t>
            </w:r>
            <w:r w:rsidR="00A677E9" w:rsidRPr="00D20CA8">
              <w:t>%</w:t>
            </w:r>
          </w:p>
        </w:tc>
      </w:tr>
      <w:tr w:rsidR="00A677E9" w:rsidRPr="00D20CA8" w14:paraId="59B2A9A4" w14:textId="77777777" w:rsidTr="001A4B8B">
        <w:trPr>
          <w:trHeight w:val="20"/>
        </w:trPr>
        <w:tc>
          <w:tcPr>
            <w:tcW w:w="2903" w:type="pct"/>
            <w:tcBorders>
              <w:bottom w:val="single" w:sz="4" w:space="0" w:color="auto"/>
              <w:right w:val="single" w:sz="4" w:space="0" w:color="auto"/>
            </w:tcBorders>
            <w:noWrap/>
            <w:vAlign w:val="bottom"/>
          </w:tcPr>
          <w:p w14:paraId="48C4C140" w14:textId="77777777" w:rsidR="00A677E9" w:rsidRPr="00D20CA8" w:rsidRDefault="00A677E9" w:rsidP="000B39FC">
            <w:pPr>
              <w:pStyle w:val="TableText"/>
            </w:pPr>
            <w:r w:rsidRPr="00D20CA8">
              <w:t>Treatment discontinuation, 14.4% </w:t>
            </w:r>
            <w:r w:rsidRPr="00D20CA8">
              <w:rPr>
                <w:vertAlign w:val="superscript"/>
              </w:rPr>
              <w:t>b</w:t>
            </w:r>
            <w:r w:rsidRPr="00D20CA8">
              <w:t xml:space="preserve"> (base case: 5.07%) </w:t>
            </w:r>
            <w:r w:rsidRPr="00D20CA8">
              <w:rPr>
                <w:vertAlign w:val="superscript"/>
              </w:rPr>
              <w:t>a</w:t>
            </w:r>
          </w:p>
        </w:tc>
        <w:tc>
          <w:tcPr>
            <w:tcW w:w="550" w:type="pct"/>
            <w:tcBorders>
              <w:left w:val="single" w:sz="4" w:space="0" w:color="auto"/>
              <w:bottom w:val="single" w:sz="4" w:space="0" w:color="auto"/>
              <w:right w:val="single" w:sz="4" w:space="0" w:color="auto"/>
            </w:tcBorders>
            <w:shd w:val="solid" w:color="000000" w:fill="000000"/>
            <w:noWrap/>
            <w:vAlign w:val="bottom"/>
          </w:tcPr>
          <w:p w14:paraId="3F369D26" w14:textId="3E404313" w:rsidR="00A677E9" w:rsidRPr="00700BF1" w:rsidRDefault="001A4B8B" w:rsidP="000B39FC">
            <w:pPr>
              <w:pStyle w:val="TableText"/>
              <w:jc w:val="center"/>
              <w:rPr>
                <w:highlight w:val="lightGray"/>
              </w:rPr>
            </w:pPr>
            <w:r w:rsidRPr="001A4B8B">
              <w:rPr>
                <w:color w:val="000000"/>
                <w:spacing w:val="65"/>
                <w:fitText w:val="151" w:id="-961838577"/>
                <w14:textFill>
                  <w14:solidFill>
                    <w14:srgbClr w14:val="000000">
                      <w14:alpha w14:val="100000"/>
                    </w14:srgbClr>
                  </w14:solidFill>
                </w14:textFill>
              </w:rPr>
              <w:t>|</w:t>
            </w:r>
            <w:r w:rsidRPr="001A4B8B">
              <w:rPr>
                <w:color w:val="000000"/>
                <w:fitText w:val="151" w:id="-961838577"/>
                <w14:textFill>
                  <w14:solidFill>
                    <w14:srgbClr w14:val="000000">
                      <w14:alpha w14:val="100000"/>
                    </w14:srgbClr>
                  </w14:solidFill>
                </w14:textFill>
              </w:rPr>
              <w:t>|</w:t>
            </w:r>
          </w:p>
        </w:tc>
        <w:tc>
          <w:tcPr>
            <w:tcW w:w="551" w:type="pct"/>
            <w:tcBorders>
              <w:left w:val="single" w:sz="4" w:space="0" w:color="auto"/>
              <w:bottom w:val="single" w:sz="4" w:space="0" w:color="auto"/>
              <w:right w:val="single" w:sz="4" w:space="0" w:color="auto"/>
            </w:tcBorders>
            <w:noWrap/>
            <w:vAlign w:val="bottom"/>
          </w:tcPr>
          <w:p w14:paraId="2D37A009" w14:textId="77777777" w:rsidR="00A677E9" w:rsidRPr="00D20CA8" w:rsidRDefault="00A677E9" w:rsidP="000B39FC">
            <w:pPr>
              <w:pStyle w:val="TableText"/>
              <w:jc w:val="right"/>
            </w:pPr>
            <w:r w:rsidRPr="00D20CA8">
              <w:t>1.323</w:t>
            </w:r>
          </w:p>
        </w:tc>
        <w:tc>
          <w:tcPr>
            <w:tcW w:w="551" w:type="pct"/>
            <w:tcBorders>
              <w:left w:val="single" w:sz="4" w:space="0" w:color="auto"/>
              <w:bottom w:val="single" w:sz="4" w:space="0" w:color="auto"/>
              <w:right w:val="single" w:sz="4" w:space="0" w:color="auto"/>
            </w:tcBorders>
            <w:noWrap/>
            <w:vAlign w:val="bottom"/>
          </w:tcPr>
          <w:p w14:paraId="4A033BF5" w14:textId="7F847F85" w:rsidR="00A677E9" w:rsidRPr="00221F0B" w:rsidRDefault="001A4B8B" w:rsidP="000B39FC">
            <w:pPr>
              <w:pStyle w:val="TableText"/>
              <w:jc w:val="center"/>
              <w:rPr>
                <w:highlight w:val="lightGray"/>
              </w:rPr>
            </w:pPr>
            <w:r w:rsidRPr="001A4B8B">
              <w:rPr>
                <w:color w:val="000000"/>
                <w:spacing w:val="102"/>
                <w:shd w:val="solid" w:color="000000" w:fill="000000"/>
                <w:fitText w:val="188" w:id="-961838576"/>
                <w14:textFill>
                  <w14:solidFill>
                    <w14:srgbClr w14:val="000000">
                      <w14:alpha w14:val="100000"/>
                    </w14:srgbClr>
                  </w14:solidFill>
                </w14:textFill>
              </w:rPr>
              <w:t>|</w:t>
            </w:r>
            <w:r w:rsidRPr="001A4B8B">
              <w:rPr>
                <w:color w:val="000000"/>
                <w:spacing w:val="1"/>
                <w:shd w:val="solid" w:color="000000" w:fill="000000"/>
                <w:fitText w:val="188" w:id="-961838576"/>
                <w14:textFill>
                  <w14:solidFill>
                    <w14:srgbClr w14:val="000000">
                      <w14:alpha w14:val="100000"/>
                    </w14:srgbClr>
                  </w14:solidFill>
                </w14:textFill>
              </w:rPr>
              <w:t>|</w:t>
            </w:r>
            <w:r w:rsidR="00556738" w:rsidRPr="00556738">
              <w:rPr>
                <w:vertAlign w:val="superscript"/>
              </w:rPr>
              <w:t>2</w:t>
            </w:r>
          </w:p>
        </w:tc>
        <w:tc>
          <w:tcPr>
            <w:tcW w:w="445" w:type="pct"/>
            <w:tcBorders>
              <w:left w:val="single" w:sz="4" w:space="0" w:color="auto"/>
              <w:bottom w:val="single" w:sz="4" w:space="0" w:color="auto"/>
            </w:tcBorders>
            <w:noWrap/>
            <w:vAlign w:val="bottom"/>
          </w:tcPr>
          <w:p w14:paraId="791FF2CD" w14:textId="7BBD2E69" w:rsidR="00A677E9" w:rsidRPr="00D20CA8" w:rsidRDefault="001A4B8B" w:rsidP="000B39FC">
            <w:pPr>
              <w:pStyle w:val="TableText"/>
              <w:jc w:val="right"/>
            </w:pPr>
            <w:r w:rsidRPr="001A4B8B">
              <w:rPr>
                <w:color w:val="000000"/>
                <w:spacing w:val="47"/>
                <w:shd w:val="solid" w:color="000000" w:fill="000000"/>
                <w:fitText w:val="313" w:id="-961838592"/>
                <w14:textFill>
                  <w14:solidFill>
                    <w14:srgbClr w14:val="000000">
                      <w14:alpha w14:val="100000"/>
                    </w14:srgbClr>
                  </w14:solidFill>
                </w14:textFill>
              </w:rPr>
              <w:t>|||</w:t>
            </w:r>
            <w:r w:rsidRPr="001A4B8B">
              <w:rPr>
                <w:color w:val="000000"/>
                <w:spacing w:val="2"/>
                <w:shd w:val="solid" w:color="000000" w:fill="000000"/>
                <w:fitText w:val="313" w:id="-961838592"/>
                <w14:textFill>
                  <w14:solidFill>
                    <w14:srgbClr w14:val="000000">
                      <w14:alpha w14:val="100000"/>
                    </w14:srgbClr>
                  </w14:solidFill>
                </w14:textFill>
              </w:rPr>
              <w:t>|</w:t>
            </w:r>
            <w:r w:rsidR="00A677E9" w:rsidRPr="00D20CA8">
              <w:t>%</w:t>
            </w:r>
          </w:p>
        </w:tc>
      </w:tr>
      <w:tr w:rsidR="00A677E9" w:rsidRPr="00D20CA8" w14:paraId="1722B366" w14:textId="77777777" w:rsidTr="001A4B8B">
        <w:trPr>
          <w:trHeight w:val="20"/>
        </w:trPr>
        <w:tc>
          <w:tcPr>
            <w:tcW w:w="2903" w:type="pct"/>
            <w:tcBorders>
              <w:bottom w:val="nil"/>
            </w:tcBorders>
            <w:noWrap/>
            <w:vAlign w:val="bottom"/>
          </w:tcPr>
          <w:p w14:paraId="3622EC7E" w14:textId="3C727F3B" w:rsidR="00A677E9" w:rsidRPr="00D20CA8" w:rsidRDefault="0021716C" w:rsidP="000B39FC">
            <w:pPr>
              <w:pStyle w:val="TableText"/>
            </w:pPr>
            <w:r w:rsidRPr="00D20CA8">
              <w:t xml:space="preserve">HRs in responders, evaluation revised estimates that exclude studies presenting irrelevant comparisons </w:t>
            </w:r>
            <w:r w:rsidRPr="00D20CA8">
              <w:rPr>
                <w:b/>
                <w:bCs/>
              </w:rPr>
              <w:t>(#1)</w:t>
            </w:r>
          </w:p>
        </w:tc>
        <w:tc>
          <w:tcPr>
            <w:tcW w:w="550" w:type="pct"/>
            <w:tcBorders>
              <w:bottom w:val="single" w:sz="4" w:space="0" w:color="auto"/>
            </w:tcBorders>
            <w:shd w:val="solid" w:color="000000" w:fill="000000"/>
            <w:noWrap/>
            <w:vAlign w:val="bottom"/>
          </w:tcPr>
          <w:p w14:paraId="74D77789" w14:textId="77BD53B5" w:rsidR="00A677E9" w:rsidRPr="00D20CA8" w:rsidRDefault="001A4B8B" w:rsidP="000B39FC">
            <w:pPr>
              <w:pStyle w:val="TableText"/>
              <w:jc w:val="center"/>
            </w:pPr>
            <w:r w:rsidRPr="001A4B8B">
              <w:rPr>
                <w:color w:val="000000"/>
                <w:spacing w:val="65"/>
                <w:fitText w:val="151" w:id="-961838591"/>
                <w14:textFill>
                  <w14:solidFill>
                    <w14:srgbClr w14:val="000000">
                      <w14:alpha w14:val="100000"/>
                    </w14:srgbClr>
                  </w14:solidFill>
                </w14:textFill>
              </w:rPr>
              <w:t>|</w:t>
            </w:r>
            <w:r w:rsidRPr="001A4B8B">
              <w:rPr>
                <w:color w:val="000000"/>
                <w:fitText w:val="151" w:id="-961838591"/>
                <w14:textFill>
                  <w14:solidFill>
                    <w14:srgbClr w14:val="000000">
                      <w14:alpha w14:val="100000"/>
                    </w14:srgbClr>
                  </w14:solidFill>
                </w14:textFill>
              </w:rPr>
              <w:t>|</w:t>
            </w:r>
          </w:p>
        </w:tc>
        <w:tc>
          <w:tcPr>
            <w:tcW w:w="551" w:type="pct"/>
            <w:tcBorders>
              <w:bottom w:val="nil"/>
            </w:tcBorders>
            <w:noWrap/>
            <w:vAlign w:val="bottom"/>
          </w:tcPr>
          <w:p w14:paraId="0911B3D7" w14:textId="77777777" w:rsidR="00A677E9" w:rsidRPr="00D20CA8" w:rsidRDefault="00A677E9" w:rsidP="000B39FC">
            <w:pPr>
              <w:pStyle w:val="TableText"/>
              <w:jc w:val="right"/>
            </w:pPr>
            <w:r w:rsidRPr="00D20CA8">
              <w:t>1.997</w:t>
            </w:r>
          </w:p>
        </w:tc>
        <w:tc>
          <w:tcPr>
            <w:tcW w:w="551" w:type="pct"/>
            <w:tcBorders>
              <w:bottom w:val="nil"/>
            </w:tcBorders>
            <w:noWrap/>
            <w:vAlign w:val="bottom"/>
          </w:tcPr>
          <w:p w14:paraId="072CF655" w14:textId="7C31A11D" w:rsidR="00A677E9" w:rsidRPr="00D20CA8" w:rsidRDefault="001A4B8B" w:rsidP="001A4B8B">
            <w:pPr>
              <w:pStyle w:val="TableText"/>
              <w:jc w:val="center"/>
            </w:pPr>
            <w:r w:rsidRPr="001A4B8B">
              <w:rPr>
                <w:color w:val="000000"/>
                <w:spacing w:val="102"/>
                <w:shd w:val="solid" w:color="000000" w:fill="000000"/>
                <w:fitText w:val="188" w:id="-961838590"/>
                <w14:textFill>
                  <w14:solidFill>
                    <w14:srgbClr w14:val="000000">
                      <w14:alpha w14:val="100000"/>
                    </w14:srgbClr>
                  </w14:solidFill>
                </w14:textFill>
              </w:rPr>
              <w:t>|</w:t>
            </w:r>
            <w:r w:rsidRPr="001A4B8B">
              <w:rPr>
                <w:color w:val="000000"/>
                <w:spacing w:val="1"/>
                <w:shd w:val="solid" w:color="000000" w:fill="000000"/>
                <w:fitText w:val="188" w:id="-961838590"/>
                <w14:textFill>
                  <w14:solidFill>
                    <w14:srgbClr w14:val="000000">
                      <w14:alpha w14:val="100000"/>
                    </w14:srgbClr>
                  </w14:solidFill>
                </w14:textFill>
              </w:rPr>
              <w:t>|</w:t>
            </w:r>
            <w:r w:rsidR="00556738" w:rsidRPr="00556738">
              <w:rPr>
                <w:vertAlign w:val="superscript"/>
              </w:rPr>
              <w:t>2</w:t>
            </w:r>
          </w:p>
        </w:tc>
        <w:tc>
          <w:tcPr>
            <w:tcW w:w="445" w:type="pct"/>
            <w:tcBorders>
              <w:bottom w:val="nil"/>
            </w:tcBorders>
            <w:noWrap/>
            <w:vAlign w:val="bottom"/>
          </w:tcPr>
          <w:p w14:paraId="62F2C955" w14:textId="40DF161C" w:rsidR="00A677E9" w:rsidRPr="00D20CA8" w:rsidRDefault="001A4B8B" w:rsidP="000B39FC">
            <w:pPr>
              <w:pStyle w:val="TableText"/>
              <w:jc w:val="right"/>
            </w:pPr>
            <w:r w:rsidRPr="001A4B8B">
              <w:rPr>
                <w:color w:val="000000"/>
                <w:spacing w:val="47"/>
                <w:shd w:val="solid" w:color="000000" w:fill="000000"/>
                <w:fitText w:val="313" w:id="-961838589"/>
                <w14:textFill>
                  <w14:solidFill>
                    <w14:srgbClr w14:val="000000">
                      <w14:alpha w14:val="100000"/>
                    </w14:srgbClr>
                  </w14:solidFill>
                </w14:textFill>
              </w:rPr>
              <w:t>|||</w:t>
            </w:r>
            <w:r w:rsidRPr="001A4B8B">
              <w:rPr>
                <w:color w:val="000000"/>
                <w:spacing w:val="2"/>
                <w:shd w:val="solid" w:color="000000" w:fill="000000"/>
                <w:fitText w:val="313" w:id="-961838589"/>
                <w14:textFill>
                  <w14:solidFill>
                    <w14:srgbClr w14:val="000000">
                      <w14:alpha w14:val="100000"/>
                    </w14:srgbClr>
                  </w14:solidFill>
                </w14:textFill>
              </w:rPr>
              <w:t>|</w:t>
            </w:r>
            <w:r w:rsidR="00A677E9" w:rsidRPr="00D20CA8">
              <w:t>%</w:t>
            </w:r>
          </w:p>
        </w:tc>
      </w:tr>
      <w:tr w:rsidR="00A677E9" w:rsidRPr="00D20CA8" w14:paraId="00EEEE07" w14:textId="77777777" w:rsidTr="001A4B8B">
        <w:trPr>
          <w:trHeight w:val="20"/>
        </w:trPr>
        <w:tc>
          <w:tcPr>
            <w:tcW w:w="2903" w:type="pct"/>
            <w:tcBorders>
              <w:top w:val="single" w:sz="4" w:space="0" w:color="auto"/>
              <w:bottom w:val="single" w:sz="4" w:space="0" w:color="auto"/>
              <w:right w:val="nil"/>
            </w:tcBorders>
            <w:noWrap/>
            <w:vAlign w:val="bottom"/>
          </w:tcPr>
          <w:p w14:paraId="29490AA6" w14:textId="77777777" w:rsidR="00A677E9" w:rsidRPr="00D20CA8" w:rsidRDefault="00A677E9" w:rsidP="000B39FC">
            <w:pPr>
              <w:pStyle w:val="TableText"/>
            </w:pPr>
            <w:r w:rsidRPr="00D20CA8">
              <w:t>Regression in responders </w:t>
            </w:r>
            <w:r w:rsidRPr="00D20CA8">
              <w:rPr>
                <w:vertAlign w:val="superscript"/>
              </w:rPr>
              <w:t>a</w:t>
            </w:r>
          </w:p>
        </w:tc>
        <w:tc>
          <w:tcPr>
            <w:tcW w:w="550" w:type="pct"/>
            <w:tcBorders>
              <w:top w:val="single" w:sz="4" w:space="0" w:color="auto"/>
              <w:left w:val="nil"/>
              <w:bottom w:val="single" w:sz="4" w:space="0" w:color="auto"/>
              <w:right w:val="nil"/>
            </w:tcBorders>
            <w:noWrap/>
            <w:vAlign w:val="bottom"/>
          </w:tcPr>
          <w:p w14:paraId="722A5DCA" w14:textId="77777777" w:rsidR="00A677E9" w:rsidRPr="00D20CA8" w:rsidRDefault="00A677E9" w:rsidP="000B39FC">
            <w:pPr>
              <w:pStyle w:val="TableText"/>
              <w:jc w:val="right"/>
            </w:pPr>
          </w:p>
        </w:tc>
        <w:tc>
          <w:tcPr>
            <w:tcW w:w="551" w:type="pct"/>
            <w:tcBorders>
              <w:top w:val="single" w:sz="4" w:space="0" w:color="auto"/>
              <w:left w:val="nil"/>
              <w:bottom w:val="single" w:sz="4" w:space="0" w:color="auto"/>
              <w:right w:val="nil"/>
            </w:tcBorders>
            <w:noWrap/>
            <w:vAlign w:val="bottom"/>
          </w:tcPr>
          <w:p w14:paraId="5E5D0644" w14:textId="77777777" w:rsidR="00A677E9" w:rsidRPr="00D20CA8" w:rsidRDefault="00A677E9" w:rsidP="000B39FC">
            <w:pPr>
              <w:pStyle w:val="TableText"/>
              <w:jc w:val="right"/>
            </w:pPr>
          </w:p>
        </w:tc>
        <w:tc>
          <w:tcPr>
            <w:tcW w:w="551" w:type="pct"/>
            <w:tcBorders>
              <w:top w:val="single" w:sz="4" w:space="0" w:color="auto"/>
              <w:left w:val="nil"/>
              <w:bottom w:val="single" w:sz="4" w:space="0" w:color="auto"/>
              <w:right w:val="nil"/>
            </w:tcBorders>
            <w:noWrap/>
            <w:vAlign w:val="bottom"/>
          </w:tcPr>
          <w:p w14:paraId="31C65085" w14:textId="77777777" w:rsidR="00A677E9" w:rsidRPr="00D20CA8" w:rsidRDefault="00A677E9" w:rsidP="000B39FC">
            <w:pPr>
              <w:pStyle w:val="TableText"/>
              <w:jc w:val="right"/>
            </w:pPr>
          </w:p>
        </w:tc>
        <w:tc>
          <w:tcPr>
            <w:tcW w:w="445" w:type="pct"/>
            <w:tcBorders>
              <w:top w:val="single" w:sz="4" w:space="0" w:color="auto"/>
              <w:left w:val="nil"/>
              <w:bottom w:val="single" w:sz="4" w:space="0" w:color="auto"/>
            </w:tcBorders>
            <w:noWrap/>
            <w:vAlign w:val="bottom"/>
          </w:tcPr>
          <w:p w14:paraId="200BD4C9" w14:textId="77777777" w:rsidR="00A677E9" w:rsidRPr="00D20CA8" w:rsidRDefault="00A677E9" w:rsidP="000B39FC">
            <w:pPr>
              <w:pStyle w:val="TableText"/>
              <w:jc w:val="right"/>
            </w:pPr>
          </w:p>
        </w:tc>
      </w:tr>
      <w:tr w:rsidR="00A677E9" w:rsidRPr="00D20CA8" w14:paraId="6577CA2B" w14:textId="77777777" w:rsidTr="001A4B8B">
        <w:trPr>
          <w:trHeight w:val="20"/>
        </w:trPr>
        <w:tc>
          <w:tcPr>
            <w:tcW w:w="2903" w:type="pct"/>
            <w:tcBorders>
              <w:bottom w:val="nil"/>
              <w:right w:val="single" w:sz="4" w:space="0" w:color="auto"/>
            </w:tcBorders>
            <w:noWrap/>
            <w:vAlign w:val="bottom"/>
          </w:tcPr>
          <w:p w14:paraId="692E2F33" w14:textId="77777777" w:rsidR="00A677E9" w:rsidRPr="00D20CA8" w:rsidRDefault="00A677E9" w:rsidP="000B39FC">
            <w:pPr>
              <w:pStyle w:val="TableText"/>
              <w:numPr>
                <w:ilvl w:val="0"/>
                <w:numId w:val="25"/>
              </w:numPr>
              <w:ind w:left="306" w:hanging="142"/>
            </w:pPr>
            <w:r w:rsidRPr="00D20CA8">
              <w:t>F3 to F2 regression, 0% (base case: 13.3%)</w:t>
            </w:r>
          </w:p>
        </w:tc>
        <w:tc>
          <w:tcPr>
            <w:tcW w:w="550" w:type="pct"/>
            <w:tcBorders>
              <w:left w:val="single" w:sz="4" w:space="0" w:color="auto"/>
              <w:bottom w:val="nil"/>
              <w:right w:val="single" w:sz="4" w:space="0" w:color="auto"/>
            </w:tcBorders>
            <w:shd w:val="solid" w:color="000000" w:fill="000000"/>
            <w:noWrap/>
            <w:vAlign w:val="bottom"/>
          </w:tcPr>
          <w:p w14:paraId="2BD59B42" w14:textId="3D981916" w:rsidR="00A677E9" w:rsidRPr="00700BF1" w:rsidRDefault="001A4B8B" w:rsidP="000B39FC">
            <w:pPr>
              <w:pStyle w:val="TableText"/>
              <w:jc w:val="right"/>
              <w:rPr>
                <w:highlight w:val="lightGray"/>
              </w:rPr>
            </w:pPr>
            <w:r w:rsidRPr="001A4B8B">
              <w:rPr>
                <w:color w:val="000000"/>
                <w14:textFill>
                  <w14:solidFill>
                    <w14:srgbClr w14:val="000000">
                      <w14:alpha w14:val="100000"/>
                    </w14:srgbClr>
                  </w14:solidFill>
                </w14:textFill>
              </w:rPr>
              <w:t>|</w:t>
            </w:r>
          </w:p>
        </w:tc>
        <w:tc>
          <w:tcPr>
            <w:tcW w:w="551" w:type="pct"/>
            <w:tcBorders>
              <w:left w:val="single" w:sz="4" w:space="0" w:color="auto"/>
              <w:bottom w:val="nil"/>
              <w:right w:val="single" w:sz="4" w:space="0" w:color="auto"/>
            </w:tcBorders>
            <w:noWrap/>
            <w:vAlign w:val="bottom"/>
          </w:tcPr>
          <w:p w14:paraId="3CB20F37" w14:textId="77777777" w:rsidR="00A677E9" w:rsidRPr="00D20CA8" w:rsidRDefault="00A677E9" w:rsidP="000B39FC">
            <w:pPr>
              <w:pStyle w:val="TableText"/>
              <w:jc w:val="right"/>
            </w:pPr>
            <w:r w:rsidRPr="00D20CA8">
              <w:t>2.052</w:t>
            </w:r>
          </w:p>
        </w:tc>
        <w:tc>
          <w:tcPr>
            <w:tcW w:w="551" w:type="pct"/>
            <w:tcBorders>
              <w:left w:val="single" w:sz="4" w:space="0" w:color="auto"/>
              <w:bottom w:val="nil"/>
              <w:right w:val="single" w:sz="4" w:space="0" w:color="auto"/>
            </w:tcBorders>
            <w:noWrap/>
            <w:vAlign w:val="bottom"/>
          </w:tcPr>
          <w:p w14:paraId="15FE7B76" w14:textId="0326865A"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8"/>
                <w14:textFill>
                  <w14:solidFill>
                    <w14:srgbClr w14:val="000000">
                      <w14:alpha w14:val="100000"/>
                    </w14:srgbClr>
                  </w14:solidFill>
                </w14:textFill>
              </w:rPr>
              <w:t>|</w:t>
            </w:r>
            <w:r w:rsidRPr="001A4B8B">
              <w:rPr>
                <w:color w:val="000000"/>
                <w:spacing w:val="1"/>
                <w:shd w:val="solid" w:color="000000" w:fill="000000"/>
                <w:fitText w:val="188" w:id="-961838588"/>
                <w14:textFill>
                  <w14:solidFill>
                    <w14:srgbClr w14:val="000000">
                      <w14:alpha w14:val="100000"/>
                    </w14:srgbClr>
                  </w14:solidFill>
                </w14:textFill>
              </w:rPr>
              <w:t>|</w:t>
            </w:r>
            <w:r w:rsidR="00556738" w:rsidRPr="00556738">
              <w:rPr>
                <w:vertAlign w:val="superscript"/>
              </w:rPr>
              <w:t>2</w:t>
            </w:r>
          </w:p>
        </w:tc>
        <w:tc>
          <w:tcPr>
            <w:tcW w:w="445" w:type="pct"/>
            <w:tcBorders>
              <w:left w:val="single" w:sz="4" w:space="0" w:color="auto"/>
              <w:bottom w:val="nil"/>
            </w:tcBorders>
            <w:noWrap/>
            <w:vAlign w:val="bottom"/>
          </w:tcPr>
          <w:p w14:paraId="5ED32679" w14:textId="2F39548C" w:rsidR="00A677E9" w:rsidRPr="00D20CA8" w:rsidRDefault="001A4B8B" w:rsidP="000B39FC">
            <w:pPr>
              <w:pStyle w:val="TableText"/>
              <w:jc w:val="right"/>
            </w:pPr>
            <w:r w:rsidRPr="001A4B8B">
              <w:rPr>
                <w:color w:val="000000"/>
                <w:spacing w:val="47"/>
                <w:shd w:val="solid" w:color="000000" w:fill="000000"/>
                <w:fitText w:val="313" w:id="-961838587"/>
                <w14:textFill>
                  <w14:solidFill>
                    <w14:srgbClr w14:val="000000">
                      <w14:alpha w14:val="100000"/>
                    </w14:srgbClr>
                  </w14:solidFill>
                </w14:textFill>
              </w:rPr>
              <w:t>|||</w:t>
            </w:r>
            <w:r w:rsidRPr="001A4B8B">
              <w:rPr>
                <w:color w:val="000000"/>
                <w:spacing w:val="2"/>
                <w:shd w:val="solid" w:color="000000" w:fill="000000"/>
                <w:fitText w:val="313" w:id="-961838587"/>
                <w14:textFill>
                  <w14:solidFill>
                    <w14:srgbClr w14:val="000000">
                      <w14:alpha w14:val="100000"/>
                    </w14:srgbClr>
                  </w14:solidFill>
                </w14:textFill>
              </w:rPr>
              <w:t>|</w:t>
            </w:r>
            <w:r w:rsidR="00A677E9" w:rsidRPr="00D20CA8">
              <w:t>%</w:t>
            </w:r>
          </w:p>
        </w:tc>
      </w:tr>
      <w:tr w:rsidR="00A677E9" w:rsidRPr="00D20CA8" w14:paraId="36DF3DF1" w14:textId="77777777" w:rsidTr="001A4B8B">
        <w:trPr>
          <w:trHeight w:val="20"/>
        </w:trPr>
        <w:tc>
          <w:tcPr>
            <w:tcW w:w="2903" w:type="pct"/>
            <w:tcBorders>
              <w:top w:val="nil"/>
              <w:bottom w:val="nil"/>
            </w:tcBorders>
            <w:noWrap/>
            <w:vAlign w:val="bottom"/>
          </w:tcPr>
          <w:p w14:paraId="3F93C823" w14:textId="77777777" w:rsidR="00A677E9" w:rsidRPr="00D20CA8" w:rsidRDefault="00A677E9" w:rsidP="000B39FC">
            <w:pPr>
              <w:pStyle w:val="TableText"/>
              <w:numPr>
                <w:ilvl w:val="0"/>
                <w:numId w:val="25"/>
              </w:numPr>
              <w:ind w:left="306" w:hanging="142"/>
            </w:pPr>
            <w:r w:rsidRPr="00D20CA8">
              <w:t>F4 to F3 regression, 0% (base case: 8.8%)</w:t>
            </w:r>
          </w:p>
        </w:tc>
        <w:tc>
          <w:tcPr>
            <w:tcW w:w="550" w:type="pct"/>
            <w:tcBorders>
              <w:top w:val="nil"/>
              <w:bottom w:val="nil"/>
            </w:tcBorders>
            <w:shd w:val="solid" w:color="000000" w:fill="000000"/>
            <w:noWrap/>
            <w:vAlign w:val="bottom"/>
          </w:tcPr>
          <w:p w14:paraId="2371AB80" w14:textId="226CAAC4" w:rsidR="00A677E9" w:rsidRPr="00700BF1" w:rsidRDefault="001A4B8B" w:rsidP="000B39FC">
            <w:pPr>
              <w:pStyle w:val="TableText"/>
              <w:jc w:val="right"/>
              <w:rPr>
                <w:highlight w:val="lightGray"/>
              </w:rPr>
            </w:pPr>
            <w:r w:rsidRPr="001A4B8B">
              <w:rPr>
                <w:color w:val="000000"/>
                <w14:textFill>
                  <w14:solidFill>
                    <w14:srgbClr w14:val="000000">
                      <w14:alpha w14:val="100000"/>
                    </w14:srgbClr>
                  </w14:solidFill>
                </w14:textFill>
              </w:rPr>
              <w:t>|</w:t>
            </w:r>
          </w:p>
        </w:tc>
        <w:tc>
          <w:tcPr>
            <w:tcW w:w="551" w:type="pct"/>
            <w:tcBorders>
              <w:top w:val="nil"/>
              <w:bottom w:val="nil"/>
            </w:tcBorders>
            <w:noWrap/>
            <w:vAlign w:val="bottom"/>
          </w:tcPr>
          <w:p w14:paraId="5ACD1D99" w14:textId="77777777" w:rsidR="00A677E9" w:rsidRPr="00D20CA8" w:rsidRDefault="00A677E9" w:rsidP="000B39FC">
            <w:pPr>
              <w:pStyle w:val="TableText"/>
              <w:jc w:val="right"/>
            </w:pPr>
            <w:r w:rsidRPr="00D20CA8">
              <w:t>1.879</w:t>
            </w:r>
          </w:p>
        </w:tc>
        <w:tc>
          <w:tcPr>
            <w:tcW w:w="551" w:type="pct"/>
            <w:tcBorders>
              <w:top w:val="nil"/>
              <w:bottom w:val="nil"/>
            </w:tcBorders>
            <w:noWrap/>
            <w:vAlign w:val="bottom"/>
          </w:tcPr>
          <w:p w14:paraId="09F55718" w14:textId="1D26503F"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6"/>
                <w14:textFill>
                  <w14:solidFill>
                    <w14:srgbClr w14:val="000000">
                      <w14:alpha w14:val="100000"/>
                    </w14:srgbClr>
                  </w14:solidFill>
                </w14:textFill>
              </w:rPr>
              <w:t>|</w:t>
            </w:r>
            <w:r w:rsidRPr="001A4B8B">
              <w:rPr>
                <w:color w:val="000000"/>
                <w:spacing w:val="1"/>
                <w:shd w:val="solid" w:color="000000" w:fill="000000"/>
                <w:fitText w:val="188" w:id="-961838586"/>
                <w14:textFill>
                  <w14:solidFill>
                    <w14:srgbClr w14:val="000000">
                      <w14:alpha w14:val="100000"/>
                    </w14:srgbClr>
                  </w14:solidFill>
                </w14:textFill>
              </w:rPr>
              <w:t>|</w:t>
            </w:r>
            <w:r w:rsidR="00556738" w:rsidRPr="00556738">
              <w:rPr>
                <w:vertAlign w:val="superscript"/>
              </w:rPr>
              <w:t>2</w:t>
            </w:r>
          </w:p>
        </w:tc>
        <w:tc>
          <w:tcPr>
            <w:tcW w:w="445" w:type="pct"/>
            <w:tcBorders>
              <w:top w:val="nil"/>
              <w:bottom w:val="nil"/>
            </w:tcBorders>
            <w:noWrap/>
            <w:vAlign w:val="bottom"/>
          </w:tcPr>
          <w:p w14:paraId="241AE566" w14:textId="75669D74" w:rsidR="00A677E9" w:rsidRPr="00D20CA8" w:rsidRDefault="001A4B8B" w:rsidP="000B39FC">
            <w:pPr>
              <w:pStyle w:val="TableText"/>
              <w:jc w:val="right"/>
            </w:pPr>
            <w:r w:rsidRPr="001A4B8B">
              <w:rPr>
                <w:color w:val="000000"/>
                <w:spacing w:val="47"/>
                <w:shd w:val="solid" w:color="000000" w:fill="000000"/>
                <w:fitText w:val="313" w:id="-961838585"/>
                <w14:textFill>
                  <w14:solidFill>
                    <w14:srgbClr w14:val="000000">
                      <w14:alpha w14:val="100000"/>
                    </w14:srgbClr>
                  </w14:solidFill>
                </w14:textFill>
              </w:rPr>
              <w:t>|||</w:t>
            </w:r>
            <w:r w:rsidRPr="001A4B8B">
              <w:rPr>
                <w:color w:val="000000"/>
                <w:spacing w:val="2"/>
                <w:shd w:val="solid" w:color="000000" w:fill="000000"/>
                <w:fitText w:val="313" w:id="-961838585"/>
                <w14:textFill>
                  <w14:solidFill>
                    <w14:srgbClr w14:val="000000">
                      <w14:alpha w14:val="100000"/>
                    </w14:srgbClr>
                  </w14:solidFill>
                </w14:textFill>
              </w:rPr>
              <w:t>|</w:t>
            </w:r>
            <w:r w:rsidR="00A677E9" w:rsidRPr="00D20CA8">
              <w:t>%</w:t>
            </w:r>
          </w:p>
        </w:tc>
      </w:tr>
      <w:tr w:rsidR="00A677E9" w:rsidRPr="00D20CA8" w14:paraId="2F0B1C18" w14:textId="77777777" w:rsidTr="001A4B8B">
        <w:trPr>
          <w:trHeight w:val="20"/>
        </w:trPr>
        <w:tc>
          <w:tcPr>
            <w:tcW w:w="2903" w:type="pct"/>
            <w:tcBorders>
              <w:top w:val="nil"/>
              <w:bottom w:val="single" w:sz="4" w:space="0" w:color="auto"/>
            </w:tcBorders>
            <w:noWrap/>
            <w:vAlign w:val="bottom"/>
          </w:tcPr>
          <w:p w14:paraId="2D580FC2" w14:textId="77777777" w:rsidR="00A677E9" w:rsidRPr="00D20CA8" w:rsidRDefault="00A677E9" w:rsidP="000B39FC">
            <w:pPr>
              <w:pStyle w:val="TableText"/>
              <w:numPr>
                <w:ilvl w:val="0"/>
                <w:numId w:val="25"/>
              </w:numPr>
              <w:ind w:left="306" w:hanging="142"/>
            </w:pPr>
            <w:r w:rsidRPr="00D20CA8">
              <w:t>Exclude regression</w:t>
            </w:r>
          </w:p>
        </w:tc>
        <w:tc>
          <w:tcPr>
            <w:tcW w:w="550" w:type="pct"/>
            <w:tcBorders>
              <w:top w:val="nil"/>
              <w:bottom w:val="single" w:sz="4" w:space="0" w:color="auto"/>
            </w:tcBorders>
            <w:shd w:val="solid" w:color="000000" w:fill="000000"/>
            <w:noWrap/>
            <w:vAlign w:val="bottom"/>
          </w:tcPr>
          <w:p w14:paraId="26614AB6" w14:textId="770297BB" w:rsidR="00A677E9" w:rsidRPr="00700BF1" w:rsidRDefault="001A4B8B" w:rsidP="000B39FC">
            <w:pPr>
              <w:pStyle w:val="TableText"/>
              <w:jc w:val="center"/>
              <w:rPr>
                <w:highlight w:val="lightGray"/>
              </w:rPr>
            </w:pPr>
            <w:r w:rsidRPr="001A4B8B">
              <w:rPr>
                <w:color w:val="000000"/>
                <w:spacing w:val="65"/>
                <w:fitText w:val="151" w:id="-961838584"/>
                <w14:textFill>
                  <w14:solidFill>
                    <w14:srgbClr w14:val="000000">
                      <w14:alpha w14:val="100000"/>
                    </w14:srgbClr>
                  </w14:solidFill>
                </w14:textFill>
              </w:rPr>
              <w:t>|</w:t>
            </w:r>
            <w:r w:rsidRPr="001A4B8B">
              <w:rPr>
                <w:color w:val="000000"/>
                <w:fitText w:val="151" w:id="-961838584"/>
                <w14:textFill>
                  <w14:solidFill>
                    <w14:srgbClr w14:val="000000">
                      <w14:alpha w14:val="100000"/>
                    </w14:srgbClr>
                  </w14:solidFill>
                </w14:textFill>
              </w:rPr>
              <w:t>|</w:t>
            </w:r>
          </w:p>
        </w:tc>
        <w:tc>
          <w:tcPr>
            <w:tcW w:w="551" w:type="pct"/>
            <w:tcBorders>
              <w:top w:val="nil"/>
              <w:bottom w:val="single" w:sz="4" w:space="0" w:color="auto"/>
            </w:tcBorders>
            <w:noWrap/>
            <w:vAlign w:val="bottom"/>
          </w:tcPr>
          <w:p w14:paraId="7D7BFBA9" w14:textId="77777777" w:rsidR="00A677E9" w:rsidRPr="00D20CA8" w:rsidRDefault="00A677E9" w:rsidP="000B39FC">
            <w:pPr>
              <w:pStyle w:val="TableText"/>
              <w:jc w:val="right"/>
            </w:pPr>
            <w:r w:rsidRPr="00D20CA8">
              <w:t>1.766</w:t>
            </w:r>
          </w:p>
        </w:tc>
        <w:tc>
          <w:tcPr>
            <w:tcW w:w="551" w:type="pct"/>
            <w:tcBorders>
              <w:top w:val="nil"/>
              <w:bottom w:val="single" w:sz="4" w:space="0" w:color="auto"/>
            </w:tcBorders>
            <w:noWrap/>
            <w:vAlign w:val="bottom"/>
          </w:tcPr>
          <w:p w14:paraId="1872708B" w14:textId="5236A013"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3"/>
                <w14:textFill>
                  <w14:solidFill>
                    <w14:srgbClr w14:val="000000">
                      <w14:alpha w14:val="100000"/>
                    </w14:srgbClr>
                  </w14:solidFill>
                </w14:textFill>
              </w:rPr>
              <w:t>|</w:t>
            </w:r>
            <w:r w:rsidRPr="001A4B8B">
              <w:rPr>
                <w:color w:val="000000"/>
                <w:spacing w:val="1"/>
                <w:shd w:val="solid" w:color="000000" w:fill="000000"/>
                <w:fitText w:val="188" w:id="-961838583"/>
                <w14:textFill>
                  <w14:solidFill>
                    <w14:srgbClr w14:val="000000">
                      <w14:alpha w14:val="100000"/>
                    </w14:srgbClr>
                  </w14:solidFill>
                </w14:textFill>
              </w:rPr>
              <w:t>|</w:t>
            </w:r>
            <w:r w:rsidR="00556738" w:rsidRPr="00556738">
              <w:rPr>
                <w:vertAlign w:val="superscript"/>
              </w:rPr>
              <w:t>2</w:t>
            </w:r>
          </w:p>
        </w:tc>
        <w:tc>
          <w:tcPr>
            <w:tcW w:w="445" w:type="pct"/>
            <w:tcBorders>
              <w:top w:val="nil"/>
              <w:bottom w:val="single" w:sz="4" w:space="0" w:color="auto"/>
            </w:tcBorders>
            <w:noWrap/>
            <w:vAlign w:val="bottom"/>
          </w:tcPr>
          <w:p w14:paraId="79543891" w14:textId="4B45E795" w:rsidR="00A677E9" w:rsidRPr="00D20CA8" w:rsidRDefault="001A4B8B" w:rsidP="000B39FC">
            <w:pPr>
              <w:pStyle w:val="TableText"/>
              <w:jc w:val="right"/>
            </w:pPr>
            <w:r w:rsidRPr="001A4B8B">
              <w:rPr>
                <w:color w:val="000000"/>
                <w:spacing w:val="47"/>
                <w:shd w:val="solid" w:color="000000" w:fill="000000"/>
                <w:fitText w:val="313" w:id="-961838582"/>
                <w14:textFill>
                  <w14:solidFill>
                    <w14:srgbClr w14:val="000000">
                      <w14:alpha w14:val="100000"/>
                    </w14:srgbClr>
                  </w14:solidFill>
                </w14:textFill>
              </w:rPr>
              <w:t>|||</w:t>
            </w:r>
            <w:r w:rsidRPr="001A4B8B">
              <w:rPr>
                <w:color w:val="000000"/>
                <w:spacing w:val="2"/>
                <w:shd w:val="solid" w:color="000000" w:fill="000000"/>
                <w:fitText w:val="313" w:id="-961838582"/>
                <w14:textFill>
                  <w14:solidFill>
                    <w14:srgbClr w14:val="000000">
                      <w14:alpha w14:val="100000"/>
                    </w14:srgbClr>
                  </w14:solidFill>
                </w14:textFill>
              </w:rPr>
              <w:t>|</w:t>
            </w:r>
            <w:r w:rsidR="00A677E9" w:rsidRPr="00D20CA8">
              <w:t>%</w:t>
            </w:r>
          </w:p>
        </w:tc>
      </w:tr>
      <w:tr w:rsidR="00A677E9" w:rsidRPr="00D20CA8" w14:paraId="69301CD3" w14:textId="77777777" w:rsidTr="7A2CA021">
        <w:trPr>
          <w:trHeight w:val="20"/>
        </w:trPr>
        <w:tc>
          <w:tcPr>
            <w:tcW w:w="5000" w:type="pct"/>
            <w:gridSpan w:val="5"/>
            <w:tcBorders>
              <w:bottom w:val="single" w:sz="4" w:space="0" w:color="auto"/>
            </w:tcBorders>
            <w:noWrap/>
            <w:vAlign w:val="bottom"/>
          </w:tcPr>
          <w:p w14:paraId="5841A3A7" w14:textId="77777777" w:rsidR="00A677E9" w:rsidRPr="00D20CA8" w:rsidRDefault="00A677E9" w:rsidP="000B39FC">
            <w:pPr>
              <w:pStyle w:val="TableText"/>
            </w:pPr>
            <w:r w:rsidRPr="00D20CA8">
              <w:t>Health state utility values (base case: MYR301 for non-cirrhotic and CC, and Attachment 12 of the submission)</w:t>
            </w:r>
          </w:p>
        </w:tc>
      </w:tr>
      <w:tr w:rsidR="00A677E9" w:rsidRPr="00D20CA8" w14:paraId="75EA3EE8" w14:textId="77777777" w:rsidTr="001A4B8B">
        <w:trPr>
          <w:trHeight w:val="20"/>
        </w:trPr>
        <w:tc>
          <w:tcPr>
            <w:tcW w:w="2903" w:type="pct"/>
            <w:tcBorders>
              <w:bottom w:val="nil"/>
            </w:tcBorders>
            <w:noWrap/>
            <w:vAlign w:val="bottom"/>
          </w:tcPr>
          <w:p w14:paraId="75CEBEB7" w14:textId="77777777" w:rsidR="00A677E9" w:rsidRPr="00D20CA8" w:rsidRDefault="00A677E9" w:rsidP="000B39FC">
            <w:pPr>
              <w:pStyle w:val="TableText"/>
              <w:numPr>
                <w:ilvl w:val="0"/>
                <w:numId w:val="25"/>
              </w:numPr>
              <w:ind w:left="306" w:hanging="142"/>
            </w:pPr>
            <w:r w:rsidRPr="00D20CA8">
              <w:t>Non-cirrhotic and CC values as per Wright et al. (2006) </w:t>
            </w:r>
            <w:r w:rsidRPr="00D20CA8">
              <w:rPr>
                <w:vertAlign w:val="superscript"/>
              </w:rPr>
              <w:t>c</w:t>
            </w:r>
          </w:p>
        </w:tc>
        <w:tc>
          <w:tcPr>
            <w:tcW w:w="550" w:type="pct"/>
            <w:tcBorders>
              <w:bottom w:val="nil"/>
            </w:tcBorders>
            <w:shd w:val="solid" w:color="000000" w:fill="000000"/>
            <w:noWrap/>
          </w:tcPr>
          <w:p w14:paraId="17775A2F" w14:textId="1C0A4375" w:rsidR="00A677E9" w:rsidRPr="00700BF1" w:rsidRDefault="001A4B8B" w:rsidP="000B39FC">
            <w:pPr>
              <w:pStyle w:val="TableText"/>
              <w:jc w:val="center"/>
              <w:rPr>
                <w:highlight w:val="lightGray"/>
              </w:rPr>
            </w:pPr>
            <w:r w:rsidRPr="001A4B8B">
              <w:rPr>
                <w:color w:val="000000"/>
                <w:spacing w:val="65"/>
                <w:fitText w:val="151" w:id="-961838581"/>
                <w14:textFill>
                  <w14:solidFill>
                    <w14:srgbClr w14:val="000000">
                      <w14:alpha w14:val="100000"/>
                    </w14:srgbClr>
                  </w14:solidFill>
                </w14:textFill>
              </w:rPr>
              <w:t>|</w:t>
            </w:r>
            <w:r w:rsidRPr="001A4B8B">
              <w:rPr>
                <w:color w:val="000000"/>
                <w:fitText w:val="151" w:id="-961838581"/>
                <w14:textFill>
                  <w14:solidFill>
                    <w14:srgbClr w14:val="000000">
                      <w14:alpha w14:val="100000"/>
                    </w14:srgbClr>
                  </w14:solidFill>
                </w14:textFill>
              </w:rPr>
              <w:t>|</w:t>
            </w:r>
          </w:p>
        </w:tc>
        <w:tc>
          <w:tcPr>
            <w:tcW w:w="551" w:type="pct"/>
            <w:tcBorders>
              <w:bottom w:val="nil"/>
            </w:tcBorders>
            <w:noWrap/>
          </w:tcPr>
          <w:p w14:paraId="58CB7F89" w14:textId="77777777" w:rsidR="00A677E9" w:rsidRPr="00D20CA8" w:rsidRDefault="00A677E9" w:rsidP="000B39FC">
            <w:pPr>
              <w:pStyle w:val="TableText"/>
              <w:jc w:val="right"/>
            </w:pPr>
            <w:r w:rsidRPr="00D20CA8">
              <w:t>1.957</w:t>
            </w:r>
          </w:p>
        </w:tc>
        <w:tc>
          <w:tcPr>
            <w:tcW w:w="551" w:type="pct"/>
            <w:tcBorders>
              <w:bottom w:val="nil"/>
            </w:tcBorders>
            <w:noWrap/>
          </w:tcPr>
          <w:p w14:paraId="11E88908" w14:textId="3B2DA0E6"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0"/>
                <w14:textFill>
                  <w14:solidFill>
                    <w14:srgbClr w14:val="000000">
                      <w14:alpha w14:val="100000"/>
                    </w14:srgbClr>
                  </w14:solidFill>
                </w14:textFill>
              </w:rPr>
              <w:t>|</w:t>
            </w:r>
            <w:r w:rsidRPr="001A4B8B">
              <w:rPr>
                <w:color w:val="000000"/>
                <w:spacing w:val="1"/>
                <w:shd w:val="solid" w:color="000000" w:fill="000000"/>
                <w:fitText w:val="188" w:id="-961838580"/>
                <w14:textFill>
                  <w14:solidFill>
                    <w14:srgbClr w14:val="000000">
                      <w14:alpha w14:val="100000"/>
                    </w14:srgbClr>
                  </w14:solidFill>
                </w14:textFill>
              </w:rPr>
              <w:t>|</w:t>
            </w:r>
            <w:r w:rsidR="00556738" w:rsidRPr="00556738">
              <w:rPr>
                <w:vertAlign w:val="superscript"/>
              </w:rPr>
              <w:t>2</w:t>
            </w:r>
          </w:p>
        </w:tc>
        <w:tc>
          <w:tcPr>
            <w:tcW w:w="445" w:type="pct"/>
            <w:tcBorders>
              <w:bottom w:val="nil"/>
            </w:tcBorders>
            <w:noWrap/>
          </w:tcPr>
          <w:p w14:paraId="20DDBEB7" w14:textId="61F09629" w:rsidR="00A677E9" w:rsidRPr="00D20CA8" w:rsidRDefault="001A4B8B" w:rsidP="000B39FC">
            <w:pPr>
              <w:pStyle w:val="TableText"/>
              <w:jc w:val="right"/>
            </w:pPr>
            <w:r w:rsidRPr="001A4B8B">
              <w:rPr>
                <w:color w:val="000000"/>
                <w:spacing w:val="47"/>
                <w:shd w:val="solid" w:color="000000" w:fill="000000"/>
                <w:fitText w:val="313" w:id="-961838579"/>
                <w14:textFill>
                  <w14:solidFill>
                    <w14:srgbClr w14:val="000000">
                      <w14:alpha w14:val="100000"/>
                    </w14:srgbClr>
                  </w14:solidFill>
                </w14:textFill>
              </w:rPr>
              <w:t>|||</w:t>
            </w:r>
            <w:r w:rsidRPr="001A4B8B">
              <w:rPr>
                <w:color w:val="000000"/>
                <w:spacing w:val="2"/>
                <w:shd w:val="solid" w:color="000000" w:fill="000000"/>
                <w:fitText w:val="313" w:id="-961838579"/>
                <w14:textFill>
                  <w14:solidFill>
                    <w14:srgbClr w14:val="000000">
                      <w14:alpha w14:val="100000"/>
                    </w14:srgbClr>
                  </w14:solidFill>
                </w14:textFill>
              </w:rPr>
              <w:t>|</w:t>
            </w:r>
            <w:r w:rsidR="00A677E9" w:rsidRPr="00D20CA8">
              <w:t>%</w:t>
            </w:r>
          </w:p>
        </w:tc>
      </w:tr>
      <w:tr w:rsidR="00A677E9" w:rsidRPr="00D20CA8" w14:paraId="036F97FB" w14:textId="77777777" w:rsidTr="001A4B8B">
        <w:trPr>
          <w:trHeight w:val="20"/>
        </w:trPr>
        <w:tc>
          <w:tcPr>
            <w:tcW w:w="2903" w:type="pct"/>
            <w:tcBorders>
              <w:top w:val="nil"/>
            </w:tcBorders>
            <w:noWrap/>
            <w:vAlign w:val="bottom"/>
          </w:tcPr>
          <w:p w14:paraId="367C2E9C" w14:textId="77777777" w:rsidR="00A677E9" w:rsidRPr="00D20CA8" w:rsidRDefault="00A677E9" w:rsidP="000B39FC">
            <w:pPr>
              <w:pStyle w:val="TableText"/>
              <w:numPr>
                <w:ilvl w:val="0"/>
                <w:numId w:val="25"/>
              </w:numPr>
              <w:ind w:left="306" w:hanging="142"/>
            </w:pPr>
            <w:r w:rsidRPr="00D20CA8">
              <w:t>All as per Wright et al. (2006)</w:t>
            </w:r>
            <w:r w:rsidRPr="00D20CA8">
              <w:rPr>
                <w:b/>
                <w:bCs/>
              </w:rPr>
              <w:t xml:space="preserve"> (#5)</w:t>
            </w:r>
            <w:r w:rsidRPr="00D20CA8">
              <w:t> </w:t>
            </w:r>
            <w:r w:rsidRPr="00D20CA8">
              <w:rPr>
                <w:vertAlign w:val="superscript"/>
              </w:rPr>
              <w:t>d</w:t>
            </w:r>
          </w:p>
        </w:tc>
        <w:tc>
          <w:tcPr>
            <w:tcW w:w="550" w:type="pct"/>
            <w:tcBorders>
              <w:top w:val="nil"/>
            </w:tcBorders>
            <w:shd w:val="solid" w:color="000000" w:fill="000000"/>
            <w:noWrap/>
          </w:tcPr>
          <w:p w14:paraId="5514F8E7" w14:textId="7DD45B79" w:rsidR="00A677E9" w:rsidRPr="00700BF1" w:rsidRDefault="001A4B8B" w:rsidP="000B39FC">
            <w:pPr>
              <w:pStyle w:val="TableText"/>
              <w:jc w:val="center"/>
              <w:rPr>
                <w:highlight w:val="lightGray"/>
              </w:rPr>
            </w:pPr>
            <w:r w:rsidRPr="001A4B8B">
              <w:rPr>
                <w:color w:val="000000"/>
                <w:spacing w:val="65"/>
                <w:fitText w:val="151" w:id="-961838578"/>
                <w14:textFill>
                  <w14:solidFill>
                    <w14:srgbClr w14:val="000000">
                      <w14:alpha w14:val="100000"/>
                    </w14:srgbClr>
                  </w14:solidFill>
                </w14:textFill>
              </w:rPr>
              <w:t>|</w:t>
            </w:r>
            <w:r w:rsidRPr="001A4B8B">
              <w:rPr>
                <w:color w:val="000000"/>
                <w:fitText w:val="151" w:id="-961838578"/>
                <w14:textFill>
                  <w14:solidFill>
                    <w14:srgbClr w14:val="000000">
                      <w14:alpha w14:val="100000"/>
                    </w14:srgbClr>
                  </w14:solidFill>
                </w14:textFill>
              </w:rPr>
              <w:t>|</w:t>
            </w:r>
          </w:p>
        </w:tc>
        <w:tc>
          <w:tcPr>
            <w:tcW w:w="551" w:type="pct"/>
            <w:tcBorders>
              <w:top w:val="nil"/>
            </w:tcBorders>
            <w:noWrap/>
          </w:tcPr>
          <w:p w14:paraId="209D94C8" w14:textId="77777777" w:rsidR="00A677E9" w:rsidRPr="00D20CA8" w:rsidRDefault="00A677E9" w:rsidP="000B39FC">
            <w:pPr>
              <w:pStyle w:val="TableText"/>
              <w:jc w:val="right"/>
            </w:pPr>
            <w:r w:rsidRPr="00D20CA8">
              <w:t>1.965</w:t>
            </w:r>
          </w:p>
        </w:tc>
        <w:tc>
          <w:tcPr>
            <w:tcW w:w="551" w:type="pct"/>
            <w:tcBorders>
              <w:top w:val="nil"/>
            </w:tcBorders>
            <w:noWrap/>
          </w:tcPr>
          <w:p w14:paraId="58616E7B" w14:textId="7FC7F1D7" w:rsidR="00A677E9" w:rsidRPr="00221F0B" w:rsidRDefault="001A4B8B" w:rsidP="000B39FC">
            <w:pPr>
              <w:pStyle w:val="TableText"/>
              <w:jc w:val="center"/>
              <w:rPr>
                <w:highlight w:val="lightGray"/>
              </w:rPr>
            </w:pPr>
            <w:r w:rsidRPr="001A4B8B">
              <w:rPr>
                <w:color w:val="000000"/>
                <w:spacing w:val="102"/>
                <w:shd w:val="solid" w:color="000000" w:fill="000000"/>
                <w:fitText w:val="188" w:id="-961838577"/>
                <w14:textFill>
                  <w14:solidFill>
                    <w14:srgbClr w14:val="000000">
                      <w14:alpha w14:val="100000"/>
                    </w14:srgbClr>
                  </w14:solidFill>
                </w14:textFill>
              </w:rPr>
              <w:t>|</w:t>
            </w:r>
            <w:r w:rsidRPr="001A4B8B">
              <w:rPr>
                <w:color w:val="000000"/>
                <w:spacing w:val="1"/>
                <w:shd w:val="solid" w:color="000000" w:fill="000000"/>
                <w:fitText w:val="188" w:id="-961838577"/>
                <w14:textFill>
                  <w14:solidFill>
                    <w14:srgbClr w14:val="000000">
                      <w14:alpha w14:val="100000"/>
                    </w14:srgbClr>
                  </w14:solidFill>
                </w14:textFill>
              </w:rPr>
              <w:t>|</w:t>
            </w:r>
            <w:r w:rsidR="00556738" w:rsidRPr="00556738">
              <w:rPr>
                <w:vertAlign w:val="superscript"/>
              </w:rPr>
              <w:t>2</w:t>
            </w:r>
          </w:p>
        </w:tc>
        <w:tc>
          <w:tcPr>
            <w:tcW w:w="445" w:type="pct"/>
            <w:tcBorders>
              <w:top w:val="nil"/>
            </w:tcBorders>
            <w:noWrap/>
          </w:tcPr>
          <w:p w14:paraId="2CD85CDF" w14:textId="53B5FA97" w:rsidR="00A677E9" w:rsidRPr="00D20CA8" w:rsidRDefault="001A4B8B" w:rsidP="000B39FC">
            <w:pPr>
              <w:pStyle w:val="TableText"/>
              <w:jc w:val="right"/>
            </w:pPr>
            <w:r w:rsidRPr="001A4B8B">
              <w:rPr>
                <w:color w:val="000000"/>
                <w:spacing w:val="47"/>
                <w:shd w:val="solid" w:color="000000" w:fill="000000"/>
                <w:fitText w:val="313" w:id="-961838576"/>
                <w14:textFill>
                  <w14:solidFill>
                    <w14:srgbClr w14:val="000000">
                      <w14:alpha w14:val="100000"/>
                    </w14:srgbClr>
                  </w14:solidFill>
                </w14:textFill>
              </w:rPr>
              <w:t>|||</w:t>
            </w:r>
            <w:r w:rsidRPr="001A4B8B">
              <w:rPr>
                <w:color w:val="000000"/>
                <w:spacing w:val="2"/>
                <w:shd w:val="solid" w:color="000000" w:fill="000000"/>
                <w:fitText w:val="313" w:id="-961838576"/>
                <w14:textFill>
                  <w14:solidFill>
                    <w14:srgbClr w14:val="000000">
                      <w14:alpha w14:val="100000"/>
                    </w14:srgbClr>
                  </w14:solidFill>
                </w14:textFill>
              </w:rPr>
              <w:t>|</w:t>
            </w:r>
            <w:r w:rsidR="00A677E9" w:rsidRPr="00D20CA8">
              <w:t>%</w:t>
            </w:r>
          </w:p>
        </w:tc>
      </w:tr>
      <w:tr w:rsidR="00A677E9" w:rsidRPr="00D20CA8" w14:paraId="3F118A75" w14:textId="77777777" w:rsidTr="001A4B8B">
        <w:trPr>
          <w:trHeight w:val="20"/>
        </w:trPr>
        <w:tc>
          <w:tcPr>
            <w:tcW w:w="2903" w:type="pct"/>
            <w:tcBorders>
              <w:bottom w:val="single" w:sz="4" w:space="0" w:color="auto"/>
              <w:right w:val="nil"/>
            </w:tcBorders>
            <w:noWrap/>
            <w:vAlign w:val="bottom"/>
          </w:tcPr>
          <w:p w14:paraId="6B2617CD" w14:textId="77777777" w:rsidR="00A677E9" w:rsidRPr="00D20CA8" w:rsidRDefault="00A677E9" w:rsidP="000B39FC">
            <w:pPr>
              <w:pStyle w:val="TableText"/>
            </w:pPr>
            <w:r w:rsidRPr="00D20CA8">
              <w:t>Utility increment in responders (base case: 0.057)</w:t>
            </w:r>
          </w:p>
        </w:tc>
        <w:tc>
          <w:tcPr>
            <w:tcW w:w="550" w:type="pct"/>
            <w:tcBorders>
              <w:left w:val="nil"/>
              <w:bottom w:val="single" w:sz="4" w:space="0" w:color="auto"/>
              <w:right w:val="nil"/>
            </w:tcBorders>
            <w:noWrap/>
            <w:vAlign w:val="bottom"/>
          </w:tcPr>
          <w:p w14:paraId="2F6C0657"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5E3BFC9D" w14:textId="77777777" w:rsidR="00A677E9" w:rsidRPr="00D20CA8" w:rsidRDefault="00A677E9" w:rsidP="000B39FC">
            <w:pPr>
              <w:pStyle w:val="TableText"/>
              <w:jc w:val="right"/>
            </w:pPr>
          </w:p>
        </w:tc>
        <w:tc>
          <w:tcPr>
            <w:tcW w:w="551" w:type="pct"/>
            <w:tcBorders>
              <w:left w:val="nil"/>
              <w:bottom w:val="single" w:sz="4" w:space="0" w:color="auto"/>
              <w:right w:val="nil"/>
            </w:tcBorders>
            <w:noWrap/>
            <w:vAlign w:val="bottom"/>
          </w:tcPr>
          <w:p w14:paraId="3E56F80A" w14:textId="77777777" w:rsidR="00A677E9" w:rsidRPr="00D20CA8" w:rsidRDefault="00A677E9" w:rsidP="000B39FC">
            <w:pPr>
              <w:pStyle w:val="TableText"/>
              <w:jc w:val="right"/>
            </w:pPr>
          </w:p>
        </w:tc>
        <w:tc>
          <w:tcPr>
            <w:tcW w:w="445" w:type="pct"/>
            <w:tcBorders>
              <w:left w:val="nil"/>
              <w:bottom w:val="single" w:sz="4" w:space="0" w:color="auto"/>
            </w:tcBorders>
            <w:noWrap/>
            <w:vAlign w:val="bottom"/>
          </w:tcPr>
          <w:p w14:paraId="29766BC7" w14:textId="77777777" w:rsidR="00A677E9" w:rsidRPr="00D20CA8" w:rsidRDefault="00A677E9" w:rsidP="000B39FC">
            <w:pPr>
              <w:pStyle w:val="TableText"/>
              <w:jc w:val="right"/>
            </w:pPr>
          </w:p>
        </w:tc>
      </w:tr>
      <w:tr w:rsidR="00A677E9" w:rsidRPr="00D20CA8" w14:paraId="228A3CEB" w14:textId="77777777" w:rsidTr="001A4B8B">
        <w:trPr>
          <w:trHeight w:val="20"/>
        </w:trPr>
        <w:tc>
          <w:tcPr>
            <w:tcW w:w="2903" w:type="pct"/>
            <w:tcBorders>
              <w:bottom w:val="nil"/>
            </w:tcBorders>
            <w:noWrap/>
            <w:vAlign w:val="bottom"/>
          </w:tcPr>
          <w:p w14:paraId="1EF98A31" w14:textId="77777777" w:rsidR="00A677E9" w:rsidRPr="00D20CA8" w:rsidRDefault="00A677E9" w:rsidP="000B39FC">
            <w:pPr>
              <w:pStyle w:val="TableText"/>
              <w:numPr>
                <w:ilvl w:val="0"/>
                <w:numId w:val="25"/>
              </w:numPr>
              <w:ind w:left="306" w:hanging="142"/>
            </w:pPr>
            <w:r w:rsidRPr="00D20CA8">
              <w:t xml:space="preserve">0 </w:t>
            </w:r>
            <w:r w:rsidRPr="00D20CA8">
              <w:rPr>
                <w:b/>
                <w:bCs/>
              </w:rPr>
              <w:t>(#6)</w:t>
            </w:r>
          </w:p>
        </w:tc>
        <w:tc>
          <w:tcPr>
            <w:tcW w:w="550" w:type="pct"/>
            <w:tcBorders>
              <w:bottom w:val="nil"/>
            </w:tcBorders>
            <w:shd w:val="solid" w:color="000000" w:fill="000000"/>
            <w:noWrap/>
            <w:vAlign w:val="bottom"/>
          </w:tcPr>
          <w:p w14:paraId="66372B8D" w14:textId="2AF59376" w:rsidR="00A677E9" w:rsidRPr="00700BF1" w:rsidRDefault="001A4B8B" w:rsidP="000B39FC">
            <w:pPr>
              <w:pStyle w:val="TableText"/>
              <w:jc w:val="center"/>
              <w:rPr>
                <w:highlight w:val="lightGray"/>
              </w:rPr>
            </w:pPr>
            <w:r w:rsidRPr="001A4B8B">
              <w:rPr>
                <w:color w:val="000000"/>
                <w:spacing w:val="65"/>
                <w:fitText w:val="151" w:id="-961838592"/>
                <w14:textFill>
                  <w14:solidFill>
                    <w14:srgbClr w14:val="000000">
                      <w14:alpha w14:val="100000"/>
                    </w14:srgbClr>
                  </w14:solidFill>
                </w14:textFill>
              </w:rPr>
              <w:t>|</w:t>
            </w:r>
            <w:r w:rsidRPr="001A4B8B">
              <w:rPr>
                <w:color w:val="000000"/>
                <w:fitText w:val="151" w:id="-961838592"/>
                <w14:textFill>
                  <w14:solidFill>
                    <w14:srgbClr w14:val="000000">
                      <w14:alpha w14:val="100000"/>
                    </w14:srgbClr>
                  </w14:solidFill>
                </w14:textFill>
              </w:rPr>
              <w:t>|</w:t>
            </w:r>
          </w:p>
        </w:tc>
        <w:tc>
          <w:tcPr>
            <w:tcW w:w="551" w:type="pct"/>
            <w:tcBorders>
              <w:bottom w:val="nil"/>
            </w:tcBorders>
            <w:noWrap/>
            <w:vAlign w:val="bottom"/>
          </w:tcPr>
          <w:p w14:paraId="6D8EB170" w14:textId="77777777" w:rsidR="00A677E9" w:rsidRPr="00D20CA8" w:rsidRDefault="00A677E9" w:rsidP="000B39FC">
            <w:pPr>
              <w:pStyle w:val="TableText"/>
              <w:jc w:val="right"/>
            </w:pPr>
            <w:r w:rsidRPr="00D20CA8">
              <w:t>1.941</w:t>
            </w:r>
          </w:p>
        </w:tc>
        <w:tc>
          <w:tcPr>
            <w:tcW w:w="551" w:type="pct"/>
            <w:tcBorders>
              <w:bottom w:val="nil"/>
            </w:tcBorders>
            <w:noWrap/>
            <w:vAlign w:val="bottom"/>
          </w:tcPr>
          <w:p w14:paraId="163A0123" w14:textId="57129D24" w:rsidR="00A677E9" w:rsidRPr="00221F0B" w:rsidRDefault="001A4B8B" w:rsidP="000B39FC">
            <w:pPr>
              <w:pStyle w:val="TableText"/>
              <w:jc w:val="center"/>
              <w:rPr>
                <w:highlight w:val="lightGray"/>
              </w:rPr>
            </w:pPr>
            <w:r w:rsidRPr="001A4B8B">
              <w:rPr>
                <w:color w:val="000000"/>
                <w:spacing w:val="102"/>
                <w:shd w:val="solid" w:color="000000" w:fill="000000"/>
                <w:fitText w:val="188" w:id="-961838591"/>
                <w14:textFill>
                  <w14:solidFill>
                    <w14:srgbClr w14:val="000000">
                      <w14:alpha w14:val="100000"/>
                    </w14:srgbClr>
                  </w14:solidFill>
                </w14:textFill>
              </w:rPr>
              <w:t>|</w:t>
            </w:r>
            <w:r w:rsidRPr="001A4B8B">
              <w:rPr>
                <w:color w:val="000000"/>
                <w:spacing w:val="1"/>
                <w:shd w:val="solid" w:color="000000" w:fill="000000"/>
                <w:fitText w:val="188" w:id="-961838591"/>
                <w14:textFill>
                  <w14:solidFill>
                    <w14:srgbClr w14:val="000000">
                      <w14:alpha w14:val="100000"/>
                    </w14:srgbClr>
                  </w14:solidFill>
                </w14:textFill>
              </w:rPr>
              <w:t>|</w:t>
            </w:r>
            <w:r w:rsidR="00556738" w:rsidRPr="00556738">
              <w:rPr>
                <w:vertAlign w:val="superscript"/>
              </w:rPr>
              <w:t>2</w:t>
            </w:r>
          </w:p>
        </w:tc>
        <w:tc>
          <w:tcPr>
            <w:tcW w:w="445" w:type="pct"/>
            <w:tcBorders>
              <w:bottom w:val="nil"/>
            </w:tcBorders>
            <w:noWrap/>
            <w:vAlign w:val="bottom"/>
          </w:tcPr>
          <w:p w14:paraId="4A4A6179" w14:textId="37CFAD99" w:rsidR="00A677E9" w:rsidRPr="00D20CA8" w:rsidRDefault="001A4B8B" w:rsidP="000B39FC">
            <w:pPr>
              <w:pStyle w:val="TableText"/>
              <w:jc w:val="right"/>
            </w:pPr>
            <w:r w:rsidRPr="001A4B8B">
              <w:rPr>
                <w:color w:val="000000"/>
                <w:spacing w:val="47"/>
                <w:shd w:val="solid" w:color="000000" w:fill="000000"/>
                <w:fitText w:val="313" w:id="-961838590"/>
                <w14:textFill>
                  <w14:solidFill>
                    <w14:srgbClr w14:val="000000">
                      <w14:alpha w14:val="100000"/>
                    </w14:srgbClr>
                  </w14:solidFill>
                </w14:textFill>
              </w:rPr>
              <w:t>|||</w:t>
            </w:r>
            <w:r w:rsidRPr="001A4B8B">
              <w:rPr>
                <w:color w:val="000000"/>
                <w:spacing w:val="2"/>
                <w:shd w:val="solid" w:color="000000" w:fill="000000"/>
                <w:fitText w:val="313" w:id="-961838590"/>
                <w14:textFill>
                  <w14:solidFill>
                    <w14:srgbClr w14:val="000000">
                      <w14:alpha w14:val="100000"/>
                    </w14:srgbClr>
                  </w14:solidFill>
                </w14:textFill>
              </w:rPr>
              <w:t>|</w:t>
            </w:r>
            <w:r w:rsidR="00A677E9" w:rsidRPr="00D20CA8">
              <w:t>%</w:t>
            </w:r>
          </w:p>
        </w:tc>
      </w:tr>
      <w:tr w:rsidR="00A677E9" w:rsidRPr="00D20CA8" w14:paraId="5CE99CBC" w14:textId="77777777" w:rsidTr="001A4B8B">
        <w:trPr>
          <w:trHeight w:val="20"/>
        </w:trPr>
        <w:tc>
          <w:tcPr>
            <w:tcW w:w="2903" w:type="pct"/>
            <w:tcBorders>
              <w:top w:val="nil"/>
              <w:bottom w:val="single" w:sz="4" w:space="0" w:color="auto"/>
            </w:tcBorders>
            <w:noWrap/>
            <w:vAlign w:val="bottom"/>
          </w:tcPr>
          <w:p w14:paraId="2C4FD4AB" w14:textId="77777777" w:rsidR="00A677E9" w:rsidRPr="00D20CA8" w:rsidRDefault="00A677E9" w:rsidP="000B39FC">
            <w:pPr>
              <w:pStyle w:val="TableText"/>
              <w:numPr>
                <w:ilvl w:val="0"/>
                <w:numId w:val="25"/>
              </w:numPr>
              <w:ind w:left="306" w:hanging="142"/>
            </w:pPr>
            <w:r w:rsidRPr="00D20CA8">
              <w:t>0.207</w:t>
            </w:r>
          </w:p>
        </w:tc>
        <w:tc>
          <w:tcPr>
            <w:tcW w:w="550" w:type="pct"/>
            <w:tcBorders>
              <w:top w:val="nil"/>
              <w:bottom w:val="single" w:sz="4" w:space="0" w:color="auto"/>
            </w:tcBorders>
            <w:shd w:val="solid" w:color="000000" w:fill="000000"/>
            <w:noWrap/>
            <w:vAlign w:val="bottom"/>
          </w:tcPr>
          <w:p w14:paraId="0D9E8109" w14:textId="2AD6C004" w:rsidR="00A677E9" w:rsidRPr="00700BF1" w:rsidRDefault="001A4B8B" w:rsidP="000B39FC">
            <w:pPr>
              <w:pStyle w:val="TableText"/>
              <w:jc w:val="center"/>
              <w:rPr>
                <w:highlight w:val="lightGray"/>
              </w:rPr>
            </w:pPr>
            <w:r w:rsidRPr="001A4B8B">
              <w:rPr>
                <w:color w:val="000000"/>
                <w:spacing w:val="65"/>
                <w:fitText w:val="151" w:id="-961838589"/>
                <w14:textFill>
                  <w14:solidFill>
                    <w14:srgbClr w14:val="000000">
                      <w14:alpha w14:val="100000"/>
                    </w14:srgbClr>
                  </w14:solidFill>
                </w14:textFill>
              </w:rPr>
              <w:t>|</w:t>
            </w:r>
            <w:r w:rsidRPr="001A4B8B">
              <w:rPr>
                <w:color w:val="000000"/>
                <w:fitText w:val="151" w:id="-961838589"/>
                <w14:textFill>
                  <w14:solidFill>
                    <w14:srgbClr w14:val="000000">
                      <w14:alpha w14:val="100000"/>
                    </w14:srgbClr>
                  </w14:solidFill>
                </w14:textFill>
              </w:rPr>
              <w:t>|</w:t>
            </w:r>
          </w:p>
        </w:tc>
        <w:tc>
          <w:tcPr>
            <w:tcW w:w="551" w:type="pct"/>
            <w:tcBorders>
              <w:top w:val="nil"/>
              <w:bottom w:val="single" w:sz="4" w:space="0" w:color="auto"/>
            </w:tcBorders>
            <w:noWrap/>
            <w:vAlign w:val="bottom"/>
          </w:tcPr>
          <w:p w14:paraId="14C8F2BD" w14:textId="77777777" w:rsidR="00A677E9" w:rsidRPr="00D20CA8" w:rsidRDefault="00A677E9" w:rsidP="000B39FC">
            <w:pPr>
              <w:pStyle w:val="TableText"/>
              <w:jc w:val="right"/>
            </w:pPr>
            <w:r w:rsidRPr="00D20CA8">
              <w:t>2.854</w:t>
            </w:r>
          </w:p>
        </w:tc>
        <w:tc>
          <w:tcPr>
            <w:tcW w:w="551" w:type="pct"/>
            <w:tcBorders>
              <w:top w:val="nil"/>
              <w:bottom w:val="single" w:sz="4" w:space="0" w:color="auto"/>
            </w:tcBorders>
            <w:noWrap/>
            <w:vAlign w:val="bottom"/>
          </w:tcPr>
          <w:p w14:paraId="7C150689" w14:textId="108D68F6" w:rsidR="00A677E9" w:rsidRPr="00221F0B" w:rsidRDefault="001A4B8B" w:rsidP="000B39FC">
            <w:pPr>
              <w:pStyle w:val="TableText"/>
              <w:jc w:val="center"/>
              <w:rPr>
                <w:highlight w:val="lightGray"/>
              </w:rPr>
            </w:pPr>
            <w:r w:rsidRPr="001A4B8B">
              <w:rPr>
                <w:color w:val="000000"/>
                <w:spacing w:val="102"/>
                <w:shd w:val="solid" w:color="000000" w:fill="000000"/>
                <w:fitText w:val="188" w:id="-961838588"/>
                <w14:textFill>
                  <w14:solidFill>
                    <w14:srgbClr w14:val="000000">
                      <w14:alpha w14:val="100000"/>
                    </w14:srgbClr>
                  </w14:solidFill>
                </w14:textFill>
              </w:rPr>
              <w:t>|</w:t>
            </w:r>
            <w:r w:rsidRPr="001A4B8B">
              <w:rPr>
                <w:color w:val="000000"/>
                <w:spacing w:val="1"/>
                <w:shd w:val="solid" w:color="000000" w:fill="000000"/>
                <w:fitText w:val="188" w:id="-961838588"/>
                <w14:textFill>
                  <w14:solidFill>
                    <w14:srgbClr w14:val="000000">
                      <w14:alpha w14:val="100000"/>
                    </w14:srgbClr>
                  </w14:solidFill>
                </w14:textFill>
              </w:rPr>
              <w:t>|</w:t>
            </w:r>
            <w:r w:rsidR="006F5F9D" w:rsidRPr="006F5F9D">
              <w:rPr>
                <w:vertAlign w:val="superscript"/>
              </w:rPr>
              <w:t>6</w:t>
            </w:r>
          </w:p>
        </w:tc>
        <w:tc>
          <w:tcPr>
            <w:tcW w:w="445" w:type="pct"/>
            <w:tcBorders>
              <w:top w:val="nil"/>
              <w:bottom w:val="single" w:sz="4" w:space="0" w:color="auto"/>
            </w:tcBorders>
            <w:noWrap/>
            <w:vAlign w:val="bottom"/>
          </w:tcPr>
          <w:p w14:paraId="4DA8B9B8" w14:textId="7C268F37" w:rsidR="00A677E9" w:rsidRPr="00D20CA8" w:rsidRDefault="00A677E9" w:rsidP="000B39FC">
            <w:pPr>
              <w:pStyle w:val="TableText"/>
              <w:jc w:val="right"/>
            </w:pPr>
            <w:r w:rsidRPr="00D20CA8">
              <w:t>−</w:t>
            </w:r>
            <w:r w:rsidR="001A4B8B" w:rsidRPr="001A4B8B">
              <w:rPr>
                <w:color w:val="000000"/>
                <w:spacing w:val="77"/>
                <w:shd w:val="solid" w:color="000000" w:fill="000000"/>
                <w:fitText w:val="163" w:id="-961838587"/>
                <w14:textFill>
                  <w14:solidFill>
                    <w14:srgbClr w14:val="000000">
                      <w14:alpha w14:val="100000"/>
                    </w14:srgbClr>
                  </w14:solidFill>
                </w14:textFill>
              </w:rPr>
              <w:t>|</w:t>
            </w:r>
            <w:r w:rsidR="001A4B8B" w:rsidRPr="001A4B8B">
              <w:rPr>
                <w:color w:val="000000"/>
                <w:spacing w:val="1"/>
                <w:shd w:val="solid" w:color="000000" w:fill="000000"/>
                <w:fitText w:val="163" w:id="-961838587"/>
                <w14:textFill>
                  <w14:solidFill>
                    <w14:srgbClr w14:val="000000">
                      <w14:alpha w14:val="100000"/>
                    </w14:srgbClr>
                  </w14:solidFill>
                </w14:textFill>
              </w:rPr>
              <w:t>|</w:t>
            </w:r>
            <w:r w:rsidRPr="00D20CA8">
              <w:t>%</w:t>
            </w:r>
          </w:p>
        </w:tc>
      </w:tr>
      <w:tr w:rsidR="00E80945" w:rsidRPr="00D20CA8" w14:paraId="7FE8DA15" w14:textId="77777777" w:rsidTr="001A4B8B">
        <w:trPr>
          <w:trHeight w:val="20"/>
        </w:trPr>
        <w:tc>
          <w:tcPr>
            <w:tcW w:w="2903" w:type="pct"/>
            <w:tcBorders>
              <w:top w:val="nil"/>
              <w:bottom w:val="single" w:sz="4" w:space="0" w:color="auto"/>
            </w:tcBorders>
            <w:noWrap/>
            <w:vAlign w:val="bottom"/>
          </w:tcPr>
          <w:p w14:paraId="630EDAF6" w14:textId="2A59E816" w:rsidR="00E80945" w:rsidRPr="00D20CA8" w:rsidRDefault="00E80945" w:rsidP="000B39FC">
            <w:pPr>
              <w:pStyle w:val="TableText"/>
            </w:pPr>
            <w:r w:rsidRPr="00D20CA8">
              <w:t xml:space="preserve">No treatment </w:t>
            </w:r>
            <w:r w:rsidR="00AB6A84">
              <w:t>discontinuation</w:t>
            </w:r>
            <w:r w:rsidRPr="00D20CA8">
              <w:t xml:space="preserve"> applied in non-responders</w:t>
            </w:r>
            <w:r w:rsidR="005664A8" w:rsidRPr="00D20CA8">
              <w:t> </w:t>
            </w:r>
            <w:r w:rsidR="005664A8" w:rsidRPr="00D20CA8">
              <w:rPr>
                <w:vertAlign w:val="superscript"/>
              </w:rPr>
              <w:t>e</w:t>
            </w:r>
            <w:r w:rsidRPr="00D20CA8">
              <w:t xml:space="preserve"> </w:t>
            </w:r>
            <w:r w:rsidRPr="00D20CA8">
              <w:br/>
              <w:t>(base case: cease at Week 96)</w:t>
            </w:r>
          </w:p>
        </w:tc>
        <w:tc>
          <w:tcPr>
            <w:tcW w:w="550" w:type="pct"/>
            <w:tcBorders>
              <w:top w:val="single" w:sz="4" w:space="0" w:color="auto"/>
              <w:bottom w:val="single" w:sz="4" w:space="0" w:color="auto"/>
            </w:tcBorders>
            <w:shd w:val="solid" w:color="000000" w:fill="000000"/>
            <w:noWrap/>
          </w:tcPr>
          <w:p w14:paraId="4BF2F8DE" w14:textId="37E9BA87" w:rsidR="00E80945" w:rsidRPr="00D20CA8" w:rsidRDefault="001A4B8B" w:rsidP="000B39FC">
            <w:pPr>
              <w:pStyle w:val="TableText"/>
              <w:jc w:val="center"/>
            </w:pPr>
            <w:r w:rsidRPr="001A4B8B">
              <w:rPr>
                <w:color w:val="000000"/>
                <w:spacing w:val="65"/>
                <w:fitText w:val="151" w:id="-961838586"/>
                <w14:textFill>
                  <w14:solidFill>
                    <w14:srgbClr w14:val="000000">
                      <w14:alpha w14:val="100000"/>
                    </w14:srgbClr>
                  </w14:solidFill>
                </w14:textFill>
              </w:rPr>
              <w:t>|</w:t>
            </w:r>
            <w:r w:rsidRPr="001A4B8B">
              <w:rPr>
                <w:color w:val="000000"/>
                <w:fitText w:val="151" w:id="-961838586"/>
                <w14:textFill>
                  <w14:solidFill>
                    <w14:srgbClr w14:val="000000">
                      <w14:alpha w14:val="100000"/>
                    </w14:srgbClr>
                  </w14:solidFill>
                </w14:textFill>
              </w:rPr>
              <w:t>|</w:t>
            </w:r>
          </w:p>
        </w:tc>
        <w:tc>
          <w:tcPr>
            <w:tcW w:w="551" w:type="pct"/>
            <w:tcBorders>
              <w:top w:val="nil"/>
              <w:bottom w:val="single" w:sz="4" w:space="0" w:color="auto"/>
            </w:tcBorders>
            <w:noWrap/>
          </w:tcPr>
          <w:p w14:paraId="43422CE6" w14:textId="77777777" w:rsidR="00E80945" w:rsidRPr="00D20CA8" w:rsidRDefault="00E80945" w:rsidP="000B39FC">
            <w:pPr>
              <w:pStyle w:val="TableText"/>
              <w:jc w:val="right"/>
            </w:pPr>
            <w:r w:rsidRPr="00D20CA8">
              <w:t>2.221</w:t>
            </w:r>
          </w:p>
        </w:tc>
        <w:tc>
          <w:tcPr>
            <w:tcW w:w="551" w:type="pct"/>
            <w:tcBorders>
              <w:top w:val="nil"/>
              <w:bottom w:val="single" w:sz="4" w:space="0" w:color="auto"/>
            </w:tcBorders>
            <w:noWrap/>
          </w:tcPr>
          <w:p w14:paraId="5CC13BA2" w14:textId="49BEC958" w:rsidR="00E80945" w:rsidRPr="00221F0B" w:rsidRDefault="001A4B8B" w:rsidP="000B39FC">
            <w:pPr>
              <w:pStyle w:val="TableText"/>
              <w:jc w:val="center"/>
              <w:rPr>
                <w:highlight w:val="lightGray"/>
              </w:rPr>
            </w:pPr>
            <w:r w:rsidRPr="001A4B8B">
              <w:rPr>
                <w:color w:val="000000"/>
                <w:spacing w:val="102"/>
                <w:shd w:val="solid" w:color="000000" w:fill="000000"/>
                <w:fitText w:val="188" w:id="-961838585"/>
                <w14:textFill>
                  <w14:solidFill>
                    <w14:srgbClr w14:val="000000">
                      <w14:alpha w14:val="100000"/>
                    </w14:srgbClr>
                  </w14:solidFill>
                </w14:textFill>
              </w:rPr>
              <w:t>|</w:t>
            </w:r>
            <w:r w:rsidRPr="001A4B8B">
              <w:rPr>
                <w:color w:val="000000"/>
                <w:spacing w:val="1"/>
                <w:shd w:val="solid" w:color="000000" w:fill="000000"/>
                <w:fitText w:val="188" w:id="-961838585"/>
                <w14:textFill>
                  <w14:solidFill>
                    <w14:srgbClr w14:val="000000">
                      <w14:alpha w14:val="100000"/>
                    </w14:srgbClr>
                  </w14:solidFill>
                </w14:textFill>
              </w:rPr>
              <w:t>|</w:t>
            </w:r>
            <w:r w:rsidR="006F5F9D">
              <w:rPr>
                <w:vertAlign w:val="superscript"/>
              </w:rPr>
              <w:t>4</w:t>
            </w:r>
          </w:p>
        </w:tc>
        <w:tc>
          <w:tcPr>
            <w:tcW w:w="445" w:type="pct"/>
            <w:tcBorders>
              <w:top w:val="nil"/>
              <w:bottom w:val="single" w:sz="4" w:space="0" w:color="auto"/>
            </w:tcBorders>
            <w:noWrap/>
          </w:tcPr>
          <w:p w14:paraId="7C19AC03" w14:textId="6F366B44" w:rsidR="00E80945" w:rsidRPr="00D20CA8" w:rsidRDefault="001A4B8B" w:rsidP="000B39FC">
            <w:pPr>
              <w:pStyle w:val="TableText"/>
              <w:jc w:val="right"/>
            </w:pPr>
            <w:r w:rsidRPr="001A4B8B">
              <w:rPr>
                <w:color w:val="000000"/>
                <w:spacing w:val="47"/>
                <w:shd w:val="solid" w:color="000000" w:fill="000000"/>
                <w:fitText w:val="313" w:id="-961838584"/>
                <w14:textFill>
                  <w14:solidFill>
                    <w14:srgbClr w14:val="000000">
                      <w14:alpha w14:val="100000"/>
                    </w14:srgbClr>
                  </w14:solidFill>
                </w14:textFill>
              </w:rPr>
              <w:t>|||</w:t>
            </w:r>
            <w:r w:rsidRPr="001A4B8B">
              <w:rPr>
                <w:color w:val="000000"/>
                <w:spacing w:val="2"/>
                <w:shd w:val="solid" w:color="000000" w:fill="000000"/>
                <w:fitText w:val="313" w:id="-961838584"/>
                <w14:textFill>
                  <w14:solidFill>
                    <w14:srgbClr w14:val="000000">
                      <w14:alpha w14:val="100000"/>
                    </w14:srgbClr>
                  </w14:solidFill>
                </w14:textFill>
              </w:rPr>
              <w:t>|</w:t>
            </w:r>
            <w:r w:rsidR="00E80945" w:rsidRPr="00D20CA8">
              <w:t>%</w:t>
            </w:r>
          </w:p>
        </w:tc>
      </w:tr>
      <w:tr w:rsidR="0021716C" w:rsidRPr="00D20CA8" w14:paraId="02654C80" w14:textId="77777777" w:rsidTr="001A4B8B">
        <w:trPr>
          <w:trHeight w:val="20"/>
        </w:trPr>
        <w:tc>
          <w:tcPr>
            <w:tcW w:w="2903" w:type="pct"/>
            <w:tcBorders>
              <w:bottom w:val="single" w:sz="4" w:space="0" w:color="auto"/>
              <w:right w:val="nil"/>
            </w:tcBorders>
            <w:noWrap/>
            <w:vAlign w:val="bottom"/>
          </w:tcPr>
          <w:p w14:paraId="21E6DFEA" w14:textId="77777777" w:rsidR="0021716C" w:rsidRPr="00D20CA8" w:rsidRDefault="0021716C" w:rsidP="000B39FC">
            <w:pPr>
              <w:pStyle w:val="TableText"/>
            </w:pPr>
            <w:r w:rsidRPr="00D20CA8">
              <w:t>Bulevirtide treatment cap (base case: none)</w:t>
            </w:r>
          </w:p>
        </w:tc>
        <w:tc>
          <w:tcPr>
            <w:tcW w:w="550" w:type="pct"/>
            <w:tcBorders>
              <w:left w:val="nil"/>
              <w:bottom w:val="single" w:sz="4" w:space="0" w:color="auto"/>
              <w:right w:val="nil"/>
            </w:tcBorders>
            <w:noWrap/>
            <w:vAlign w:val="bottom"/>
          </w:tcPr>
          <w:p w14:paraId="3128D32C" w14:textId="77777777" w:rsidR="0021716C" w:rsidRPr="00D20CA8" w:rsidRDefault="0021716C" w:rsidP="000B39FC">
            <w:pPr>
              <w:pStyle w:val="TableText"/>
              <w:jc w:val="right"/>
            </w:pPr>
          </w:p>
        </w:tc>
        <w:tc>
          <w:tcPr>
            <w:tcW w:w="551" w:type="pct"/>
            <w:tcBorders>
              <w:left w:val="nil"/>
              <w:bottom w:val="single" w:sz="4" w:space="0" w:color="auto"/>
              <w:right w:val="nil"/>
            </w:tcBorders>
            <w:noWrap/>
            <w:vAlign w:val="bottom"/>
          </w:tcPr>
          <w:p w14:paraId="063A1D8C" w14:textId="77777777" w:rsidR="0021716C" w:rsidRPr="00D20CA8" w:rsidRDefault="0021716C" w:rsidP="000B39FC">
            <w:pPr>
              <w:pStyle w:val="TableText"/>
              <w:jc w:val="right"/>
            </w:pPr>
          </w:p>
        </w:tc>
        <w:tc>
          <w:tcPr>
            <w:tcW w:w="551" w:type="pct"/>
            <w:tcBorders>
              <w:left w:val="nil"/>
              <w:bottom w:val="single" w:sz="4" w:space="0" w:color="auto"/>
              <w:right w:val="nil"/>
            </w:tcBorders>
            <w:noWrap/>
            <w:vAlign w:val="bottom"/>
          </w:tcPr>
          <w:p w14:paraId="7E8C402C" w14:textId="77777777" w:rsidR="0021716C" w:rsidRPr="00D20CA8" w:rsidRDefault="0021716C" w:rsidP="000B39FC">
            <w:pPr>
              <w:pStyle w:val="TableText"/>
              <w:jc w:val="right"/>
            </w:pPr>
          </w:p>
        </w:tc>
        <w:tc>
          <w:tcPr>
            <w:tcW w:w="445" w:type="pct"/>
            <w:tcBorders>
              <w:left w:val="nil"/>
              <w:bottom w:val="single" w:sz="4" w:space="0" w:color="auto"/>
            </w:tcBorders>
            <w:noWrap/>
            <w:vAlign w:val="bottom"/>
          </w:tcPr>
          <w:p w14:paraId="6586E0A7" w14:textId="77777777" w:rsidR="0021716C" w:rsidRPr="00D20CA8" w:rsidRDefault="0021716C" w:rsidP="000B39FC">
            <w:pPr>
              <w:pStyle w:val="TableText"/>
              <w:jc w:val="right"/>
            </w:pPr>
          </w:p>
        </w:tc>
      </w:tr>
      <w:tr w:rsidR="0021716C" w:rsidRPr="00D20CA8" w14:paraId="47D525B1" w14:textId="77777777" w:rsidTr="001A4B8B">
        <w:trPr>
          <w:trHeight w:val="20"/>
        </w:trPr>
        <w:tc>
          <w:tcPr>
            <w:tcW w:w="2903" w:type="pct"/>
            <w:tcBorders>
              <w:bottom w:val="nil"/>
            </w:tcBorders>
            <w:noWrap/>
            <w:vAlign w:val="bottom"/>
          </w:tcPr>
          <w:p w14:paraId="03347836" w14:textId="47AB4949" w:rsidR="0021716C" w:rsidRPr="00D20CA8" w:rsidRDefault="0021716C" w:rsidP="000B39FC">
            <w:pPr>
              <w:pStyle w:val="TableText"/>
              <w:numPr>
                <w:ilvl w:val="0"/>
                <w:numId w:val="25"/>
              </w:numPr>
              <w:ind w:left="306" w:hanging="142"/>
            </w:pPr>
            <w:r w:rsidRPr="00D20CA8">
              <w:t>5 years </w:t>
            </w:r>
            <w:r w:rsidR="005664A8" w:rsidRPr="00D20CA8">
              <w:rPr>
                <w:vertAlign w:val="superscript"/>
              </w:rPr>
              <w:t>f</w:t>
            </w:r>
          </w:p>
        </w:tc>
        <w:tc>
          <w:tcPr>
            <w:tcW w:w="550" w:type="pct"/>
            <w:tcBorders>
              <w:bottom w:val="nil"/>
            </w:tcBorders>
            <w:shd w:val="solid" w:color="000000" w:fill="000000"/>
            <w:noWrap/>
          </w:tcPr>
          <w:p w14:paraId="0EF45B75" w14:textId="7A28BACA" w:rsidR="0021716C" w:rsidRPr="00221F0B" w:rsidRDefault="001A4B8B" w:rsidP="000B39FC">
            <w:pPr>
              <w:pStyle w:val="TableText"/>
              <w:jc w:val="center"/>
              <w:rPr>
                <w:highlight w:val="lightGray"/>
              </w:rPr>
            </w:pPr>
            <w:r w:rsidRPr="001A4B8B">
              <w:rPr>
                <w:color w:val="000000"/>
                <w:spacing w:val="65"/>
                <w:fitText w:val="151" w:id="-961838583"/>
                <w14:textFill>
                  <w14:solidFill>
                    <w14:srgbClr w14:val="000000">
                      <w14:alpha w14:val="100000"/>
                    </w14:srgbClr>
                  </w14:solidFill>
                </w14:textFill>
              </w:rPr>
              <w:t>|</w:t>
            </w:r>
            <w:r w:rsidRPr="001A4B8B">
              <w:rPr>
                <w:color w:val="000000"/>
                <w:fitText w:val="151" w:id="-961838583"/>
                <w14:textFill>
                  <w14:solidFill>
                    <w14:srgbClr w14:val="000000">
                      <w14:alpha w14:val="100000"/>
                    </w14:srgbClr>
                  </w14:solidFill>
                </w14:textFill>
              </w:rPr>
              <w:t>|</w:t>
            </w:r>
          </w:p>
        </w:tc>
        <w:tc>
          <w:tcPr>
            <w:tcW w:w="551" w:type="pct"/>
            <w:tcBorders>
              <w:bottom w:val="nil"/>
            </w:tcBorders>
            <w:noWrap/>
          </w:tcPr>
          <w:p w14:paraId="4F654594" w14:textId="77777777" w:rsidR="0021716C" w:rsidRPr="00D20CA8" w:rsidRDefault="0021716C" w:rsidP="000B39FC">
            <w:pPr>
              <w:pStyle w:val="TableText"/>
              <w:jc w:val="right"/>
            </w:pPr>
            <w:r w:rsidRPr="00D20CA8">
              <w:t>2.221</w:t>
            </w:r>
          </w:p>
        </w:tc>
        <w:tc>
          <w:tcPr>
            <w:tcW w:w="551" w:type="pct"/>
            <w:tcBorders>
              <w:bottom w:val="nil"/>
            </w:tcBorders>
            <w:noWrap/>
          </w:tcPr>
          <w:p w14:paraId="7B2B2C2D" w14:textId="402C0B0F" w:rsidR="0021716C" w:rsidRPr="00221F0B" w:rsidRDefault="001A4B8B" w:rsidP="000B39FC">
            <w:pPr>
              <w:pStyle w:val="TableText"/>
              <w:jc w:val="center"/>
              <w:rPr>
                <w:highlight w:val="lightGray"/>
              </w:rPr>
            </w:pPr>
            <w:r w:rsidRPr="001A4B8B">
              <w:rPr>
                <w:color w:val="000000"/>
                <w:spacing w:val="102"/>
                <w:shd w:val="solid" w:color="000000" w:fill="000000"/>
                <w:fitText w:val="188" w:id="-961838582"/>
                <w14:textFill>
                  <w14:solidFill>
                    <w14:srgbClr w14:val="000000">
                      <w14:alpha w14:val="100000"/>
                    </w14:srgbClr>
                  </w14:solidFill>
                </w14:textFill>
              </w:rPr>
              <w:t>|</w:t>
            </w:r>
            <w:r w:rsidRPr="001A4B8B">
              <w:rPr>
                <w:color w:val="000000"/>
                <w:spacing w:val="1"/>
                <w:shd w:val="solid" w:color="000000" w:fill="000000"/>
                <w:fitText w:val="188" w:id="-961838582"/>
                <w14:textFill>
                  <w14:solidFill>
                    <w14:srgbClr w14:val="000000">
                      <w14:alpha w14:val="100000"/>
                    </w14:srgbClr>
                  </w14:solidFill>
                </w14:textFill>
              </w:rPr>
              <w:t>|</w:t>
            </w:r>
            <w:r w:rsidR="006F5F9D" w:rsidRPr="006F5F9D">
              <w:rPr>
                <w:vertAlign w:val="superscript"/>
              </w:rPr>
              <w:t>5</w:t>
            </w:r>
          </w:p>
        </w:tc>
        <w:tc>
          <w:tcPr>
            <w:tcW w:w="445" w:type="pct"/>
            <w:tcBorders>
              <w:bottom w:val="nil"/>
            </w:tcBorders>
            <w:noWrap/>
          </w:tcPr>
          <w:p w14:paraId="424ABA2D" w14:textId="6A739185" w:rsidR="0021716C" w:rsidRPr="00D20CA8" w:rsidRDefault="0021716C" w:rsidP="000B39FC">
            <w:pPr>
              <w:pStyle w:val="TableText"/>
              <w:jc w:val="right"/>
            </w:pPr>
            <w:r w:rsidRPr="00D20CA8">
              <w:t>−</w:t>
            </w:r>
            <w:r w:rsidR="001A4B8B" w:rsidRPr="001A4B8B">
              <w:rPr>
                <w:color w:val="000000"/>
                <w:spacing w:val="77"/>
                <w:shd w:val="solid" w:color="000000" w:fill="000000"/>
                <w:fitText w:val="163" w:id="-961838581"/>
                <w14:textFill>
                  <w14:solidFill>
                    <w14:srgbClr w14:val="000000">
                      <w14:alpha w14:val="100000"/>
                    </w14:srgbClr>
                  </w14:solidFill>
                </w14:textFill>
              </w:rPr>
              <w:t>|</w:t>
            </w:r>
            <w:r w:rsidR="001A4B8B" w:rsidRPr="001A4B8B">
              <w:rPr>
                <w:color w:val="000000"/>
                <w:spacing w:val="1"/>
                <w:shd w:val="solid" w:color="000000" w:fill="000000"/>
                <w:fitText w:val="163" w:id="-961838581"/>
                <w14:textFill>
                  <w14:solidFill>
                    <w14:srgbClr w14:val="000000">
                      <w14:alpha w14:val="100000"/>
                    </w14:srgbClr>
                  </w14:solidFill>
                </w14:textFill>
              </w:rPr>
              <w:t>|</w:t>
            </w:r>
            <w:r w:rsidRPr="00D20CA8">
              <w:t>%</w:t>
            </w:r>
          </w:p>
        </w:tc>
      </w:tr>
      <w:tr w:rsidR="0021716C" w:rsidRPr="00D20CA8" w14:paraId="33FE1DAB" w14:textId="77777777" w:rsidTr="001A4B8B">
        <w:trPr>
          <w:trHeight w:val="20"/>
        </w:trPr>
        <w:tc>
          <w:tcPr>
            <w:tcW w:w="2903" w:type="pct"/>
            <w:tcBorders>
              <w:top w:val="nil"/>
              <w:bottom w:val="single" w:sz="4" w:space="0" w:color="auto"/>
            </w:tcBorders>
            <w:noWrap/>
            <w:vAlign w:val="bottom"/>
          </w:tcPr>
          <w:p w14:paraId="5713CCDE" w14:textId="79E8C34F" w:rsidR="0021716C" w:rsidRPr="00D20CA8" w:rsidRDefault="0021716C" w:rsidP="000B39FC">
            <w:pPr>
              <w:pStyle w:val="TableText"/>
              <w:numPr>
                <w:ilvl w:val="0"/>
                <w:numId w:val="25"/>
              </w:numPr>
              <w:ind w:left="306" w:hanging="142"/>
            </w:pPr>
            <w:r w:rsidRPr="00D20CA8">
              <w:t>10 years </w:t>
            </w:r>
            <w:r w:rsidR="005664A8" w:rsidRPr="00D20CA8">
              <w:rPr>
                <w:vertAlign w:val="superscript"/>
              </w:rPr>
              <w:t>f</w:t>
            </w:r>
          </w:p>
        </w:tc>
        <w:tc>
          <w:tcPr>
            <w:tcW w:w="550" w:type="pct"/>
            <w:tcBorders>
              <w:top w:val="nil"/>
              <w:bottom w:val="single" w:sz="4" w:space="0" w:color="auto"/>
            </w:tcBorders>
            <w:shd w:val="solid" w:color="000000" w:fill="000000"/>
            <w:noWrap/>
          </w:tcPr>
          <w:p w14:paraId="2DA74B1F" w14:textId="0F6077DD" w:rsidR="0021716C" w:rsidRPr="00221F0B" w:rsidRDefault="001A4B8B" w:rsidP="000B39FC">
            <w:pPr>
              <w:pStyle w:val="TableText"/>
              <w:jc w:val="center"/>
              <w:rPr>
                <w:highlight w:val="lightGray"/>
              </w:rPr>
            </w:pPr>
            <w:r w:rsidRPr="001A4B8B">
              <w:rPr>
                <w:color w:val="000000"/>
                <w:spacing w:val="65"/>
                <w:fitText w:val="151" w:id="-961838580"/>
                <w14:textFill>
                  <w14:solidFill>
                    <w14:srgbClr w14:val="000000">
                      <w14:alpha w14:val="100000"/>
                    </w14:srgbClr>
                  </w14:solidFill>
                </w14:textFill>
              </w:rPr>
              <w:t>|</w:t>
            </w:r>
            <w:r w:rsidRPr="001A4B8B">
              <w:rPr>
                <w:color w:val="000000"/>
                <w:fitText w:val="151" w:id="-961838580"/>
                <w14:textFill>
                  <w14:solidFill>
                    <w14:srgbClr w14:val="000000">
                      <w14:alpha w14:val="100000"/>
                    </w14:srgbClr>
                  </w14:solidFill>
                </w14:textFill>
              </w:rPr>
              <w:t>|</w:t>
            </w:r>
          </w:p>
        </w:tc>
        <w:tc>
          <w:tcPr>
            <w:tcW w:w="551" w:type="pct"/>
            <w:tcBorders>
              <w:top w:val="nil"/>
              <w:bottom w:val="single" w:sz="4" w:space="0" w:color="auto"/>
            </w:tcBorders>
            <w:noWrap/>
          </w:tcPr>
          <w:p w14:paraId="05F9C260" w14:textId="77777777" w:rsidR="0021716C" w:rsidRPr="00D20CA8" w:rsidRDefault="0021716C" w:rsidP="000B39FC">
            <w:pPr>
              <w:pStyle w:val="TableText"/>
              <w:jc w:val="right"/>
            </w:pPr>
            <w:r w:rsidRPr="00D20CA8">
              <w:t>2.221</w:t>
            </w:r>
          </w:p>
        </w:tc>
        <w:tc>
          <w:tcPr>
            <w:tcW w:w="551" w:type="pct"/>
            <w:tcBorders>
              <w:top w:val="nil"/>
              <w:bottom w:val="single" w:sz="4" w:space="0" w:color="auto"/>
            </w:tcBorders>
            <w:noWrap/>
          </w:tcPr>
          <w:p w14:paraId="59A295BF" w14:textId="254C7301" w:rsidR="0021716C" w:rsidRPr="00221F0B" w:rsidRDefault="001A4B8B" w:rsidP="000B39FC">
            <w:pPr>
              <w:pStyle w:val="TableText"/>
              <w:jc w:val="center"/>
              <w:rPr>
                <w:highlight w:val="lightGray"/>
              </w:rPr>
            </w:pPr>
            <w:r w:rsidRPr="001A4B8B">
              <w:rPr>
                <w:color w:val="000000"/>
                <w:spacing w:val="102"/>
                <w:shd w:val="solid" w:color="000000" w:fill="000000"/>
                <w:fitText w:val="188" w:id="-961838579"/>
                <w14:textFill>
                  <w14:solidFill>
                    <w14:srgbClr w14:val="000000">
                      <w14:alpha w14:val="100000"/>
                    </w14:srgbClr>
                  </w14:solidFill>
                </w14:textFill>
              </w:rPr>
              <w:t>|</w:t>
            </w:r>
            <w:r w:rsidRPr="001A4B8B">
              <w:rPr>
                <w:color w:val="000000"/>
                <w:spacing w:val="1"/>
                <w:shd w:val="solid" w:color="000000" w:fill="000000"/>
                <w:fitText w:val="188" w:id="-961838579"/>
                <w14:textFill>
                  <w14:solidFill>
                    <w14:srgbClr w14:val="000000">
                      <w14:alpha w14:val="100000"/>
                    </w14:srgbClr>
                  </w14:solidFill>
                </w14:textFill>
              </w:rPr>
              <w:t>|</w:t>
            </w:r>
            <w:r w:rsidR="006F5F9D" w:rsidRPr="006F5F9D">
              <w:rPr>
                <w:vertAlign w:val="superscript"/>
              </w:rPr>
              <w:t>6</w:t>
            </w:r>
          </w:p>
        </w:tc>
        <w:tc>
          <w:tcPr>
            <w:tcW w:w="445" w:type="pct"/>
            <w:tcBorders>
              <w:top w:val="nil"/>
              <w:bottom w:val="single" w:sz="4" w:space="0" w:color="auto"/>
            </w:tcBorders>
            <w:noWrap/>
          </w:tcPr>
          <w:p w14:paraId="4D57950E" w14:textId="62B1BD8D" w:rsidR="0021716C" w:rsidRPr="00D20CA8" w:rsidRDefault="0021716C" w:rsidP="000B39FC">
            <w:pPr>
              <w:pStyle w:val="TableText"/>
              <w:jc w:val="right"/>
            </w:pPr>
            <w:r w:rsidRPr="00D20CA8">
              <w:t>−</w:t>
            </w:r>
            <w:r w:rsidR="001A4B8B" w:rsidRPr="001A4B8B">
              <w:rPr>
                <w:color w:val="000000"/>
                <w:spacing w:val="77"/>
                <w:shd w:val="solid" w:color="000000" w:fill="000000"/>
                <w:fitText w:val="163" w:id="-961838578"/>
                <w14:textFill>
                  <w14:solidFill>
                    <w14:srgbClr w14:val="000000">
                      <w14:alpha w14:val="100000"/>
                    </w14:srgbClr>
                  </w14:solidFill>
                </w14:textFill>
              </w:rPr>
              <w:t>|</w:t>
            </w:r>
            <w:r w:rsidR="001A4B8B" w:rsidRPr="001A4B8B">
              <w:rPr>
                <w:color w:val="000000"/>
                <w:spacing w:val="1"/>
                <w:shd w:val="solid" w:color="000000" w:fill="000000"/>
                <w:fitText w:val="163" w:id="-961838578"/>
                <w14:textFill>
                  <w14:solidFill>
                    <w14:srgbClr w14:val="000000">
                      <w14:alpha w14:val="100000"/>
                    </w14:srgbClr>
                  </w14:solidFill>
                </w14:textFill>
              </w:rPr>
              <w:t>|</w:t>
            </w:r>
            <w:r w:rsidRPr="00D20CA8">
              <w:t>%</w:t>
            </w:r>
          </w:p>
        </w:tc>
      </w:tr>
      <w:tr w:rsidR="00A677E9" w:rsidRPr="00D20CA8" w14:paraId="4A937824" w14:textId="77777777" w:rsidTr="001A4B8B">
        <w:trPr>
          <w:trHeight w:val="20"/>
        </w:trPr>
        <w:tc>
          <w:tcPr>
            <w:tcW w:w="2903" w:type="pct"/>
            <w:tcBorders>
              <w:bottom w:val="single" w:sz="4" w:space="0" w:color="auto"/>
            </w:tcBorders>
            <w:noWrap/>
            <w:vAlign w:val="bottom"/>
          </w:tcPr>
          <w:p w14:paraId="092ED0C9" w14:textId="77777777" w:rsidR="00A677E9" w:rsidRPr="00D20CA8" w:rsidRDefault="00A677E9" w:rsidP="000B39FC">
            <w:pPr>
              <w:pStyle w:val="TableText"/>
            </w:pPr>
            <w:r w:rsidRPr="00D20CA8">
              <w:t xml:space="preserve">Compliance, 98.1% (base case: 90.0%) </w:t>
            </w:r>
            <w:r w:rsidRPr="00D20CA8">
              <w:rPr>
                <w:b/>
                <w:bCs/>
              </w:rPr>
              <w:t>(#7)</w:t>
            </w:r>
          </w:p>
        </w:tc>
        <w:tc>
          <w:tcPr>
            <w:tcW w:w="550" w:type="pct"/>
            <w:tcBorders>
              <w:bottom w:val="single" w:sz="4" w:space="0" w:color="auto"/>
            </w:tcBorders>
            <w:shd w:val="solid" w:color="000000" w:fill="000000"/>
            <w:noWrap/>
            <w:vAlign w:val="bottom"/>
          </w:tcPr>
          <w:p w14:paraId="640C657E" w14:textId="47539A6F" w:rsidR="00A677E9" w:rsidRPr="00221F0B" w:rsidRDefault="001A4B8B" w:rsidP="000B39FC">
            <w:pPr>
              <w:pStyle w:val="TableText"/>
              <w:jc w:val="center"/>
              <w:rPr>
                <w:highlight w:val="lightGray"/>
              </w:rPr>
            </w:pPr>
            <w:r w:rsidRPr="001A4B8B">
              <w:rPr>
                <w:color w:val="000000"/>
                <w:spacing w:val="65"/>
                <w:fitText w:val="151" w:id="-961838577"/>
                <w14:textFill>
                  <w14:solidFill>
                    <w14:srgbClr w14:val="000000">
                      <w14:alpha w14:val="100000"/>
                    </w14:srgbClr>
                  </w14:solidFill>
                </w14:textFill>
              </w:rPr>
              <w:t>|</w:t>
            </w:r>
            <w:r w:rsidRPr="001A4B8B">
              <w:rPr>
                <w:color w:val="000000"/>
                <w:fitText w:val="151" w:id="-961838577"/>
                <w14:textFill>
                  <w14:solidFill>
                    <w14:srgbClr w14:val="000000">
                      <w14:alpha w14:val="100000"/>
                    </w14:srgbClr>
                  </w14:solidFill>
                </w14:textFill>
              </w:rPr>
              <w:t>|</w:t>
            </w:r>
          </w:p>
        </w:tc>
        <w:tc>
          <w:tcPr>
            <w:tcW w:w="551" w:type="pct"/>
            <w:tcBorders>
              <w:bottom w:val="single" w:sz="4" w:space="0" w:color="auto"/>
            </w:tcBorders>
            <w:noWrap/>
            <w:vAlign w:val="bottom"/>
          </w:tcPr>
          <w:p w14:paraId="4A9E6EA3" w14:textId="77777777" w:rsidR="00A677E9" w:rsidRPr="00D20CA8" w:rsidRDefault="00A677E9" w:rsidP="000B39FC">
            <w:pPr>
              <w:pStyle w:val="TableText"/>
              <w:jc w:val="right"/>
            </w:pPr>
            <w:r w:rsidRPr="00D20CA8">
              <w:t>2.221</w:t>
            </w:r>
          </w:p>
        </w:tc>
        <w:tc>
          <w:tcPr>
            <w:tcW w:w="551" w:type="pct"/>
            <w:tcBorders>
              <w:bottom w:val="single" w:sz="4" w:space="0" w:color="auto"/>
            </w:tcBorders>
            <w:noWrap/>
            <w:vAlign w:val="bottom"/>
          </w:tcPr>
          <w:p w14:paraId="3B073137" w14:textId="1C2875FA" w:rsidR="00A677E9" w:rsidRPr="00221F0B" w:rsidRDefault="001A4B8B" w:rsidP="000B39FC">
            <w:pPr>
              <w:pStyle w:val="TableText"/>
              <w:jc w:val="center"/>
              <w:rPr>
                <w:highlight w:val="lightGray"/>
              </w:rPr>
            </w:pPr>
            <w:r w:rsidRPr="001A4B8B">
              <w:rPr>
                <w:color w:val="000000"/>
                <w:spacing w:val="102"/>
                <w:shd w:val="solid" w:color="000000" w:fill="000000"/>
                <w:fitText w:val="188" w:id="-961838576"/>
                <w14:textFill>
                  <w14:solidFill>
                    <w14:srgbClr w14:val="000000">
                      <w14:alpha w14:val="100000"/>
                    </w14:srgbClr>
                  </w14:solidFill>
                </w14:textFill>
              </w:rPr>
              <w:t>|</w:t>
            </w:r>
            <w:r w:rsidRPr="001A4B8B">
              <w:rPr>
                <w:color w:val="000000"/>
                <w:spacing w:val="1"/>
                <w:shd w:val="solid" w:color="000000" w:fill="000000"/>
                <w:fitText w:val="188" w:id="-961838576"/>
                <w14:textFill>
                  <w14:solidFill>
                    <w14:srgbClr w14:val="000000">
                      <w14:alpha w14:val="100000"/>
                    </w14:srgbClr>
                  </w14:solidFill>
                </w14:textFill>
              </w:rPr>
              <w:t>|</w:t>
            </w:r>
            <w:r w:rsidR="00556738" w:rsidRPr="00556738">
              <w:rPr>
                <w:vertAlign w:val="superscript"/>
              </w:rPr>
              <w:t>2</w:t>
            </w:r>
          </w:p>
        </w:tc>
        <w:tc>
          <w:tcPr>
            <w:tcW w:w="445" w:type="pct"/>
            <w:tcBorders>
              <w:bottom w:val="single" w:sz="4" w:space="0" w:color="auto"/>
            </w:tcBorders>
            <w:noWrap/>
            <w:vAlign w:val="bottom"/>
          </w:tcPr>
          <w:p w14:paraId="1DF7E832" w14:textId="0CADF733" w:rsidR="00A677E9" w:rsidRPr="00D20CA8" w:rsidRDefault="001A4B8B" w:rsidP="000B39FC">
            <w:pPr>
              <w:pStyle w:val="TableText"/>
              <w:jc w:val="right"/>
            </w:pPr>
            <w:r w:rsidRPr="001A4B8B">
              <w:rPr>
                <w:color w:val="000000"/>
                <w:spacing w:val="47"/>
                <w:shd w:val="solid" w:color="000000" w:fill="000000"/>
                <w:fitText w:val="313" w:id="-961838592"/>
                <w14:textFill>
                  <w14:solidFill>
                    <w14:srgbClr w14:val="000000">
                      <w14:alpha w14:val="100000"/>
                    </w14:srgbClr>
                  </w14:solidFill>
                </w14:textFill>
              </w:rPr>
              <w:t>|||</w:t>
            </w:r>
            <w:r w:rsidRPr="001A4B8B">
              <w:rPr>
                <w:color w:val="000000"/>
                <w:spacing w:val="2"/>
                <w:shd w:val="solid" w:color="000000" w:fill="000000"/>
                <w:fitText w:val="313" w:id="-961838592"/>
                <w14:textFill>
                  <w14:solidFill>
                    <w14:srgbClr w14:val="000000">
                      <w14:alpha w14:val="100000"/>
                    </w14:srgbClr>
                  </w14:solidFill>
                </w14:textFill>
              </w:rPr>
              <w:t>|</w:t>
            </w:r>
            <w:r w:rsidR="00A677E9" w:rsidRPr="00D20CA8">
              <w:t>%</w:t>
            </w:r>
          </w:p>
        </w:tc>
      </w:tr>
      <w:tr w:rsidR="00A677E9" w:rsidRPr="00D20CA8" w14:paraId="0BA4262D" w14:textId="77777777" w:rsidTr="001A4B8B">
        <w:trPr>
          <w:trHeight w:val="20"/>
        </w:trPr>
        <w:tc>
          <w:tcPr>
            <w:tcW w:w="2903" w:type="pct"/>
            <w:tcBorders>
              <w:bottom w:val="single" w:sz="4" w:space="0" w:color="auto"/>
              <w:right w:val="nil"/>
            </w:tcBorders>
            <w:noWrap/>
            <w:vAlign w:val="bottom"/>
          </w:tcPr>
          <w:p w14:paraId="1674DCD7" w14:textId="77777777" w:rsidR="00A677E9" w:rsidRPr="00D20CA8" w:rsidRDefault="00A677E9" w:rsidP="000B39FC">
            <w:pPr>
              <w:pStyle w:val="TableText"/>
              <w:rPr>
                <w:b/>
                <w:bCs/>
              </w:rPr>
            </w:pPr>
            <w:r w:rsidRPr="00D20CA8">
              <w:rPr>
                <w:b/>
                <w:bCs/>
              </w:rPr>
              <w:t>Multivariate analyses</w:t>
            </w:r>
          </w:p>
        </w:tc>
        <w:tc>
          <w:tcPr>
            <w:tcW w:w="550" w:type="pct"/>
            <w:tcBorders>
              <w:left w:val="nil"/>
              <w:bottom w:val="single" w:sz="4" w:space="0" w:color="auto"/>
              <w:right w:val="nil"/>
            </w:tcBorders>
            <w:noWrap/>
            <w:vAlign w:val="bottom"/>
          </w:tcPr>
          <w:p w14:paraId="1C48DCD4" w14:textId="77777777" w:rsidR="00A677E9" w:rsidRPr="00D20CA8" w:rsidRDefault="00A677E9" w:rsidP="000B39FC">
            <w:pPr>
              <w:pStyle w:val="TableText"/>
              <w:jc w:val="right"/>
              <w:rPr>
                <w:b/>
                <w:bCs/>
              </w:rPr>
            </w:pPr>
          </w:p>
        </w:tc>
        <w:tc>
          <w:tcPr>
            <w:tcW w:w="551" w:type="pct"/>
            <w:tcBorders>
              <w:left w:val="nil"/>
              <w:bottom w:val="single" w:sz="4" w:space="0" w:color="auto"/>
              <w:right w:val="nil"/>
            </w:tcBorders>
            <w:noWrap/>
            <w:vAlign w:val="bottom"/>
          </w:tcPr>
          <w:p w14:paraId="324C77C0" w14:textId="77777777" w:rsidR="00A677E9" w:rsidRPr="00D20CA8" w:rsidRDefault="00A677E9" w:rsidP="000B39FC">
            <w:pPr>
              <w:pStyle w:val="TableText"/>
              <w:jc w:val="right"/>
              <w:rPr>
                <w:b/>
                <w:bCs/>
              </w:rPr>
            </w:pPr>
          </w:p>
        </w:tc>
        <w:tc>
          <w:tcPr>
            <w:tcW w:w="551" w:type="pct"/>
            <w:tcBorders>
              <w:left w:val="nil"/>
              <w:bottom w:val="single" w:sz="4" w:space="0" w:color="auto"/>
              <w:right w:val="nil"/>
            </w:tcBorders>
            <w:noWrap/>
            <w:vAlign w:val="bottom"/>
          </w:tcPr>
          <w:p w14:paraId="3A9AC636" w14:textId="77777777" w:rsidR="00A677E9" w:rsidRPr="00D20CA8" w:rsidRDefault="00A677E9" w:rsidP="000B39FC">
            <w:pPr>
              <w:pStyle w:val="TableText"/>
              <w:jc w:val="right"/>
              <w:rPr>
                <w:b/>
                <w:bCs/>
              </w:rPr>
            </w:pPr>
          </w:p>
        </w:tc>
        <w:tc>
          <w:tcPr>
            <w:tcW w:w="445" w:type="pct"/>
            <w:tcBorders>
              <w:left w:val="nil"/>
              <w:bottom w:val="single" w:sz="4" w:space="0" w:color="auto"/>
            </w:tcBorders>
            <w:noWrap/>
            <w:vAlign w:val="bottom"/>
          </w:tcPr>
          <w:p w14:paraId="5EB2C7B4" w14:textId="77777777" w:rsidR="00A677E9" w:rsidRPr="00D20CA8" w:rsidRDefault="00A677E9" w:rsidP="000B39FC">
            <w:pPr>
              <w:pStyle w:val="TableText"/>
              <w:jc w:val="right"/>
              <w:rPr>
                <w:b/>
                <w:bCs/>
              </w:rPr>
            </w:pPr>
          </w:p>
        </w:tc>
      </w:tr>
      <w:tr w:rsidR="00A677E9" w:rsidRPr="00D20CA8" w14:paraId="5A1AF4AD" w14:textId="77777777" w:rsidTr="001A4B8B">
        <w:trPr>
          <w:trHeight w:val="20"/>
        </w:trPr>
        <w:tc>
          <w:tcPr>
            <w:tcW w:w="2903" w:type="pct"/>
            <w:tcBorders>
              <w:bottom w:val="nil"/>
            </w:tcBorders>
            <w:noWrap/>
          </w:tcPr>
          <w:p w14:paraId="33594166" w14:textId="77777777" w:rsidR="00A677E9" w:rsidRPr="00D20CA8" w:rsidRDefault="00A677E9" w:rsidP="000B39FC">
            <w:pPr>
              <w:pStyle w:val="TableText"/>
            </w:pPr>
            <w:r w:rsidRPr="00D20CA8">
              <w:t>#1 AND #2</w:t>
            </w:r>
          </w:p>
        </w:tc>
        <w:tc>
          <w:tcPr>
            <w:tcW w:w="550" w:type="pct"/>
            <w:tcBorders>
              <w:bottom w:val="nil"/>
            </w:tcBorders>
            <w:shd w:val="solid" w:color="000000" w:fill="000000"/>
            <w:noWrap/>
          </w:tcPr>
          <w:p w14:paraId="022EB09D" w14:textId="53C91A6D" w:rsidR="00A677E9" w:rsidRPr="00221F0B" w:rsidRDefault="001A4B8B" w:rsidP="000B39FC">
            <w:pPr>
              <w:pStyle w:val="TableText"/>
              <w:jc w:val="center"/>
              <w:rPr>
                <w:highlight w:val="lightGray"/>
              </w:rPr>
            </w:pPr>
            <w:r w:rsidRPr="001A4B8B">
              <w:rPr>
                <w:color w:val="000000"/>
                <w:spacing w:val="65"/>
                <w:fitText w:val="151" w:id="-961838591"/>
                <w14:textFill>
                  <w14:solidFill>
                    <w14:srgbClr w14:val="000000">
                      <w14:alpha w14:val="100000"/>
                    </w14:srgbClr>
                  </w14:solidFill>
                </w14:textFill>
              </w:rPr>
              <w:t>|</w:t>
            </w:r>
            <w:r w:rsidRPr="001A4B8B">
              <w:rPr>
                <w:color w:val="000000"/>
                <w:fitText w:val="151" w:id="-961838591"/>
                <w14:textFill>
                  <w14:solidFill>
                    <w14:srgbClr w14:val="000000">
                      <w14:alpha w14:val="100000"/>
                    </w14:srgbClr>
                  </w14:solidFill>
                </w14:textFill>
              </w:rPr>
              <w:t>|</w:t>
            </w:r>
          </w:p>
        </w:tc>
        <w:tc>
          <w:tcPr>
            <w:tcW w:w="551" w:type="pct"/>
            <w:tcBorders>
              <w:bottom w:val="nil"/>
            </w:tcBorders>
            <w:noWrap/>
          </w:tcPr>
          <w:p w14:paraId="543A203F" w14:textId="77777777" w:rsidR="00A677E9" w:rsidRPr="00D20CA8" w:rsidRDefault="00A677E9" w:rsidP="000B39FC">
            <w:pPr>
              <w:pStyle w:val="TableText"/>
              <w:jc w:val="right"/>
            </w:pPr>
            <w:r w:rsidRPr="00D20CA8">
              <w:t>0.575</w:t>
            </w:r>
          </w:p>
        </w:tc>
        <w:tc>
          <w:tcPr>
            <w:tcW w:w="551" w:type="pct"/>
            <w:tcBorders>
              <w:bottom w:val="nil"/>
            </w:tcBorders>
            <w:noWrap/>
          </w:tcPr>
          <w:p w14:paraId="54F3E6FB" w14:textId="6B77701F" w:rsidR="00A677E9" w:rsidRPr="00221F0B" w:rsidRDefault="001A4B8B" w:rsidP="000B39FC">
            <w:pPr>
              <w:pStyle w:val="TableText"/>
              <w:jc w:val="center"/>
              <w:rPr>
                <w:highlight w:val="lightGray"/>
              </w:rPr>
            </w:pPr>
            <w:r w:rsidRPr="001A4B8B">
              <w:rPr>
                <w:color w:val="000000"/>
                <w:spacing w:val="102"/>
                <w:shd w:val="solid" w:color="000000" w:fill="000000"/>
                <w:fitText w:val="188" w:id="-961838590"/>
                <w14:textFill>
                  <w14:solidFill>
                    <w14:srgbClr w14:val="000000">
                      <w14:alpha w14:val="100000"/>
                    </w14:srgbClr>
                  </w14:solidFill>
                </w14:textFill>
              </w:rPr>
              <w:t>|</w:t>
            </w:r>
            <w:r w:rsidRPr="001A4B8B">
              <w:rPr>
                <w:color w:val="000000"/>
                <w:spacing w:val="1"/>
                <w:shd w:val="solid" w:color="000000" w:fill="000000"/>
                <w:fitText w:val="188" w:id="-961838590"/>
                <w14:textFill>
                  <w14:solidFill>
                    <w14:srgbClr w14:val="000000">
                      <w14:alpha w14:val="100000"/>
                    </w14:srgbClr>
                  </w14:solidFill>
                </w14:textFill>
              </w:rPr>
              <w:t>|</w:t>
            </w:r>
            <w:r w:rsidR="006F5F9D" w:rsidRPr="006F5F9D">
              <w:rPr>
                <w:vertAlign w:val="superscript"/>
              </w:rPr>
              <w:t>4</w:t>
            </w:r>
          </w:p>
        </w:tc>
        <w:tc>
          <w:tcPr>
            <w:tcW w:w="445" w:type="pct"/>
            <w:tcBorders>
              <w:bottom w:val="nil"/>
            </w:tcBorders>
            <w:noWrap/>
          </w:tcPr>
          <w:p w14:paraId="2BF110B7" w14:textId="6BC38A9A" w:rsidR="00A677E9" w:rsidRPr="00D20CA8" w:rsidRDefault="001A4B8B" w:rsidP="000B39FC">
            <w:pPr>
              <w:pStyle w:val="TableText"/>
              <w:jc w:val="right"/>
            </w:pPr>
            <w:r w:rsidRPr="001A4B8B">
              <w:rPr>
                <w:color w:val="000000"/>
                <w:spacing w:val="47"/>
                <w:shd w:val="solid" w:color="000000" w:fill="000000"/>
                <w:fitText w:val="313" w:id="-961838589"/>
                <w14:textFill>
                  <w14:solidFill>
                    <w14:srgbClr w14:val="000000">
                      <w14:alpha w14:val="100000"/>
                    </w14:srgbClr>
                  </w14:solidFill>
                </w14:textFill>
              </w:rPr>
              <w:t>|||</w:t>
            </w:r>
            <w:r w:rsidRPr="001A4B8B">
              <w:rPr>
                <w:color w:val="000000"/>
                <w:spacing w:val="2"/>
                <w:shd w:val="solid" w:color="000000" w:fill="000000"/>
                <w:fitText w:val="313" w:id="-961838589"/>
                <w14:textFill>
                  <w14:solidFill>
                    <w14:srgbClr w14:val="000000">
                      <w14:alpha w14:val="100000"/>
                    </w14:srgbClr>
                  </w14:solidFill>
                </w14:textFill>
              </w:rPr>
              <w:t>|</w:t>
            </w:r>
            <w:r w:rsidR="00A677E9" w:rsidRPr="00D20CA8">
              <w:t>%</w:t>
            </w:r>
          </w:p>
        </w:tc>
      </w:tr>
      <w:tr w:rsidR="0021716C" w:rsidRPr="00D20CA8" w14:paraId="7A163ACA" w14:textId="77777777" w:rsidTr="001A4B8B">
        <w:trPr>
          <w:trHeight w:val="20"/>
        </w:trPr>
        <w:tc>
          <w:tcPr>
            <w:tcW w:w="2903" w:type="pct"/>
            <w:tcBorders>
              <w:top w:val="nil"/>
              <w:bottom w:val="nil"/>
            </w:tcBorders>
            <w:noWrap/>
          </w:tcPr>
          <w:p w14:paraId="57297387" w14:textId="77777777" w:rsidR="0021716C" w:rsidRPr="00D20CA8" w:rsidRDefault="0021716C" w:rsidP="000B39FC">
            <w:pPr>
              <w:pStyle w:val="TableText"/>
            </w:pPr>
            <w:r w:rsidRPr="00D20CA8">
              <w:t>#1, #2 AND #3</w:t>
            </w:r>
          </w:p>
        </w:tc>
        <w:tc>
          <w:tcPr>
            <w:tcW w:w="550" w:type="pct"/>
            <w:tcBorders>
              <w:top w:val="nil"/>
              <w:bottom w:val="nil"/>
            </w:tcBorders>
            <w:shd w:val="solid" w:color="000000" w:fill="000000"/>
            <w:noWrap/>
          </w:tcPr>
          <w:p w14:paraId="6C41E459" w14:textId="3E6B24F6" w:rsidR="0021716C" w:rsidRPr="00221F0B" w:rsidRDefault="001A4B8B" w:rsidP="000B39FC">
            <w:pPr>
              <w:pStyle w:val="TableText"/>
              <w:jc w:val="center"/>
              <w:rPr>
                <w:highlight w:val="lightGray"/>
              </w:rPr>
            </w:pPr>
            <w:r w:rsidRPr="001A4B8B">
              <w:rPr>
                <w:color w:val="000000"/>
                <w:spacing w:val="65"/>
                <w:fitText w:val="151" w:id="-961838588"/>
                <w14:textFill>
                  <w14:solidFill>
                    <w14:srgbClr w14:val="000000">
                      <w14:alpha w14:val="100000"/>
                    </w14:srgbClr>
                  </w14:solidFill>
                </w14:textFill>
              </w:rPr>
              <w:t>|</w:t>
            </w:r>
            <w:r w:rsidRPr="001A4B8B">
              <w:rPr>
                <w:color w:val="000000"/>
                <w:fitText w:val="151" w:id="-961838588"/>
                <w14:textFill>
                  <w14:solidFill>
                    <w14:srgbClr w14:val="000000">
                      <w14:alpha w14:val="100000"/>
                    </w14:srgbClr>
                  </w14:solidFill>
                </w14:textFill>
              </w:rPr>
              <w:t>|</w:t>
            </w:r>
          </w:p>
        </w:tc>
        <w:tc>
          <w:tcPr>
            <w:tcW w:w="551" w:type="pct"/>
            <w:tcBorders>
              <w:top w:val="nil"/>
              <w:bottom w:val="nil"/>
            </w:tcBorders>
            <w:noWrap/>
          </w:tcPr>
          <w:p w14:paraId="36E21029" w14:textId="2CDF2727" w:rsidR="0021716C" w:rsidRPr="00D20CA8" w:rsidRDefault="0021716C" w:rsidP="000B39FC">
            <w:pPr>
              <w:pStyle w:val="TableText"/>
              <w:jc w:val="right"/>
            </w:pPr>
            <w:r w:rsidRPr="00D20CA8">
              <w:t>0.575</w:t>
            </w:r>
          </w:p>
        </w:tc>
        <w:tc>
          <w:tcPr>
            <w:tcW w:w="551" w:type="pct"/>
            <w:tcBorders>
              <w:top w:val="nil"/>
              <w:bottom w:val="nil"/>
            </w:tcBorders>
            <w:noWrap/>
          </w:tcPr>
          <w:p w14:paraId="1992C90B" w14:textId="1943BE2B" w:rsidR="0021716C" w:rsidRPr="00221F0B" w:rsidRDefault="001A4B8B" w:rsidP="000B39FC">
            <w:pPr>
              <w:pStyle w:val="TableText"/>
              <w:jc w:val="center"/>
              <w:rPr>
                <w:highlight w:val="lightGray"/>
              </w:rPr>
            </w:pPr>
            <w:r w:rsidRPr="001A4B8B">
              <w:rPr>
                <w:color w:val="000000"/>
                <w:spacing w:val="102"/>
                <w:shd w:val="solid" w:color="000000" w:fill="000000"/>
                <w:fitText w:val="188" w:id="-961838587"/>
                <w14:textFill>
                  <w14:solidFill>
                    <w14:srgbClr w14:val="000000">
                      <w14:alpha w14:val="100000"/>
                    </w14:srgbClr>
                  </w14:solidFill>
                </w14:textFill>
              </w:rPr>
              <w:t>|</w:t>
            </w:r>
            <w:r w:rsidRPr="001A4B8B">
              <w:rPr>
                <w:color w:val="000000"/>
                <w:spacing w:val="1"/>
                <w:shd w:val="solid" w:color="000000" w:fill="000000"/>
                <w:fitText w:val="188" w:id="-961838587"/>
                <w14:textFill>
                  <w14:solidFill>
                    <w14:srgbClr w14:val="000000">
                      <w14:alpha w14:val="100000"/>
                    </w14:srgbClr>
                  </w14:solidFill>
                </w14:textFill>
              </w:rPr>
              <w:t>|</w:t>
            </w:r>
            <w:r w:rsidR="006F5F9D" w:rsidRPr="006F5F9D">
              <w:rPr>
                <w:vertAlign w:val="superscript"/>
              </w:rPr>
              <w:t>4</w:t>
            </w:r>
          </w:p>
        </w:tc>
        <w:tc>
          <w:tcPr>
            <w:tcW w:w="445" w:type="pct"/>
            <w:tcBorders>
              <w:top w:val="nil"/>
              <w:bottom w:val="nil"/>
            </w:tcBorders>
            <w:noWrap/>
          </w:tcPr>
          <w:p w14:paraId="2F375DCD" w14:textId="48DF3FB2" w:rsidR="0021716C" w:rsidRPr="00D20CA8" w:rsidRDefault="001A4B8B" w:rsidP="000B39FC">
            <w:pPr>
              <w:pStyle w:val="TableText"/>
              <w:jc w:val="right"/>
            </w:pPr>
            <w:r w:rsidRPr="001A4B8B">
              <w:rPr>
                <w:color w:val="000000"/>
                <w:spacing w:val="47"/>
                <w:shd w:val="solid" w:color="000000" w:fill="000000"/>
                <w:fitText w:val="313" w:id="-961838586"/>
                <w14:textFill>
                  <w14:solidFill>
                    <w14:srgbClr w14:val="000000">
                      <w14:alpha w14:val="100000"/>
                    </w14:srgbClr>
                  </w14:solidFill>
                </w14:textFill>
              </w:rPr>
              <w:t>|||</w:t>
            </w:r>
            <w:r w:rsidRPr="001A4B8B">
              <w:rPr>
                <w:color w:val="000000"/>
                <w:spacing w:val="2"/>
                <w:shd w:val="solid" w:color="000000" w:fill="000000"/>
                <w:fitText w:val="313" w:id="-961838586"/>
                <w14:textFill>
                  <w14:solidFill>
                    <w14:srgbClr w14:val="000000">
                      <w14:alpha w14:val="100000"/>
                    </w14:srgbClr>
                  </w14:solidFill>
                </w14:textFill>
              </w:rPr>
              <w:t>|</w:t>
            </w:r>
            <w:r w:rsidR="0021716C" w:rsidRPr="00D20CA8">
              <w:t>%</w:t>
            </w:r>
          </w:p>
        </w:tc>
      </w:tr>
      <w:tr w:rsidR="0021716C" w:rsidRPr="00D20CA8" w14:paraId="262203CF" w14:textId="77777777" w:rsidTr="001A4B8B">
        <w:trPr>
          <w:trHeight w:val="20"/>
        </w:trPr>
        <w:tc>
          <w:tcPr>
            <w:tcW w:w="2903" w:type="pct"/>
            <w:tcBorders>
              <w:top w:val="nil"/>
              <w:bottom w:val="nil"/>
            </w:tcBorders>
            <w:noWrap/>
          </w:tcPr>
          <w:p w14:paraId="41DA55DD" w14:textId="77777777" w:rsidR="0021716C" w:rsidRPr="00D20CA8" w:rsidRDefault="0021716C" w:rsidP="000B39FC">
            <w:pPr>
              <w:pStyle w:val="TableText"/>
            </w:pPr>
            <w:r w:rsidRPr="00D20CA8">
              <w:t>#1, #2, #3 AND #4</w:t>
            </w:r>
          </w:p>
        </w:tc>
        <w:tc>
          <w:tcPr>
            <w:tcW w:w="550" w:type="pct"/>
            <w:tcBorders>
              <w:top w:val="nil"/>
              <w:bottom w:val="nil"/>
            </w:tcBorders>
            <w:shd w:val="solid" w:color="000000" w:fill="000000"/>
            <w:noWrap/>
          </w:tcPr>
          <w:p w14:paraId="701CCA23" w14:textId="2CEB83DB" w:rsidR="0021716C" w:rsidRPr="00221F0B" w:rsidRDefault="001A4B8B" w:rsidP="000B39FC">
            <w:pPr>
              <w:pStyle w:val="TableText"/>
              <w:jc w:val="center"/>
              <w:rPr>
                <w:highlight w:val="lightGray"/>
              </w:rPr>
            </w:pPr>
            <w:r w:rsidRPr="001A4B8B">
              <w:rPr>
                <w:color w:val="000000"/>
                <w:spacing w:val="65"/>
                <w:fitText w:val="151" w:id="-961838585"/>
                <w14:textFill>
                  <w14:solidFill>
                    <w14:srgbClr w14:val="000000">
                      <w14:alpha w14:val="100000"/>
                    </w14:srgbClr>
                  </w14:solidFill>
                </w14:textFill>
              </w:rPr>
              <w:t>|</w:t>
            </w:r>
            <w:r w:rsidRPr="001A4B8B">
              <w:rPr>
                <w:color w:val="000000"/>
                <w:fitText w:val="151" w:id="-961838585"/>
                <w14:textFill>
                  <w14:solidFill>
                    <w14:srgbClr w14:val="000000">
                      <w14:alpha w14:val="100000"/>
                    </w14:srgbClr>
                  </w14:solidFill>
                </w14:textFill>
              </w:rPr>
              <w:t>|</w:t>
            </w:r>
          </w:p>
        </w:tc>
        <w:tc>
          <w:tcPr>
            <w:tcW w:w="551" w:type="pct"/>
            <w:tcBorders>
              <w:top w:val="nil"/>
              <w:bottom w:val="nil"/>
            </w:tcBorders>
            <w:noWrap/>
          </w:tcPr>
          <w:p w14:paraId="1B838C2A" w14:textId="74581D6B" w:rsidR="0021716C" w:rsidRPr="00D20CA8" w:rsidRDefault="0021716C" w:rsidP="000B39FC">
            <w:pPr>
              <w:pStyle w:val="TableText"/>
              <w:jc w:val="right"/>
            </w:pPr>
            <w:r w:rsidRPr="00D20CA8">
              <w:t>0.415</w:t>
            </w:r>
          </w:p>
        </w:tc>
        <w:tc>
          <w:tcPr>
            <w:tcW w:w="551" w:type="pct"/>
            <w:tcBorders>
              <w:top w:val="nil"/>
              <w:bottom w:val="nil"/>
            </w:tcBorders>
            <w:noWrap/>
          </w:tcPr>
          <w:p w14:paraId="20A4ED05" w14:textId="0AAC9858" w:rsidR="0021716C" w:rsidRPr="00221F0B" w:rsidRDefault="001A4B8B" w:rsidP="000B39FC">
            <w:pPr>
              <w:pStyle w:val="TableText"/>
              <w:jc w:val="center"/>
              <w:rPr>
                <w:highlight w:val="lightGray"/>
              </w:rPr>
            </w:pPr>
            <w:r w:rsidRPr="001A4B8B">
              <w:rPr>
                <w:color w:val="000000"/>
                <w:spacing w:val="102"/>
                <w:shd w:val="solid" w:color="000000" w:fill="000000"/>
                <w:fitText w:val="188" w:id="-961838584"/>
                <w14:textFill>
                  <w14:solidFill>
                    <w14:srgbClr w14:val="000000">
                      <w14:alpha w14:val="100000"/>
                    </w14:srgbClr>
                  </w14:solidFill>
                </w14:textFill>
              </w:rPr>
              <w:t>|</w:t>
            </w:r>
            <w:r w:rsidRPr="001A4B8B">
              <w:rPr>
                <w:color w:val="000000"/>
                <w:spacing w:val="1"/>
                <w:shd w:val="solid" w:color="000000" w:fill="000000"/>
                <w:fitText w:val="188" w:id="-961838584"/>
                <w14:textFill>
                  <w14:solidFill>
                    <w14:srgbClr w14:val="000000">
                      <w14:alpha w14:val="100000"/>
                    </w14:srgbClr>
                  </w14:solidFill>
                </w14:textFill>
              </w:rPr>
              <w:t>|</w:t>
            </w:r>
            <w:r w:rsidR="00180210" w:rsidRPr="00180210">
              <w:rPr>
                <w:vertAlign w:val="superscript"/>
              </w:rPr>
              <w:t>7</w:t>
            </w:r>
          </w:p>
        </w:tc>
        <w:tc>
          <w:tcPr>
            <w:tcW w:w="445" w:type="pct"/>
            <w:tcBorders>
              <w:top w:val="nil"/>
              <w:bottom w:val="nil"/>
            </w:tcBorders>
            <w:noWrap/>
          </w:tcPr>
          <w:p w14:paraId="72259069" w14:textId="3293EA9D" w:rsidR="0021716C" w:rsidRPr="00D20CA8" w:rsidRDefault="001A4B8B" w:rsidP="000B39FC">
            <w:pPr>
              <w:pStyle w:val="TableText"/>
              <w:jc w:val="right"/>
            </w:pPr>
            <w:r w:rsidRPr="001A4B8B">
              <w:rPr>
                <w:color w:val="000000"/>
                <w:spacing w:val="47"/>
                <w:shd w:val="solid" w:color="000000" w:fill="000000"/>
                <w:fitText w:val="313" w:id="-961838583"/>
                <w14:textFill>
                  <w14:solidFill>
                    <w14:srgbClr w14:val="000000">
                      <w14:alpha w14:val="100000"/>
                    </w14:srgbClr>
                  </w14:solidFill>
                </w14:textFill>
              </w:rPr>
              <w:t>|||</w:t>
            </w:r>
            <w:r w:rsidRPr="001A4B8B">
              <w:rPr>
                <w:color w:val="000000"/>
                <w:spacing w:val="2"/>
                <w:shd w:val="solid" w:color="000000" w:fill="000000"/>
                <w:fitText w:val="313" w:id="-961838583"/>
                <w14:textFill>
                  <w14:solidFill>
                    <w14:srgbClr w14:val="000000">
                      <w14:alpha w14:val="100000"/>
                    </w14:srgbClr>
                  </w14:solidFill>
                </w14:textFill>
              </w:rPr>
              <w:t>|</w:t>
            </w:r>
            <w:r w:rsidR="0021716C" w:rsidRPr="00D20CA8">
              <w:t>%</w:t>
            </w:r>
          </w:p>
        </w:tc>
      </w:tr>
      <w:tr w:rsidR="0021716C" w:rsidRPr="00D20CA8" w14:paraId="1D081A8B" w14:textId="77777777" w:rsidTr="001A4B8B">
        <w:trPr>
          <w:trHeight w:val="20"/>
        </w:trPr>
        <w:tc>
          <w:tcPr>
            <w:tcW w:w="2903" w:type="pct"/>
            <w:tcBorders>
              <w:top w:val="nil"/>
              <w:bottom w:val="nil"/>
            </w:tcBorders>
            <w:noWrap/>
          </w:tcPr>
          <w:p w14:paraId="01F8D2D3" w14:textId="77777777" w:rsidR="0021716C" w:rsidRPr="00D20CA8" w:rsidRDefault="0021716C" w:rsidP="000B39FC">
            <w:pPr>
              <w:pStyle w:val="TableText"/>
            </w:pPr>
            <w:r w:rsidRPr="00D20CA8">
              <w:t>#1, #2, #3, #4 AND #5</w:t>
            </w:r>
          </w:p>
        </w:tc>
        <w:tc>
          <w:tcPr>
            <w:tcW w:w="550" w:type="pct"/>
            <w:tcBorders>
              <w:top w:val="nil"/>
              <w:bottom w:val="nil"/>
            </w:tcBorders>
            <w:shd w:val="solid" w:color="000000" w:fill="000000"/>
            <w:noWrap/>
          </w:tcPr>
          <w:p w14:paraId="41BCAC17" w14:textId="767AEE7E" w:rsidR="0021716C" w:rsidRPr="00221F0B" w:rsidRDefault="001A4B8B" w:rsidP="000B39FC">
            <w:pPr>
              <w:pStyle w:val="TableText"/>
              <w:jc w:val="center"/>
              <w:rPr>
                <w:highlight w:val="lightGray"/>
              </w:rPr>
            </w:pPr>
            <w:r w:rsidRPr="001A4B8B">
              <w:rPr>
                <w:color w:val="000000"/>
                <w:spacing w:val="65"/>
                <w:fitText w:val="151" w:id="-961838582"/>
                <w14:textFill>
                  <w14:solidFill>
                    <w14:srgbClr w14:val="000000">
                      <w14:alpha w14:val="100000"/>
                    </w14:srgbClr>
                  </w14:solidFill>
                </w14:textFill>
              </w:rPr>
              <w:t>|</w:t>
            </w:r>
            <w:r w:rsidRPr="001A4B8B">
              <w:rPr>
                <w:color w:val="000000"/>
                <w:fitText w:val="151" w:id="-961838582"/>
                <w14:textFill>
                  <w14:solidFill>
                    <w14:srgbClr w14:val="000000">
                      <w14:alpha w14:val="100000"/>
                    </w14:srgbClr>
                  </w14:solidFill>
                </w14:textFill>
              </w:rPr>
              <w:t>|</w:t>
            </w:r>
          </w:p>
        </w:tc>
        <w:tc>
          <w:tcPr>
            <w:tcW w:w="551" w:type="pct"/>
            <w:tcBorders>
              <w:top w:val="nil"/>
              <w:bottom w:val="nil"/>
            </w:tcBorders>
            <w:noWrap/>
          </w:tcPr>
          <w:p w14:paraId="7E22B41D" w14:textId="4AA2FA41" w:rsidR="0021716C" w:rsidRPr="00D20CA8" w:rsidRDefault="0021716C" w:rsidP="000B39FC">
            <w:pPr>
              <w:pStyle w:val="TableText"/>
              <w:jc w:val="right"/>
            </w:pPr>
            <w:r w:rsidRPr="00D20CA8">
              <w:t>0.288</w:t>
            </w:r>
          </w:p>
        </w:tc>
        <w:tc>
          <w:tcPr>
            <w:tcW w:w="551" w:type="pct"/>
            <w:tcBorders>
              <w:top w:val="nil"/>
              <w:bottom w:val="nil"/>
            </w:tcBorders>
            <w:noWrap/>
          </w:tcPr>
          <w:p w14:paraId="1464B180" w14:textId="190A1D0B" w:rsidR="0021716C" w:rsidRPr="00221F0B" w:rsidRDefault="001A4B8B" w:rsidP="000B39FC">
            <w:pPr>
              <w:pStyle w:val="TableText"/>
              <w:jc w:val="center"/>
              <w:rPr>
                <w:highlight w:val="lightGray"/>
              </w:rPr>
            </w:pPr>
            <w:r w:rsidRPr="001A4B8B">
              <w:rPr>
                <w:color w:val="000000"/>
                <w:spacing w:val="102"/>
                <w:shd w:val="solid" w:color="000000" w:fill="000000"/>
                <w:fitText w:val="188" w:id="-961838581"/>
                <w14:textFill>
                  <w14:solidFill>
                    <w14:srgbClr w14:val="000000">
                      <w14:alpha w14:val="100000"/>
                    </w14:srgbClr>
                  </w14:solidFill>
                </w14:textFill>
              </w:rPr>
              <w:t>|</w:t>
            </w:r>
            <w:r w:rsidRPr="001A4B8B">
              <w:rPr>
                <w:color w:val="000000"/>
                <w:spacing w:val="1"/>
                <w:shd w:val="solid" w:color="000000" w:fill="000000"/>
                <w:fitText w:val="188" w:id="-961838581"/>
                <w14:textFill>
                  <w14:solidFill>
                    <w14:srgbClr w14:val="000000">
                      <w14:alpha w14:val="100000"/>
                    </w14:srgbClr>
                  </w14:solidFill>
                </w14:textFill>
              </w:rPr>
              <w:t>|</w:t>
            </w:r>
            <w:r w:rsidR="00180210" w:rsidRPr="00180210">
              <w:rPr>
                <w:vertAlign w:val="superscript"/>
              </w:rPr>
              <w:t>7</w:t>
            </w:r>
          </w:p>
        </w:tc>
        <w:tc>
          <w:tcPr>
            <w:tcW w:w="445" w:type="pct"/>
            <w:tcBorders>
              <w:top w:val="nil"/>
              <w:bottom w:val="nil"/>
            </w:tcBorders>
            <w:noWrap/>
          </w:tcPr>
          <w:p w14:paraId="75FA43CE" w14:textId="3D148944" w:rsidR="0021716C" w:rsidRPr="00D20CA8" w:rsidRDefault="001A4B8B" w:rsidP="000B39FC">
            <w:pPr>
              <w:pStyle w:val="TableText"/>
              <w:jc w:val="right"/>
            </w:pPr>
            <w:r w:rsidRPr="001A4B8B">
              <w:rPr>
                <w:color w:val="000000"/>
                <w:spacing w:val="47"/>
                <w:shd w:val="solid" w:color="000000" w:fill="000000"/>
                <w:fitText w:val="313" w:id="-961838580"/>
                <w14:textFill>
                  <w14:solidFill>
                    <w14:srgbClr w14:val="000000">
                      <w14:alpha w14:val="100000"/>
                    </w14:srgbClr>
                  </w14:solidFill>
                </w14:textFill>
              </w:rPr>
              <w:t>|||</w:t>
            </w:r>
            <w:r w:rsidRPr="001A4B8B">
              <w:rPr>
                <w:color w:val="000000"/>
                <w:spacing w:val="2"/>
                <w:shd w:val="solid" w:color="000000" w:fill="000000"/>
                <w:fitText w:val="313" w:id="-961838580"/>
                <w14:textFill>
                  <w14:solidFill>
                    <w14:srgbClr w14:val="000000">
                      <w14:alpha w14:val="100000"/>
                    </w14:srgbClr>
                  </w14:solidFill>
                </w14:textFill>
              </w:rPr>
              <w:t>|</w:t>
            </w:r>
            <w:r w:rsidR="0021716C" w:rsidRPr="00D20CA8">
              <w:t>%</w:t>
            </w:r>
          </w:p>
        </w:tc>
      </w:tr>
      <w:tr w:rsidR="0021716C" w:rsidRPr="00D20CA8" w14:paraId="45FAF689" w14:textId="77777777" w:rsidTr="001A4B8B">
        <w:trPr>
          <w:trHeight w:val="20"/>
        </w:trPr>
        <w:tc>
          <w:tcPr>
            <w:tcW w:w="2903" w:type="pct"/>
            <w:tcBorders>
              <w:top w:val="nil"/>
              <w:bottom w:val="nil"/>
            </w:tcBorders>
            <w:noWrap/>
          </w:tcPr>
          <w:p w14:paraId="5AEEFEC4" w14:textId="77777777" w:rsidR="0021716C" w:rsidRPr="00D20CA8" w:rsidRDefault="0021716C" w:rsidP="000B39FC">
            <w:pPr>
              <w:pStyle w:val="TableText"/>
            </w:pPr>
            <w:r w:rsidRPr="00D20CA8">
              <w:t>#1, #2, #3, #4, #5 AND #6</w:t>
            </w:r>
          </w:p>
        </w:tc>
        <w:tc>
          <w:tcPr>
            <w:tcW w:w="550" w:type="pct"/>
            <w:tcBorders>
              <w:top w:val="nil"/>
              <w:bottom w:val="nil"/>
            </w:tcBorders>
            <w:shd w:val="solid" w:color="000000" w:fill="000000"/>
            <w:noWrap/>
          </w:tcPr>
          <w:p w14:paraId="1DB08EDB" w14:textId="05182146" w:rsidR="0021716C" w:rsidRPr="00221F0B" w:rsidRDefault="001A4B8B" w:rsidP="000B39FC">
            <w:pPr>
              <w:pStyle w:val="TableText"/>
              <w:jc w:val="center"/>
              <w:rPr>
                <w:highlight w:val="lightGray"/>
              </w:rPr>
            </w:pPr>
            <w:r w:rsidRPr="001A4B8B">
              <w:rPr>
                <w:color w:val="000000"/>
                <w:spacing w:val="65"/>
                <w:fitText w:val="151" w:id="-961838579"/>
                <w14:textFill>
                  <w14:solidFill>
                    <w14:srgbClr w14:val="000000">
                      <w14:alpha w14:val="100000"/>
                    </w14:srgbClr>
                  </w14:solidFill>
                </w14:textFill>
              </w:rPr>
              <w:t>|</w:t>
            </w:r>
            <w:r w:rsidRPr="001A4B8B">
              <w:rPr>
                <w:color w:val="000000"/>
                <w:fitText w:val="151" w:id="-961838579"/>
                <w14:textFill>
                  <w14:solidFill>
                    <w14:srgbClr w14:val="000000">
                      <w14:alpha w14:val="100000"/>
                    </w14:srgbClr>
                  </w14:solidFill>
                </w14:textFill>
              </w:rPr>
              <w:t>|</w:t>
            </w:r>
          </w:p>
        </w:tc>
        <w:tc>
          <w:tcPr>
            <w:tcW w:w="551" w:type="pct"/>
            <w:tcBorders>
              <w:top w:val="nil"/>
              <w:bottom w:val="nil"/>
            </w:tcBorders>
            <w:noWrap/>
          </w:tcPr>
          <w:p w14:paraId="19651F62" w14:textId="1900CFEC" w:rsidR="0021716C" w:rsidRPr="00D20CA8" w:rsidRDefault="0021716C" w:rsidP="000B39FC">
            <w:pPr>
              <w:pStyle w:val="TableText"/>
              <w:jc w:val="right"/>
            </w:pPr>
            <w:r w:rsidRPr="00D20CA8">
              <w:t>0.264</w:t>
            </w:r>
          </w:p>
        </w:tc>
        <w:tc>
          <w:tcPr>
            <w:tcW w:w="551" w:type="pct"/>
            <w:tcBorders>
              <w:top w:val="nil"/>
              <w:bottom w:val="nil"/>
            </w:tcBorders>
            <w:noWrap/>
          </w:tcPr>
          <w:p w14:paraId="5771B270" w14:textId="755668D6" w:rsidR="0021716C" w:rsidRPr="00221F0B" w:rsidRDefault="001A4B8B" w:rsidP="000B39FC">
            <w:pPr>
              <w:pStyle w:val="TableText"/>
              <w:jc w:val="center"/>
              <w:rPr>
                <w:highlight w:val="lightGray"/>
              </w:rPr>
            </w:pPr>
            <w:r w:rsidRPr="001A4B8B">
              <w:rPr>
                <w:color w:val="000000"/>
                <w:spacing w:val="102"/>
                <w:shd w:val="solid" w:color="000000" w:fill="000000"/>
                <w:fitText w:val="188" w:id="-961838578"/>
                <w14:textFill>
                  <w14:solidFill>
                    <w14:srgbClr w14:val="000000">
                      <w14:alpha w14:val="100000"/>
                    </w14:srgbClr>
                  </w14:solidFill>
                </w14:textFill>
              </w:rPr>
              <w:t>|</w:t>
            </w:r>
            <w:r w:rsidRPr="001A4B8B">
              <w:rPr>
                <w:color w:val="000000"/>
                <w:spacing w:val="1"/>
                <w:shd w:val="solid" w:color="000000" w:fill="000000"/>
                <w:fitText w:val="188" w:id="-961838578"/>
                <w14:textFill>
                  <w14:solidFill>
                    <w14:srgbClr w14:val="000000">
                      <w14:alpha w14:val="100000"/>
                    </w14:srgbClr>
                  </w14:solidFill>
                </w14:textFill>
              </w:rPr>
              <w:t>|</w:t>
            </w:r>
            <w:r w:rsidR="00180210" w:rsidRPr="00180210">
              <w:rPr>
                <w:vertAlign w:val="superscript"/>
              </w:rPr>
              <w:t>8</w:t>
            </w:r>
          </w:p>
        </w:tc>
        <w:tc>
          <w:tcPr>
            <w:tcW w:w="445" w:type="pct"/>
            <w:tcBorders>
              <w:top w:val="nil"/>
              <w:bottom w:val="nil"/>
            </w:tcBorders>
            <w:noWrap/>
          </w:tcPr>
          <w:p w14:paraId="3FD76999" w14:textId="05C546BF" w:rsidR="0021716C" w:rsidRPr="00D20CA8" w:rsidRDefault="001A4B8B" w:rsidP="000B39FC">
            <w:pPr>
              <w:pStyle w:val="TableText"/>
              <w:jc w:val="right"/>
            </w:pPr>
            <w:r w:rsidRPr="001A4B8B">
              <w:rPr>
                <w:color w:val="000000"/>
                <w:spacing w:val="47"/>
                <w:shd w:val="solid" w:color="000000" w:fill="000000"/>
                <w:fitText w:val="313" w:id="-961838577"/>
                <w14:textFill>
                  <w14:solidFill>
                    <w14:srgbClr w14:val="000000">
                      <w14:alpha w14:val="100000"/>
                    </w14:srgbClr>
                  </w14:solidFill>
                </w14:textFill>
              </w:rPr>
              <w:t>|||</w:t>
            </w:r>
            <w:r w:rsidRPr="001A4B8B">
              <w:rPr>
                <w:color w:val="000000"/>
                <w:spacing w:val="2"/>
                <w:shd w:val="solid" w:color="000000" w:fill="000000"/>
                <w:fitText w:val="313" w:id="-961838577"/>
                <w14:textFill>
                  <w14:solidFill>
                    <w14:srgbClr w14:val="000000">
                      <w14:alpha w14:val="100000"/>
                    </w14:srgbClr>
                  </w14:solidFill>
                </w14:textFill>
              </w:rPr>
              <w:t>|</w:t>
            </w:r>
            <w:r w:rsidR="0021716C" w:rsidRPr="00D20CA8">
              <w:t>%</w:t>
            </w:r>
          </w:p>
        </w:tc>
      </w:tr>
      <w:tr w:rsidR="0021716C" w:rsidRPr="00D20CA8" w14:paraId="2D7933A5" w14:textId="77777777" w:rsidTr="001A4B8B">
        <w:trPr>
          <w:trHeight w:val="20"/>
        </w:trPr>
        <w:tc>
          <w:tcPr>
            <w:tcW w:w="2903" w:type="pct"/>
            <w:tcBorders>
              <w:top w:val="nil"/>
              <w:bottom w:val="nil"/>
            </w:tcBorders>
            <w:noWrap/>
          </w:tcPr>
          <w:p w14:paraId="47D0CB72" w14:textId="5722866B" w:rsidR="0021716C" w:rsidRPr="00D20CA8" w:rsidRDefault="0021716C" w:rsidP="000B39FC">
            <w:pPr>
              <w:pStyle w:val="TableText"/>
            </w:pPr>
            <w:r w:rsidRPr="00D20CA8">
              <w:t>#1, #2, #3, #4, #5, #6 AND #7</w:t>
            </w:r>
            <w:r w:rsidR="00C77D38" w:rsidRPr="00D20CA8">
              <w:t> </w:t>
            </w:r>
            <w:r w:rsidR="00C77D38" w:rsidRPr="00D20CA8">
              <w:rPr>
                <w:vertAlign w:val="superscript"/>
              </w:rPr>
              <w:t>g</w:t>
            </w:r>
          </w:p>
        </w:tc>
        <w:tc>
          <w:tcPr>
            <w:tcW w:w="550" w:type="pct"/>
            <w:tcBorders>
              <w:top w:val="nil"/>
              <w:bottom w:val="nil"/>
            </w:tcBorders>
            <w:shd w:val="solid" w:color="000000" w:fill="000000"/>
            <w:noWrap/>
          </w:tcPr>
          <w:p w14:paraId="3019C0E9" w14:textId="29867F9F" w:rsidR="0021716C" w:rsidRPr="00221F0B" w:rsidRDefault="001A4B8B" w:rsidP="000B39FC">
            <w:pPr>
              <w:pStyle w:val="TableText"/>
              <w:jc w:val="center"/>
              <w:rPr>
                <w:highlight w:val="lightGray"/>
              </w:rPr>
            </w:pPr>
            <w:r w:rsidRPr="001A4B8B">
              <w:rPr>
                <w:color w:val="000000"/>
                <w:spacing w:val="65"/>
                <w:fitText w:val="151" w:id="-961838576"/>
                <w14:textFill>
                  <w14:solidFill>
                    <w14:srgbClr w14:val="000000">
                      <w14:alpha w14:val="100000"/>
                    </w14:srgbClr>
                  </w14:solidFill>
                </w14:textFill>
              </w:rPr>
              <w:t>|</w:t>
            </w:r>
            <w:r w:rsidRPr="001A4B8B">
              <w:rPr>
                <w:color w:val="000000"/>
                <w:fitText w:val="151" w:id="-961838576"/>
                <w14:textFill>
                  <w14:solidFill>
                    <w14:srgbClr w14:val="000000">
                      <w14:alpha w14:val="100000"/>
                    </w14:srgbClr>
                  </w14:solidFill>
                </w14:textFill>
              </w:rPr>
              <w:t>|</w:t>
            </w:r>
          </w:p>
        </w:tc>
        <w:tc>
          <w:tcPr>
            <w:tcW w:w="551" w:type="pct"/>
            <w:tcBorders>
              <w:top w:val="nil"/>
              <w:bottom w:val="nil"/>
            </w:tcBorders>
            <w:noWrap/>
          </w:tcPr>
          <w:p w14:paraId="670A8515" w14:textId="4CB97D60" w:rsidR="0021716C" w:rsidRPr="00D20CA8" w:rsidRDefault="0021716C" w:rsidP="000B39FC">
            <w:pPr>
              <w:pStyle w:val="TableText"/>
              <w:jc w:val="right"/>
            </w:pPr>
            <w:r w:rsidRPr="00D20CA8">
              <w:t>0.205</w:t>
            </w:r>
          </w:p>
        </w:tc>
        <w:tc>
          <w:tcPr>
            <w:tcW w:w="551" w:type="pct"/>
            <w:tcBorders>
              <w:top w:val="nil"/>
              <w:bottom w:val="nil"/>
            </w:tcBorders>
            <w:noWrap/>
          </w:tcPr>
          <w:p w14:paraId="19A059B0" w14:textId="1EA2E9D6" w:rsidR="0021716C" w:rsidRPr="00221F0B" w:rsidRDefault="001A4B8B" w:rsidP="000B39FC">
            <w:pPr>
              <w:pStyle w:val="TableText"/>
              <w:jc w:val="center"/>
              <w:rPr>
                <w:highlight w:val="lightGray"/>
              </w:rPr>
            </w:pPr>
            <w:r w:rsidRPr="001A4B8B">
              <w:rPr>
                <w:color w:val="000000"/>
                <w:spacing w:val="102"/>
                <w:shd w:val="solid" w:color="000000" w:fill="000000"/>
                <w:fitText w:val="188" w:id="-961838592"/>
                <w14:textFill>
                  <w14:solidFill>
                    <w14:srgbClr w14:val="000000">
                      <w14:alpha w14:val="100000"/>
                    </w14:srgbClr>
                  </w14:solidFill>
                </w14:textFill>
              </w:rPr>
              <w:t>|</w:t>
            </w:r>
            <w:r w:rsidRPr="001A4B8B">
              <w:rPr>
                <w:color w:val="000000"/>
                <w:spacing w:val="1"/>
                <w:shd w:val="solid" w:color="000000" w:fill="000000"/>
                <w:fitText w:val="188" w:id="-961838592"/>
                <w14:textFill>
                  <w14:solidFill>
                    <w14:srgbClr w14:val="000000">
                      <w14:alpha w14:val="100000"/>
                    </w14:srgbClr>
                  </w14:solidFill>
                </w14:textFill>
              </w:rPr>
              <w:t>|</w:t>
            </w:r>
            <w:r w:rsidR="00180210" w:rsidRPr="00180210">
              <w:rPr>
                <w:vertAlign w:val="superscript"/>
              </w:rPr>
              <w:t>9</w:t>
            </w:r>
          </w:p>
        </w:tc>
        <w:tc>
          <w:tcPr>
            <w:tcW w:w="445" w:type="pct"/>
            <w:tcBorders>
              <w:top w:val="nil"/>
              <w:bottom w:val="nil"/>
            </w:tcBorders>
            <w:noWrap/>
          </w:tcPr>
          <w:p w14:paraId="379D6D5C" w14:textId="433DC2F9" w:rsidR="0021716C" w:rsidRPr="00D20CA8" w:rsidRDefault="001A4B8B" w:rsidP="000B39FC">
            <w:pPr>
              <w:pStyle w:val="TableText"/>
              <w:jc w:val="right"/>
            </w:pPr>
            <w:r w:rsidRPr="001A4B8B">
              <w:rPr>
                <w:color w:val="000000"/>
                <w:spacing w:val="47"/>
                <w:shd w:val="solid" w:color="000000" w:fill="000000"/>
                <w:fitText w:val="313" w:id="-961838591"/>
                <w14:textFill>
                  <w14:solidFill>
                    <w14:srgbClr w14:val="000000">
                      <w14:alpha w14:val="100000"/>
                    </w14:srgbClr>
                  </w14:solidFill>
                </w14:textFill>
              </w:rPr>
              <w:t>|||</w:t>
            </w:r>
            <w:r w:rsidRPr="001A4B8B">
              <w:rPr>
                <w:color w:val="000000"/>
                <w:spacing w:val="2"/>
                <w:shd w:val="solid" w:color="000000" w:fill="000000"/>
                <w:fitText w:val="313" w:id="-961838591"/>
                <w14:textFill>
                  <w14:solidFill>
                    <w14:srgbClr w14:val="000000">
                      <w14:alpha w14:val="100000"/>
                    </w14:srgbClr>
                  </w14:solidFill>
                </w14:textFill>
              </w:rPr>
              <w:t>|</w:t>
            </w:r>
            <w:r w:rsidR="0021716C" w:rsidRPr="00D20CA8">
              <w:t>%</w:t>
            </w:r>
          </w:p>
        </w:tc>
      </w:tr>
      <w:tr w:rsidR="0021716C" w:rsidRPr="00D20CA8" w14:paraId="061D091B" w14:textId="77777777" w:rsidTr="001A4B8B">
        <w:trPr>
          <w:trHeight w:val="20"/>
        </w:trPr>
        <w:tc>
          <w:tcPr>
            <w:tcW w:w="2903" w:type="pct"/>
            <w:tcBorders>
              <w:top w:val="nil"/>
              <w:bottom w:val="nil"/>
            </w:tcBorders>
            <w:noWrap/>
          </w:tcPr>
          <w:p w14:paraId="1DBF16E3" w14:textId="698A096A" w:rsidR="0021716C" w:rsidRPr="00D20CA8" w:rsidRDefault="0021716C" w:rsidP="000B39FC">
            <w:pPr>
              <w:pStyle w:val="TableText"/>
            </w:pPr>
            <w:r w:rsidRPr="00D20CA8">
              <w:t>#1, #2, #3, #4, #5, #6, #7 AND #8</w:t>
            </w:r>
            <w:r w:rsidR="002838AE" w:rsidRPr="00D20CA8">
              <w:rPr>
                <w:vertAlign w:val="superscript"/>
              </w:rPr>
              <w:t> h</w:t>
            </w:r>
          </w:p>
        </w:tc>
        <w:tc>
          <w:tcPr>
            <w:tcW w:w="550" w:type="pct"/>
            <w:tcBorders>
              <w:top w:val="nil"/>
              <w:bottom w:val="nil"/>
            </w:tcBorders>
            <w:shd w:val="solid" w:color="000000" w:fill="000000"/>
            <w:noWrap/>
          </w:tcPr>
          <w:p w14:paraId="46DDC30E" w14:textId="5EB468B9" w:rsidR="0021716C" w:rsidRPr="00221F0B" w:rsidRDefault="001A4B8B" w:rsidP="000B39FC">
            <w:pPr>
              <w:pStyle w:val="TableText"/>
              <w:jc w:val="center"/>
              <w:rPr>
                <w:highlight w:val="lightGray"/>
              </w:rPr>
            </w:pPr>
            <w:r w:rsidRPr="001A4B8B">
              <w:rPr>
                <w:color w:val="000000"/>
                <w:spacing w:val="65"/>
                <w:fitText w:val="151" w:id="-961838590"/>
                <w14:textFill>
                  <w14:solidFill>
                    <w14:srgbClr w14:val="000000">
                      <w14:alpha w14:val="100000"/>
                    </w14:srgbClr>
                  </w14:solidFill>
                </w14:textFill>
              </w:rPr>
              <w:t>|</w:t>
            </w:r>
            <w:r w:rsidRPr="001A4B8B">
              <w:rPr>
                <w:color w:val="000000"/>
                <w:fitText w:val="151" w:id="-961838590"/>
                <w14:textFill>
                  <w14:solidFill>
                    <w14:srgbClr w14:val="000000">
                      <w14:alpha w14:val="100000"/>
                    </w14:srgbClr>
                  </w14:solidFill>
                </w14:textFill>
              </w:rPr>
              <w:t>|</w:t>
            </w:r>
          </w:p>
        </w:tc>
        <w:tc>
          <w:tcPr>
            <w:tcW w:w="551" w:type="pct"/>
            <w:tcBorders>
              <w:top w:val="nil"/>
              <w:bottom w:val="nil"/>
            </w:tcBorders>
            <w:noWrap/>
          </w:tcPr>
          <w:p w14:paraId="4490B997" w14:textId="65BBD3AB" w:rsidR="0021716C" w:rsidRPr="00D20CA8" w:rsidRDefault="0021716C" w:rsidP="000B39FC">
            <w:pPr>
              <w:pStyle w:val="TableText"/>
              <w:jc w:val="right"/>
            </w:pPr>
            <w:r w:rsidRPr="00D20CA8">
              <w:t>0.265</w:t>
            </w:r>
          </w:p>
        </w:tc>
        <w:tc>
          <w:tcPr>
            <w:tcW w:w="551" w:type="pct"/>
            <w:tcBorders>
              <w:top w:val="nil"/>
              <w:bottom w:val="nil"/>
            </w:tcBorders>
            <w:noWrap/>
          </w:tcPr>
          <w:p w14:paraId="7F2CB6F6" w14:textId="093DCB83" w:rsidR="0021716C" w:rsidRPr="00221F0B" w:rsidRDefault="001A4B8B" w:rsidP="000B39FC">
            <w:pPr>
              <w:pStyle w:val="TableText"/>
              <w:jc w:val="center"/>
              <w:rPr>
                <w:highlight w:val="lightGray"/>
              </w:rPr>
            </w:pPr>
            <w:r w:rsidRPr="001A4B8B">
              <w:rPr>
                <w:color w:val="000000"/>
                <w:spacing w:val="102"/>
                <w:shd w:val="solid" w:color="000000" w:fill="000000"/>
                <w:fitText w:val="188" w:id="-961838589"/>
                <w14:textFill>
                  <w14:solidFill>
                    <w14:srgbClr w14:val="000000">
                      <w14:alpha w14:val="100000"/>
                    </w14:srgbClr>
                  </w14:solidFill>
                </w14:textFill>
              </w:rPr>
              <w:t>|</w:t>
            </w:r>
            <w:r w:rsidRPr="001A4B8B">
              <w:rPr>
                <w:color w:val="000000"/>
                <w:spacing w:val="1"/>
                <w:shd w:val="solid" w:color="000000" w:fill="000000"/>
                <w:fitText w:val="188" w:id="-961838589"/>
                <w14:textFill>
                  <w14:solidFill>
                    <w14:srgbClr w14:val="000000">
                      <w14:alpha w14:val="100000"/>
                    </w14:srgbClr>
                  </w14:solidFill>
                </w14:textFill>
              </w:rPr>
              <w:t>|</w:t>
            </w:r>
            <w:r w:rsidR="00180210" w:rsidRPr="00180210">
              <w:rPr>
                <w:vertAlign w:val="superscript"/>
              </w:rPr>
              <w:t>8</w:t>
            </w:r>
          </w:p>
        </w:tc>
        <w:tc>
          <w:tcPr>
            <w:tcW w:w="445" w:type="pct"/>
            <w:tcBorders>
              <w:top w:val="nil"/>
              <w:bottom w:val="nil"/>
            </w:tcBorders>
            <w:noWrap/>
          </w:tcPr>
          <w:p w14:paraId="7173E4CA" w14:textId="1B7B6A87" w:rsidR="0021716C" w:rsidRPr="00D20CA8" w:rsidRDefault="001A4B8B" w:rsidP="000B39FC">
            <w:pPr>
              <w:pStyle w:val="TableText"/>
              <w:jc w:val="right"/>
            </w:pPr>
            <w:r w:rsidRPr="001A4B8B">
              <w:rPr>
                <w:color w:val="000000"/>
                <w:spacing w:val="47"/>
                <w:shd w:val="solid" w:color="000000" w:fill="000000"/>
                <w:fitText w:val="313" w:id="-961838588"/>
                <w14:textFill>
                  <w14:solidFill>
                    <w14:srgbClr w14:val="000000">
                      <w14:alpha w14:val="100000"/>
                    </w14:srgbClr>
                  </w14:solidFill>
                </w14:textFill>
              </w:rPr>
              <w:t>|||</w:t>
            </w:r>
            <w:r w:rsidRPr="001A4B8B">
              <w:rPr>
                <w:color w:val="000000"/>
                <w:spacing w:val="2"/>
                <w:shd w:val="solid" w:color="000000" w:fill="000000"/>
                <w:fitText w:val="313" w:id="-961838588"/>
                <w14:textFill>
                  <w14:solidFill>
                    <w14:srgbClr w14:val="000000">
                      <w14:alpha w14:val="100000"/>
                    </w14:srgbClr>
                  </w14:solidFill>
                </w14:textFill>
              </w:rPr>
              <w:t>|</w:t>
            </w:r>
            <w:r w:rsidR="0021716C" w:rsidRPr="00D20CA8">
              <w:t>%</w:t>
            </w:r>
          </w:p>
        </w:tc>
      </w:tr>
      <w:tr w:rsidR="0021716C" w:rsidRPr="00D20CA8" w14:paraId="3EF388D2" w14:textId="77777777" w:rsidTr="001A4B8B">
        <w:trPr>
          <w:trHeight w:val="20"/>
        </w:trPr>
        <w:tc>
          <w:tcPr>
            <w:tcW w:w="2903" w:type="pct"/>
            <w:tcBorders>
              <w:top w:val="nil"/>
            </w:tcBorders>
            <w:noWrap/>
          </w:tcPr>
          <w:p w14:paraId="22F2FDB1" w14:textId="58B9D5DB" w:rsidR="0021716C" w:rsidRPr="00D20CA8" w:rsidRDefault="0021716C" w:rsidP="000B39FC">
            <w:pPr>
              <w:pStyle w:val="TableText"/>
            </w:pPr>
            <w:r w:rsidRPr="00D20CA8">
              <w:t>#1, #2, #3, #4, #5, #6, #7 AND #9</w:t>
            </w:r>
            <w:r w:rsidR="002838AE" w:rsidRPr="00D20CA8">
              <w:rPr>
                <w:vertAlign w:val="superscript"/>
              </w:rPr>
              <w:t> h</w:t>
            </w:r>
          </w:p>
        </w:tc>
        <w:tc>
          <w:tcPr>
            <w:tcW w:w="550" w:type="pct"/>
            <w:tcBorders>
              <w:top w:val="nil"/>
            </w:tcBorders>
            <w:shd w:val="solid" w:color="000000" w:fill="000000"/>
            <w:noWrap/>
          </w:tcPr>
          <w:p w14:paraId="5EFB4192" w14:textId="13F54DEF" w:rsidR="0021716C" w:rsidRPr="00221F0B" w:rsidRDefault="001A4B8B" w:rsidP="000B39FC">
            <w:pPr>
              <w:pStyle w:val="TableText"/>
              <w:jc w:val="center"/>
              <w:rPr>
                <w:highlight w:val="lightGray"/>
              </w:rPr>
            </w:pPr>
            <w:r w:rsidRPr="001A4B8B">
              <w:rPr>
                <w:color w:val="000000"/>
                <w:spacing w:val="65"/>
                <w:fitText w:val="151" w:id="-961838587"/>
                <w14:textFill>
                  <w14:solidFill>
                    <w14:srgbClr w14:val="000000">
                      <w14:alpha w14:val="100000"/>
                    </w14:srgbClr>
                  </w14:solidFill>
                </w14:textFill>
              </w:rPr>
              <w:t>|</w:t>
            </w:r>
            <w:r w:rsidRPr="001A4B8B">
              <w:rPr>
                <w:color w:val="000000"/>
                <w:fitText w:val="151" w:id="-961838587"/>
                <w14:textFill>
                  <w14:solidFill>
                    <w14:srgbClr w14:val="000000">
                      <w14:alpha w14:val="100000"/>
                    </w14:srgbClr>
                  </w14:solidFill>
                </w14:textFill>
              </w:rPr>
              <w:t>|</w:t>
            </w:r>
          </w:p>
        </w:tc>
        <w:tc>
          <w:tcPr>
            <w:tcW w:w="551" w:type="pct"/>
            <w:tcBorders>
              <w:top w:val="nil"/>
            </w:tcBorders>
            <w:noWrap/>
          </w:tcPr>
          <w:p w14:paraId="680F68CF" w14:textId="17A4EEF1" w:rsidR="0021716C" w:rsidRPr="00D20CA8" w:rsidRDefault="0021716C" w:rsidP="000B39FC">
            <w:pPr>
              <w:pStyle w:val="TableText"/>
              <w:jc w:val="right"/>
            </w:pPr>
            <w:r w:rsidRPr="00D20CA8">
              <w:t>0.211</w:t>
            </w:r>
          </w:p>
        </w:tc>
        <w:tc>
          <w:tcPr>
            <w:tcW w:w="551" w:type="pct"/>
            <w:tcBorders>
              <w:top w:val="nil"/>
            </w:tcBorders>
            <w:noWrap/>
          </w:tcPr>
          <w:p w14:paraId="3234C72F" w14:textId="4E453129" w:rsidR="0021716C" w:rsidRPr="00221F0B" w:rsidRDefault="001A4B8B" w:rsidP="000B39FC">
            <w:pPr>
              <w:pStyle w:val="TableText"/>
              <w:jc w:val="center"/>
              <w:rPr>
                <w:highlight w:val="lightGray"/>
              </w:rPr>
            </w:pPr>
            <w:r w:rsidRPr="001A4B8B">
              <w:rPr>
                <w:color w:val="000000"/>
                <w:spacing w:val="102"/>
                <w:shd w:val="solid" w:color="000000" w:fill="000000"/>
                <w:fitText w:val="188" w:id="-961838586"/>
                <w14:textFill>
                  <w14:solidFill>
                    <w14:srgbClr w14:val="000000">
                      <w14:alpha w14:val="100000"/>
                    </w14:srgbClr>
                  </w14:solidFill>
                </w14:textFill>
              </w:rPr>
              <w:t>|</w:t>
            </w:r>
            <w:r w:rsidRPr="001A4B8B">
              <w:rPr>
                <w:color w:val="000000"/>
                <w:spacing w:val="1"/>
                <w:shd w:val="solid" w:color="000000" w:fill="000000"/>
                <w:fitText w:val="188" w:id="-961838586"/>
                <w14:textFill>
                  <w14:solidFill>
                    <w14:srgbClr w14:val="000000">
                      <w14:alpha w14:val="100000"/>
                    </w14:srgbClr>
                  </w14:solidFill>
                </w14:textFill>
              </w:rPr>
              <w:t>|</w:t>
            </w:r>
            <w:r w:rsidR="00180210" w:rsidRPr="00180210">
              <w:rPr>
                <w:vertAlign w:val="superscript"/>
              </w:rPr>
              <w:t>9</w:t>
            </w:r>
          </w:p>
        </w:tc>
        <w:tc>
          <w:tcPr>
            <w:tcW w:w="445" w:type="pct"/>
            <w:tcBorders>
              <w:top w:val="nil"/>
            </w:tcBorders>
            <w:noWrap/>
          </w:tcPr>
          <w:p w14:paraId="2DCA24D3" w14:textId="431F1061" w:rsidR="0021716C" w:rsidRPr="00D20CA8" w:rsidRDefault="001A4B8B" w:rsidP="000B39FC">
            <w:pPr>
              <w:pStyle w:val="TableText"/>
              <w:jc w:val="right"/>
            </w:pPr>
            <w:r w:rsidRPr="001A4B8B">
              <w:rPr>
                <w:color w:val="000000"/>
                <w:spacing w:val="47"/>
                <w:shd w:val="solid" w:color="000000" w:fill="000000"/>
                <w:fitText w:val="313" w:id="-961838585"/>
                <w14:textFill>
                  <w14:solidFill>
                    <w14:srgbClr w14:val="000000">
                      <w14:alpha w14:val="100000"/>
                    </w14:srgbClr>
                  </w14:solidFill>
                </w14:textFill>
              </w:rPr>
              <w:t>|||</w:t>
            </w:r>
            <w:r w:rsidRPr="001A4B8B">
              <w:rPr>
                <w:color w:val="000000"/>
                <w:spacing w:val="2"/>
                <w:shd w:val="solid" w:color="000000" w:fill="000000"/>
                <w:fitText w:val="313" w:id="-961838585"/>
                <w14:textFill>
                  <w14:solidFill>
                    <w14:srgbClr w14:val="000000">
                      <w14:alpha w14:val="100000"/>
                    </w14:srgbClr>
                  </w14:solidFill>
                </w14:textFill>
              </w:rPr>
              <w:t>|</w:t>
            </w:r>
            <w:r w:rsidR="0021716C" w:rsidRPr="00D20CA8">
              <w:t>%</w:t>
            </w:r>
          </w:p>
        </w:tc>
      </w:tr>
    </w:tbl>
    <w:p w14:paraId="1FD4B5C9" w14:textId="77777777" w:rsidR="00A677E9" w:rsidRPr="00196231" w:rsidRDefault="00A677E9" w:rsidP="000B39FC">
      <w:pPr>
        <w:pStyle w:val="TableFigureFooter"/>
        <w:rPr>
          <w:rStyle w:val="CommentReference"/>
          <w:b w:val="0"/>
          <w:bCs/>
        </w:rPr>
      </w:pPr>
      <w:r w:rsidRPr="00196231">
        <w:t>Source: Table 3.9−2, p175 of the submission and the attached ‘Attachment 10 - Hepcludex HDV Section 3A Cost-Eff Model_vfinal.xlsm’ file</w:t>
      </w:r>
      <w:r w:rsidRPr="00196231">
        <w:rPr>
          <w:b/>
          <w:bCs/>
        </w:rPr>
        <w:t>.</w:t>
      </w:r>
    </w:p>
    <w:p w14:paraId="68F01020" w14:textId="52C3C2EF" w:rsidR="00A677E9" w:rsidRPr="00196231" w:rsidRDefault="00A677E9" w:rsidP="000B39FC">
      <w:pPr>
        <w:pStyle w:val="TableFigureFooter"/>
      </w:pPr>
      <w:r w:rsidRPr="00196231">
        <w:t>CC = compensated cirrhosis; DCC = decompensated cirrhosis; HBsAg = hepatitis B surface antigen; HBV = hepatitis B virus; HCC = hepatocellular carcinoma; HDV = hepatitis D virus; HR = hazard ratio; ICER = incremental cost effectiveness ratio; LT = liver transplantation; PLT = post-liver transplantation; QALY = quality adjusted life year; RNA = ribonucleic acid.</w:t>
      </w:r>
    </w:p>
    <w:p w14:paraId="5CA77A7C" w14:textId="77777777" w:rsidR="00A677E9" w:rsidRPr="00196231" w:rsidRDefault="00A677E9" w:rsidP="000B39FC">
      <w:pPr>
        <w:pStyle w:val="TableFooter"/>
      </w:pPr>
      <w:r w:rsidRPr="00196231">
        <w:rPr>
          <w:vertAlign w:val="superscript"/>
        </w:rPr>
        <w:t>a</w:t>
      </w:r>
      <w:r w:rsidRPr="00196231">
        <w:t xml:space="preserve"> Annual transition probability reported. This was converted in the model to reflect a probability per 24-week cycle.</w:t>
      </w:r>
    </w:p>
    <w:p w14:paraId="2012BF3D" w14:textId="77777777" w:rsidR="00A677E9" w:rsidRPr="00196231" w:rsidRDefault="00A677E9" w:rsidP="000B39FC">
      <w:pPr>
        <w:pStyle w:val="TableFooter"/>
      </w:pPr>
      <w:r w:rsidRPr="00196231">
        <w:rPr>
          <w:vertAlign w:val="superscript"/>
        </w:rPr>
        <w:t>b</w:t>
      </w:r>
      <w:r w:rsidRPr="00196231">
        <w:t xml:space="preserve"> Permanent discontinuers in MYR203 at Week 48</w:t>
      </w:r>
    </w:p>
    <w:p w14:paraId="0A3F58FC" w14:textId="77777777" w:rsidR="00A677E9" w:rsidRPr="00196231" w:rsidRDefault="00A677E9" w:rsidP="000B39FC">
      <w:pPr>
        <w:pStyle w:val="TableFooter"/>
      </w:pPr>
      <w:r w:rsidRPr="00196231">
        <w:rPr>
          <w:vertAlign w:val="superscript"/>
        </w:rPr>
        <w:t>c</w:t>
      </w:r>
      <w:r w:rsidRPr="00196231">
        <w:t xml:space="preserve"> F0−2: 0.77, F3: 0.66, CC: 0.55</w:t>
      </w:r>
    </w:p>
    <w:p w14:paraId="3B457C83" w14:textId="77777777" w:rsidR="00A677E9" w:rsidRPr="00196231" w:rsidRDefault="00A677E9" w:rsidP="000B39FC">
      <w:pPr>
        <w:pStyle w:val="TableFooter"/>
      </w:pPr>
      <w:r w:rsidRPr="00196231">
        <w:rPr>
          <w:vertAlign w:val="superscript"/>
        </w:rPr>
        <w:t>d</w:t>
      </w:r>
      <w:r w:rsidRPr="00196231">
        <w:t xml:space="preserve"> F0−2: 0.77, F3: 0.66, CC: 0.55, DCC: 0.45, HCC: 0.45, LT: 0.45 and PLT: 0.67</w:t>
      </w:r>
    </w:p>
    <w:p w14:paraId="55AB9C96" w14:textId="0599C3EF" w:rsidR="005664A8" w:rsidRDefault="0021716C" w:rsidP="000B39FC">
      <w:pPr>
        <w:pStyle w:val="TableFooter"/>
      </w:pPr>
      <w:r w:rsidRPr="009A5A43">
        <w:rPr>
          <w:vertAlign w:val="superscript"/>
        </w:rPr>
        <w:t>e</w:t>
      </w:r>
      <w:r>
        <w:t xml:space="preserve"> </w:t>
      </w:r>
      <w:r w:rsidR="005664A8">
        <w:t>Assuming no effect on response rates</w:t>
      </w:r>
    </w:p>
    <w:p w14:paraId="5D7115B3" w14:textId="33A2FEFC" w:rsidR="0021716C" w:rsidRPr="00196231" w:rsidRDefault="005664A8" w:rsidP="000B39FC">
      <w:pPr>
        <w:pStyle w:val="TableFooter"/>
      </w:pPr>
      <w:r w:rsidRPr="005664A8">
        <w:rPr>
          <w:vertAlign w:val="superscript"/>
        </w:rPr>
        <w:t>f</w:t>
      </w:r>
      <w:r>
        <w:t xml:space="preserve"> </w:t>
      </w:r>
      <w:r w:rsidR="0021716C">
        <w:t>A</w:t>
      </w:r>
      <w:r w:rsidR="0021716C" w:rsidRPr="009A5A43">
        <w:t>ssuming no subsequent retreatment or changes in disease progression in responders</w:t>
      </w:r>
    </w:p>
    <w:p w14:paraId="69522765" w14:textId="77777777" w:rsidR="00C77D38" w:rsidRPr="00D20CA8" w:rsidRDefault="00C77D38" w:rsidP="000B39FC">
      <w:pPr>
        <w:pStyle w:val="TableFooter"/>
      </w:pPr>
      <w:r w:rsidRPr="00D20CA8">
        <w:rPr>
          <w:vertAlign w:val="superscript"/>
        </w:rPr>
        <w:t>g</w:t>
      </w:r>
      <w:r w:rsidRPr="00D20CA8">
        <w:t xml:space="preserve"> Multivariate analysis reflects cumulative changes for consistency with previous PBAC decision making (time horizon, source for health state utilities and exclusion of utility increment in responders), internal consistency (definition of response and treatment compliance) and </w:t>
      </w:r>
      <w:r w:rsidRPr="00D20CA8">
        <w:lastRenderedPageBreak/>
        <w:t>where the inclusion of studies was inadequately justified in the submission (source for transition probabilities and studies included in the meta-analyses demonstrating the effect of response on liver-related outcomes).</w:t>
      </w:r>
    </w:p>
    <w:p w14:paraId="52A6EDC9" w14:textId="77777777" w:rsidR="002838AE" w:rsidRDefault="002838AE" w:rsidP="000B39FC">
      <w:pPr>
        <w:pStyle w:val="TableFooter"/>
      </w:pPr>
      <w:r w:rsidRPr="00D20CA8">
        <w:rPr>
          <w:vertAlign w:val="superscript"/>
        </w:rPr>
        <w:t>h</w:t>
      </w:r>
      <w:r w:rsidRPr="00D20CA8">
        <w:t xml:space="preserve"> Additional sensitivity analysis around the MV #1–#7 ICER</w:t>
      </w:r>
    </w:p>
    <w:p w14:paraId="3DC5E971" w14:textId="77777777" w:rsidR="00221F0B" w:rsidRPr="0064083C" w:rsidRDefault="00221F0B" w:rsidP="000B39FC">
      <w:pPr>
        <w:pStyle w:val="TableFooter"/>
        <w:rPr>
          <w:i/>
          <w:iCs/>
        </w:rPr>
      </w:pPr>
      <w:bookmarkStart w:id="69" w:name="_Hlk165358282"/>
      <w:r w:rsidRPr="0064083C">
        <w:rPr>
          <w:i/>
          <w:iCs/>
        </w:rPr>
        <w:t>The redacted values correspond to the following ranges:</w:t>
      </w:r>
    </w:p>
    <w:p w14:paraId="054DD187" w14:textId="473E548D" w:rsidR="00556738" w:rsidRPr="0064083C" w:rsidRDefault="00556738" w:rsidP="000B39FC">
      <w:pPr>
        <w:pStyle w:val="TableFooter"/>
        <w:rPr>
          <w:i/>
          <w:iCs/>
        </w:rPr>
      </w:pPr>
      <w:r w:rsidRPr="0064083C">
        <w:rPr>
          <w:i/>
          <w:iCs/>
          <w:vertAlign w:val="superscript"/>
        </w:rPr>
        <w:t>1</w:t>
      </w:r>
      <w:r w:rsidRPr="0064083C">
        <w:rPr>
          <w:i/>
          <w:iCs/>
        </w:rPr>
        <w:t xml:space="preserve"> $95,000 to &lt; $115,000</w:t>
      </w:r>
    </w:p>
    <w:p w14:paraId="7380095F" w14:textId="399BEF57" w:rsidR="00556738" w:rsidRPr="0064083C" w:rsidRDefault="00556738" w:rsidP="000B39FC">
      <w:pPr>
        <w:pStyle w:val="TableFooter"/>
        <w:rPr>
          <w:i/>
          <w:iCs/>
        </w:rPr>
      </w:pPr>
      <w:r w:rsidRPr="0064083C">
        <w:rPr>
          <w:i/>
          <w:iCs/>
          <w:vertAlign w:val="superscript"/>
        </w:rPr>
        <w:t>2</w:t>
      </w:r>
      <w:r w:rsidRPr="0064083C">
        <w:rPr>
          <w:i/>
          <w:iCs/>
        </w:rPr>
        <w:t xml:space="preserve"> $115,000 to &lt; $135,000</w:t>
      </w:r>
    </w:p>
    <w:p w14:paraId="6003CFE1" w14:textId="6AC2AD21" w:rsidR="00556738" w:rsidRPr="0064083C" w:rsidRDefault="00556738" w:rsidP="000B39FC">
      <w:pPr>
        <w:pStyle w:val="TableFooter"/>
        <w:rPr>
          <w:i/>
          <w:iCs/>
        </w:rPr>
      </w:pPr>
      <w:r w:rsidRPr="0064083C">
        <w:rPr>
          <w:i/>
          <w:iCs/>
          <w:vertAlign w:val="superscript"/>
        </w:rPr>
        <w:t>3</w:t>
      </w:r>
      <w:r w:rsidRPr="0064083C">
        <w:rPr>
          <w:i/>
          <w:iCs/>
        </w:rPr>
        <w:t xml:space="preserve"> $135,000 to &lt; $155,000</w:t>
      </w:r>
    </w:p>
    <w:p w14:paraId="5E67FB8A" w14:textId="01B63EAC" w:rsidR="006F5F9D" w:rsidRPr="0064083C" w:rsidRDefault="006F5F9D" w:rsidP="000B39FC">
      <w:pPr>
        <w:pStyle w:val="TableFooter"/>
        <w:rPr>
          <w:i/>
          <w:iCs/>
        </w:rPr>
      </w:pPr>
      <w:r w:rsidRPr="0064083C">
        <w:rPr>
          <w:i/>
          <w:iCs/>
          <w:vertAlign w:val="superscript"/>
        </w:rPr>
        <w:t xml:space="preserve">4 </w:t>
      </w:r>
      <w:r w:rsidRPr="0064083C">
        <w:rPr>
          <w:i/>
          <w:iCs/>
        </w:rPr>
        <w:t>$155,000 to &lt; $255,000</w:t>
      </w:r>
    </w:p>
    <w:p w14:paraId="4E9804F4" w14:textId="01315B78" w:rsidR="006F5F9D" w:rsidRPr="0064083C" w:rsidRDefault="006F5F9D" w:rsidP="000B39FC">
      <w:pPr>
        <w:pStyle w:val="TableFooter"/>
        <w:rPr>
          <w:i/>
          <w:iCs/>
        </w:rPr>
      </w:pPr>
      <w:r w:rsidRPr="0064083C">
        <w:rPr>
          <w:i/>
          <w:iCs/>
          <w:vertAlign w:val="superscript"/>
        </w:rPr>
        <w:t>5</w:t>
      </w:r>
      <w:r w:rsidRPr="0064083C">
        <w:rPr>
          <w:i/>
          <w:iCs/>
        </w:rPr>
        <w:t xml:space="preserve"> $55,000 to &lt; $75,000</w:t>
      </w:r>
    </w:p>
    <w:p w14:paraId="22E14350" w14:textId="57670FB0" w:rsidR="006F5F9D" w:rsidRPr="0064083C" w:rsidRDefault="006F5F9D" w:rsidP="000B39FC">
      <w:pPr>
        <w:pStyle w:val="TableFooter"/>
        <w:rPr>
          <w:i/>
          <w:iCs/>
        </w:rPr>
      </w:pPr>
      <w:r w:rsidRPr="0064083C">
        <w:rPr>
          <w:i/>
          <w:iCs/>
          <w:vertAlign w:val="superscript"/>
        </w:rPr>
        <w:t>6</w:t>
      </w:r>
      <w:r w:rsidRPr="0064083C">
        <w:rPr>
          <w:i/>
          <w:iCs/>
        </w:rPr>
        <w:t xml:space="preserve"> $75,000 to &lt; $95,000</w:t>
      </w:r>
    </w:p>
    <w:p w14:paraId="404579FF" w14:textId="6323DBB1" w:rsidR="00180210" w:rsidRPr="0064083C" w:rsidRDefault="00180210" w:rsidP="000B39FC">
      <w:pPr>
        <w:pStyle w:val="TableFooter"/>
        <w:rPr>
          <w:i/>
          <w:iCs/>
        </w:rPr>
      </w:pPr>
      <w:r w:rsidRPr="0064083C">
        <w:rPr>
          <w:i/>
          <w:iCs/>
          <w:vertAlign w:val="superscript"/>
        </w:rPr>
        <w:t>7</w:t>
      </w:r>
      <w:r w:rsidRPr="0064083C">
        <w:rPr>
          <w:i/>
          <w:iCs/>
        </w:rPr>
        <w:t xml:space="preserve"> $255,000 to &lt; $355,000</w:t>
      </w:r>
    </w:p>
    <w:bookmarkEnd w:id="69"/>
    <w:p w14:paraId="5DAE8BA4" w14:textId="1DC18CA7" w:rsidR="00180210" w:rsidRPr="0064083C" w:rsidRDefault="00180210" w:rsidP="000B39FC">
      <w:pPr>
        <w:pStyle w:val="TableFooter"/>
        <w:rPr>
          <w:i/>
          <w:iCs/>
        </w:rPr>
      </w:pPr>
      <w:r w:rsidRPr="0064083C">
        <w:rPr>
          <w:i/>
          <w:iCs/>
          <w:vertAlign w:val="superscript"/>
        </w:rPr>
        <w:t>8</w:t>
      </w:r>
      <w:r w:rsidRPr="0064083C">
        <w:rPr>
          <w:i/>
          <w:iCs/>
        </w:rPr>
        <w:t xml:space="preserve"> $355,000 to &lt; $455,000</w:t>
      </w:r>
    </w:p>
    <w:p w14:paraId="73C67392" w14:textId="753D7C58" w:rsidR="00A677E9" w:rsidRPr="00196231" w:rsidRDefault="003763B6" w:rsidP="0064083C">
      <w:pPr>
        <w:pStyle w:val="TableFooter"/>
        <w:spacing w:after="120"/>
      </w:pPr>
      <w:r w:rsidRPr="0064083C">
        <w:rPr>
          <w:i/>
          <w:iCs/>
          <w:vertAlign w:val="superscript"/>
        </w:rPr>
        <w:t>9</w:t>
      </w:r>
      <w:r w:rsidRPr="0064083C">
        <w:rPr>
          <w:i/>
          <w:iCs/>
        </w:rPr>
        <w:t xml:space="preserve"> </w:t>
      </w:r>
      <w:r w:rsidR="008A28A2" w:rsidRPr="0064083C">
        <w:rPr>
          <w:i/>
          <w:iCs/>
        </w:rPr>
        <w:t>$455,000 to &lt; $555,00</w:t>
      </w:r>
      <w:r w:rsidRPr="0064083C">
        <w:rPr>
          <w:i/>
          <w:iCs/>
        </w:rPr>
        <w:t>0</w:t>
      </w:r>
    </w:p>
    <w:p w14:paraId="1F4C9AE8" w14:textId="66798B33" w:rsidR="00A677E9" w:rsidRPr="00BF711C" w:rsidRDefault="003D6C84" w:rsidP="00AB14EE">
      <w:pPr>
        <w:pStyle w:val="3-BodyText"/>
      </w:pPr>
      <w:bookmarkStart w:id="70" w:name="_Toc152355261"/>
      <w:r w:rsidRPr="00BF711C">
        <w:t>M</w:t>
      </w:r>
      <w:r w:rsidR="00A677E9" w:rsidRPr="00BF711C">
        <w:t>ultivariate analyses</w:t>
      </w:r>
      <w:r w:rsidRPr="00BF711C">
        <w:t xml:space="preserve"> </w:t>
      </w:r>
      <w:r w:rsidR="00A25EAC" w:rsidRPr="00BF711C">
        <w:t>were</w:t>
      </w:r>
      <w:r w:rsidR="00A677E9" w:rsidRPr="00BF711C">
        <w:t xml:space="preserve"> conducted during the evaluation in a stepped manner to reflect changes in the model for consistency with previous PBAC decision making (time horizon, source for health state utilities and exclusion of utility increment in responders), internal consistency (definition of response and treatment compliance) and where the inclusion of studies was inadequately justified in the submission (source for transition probabilities and studies included in the meta-analyses demonstrating the effect of response on liver-related outcomes). The ICER was highly sensitive to cumulative changes in the model.</w:t>
      </w:r>
    </w:p>
    <w:p w14:paraId="58DF7B4A" w14:textId="5FDDFE6A" w:rsidR="00A677E9" w:rsidRPr="00BF711C" w:rsidRDefault="00A677E9" w:rsidP="00AB14EE">
      <w:pPr>
        <w:pStyle w:val="3-BodyText"/>
      </w:pPr>
      <w:r w:rsidRPr="00BF711C">
        <w:t>After accounting for these, the remaining areas of uncertainty include the approach to modelling the non-cirrhotic health state – in terms of distribution and progression between fibrosis stage – and the probability of HBsAg seroclearance. Assuming all non-cirrhotic patients enter the model in the F3 health state (which may be more consistent with the source applied for the transition probability) led to a substantial reduction in the ICER. A small increase in the ICER was observed when instead the probability of HBsAg seroclearance was reduced to 0.25%, as per Romeo et al. (2009)</w:t>
      </w:r>
      <w:r w:rsidRPr="00BF711C">
        <w:rPr>
          <w:vertAlign w:val="superscript"/>
        </w:rPr>
        <w:fldChar w:fldCharType="begin" w:fldLock="1"/>
      </w:r>
      <w:r w:rsidRPr="00BF711C">
        <w:rPr>
          <w:vertAlign w:val="superscript"/>
        </w:rPr>
        <w:instrText xml:space="preserve"> NOTEREF _Ref153208100 \h  \* MERGEFORMAT </w:instrText>
      </w:r>
      <w:r w:rsidRPr="00BF711C">
        <w:rPr>
          <w:vertAlign w:val="superscript"/>
        </w:rPr>
      </w:r>
      <w:r w:rsidRPr="00BF711C">
        <w:rPr>
          <w:vertAlign w:val="superscript"/>
        </w:rPr>
        <w:fldChar w:fldCharType="separate"/>
      </w:r>
      <w:r w:rsidR="00B02BFE" w:rsidRPr="00BF711C">
        <w:rPr>
          <w:vertAlign w:val="superscript"/>
        </w:rPr>
        <w:t>31</w:t>
      </w:r>
      <w:r w:rsidRPr="00BF711C">
        <w:rPr>
          <w:vertAlign w:val="superscript"/>
        </w:rPr>
        <w:fldChar w:fldCharType="end"/>
      </w:r>
      <w:r w:rsidRPr="00BF711C">
        <w:t>.</w:t>
      </w:r>
      <w:r w:rsidR="007E1461" w:rsidRPr="00BF711C">
        <w:t xml:space="preserve"> </w:t>
      </w:r>
    </w:p>
    <w:p w14:paraId="47782E9E" w14:textId="275D6809" w:rsidR="007E1461" w:rsidRPr="00BF711C" w:rsidRDefault="007E1461" w:rsidP="00AB14EE">
      <w:pPr>
        <w:pStyle w:val="3-BodyText"/>
      </w:pPr>
      <w:bookmarkStart w:id="71" w:name="_Ref163047351"/>
      <w:r w:rsidRPr="00BF711C">
        <w:t>The ESC</w:t>
      </w:r>
      <w:r w:rsidR="00333D60" w:rsidRPr="00BF711C">
        <w:t>s</w:t>
      </w:r>
      <w:r w:rsidRPr="00BF711C">
        <w:t xml:space="preserve"> considered the sensitivity analyses highlighted the sensitivity of the ICER to a number of key sources of uncertainty in the economic model, including the time horizon, source of transition probabilities, </w:t>
      </w:r>
      <w:r w:rsidR="00333D60" w:rsidRPr="00BF711C">
        <w:t xml:space="preserve">definition of response (and strength of the surrogate to final claim), and utility gains in responders and considered the multivariate analyses that explored these (#1-#6 and #1-#7) demonstrated the impact of more conservative inputs on the model results. </w:t>
      </w:r>
      <w:r w:rsidR="0035584A" w:rsidRPr="00BF711C">
        <w:t>T</w:t>
      </w:r>
      <w:r w:rsidR="00356B14" w:rsidRPr="00BF711C">
        <w:t xml:space="preserve">he ESCs acknowledged it would likely be a long time before the patient-relevant impacts of bulevirtide treatment are well-characterised, and </w:t>
      </w:r>
      <w:r w:rsidR="005F7FD8">
        <w:t>advised the most appropriate way to address</w:t>
      </w:r>
      <w:r w:rsidR="00356B14" w:rsidRPr="00BF711C">
        <w:t xml:space="preserve"> uncertainties now </w:t>
      </w:r>
      <w:r w:rsidR="005F7FD8">
        <w:t>was to adopt a</w:t>
      </w:r>
      <w:r w:rsidR="00356B14" w:rsidRPr="00BF711C">
        <w:t xml:space="preserve"> conservative approach to the effectiveness assumptions for the economic evaluation. </w:t>
      </w:r>
      <w:r w:rsidR="00EE5B03" w:rsidRPr="00BF711C">
        <w:t>Given that</w:t>
      </w:r>
      <w:r w:rsidR="00333D60" w:rsidRPr="00BF711C">
        <w:t xml:space="preserve"> there was inadequate evidence to support the surrogate to final outcomes modelled in the economic evaluation, the natural history data used </w:t>
      </w:r>
      <w:r w:rsidR="00EE5B03" w:rsidRPr="00BF711C">
        <w:t>were</w:t>
      </w:r>
      <w:r w:rsidR="00333D60" w:rsidRPr="00BF711C">
        <w:t xml:space="preserve"> highly uncertain (Table 11),</w:t>
      </w:r>
      <w:r w:rsidR="006D1140" w:rsidRPr="00BF711C">
        <w:t xml:space="preserve"> a highly implausible life year gain </w:t>
      </w:r>
      <w:r w:rsidR="00EE5B03" w:rsidRPr="00BF711C">
        <w:t xml:space="preserve">was modelled </w:t>
      </w:r>
      <w:r w:rsidR="006D1140" w:rsidRPr="00BF711C">
        <w:t xml:space="preserve">(paragraph </w:t>
      </w:r>
      <w:r w:rsidR="006D1140" w:rsidRPr="00BF711C">
        <w:fldChar w:fldCharType="begin" w:fldLock="1"/>
      </w:r>
      <w:r w:rsidR="006D1140" w:rsidRPr="00BF711C">
        <w:instrText xml:space="preserve"> REF _Ref158807894 \r \h </w:instrText>
      </w:r>
      <w:r w:rsidR="00BF711C" w:rsidRPr="00BF711C">
        <w:instrText xml:space="preserve"> \* MERGEFORMAT </w:instrText>
      </w:r>
      <w:r w:rsidR="006D1140" w:rsidRPr="00BF711C">
        <w:fldChar w:fldCharType="separate"/>
      </w:r>
      <w:r w:rsidR="007C3FED" w:rsidRPr="00BF711C">
        <w:t>6.65</w:t>
      </w:r>
      <w:r w:rsidR="006D1140" w:rsidRPr="00BF711C">
        <w:fldChar w:fldCharType="end"/>
      </w:r>
      <w:r w:rsidR="006D1140" w:rsidRPr="00BF711C">
        <w:t>)</w:t>
      </w:r>
      <w:r w:rsidR="00333D60" w:rsidRPr="00BF711C">
        <w:t xml:space="preserve"> and </w:t>
      </w:r>
      <w:r w:rsidR="00EE5B03" w:rsidRPr="00BF711C">
        <w:t xml:space="preserve">there were significant </w:t>
      </w:r>
      <w:r w:rsidR="00333D60" w:rsidRPr="00BF711C">
        <w:t>uncertainties with the likely use of bulevirtide in practice, the ESCs were of the view the issues with the model were complex and would likely require re-evaluation.</w:t>
      </w:r>
      <w:bookmarkEnd w:id="71"/>
      <w:r w:rsidR="00333D60" w:rsidRPr="00BF711C">
        <w:t xml:space="preserve"> </w:t>
      </w:r>
    </w:p>
    <w:p w14:paraId="1089AAE4" w14:textId="77777777" w:rsidR="00A677E9" w:rsidRPr="00BF711C" w:rsidRDefault="00A677E9" w:rsidP="00AB14EE">
      <w:pPr>
        <w:pStyle w:val="4-SubsectionHeading"/>
      </w:pPr>
      <w:bookmarkStart w:id="72" w:name="_Toc156984639"/>
      <w:r w:rsidRPr="00BF711C">
        <w:lastRenderedPageBreak/>
        <w:t>Drug cost/patient/course</w:t>
      </w:r>
      <w:bookmarkEnd w:id="70"/>
      <w:bookmarkEnd w:id="72"/>
    </w:p>
    <w:p w14:paraId="0C6D9A9D" w14:textId="5FEDCED9" w:rsidR="00A677E9" w:rsidRPr="00196231" w:rsidRDefault="00A677E9" w:rsidP="00A677E9">
      <w:pPr>
        <w:pStyle w:val="TableFigureHeading"/>
        <w:rPr>
          <w:rStyle w:val="CommentReference"/>
          <w:b/>
        </w:rPr>
      </w:pPr>
      <w:r w:rsidRPr="00196231">
        <w:t xml:space="preserve">Table </w:t>
      </w:r>
      <w:r>
        <w:fldChar w:fldCharType="begin" w:fldLock="1"/>
      </w:r>
      <w:r>
        <w:instrText>SEQ Table_PBAC. \* ARABIC</w:instrText>
      </w:r>
      <w:r>
        <w:fldChar w:fldCharType="separate"/>
      </w:r>
      <w:r w:rsidR="00B02BFE">
        <w:rPr>
          <w:noProof/>
        </w:rPr>
        <w:t>15</w:t>
      </w:r>
      <w:r>
        <w:fldChar w:fldCharType="end"/>
      </w:r>
      <w:r w:rsidR="00343C2D">
        <w:t>:</w:t>
      </w:r>
      <w:r w:rsidRPr="00196231">
        <w:rPr>
          <w:noProof/>
        </w:rPr>
        <w:tab/>
        <w:t xml:space="preserve"> </w:t>
      </w:r>
      <w:r w:rsidRPr="00196231">
        <w:rPr>
          <w:rStyle w:val="CommentReference"/>
          <w:b/>
        </w:rPr>
        <w:t>Drug cost per patient for bulevirtide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Drug cost per patient for bulevirtide"/>
      </w:tblPr>
      <w:tblGrid>
        <w:gridCol w:w="1696"/>
        <w:gridCol w:w="2440"/>
        <w:gridCol w:w="2440"/>
        <w:gridCol w:w="2440"/>
      </w:tblGrid>
      <w:tr w:rsidR="00A677E9" w:rsidRPr="00196231" w14:paraId="253AC854" w14:textId="77777777">
        <w:trPr>
          <w:cantSplit/>
          <w:tblHeader/>
          <w:jc w:val="center"/>
        </w:trPr>
        <w:tc>
          <w:tcPr>
            <w:tcW w:w="941" w:type="pct"/>
            <w:shd w:val="clear" w:color="auto" w:fill="auto"/>
            <w:vAlign w:val="center"/>
          </w:tcPr>
          <w:p w14:paraId="63D12BD6" w14:textId="77777777" w:rsidR="00A677E9" w:rsidRPr="00196231" w:rsidRDefault="00A677E9">
            <w:pPr>
              <w:pStyle w:val="In-tableHeading"/>
              <w:jc w:val="center"/>
              <w:rPr>
                <w:lang w:val="en-AU"/>
              </w:rPr>
            </w:pPr>
          </w:p>
        </w:tc>
        <w:tc>
          <w:tcPr>
            <w:tcW w:w="1353" w:type="pct"/>
            <w:shd w:val="clear" w:color="auto" w:fill="auto"/>
            <w:vAlign w:val="center"/>
          </w:tcPr>
          <w:p w14:paraId="6A8B906C" w14:textId="77777777" w:rsidR="00A677E9" w:rsidRPr="00196231" w:rsidRDefault="00A677E9">
            <w:pPr>
              <w:pStyle w:val="In-tableHeading"/>
              <w:jc w:val="center"/>
              <w:rPr>
                <w:lang w:val="en-AU"/>
              </w:rPr>
            </w:pPr>
            <w:r w:rsidRPr="00196231">
              <w:rPr>
                <w:lang w:val="en-AU"/>
              </w:rPr>
              <w:t>Trial dose and duration</w:t>
            </w:r>
          </w:p>
        </w:tc>
        <w:tc>
          <w:tcPr>
            <w:tcW w:w="1353" w:type="pct"/>
            <w:shd w:val="clear" w:color="auto" w:fill="auto"/>
            <w:vAlign w:val="center"/>
          </w:tcPr>
          <w:p w14:paraId="07307DB8" w14:textId="77777777" w:rsidR="00A677E9" w:rsidRPr="00196231" w:rsidRDefault="00A677E9">
            <w:pPr>
              <w:pStyle w:val="In-tableHeading"/>
              <w:jc w:val="center"/>
              <w:rPr>
                <w:lang w:val="en-AU"/>
              </w:rPr>
            </w:pPr>
            <w:r w:rsidRPr="00196231">
              <w:rPr>
                <w:lang w:val="en-AU"/>
              </w:rPr>
              <w:t>Model</w:t>
            </w:r>
          </w:p>
        </w:tc>
        <w:tc>
          <w:tcPr>
            <w:tcW w:w="1353" w:type="pct"/>
            <w:shd w:val="clear" w:color="auto" w:fill="auto"/>
            <w:vAlign w:val="center"/>
          </w:tcPr>
          <w:p w14:paraId="6A53A055" w14:textId="77777777" w:rsidR="00A677E9" w:rsidRPr="00196231" w:rsidRDefault="00A677E9">
            <w:pPr>
              <w:pStyle w:val="In-tableHeading"/>
              <w:jc w:val="center"/>
              <w:rPr>
                <w:lang w:val="en-AU"/>
              </w:rPr>
            </w:pPr>
            <w:r w:rsidRPr="00196231">
              <w:rPr>
                <w:lang w:val="en-AU"/>
              </w:rPr>
              <w:t>Financial estimates</w:t>
            </w:r>
          </w:p>
        </w:tc>
      </w:tr>
      <w:tr w:rsidR="00A677E9" w:rsidRPr="00196231" w14:paraId="51D5A85C" w14:textId="77777777">
        <w:trPr>
          <w:cantSplit/>
          <w:jc w:val="center"/>
        </w:trPr>
        <w:tc>
          <w:tcPr>
            <w:tcW w:w="941" w:type="pct"/>
            <w:shd w:val="clear" w:color="auto" w:fill="auto"/>
            <w:vAlign w:val="center"/>
          </w:tcPr>
          <w:p w14:paraId="5B24041F" w14:textId="77777777" w:rsidR="00A677E9" w:rsidRPr="00196231" w:rsidRDefault="00A677E9">
            <w:pPr>
              <w:pStyle w:val="TableText"/>
            </w:pPr>
            <w:r w:rsidRPr="00196231">
              <w:t>Mean dose</w:t>
            </w:r>
          </w:p>
        </w:tc>
        <w:tc>
          <w:tcPr>
            <w:tcW w:w="1353" w:type="pct"/>
            <w:shd w:val="clear" w:color="auto" w:fill="auto"/>
            <w:vAlign w:val="center"/>
          </w:tcPr>
          <w:p w14:paraId="0FBF0FA7" w14:textId="77777777" w:rsidR="00A677E9" w:rsidRPr="00196231" w:rsidRDefault="00A677E9">
            <w:pPr>
              <w:pStyle w:val="TableText"/>
              <w:jc w:val="center"/>
              <w:rPr>
                <w:bCs/>
              </w:rPr>
            </w:pPr>
            <w:r w:rsidRPr="00196231">
              <w:rPr>
                <w:bCs/>
              </w:rPr>
              <w:t>2 mg per day</w:t>
            </w:r>
            <w:r w:rsidRPr="00196231">
              <w:rPr>
                <w:bCs/>
              </w:rPr>
              <w:br/>
              <w:t>average compliance 98.1%</w:t>
            </w:r>
          </w:p>
        </w:tc>
        <w:tc>
          <w:tcPr>
            <w:tcW w:w="1353" w:type="pct"/>
            <w:shd w:val="clear" w:color="auto" w:fill="auto"/>
            <w:vAlign w:val="center"/>
          </w:tcPr>
          <w:p w14:paraId="2FC82CD8" w14:textId="77777777" w:rsidR="00A677E9" w:rsidRPr="00196231" w:rsidRDefault="00A677E9">
            <w:pPr>
              <w:pStyle w:val="TableText"/>
              <w:jc w:val="center"/>
              <w:rPr>
                <w:bCs/>
              </w:rPr>
            </w:pPr>
            <w:r w:rsidRPr="00196231">
              <w:rPr>
                <w:bCs/>
              </w:rPr>
              <w:t>2 mg per day</w:t>
            </w:r>
            <w:r w:rsidRPr="00196231">
              <w:rPr>
                <w:bCs/>
              </w:rPr>
              <w:br/>
              <w:t>average compliance 90.0%</w:t>
            </w:r>
          </w:p>
        </w:tc>
        <w:tc>
          <w:tcPr>
            <w:tcW w:w="1353" w:type="pct"/>
            <w:shd w:val="clear" w:color="auto" w:fill="auto"/>
            <w:vAlign w:val="center"/>
          </w:tcPr>
          <w:p w14:paraId="2D6D36A2" w14:textId="77777777" w:rsidR="00A677E9" w:rsidRPr="00196231" w:rsidRDefault="00A677E9">
            <w:pPr>
              <w:pStyle w:val="TableText"/>
              <w:jc w:val="center"/>
              <w:rPr>
                <w:bCs/>
              </w:rPr>
            </w:pPr>
            <w:r w:rsidRPr="00196231">
              <w:rPr>
                <w:bCs/>
              </w:rPr>
              <w:t>2 mg per day</w:t>
            </w:r>
            <w:r w:rsidRPr="00196231">
              <w:rPr>
                <w:bCs/>
              </w:rPr>
              <w:br/>
              <w:t>average compliance 90.0%</w:t>
            </w:r>
          </w:p>
        </w:tc>
      </w:tr>
      <w:tr w:rsidR="00A677E9" w:rsidRPr="00196231" w14:paraId="5E8B98BF" w14:textId="77777777">
        <w:trPr>
          <w:cantSplit/>
          <w:jc w:val="center"/>
        </w:trPr>
        <w:tc>
          <w:tcPr>
            <w:tcW w:w="941" w:type="pct"/>
            <w:shd w:val="clear" w:color="auto" w:fill="auto"/>
            <w:vAlign w:val="center"/>
          </w:tcPr>
          <w:p w14:paraId="0CA8C484" w14:textId="77777777" w:rsidR="00A677E9" w:rsidRPr="00196231" w:rsidRDefault="00A677E9">
            <w:pPr>
              <w:pStyle w:val="TableText"/>
            </w:pPr>
            <w:r w:rsidRPr="00196231">
              <w:t>Mean duration</w:t>
            </w:r>
          </w:p>
        </w:tc>
        <w:tc>
          <w:tcPr>
            <w:tcW w:w="1353" w:type="pct"/>
            <w:shd w:val="clear" w:color="auto" w:fill="auto"/>
            <w:vAlign w:val="center"/>
          </w:tcPr>
          <w:p w14:paraId="4187AF6E" w14:textId="7FAAB614" w:rsidR="00A677E9" w:rsidRPr="00196231" w:rsidRDefault="00A677E9">
            <w:pPr>
              <w:pStyle w:val="TableText"/>
              <w:jc w:val="center"/>
              <w:rPr>
                <w:bCs/>
              </w:rPr>
            </w:pPr>
            <w:r w:rsidRPr="00196231">
              <w:rPr>
                <w:bCs/>
              </w:rPr>
              <w:t>96 weeks (1.8 years)</w:t>
            </w:r>
            <w:r w:rsidRPr="00196231">
              <w:rPr>
                <w:bCs/>
              </w:rPr>
              <w:br/>
              <w:t>(</w:t>
            </w:r>
            <w:r w:rsidRPr="007113C0">
              <w:rPr>
                <w:bCs/>
              </w:rPr>
              <w:t>11.0</w:t>
            </w:r>
            <w:r w:rsidRPr="00196231">
              <w:rPr>
                <w:bCs/>
              </w:rPr>
              <w:t xml:space="preserve"> scripts) </w:t>
            </w:r>
            <w:r w:rsidRPr="00196231">
              <w:rPr>
                <w:bCs/>
                <w:vertAlign w:val="superscript"/>
              </w:rPr>
              <w:t>a</w:t>
            </w:r>
          </w:p>
        </w:tc>
        <w:tc>
          <w:tcPr>
            <w:tcW w:w="1353" w:type="pct"/>
            <w:shd w:val="clear" w:color="auto" w:fill="auto"/>
            <w:vAlign w:val="center"/>
          </w:tcPr>
          <w:p w14:paraId="0D61E0A3" w14:textId="7F511C5E" w:rsidR="00A677E9" w:rsidRPr="00196231" w:rsidRDefault="0021716C">
            <w:pPr>
              <w:pStyle w:val="TableText"/>
              <w:jc w:val="center"/>
              <w:rPr>
                <w:bCs/>
              </w:rPr>
            </w:pPr>
            <w:r w:rsidRPr="00196231">
              <w:rPr>
                <w:bCs/>
              </w:rPr>
              <w:t>8.8 years</w:t>
            </w:r>
            <w:r w:rsidR="00A677E9" w:rsidRPr="00196231">
              <w:rPr>
                <w:bCs/>
              </w:rPr>
              <w:br/>
              <w:t>(</w:t>
            </w:r>
            <w:r w:rsidR="00A677E9" w:rsidRPr="007113C0">
              <w:rPr>
                <w:bCs/>
              </w:rPr>
              <w:t>48.0</w:t>
            </w:r>
            <w:r w:rsidR="00A677E9" w:rsidRPr="00196231">
              <w:rPr>
                <w:bCs/>
              </w:rPr>
              <w:t xml:space="preserve"> scripts) </w:t>
            </w:r>
            <w:r w:rsidR="00A677E9" w:rsidRPr="00196231">
              <w:rPr>
                <w:bCs/>
                <w:vertAlign w:val="superscript"/>
              </w:rPr>
              <w:t>a</w:t>
            </w:r>
          </w:p>
        </w:tc>
        <w:tc>
          <w:tcPr>
            <w:tcW w:w="1353" w:type="pct"/>
            <w:shd w:val="clear" w:color="auto" w:fill="auto"/>
            <w:vAlign w:val="center"/>
          </w:tcPr>
          <w:p w14:paraId="7EF3803D" w14:textId="65BA2D4B" w:rsidR="00A677E9" w:rsidRPr="00196231" w:rsidRDefault="00A677E9">
            <w:pPr>
              <w:pStyle w:val="TableText"/>
              <w:jc w:val="center"/>
              <w:rPr>
                <w:bCs/>
              </w:rPr>
            </w:pPr>
            <w:r w:rsidRPr="00196231">
              <w:rPr>
                <w:bCs/>
              </w:rPr>
              <w:t>3.9 years </w:t>
            </w:r>
            <w:r w:rsidRPr="00196231">
              <w:rPr>
                <w:bCs/>
                <w:vertAlign w:val="superscript"/>
              </w:rPr>
              <w:t>b</w:t>
            </w:r>
            <w:r w:rsidRPr="00196231">
              <w:rPr>
                <w:bCs/>
              </w:rPr>
              <w:br/>
              <w:t>(</w:t>
            </w:r>
            <w:r w:rsidRPr="007113C0">
              <w:rPr>
                <w:bCs/>
              </w:rPr>
              <w:t>21.2</w:t>
            </w:r>
            <w:r w:rsidRPr="00196231">
              <w:rPr>
                <w:bCs/>
              </w:rPr>
              <w:t xml:space="preserve"> scripts)</w:t>
            </w:r>
          </w:p>
        </w:tc>
      </w:tr>
      <w:tr w:rsidR="00A677E9" w:rsidRPr="00196231" w14:paraId="6FA2E89A" w14:textId="77777777">
        <w:trPr>
          <w:cantSplit/>
          <w:jc w:val="center"/>
        </w:trPr>
        <w:tc>
          <w:tcPr>
            <w:tcW w:w="941" w:type="pct"/>
            <w:shd w:val="clear" w:color="auto" w:fill="auto"/>
            <w:vAlign w:val="center"/>
          </w:tcPr>
          <w:p w14:paraId="2C6FC981" w14:textId="77777777" w:rsidR="00A677E9" w:rsidRPr="00196231" w:rsidRDefault="00A677E9">
            <w:pPr>
              <w:pStyle w:val="TableText"/>
            </w:pPr>
            <w:r w:rsidRPr="00196231">
              <w:t>Cost per script</w:t>
            </w:r>
          </w:p>
        </w:tc>
        <w:tc>
          <w:tcPr>
            <w:tcW w:w="1353" w:type="pct"/>
            <w:shd w:val="clear" w:color="auto" w:fill="auto"/>
            <w:vAlign w:val="center"/>
          </w:tcPr>
          <w:p w14:paraId="579225D7" w14:textId="3F73058A" w:rsidR="00A677E9" w:rsidRPr="00196231" w:rsidRDefault="00A677E9">
            <w:pPr>
              <w:pStyle w:val="TableText"/>
              <w:jc w:val="center"/>
            </w:pPr>
            <w:r w:rsidRPr="00196231">
              <w:t>$</w:t>
            </w:r>
            <w:r w:rsidR="001A4B8B" w:rsidRPr="001A4B8B">
              <w:rPr>
                <w:color w:val="000000"/>
                <w:shd w:val="solid" w:color="000000" w:fill="000000"/>
                <w14:textFill>
                  <w14:solidFill>
                    <w14:srgbClr w14:val="000000">
                      <w14:alpha w14:val="100000"/>
                    </w14:srgbClr>
                  </w14:solidFill>
                </w14:textFill>
              </w:rPr>
              <w:t>|</w:t>
            </w:r>
          </w:p>
        </w:tc>
        <w:tc>
          <w:tcPr>
            <w:tcW w:w="1353" w:type="pct"/>
            <w:shd w:val="clear" w:color="auto" w:fill="auto"/>
            <w:vAlign w:val="center"/>
          </w:tcPr>
          <w:p w14:paraId="1CC289FD" w14:textId="5473AF71" w:rsidR="00A677E9" w:rsidRPr="00196231" w:rsidRDefault="00A677E9">
            <w:pPr>
              <w:pStyle w:val="TableText"/>
              <w:jc w:val="center"/>
            </w:pPr>
            <w:r w:rsidRPr="00196231">
              <w:t>$</w:t>
            </w:r>
            <w:r w:rsidR="001A4B8B" w:rsidRPr="001A4B8B">
              <w:rPr>
                <w:color w:val="000000"/>
                <w:shd w:val="solid" w:color="000000" w:fill="000000"/>
                <w14:textFill>
                  <w14:solidFill>
                    <w14:srgbClr w14:val="000000">
                      <w14:alpha w14:val="100000"/>
                    </w14:srgbClr>
                  </w14:solidFill>
                </w14:textFill>
              </w:rPr>
              <w:t>|</w:t>
            </w:r>
          </w:p>
        </w:tc>
        <w:tc>
          <w:tcPr>
            <w:tcW w:w="1353" w:type="pct"/>
            <w:shd w:val="clear" w:color="auto" w:fill="auto"/>
            <w:vAlign w:val="center"/>
          </w:tcPr>
          <w:p w14:paraId="6E34836D" w14:textId="4261A377" w:rsidR="00A677E9" w:rsidRPr="00196231" w:rsidRDefault="00A677E9">
            <w:pPr>
              <w:pStyle w:val="TableText"/>
              <w:jc w:val="center"/>
            </w:pPr>
            <w:r w:rsidRPr="00196231">
              <w:t>$</w:t>
            </w:r>
            <w:r w:rsidR="001A4B8B" w:rsidRPr="001A4B8B">
              <w:rPr>
                <w:color w:val="000000"/>
                <w:shd w:val="solid" w:color="000000" w:fill="000000"/>
                <w14:textFill>
                  <w14:solidFill>
                    <w14:srgbClr w14:val="000000">
                      <w14:alpha w14:val="100000"/>
                    </w14:srgbClr>
                  </w14:solidFill>
                </w14:textFill>
              </w:rPr>
              <w:t>|</w:t>
            </w:r>
          </w:p>
        </w:tc>
      </w:tr>
      <w:tr w:rsidR="00A677E9" w:rsidRPr="00196231" w14:paraId="10FC3F9B" w14:textId="77777777">
        <w:trPr>
          <w:cantSplit/>
          <w:jc w:val="center"/>
        </w:trPr>
        <w:tc>
          <w:tcPr>
            <w:tcW w:w="941" w:type="pct"/>
            <w:shd w:val="clear" w:color="auto" w:fill="auto"/>
            <w:vAlign w:val="center"/>
          </w:tcPr>
          <w:p w14:paraId="57C24D76" w14:textId="77777777" w:rsidR="00A677E9" w:rsidRPr="00196231" w:rsidRDefault="00A677E9">
            <w:pPr>
              <w:pStyle w:val="TableText"/>
            </w:pPr>
            <w:r w:rsidRPr="00196231">
              <w:t>Cost/patient/course</w:t>
            </w:r>
          </w:p>
        </w:tc>
        <w:tc>
          <w:tcPr>
            <w:tcW w:w="1353" w:type="pct"/>
            <w:shd w:val="clear" w:color="auto" w:fill="auto"/>
            <w:vAlign w:val="center"/>
          </w:tcPr>
          <w:p w14:paraId="542288E6" w14:textId="5D68B7A5" w:rsidR="00A677E9" w:rsidRPr="00196231" w:rsidRDefault="00A677E9">
            <w:pPr>
              <w:pStyle w:val="TableText"/>
              <w:jc w:val="center"/>
            </w:pPr>
            <w:r w:rsidRPr="00196231">
              <w:t>$</w:t>
            </w:r>
            <w:r w:rsidR="001A4B8B" w:rsidRPr="001A4B8B">
              <w:rPr>
                <w:color w:val="000000"/>
                <w:shd w:val="solid" w:color="000000" w:fill="000000"/>
                <w14:textFill>
                  <w14:solidFill>
                    <w14:srgbClr w14:val="000000">
                      <w14:alpha w14:val="100000"/>
                    </w14:srgbClr>
                  </w14:solidFill>
                </w14:textFill>
              </w:rPr>
              <w:t>|</w:t>
            </w:r>
          </w:p>
        </w:tc>
        <w:tc>
          <w:tcPr>
            <w:tcW w:w="1353" w:type="pct"/>
            <w:shd w:val="clear" w:color="auto" w:fill="auto"/>
            <w:vAlign w:val="center"/>
          </w:tcPr>
          <w:p w14:paraId="4BEAC203" w14:textId="7AF1A157" w:rsidR="00A677E9" w:rsidRPr="00196231" w:rsidRDefault="00A677E9">
            <w:pPr>
              <w:pStyle w:val="TableText"/>
              <w:jc w:val="center"/>
            </w:pPr>
            <w:r w:rsidRPr="00196231">
              <w:t>$</w:t>
            </w:r>
            <w:r w:rsidR="001A4B8B" w:rsidRPr="001A4B8B">
              <w:rPr>
                <w:color w:val="000000"/>
                <w:shd w:val="solid" w:color="000000" w:fill="000000"/>
                <w14:textFill>
                  <w14:solidFill>
                    <w14:srgbClr w14:val="000000">
                      <w14:alpha w14:val="100000"/>
                    </w14:srgbClr>
                  </w14:solidFill>
                </w14:textFill>
              </w:rPr>
              <w:t>|</w:t>
            </w:r>
          </w:p>
        </w:tc>
        <w:tc>
          <w:tcPr>
            <w:tcW w:w="1353" w:type="pct"/>
            <w:shd w:val="clear" w:color="auto" w:fill="auto"/>
            <w:vAlign w:val="center"/>
          </w:tcPr>
          <w:p w14:paraId="0821BA7F" w14:textId="4BF1B8C9" w:rsidR="00A677E9" w:rsidRPr="00196231" w:rsidRDefault="00A677E9">
            <w:pPr>
              <w:pStyle w:val="TableText"/>
              <w:jc w:val="center"/>
            </w:pPr>
            <w:r w:rsidRPr="00196231">
              <w:t>$</w:t>
            </w:r>
            <w:r w:rsidR="001A4B8B" w:rsidRPr="001A4B8B">
              <w:rPr>
                <w:color w:val="000000"/>
                <w:shd w:val="solid" w:color="000000" w:fill="000000"/>
                <w14:textFill>
                  <w14:solidFill>
                    <w14:srgbClr w14:val="000000">
                      <w14:alpha w14:val="100000"/>
                    </w14:srgbClr>
                  </w14:solidFill>
                </w14:textFill>
              </w:rPr>
              <w:t>|</w:t>
            </w:r>
          </w:p>
        </w:tc>
      </w:tr>
    </w:tbl>
    <w:p w14:paraId="3820C9E4" w14:textId="77777777" w:rsidR="00A677E9" w:rsidRPr="00196231" w:rsidRDefault="00A677E9" w:rsidP="00A677E9">
      <w:pPr>
        <w:pStyle w:val="TableFigureFooter"/>
      </w:pPr>
      <w:r w:rsidRPr="00196231">
        <w:t>Source: Compiled during the evaluation from the ‘Attachment 10 - Hepcludex HDV Section 3A Cost-Eff Model_vfinal.xlsm’ and ‘Attachment 14 - HEPCLUDEX HDV CoDep Section 4_final.xlsm’ files included with the submission.</w:t>
      </w:r>
    </w:p>
    <w:p w14:paraId="5CEE0C97" w14:textId="77777777" w:rsidR="00A677E9" w:rsidRPr="00196231" w:rsidRDefault="00A677E9" w:rsidP="00A677E9">
      <w:pPr>
        <w:pStyle w:val="TableFigureFooter"/>
      </w:pPr>
      <w:r w:rsidRPr="00196231">
        <w:rPr>
          <w:vertAlign w:val="superscript"/>
        </w:rPr>
        <w:t>a</w:t>
      </w:r>
      <w:r w:rsidRPr="00196231">
        <w:t xml:space="preserve"> Duration of treatment (years) × compliance × (52 × 7) days per year / 60 days per script</w:t>
      </w:r>
    </w:p>
    <w:p w14:paraId="642C84DF" w14:textId="52D83EA5" w:rsidR="00A677E9" w:rsidRPr="00196231" w:rsidRDefault="00A677E9" w:rsidP="0064083C">
      <w:pPr>
        <w:pStyle w:val="TableFigureFooter"/>
        <w:spacing w:after="120"/>
      </w:pPr>
      <w:r w:rsidRPr="00196231">
        <w:rPr>
          <w:vertAlign w:val="superscript"/>
        </w:rPr>
        <w:t>b</w:t>
      </w:r>
      <w:r w:rsidRPr="00196231">
        <w:t xml:space="preserve"> Average over first six years of treatment</w:t>
      </w:r>
    </w:p>
    <w:p w14:paraId="1AF23BDA" w14:textId="2E48137A" w:rsidR="00A677E9" w:rsidRPr="00196231" w:rsidRDefault="00A677E9" w:rsidP="00AB14EE">
      <w:pPr>
        <w:pStyle w:val="3-BodyText"/>
      </w:pPr>
      <w:r w:rsidRPr="00196231">
        <w:t>The cost per course of bulevirtide treatment modelled was $</w:t>
      </w:r>
      <w:r w:rsidR="001A4B8B" w:rsidRPr="001A4B8B">
        <w:rPr>
          <w:color w:val="000000"/>
          <w:w w:val="60"/>
          <w:shd w:val="solid" w:color="000000" w:fill="000000"/>
          <w:fitText w:val="468" w:id="-961838584"/>
          <w14:textFill>
            <w14:solidFill>
              <w14:srgbClr w14:val="000000">
                <w14:alpha w14:val="100000"/>
              </w14:srgbClr>
            </w14:solidFill>
          </w14:textFill>
        </w:rPr>
        <w:t>|||  ||</w:t>
      </w:r>
      <w:r w:rsidR="001A4B8B" w:rsidRPr="001A4B8B">
        <w:rPr>
          <w:color w:val="000000"/>
          <w:spacing w:val="4"/>
          <w:w w:val="60"/>
          <w:shd w:val="solid" w:color="000000" w:fill="000000"/>
          <w:fitText w:val="468" w:id="-961838584"/>
          <w14:textFill>
            <w14:solidFill>
              <w14:srgbClr w14:val="000000">
                <w14:alpha w14:val="100000"/>
              </w14:srgbClr>
            </w14:solidFill>
          </w14:textFill>
        </w:rPr>
        <w:t>|</w:t>
      </w:r>
      <w:r w:rsidRPr="00196231">
        <w:t xml:space="preserve"> (undiscounted). This was based on an average duration of treatment of 8.8 years (equivalent to 48 scripts)</w:t>
      </w:r>
      <w:r w:rsidRPr="00196231">
        <w:rPr>
          <w:rStyle w:val="FootnoteReference"/>
        </w:rPr>
        <w:footnoteReference w:id="21"/>
      </w:r>
      <w:r w:rsidRPr="00196231">
        <w:t xml:space="preserve"> assuming 90% compliance and a weighted cost per script of $</w:t>
      </w:r>
      <w:r w:rsidR="001A4B8B" w:rsidRPr="00CC2E88">
        <w:rPr>
          <w:color w:val="000000"/>
          <w:w w:val="15"/>
          <w:shd w:val="solid" w:color="000000" w:fill="000000"/>
          <w:fitText w:val="-20" w:id="-961838583"/>
          <w14:textFill>
            <w14:solidFill>
              <w14:srgbClr w14:val="000000">
                <w14:alpha w14:val="100000"/>
              </w14:srgbClr>
            </w14:solidFill>
          </w14:textFill>
        </w:rPr>
        <w:t xml:space="preserve">|  </w:t>
      </w:r>
      <w:r w:rsidR="001A4B8B" w:rsidRPr="00CC2E88">
        <w:rPr>
          <w:color w:val="000000"/>
          <w:spacing w:val="-69"/>
          <w:w w:val="15"/>
          <w:shd w:val="solid" w:color="000000" w:fill="000000"/>
          <w:fitText w:val="-20" w:id="-961838583"/>
          <w14:textFill>
            <w14:solidFill>
              <w14:srgbClr w14:val="000000">
                <w14:alpha w14:val="100000"/>
              </w14:srgbClr>
            </w14:solidFill>
          </w14:textFill>
        </w:rPr>
        <w:t>|</w:t>
      </w:r>
      <w:r w:rsidRPr="00196231">
        <w:t xml:space="preserve">. </w:t>
      </w:r>
    </w:p>
    <w:p w14:paraId="59EECFB1" w14:textId="77777777" w:rsidR="00A677E9" w:rsidRPr="00D20CA8" w:rsidRDefault="00A677E9" w:rsidP="00AB14EE">
      <w:pPr>
        <w:pStyle w:val="3-BodyText"/>
      </w:pPr>
      <w:r w:rsidRPr="00D20CA8">
        <w:t>The weighted cost per script applied in the submission was inconsistent across the economic and financial analyses. While all scripts were assumed to be dispensed through the Section 100 HSD Private/Community Access program in the financial estimates, some dispensing in public hospitals (20%) was assumed in the economic model.</w:t>
      </w:r>
    </w:p>
    <w:p w14:paraId="39A2ADAA" w14:textId="77777777" w:rsidR="00A677E9" w:rsidRPr="00BF711C" w:rsidRDefault="00A677E9" w:rsidP="00AB14EE">
      <w:pPr>
        <w:pStyle w:val="4-SubsectionHeading"/>
      </w:pPr>
      <w:bookmarkStart w:id="73" w:name="_Toc413139284"/>
      <w:bookmarkStart w:id="74" w:name="_Toc152355262"/>
      <w:bookmarkStart w:id="75" w:name="_Toc156984640"/>
      <w:r w:rsidRPr="00BF711C">
        <w:t>Estimated PBS &amp; financial implications</w:t>
      </w:r>
      <w:bookmarkEnd w:id="73"/>
      <w:bookmarkEnd w:id="74"/>
      <w:bookmarkEnd w:id="75"/>
    </w:p>
    <w:p w14:paraId="35AD3858" w14:textId="75CF5C55" w:rsidR="00371021" w:rsidRPr="00371021" w:rsidRDefault="00371021" w:rsidP="00AB14EE">
      <w:pPr>
        <w:pStyle w:val="3-BodyText"/>
      </w:pPr>
      <w:bookmarkStart w:id="76" w:name="_Toc156984641"/>
      <w:r w:rsidRPr="00371021">
        <w:t xml:space="preserve">This submission </w:t>
      </w:r>
      <w:r w:rsidR="00611150">
        <w:t>was</w:t>
      </w:r>
      <w:r w:rsidRPr="00371021">
        <w:t xml:space="preserve"> considered by DUSC. An epidemiological approach was used to estimate the use and cost of HDV RNA testing and bulevirtide treatment.</w:t>
      </w:r>
    </w:p>
    <w:p w14:paraId="515747A8" w14:textId="6117FD42" w:rsidR="00371021" w:rsidRPr="00371021" w:rsidRDefault="00371021" w:rsidP="00AB14EE">
      <w:pPr>
        <w:pStyle w:val="3-BodyText"/>
      </w:pPr>
      <w:r w:rsidRPr="00371021">
        <w:t xml:space="preserve">The key inputs in the financial analysis are summarised in </w:t>
      </w:r>
      <w:r w:rsidRPr="00371021">
        <w:fldChar w:fldCharType="begin" w:fldLock="1"/>
      </w:r>
      <w:r w:rsidRPr="00371021">
        <w:instrText xml:space="preserve"> REF _Ref152349175 \h  \* MERGEFORMAT </w:instrText>
      </w:r>
      <w:r w:rsidRPr="00371021">
        <w:fldChar w:fldCharType="separate"/>
      </w:r>
      <w:r w:rsidRPr="00371021">
        <w:t xml:space="preserve">Table </w:t>
      </w:r>
      <w:r w:rsidRPr="00371021">
        <w:rPr>
          <w:noProof/>
        </w:rPr>
        <w:t>16</w:t>
      </w:r>
      <w:r w:rsidRPr="00371021">
        <w:fldChar w:fldCharType="end"/>
      </w:r>
      <w:r w:rsidRPr="00371021">
        <w:t>.</w:t>
      </w:r>
    </w:p>
    <w:p w14:paraId="1C64E102" w14:textId="7537150F" w:rsidR="00371021" w:rsidRPr="00371021" w:rsidRDefault="00371021" w:rsidP="00371021">
      <w:pPr>
        <w:pStyle w:val="TableFigureHeading"/>
        <w:rPr>
          <w:rStyle w:val="CommentReference"/>
          <w:b/>
        </w:rPr>
      </w:pPr>
      <w:bookmarkStart w:id="77" w:name="_Ref152349175"/>
      <w:r w:rsidRPr="00371021">
        <w:t xml:space="preserve">Table </w:t>
      </w:r>
      <w:r w:rsidRPr="00371021">
        <w:fldChar w:fldCharType="begin" w:fldLock="1"/>
      </w:r>
      <w:r w:rsidRPr="00371021">
        <w:instrText>SEQ Table_PBAC. \* ARABIC</w:instrText>
      </w:r>
      <w:r w:rsidRPr="00371021">
        <w:fldChar w:fldCharType="separate"/>
      </w:r>
      <w:r w:rsidRPr="00371021">
        <w:rPr>
          <w:noProof/>
        </w:rPr>
        <w:t>16</w:t>
      </w:r>
      <w:r w:rsidRPr="00371021">
        <w:fldChar w:fldCharType="end"/>
      </w:r>
      <w:bookmarkEnd w:id="77"/>
      <w:r>
        <w:rPr>
          <w:noProof/>
        </w:rPr>
        <w:t xml:space="preserve">: </w:t>
      </w:r>
      <w:r w:rsidRPr="00371021">
        <w:rPr>
          <w:rStyle w:val="CommentReference"/>
          <w:b/>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inputs for financial estimates"/>
      </w:tblPr>
      <w:tblGrid>
        <w:gridCol w:w="2546"/>
        <w:gridCol w:w="2126"/>
        <w:gridCol w:w="4344"/>
      </w:tblGrid>
      <w:tr w:rsidR="00371021" w:rsidRPr="00371021" w14:paraId="2D5E4F4C" w14:textId="77777777" w:rsidTr="00682D02">
        <w:trPr>
          <w:cantSplit/>
          <w:tblHeader/>
        </w:trPr>
        <w:tc>
          <w:tcPr>
            <w:tcW w:w="1412" w:type="pct"/>
            <w:shd w:val="clear" w:color="auto" w:fill="auto"/>
            <w:vAlign w:val="center"/>
          </w:tcPr>
          <w:p w14:paraId="6518CF8F" w14:textId="77777777" w:rsidR="00371021" w:rsidRPr="00371021" w:rsidRDefault="00371021" w:rsidP="00603002">
            <w:pPr>
              <w:pStyle w:val="In-tableHeading"/>
              <w:rPr>
                <w:lang w:val="en-AU"/>
              </w:rPr>
            </w:pPr>
            <w:r w:rsidRPr="00371021">
              <w:rPr>
                <w:lang w:val="en-AU"/>
              </w:rPr>
              <w:t>Parameter</w:t>
            </w:r>
          </w:p>
        </w:tc>
        <w:tc>
          <w:tcPr>
            <w:tcW w:w="1179" w:type="pct"/>
            <w:shd w:val="clear" w:color="auto" w:fill="auto"/>
            <w:vAlign w:val="center"/>
          </w:tcPr>
          <w:p w14:paraId="03DF85E2" w14:textId="77777777" w:rsidR="00371021" w:rsidRPr="00371021" w:rsidRDefault="00371021" w:rsidP="00603002">
            <w:pPr>
              <w:pStyle w:val="In-tableHeading"/>
              <w:rPr>
                <w:lang w:val="en-AU"/>
              </w:rPr>
            </w:pPr>
            <w:r w:rsidRPr="00371021">
              <w:rPr>
                <w:lang w:val="en-AU"/>
              </w:rPr>
              <w:t>Value applied and source</w:t>
            </w:r>
          </w:p>
        </w:tc>
        <w:tc>
          <w:tcPr>
            <w:tcW w:w="2408" w:type="pct"/>
            <w:shd w:val="clear" w:color="auto" w:fill="auto"/>
            <w:vAlign w:val="center"/>
          </w:tcPr>
          <w:p w14:paraId="311FD5EA" w14:textId="77777777" w:rsidR="00371021" w:rsidRPr="00371021" w:rsidRDefault="00371021" w:rsidP="00603002">
            <w:pPr>
              <w:pStyle w:val="In-tableHeading"/>
              <w:rPr>
                <w:lang w:val="en-AU"/>
              </w:rPr>
            </w:pPr>
            <w:r w:rsidRPr="00371021">
              <w:rPr>
                <w:lang w:val="en-AU"/>
              </w:rPr>
              <w:t>Comment</w:t>
            </w:r>
          </w:p>
        </w:tc>
      </w:tr>
      <w:tr w:rsidR="00371021" w:rsidRPr="00371021" w14:paraId="376B5639" w14:textId="77777777" w:rsidTr="00603002">
        <w:trPr>
          <w:cantSplit/>
        </w:trPr>
        <w:tc>
          <w:tcPr>
            <w:tcW w:w="5000" w:type="pct"/>
            <w:gridSpan w:val="3"/>
            <w:shd w:val="clear" w:color="auto" w:fill="auto"/>
            <w:vAlign w:val="center"/>
          </w:tcPr>
          <w:p w14:paraId="1614CF8F" w14:textId="77777777" w:rsidR="00371021" w:rsidRPr="00371021" w:rsidRDefault="00371021" w:rsidP="00603002">
            <w:pPr>
              <w:pStyle w:val="TableText"/>
            </w:pPr>
            <w:r w:rsidRPr="00371021">
              <w:t>Prevalent population – known HDV</w:t>
            </w:r>
          </w:p>
        </w:tc>
      </w:tr>
      <w:tr w:rsidR="00371021" w:rsidRPr="00371021" w14:paraId="2920478B" w14:textId="77777777" w:rsidTr="00682D02">
        <w:trPr>
          <w:cantSplit/>
        </w:trPr>
        <w:tc>
          <w:tcPr>
            <w:tcW w:w="1412" w:type="pct"/>
            <w:shd w:val="clear" w:color="auto" w:fill="auto"/>
            <w:vAlign w:val="center"/>
          </w:tcPr>
          <w:p w14:paraId="2BD7A82B" w14:textId="77777777" w:rsidR="00371021" w:rsidRPr="00371021" w:rsidRDefault="00371021" w:rsidP="00AB472E">
            <w:pPr>
              <w:pStyle w:val="TableText"/>
            </w:pPr>
            <w:r w:rsidRPr="00371021">
              <w:t>Prevalence of chronic HBV in 2023</w:t>
            </w:r>
          </w:p>
        </w:tc>
        <w:tc>
          <w:tcPr>
            <w:tcW w:w="1179" w:type="pct"/>
            <w:shd w:val="clear" w:color="auto" w:fill="auto"/>
            <w:vAlign w:val="center"/>
          </w:tcPr>
          <w:p w14:paraId="0B5B3CD6" w14:textId="77777777" w:rsidR="00371021" w:rsidRPr="00371021" w:rsidRDefault="00371021" w:rsidP="00603002">
            <w:pPr>
              <w:pStyle w:val="TableText"/>
            </w:pPr>
            <w:r w:rsidRPr="00371021">
              <w:t>0.87% (McCulloch 2021) </w:t>
            </w:r>
            <w:r w:rsidRPr="00371021">
              <w:rPr>
                <w:vertAlign w:val="superscript"/>
              </w:rPr>
              <w:t>a</w:t>
            </w:r>
          </w:p>
        </w:tc>
        <w:tc>
          <w:tcPr>
            <w:tcW w:w="2408" w:type="pct"/>
            <w:shd w:val="clear" w:color="auto" w:fill="auto"/>
            <w:vAlign w:val="center"/>
          </w:tcPr>
          <w:p w14:paraId="46398E98" w14:textId="63BA93A6" w:rsidR="00371021" w:rsidRPr="00371021" w:rsidRDefault="00371021" w:rsidP="00603002">
            <w:pPr>
              <w:pStyle w:val="TableText"/>
            </w:pPr>
            <w:r w:rsidRPr="00371021">
              <w:t>While this source was reasonable, the cited prevalence was reported for 2020. Prevalence in 2023 was estimated to be 0.82%.</w:t>
            </w:r>
            <w:r w:rsidR="00AB472E">
              <w:t>DUSC considered the most recent estimate of prevalence should be used.</w:t>
            </w:r>
          </w:p>
        </w:tc>
      </w:tr>
      <w:tr w:rsidR="00371021" w:rsidRPr="00371021" w14:paraId="2D616020" w14:textId="77777777" w:rsidTr="00682D02">
        <w:trPr>
          <w:cantSplit/>
        </w:trPr>
        <w:tc>
          <w:tcPr>
            <w:tcW w:w="1412" w:type="pct"/>
            <w:shd w:val="clear" w:color="auto" w:fill="auto"/>
            <w:vAlign w:val="center"/>
          </w:tcPr>
          <w:p w14:paraId="56656FAB" w14:textId="77777777" w:rsidR="00371021" w:rsidRPr="00371021" w:rsidRDefault="00371021" w:rsidP="00AB472E">
            <w:pPr>
              <w:pStyle w:val="TableText"/>
            </w:pPr>
            <w:r w:rsidRPr="00371021">
              <w:t xml:space="preserve">Proportion </w:t>
            </w:r>
            <w:r w:rsidRPr="00AB472E">
              <w:t>diagnosed</w:t>
            </w:r>
          </w:p>
        </w:tc>
        <w:tc>
          <w:tcPr>
            <w:tcW w:w="1179" w:type="pct"/>
            <w:shd w:val="clear" w:color="auto" w:fill="auto"/>
            <w:vAlign w:val="center"/>
          </w:tcPr>
          <w:p w14:paraId="0C79DA9A" w14:textId="77777777" w:rsidR="00371021" w:rsidRPr="00371021" w:rsidRDefault="00371021" w:rsidP="00603002">
            <w:pPr>
              <w:pStyle w:val="TableText"/>
            </w:pPr>
            <w:r w:rsidRPr="00371021">
              <w:t>73.0% (McCulloch 2021) </w:t>
            </w:r>
            <w:r w:rsidRPr="00371021">
              <w:rPr>
                <w:vertAlign w:val="superscript"/>
              </w:rPr>
              <w:t>a</w:t>
            </w:r>
          </w:p>
        </w:tc>
        <w:tc>
          <w:tcPr>
            <w:tcW w:w="2408" w:type="pct"/>
            <w:shd w:val="clear" w:color="auto" w:fill="auto"/>
            <w:vAlign w:val="center"/>
          </w:tcPr>
          <w:p w14:paraId="39C3F381" w14:textId="5C11E11D" w:rsidR="00371021" w:rsidRPr="00371021" w:rsidRDefault="00AB472E" w:rsidP="00603002">
            <w:pPr>
              <w:pStyle w:val="TableText"/>
            </w:pPr>
            <w:r>
              <w:t xml:space="preserve"> DUSC noted that more recent estimates were consistent with this value (MacLachlan 2023)</w:t>
            </w:r>
            <w:r w:rsidRPr="00AB472E">
              <w:rPr>
                <w:vertAlign w:val="superscript"/>
              </w:rPr>
              <w:t>g</w:t>
            </w:r>
          </w:p>
        </w:tc>
      </w:tr>
      <w:tr w:rsidR="00371021" w:rsidRPr="00371021" w14:paraId="5ECE8861" w14:textId="77777777" w:rsidTr="00682D02">
        <w:trPr>
          <w:cantSplit/>
        </w:trPr>
        <w:tc>
          <w:tcPr>
            <w:tcW w:w="1412" w:type="pct"/>
            <w:shd w:val="clear" w:color="auto" w:fill="auto"/>
            <w:vAlign w:val="center"/>
          </w:tcPr>
          <w:p w14:paraId="0BB17150" w14:textId="02DE3CE1" w:rsidR="00371021" w:rsidRPr="00371021" w:rsidRDefault="00371021" w:rsidP="00AB472E">
            <w:pPr>
              <w:pStyle w:val="TableText"/>
            </w:pPr>
            <w:r w:rsidRPr="00371021">
              <w:t>Proportion</w:t>
            </w:r>
            <w:r w:rsidR="0099215A">
              <w:t xml:space="preserve"> of diagnosed patients</w:t>
            </w:r>
            <w:r w:rsidRPr="00371021">
              <w:t xml:space="preserve"> </w:t>
            </w:r>
            <w:r w:rsidRPr="00AB472E">
              <w:t>engaged</w:t>
            </w:r>
            <w:r w:rsidRPr="00371021">
              <w:t xml:space="preserve"> in care</w:t>
            </w:r>
          </w:p>
        </w:tc>
        <w:tc>
          <w:tcPr>
            <w:tcW w:w="1179" w:type="pct"/>
            <w:shd w:val="clear" w:color="auto" w:fill="auto"/>
            <w:vAlign w:val="center"/>
          </w:tcPr>
          <w:p w14:paraId="3154BAB1" w14:textId="77777777" w:rsidR="00371021" w:rsidRPr="00371021" w:rsidRDefault="00371021" w:rsidP="00603002">
            <w:pPr>
              <w:pStyle w:val="TableText"/>
            </w:pPr>
            <w:r w:rsidRPr="00371021">
              <w:t>30.9% (McCulloch 2021) </w:t>
            </w:r>
            <w:r w:rsidRPr="00371021">
              <w:rPr>
                <w:vertAlign w:val="superscript"/>
              </w:rPr>
              <w:t>a</w:t>
            </w:r>
          </w:p>
        </w:tc>
        <w:tc>
          <w:tcPr>
            <w:tcW w:w="2408" w:type="pct"/>
            <w:shd w:val="clear" w:color="auto" w:fill="auto"/>
            <w:vAlign w:val="center"/>
          </w:tcPr>
          <w:p w14:paraId="1A8AEDB9" w14:textId="4CE81163" w:rsidR="00371021" w:rsidRPr="00371021" w:rsidRDefault="00AB472E" w:rsidP="00603002">
            <w:pPr>
              <w:pStyle w:val="TableText"/>
            </w:pPr>
            <w:r>
              <w:t xml:space="preserve">The Pre-PBAC </w:t>
            </w:r>
            <w:r w:rsidR="0099215A">
              <w:t>r</w:t>
            </w:r>
            <w:r>
              <w:t xml:space="preserve">esponse clarified the figure of 22.6% in McCulloch </w:t>
            </w:r>
            <w:r w:rsidR="0099215A">
              <w:t>is for all patients living with CHB (including those undiagnosed)</w:t>
            </w:r>
            <w:r>
              <w:t xml:space="preserve">. The PBAC noted more recent estimates </w:t>
            </w:r>
            <w:r w:rsidR="0099215A">
              <w:t>are somewhat higher</w:t>
            </w:r>
            <w:r w:rsidR="00CB1ADD">
              <w:t xml:space="preserve"> </w:t>
            </w:r>
            <w:r>
              <w:t>(</w:t>
            </w:r>
            <w:r w:rsidR="0099215A">
              <w:t>35.9</w:t>
            </w:r>
            <w:r w:rsidR="00CB1ADD">
              <w:t>%</w:t>
            </w:r>
            <w:r>
              <w:t xml:space="preserve"> </w:t>
            </w:r>
            <w:r w:rsidR="0099215A">
              <w:t xml:space="preserve">of diagnosed patients </w:t>
            </w:r>
            <w:r>
              <w:t>in MacLachlan 2023</w:t>
            </w:r>
            <w:r w:rsidRPr="00AB472E">
              <w:rPr>
                <w:vertAlign w:val="superscript"/>
              </w:rPr>
              <w:t>g</w:t>
            </w:r>
            <w:r>
              <w:t>)</w:t>
            </w:r>
            <w:r w:rsidR="00B96457">
              <w:t>.</w:t>
            </w:r>
            <w:r w:rsidR="00ED13A8">
              <w:t xml:space="preserve"> </w:t>
            </w:r>
          </w:p>
        </w:tc>
      </w:tr>
      <w:tr w:rsidR="00371021" w:rsidRPr="00371021" w14:paraId="02B724DB" w14:textId="77777777" w:rsidTr="00682D02">
        <w:trPr>
          <w:cantSplit/>
        </w:trPr>
        <w:tc>
          <w:tcPr>
            <w:tcW w:w="1412" w:type="pct"/>
            <w:shd w:val="clear" w:color="auto" w:fill="auto"/>
            <w:vAlign w:val="center"/>
          </w:tcPr>
          <w:p w14:paraId="3452D797" w14:textId="77777777" w:rsidR="00371021" w:rsidRPr="00371021" w:rsidRDefault="00371021" w:rsidP="00AB472E">
            <w:pPr>
              <w:pStyle w:val="TableText"/>
            </w:pPr>
            <w:r w:rsidRPr="00371021">
              <w:lastRenderedPageBreak/>
              <w:t xml:space="preserve">Proportion tested for anti-HDV prior to </w:t>
            </w:r>
            <w:r w:rsidRPr="00AB472E">
              <w:t>bulevirtide</w:t>
            </w:r>
            <w:r w:rsidRPr="00371021">
              <w:t xml:space="preserve"> listed</w:t>
            </w:r>
          </w:p>
        </w:tc>
        <w:tc>
          <w:tcPr>
            <w:tcW w:w="1179" w:type="pct"/>
            <w:shd w:val="clear" w:color="auto" w:fill="auto"/>
            <w:vAlign w:val="center"/>
          </w:tcPr>
          <w:p w14:paraId="69259A56" w14:textId="77777777" w:rsidR="00371021" w:rsidRPr="00371021" w:rsidRDefault="00371021" w:rsidP="00603002">
            <w:pPr>
              <w:pStyle w:val="TableText"/>
            </w:pPr>
            <w:r w:rsidRPr="00371021">
              <w:t>35.0% (UK NICE submission, confirmed by local clinicians)</w:t>
            </w:r>
          </w:p>
        </w:tc>
        <w:tc>
          <w:tcPr>
            <w:tcW w:w="2408" w:type="pct"/>
            <w:shd w:val="clear" w:color="auto" w:fill="auto"/>
            <w:vAlign w:val="center"/>
          </w:tcPr>
          <w:p w14:paraId="460C61CB" w14:textId="77777777" w:rsidR="00371021" w:rsidRDefault="00371021" w:rsidP="00603002">
            <w:pPr>
              <w:pStyle w:val="TableText"/>
            </w:pPr>
            <w:r w:rsidRPr="00371021">
              <w:t xml:space="preserve">While local clinicians were consulted, this estimate remains uncertain. </w:t>
            </w:r>
            <w:r w:rsidR="00836F1F">
              <w:t xml:space="preserve"> </w:t>
            </w:r>
          </w:p>
          <w:p w14:paraId="7BD7F705" w14:textId="77777777" w:rsidR="00836F1F" w:rsidRDefault="00836F1F" w:rsidP="00603002">
            <w:pPr>
              <w:pStyle w:val="TableText"/>
            </w:pPr>
          </w:p>
          <w:p w14:paraId="59019466" w14:textId="46229B09" w:rsidR="00836F1F" w:rsidRDefault="00836F1F" w:rsidP="00603002">
            <w:pPr>
              <w:pStyle w:val="TableText"/>
            </w:pPr>
            <w:r w:rsidRPr="00836F1F">
              <w:t xml:space="preserve">The DUSC considered the proportion of CHB patients tested for anti-HDV antibodies prior to bulevirtide being available was likely a substantial </w:t>
            </w:r>
            <w:r w:rsidRPr="00D24720">
              <w:t>overestimate</w:t>
            </w:r>
            <w:r w:rsidR="00D24720" w:rsidRPr="00D24720">
              <w:t xml:space="preserve"> </w:t>
            </w:r>
            <w:r w:rsidR="00D24720" w:rsidRPr="00D24720">
              <w:rPr>
                <w:rFonts w:eastAsia="Calibri"/>
              </w:rPr>
              <w:t xml:space="preserve">as it would only </w:t>
            </w:r>
            <w:r w:rsidR="00D24720">
              <w:rPr>
                <w:rFonts w:eastAsia="Calibri"/>
              </w:rPr>
              <w:t xml:space="preserve">occur </w:t>
            </w:r>
            <w:r w:rsidR="00D24720" w:rsidRPr="00D24720">
              <w:rPr>
                <w:rFonts w:eastAsia="Calibri"/>
              </w:rPr>
              <w:t>when clinically indicated</w:t>
            </w:r>
            <w:r w:rsidRPr="00D24720">
              <w:t>.</w:t>
            </w:r>
            <w:r w:rsidR="00B96457">
              <w:t xml:space="preserve"> </w:t>
            </w:r>
          </w:p>
          <w:p w14:paraId="3168A6C2" w14:textId="77777777" w:rsidR="00B96457" w:rsidRDefault="00B96457" w:rsidP="00603002">
            <w:pPr>
              <w:pStyle w:val="TableText"/>
            </w:pPr>
          </w:p>
          <w:p w14:paraId="629ED751" w14:textId="78831F26" w:rsidR="00B96457" w:rsidRPr="00371021" w:rsidRDefault="00B96457" w:rsidP="00603002">
            <w:pPr>
              <w:pStyle w:val="TableText"/>
            </w:pPr>
            <w:r>
              <w:t xml:space="preserve">The Pre-PBAC Response </w:t>
            </w:r>
            <w:r w:rsidR="00ED13A8">
              <w:t xml:space="preserve">noted EASL 2023 HDV guidelines recommend testing for anti-HDV antibodies in all hepatitis B antigen positive individuals at least once and </w:t>
            </w:r>
            <w:r w:rsidR="00D24720">
              <w:t xml:space="preserve">argued </w:t>
            </w:r>
            <w:r w:rsidR="00ED13A8">
              <w:t>an assumption of a lower testing rate was unreasonable.</w:t>
            </w:r>
          </w:p>
        </w:tc>
      </w:tr>
      <w:tr w:rsidR="00371021" w:rsidRPr="00371021" w14:paraId="71724BE5" w14:textId="77777777" w:rsidTr="00603002">
        <w:trPr>
          <w:cantSplit/>
        </w:trPr>
        <w:tc>
          <w:tcPr>
            <w:tcW w:w="5000" w:type="pct"/>
            <w:gridSpan w:val="3"/>
            <w:shd w:val="clear" w:color="auto" w:fill="auto"/>
            <w:vAlign w:val="center"/>
          </w:tcPr>
          <w:p w14:paraId="470DA4A6" w14:textId="77777777" w:rsidR="00371021" w:rsidRPr="00371021" w:rsidRDefault="00371021" w:rsidP="00603002">
            <w:pPr>
              <w:pStyle w:val="TableText"/>
            </w:pPr>
            <w:r w:rsidRPr="00371021">
              <w:t>Prevalent population – unknown HDV</w:t>
            </w:r>
          </w:p>
        </w:tc>
      </w:tr>
      <w:tr w:rsidR="00371021" w:rsidRPr="00371021" w14:paraId="04607014" w14:textId="77777777" w:rsidTr="0064083C">
        <w:trPr>
          <w:cantSplit/>
          <w:trHeight w:val="1644"/>
        </w:trPr>
        <w:tc>
          <w:tcPr>
            <w:tcW w:w="1412" w:type="pct"/>
            <w:shd w:val="clear" w:color="auto" w:fill="auto"/>
            <w:vAlign w:val="center"/>
          </w:tcPr>
          <w:p w14:paraId="48D68DFF" w14:textId="77777777" w:rsidR="00371021" w:rsidRPr="00371021" w:rsidRDefault="00371021" w:rsidP="00AB472E">
            <w:pPr>
              <w:pStyle w:val="TableText"/>
            </w:pPr>
            <w:r w:rsidRPr="00371021">
              <w:t>Prevalent chronic HBV patients who are engaged in care that are tested for anti-HDV after bulevirtide listed</w:t>
            </w:r>
          </w:p>
        </w:tc>
        <w:tc>
          <w:tcPr>
            <w:tcW w:w="1179" w:type="pct"/>
            <w:shd w:val="clear" w:color="auto" w:fill="auto"/>
            <w:vAlign w:val="center"/>
          </w:tcPr>
          <w:p w14:paraId="6A124893" w14:textId="6C40AF25" w:rsidR="00371021" w:rsidRPr="00371021" w:rsidRDefault="00371021" w:rsidP="00603002">
            <w:pPr>
              <w:pStyle w:val="TableText"/>
            </w:pPr>
            <w:r w:rsidRPr="00371021">
              <w:t xml:space="preserve">Year 1: </w:t>
            </w:r>
            <w:r w:rsidRPr="009807BB">
              <w:t>65</w:t>
            </w:r>
            <w:r w:rsidRPr="00371021">
              <w:t xml:space="preserve">% × </w:t>
            </w:r>
            <w:r w:rsidR="001A4B8B" w:rsidRPr="001A4B8B">
              <w:rPr>
                <w:color w:val="000000"/>
                <w:spacing w:val="51"/>
                <w:shd w:val="solid" w:color="000000" w:fill="000000"/>
                <w:fitText w:val="325" w:id="-961838582"/>
                <w14:textFill>
                  <w14:solidFill>
                    <w14:srgbClr w14:val="000000">
                      <w14:alpha w14:val="100000"/>
                    </w14:srgbClr>
                  </w14:solidFill>
                </w14:textFill>
              </w:rPr>
              <w:t>|||</w:t>
            </w:r>
            <w:r w:rsidR="001A4B8B" w:rsidRPr="001A4B8B">
              <w:rPr>
                <w:color w:val="000000"/>
                <w:spacing w:val="2"/>
                <w:shd w:val="solid" w:color="000000" w:fill="000000"/>
                <w:fitText w:val="325" w:id="-961838582"/>
                <w14:textFill>
                  <w14:solidFill>
                    <w14:srgbClr w14:val="000000">
                      <w14:alpha w14:val="100000"/>
                    </w14:srgbClr>
                  </w14:solidFill>
                </w14:textFill>
              </w:rPr>
              <w:t>|</w:t>
            </w:r>
            <w:r w:rsidRPr="00371021">
              <w:t>%</w:t>
            </w:r>
          </w:p>
          <w:p w14:paraId="5A77208B" w14:textId="6700B845" w:rsidR="00371021" w:rsidRPr="00371021" w:rsidRDefault="00371021" w:rsidP="00603002">
            <w:pPr>
              <w:pStyle w:val="TableText"/>
            </w:pPr>
            <w:r w:rsidRPr="00371021">
              <w:t xml:space="preserve">Year 2: </w:t>
            </w:r>
            <w:r w:rsidRPr="009807BB">
              <w:t>65</w:t>
            </w:r>
            <w:r w:rsidRPr="00371021">
              <w:t xml:space="preserve">% × </w:t>
            </w:r>
            <w:r w:rsidR="001A4B8B" w:rsidRPr="001A4B8B">
              <w:rPr>
                <w:color w:val="000000"/>
                <w:spacing w:val="51"/>
                <w:shd w:val="solid" w:color="000000" w:fill="000000"/>
                <w:fitText w:val="325" w:id="-961838581"/>
                <w14:textFill>
                  <w14:solidFill>
                    <w14:srgbClr w14:val="000000">
                      <w14:alpha w14:val="100000"/>
                    </w14:srgbClr>
                  </w14:solidFill>
                </w14:textFill>
              </w:rPr>
              <w:t>|||</w:t>
            </w:r>
            <w:r w:rsidR="001A4B8B" w:rsidRPr="001A4B8B">
              <w:rPr>
                <w:color w:val="000000"/>
                <w:spacing w:val="2"/>
                <w:shd w:val="solid" w:color="000000" w:fill="000000"/>
                <w:fitText w:val="325" w:id="-961838581"/>
                <w14:textFill>
                  <w14:solidFill>
                    <w14:srgbClr w14:val="000000">
                      <w14:alpha w14:val="100000"/>
                    </w14:srgbClr>
                  </w14:solidFill>
                </w14:textFill>
              </w:rPr>
              <w:t>|</w:t>
            </w:r>
            <w:r w:rsidRPr="00371021">
              <w:t>%</w:t>
            </w:r>
          </w:p>
          <w:p w14:paraId="272858FA" w14:textId="6264C24A" w:rsidR="00371021" w:rsidRPr="00371021" w:rsidRDefault="00371021" w:rsidP="00603002">
            <w:pPr>
              <w:pStyle w:val="TableText"/>
            </w:pPr>
            <w:r w:rsidRPr="00371021">
              <w:t xml:space="preserve">Year 3: </w:t>
            </w:r>
            <w:r w:rsidRPr="009807BB">
              <w:t>65</w:t>
            </w:r>
            <w:r w:rsidRPr="00371021">
              <w:t xml:space="preserve">% × </w:t>
            </w:r>
            <w:r w:rsidR="001A4B8B" w:rsidRPr="001A4B8B">
              <w:rPr>
                <w:color w:val="000000"/>
                <w:spacing w:val="51"/>
                <w:shd w:val="solid" w:color="000000" w:fill="000000"/>
                <w:fitText w:val="325" w:id="-961838580"/>
                <w14:textFill>
                  <w14:solidFill>
                    <w14:srgbClr w14:val="000000">
                      <w14:alpha w14:val="100000"/>
                    </w14:srgbClr>
                  </w14:solidFill>
                </w14:textFill>
              </w:rPr>
              <w:t>|||</w:t>
            </w:r>
            <w:r w:rsidR="001A4B8B" w:rsidRPr="001A4B8B">
              <w:rPr>
                <w:color w:val="000000"/>
                <w:spacing w:val="2"/>
                <w:shd w:val="solid" w:color="000000" w:fill="000000"/>
                <w:fitText w:val="325" w:id="-961838580"/>
                <w14:textFill>
                  <w14:solidFill>
                    <w14:srgbClr w14:val="000000">
                      <w14:alpha w14:val="100000"/>
                    </w14:srgbClr>
                  </w14:solidFill>
                </w14:textFill>
              </w:rPr>
              <w:t>|</w:t>
            </w:r>
            <w:r w:rsidRPr="00371021">
              <w:t>%</w:t>
            </w:r>
          </w:p>
          <w:p w14:paraId="51EA388D" w14:textId="4A51E9F5" w:rsidR="00371021" w:rsidRPr="00371021" w:rsidRDefault="00371021" w:rsidP="00603002">
            <w:pPr>
              <w:pStyle w:val="TableText"/>
            </w:pPr>
            <w:r w:rsidRPr="00371021">
              <w:t xml:space="preserve">Assuming </w:t>
            </w:r>
            <w:r w:rsidR="001A4B8B" w:rsidRPr="001A4B8B">
              <w:rPr>
                <w:color w:val="000000"/>
                <w:spacing w:val="51"/>
                <w:shd w:val="solid" w:color="000000" w:fill="000000"/>
                <w:fitText w:val="326" w:id="-961838579"/>
                <w14:textFill>
                  <w14:solidFill>
                    <w14:srgbClr w14:val="000000">
                      <w14:alpha w14:val="100000"/>
                    </w14:srgbClr>
                  </w14:solidFill>
                </w14:textFill>
              </w:rPr>
              <w:t>|||</w:t>
            </w:r>
            <w:r w:rsidR="001A4B8B" w:rsidRPr="001A4B8B">
              <w:rPr>
                <w:color w:val="000000"/>
                <w:spacing w:val="3"/>
                <w:shd w:val="solid" w:color="000000" w:fill="000000"/>
                <w:fitText w:val="326" w:id="-961838579"/>
                <w14:textFill>
                  <w14:solidFill>
                    <w14:srgbClr w14:val="000000">
                      <w14:alpha w14:val="100000"/>
                    </w14:srgbClr>
                  </w14:solidFill>
                </w14:textFill>
              </w:rPr>
              <w:t>|</w:t>
            </w:r>
            <w:r w:rsidRPr="00371021">
              <w:t>% uptake in those not previously tested for anti-HDV testing, over the first three years of listing</w:t>
            </w:r>
          </w:p>
        </w:tc>
        <w:tc>
          <w:tcPr>
            <w:tcW w:w="2408" w:type="pct"/>
            <w:shd w:val="clear" w:color="auto" w:fill="auto"/>
            <w:vAlign w:val="center"/>
          </w:tcPr>
          <w:p w14:paraId="218848E0" w14:textId="20D6B593" w:rsidR="00836F1F" w:rsidRPr="00371021" w:rsidRDefault="00371021" w:rsidP="00603002">
            <w:pPr>
              <w:pStyle w:val="TableText"/>
            </w:pPr>
            <w:r w:rsidRPr="00371021">
              <w:t>Given the limited treatment options,</w:t>
            </w:r>
            <w:r w:rsidR="00ED13A8">
              <w:t xml:space="preserve"> the evaluation considered</w:t>
            </w:r>
            <w:r w:rsidRPr="00371021">
              <w:t xml:space="preserve"> it’s plausible that the distribution of testing uptake could shift to earlier years. The submission has not assumed any change in testing in prevalent patients </w:t>
            </w:r>
            <w:r w:rsidR="00E6273A">
              <w:t xml:space="preserve">who </w:t>
            </w:r>
            <w:r w:rsidRPr="00371021">
              <w:t>are currently not engaged in care (69% of prevalent chronic HBV cases).</w:t>
            </w:r>
            <w:r w:rsidR="00836F1F">
              <w:t xml:space="preserve"> </w:t>
            </w:r>
            <w:r w:rsidR="00E6273A">
              <w:t xml:space="preserve">The PBAC considered these </w:t>
            </w:r>
            <w:r w:rsidR="00CB12DD">
              <w:t>estim</w:t>
            </w:r>
            <w:r w:rsidR="00E6273A">
              <w:t xml:space="preserve">ates </w:t>
            </w:r>
            <w:r w:rsidR="0064083C">
              <w:t>were</w:t>
            </w:r>
            <w:r w:rsidR="00E6273A">
              <w:t xml:space="preserve"> uncertain.</w:t>
            </w:r>
          </w:p>
        </w:tc>
      </w:tr>
      <w:tr w:rsidR="00371021" w:rsidRPr="00371021" w14:paraId="141D268C" w14:textId="77777777" w:rsidTr="00682D02">
        <w:trPr>
          <w:cantSplit/>
        </w:trPr>
        <w:tc>
          <w:tcPr>
            <w:tcW w:w="1412" w:type="pct"/>
            <w:tcBorders>
              <w:right w:val="nil"/>
            </w:tcBorders>
            <w:shd w:val="clear" w:color="auto" w:fill="auto"/>
            <w:vAlign w:val="center"/>
          </w:tcPr>
          <w:p w14:paraId="02B8534F" w14:textId="77777777" w:rsidR="00371021" w:rsidRPr="00371021" w:rsidRDefault="00371021" w:rsidP="00603002">
            <w:pPr>
              <w:pStyle w:val="TableText"/>
            </w:pPr>
            <w:r w:rsidRPr="00371021">
              <w:t>Incident population</w:t>
            </w:r>
          </w:p>
        </w:tc>
        <w:tc>
          <w:tcPr>
            <w:tcW w:w="1179" w:type="pct"/>
            <w:tcBorders>
              <w:left w:val="nil"/>
              <w:right w:val="nil"/>
            </w:tcBorders>
            <w:shd w:val="clear" w:color="auto" w:fill="auto"/>
            <w:vAlign w:val="center"/>
          </w:tcPr>
          <w:p w14:paraId="7460BF55" w14:textId="77777777" w:rsidR="00371021" w:rsidRPr="00371021" w:rsidRDefault="00371021" w:rsidP="00603002">
            <w:pPr>
              <w:pStyle w:val="TableText"/>
            </w:pPr>
          </w:p>
        </w:tc>
        <w:tc>
          <w:tcPr>
            <w:tcW w:w="2408" w:type="pct"/>
            <w:tcBorders>
              <w:left w:val="nil"/>
            </w:tcBorders>
            <w:shd w:val="clear" w:color="auto" w:fill="auto"/>
            <w:vAlign w:val="center"/>
          </w:tcPr>
          <w:p w14:paraId="3E992494" w14:textId="77777777" w:rsidR="00371021" w:rsidRPr="00371021" w:rsidRDefault="00371021" w:rsidP="00603002">
            <w:pPr>
              <w:pStyle w:val="TableText"/>
            </w:pPr>
          </w:p>
        </w:tc>
      </w:tr>
      <w:tr w:rsidR="00371021" w:rsidRPr="00371021" w14:paraId="52CE091D" w14:textId="77777777" w:rsidTr="00682D02">
        <w:trPr>
          <w:cantSplit/>
        </w:trPr>
        <w:tc>
          <w:tcPr>
            <w:tcW w:w="1412" w:type="pct"/>
            <w:shd w:val="clear" w:color="auto" w:fill="auto"/>
            <w:vAlign w:val="center"/>
          </w:tcPr>
          <w:p w14:paraId="3D5C8819" w14:textId="77777777" w:rsidR="00371021" w:rsidRPr="00AB472E" w:rsidRDefault="00371021" w:rsidP="00AB472E">
            <w:pPr>
              <w:pStyle w:val="TableText"/>
            </w:pPr>
            <w:r w:rsidRPr="00AB472E">
              <w:t>Incidence of chronic HBV</w:t>
            </w:r>
          </w:p>
        </w:tc>
        <w:tc>
          <w:tcPr>
            <w:tcW w:w="1179" w:type="pct"/>
            <w:shd w:val="clear" w:color="auto" w:fill="auto"/>
            <w:vAlign w:val="center"/>
          </w:tcPr>
          <w:p w14:paraId="21DE0C9D" w14:textId="77777777" w:rsidR="00371021" w:rsidRPr="00371021" w:rsidRDefault="00371021" w:rsidP="00603002">
            <w:pPr>
              <w:pStyle w:val="TableText"/>
            </w:pPr>
            <w:r w:rsidRPr="00371021">
              <w:t>0.02056% (Communicable Diseases Dashboard for 2022) </w:t>
            </w:r>
            <w:r w:rsidRPr="00371021">
              <w:rPr>
                <w:vertAlign w:val="superscript"/>
              </w:rPr>
              <w:t>b</w:t>
            </w:r>
          </w:p>
        </w:tc>
        <w:tc>
          <w:tcPr>
            <w:tcW w:w="2408" w:type="pct"/>
            <w:shd w:val="clear" w:color="auto" w:fill="auto"/>
            <w:vAlign w:val="center"/>
          </w:tcPr>
          <w:p w14:paraId="5E969B3B" w14:textId="2EF35A12" w:rsidR="00371021" w:rsidRPr="00371021" w:rsidRDefault="007340CC" w:rsidP="00603002">
            <w:pPr>
              <w:pStyle w:val="TableText"/>
            </w:pPr>
            <w:r>
              <w:t xml:space="preserve">DUSC considered </w:t>
            </w:r>
            <w:r w:rsidR="00CB12DD">
              <w:t>t</w:t>
            </w:r>
            <w:r w:rsidR="00E6273A">
              <w:t>his</w:t>
            </w:r>
            <w:r w:rsidR="00371021" w:rsidRPr="00371021">
              <w:t xml:space="preserve"> was reasonable.</w:t>
            </w:r>
          </w:p>
        </w:tc>
      </w:tr>
      <w:tr w:rsidR="00371021" w:rsidRPr="00371021" w14:paraId="6681F763" w14:textId="77777777" w:rsidTr="00682D02">
        <w:trPr>
          <w:cantSplit/>
        </w:trPr>
        <w:tc>
          <w:tcPr>
            <w:tcW w:w="1412" w:type="pct"/>
            <w:shd w:val="clear" w:color="auto" w:fill="auto"/>
          </w:tcPr>
          <w:p w14:paraId="45407FD7" w14:textId="77777777" w:rsidR="00371021" w:rsidRPr="00AB472E" w:rsidRDefault="00371021" w:rsidP="00AB472E">
            <w:pPr>
              <w:pStyle w:val="TableText"/>
            </w:pPr>
            <w:r w:rsidRPr="00AB472E">
              <w:t>Incident chronic HBV patients diagnosed &amp; engaged in care</w:t>
            </w:r>
          </w:p>
        </w:tc>
        <w:tc>
          <w:tcPr>
            <w:tcW w:w="1179" w:type="pct"/>
            <w:shd w:val="clear" w:color="auto" w:fill="auto"/>
            <w:vAlign w:val="center"/>
          </w:tcPr>
          <w:p w14:paraId="567540EF" w14:textId="4C137C10" w:rsidR="00371021" w:rsidRPr="00371021" w:rsidRDefault="00371021" w:rsidP="00603002">
            <w:pPr>
              <w:pStyle w:val="TableText"/>
            </w:pPr>
            <w:r w:rsidRPr="00371021">
              <w:t>90.0% (</w:t>
            </w:r>
            <w:r w:rsidR="00D24720">
              <w:t>a</w:t>
            </w:r>
            <w:r w:rsidRPr="00371021">
              <w:t>ssumption)</w:t>
            </w:r>
          </w:p>
        </w:tc>
        <w:tc>
          <w:tcPr>
            <w:tcW w:w="2408" w:type="pct"/>
            <w:shd w:val="clear" w:color="auto" w:fill="auto"/>
            <w:vAlign w:val="center"/>
          </w:tcPr>
          <w:p w14:paraId="6B48E4E4" w14:textId="2213690C" w:rsidR="00371021" w:rsidRPr="00371021" w:rsidRDefault="007340CC" w:rsidP="00603002">
            <w:pPr>
              <w:pStyle w:val="TableText"/>
            </w:pPr>
            <w:r>
              <w:t>DUSC considered it was unclear why this was much higher than the estimate</w:t>
            </w:r>
            <w:r w:rsidR="00E6273A">
              <w:t>d</w:t>
            </w:r>
            <w:r>
              <w:t xml:space="preserve"> proportion of prevalent patients diagnosed and engaged in care</w:t>
            </w:r>
            <w:r w:rsidR="00E6273A">
              <w:t xml:space="preserve">. </w:t>
            </w:r>
            <w:r w:rsidR="005626BE">
              <w:t>The pre</w:t>
            </w:r>
            <w:r w:rsidR="00E6273A">
              <w:t>-</w:t>
            </w:r>
            <w:r w:rsidR="005626BE">
              <w:t>PBAC response</w:t>
            </w:r>
            <w:r w:rsidR="00E6273A">
              <w:t xml:space="preserve"> noted </w:t>
            </w:r>
            <w:r w:rsidR="00E6273A" w:rsidRPr="00CB12DD">
              <w:t>it is assumed that most newly diagnosed patients will remain engaged in care for a period of time following diagnosis.</w:t>
            </w:r>
          </w:p>
        </w:tc>
      </w:tr>
      <w:tr w:rsidR="00371021" w:rsidRPr="00371021" w14:paraId="22483CCC" w14:textId="77777777" w:rsidTr="00682D02">
        <w:trPr>
          <w:cantSplit/>
        </w:trPr>
        <w:tc>
          <w:tcPr>
            <w:tcW w:w="1412" w:type="pct"/>
            <w:shd w:val="clear" w:color="auto" w:fill="auto"/>
          </w:tcPr>
          <w:p w14:paraId="22FC74D9" w14:textId="77777777" w:rsidR="00371021" w:rsidRPr="00AB472E" w:rsidRDefault="00371021" w:rsidP="00AB472E">
            <w:pPr>
              <w:pStyle w:val="TableText"/>
            </w:pPr>
            <w:r w:rsidRPr="00AB472E">
              <w:t>Incident chronic HBV patients tested for anti-HDV after bulevirtide listed</w:t>
            </w:r>
          </w:p>
        </w:tc>
        <w:tc>
          <w:tcPr>
            <w:tcW w:w="1179" w:type="pct"/>
            <w:shd w:val="clear" w:color="auto" w:fill="auto"/>
            <w:vAlign w:val="center"/>
          </w:tcPr>
          <w:p w14:paraId="4A1B612E" w14:textId="636C1AF4" w:rsidR="00371021" w:rsidRPr="00371021" w:rsidRDefault="001A4B8B" w:rsidP="00603002">
            <w:pPr>
              <w:pStyle w:val="TableText"/>
            </w:pPr>
            <w:r w:rsidRPr="001A4B8B">
              <w:rPr>
                <w:color w:val="000000"/>
                <w:spacing w:val="51"/>
                <w:shd w:val="solid" w:color="000000" w:fill="000000"/>
                <w:fitText w:val="326" w:id="-961838578"/>
                <w14:textFill>
                  <w14:solidFill>
                    <w14:srgbClr w14:val="000000">
                      <w14:alpha w14:val="100000"/>
                    </w14:srgbClr>
                  </w14:solidFill>
                </w14:textFill>
              </w:rPr>
              <w:t>|||</w:t>
            </w:r>
            <w:r w:rsidRPr="001A4B8B">
              <w:rPr>
                <w:color w:val="000000"/>
                <w:spacing w:val="3"/>
                <w:shd w:val="solid" w:color="000000" w:fill="000000"/>
                <w:fitText w:val="326" w:id="-961838578"/>
                <w14:textFill>
                  <w14:solidFill>
                    <w14:srgbClr w14:val="000000">
                      <w14:alpha w14:val="100000"/>
                    </w14:srgbClr>
                  </w14:solidFill>
                </w14:textFill>
              </w:rPr>
              <w:t>|</w:t>
            </w:r>
            <w:r w:rsidR="00371021" w:rsidRPr="00371021">
              <w:t xml:space="preserve">% in Year 1 increasing to </w:t>
            </w:r>
            <w:r w:rsidRPr="001A4B8B">
              <w:rPr>
                <w:color w:val="000000"/>
                <w:spacing w:val="56"/>
                <w:shd w:val="solid" w:color="000000" w:fill="000000"/>
                <w:fitText w:val="339" w:id="-961838577"/>
                <w14:textFill>
                  <w14:solidFill>
                    <w14:srgbClr w14:val="000000">
                      <w14:alpha w14:val="100000"/>
                    </w14:srgbClr>
                  </w14:solidFill>
                </w14:textFill>
              </w:rPr>
              <w:t>|||</w:t>
            </w:r>
            <w:r w:rsidRPr="001A4B8B">
              <w:rPr>
                <w:color w:val="000000"/>
                <w:spacing w:val="1"/>
                <w:shd w:val="solid" w:color="000000" w:fill="000000"/>
                <w:fitText w:val="339" w:id="-961838577"/>
                <w14:textFill>
                  <w14:solidFill>
                    <w14:srgbClr w14:val="000000">
                      <w14:alpha w14:val="100000"/>
                    </w14:srgbClr>
                  </w14:solidFill>
                </w14:textFill>
              </w:rPr>
              <w:t>|</w:t>
            </w:r>
            <w:r w:rsidR="00371021" w:rsidRPr="00371021">
              <w:t>% from Year 3 (</w:t>
            </w:r>
            <w:r w:rsidR="00D24720">
              <w:t>a</w:t>
            </w:r>
            <w:r w:rsidR="00371021" w:rsidRPr="00371021">
              <w:t>ssumption)</w:t>
            </w:r>
          </w:p>
        </w:tc>
        <w:tc>
          <w:tcPr>
            <w:tcW w:w="2408" w:type="pct"/>
            <w:shd w:val="clear" w:color="auto" w:fill="auto"/>
            <w:vAlign w:val="center"/>
          </w:tcPr>
          <w:p w14:paraId="176BEBF8" w14:textId="02D3FA01" w:rsidR="00371021" w:rsidRPr="00371021" w:rsidRDefault="00E6273A" w:rsidP="00603002">
            <w:pPr>
              <w:pStyle w:val="TableText"/>
            </w:pPr>
            <w:r>
              <w:t>As for the prevalent, population these estimates are uncertain</w:t>
            </w:r>
            <w:r w:rsidR="00371021" w:rsidRPr="00371021">
              <w:t>.</w:t>
            </w:r>
            <w:r w:rsidR="007340CC">
              <w:t xml:space="preserve"> </w:t>
            </w:r>
          </w:p>
        </w:tc>
      </w:tr>
      <w:tr w:rsidR="00371021" w:rsidRPr="00371021" w14:paraId="4CCF0613" w14:textId="77777777" w:rsidTr="00682D02">
        <w:trPr>
          <w:cantSplit/>
        </w:trPr>
        <w:tc>
          <w:tcPr>
            <w:tcW w:w="1412" w:type="pct"/>
            <w:shd w:val="clear" w:color="auto" w:fill="auto"/>
            <w:vAlign w:val="center"/>
          </w:tcPr>
          <w:p w14:paraId="48511E53" w14:textId="77777777" w:rsidR="00371021" w:rsidRPr="00371021" w:rsidRDefault="00371021" w:rsidP="00603002">
            <w:pPr>
              <w:pStyle w:val="TableText"/>
            </w:pPr>
            <w:r w:rsidRPr="00371021">
              <w:t>Proportion chronic HBV patients who are anti-HDV+</w:t>
            </w:r>
          </w:p>
        </w:tc>
        <w:tc>
          <w:tcPr>
            <w:tcW w:w="1179" w:type="pct"/>
            <w:shd w:val="clear" w:color="auto" w:fill="auto"/>
            <w:vAlign w:val="center"/>
          </w:tcPr>
          <w:p w14:paraId="6B05232D" w14:textId="77777777" w:rsidR="00371021" w:rsidRPr="00371021" w:rsidRDefault="00371021" w:rsidP="00603002">
            <w:pPr>
              <w:pStyle w:val="TableText"/>
            </w:pPr>
            <w:r w:rsidRPr="00371021">
              <w:t>4.06% (Coghill 2018 </w:t>
            </w:r>
            <w:r w:rsidRPr="00371021">
              <w:rPr>
                <w:vertAlign w:val="superscript"/>
              </w:rPr>
              <w:t>c</w:t>
            </w:r>
            <w:r w:rsidRPr="00371021">
              <w:t>, Jackson 2018 </w:t>
            </w:r>
            <w:r w:rsidRPr="00371021">
              <w:rPr>
                <w:vertAlign w:val="superscript"/>
              </w:rPr>
              <w:t>d</w:t>
            </w:r>
            <w:r w:rsidRPr="00371021">
              <w:t xml:space="preserve"> and Shadur 2013 </w:t>
            </w:r>
            <w:r w:rsidRPr="00371021">
              <w:rPr>
                <w:vertAlign w:val="superscript"/>
              </w:rPr>
              <w:t>e</w:t>
            </w:r>
            <w:r w:rsidRPr="00371021">
              <w:t>)</w:t>
            </w:r>
          </w:p>
        </w:tc>
        <w:tc>
          <w:tcPr>
            <w:tcW w:w="2408" w:type="pct"/>
            <w:shd w:val="clear" w:color="auto" w:fill="auto"/>
            <w:vAlign w:val="center"/>
          </w:tcPr>
          <w:p w14:paraId="7F2D7FCF" w14:textId="192AB116" w:rsidR="00371021" w:rsidRDefault="00CB1ADD" w:rsidP="00603002">
            <w:pPr>
              <w:pStyle w:val="TableText"/>
            </w:pPr>
            <w:r>
              <w:t xml:space="preserve">The evaluation considered this was reasonable. </w:t>
            </w:r>
            <w:r w:rsidR="00682D02">
              <w:t xml:space="preserve">The DUSC noted that the weighted value was 4.21%. </w:t>
            </w:r>
            <w:r>
              <w:t>The DUSC considered this may be an overestimate</w:t>
            </w:r>
            <w:r w:rsidR="00CD0D02">
              <w:t>, and that sensitivity analyses down to 3 times the numbers reported in the National Notifiable Disease Surveillance System (NNDSS) may be informative</w:t>
            </w:r>
            <w:r>
              <w:t xml:space="preserve">. </w:t>
            </w:r>
          </w:p>
          <w:p w14:paraId="36D217E4" w14:textId="77777777" w:rsidR="00ED13A8" w:rsidRDefault="00ED13A8" w:rsidP="00603002">
            <w:pPr>
              <w:pStyle w:val="TableText"/>
            </w:pPr>
          </w:p>
          <w:p w14:paraId="3F236B0F" w14:textId="680082FF" w:rsidR="00ED13A8" w:rsidRPr="00371021" w:rsidRDefault="00ED13A8" w:rsidP="00603002">
            <w:pPr>
              <w:pStyle w:val="TableText"/>
            </w:pPr>
            <w:r>
              <w:t>The Pre-PBAC Response reiterated this figure was based on a weighted average of three high quality Australian studies and should be considered reliable.</w:t>
            </w:r>
          </w:p>
        </w:tc>
      </w:tr>
      <w:tr w:rsidR="00371021" w:rsidRPr="00371021" w14:paraId="7D0D9501" w14:textId="77777777" w:rsidTr="00682D02">
        <w:trPr>
          <w:cantSplit/>
        </w:trPr>
        <w:tc>
          <w:tcPr>
            <w:tcW w:w="1412" w:type="pct"/>
            <w:shd w:val="clear" w:color="auto" w:fill="auto"/>
            <w:vAlign w:val="center"/>
          </w:tcPr>
          <w:p w14:paraId="3D28E8C2" w14:textId="77777777" w:rsidR="00371021" w:rsidRPr="00371021" w:rsidRDefault="00371021" w:rsidP="00603002">
            <w:pPr>
              <w:pStyle w:val="TableText"/>
            </w:pPr>
            <w:r w:rsidRPr="00371021">
              <w:t>Uptake of RNA testing in anti-HDV+ prior to bulevirtide listed</w:t>
            </w:r>
          </w:p>
        </w:tc>
        <w:tc>
          <w:tcPr>
            <w:tcW w:w="1179" w:type="pct"/>
            <w:shd w:val="clear" w:color="auto" w:fill="auto"/>
            <w:vAlign w:val="center"/>
          </w:tcPr>
          <w:p w14:paraId="65763CDB" w14:textId="77777777" w:rsidR="00371021" w:rsidRPr="00371021" w:rsidRDefault="00371021" w:rsidP="00603002">
            <w:pPr>
              <w:pStyle w:val="TableText"/>
            </w:pPr>
            <w:r w:rsidRPr="00371021">
              <w:t>44.4% (Coghill 2018 </w:t>
            </w:r>
            <w:r w:rsidRPr="00371021">
              <w:rPr>
                <w:vertAlign w:val="superscript"/>
              </w:rPr>
              <w:t>c</w:t>
            </w:r>
            <w:r w:rsidRPr="00371021">
              <w:t>, Jackson 2018 </w:t>
            </w:r>
            <w:r w:rsidRPr="00371021">
              <w:rPr>
                <w:vertAlign w:val="superscript"/>
              </w:rPr>
              <w:t>d</w:t>
            </w:r>
            <w:r w:rsidRPr="00371021">
              <w:t xml:space="preserve"> and Shadur 2013 </w:t>
            </w:r>
            <w:r w:rsidRPr="00371021">
              <w:rPr>
                <w:vertAlign w:val="superscript"/>
              </w:rPr>
              <w:t>e</w:t>
            </w:r>
            <w:r w:rsidRPr="00371021">
              <w:t>)</w:t>
            </w:r>
          </w:p>
        </w:tc>
        <w:tc>
          <w:tcPr>
            <w:tcW w:w="2408" w:type="pct"/>
            <w:shd w:val="clear" w:color="auto" w:fill="auto"/>
            <w:vAlign w:val="center"/>
          </w:tcPr>
          <w:p w14:paraId="04098A5C" w14:textId="77777777" w:rsidR="00371021" w:rsidRPr="00371021" w:rsidRDefault="00371021" w:rsidP="00603002">
            <w:pPr>
              <w:pStyle w:val="TableText"/>
            </w:pPr>
            <w:r w:rsidRPr="00371021">
              <w:t>Given that only a small number of labs currently provide HDV RNA testing, it is unclear whether the estimates derived from these studies apply across the country.</w:t>
            </w:r>
          </w:p>
        </w:tc>
      </w:tr>
      <w:tr w:rsidR="00371021" w:rsidRPr="00371021" w14:paraId="04BF598D" w14:textId="77777777" w:rsidTr="00682D02">
        <w:trPr>
          <w:cantSplit/>
        </w:trPr>
        <w:tc>
          <w:tcPr>
            <w:tcW w:w="1412" w:type="pct"/>
            <w:tcBorders>
              <w:bottom w:val="single" w:sz="4" w:space="0" w:color="auto"/>
            </w:tcBorders>
            <w:shd w:val="clear" w:color="auto" w:fill="auto"/>
            <w:vAlign w:val="center"/>
          </w:tcPr>
          <w:p w14:paraId="0D1A404D" w14:textId="77777777" w:rsidR="00371021" w:rsidRPr="00371021" w:rsidRDefault="00371021" w:rsidP="00603002">
            <w:pPr>
              <w:pStyle w:val="TableText"/>
            </w:pPr>
            <w:r w:rsidRPr="00371021">
              <w:t>Uptake of RNA testing in anti-HDV+ after bulevirtide listed</w:t>
            </w:r>
          </w:p>
        </w:tc>
        <w:tc>
          <w:tcPr>
            <w:tcW w:w="1179" w:type="pct"/>
            <w:tcBorders>
              <w:bottom w:val="single" w:sz="4" w:space="0" w:color="auto"/>
            </w:tcBorders>
            <w:shd w:val="clear" w:color="auto" w:fill="auto"/>
            <w:vAlign w:val="center"/>
          </w:tcPr>
          <w:p w14:paraId="4321840B" w14:textId="5A597A02" w:rsidR="00371021" w:rsidRPr="00371021" w:rsidRDefault="001A4B8B" w:rsidP="00603002">
            <w:pPr>
              <w:pStyle w:val="TableText"/>
            </w:pPr>
            <w:r w:rsidRPr="001A4B8B">
              <w:rPr>
                <w:color w:val="000000"/>
                <w:spacing w:val="51"/>
                <w:shd w:val="solid" w:color="000000" w:fill="000000"/>
                <w:fitText w:val="326" w:id="-961838576"/>
                <w14:textFill>
                  <w14:solidFill>
                    <w14:srgbClr w14:val="000000">
                      <w14:alpha w14:val="100000"/>
                    </w14:srgbClr>
                  </w14:solidFill>
                </w14:textFill>
              </w:rPr>
              <w:t>|||</w:t>
            </w:r>
            <w:r w:rsidRPr="001A4B8B">
              <w:rPr>
                <w:color w:val="000000"/>
                <w:spacing w:val="3"/>
                <w:shd w:val="solid" w:color="000000" w:fill="000000"/>
                <w:fitText w:val="326" w:id="-961838576"/>
                <w14:textFill>
                  <w14:solidFill>
                    <w14:srgbClr w14:val="000000">
                      <w14:alpha w14:val="100000"/>
                    </w14:srgbClr>
                  </w14:solidFill>
                </w14:textFill>
              </w:rPr>
              <w:t>|</w:t>
            </w:r>
            <w:r w:rsidR="00371021" w:rsidRPr="00371021">
              <w:t xml:space="preserve">% in Year 1 increasing to </w:t>
            </w:r>
            <w:r w:rsidRPr="001A4B8B">
              <w:rPr>
                <w:color w:val="000000"/>
                <w:spacing w:val="56"/>
                <w:shd w:val="solid" w:color="000000" w:fill="000000"/>
                <w:fitText w:val="339" w:id="-961838592"/>
                <w14:textFill>
                  <w14:solidFill>
                    <w14:srgbClr w14:val="000000">
                      <w14:alpha w14:val="100000"/>
                    </w14:srgbClr>
                  </w14:solidFill>
                </w14:textFill>
              </w:rPr>
              <w:t>|||</w:t>
            </w:r>
            <w:r w:rsidRPr="001A4B8B">
              <w:rPr>
                <w:color w:val="000000"/>
                <w:spacing w:val="1"/>
                <w:shd w:val="solid" w:color="000000" w:fill="000000"/>
                <w:fitText w:val="339" w:id="-961838592"/>
                <w14:textFill>
                  <w14:solidFill>
                    <w14:srgbClr w14:val="000000">
                      <w14:alpha w14:val="100000"/>
                    </w14:srgbClr>
                  </w14:solidFill>
                </w14:textFill>
              </w:rPr>
              <w:t>|</w:t>
            </w:r>
            <w:r w:rsidR="00371021" w:rsidRPr="00371021">
              <w:t>% from Year 3 (</w:t>
            </w:r>
            <w:r w:rsidR="00682D02">
              <w:t>a</w:t>
            </w:r>
            <w:r w:rsidR="00371021" w:rsidRPr="00371021">
              <w:t>ssumption, supported by clinician discussions)</w:t>
            </w:r>
          </w:p>
        </w:tc>
        <w:tc>
          <w:tcPr>
            <w:tcW w:w="2408" w:type="pct"/>
            <w:tcBorders>
              <w:bottom w:val="single" w:sz="4" w:space="0" w:color="auto"/>
            </w:tcBorders>
            <w:shd w:val="clear" w:color="auto" w:fill="auto"/>
            <w:vAlign w:val="center"/>
          </w:tcPr>
          <w:p w14:paraId="77D36B11" w14:textId="77777777" w:rsidR="00371021" w:rsidRPr="00371021" w:rsidRDefault="00371021" w:rsidP="00603002">
            <w:pPr>
              <w:pStyle w:val="TableText"/>
            </w:pPr>
            <w:r w:rsidRPr="00371021">
              <w:t>Uptake of HDV RNA testing may be higher than assumed in initial years as the increase in anti-HDV testing is due to increased awareness and availability of HDV RNA testing and bulevirtide treatment.</w:t>
            </w:r>
          </w:p>
        </w:tc>
      </w:tr>
      <w:tr w:rsidR="00371021" w:rsidRPr="00371021" w14:paraId="13331646" w14:textId="77777777" w:rsidTr="00682D02">
        <w:trPr>
          <w:cantSplit/>
        </w:trPr>
        <w:tc>
          <w:tcPr>
            <w:tcW w:w="1412" w:type="pct"/>
            <w:shd w:val="clear" w:color="auto" w:fill="auto"/>
            <w:vAlign w:val="center"/>
          </w:tcPr>
          <w:p w14:paraId="3BDB18C4" w14:textId="77777777" w:rsidR="00371021" w:rsidRPr="00371021" w:rsidRDefault="00371021" w:rsidP="00603002">
            <w:pPr>
              <w:pStyle w:val="TableText"/>
            </w:pPr>
            <w:r w:rsidRPr="00371021">
              <w:lastRenderedPageBreak/>
              <w:t>Proportion HDV RNA positive</w:t>
            </w:r>
          </w:p>
        </w:tc>
        <w:tc>
          <w:tcPr>
            <w:tcW w:w="1179" w:type="pct"/>
            <w:shd w:val="clear" w:color="auto" w:fill="auto"/>
            <w:vAlign w:val="center"/>
          </w:tcPr>
          <w:p w14:paraId="5F51E6ED" w14:textId="77777777" w:rsidR="00371021" w:rsidRPr="00371021" w:rsidRDefault="00371021" w:rsidP="00603002">
            <w:pPr>
              <w:pStyle w:val="TableText"/>
            </w:pPr>
            <w:r w:rsidRPr="00371021">
              <w:t>56.2% (Coghill 2018 </w:t>
            </w:r>
            <w:r w:rsidRPr="00371021">
              <w:rPr>
                <w:vertAlign w:val="superscript"/>
              </w:rPr>
              <w:t>c</w:t>
            </w:r>
            <w:r w:rsidRPr="00371021">
              <w:t>, Jackson 2018 </w:t>
            </w:r>
            <w:r w:rsidRPr="00371021">
              <w:rPr>
                <w:vertAlign w:val="superscript"/>
              </w:rPr>
              <w:t>d</w:t>
            </w:r>
            <w:r w:rsidRPr="00371021">
              <w:t xml:space="preserve"> and Shadur 2013 </w:t>
            </w:r>
            <w:r w:rsidRPr="00371021">
              <w:rPr>
                <w:vertAlign w:val="superscript"/>
              </w:rPr>
              <w:t>e</w:t>
            </w:r>
            <w:r w:rsidRPr="00371021">
              <w:t>)</w:t>
            </w:r>
          </w:p>
        </w:tc>
        <w:tc>
          <w:tcPr>
            <w:tcW w:w="2408" w:type="pct"/>
            <w:shd w:val="clear" w:color="auto" w:fill="auto"/>
            <w:vAlign w:val="center"/>
          </w:tcPr>
          <w:p w14:paraId="6414F620" w14:textId="77777777" w:rsidR="00371021" w:rsidRPr="00371021" w:rsidRDefault="00371021" w:rsidP="00603002">
            <w:pPr>
              <w:pStyle w:val="TableText"/>
            </w:pPr>
            <w:r w:rsidRPr="00371021">
              <w:t>Jackson (2018) </w:t>
            </w:r>
            <w:r w:rsidRPr="00371021">
              <w:rPr>
                <w:vertAlign w:val="superscript"/>
              </w:rPr>
              <w:t xml:space="preserve">d </w:t>
            </w:r>
            <w:r w:rsidRPr="00371021">
              <w:t>reported the proportion of RNA positives in anti-HDV+ with PCR requests (29/63, 46%) and patients who were randomly tested (i.e. without a PCR request) and found to be anti-HDV+ (10/20, 50%). The estimate applied from this study was 50% of 63, which may not be reasonable.</w:t>
            </w:r>
          </w:p>
        </w:tc>
      </w:tr>
      <w:tr w:rsidR="00371021" w:rsidRPr="00371021" w14:paraId="25722D78" w14:textId="77777777" w:rsidTr="00682D02">
        <w:trPr>
          <w:cantSplit/>
        </w:trPr>
        <w:tc>
          <w:tcPr>
            <w:tcW w:w="1412" w:type="pct"/>
            <w:tcBorders>
              <w:bottom w:val="single" w:sz="4" w:space="0" w:color="auto"/>
            </w:tcBorders>
            <w:shd w:val="clear" w:color="auto" w:fill="auto"/>
            <w:vAlign w:val="center"/>
          </w:tcPr>
          <w:p w14:paraId="29EA3D71" w14:textId="77777777" w:rsidR="00371021" w:rsidRPr="00371021" w:rsidRDefault="00371021" w:rsidP="00603002">
            <w:pPr>
              <w:pStyle w:val="TableText"/>
            </w:pPr>
            <w:r w:rsidRPr="00371021">
              <w:t>Proportion HDV RNA positive patients eligible for bulevirtide</w:t>
            </w:r>
          </w:p>
        </w:tc>
        <w:tc>
          <w:tcPr>
            <w:tcW w:w="1179" w:type="pct"/>
            <w:tcBorders>
              <w:bottom w:val="single" w:sz="4" w:space="0" w:color="auto"/>
            </w:tcBorders>
            <w:shd w:val="clear" w:color="auto" w:fill="auto"/>
            <w:vAlign w:val="center"/>
          </w:tcPr>
          <w:p w14:paraId="1A43F2DE" w14:textId="77777777" w:rsidR="00371021" w:rsidRPr="00371021" w:rsidRDefault="00371021" w:rsidP="00603002">
            <w:pPr>
              <w:pStyle w:val="TableText"/>
            </w:pPr>
            <w:r w:rsidRPr="00371021">
              <w:t>82.0% (MYR301)</w:t>
            </w:r>
          </w:p>
        </w:tc>
        <w:tc>
          <w:tcPr>
            <w:tcW w:w="2408" w:type="pct"/>
            <w:tcBorders>
              <w:bottom w:val="single" w:sz="4" w:space="0" w:color="auto"/>
            </w:tcBorders>
            <w:shd w:val="clear" w:color="auto" w:fill="auto"/>
            <w:vAlign w:val="center"/>
          </w:tcPr>
          <w:p w14:paraId="4B1227BB" w14:textId="28DD3F09" w:rsidR="00951564" w:rsidRDefault="00371021" w:rsidP="00603002">
            <w:pPr>
              <w:pStyle w:val="TableText"/>
            </w:pPr>
            <w:r w:rsidRPr="00371021">
              <w:t>Reasons for patients who failed screening in MYR301 were not clear. The</w:t>
            </w:r>
            <w:r w:rsidR="00ED13A8">
              <w:t xml:space="preserve"> evaluation considered the</w:t>
            </w:r>
            <w:r w:rsidRPr="00371021">
              <w:t xml:space="preserve"> trial exclusion criteria may be stricter that the proposed PBS restriction (e.g. Child-Pugh score &gt;7 were excluded, where restriction only excludes patients with decompensated cirrhosis)</w:t>
            </w:r>
            <w:r w:rsidR="00CB1ADD">
              <w:t xml:space="preserve">. </w:t>
            </w:r>
          </w:p>
          <w:p w14:paraId="78A4023A" w14:textId="77777777" w:rsidR="00CB1ADD" w:rsidRDefault="00CB1ADD" w:rsidP="00603002">
            <w:pPr>
              <w:pStyle w:val="TableText"/>
            </w:pPr>
          </w:p>
          <w:p w14:paraId="1CFBF57F" w14:textId="4AC7F54A" w:rsidR="00951564" w:rsidRDefault="00CB1ADD" w:rsidP="00603002">
            <w:pPr>
              <w:pStyle w:val="TableText"/>
            </w:pPr>
            <w:r>
              <w:t xml:space="preserve">The DUSC considered the proportion of HDV RNA positive patients being eligible for bulevirtide may be overestimated. </w:t>
            </w:r>
            <w:r w:rsidR="00ED13A8">
              <w:t xml:space="preserve"> </w:t>
            </w:r>
          </w:p>
          <w:p w14:paraId="3F72BCBC" w14:textId="77777777" w:rsidR="00ED13A8" w:rsidRDefault="00ED13A8" w:rsidP="00603002">
            <w:pPr>
              <w:pStyle w:val="TableText"/>
            </w:pPr>
          </w:p>
          <w:p w14:paraId="3BC8E7D2" w14:textId="76AE4C1F" w:rsidR="00ED13A8" w:rsidRPr="00371021" w:rsidRDefault="00ED13A8" w:rsidP="00603002">
            <w:pPr>
              <w:pStyle w:val="TableText"/>
            </w:pPr>
            <w:r>
              <w:t xml:space="preserve">The Pre-PBAC </w:t>
            </w:r>
            <w:r w:rsidR="00951564">
              <w:t>r</w:t>
            </w:r>
            <w:r>
              <w:t>esponse clarified the intended population is patients with Child Pugh Class A disease (no restriction on liver fibrosis), therefore the requested PBS population is aligned with the MYR301 trial.</w:t>
            </w:r>
          </w:p>
        </w:tc>
      </w:tr>
      <w:tr w:rsidR="00371021" w:rsidRPr="00371021" w14:paraId="0C80A986" w14:textId="77777777" w:rsidTr="00682D02">
        <w:trPr>
          <w:cantSplit/>
        </w:trPr>
        <w:tc>
          <w:tcPr>
            <w:tcW w:w="1412" w:type="pct"/>
            <w:tcBorders>
              <w:right w:val="nil"/>
            </w:tcBorders>
            <w:shd w:val="clear" w:color="auto" w:fill="auto"/>
            <w:vAlign w:val="center"/>
          </w:tcPr>
          <w:p w14:paraId="284727B1" w14:textId="77777777" w:rsidR="00371021" w:rsidRPr="00371021" w:rsidRDefault="00371021" w:rsidP="00603002">
            <w:pPr>
              <w:pStyle w:val="TableText"/>
              <w:rPr>
                <w:b/>
                <w:bCs/>
              </w:rPr>
            </w:pPr>
            <w:r w:rsidRPr="00371021">
              <w:rPr>
                <w:b/>
                <w:bCs/>
              </w:rPr>
              <w:t>Treatment utilisation and cost</w:t>
            </w:r>
          </w:p>
        </w:tc>
        <w:tc>
          <w:tcPr>
            <w:tcW w:w="1179" w:type="pct"/>
            <w:tcBorders>
              <w:left w:val="nil"/>
              <w:right w:val="nil"/>
            </w:tcBorders>
            <w:shd w:val="clear" w:color="auto" w:fill="auto"/>
            <w:vAlign w:val="center"/>
          </w:tcPr>
          <w:p w14:paraId="4CCA75A3" w14:textId="77777777" w:rsidR="00371021" w:rsidRPr="00371021" w:rsidRDefault="00371021" w:rsidP="00603002">
            <w:pPr>
              <w:pStyle w:val="TableText"/>
              <w:rPr>
                <w:b/>
                <w:bCs/>
              </w:rPr>
            </w:pPr>
          </w:p>
        </w:tc>
        <w:tc>
          <w:tcPr>
            <w:tcW w:w="2408" w:type="pct"/>
            <w:tcBorders>
              <w:left w:val="nil"/>
            </w:tcBorders>
            <w:shd w:val="clear" w:color="auto" w:fill="auto"/>
            <w:vAlign w:val="center"/>
          </w:tcPr>
          <w:p w14:paraId="0E0FBADF" w14:textId="77777777" w:rsidR="00371021" w:rsidRPr="00371021" w:rsidRDefault="00371021" w:rsidP="00603002">
            <w:pPr>
              <w:pStyle w:val="TableText"/>
              <w:rPr>
                <w:b/>
                <w:bCs/>
              </w:rPr>
            </w:pPr>
          </w:p>
        </w:tc>
      </w:tr>
      <w:tr w:rsidR="00371021" w:rsidRPr="00371021" w14:paraId="3A18726F" w14:textId="77777777" w:rsidTr="00682D02">
        <w:trPr>
          <w:cantSplit/>
        </w:trPr>
        <w:tc>
          <w:tcPr>
            <w:tcW w:w="1412" w:type="pct"/>
            <w:shd w:val="clear" w:color="auto" w:fill="auto"/>
            <w:vAlign w:val="center"/>
          </w:tcPr>
          <w:p w14:paraId="3EF4291C" w14:textId="7117E930" w:rsidR="00371021" w:rsidRPr="00371021" w:rsidRDefault="00371021" w:rsidP="00603002">
            <w:pPr>
              <w:pStyle w:val="TableText"/>
            </w:pPr>
            <w:r w:rsidRPr="00371021">
              <w:t>Uptake of bulevirtide treatment in HDV RNA positive</w:t>
            </w:r>
            <w:r w:rsidR="00951564">
              <w:t xml:space="preserve"> patients</w:t>
            </w:r>
          </w:p>
        </w:tc>
        <w:tc>
          <w:tcPr>
            <w:tcW w:w="1179" w:type="pct"/>
            <w:shd w:val="clear" w:color="auto" w:fill="auto"/>
            <w:vAlign w:val="center"/>
          </w:tcPr>
          <w:p w14:paraId="37D9F030" w14:textId="743F150F" w:rsidR="00371021" w:rsidRPr="00371021" w:rsidRDefault="001A4B8B" w:rsidP="00603002">
            <w:pPr>
              <w:pStyle w:val="TableText"/>
            </w:pPr>
            <w:r w:rsidRPr="001A4B8B">
              <w:rPr>
                <w:color w:val="000000"/>
                <w:spacing w:val="51"/>
                <w:shd w:val="solid" w:color="000000" w:fill="000000"/>
                <w:fitText w:val="326" w:id="-961838591"/>
                <w14:textFill>
                  <w14:solidFill>
                    <w14:srgbClr w14:val="000000">
                      <w14:alpha w14:val="100000"/>
                    </w14:srgbClr>
                  </w14:solidFill>
                </w14:textFill>
              </w:rPr>
              <w:t>|||</w:t>
            </w:r>
            <w:r w:rsidRPr="001A4B8B">
              <w:rPr>
                <w:color w:val="000000"/>
                <w:spacing w:val="3"/>
                <w:shd w:val="solid" w:color="000000" w:fill="000000"/>
                <w:fitText w:val="326" w:id="-961838591"/>
                <w14:textFill>
                  <w14:solidFill>
                    <w14:srgbClr w14:val="000000">
                      <w14:alpha w14:val="100000"/>
                    </w14:srgbClr>
                  </w14:solidFill>
                </w14:textFill>
              </w:rPr>
              <w:t>|</w:t>
            </w:r>
            <w:r w:rsidR="00371021" w:rsidRPr="00371021">
              <w:t xml:space="preserve">% in Year 1, increasing to </w:t>
            </w:r>
            <w:r w:rsidRPr="001A4B8B">
              <w:rPr>
                <w:color w:val="000000"/>
                <w:spacing w:val="56"/>
                <w:shd w:val="solid" w:color="000000" w:fill="000000"/>
                <w:fitText w:val="339" w:id="-961838336"/>
                <w14:textFill>
                  <w14:solidFill>
                    <w14:srgbClr w14:val="000000">
                      <w14:alpha w14:val="100000"/>
                    </w14:srgbClr>
                  </w14:solidFill>
                </w14:textFill>
              </w:rPr>
              <w:t>|||</w:t>
            </w:r>
            <w:r w:rsidRPr="001A4B8B">
              <w:rPr>
                <w:color w:val="000000"/>
                <w:spacing w:val="1"/>
                <w:shd w:val="solid" w:color="000000" w:fill="000000"/>
                <w:fitText w:val="339" w:id="-961838336"/>
                <w14:textFill>
                  <w14:solidFill>
                    <w14:srgbClr w14:val="000000">
                      <w14:alpha w14:val="100000"/>
                    </w14:srgbClr>
                  </w14:solidFill>
                </w14:textFill>
              </w:rPr>
              <w:t>|</w:t>
            </w:r>
            <w:r w:rsidR="00371021" w:rsidRPr="00371021">
              <w:t>% from Year 4 (assumption)</w:t>
            </w:r>
          </w:p>
        </w:tc>
        <w:tc>
          <w:tcPr>
            <w:tcW w:w="2408" w:type="pct"/>
            <w:shd w:val="clear" w:color="auto" w:fill="auto"/>
            <w:vAlign w:val="center"/>
          </w:tcPr>
          <w:p w14:paraId="0A72545B" w14:textId="0AF46032" w:rsidR="00371021" w:rsidRDefault="00951564" w:rsidP="00603002">
            <w:pPr>
              <w:pStyle w:val="TableText"/>
            </w:pPr>
            <w:r>
              <w:t>The evaluation considered i</w:t>
            </w:r>
            <w:r w:rsidR="00371021" w:rsidRPr="00371021">
              <w:t>t may be reasonable to assume that all patients who</w:t>
            </w:r>
            <w:r w:rsidR="00F014C6">
              <w:t xml:space="preserve"> take up testing and</w:t>
            </w:r>
            <w:r w:rsidR="00371021" w:rsidRPr="00371021">
              <w:t xml:space="preserve"> </w:t>
            </w:r>
            <w:r w:rsidR="00CB12DD">
              <w:t>are</w:t>
            </w:r>
            <w:r w:rsidR="00CB12DD" w:rsidRPr="00371021">
              <w:t xml:space="preserve"> </w:t>
            </w:r>
            <w:r w:rsidR="00371021" w:rsidRPr="00371021">
              <w:t xml:space="preserve">HDV RNA positive would </w:t>
            </w:r>
            <w:r>
              <w:t>receive</w:t>
            </w:r>
            <w:r w:rsidRPr="00371021">
              <w:t xml:space="preserve"> </w:t>
            </w:r>
            <w:r w:rsidR="00371021" w:rsidRPr="00371021">
              <w:t>bulevirtide.</w:t>
            </w:r>
            <w:r w:rsidR="00ED13A8">
              <w:t xml:space="preserve"> </w:t>
            </w:r>
          </w:p>
          <w:p w14:paraId="4AFE312B" w14:textId="77777777" w:rsidR="00ED13A8" w:rsidRDefault="00ED13A8" w:rsidP="00603002">
            <w:pPr>
              <w:pStyle w:val="TableText"/>
            </w:pPr>
          </w:p>
          <w:p w14:paraId="3EE0332F" w14:textId="17AB3926" w:rsidR="00ED13A8" w:rsidRPr="00371021" w:rsidRDefault="00ED13A8" w:rsidP="00603002">
            <w:pPr>
              <w:pStyle w:val="TableText"/>
            </w:pPr>
            <w:r>
              <w:t xml:space="preserve">The </w:t>
            </w:r>
            <w:r w:rsidR="00F014C6">
              <w:t>p</w:t>
            </w:r>
            <w:r>
              <w:t xml:space="preserve">re-PBAC </w:t>
            </w:r>
            <w:r w:rsidR="00951564">
              <w:t>r</w:t>
            </w:r>
            <w:r>
              <w:t xml:space="preserve">esponse argued that not all patients who are eligible will choose to commence treatment with bulevirtide, so the uptake estimate will be a subset of those who are positive for HDV RNA. </w:t>
            </w:r>
          </w:p>
        </w:tc>
      </w:tr>
      <w:tr w:rsidR="00371021" w:rsidRPr="00371021" w14:paraId="0A79EB5A" w14:textId="77777777" w:rsidTr="00682D02">
        <w:trPr>
          <w:cantSplit/>
        </w:trPr>
        <w:tc>
          <w:tcPr>
            <w:tcW w:w="1412" w:type="pct"/>
            <w:shd w:val="clear" w:color="auto" w:fill="auto"/>
            <w:vAlign w:val="center"/>
          </w:tcPr>
          <w:p w14:paraId="56EAD66D" w14:textId="77777777" w:rsidR="00371021" w:rsidRPr="00371021" w:rsidRDefault="00371021" w:rsidP="00603002">
            <w:pPr>
              <w:pStyle w:val="TableText"/>
            </w:pPr>
            <w:r w:rsidRPr="00371021">
              <w:t>Proportion of patients remaining on treatment per year</w:t>
            </w:r>
          </w:p>
        </w:tc>
        <w:tc>
          <w:tcPr>
            <w:tcW w:w="1179" w:type="pct"/>
            <w:shd w:val="clear" w:color="auto" w:fill="auto"/>
            <w:vAlign w:val="center"/>
          </w:tcPr>
          <w:p w14:paraId="0A310617" w14:textId="77777777" w:rsidR="00371021" w:rsidRPr="00371021" w:rsidRDefault="00371021" w:rsidP="00603002">
            <w:pPr>
              <w:pStyle w:val="TableText"/>
            </w:pPr>
            <w:r w:rsidRPr="00371021">
              <w:t>Year 1: 93.8%</w:t>
            </w:r>
          </w:p>
          <w:p w14:paraId="15C368D0" w14:textId="77777777" w:rsidR="00371021" w:rsidRPr="00371021" w:rsidRDefault="00371021" w:rsidP="00603002">
            <w:pPr>
              <w:pStyle w:val="TableText"/>
            </w:pPr>
            <w:r w:rsidRPr="00371021">
              <w:t>Year 2: 83.0%</w:t>
            </w:r>
          </w:p>
          <w:p w14:paraId="0498BFD8" w14:textId="77777777" w:rsidR="00371021" w:rsidRPr="00371021" w:rsidRDefault="00371021" w:rsidP="00603002">
            <w:pPr>
              <w:pStyle w:val="TableText"/>
            </w:pPr>
            <w:r w:rsidRPr="00371021">
              <w:t>Year 3: 60.3%</w:t>
            </w:r>
          </w:p>
          <w:p w14:paraId="7304717F" w14:textId="77777777" w:rsidR="00371021" w:rsidRPr="00371021" w:rsidRDefault="00371021" w:rsidP="00603002">
            <w:pPr>
              <w:pStyle w:val="TableText"/>
            </w:pPr>
            <w:r w:rsidRPr="00371021">
              <w:t>Year 4: 54.9%</w:t>
            </w:r>
          </w:p>
          <w:p w14:paraId="0C82FF8A" w14:textId="77777777" w:rsidR="00371021" w:rsidRPr="00371021" w:rsidRDefault="00371021" w:rsidP="00603002">
            <w:pPr>
              <w:pStyle w:val="TableText"/>
            </w:pPr>
            <w:r w:rsidRPr="00371021">
              <w:t>Year 5: 50.0%</w:t>
            </w:r>
          </w:p>
          <w:p w14:paraId="189201EA" w14:textId="77777777" w:rsidR="00371021" w:rsidRPr="00371021" w:rsidRDefault="00371021" w:rsidP="00603002">
            <w:pPr>
              <w:pStyle w:val="TableText"/>
            </w:pPr>
            <w:r w:rsidRPr="00371021">
              <w:t>Year 6: 45.7%</w:t>
            </w:r>
          </w:p>
          <w:p w14:paraId="34602B00" w14:textId="77777777" w:rsidR="00371021" w:rsidRPr="00371021" w:rsidRDefault="00371021" w:rsidP="00603002">
            <w:pPr>
              <w:pStyle w:val="TableText"/>
            </w:pPr>
            <w:r w:rsidRPr="00371021">
              <w:t>(Section 3 economic model)</w:t>
            </w:r>
          </w:p>
        </w:tc>
        <w:tc>
          <w:tcPr>
            <w:tcW w:w="2408" w:type="pct"/>
            <w:shd w:val="clear" w:color="auto" w:fill="auto"/>
            <w:vAlign w:val="center"/>
          </w:tcPr>
          <w:p w14:paraId="685E734B" w14:textId="77777777" w:rsidR="00371021" w:rsidRPr="00371021" w:rsidRDefault="00371021" w:rsidP="00603002">
            <w:pPr>
              <w:pStyle w:val="TableText"/>
            </w:pPr>
            <w:r w:rsidRPr="00371021">
              <w:t>The treatment continuation and stopping rules applied in the model were not consistent with the proposed PBS listing or use as observed in the trial. The effect of these differences on the financial impact was not clear.</w:t>
            </w:r>
          </w:p>
        </w:tc>
      </w:tr>
      <w:tr w:rsidR="00371021" w:rsidRPr="00371021" w14:paraId="292277FA" w14:textId="77777777" w:rsidTr="00682D02">
        <w:trPr>
          <w:cantSplit/>
        </w:trPr>
        <w:tc>
          <w:tcPr>
            <w:tcW w:w="1412" w:type="pct"/>
            <w:shd w:val="clear" w:color="auto" w:fill="auto"/>
            <w:vAlign w:val="center"/>
          </w:tcPr>
          <w:p w14:paraId="02468CC7" w14:textId="77777777" w:rsidR="00371021" w:rsidRPr="00371021" w:rsidRDefault="00371021" w:rsidP="00603002">
            <w:pPr>
              <w:pStyle w:val="TableText"/>
            </w:pPr>
            <w:r w:rsidRPr="00371021">
              <w:t>Scripts dispensed per patient-year</w:t>
            </w:r>
          </w:p>
        </w:tc>
        <w:tc>
          <w:tcPr>
            <w:tcW w:w="1179" w:type="pct"/>
            <w:shd w:val="clear" w:color="auto" w:fill="auto"/>
            <w:vAlign w:val="center"/>
          </w:tcPr>
          <w:p w14:paraId="679360CB" w14:textId="366FCE2B" w:rsidR="00371021" w:rsidRPr="00371021" w:rsidRDefault="00371021" w:rsidP="00603002">
            <w:pPr>
              <w:pStyle w:val="TableText"/>
            </w:pPr>
            <w:r w:rsidRPr="00BB4EA8">
              <w:t>5.48</w:t>
            </w:r>
            <w:r w:rsidR="00326F3D" w:rsidRPr="00BB4EA8">
              <w:rPr>
                <w:vertAlign w:val="superscript"/>
              </w:rPr>
              <w:t xml:space="preserve"> </w:t>
            </w:r>
            <w:r w:rsidRPr="00BB4EA8">
              <w:t>(no. scripts per year [365.25</w:t>
            </w:r>
            <w:r w:rsidRPr="00371021">
              <w:t>/60], assuming 90% compliance)</w:t>
            </w:r>
          </w:p>
        </w:tc>
        <w:tc>
          <w:tcPr>
            <w:tcW w:w="2408" w:type="pct"/>
            <w:shd w:val="clear" w:color="auto" w:fill="auto"/>
            <w:vAlign w:val="center"/>
          </w:tcPr>
          <w:p w14:paraId="124C5A4D" w14:textId="60459258" w:rsidR="00395F14" w:rsidRDefault="00371021" w:rsidP="00603002">
            <w:pPr>
              <w:pStyle w:val="TableText"/>
            </w:pPr>
            <w:r w:rsidRPr="00371021">
              <w:t xml:space="preserve">While reduced compliance may be expected in practice relative to the MYR301 trial, </w:t>
            </w:r>
            <w:r w:rsidR="00F014C6">
              <w:t>the ESCs considered it was not appropriate to</w:t>
            </w:r>
            <w:r w:rsidR="00F014C6" w:rsidRPr="00371021">
              <w:t xml:space="preserve"> </w:t>
            </w:r>
            <w:r w:rsidR="00F014C6">
              <w:t xml:space="preserve">apply </w:t>
            </w:r>
            <w:r w:rsidRPr="00371021">
              <w:t>this adjustment to bulevirtide costs</w:t>
            </w:r>
            <w:r w:rsidR="00F014C6">
              <w:t xml:space="preserve"> in the economic model without adjustment to outcomes. </w:t>
            </w:r>
            <w:r w:rsidR="00F014C6" w:rsidRPr="00F014C6">
              <w:t xml:space="preserve"> </w:t>
            </w:r>
          </w:p>
          <w:p w14:paraId="2F9963E0" w14:textId="77777777" w:rsidR="00395F14" w:rsidRDefault="00395F14" w:rsidP="00603002">
            <w:pPr>
              <w:pStyle w:val="TableText"/>
            </w:pPr>
          </w:p>
          <w:p w14:paraId="1BF535ED" w14:textId="50588A7E" w:rsidR="00371021" w:rsidRPr="00371021" w:rsidRDefault="00F014C6" w:rsidP="00603002">
            <w:pPr>
              <w:pStyle w:val="TableText"/>
            </w:pPr>
            <w:r w:rsidRPr="00F014C6">
              <w:rPr>
                <w:rFonts w:eastAsia="Calibri"/>
              </w:rPr>
              <w:t xml:space="preserve">DUSC considered </w:t>
            </w:r>
            <w:r>
              <w:rPr>
                <w:rFonts w:eastAsia="Calibri"/>
              </w:rPr>
              <w:t>90% may be</w:t>
            </w:r>
            <w:r w:rsidRPr="00F014C6">
              <w:rPr>
                <w:rFonts w:eastAsia="Calibri"/>
              </w:rPr>
              <w:t xml:space="preserve"> an overestimate </w:t>
            </w:r>
            <w:r w:rsidR="00395F14">
              <w:rPr>
                <w:rFonts w:eastAsia="Calibri"/>
              </w:rPr>
              <w:t xml:space="preserve">of compliance for PBS utilisation </w:t>
            </w:r>
            <w:r w:rsidRPr="00F014C6">
              <w:rPr>
                <w:rFonts w:eastAsia="Calibri"/>
              </w:rPr>
              <w:t xml:space="preserve">- </w:t>
            </w:r>
            <w:r>
              <w:rPr>
                <w:rFonts w:eastAsia="Calibri"/>
              </w:rPr>
              <w:t>a</w:t>
            </w:r>
            <w:r w:rsidRPr="00F014C6">
              <w:rPr>
                <w:rFonts w:eastAsia="Calibri"/>
              </w:rPr>
              <w:t xml:space="preserve"> real world retrospective cohort study (2019-2021) by De Ledinghen V et al </w:t>
            </w:r>
            <w:r w:rsidR="00395F14">
              <w:rPr>
                <w:rFonts w:eastAsia="Calibri"/>
              </w:rPr>
              <w:t>suggested</w:t>
            </w:r>
            <w:r w:rsidRPr="00F014C6">
              <w:rPr>
                <w:rFonts w:eastAsia="Calibri"/>
              </w:rPr>
              <w:t xml:space="preserve"> 91% at 6 months, 88% at 12 months and 78% at 24 months.</w:t>
            </w:r>
          </w:p>
        </w:tc>
      </w:tr>
      <w:tr w:rsidR="00371021" w:rsidRPr="00371021" w14:paraId="02D528C3" w14:textId="77777777" w:rsidTr="00682D02">
        <w:trPr>
          <w:cantSplit/>
        </w:trPr>
        <w:tc>
          <w:tcPr>
            <w:tcW w:w="1412" w:type="pct"/>
            <w:shd w:val="clear" w:color="auto" w:fill="auto"/>
            <w:vAlign w:val="center"/>
          </w:tcPr>
          <w:p w14:paraId="2A61721C" w14:textId="77777777" w:rsidR="00371021" w:rsidRPr="00371021" w:rsidRDefault="00371021" w:rsidP="00603002">
            <w:pPr>
              <w:pStyle w:val="TableText"/>
            </w:pPr>
            <w:r w:rsidRPr="00371021">
              <w:t>Cost per script of bulevirtide</w:t>
            </w:r>
          </w:p>
        </w:tc>
        <w:tc>
          <w:tcPr>
            <w:tcW w:w="1179" w:type="pct"/>
            <w:shd w:val="clear" w:color="auto" w:fill="auto"/>
            <w:vAlign w:val="center"/>
          </w:tcPr>
          <w:p w14:paraId="7763702A" w14:textId="78E26889" w:rsidR="00371021" w:rsidRPr="00371021" w:rsidRDefault="00371021" w:rsidP="00603002">
            <w:pPr>
              <w:pStyle w:val="TableText"/>
            </w:pPr>
            <w:r w:rsidRPr="00371021">
              <w:t>$</w:t>
            </w:r>
            <w:r w:rsidR="001A4B8B" w:rsidRPr="001A4B8B">
              <w:rPr>
                <w:color w:val="000000"/>
                <w:spacing w:val="51"/>
                <w:shd w:val="solid" w:color="000000" w:fill="000000"/>
                <w:fitText w:val="325" w:id="-961838335"/>
                <w14:textFill>
                  <w14:solidFill>
                    <w14:srgbClr w14:val="000000">
                      <w14:alpha w14:val="100000"/>
                    </w14:srgbClr>
                  </w14:solidFill>
                </w14:textFill>
              </w:rPr>
              <w:t>|||</w:t>
            </w:r>
            <w:r w:rsidR="001A4B8B" w:rsidRPr="001A4B8B">
              <w:rPr>
                <w:color w:val="000000"/>
                <w:spacing w:val="2"/>
                <w:shd w:val="solid" w:color="000000" w:fill="000000"/>
                <w:fitText w:val="325" w:id="-961838335"/>
                <w14:textFill>
                  <w14:solidFill>
                    <w14:srgbClr w14:val="000000">
                      <w14:alpha w14:val="100000"/>
                    </w14:srgbClr>
                  </w14:solidFill>
                </w14:textFill>
              </w:rPr>
              <w:t>|</w:t>
            </w:r>
            <w:r w:rsidRPr="00371021">
              <w:t xml:space="preserve"> (proposed Section 100 HSD Private/Community Access DPMQ)</w:t>
            </w:r>
          </w:p>
        </w:tc>
        <w:tc>
          <w:tcPr>
            <w:tcW w:w="2408" w:type="pct"/>
            <w:shd w:val="clear" w:color="auto" w:fill="auto"/>
            <w:vAlign w:val="center"/>
          </w:tcPr>
          <w:p w14:paraId="3CD2ECDA" w14:textId="77777777" w:rsidR="00371021" w:rsidRPr="00371021" w:rsidRDefault="00371021" w:rsidP="00603002">
            <w:pPr>
              <w:pStyle w:val="TableText"/>
            </w:pPr>
            <w:r w:rsidRPr="00371021">
              <w:t>This was not consistent with the cost applied in the economic analysis, which assumed 20% of scripts would be dispensed in a public hospital.</w:t>
            </w:r>
          </w:p>
        </w:tc>
      </w:tr>
      <w:tr w:rsidR="00371021" w:rsidRPr="00371021" w14:paraId="5B1AEAC9" w14:textId="77777777" w:rsidTr="00682D02">
        <w:trPr>
          <w:cantSplit/>
        </w:trPr>
        <w:tc>
          <w:tcPr>
            <w:tcW w:w="1412" w:type="pct"/>
            <w:shd w:val="clear" w:color="auto" w:fill="auto"/>
            <w:vAlign w:val="center"/>
          </w:tcPr>
          <w:p w14:paraId="468971D8" w14:textId="77777777" w:rsidR="00371021" w:rsidRPr="00371021" w:rsidRDefault="00371021" w:rsidP="00603002">
            <w:pPr>
              <w:pStyle w:val="TableText"/>
            </w:pPr>
            <w:r w:rsidRPr="00371021">
              <w:t>HDV RNA PCR testing</w:t>
            </w:r>
          </w:p>
        </w:tc>
        <w:tc>
          <w:tcPr>
            <w:tcW w:w="1179" w:type="pct"/>
            <w:shd w:val="clear" w:color="auto" w:fill="auto"/>
            <w:vAlign w:val="center"/>
          </w:tcPr>
          <w:p w14:paraId="21E13D5F" w14:textId="77777777" w:rsidR="00371021" w:rsidRPr="00371021" w:rsidRDefault="00371021" w:rsidP="00603002">
            <w:pPr>
              <w:pStyle w:val="TableText"/>
            </w:pPr>
            <w:r w:rsidRPr="00371021">
              <w:t>$</w:t>
            </w:r>
            <w:r w:rsidRPr="00273B5F">
              <w:t>129.30</w:t>
            </w:r>
            <w:r w:rsidRPr="00371021">
              <w:t xml:space="preserve"> (proposed MBS item fee </w:t>
            </w:r>
            <w:r w:rsidRPr="00371021">
              <w:rPr>
                <w:vertAlign w:val="superscript"/>
              </w:rPr>
              <w:t>f</w:t>
            </w:r>
            <w:r w:rsidRPr="00371021">
              <w:t>)</w:t>
            </w:r>
          </w:p>
        </w:tc>
        <w:tc>
          <w:tcPr>
            <w:tcW w:w="2408" w:type="pct"/>
            <w:shd w:val="clear" w:color="auto" w:fill="auto"/>
            <w:vAlign w:val="center"/>
          </w:tcPr>
          <w:p w14:paraId="58FC1E15" w14:textId="77777777" w:rsidR="00371021" w:rsidRPr="00371021" w:rsidRDefault="00371021" w:rsidP="00603002">
            <w:pPr>
              <w:pStyle w:val="TableText"/>
            </w:pPr>
            <w:r w:rsidRPr="00371021">
              <w:t>This was reasonable.</w:t>
            </w:r>
          </w:p>
        </w:tc>
      </w:tr>
      <w:tr w:rsidR="00371021" w:rsidRPr="00371021" w14:paraId="5538A8DD" w14:textId="77777777" w:rsidTr="00682D02">
        <w:trPr>
          <w:cantSplit/>
        </w:trPr>
        <w:tc>
          <w:tcPr>
            <w:tcW w:w="1412" w:type="pct"/>
            <w:shd w:val="clear" w:color="auto" w:fill="auto"/>
            <w:vAlign w:val="center"/>
          </w:tcPr>
          <w:p w14:paraId="32AE1516" w14:textId="77777777" w:rsidR="00371021" w:rsidRPr="00371021" w:rsidRDefault="00371021" w:rsidP="00603002">
            <w:pPr>
              <w:pStyle w:val="TableText"/>
            </w:pPr>
            <w:r w:rsidRPr="00371021">
              <w:t>Anti-HDV antibody testing</w:t>
            </w:r>
          </w:p>
        </w:tc>
        <w:tc>
          <w:tcPr>
            <w:tcW w:w="1179" w:type="pct"/>
            <w:shd w:val="clear" w:color="auto" w:fill="auto"/>
            <w:vAlign w:val="center"/>
          </w:tcPr>
          <w:p w14:paraId="5B6BAE54" w14:textId="77777777" w:rsidR="00371021" w:rsidRPr="00371021" w:rsidRDefault="00371021" w:rsidP="00603002">
            <w:pPr>
              <w:pStyle w:val="TableText"/>
            </w:pPr>
            <w:r w:rsidRPr="00371021">
              <w:t>$</w:t>
            </w:r>
            <w:r w:rsidRPr="00273B5F">
              <w:t>13.35</w:t>
            </w:r>
            <w:r w:rsidRPr="00371021">
              <w:t xml:space="preserve"> (MBS item 69475 </w:t>
            </w:r>
            <w:r w:rsidRPr="00371021">
              <w:rPr>
                <w:vertAlign w:val="superscript"/>
              </w:rPr>
              <w:t>f</w:t>
            </w:r>
            <w:r w:rsidRPr="00371021">
              <w:t>)</w:t>
            </w:r>
          </w:p>
        </w:tc>
        <w:tc>
          <w:tcPr>
            <w:tcW w:w="2408" w:type="pct"/>
            <w:shd w:val="clear" w:color="auto" w:fill="auto"/>
            <w:vAlign w:val="center"/>
          </w:tcPr>
          <w:p w14:paraId="4D0BB557" w14:textId="77777777" w:rsidR="00371021" w:rsidRPr="00371021" w:rsidRDefault="00371021" w:rsidP="00603002">
            <w:pPr>
              <w:pStyle w:val="TableText"/>
            </w:pPr>
            <w:r w:rsidRPr="00371021">
              <w:t>This was reasonable.</w:t>
            </w:r>
          </w:p>
        </w:tc>
      </w:tr>
    </w:tbl>
    <w:p w14:paraId="79B31374" w14:textId="77777777" w:rsidR="00371021" w:rsidRPr="00371021" w:rsidRDefault="00371021" w:rsidP="00371021">
      <w:pPr>
        <w:pStyle w:val="TableFooter"/>
      </w:pPr>
      <w:r w:rsidRPr="00371021">
        <w:lastRenderedPageBreak/>
        <w:t>Source: Table 4.1−2, pp185−7 of the submission.</w:t>
      </w:r>
    </w:p>
    <w:p w14:paraId="65FE3BEE" w14:textId="77777777" w:rsidR="00371021" w:rsidRPr="00371021" w:rsidRDefault="00371021" w:rsidP="00371021">
      <w:pPr>
        <w:pStyle w:val="TableFooter"/>
      </w:pPr>
      <w:r w:rsidRPr="00371021">
        <w:t xml:space="preserve">HBV = hepatitis B virus, HDV = hepatitis D virus. </w:t>
      </w:r>
    </w:p>
    <w:p w14:paraId="654DFDCA" w14:textId="77777777" w:rsidR="00371021" w:rsidRPr="00371021" w:rsidRDefault="00371021" w:rsidP="00371021">
      <w:pPr>
        <w:pStyle w:val="TableFigureFooter"/>
      </w:pPr>
      <w:r w:rsidRPr="00371021">
        <w:rPr>
          <w:vertAlign w:val="superscript"/>
        </w:rPr>
        <w:t xml:space="preserve">a </w:t>
      </w:r>
      <w:r w:rsidRPr="00371021">
        <w:t>McCulloch K, Romero N, MacLachlan JH, Cowie BC. National Surveillance for Hepatitis B Indicators: Measuring the progress towards the targets of the National Hepatitis B Strategy – Annual Report 2020. Melbourne: WHO Collaborating Centre for Viral Hepatitis, The Doherty Institute 2021.</w:t>
      </w:r>
    </w:p>
    <w:p w14:paraId="7C0E1089" w14:textId="77777777" w:rsidR="00371021" w:rsidRPr="00371021" w:rsidRDefault="00371021" w:rsidP="00371021">
      <w:pPr>
        <w:pStyle w:val="TableFooter"/>
        <w:rPr>
          <w:szCs w:val="18"/>
        </w:rPr>
      </w:pPr>
      <w:r w:rsidRPr="00371021">
        <w:rPr>
          <w:szCs w:val="18"/>
          <w:vertAlign w:val="superscript"/>
        </w:rPr>
        <w:t>b</w:t>
      </w:r>
      <w:r w:rsidRPr="00371021">
        <w:rPr>
          <w:szCs w:val="18"/>
        </w:rPr>
        <w:t xml:space="preserve"> </w:t>
      </w:r>
      <w:hyperlink r:id="rId11" w:history="1">
        <w:r w:rsidRPr="00371021">
          <w:rPr>
            <w:rStyle w:val="Hyperlink"/>
            <w:szCs w:val="18"/>
          </w:rPr>
          <w:t>https://nindss.health.gov.au/pbi-dashboard/</w:t>
        </w:r>
      </w:hyperlink>
    </w:p>
    <w:p w14:paraId="429D5606" w14:textId="77777777" w:rsidR="00371021" w:rsidRPr="00371021" w:rsidRDefault="00371021" w:rsidP="00371021">
      <w:pPr>
        <w:pStyle w:val="TableFooter"/>
      </w:pPr>
      <w:r w:rsidRPr="00371021">
        <w:rPr>
          <w:vertAlign w:val="superscript"/>
        </w:rPr>
        <w:t>c</w:t>
      </w:r>
      <w:r w:rsidRPr="00371021">
        <w:t xml:space="preserve"> Coghill S, McNamara J, Woods M, Hajkowicz K. Epidemiology and clinical outcomes of hepatitis delta (D) virus infection in Queensland, Australia. Int J Infect Dis. 2018 Sep;74:123-7.</w:t>
      </w:r>
    </w:p>
    <w:p w14:paraId="28FA0091" w14:textId="77777777" w:rsidR="00371021" w:rsidRPr="00371021" w:rsidRDefault="00371021" w:rsidP="00371021">
      <w:pPr>
        <w:pStyle w:val="TableFooter"/>
      </w:pPr>
      <w:r w:rsidRPr="00371021">
        <w:rPr>
          <w:vertAlign w:val="superscript"/>
        </w:rPr>
        <w:t>d</w:t>
      </w:r>
      <w:r w:rsidRPr="00371021">
        <w:t xml:space="preserve"> Jackson K, MacLachlan J, Cowie B, Locarnini S, Bowden S, Higgins N, et al. Epidemiology and phylogenetic analysis of hepatitis D virus infection in Australia. Intern Med J. 2018 Nov;48(11):1308-17.</w:t>
      </w:r>
    </w:p>
    <w:p w14:paraId="19F49318" w14:textId="77777777" w:rsidR="00371021" w:rsidRPr="00371021" w:rsidRDefault="00371021" w:rsidP="00371021">
      <w:pPr>
        <w:pStyle w:val="TableFooter"/>
      </w:pPr>
      <w:r w:rsidRPr="00371021">
        <w:rPr>
          <w:vertAlign w:val="superscript"/>
        </w:rPr>
        <w:t>e</w:t>
      </w:r>
      <w:r w:rsidRPr="00371021">
        <w:t xml:space="preserve"> Shadur B, MacLachlan J, Cowie B. Hepatitis D virus in Victoria 2000-2009. Intern Med J. 2013 Oct;43(10):1081-7.</w:t>
      </w:r>
    </w:p>
    <w:p w14:paraId="56BBC015" w14:textId="77777777" w:rsidR="00371021" w:rsidRDefault="00371021" w:rsidP="00371021">
      <w:pPr>
        <w:pStyle w:val="TableFigureFooter"/>
      </w:pPr>
      <w:r w:rsidRPr="00371021">
        <w:rPr>
          <w:vertAlign w:val="superscript"/>
        </w:rPr>
        <w:t>f</w:t>
      </w:r>
      <w:r w:rsidRPr="00371021">
        <w:t xml:space="preserve"> Assuming 85% benefit.</w:t>
      </w:r>
    </w:p>
    <w:p w14:paraId="7C4CC9AF" w14:textId="1EBC3243" w:rsidR="00326F3D" w:rsidRPr="00371021" w:rsidRDefault="00AB472E" w:rsidP="00C06F06">
      <w:pPr>
        <w:pStyle w:val="TableFigureFooter"/>
        <w:spacing w:after="120"/>
      </w:pPr>
      <w:r w:rsidRPr="00AB472E">
        <w:rPr>
          <w:vertAlign w:val="superscript"/>
        </w:rPr>
        <w:t>g</w:t>
      </w:r>
      <w:r>
        <w:rPr>
          <w:vertAlign w:val="superscript"/>
        </w:rPr>
        <w:t xml:space="preserve"> </w:t>
      </w:r>
      <w:r w:rsidRPr="00CB1ADD">
        <w:t>MacLachlan JH, Romero N, Purcell I, Cowie BC. Viral Hepatitis Mapping Project: Hepatitis B. National Report 2021. Darlinghurst, NSW: Australasian Society for HIV, Viral Hepatitis, and Sexual Health Medicine (ASHM), 2023. ashm.org.au/vh-mapping-project/</w:t>
      </w:r>
    </w:p>
    <w:p w14:paraId="7BC4C097" w14:textId="6FA4788E" w:rsidR="00371021" w:rsidRPr="00371021" w:rsidRDefault="00371021" w:rsidP="00AB14EE">
      <w:pPr>
        <w:pStyle w:val="3-BodyText"/>
      </w:pPr>
      <w:r w:rsidRPr="00371021">
        <w:t xml:space="preserve">The submission’s estimates for the number of patients eligible for bulevirtide over the first six years of listing are presented in </w:t>
      </w:r>
      <w:r w:rsidRPr="00371021">
        <w:fldChar w:fldCharType="begin" w:fldLock="1"/>
      </w:r>
      <w:r w:rsidRPr="00371021">
        <w:instrText xml:space="preserve"> REF _Ref152349185 \h  \* MERGEFORMAT </w:instrText>
      </w:r>
      <w:r w:rsidRPr="00371021">
        <w:fldChar w:fldCharType="separate"/>
      </w:r>
      <w:r w:rsidRPr="00371021">
        <w:t xml:space="preserve">Table </w:t>
      </w:r>
      <w:r w:rsidRPr="00371021">
        <w:rPr>
          <w:noProof/>
        </w:rPr>
        <w:t>17</w:t>
      </w:r>
      <w:r w:rsidRPr="00371021">
        <w:fldChar w:fldCharType="end"/>
      </w:r>
      <w:r w:rsidRPr="00371021">
        <w:t>. These were generated across three population groups: prevalent chronic HBV patients with known chronic HDV, prevalent chronic HBV patients untested for HDV, and incident patients. This approach may not be comprehensive. Repeat testing in prevalent patients who were previously anti-HDV negative or those who were anti-HDV positive and had not received HDV RNA testing was not considered. Further, the submission assumed use only in prevalent patients who were currently engaged in care, with no increase in the proportion of prevalent patients engaged following the listing of bulevirtide. This may not be reasonable. With increased awareness of treatment options in chronic hepatitis following listing of bulevirtide, opportunistic testing may occur.</w:t>
      </w:r>
    </w:p>
    <w:p w14:paraId="461D4E53" w14:textId="34E0E472" w:rsidR="00371021" w:rsidRPr="00371021" w:rsidRDefault="00371021" w:rsidP="00AB14EE">
      <w:pPr>
        <w:pStyle w:val="3-BodyText"/>
      </w:pPr>
      <w:r w:rsidRPr="00371021">
        <w:t>The estimated number of incident patients found to be anti-HDV positive (</w:t>
      </w:r>
      <w:r w:rsidR="0089500E">
        <w:t xml:space="preserve">&lt; 500 - &lt; 500 </w:t>
      </w:r>
      <w:r w:rsidRPr="00371021">
        <w:t>per year) was noted to be higher than current HDV notifications (70–80 per year, which would also capture diagnoses in prevalent patients). This was due to an increase in anti-HDV testing following listing of HDV RNA testing and bulevirtide treatment. Underdiagnosis of HDV in Australia has been acknowledged in the literature,</w:t>
      </w:r>
      <w:r w:rsidRPr="00371021">
        <w:rPr>
          <w:rStyle w:val="FootnoteReference"/>
        </w:rPr>
        <w:footnoteReference w:id="22"/>
      </w:r>
      <w:r w:rsidRPr="00371021">
        <w:t xml:space="preserve"> and an increase in notifications following listing may be reasonable. </w:t>
      </w:r>
    </w:p>
    <w:p w14:paraId="6D52AE86" w14:textId="74724F21" w:rsidR="00371021" w:rsidRPr="00371021" w:rsidRDefault="00371021" w:rsidP="009807BB">
      <w:pPr>
        <w:pStyle w:val="Caption"/>
        <w:keepNext w:val="0"/>
      </w:pPr>
      <w:bookmarkStart w:id="78" w:name="_Ref152349185"/>
      <w:r w:rsidRPr="00371021">
        <w:t xml:space="preserve">Table </w:t>
      </w:r>
      <w:r w:rsidRPr="00371021">
        <w:fldChar w:fldCharType="begin" w:fldLock="1"/>
      </w:r>
      <w:r w:rsidRPr="00371021">
        <w:instrText>SEQ Table_PBAC. \* ARABIC</w:instrText>
      </w:r>
      <w:r w:rsidRPr="00371021">
        <w:fldChar w:fldCharType="separate"/>
      </w:r>
      <w:r w:rsidRPr="00371021">
        <w:rPr>
          <w:noProof/>
        </w:rPr>
        <w:t>17</w:t>
      </w:r>
      <w:r w:rsidRPr="00371021">
        <w:fldChar w:fldCharType="end"/>
      </w:r>
      <w:bookmarkEnd w:id="78"/>
      <w:r>
        <w:t xml:space="preserve">: </w:t>
      </w:r>
      <w:r w:rsidRPr="00371021">
        <w:t>Number of patients eligible for treatment</w:t>
      </w:r>
    </w:p>
    <w:tbl>
      <w:tblPr>
        <w:tblStyle w:val="ASDTable1"/>
        <w:tblW w:w="5000" w:type="pct"/>
        <w:tblLayout w:type="fixed"/>
        <w:tblLook w:val="04A0" w:firstRow="1" w:lastRow="0" w:firstColumn="1" w:lastColumn="0" w:noHBand="0" w:noVBand="1"/>
        <w:tblCaption w:val="Table 17: Number of patients eligible for treatment"/>
      </w:tblPr>
      <w:tblGrid>
        <w:gridCol w:w="277"/>
        <w:gridCol w:w="3824"/>
        <w:gridCol w:w="819"/>
        <w:gridCol w:w="819"/>
        <w:gridCol w:w="819"/>
        <w:gridCol w:w="819"/>
        <w:gridCol w:w="819"/>
        <w:gridCol w:w="820"/>
      </w:tblGrid>
      <w:tr w:rsidR="00371021" w:rsidRPr="00371021" w14:paraId="377037EE" w14:textId="77777777" w:rsidTr="00603002">
        <w:trPr>
          <w:trHeight w:val="20"/>
        </w:trPr>
        <w:tc>
          <w:tcPr>
            <w:tcW w:w="154" w:type="pct"/>
            <w:noWrap/>
            <w:hideMark/>
          </w:tcPr>
          <w:p w14:paraId="17FE4BDC" w14:textId="77777777" w:rsidR="00371021" w:rsidRPr="00371021" w:rsidRDefault="00371021" w:rsidP="009807BB">
            <w:pPr>
              <w:pStyle w:val="In-tableHeading"/>
              <w:keepNext w:val="0"/>
              <w:rPr>
                <w:lang w:val="en-AU"/>
              </w:rPr>
            </w:pPr>
          </w:p>
        </w:tc>
        <w:tc>
          <w:tcPr>
            <w:tcW w:w="2121" w:type="pct"/>
            <w:noWrap/>
            <w:hideMark/>
          </w:tcPr>
          <w:p w14:paraId="11B0F018" w14:textId="77777777" w:rsidR="00371021" w:rsidRPr="00371021" w:rsidRDefault="00371021" w:rsidP="009807BB">
            <w:pPr>
              <w:pStyle w:val="In-tableHeading"/>
              <w:keepNext w:val="0"/>
              <w:rPr>
                <w:lang w:val="en-AU"/>
              </w:rPr>
            </w:pPr>
          </w:p>
        </w:tc>
        <w:tc>
          <w:tcPr>
            <w:tcW w:w="454" w:type="pct"/>
            <w:noWrap/>
            <w:hideMark/>
          </w:tcPr>
          <w:p w14:paraId="4BF792E6" w14:textId="77777777" w:rsidR="00371021" w:rsidRPr="00371021" w:rsidRDefault="00371021" w:rsidP="009807BB">
            <w:pPr>
              <w:pStyle w:val="In-tableHeading"/>
              <w:keepNext w:val="0"/>
              <w:jc w:val="center"/>
              <w:rPr>
                <w:lang w:val="en-AU"/>
              </w:rPr>
            </w:pPr>
            <w:r w:rsidRPr="00371021">
              <w:rPr>
                <w:lang w:val="en-AU"/>
              </w:rPr>
              <w:t>2024</w:t>
            </w:r>
          </w:p>
        </w:tc>
        <w:tc>
          <w:tcPr>
            <w:tcW w:w="454" w:type="pct"/>
            <w:noWrap/>
            <w:hideMark/>
          </w:tcPr>
          <w:p w14:paraId="73CB54A6" w14:textId="77777777" w:rsidR="00371021" w:rsidRPr="00371021" w:rsidRDefault="00371021" w:rsidP="009807BB">
            <w:pPr>
              <w:pStyle w:val="In-tableHeading"/>
              <w:keepNext w:val="0"/>
              <w:jc w:val="center"/>
              <w:rPr>
                <w:lang w:val="en-AU"/>
              </w:rPr>
            </w:pPr>
            <w:r w:rsidRPr="00371021">
              <w:rPr>
                <w:lang w:val="en-AU"/>
              </w:rPr>
              <w:t>2025</w:t>
            </w:r>
          </w:p>
        </w:tc>
        <w:tc>
          <w:tcPr>
            <w:tcW w:w="454" w:type="pct"/>
            <w:noWrap/>
            <w:hideMark/>
          </w:tcPr>
          <w:p w14:paraId="5A7B4F00" w14:textId="77777777" w:rsidR="00371021" w:rsidRPr="00371021" w:rsidRDefault="00371021" w:rsidP="009807BB">
            <w:pPr>
              <w:pStyle w:val="In-tableHeading"/>
              <w:keepNext w:val="0"/>
              <w:jc w:val="center"/>
              <w:rPr>
                <w:lang w:val="en-AU"/>
              </w:rPr>
            </w:pPr>
            <w:r w:rsidRPr="00371021">
              <w:rPr>
                <w:lang w:val="en-AU"/>
              </w:rPr>
              <w:t>2026</w:t>
            </w:r>
          </w:p>
        </w:tc>
        <w:tc>
          <w:tcPr>
            <w:tcW w:w="454" w:type="pct"/>
            <w:noWrap/>
            <w:hideMark/>
          </w:tcPr>
          <w:p w14:paraId="4792A604" w14:textId="77777777" w:rsidR="00371021" w:rsidRPr="00371021" w:rsidRDefault="00371021" w:rsidP="009807BB">
            <w:pPr>
              <w:pStyle w:val="In-tableHeading"/>
              <w:keepNext w:val="0"/>
              <w:jc w:val="center"/>
              <w:rPr>
                <w:lang w:val="en-AU"/>
              </w:rPr>
            </w:pPr>
            <w:r w:rsidRPr="00371021">
              <w:rPr>
                <w:lang w:val="en-AU"/>
              </w:rPr>
              <w:t>2027</w:t>
            </w:r>
          </w:p>
        </w:tc>
        <w:tc>
          <w:tcPr>
            <w:tcW w:w="454" w:type="pct"/>
            <w:noWrap/>
            <w:hideMark/>
          </w:tcPr>
          <w:p w14:paraId="5FF7BA52" w14:textId="77777777" w:rsidR="00371021" w:rsidRPr="00371021" w:rsidRDefault="00371021" w:rsidP="009807BB">
            <w:pPr>
              <w:pStyle w:val="In-tableHeading"/>
              <w:keepNext w:val="0"/>
              <w:jc w:val="center"/>
              <w:rPr>
                <w:lang w:val="en-AU"/>
              </w:rPr>
            </w:pPr>
            <w:r w:rsidRPr="00371021">
              <w:rPr>
                <w:lang w:val="en-AU"/>
              </w:rPr>
              <w:t>2028</w:t>
            </w:r>
          </w:p>
        </w:tc>
        <w:tc>
          <w:tcPr>
            <w:tcW w:w="455" w:type="pct"/>
            <w:noWrap/>
            <w:hideMark/>
          </w:tcPr>
          <w:p w14:paraId="3DB3D7F2" w14:textId="77777777" w:rsidR="00371021" w:rsidRPr="00371021" w:rsidRDefault="00371021" w:rsidP="009807BB">
            <w:pPr>
              <w:pStyle w:val="In-tableHeading"/>
              <w:keepNext w:val="0"/>
              <w:jc w:val="center"/>
              <w:rPr>
                <w:lang w:val="en-AU"/>
              </w:rPr>
            </w:pPr>
            <w:r w:rsidRPr="00371021">
              <w:rPr>
                <w:lang w:val="en-AU"/>
              </w:rPr>
              <w:t>2029</w:t>
            </w:r>
          </w:p>
        </w:tc>
      </w:tr>
      <w:tr w:rsidR="00371021" w:rsidRPr="00371021" w14:paraId="16D00C9D" w14:textId="77777777" w:rsidTr="00603002">
        <w:trPr>
          <w:trHeight w:val="20"/>
        </w:trPr>
        <w:tc>
          <w:tcPr>
            <w:tcW w:w="5000" w:type="pct"/>
            <w:gridSpan w:val="8"/>
            <w:noWrap/>
            <w:hideMark/>
          </w:tcPr>
          <w:p w14:paraId="671E7735" w14:textId="77777777" w:rsidR="00371021" w:rsidRPr="00371021" w:rsidRDefault="00371021" w:rsidP="009807BB">
            <w:pPr>
              <w:pStyle w:val="TableText"/>
              <w:rPr>
                <w:b/>
                <w:bCs/>
              </w:rPr>
            </w:pPr>
            <w:r w:rsidRPr="00371021">
              <w:rPr>
                <w:b/>
                <w:bCs/>
              </w:rPr>
              <w:t>Use in the prevalent population</w:t>
            </w:r>
          </w:p>
        </w:tc>
      </w:tr>
      <w:tr w:rsidR="00371021" w:rsidRPr="00371021" w14:paraId="320A0BC2" w14:textId="77777777" w:rsidTr="00603002">
        <w:trPr>
          <w:trHeight w:val="20"/>
        </w:trPr>
        <w:tc>
          <w:tcPr>
            <w:tcW w:w="154" w:type="pct"/>
            <w:noWrap/>
            <w:hideMark/>
          </w:tcPr>
          <w:p w14:paraId="4680AD24" w14:textId="77777777" w:rsidR="00371021" w:rsidRPr="00371021" w:rsidRDefault="00371021" w:rsidP="009807BB">
            <w:pPr>
              <w:pStyle w:val="TableText"/>
            </w:pPr>
            <w:r w:rsidRPr="00371021">
              <w:t>A</w:t>
            </w:r>
          </w:p>
        </w:tc>
        <w:tc>
          <w:tcPr>
            <w:tcW w:w="2121" w:type="pct"/>
            <w:noWrap/>
            <w:hideMark/>
          </w:tcPr>
          <w:p w14:paraId="517F0A34" w14:textId="77777777" w:rsidR="00371021" w:rsidRPr="00371021" w:rsidRDefault="00371021" w:rsidP="009807BB">
            <w:pPr>
              <w:pStyle w:val="TableText"/>
            </w:pPr>
            <w:r w:rsidRPr="00371021">
              <w:t>No. prevalent chronic HBV patients (0.87% × Australian population projections 2023 age 0−100+)</w:t>
            </w:r>
          </w:p>
        </w:tc>
        <w:tc>
          <w:tcPr>
            <w:tcW w:w="454" w:type="pct"/>
            <w:noWrap/>
            <w:hideMark/>
          </w:tcPr>
          <w:p w14:paraId="11B75BB6" w14:textId="1D4D9781" w:rsidR="00371021" w:rsidRPr="00326F3D" w:rsidRDefault="001A4B8B" w:rsidP="009807BB">
            <w:pPr>
              <w:pStyle w:val="TableText"/>
              <w:jc w:val="right"/>
              <w:rPr>
                <w:highlight w:val="lightGray"/>
              </w:rPr>
            </w:pPr>
            <w:r w:rsidRPr="001A4B8B">
              <w:rPr>
                <w:color w:val="000000"/>
                <w:spacing w:val="48"/>
                <w:shd w:val="solid" w:color="000000" w:fill="000000"/>
                <w:fitText w:val="225" w:id="-961838334"/>
                <w14:textFill>
                  <w14:solidFill>
                    <w14:srgbClr w14:val="000000">
                      <w14:alpha w14:val="100000"/>
                    </w14:srgbClr>
                  </w14:solidFill>
                </w14:textFill>
              </w:rPr>
              <w:t>||</w:t>
            </w:r>
            <w:r w:rsidRPr="001A4B8B">
              <w:rPr>
                <w:color w:val="000000"/>
                <w:spacing w:val="2"/>
                <w:shd w:val="solid" w:color="000000" w:fill="000000"/>
                <w:fitText w:val="225" w:id="-961838334"/>
                <w14:textFill>
                  <w14:solidFill>
                    <w14:srgbClr w14:val="000000">
                      <w14:alpha w14:val="100000"/>
                    </w14:srgbClr>
                  </w14:solidFill>
                </w14:textFill>
              </w:rPr>
              <w:t>|</w:t>
            </w:r>
            <w:r w:rsidR="00326F3D" w:rsidRPr="00326F3D">
              <w:rPr>
                <w:vertAlign w:val="superscript"/>
              </w:rPr>
              <w:t>1</w:t>
            </w:r>
          </w:p>
        </w:tc>
        <w:tc>
          <w:tcPr>
            <w:tcW w:w="454" w:type="pct"/>
            <w:noWrap/>
            <w:hideMark/>
          </w:tcPr>
          <w:p w14:paraId="42462165"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177BF616" w14:textId="77777777" w:rsidR="00371021" w:rsidRPr="00371021" w:rsidRDefault="00371021" w:rsidP="009807BB">
            <w:pPr>
              <w:pStyle w:val="TableText"/>
              <w:jc w:val="right"/>
            </w:pPr>
          </w:p>
        </w:tc>
        <w:tc>
          <w:tcPr>
            <w:tcW w:w="454" w:type="pct"/>
            <w:noWrap/>
            <w:hideMark/>
          </w:tcPr>
          <w:p w14:paraId="099C6E08" w14:textId="77777777" w:rsidR="00371021" w:rsidRPr="00371021" w:rsidRDefault="00371021" w:rsidP="009807BB">
            <w:pPr>
              <w:pStyle w:val="TableText"/>
              <w:jc w:val="right"/>
            </w:pPr>
          </w:p>
        </w:tc>
        <w:tc>
          <w:tcPr>
            <w:tcW w:w="454" w:type="pct"/>
            <w:noWrap/>
            <w:hideMark/>
          </w:tcPr>
          <w:p w14:paraId="5135D9AF" w14:textId="77777777" w:rsidR="00371021" w:rsidRPr="00371021" w:rsidRDefault="00371021" w:rsidP="009807BB">
            <w:pPr>
              <w:pStyle w:val="TableText"/>
              <w:jc w:val="right"/>
            </w:pPr>
          </w:p>
        </w:tc>
        <w:tc>
          <w:tcPr>
            <w:tcW w:w="455" w:type="pct"/>
            <w:noWrap/>
            <w:hideMark/>
          </w:tcPr>
          <w:p w14:paraId="19ECF1EF" w14:textId="77777777" w:rsidR="00371021" w:rsidRPr="00371021" w:rsidRDefault="00371021" w:rsidP="009807BB">
            <w:pPr>
              <w:pStyle w:val="TableText"/>
              <w:jc w:val="right"/>
            </w:pPr>
          </w:p>
        </w:tc>
      </w:tr>
      <w:tr w:rsidR="00371021" w:rsidRPr="00371021" w14:paraId="051AE4FE" w14:textId="77777777" w:rsidTr="00603002">
        <w:trPr>
          <w:trHeight w:val="20"/>
        </w:trPr>
        <w:tc>
          <w:tcPr>
            <w:tcW w:w="154" w:type="pct"/>
            <w:noWrap/>
            <w:hideMark/>
          </w:tcPr>
          <w:p w14:paraId="4671D237" w14:textId="77777777" w:rsidR="00371021" w:rsidRPr="00371021" w:rsidRDefault="00371021" w:rsidP="009807BB">
            <w:pPr>
              <w:pStyle w:val="TableText"/>
            </w:pPr>
            <w:r w:rsidRPr="00371021">
              <w:t>B</w:t>
            </w:r>
          </w:p>
        </w:tc>
        <w:tc>
          <w:tcPr>
            <w:tcW w:w="2121" w:type="pct"/>
            <w:noWrap/>
            <w:hideMark/>
          </w:tcPr>
          <w:p w14:paraId="179A5F6D" w14:textId="77777777" w:rsidR="00371021" w:rsidRPr="00371021" w:rsidRDefault="00371021" w:rsidP="009807BB">
            <w:pPr>
              <w:pStyle w:val="TableText"/>
            </w:pPr>
            <w:r w:rsidRPr="00371021">
              <w:t>No. prevalent chronic HBV patients who are diagnosed prior to listing (A × 73.0%)</w:t>
            </w:r>
          </w:p>
        </w:tc>
        <w:tc>
          <w:tcPr>
            <w:tcW w:w="454" w:type="pct"/>
            <w:noWrap/>
            <w:hideMark/>
          </w:tcPr>
          <w:p w14:paraId="184B8B1A" w14:textId="512289BE" w:rsidR="00371021" w:rsidRPr="00326F3D" w:rsidRDefault="001A4B8B" w:rsidP="009807BB">
            <w:pPr>
              <w:pStyle w:val="TableText"/>
              <w:jc w:val="right"/>
              <w:rPr>
                <w:highlight w:val="lightGray"/>
              </w:rPr>
            </w:pPr>
            <w:r w:rsidRPr="001A4B8B">
              <w:rPr>
                <w:color w:val="000000"/>
                <w:spacing w:val="48"/>
                <w:shd w:val="solid" w:color="000000" w:fill="000000"/>
                <w:fitText w:val="225" w:id="-961838333"/>
                <w14:textFill>
                  <w14:solidFill>
                    <w14:srgbClr w14:val="000000">
                      <w14:alpha w14:val="100000"/>
                    </w14:srgbClr>
                  </w14:solidFill>
                </w14:textFill>
              </w:rPr>
              <w:t>||</w:t>
            </w:r>
            <w:r w:rsidRPr="001A4B8B">
              <w:rPr>
                <w:color w:val="000000"/>
                <w:spacing w:val="2"/>
                <w:shd w:val="solid" w:color="000000" w:fill="000000"/>
                <w:fitText w:val="225" w:id="-961838333"/>
                <w14:textFill>
                  <w14:solidFill>
                    <w14:srgbClr w14:val="000000">
                      <w14:alpha w14:val="100000"/>
                    </w14:srgbClr>
                  </w14:solidFill>
                </w14:textFill>
              </w:rPr>
              <w:t>|</w:t>
            </w:r>
            <w:r w:rsidR="00326F3D" w:rsidRPr="00326F3D">
              <w:rPr>
                <w:vertAlign w:val="superscript"/>
              </w:rPr>
              <w:t>2</w:t>
            </w:r>
          </w:p>
        </w:tc>
        <w:tc>
          <w:tcPr>
            <w:tcW w:w="454" w:type="pct"/>
            <w:noWrap/>
            <w:hideMark/>
          </w:tcPr>
          <w:p w14:paraId="25242842"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77292E36" w14:textId="77777777" w:rsidR="00371021" w:rsidRPr="00371021" w:rsidRDefault="00371021" w:rsidP="009807BB">
            <w:pPr>
              <w:pStyle w:val="TableText"/>
              <w:jc w:val="right"/>
            </w:pPr>
          </w:p>
        </w:tc>
        <w:tc>
          <w:tcPr>
            <w:tcW w:w="454" w:type="pct"/>
            <w:noWrap/>
            <w:hideMark/>
          </w:tcPr>
          <w:p w14:paraId="01DEBD57" w14:textId="77777777" w:rsidR="00371021" w:rsidRPr="00371021" w:rsidRDefault="00371021" w:rsidP="009807BB">
            <w:pPr>
              <w:pStyle w:val="TableText"/>
              <w:jc w:val="right"/>
            </w:pPr>
          </w:p>
        </w:tc>
        <w:tc>
          <w:tcPr>
            <w:tcW w:w="454" w:type="pct"/>
            <w:noWrap/>
            <w:hideMark/>
          </w:tcPr>
          <w:p w14:paraId="59125F7C" w14:textId="77777777" w:rsidR="00371021" w:rsidRPr="00371021" w:rsidRDefault="00371021" w:rsidP="009807BB">
            <w:pPr>
              <w:pStyle w:val="TableText"/>
              <w:jc w:val="right"/>
            </w:pPr>
          </w:p>
        </w:tc>
        <w:tc>
          <w:tcPr>
            <w:tcW w:w="455" w:type="pct"/>
            <w:noWrap/>
            <w:hideMark/>
          </w:tcPr>
          <w:p w14:paraId="30E610AF" w14:textId="77777777" w:rsidR="00371021" w:rsidRPr="00371021" w:rsidRDefault="00371021" w:rsidP="009807BB">
            <w:pPr>
              <w:pStyle w:val="TableText"/>
              <w:jc w:val="right"/>
            </w:pPr>
          </w:p>
        </w:tc>
      </w:tr>
      <w:tr w:rsidR="00371021" w:rsidRPr="00371021" w14:paraId="41EBD8B5" w14:textId="77777777" w:rsidTr="00603002">
        <w:trPr>
          <w:trHeight w:val="20"/>
        </w:trPr>
        <w:tc>
          <w:tcPr>
            <w:tcW w:w="154" w:type="pct"/>
            <w:noWrap/>
            <w:hideMark/>
          </w:tcPr>
          <w:p w14:paraId="73CF8876" w14:textId="77777777" w:rsidR="00371021" w:rsidRPr="00371021" w:rsidRDefault="00371021" w:rsidP="009807BB">
            <w:pPr>
              <w:pStyle w:val="TableText"/>
            </w:pPr>
            <w:r w:rsidRPr="00371021">
              <w:t>C</w:t>
            </w:r>
          </w:p>
        </w:tc>
        <w:tc>
          <w:tcPr>
            <w:tcW w:w="2121" w:type="pct"/>
            <w:noWrap/>
            <w:hideMark/>
          </w:tcPr>
          <w:p w14:paraId="7BB30CCD" w14:textId="2214AC98" w:rsidR="00371021" w:rsidRPr="00371021" w:rsidRDefault="00371021" w:rsidP="009807BB">
            <w:pPr>
              <w:pStyle w:val="TableText"/>
            </w:pPr>
            <w:r w:rsidRPr="00371021">
              <w:t xml:space="preserve">No. prevalent chronic HBV patients who are </w:t>
            </w:r>
            <w:r w:rsidR="00EB3D56">
              <w:t xml:space="preserve">diagnosed and </w:t>
            </w:r>
            <w:r w:rsidRPr="00371021">
              <w:t>engaged in care prior to listing (B × 30.9%)</w:t>
            </w:r>
          </w:p>
        </w:tc>
        <w:tc>
          <w:tcPr>
            <w:tcW w:w="454" w:type="pct"/>
            <w:noWrap/>
            <w:hideMark/>
          </w:tcPr>
          <w:p w14:paraId="1EFF1115" w14:textId="4A7D9DB1" w:rsidR="00371021" w:rsidRPr="00326F3D" w:rsidRDefault="001A4B8B" w:rsidP="009807BB">
            <w:pPr>
              <w:pStyle w:val="TableText"/>
              <w:jc w:val="right"/>
              <w:rPr>
                <w:highlight w:val="lightGray"/>
              </w:rPr>
            </w:pPr>
            <w:r w:rsidRPr="001A4B8B">
              <w:rPr>
                <w:color w:val="000000"/>
                <w:spacing w:val="48"/>
                <w:shd w:val="solid" w:color="000000" w:fill="000000"/>
                <w:fitText w:val="225" w:id="-961838332"/>
                <w14:textFill>
                  <w14:solidFill>
                    <w14:srgbClr w14:val="000000">
                      <w14:alpha w14:val="100000"/>
                    </w14:srgbClr>
                  </w14:solidFill>
                </w14:textFill>
              </w:rPr>
              <w:t>||</w:t>
            </w:r>
            <w:r w:rsidRPr="001A4B8B">
              <w:rPr>
                <w:color w:val="000000"/>
                <w:spacing w:val="2"/>
                <w:shd w:val="solid" w:color="000000" w:fill="000000"/>
                <w:fitText w:val="225" w:id="-961838332"/>
                <w14:textFill>
                  <w14:solidFill>
                    <w14:srgbClr w14:val="000000">
                      <w14:alpha w14:val="100000"/>
                    </w14:srgbClr>
                  </w14:solidFill>
                </w14:textFill>
              </w:rPr>
              <w:t>|</w:t>
            </w:r>
            <w:r w:rsidR="00326F3D" w:rsidRPr="00326F3D">
              <w:rPr>
                <w:vertAlign w:val="superscript"/>
              </w:rPr>
              <w:t>3</w:t>
            </w:r>
          </w:p>
        </w:tc>
        <w:tc>
          <w:tcPr>
            <w:tcW w:w="454" w:type="pct"/>
            <w:noWrap/>
          </w:tcPr>
          <w:p w14:paraId="3A3F08CE" w14:textId="77777777" w:rsidR="00371021" w:rsidRPr="00371021" w:rsidRDefault="00371021" w:rsidP="009807BB">
            <w:pPr>
              <w:pStyle w:val="TableText"/>
              <w:jc w:val="right"/>
              <w:rPr>
                <w:rFonts w:eastAsiaTheme="minorHAnsi" w:cstheme="minorBidi"/>
                <w:szCs w:val="22"/>
                <w:lang w:eastAsia="en-US"/>
              </w:rPr>
            </w:pPr>
          </w:p>
        </w:tc>
        <w:tc>
          <w:tcPr>
            <w:tcW w:w="454" w:type="pct"/>
            <w:noWrap/>
          </w:tcPr>
          <w:p w14:paraId="1F4186D4" w14:textId="77777777" w:rsidR="00371021" w:rsidRPr="00371021" w:rsidRDefault="00371021" w:rsidP="009807BB">
            <w:pPr>
              <w:pStyle w:val="TableText"/>
              <w:jc w:val="right"/>
            </w:pPr>
          </w:p>
        </w:tc>
        <w:tc>
          <w:tcPr>
            <w:tcW w:w="454" w:type="pct"/>
            <w:noWrap/>
            <w:hideMark/>
          </w:tcPr>
          <w:p w14:paraId="2FDE2B23" w14:textId="77777777" w:rsidR="00371021" w:rsidRPr="00371021" w:rsidRDefault="00371021" w:rsidP="009807BB">
            <w:pPr>
              <w:pStyle w:val="TableText"/>
              <w:jc w:val="right"/>
            </w:pPr>
          </w:p>
        </w:tc>
        <w:tc>
          <w:tcPr>
            <w:tcW w:w="454" w:type="pct"/>
            <w:noWrap/>
            <w:hideMark/>
          </w:tcPr>
          <w:p w14:paraId="7929B96D" w14:textId="77777777" w:rsidR="00371021" w:rsidRPr="00371021" w:rsidRDefault="00371021" w:rsidP="009807BB">
            <w:pPr>
              <w:pStyle w:val="TableText"/>
              <w:jc w:val="right"/>
            </w:pPr>
          </w:p>
        </w:tc>
        <w:tc>
          <w:tcPr>
            <w:tcW w:w="455" w:type="pct"/>
            <w:noWrap/>
            <w:hideMark/>
          </w:tcPr>
          <w:p w14:paraId="50BB7106" w14:textId="77777777" w:rsidR="00371021" w:rsidRPr="00371021" w:rsidRDefault="00371021" w:rsidP="009807BB">
            <w:pPr>
              <w:pStyle w:val="TableText"/>
              <w:jc w:val="right"/>
            </w:pPr>
          </w:p>
        </w:tc>
      </w:tr>
      <w:tr w:rsidR="00371021" w:rsidRPr="00371021" w14:paraId="11940455" w14:textId="77777777" w:rsidTr="00603002">
        <w:trPr>
          <w:trHeight w:val="20"/>
        </w:trPr>
        <w:tc>
          <w:tcPr>
            <w:tcW w:w="154" w:type="pct"/>
            <w:noWrap/>
            <w:hideMark/>
          </w:tcPr>
          <w:p w14:paraId="0FE57651" w14:textId="77777777" w:rsidR="00371021" w:rsidRPr="00371021" w:rsidRDefault="00371021" w:rsidP="009807BB">
            <w:pPr>
              <w:pStyle w:val="TableText"/>
            </w:pPr>
          </w:p>
        </w:tc>
        <w:tc>
          <w:tcPr>
            <w:tcW w:w="4846" w:type="pct"/>
            <w:gridSpan w:val="7"/>
            <w:noWrap/>
            <w:hideMark/>
          </w:tcPr>
          <w:p w14:paraId="70F8BDBE" w14:textId="77777777" w:rsidR="00371021" w:rsidRPr="00371021" w:rsidRDefault="00371021" w:rsidP="009807BB">
            <w:pPr>
              <w:pStyle w:val="TableText"/>
            </w:pPr>
            <w:r w:rsidRPr="00371021">
              <w:t>Prevalent population – with prior known chronic HDV diagnosis</w:t>
            </w:r>
          </w:p>
        </w:tc>
      </w:tr>
      <w:tr w:rsidR="00371021" w:rsidRPr="00371021" w14:paraId="585C2990" w14:textId="77777777" w:rsidTr="00603002">
        <w:trPr>
          <w:trHeight w:val="20"/>
        </w:trPr>
        <w:tc>
          <w:tcPr>
            <w:tcW w:w="154" w:type="pct"/>
            <w:noWrap/>
            <w:hideMark/>
          </w:tcPr>
          <w:p w14:paraId="7676F057" w14:textId="77777777" w:rsidR="00371021" w:rsidRPr="00371021" w:rsidRDefault="00371021" w:rsidP="009807BB">
            <w:pPr>
              <w:pStyle w:val="TableText"/>
            </w:pPr>
            <w:r w:rsidRPr="00371021">
              <w:t>D</w:t>
            </w:r>
          </w:p>
        </w:tc>
        <w:tc>
          <w:tcPr>
            <w:tcW w:w="2121" w:type="pct"/>
            <w:noWrap/>
            <w:hideMark/>
          </w:tcPr>
          <w:p w14:paraId="4BEF340A" w14:textId="77777777" w:rsidR="00371021" w:rsidRPr="00371021" w:rsidRDefault="00371021" w:rsidP="009807BB">
            <w:pPr>
              <w:pStyle w:val="TableText"/>
            </w:pPr>
            <w:r w:rsidRPr="00371021">
              <w:t>No. chronic HBV patients previously tested for anti-HDV (C × 35.0%)</w:t>
            </w:r>
          </w:p>
        </w:tc>
        <w:tc>
          <w:tcPr>
            <w:tcW w:w="454" w:type="pct"/>
            <w:noWrap/>
            <w:hideMark/>
          </w:tcPr>
          <w:p w14:paraId="32AC35FB" w14:textId="1935419D" w:rsidR="00371021" w:rsidRPr="00326F3D" w:rsidRDefault="001A4B8B" w:rsidP="009807BB">
            <w:pPr>
              <w:pStyle w:val="TableText"/>
              <w:jc w:val="right"/>
              <w:rPr>
                <w:highlight w:val="lightGray"/>
              </w:rPr>
            </w:pPr>
            <w:r w:rsidRPr="001A4B8B">
              <w:rPr>
                <w:color w:val="000000"/>
                <w:spacing w:val="48"/>
                <w:shd w:val="solid" w:color="000000" w:fill="000000"/>
                <w:fitText w:val="225" w:id="-961838331"/>
                <w14:textFill>
                  <w14:solidFill>
                    <w14:srgbClr w14:val="000000">
                      <w14:alpha w14:val="100000"/>
                    </w14:srgbClr>
                  </w14:solidFill>
                </w14:textFill>
              </w:rPr>
              <w:t>||</w:t>
            </w:r>
            <w:r w:rsidRPr="001A4B8B">
              <w:rPr>
                <w:color w:val="000000"/>
                <w:spacing w:val="2"/>
                <w:shd w:val="solid" w:color="000000" w:fill="000000"/>
                <w:fitText w:val="225" w:id="-961838331"/>
                <w14:textFill>
                  <w14:solidFill>
                    <w14:srgbClr w14:val="000000">
                      <w14:alpha w14:val="100000"/>
                    </w14:srgbClr>
                  </w14:solidFill>
                </w14:textFill>
              </w:rPr>
              <w:t>|</w:t>
            </w:r>
            <w:r w:rsidR="00326F3D" w:rsidRPr="00AC108D">
              <w:rPr>
                <w:vertAlign w:val="superscript"/>
              </w:rPr>
              <w:t>4</w:t>
            </w:r>
          </w:p>
        </w:tc>
        <w:tc>
          <w:tcPr>
            <w:tcW w:w="454" w:type="pct"/>
            <w:noWrap/>
            <w:hideMark/>
          </w:tcPr>
          <w:p w14:paraId="139FA991"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6F38C8CF" w14:textId="77777777" w:rsidR="00371021" w:rsidRPr="00371021" w:rsidRDefault="00371021" w:rsidP="009807BB">
            <w:pPr>
              <w:pStyle w:val="TableText"/>
              <w:jc w:val="right"/>
            </w:pPr>
          </w:p>
        </w:tc>
        <w:tc>
          <w:tcPr>
            <w:tcW w:w="454" w:type="pct"/>
            <w:noWrap/>
            <w:hideMark/>
          </w:tcPr>
          <w:p w14:paraId="707CA2AF" w14:textId="77777777" w:rsidR="00371021" w:rsidRPr="00371021" w:rsidRDefault="00371021" w:rsidP="009807BB">
            <w:pPr>
              <w:pStyle w:val="TableText"/>
              <w:jc w:val="right"/>
            </w:pPr>
          </w:p>
        </w:tc>
        <w:tc>
          <w:tcPr>
            <w:tcW w:w="454" w:type="pct"/>
            <w:noWrap/>
            <w:hideMark/>
          </w:tcPr>
          <w:p w14:paraId="787A0C95" w14:textId="77777777" w:rsidR="00371021" w:rsidRPr="00371021" w:rsidRDefault="00371021" w:rsidP="009807BB">
            <w:pPr>
              <w:pStyle w:val="TableText"/>
              <w:jc w:val="right"/>
            </w:pPr>
          </w:p>
        </w:tc>
        <w:tc>
          <w:tcPr>
            <w:tcW w:w="455" w:type="pct"/>
            <w:noWrap/>
            <w:hideMark/>
          </w:tcPr>
          <w:p w14:paraId="7D419774" w14:textId="77777777" w:rsidR="00371021" w:rsidRPr="00371021" w:rsidRDefault="00371021" w:rsidP="009807BB">
            <w:pPr>
              <w:pStyle w:val="TableText"/>
              <w:jc w:val="right"/>
            </w:pPr>
          </w:p>
        </w:tc>
      </w:tr>
      <w:tr w:rsidR="00371021" w:rsidRPr="00371021" w14:paraId="720E90EE" w14:textId="77777777" w:rsidTr="00603002">
        <w:trPr>
          <w:trHeight w:val="20"/>
        </w:trPr>
        <w:tc>
          <w:tcPr>
            <w:tcW w:w="154" w:type="pct"/>
            <w:noWrap/>
            <w:hideMark/>
          </w:tcPr>
          <w:p w14:paraId="62B34CDB" w14:textId="77777777" w:rsidR="00371021" w:rsidRPr="00371021" w:rsidRDefault="00371021" w:rsidP="009807BB">
            <w:pPr>
              <w:pStyle w:val="TableText"/>
            </w:pPr>
            <w:r w:rsidRPr="00371021">
              <w:t>E</w:t>
            </w:r>
          </w:p>
        </w:tc>
        <w:tc>
          <w:tcPr>
            <w:tcW w:w="2121" w:type="pct"/>
            <w:noWrap/>
            <w:hideMark/>
          </w:tcPr>
          <w:p w14:paraId="13985BB5" w14:textId="77777777" w:rsidR="00371021" w:rsidRPr="00371021" w:rsidRDefault="00371021" w:rsidP="009807BB">
            <w:pPr>
              <w:pStyle w:val="TableText"/>
            </w:pPr>
            <w:r w:rsidRPr="00371021">
              <w:t>No. chronic HBV patients found with anti-HDV+ (D × 4.06%)</w:t>
            </w:r>
          </w:p>
        </w:tc>
        <w:tc>
          <w:tcPr>
            <w:tcW w:w="454" w:type="pct"/>
            <w:noWrap/>
            <w:hideMark/>
          </w:tcPr>
          <w:p w14:paraId="5702E2AE" w14:textId="1BCE163E" w:rsidR="00371021" w:rsidRPr="00326F3D" w:rsidRDefault="001A4B8B" w:rsidP="009807BB">
            <w:pPr>
              <w:pStyle w:val="TableText"/>
              <w:jc w:val="right"/>
              <w:rPr>
                <w:highlight w:val="lightGray"/>
              </w:rPr>
            </w:pPr>
            <w:r w:rsidRPr="001A4B8B">
              <w:rPr>
                <w:color w:val="000000"/>
                <w:spacing w:val="48"/>
                <w:shd w:val="solid" w:color="000000" w:fill="000000"/>
                <w:fitText w:val="225" w:id="-961838330"/>
                <w14:textFill>
                  <w14:solidFill>
                    <w14:srgbClr w14:val="000000">
                      <w14:alpha w14:val="100000"/>
                    </w14:srgbClr>
                  </w14:solidFill>
                </w14:textFill>
              </w:rPr>
              <w:t>||</w:t>
            </w:r>
            <w:r w:rsidRPr="001A4B8B">
              <w:rPr>
                <w:color w:val="000000"/>
                <w:spacing w:val="2"/>
                <w:shd w:val="solid" w:color="000000" w:fill="000000"/>
                <w:fitText w:val="225" w:id="-961838330"/>
                <w14:textFill>
                  <w14:solidFill>
                    <w14:srgbClr w14:val="000000">
                      <w14:alpha w14:val="100000"/>
                    </w14:srgbClr>
                  </w14:solidFill>
                </w14:textFill>
              </w:rPr>
              <w:t>|</w:t>
            </w:r>
            <w:r w:rsidR="00AC108D" w:rsidRPr="00AC108D">
              <w:rPr>
                <w:vertAlign w:val="superscript"/>
              </w:rPr>
              <w:t>5</w:t>
            </w:r>
          </w:p>
        </w:tc>
        <w:tc>
          <w:tcPr>
            <w:tcW w:w="454" w:type="pct"/>
            <w:noWrap/>
            <w:hideMark/>
          </w:tcPr>
          <w:p w14:paraId="24BF0255"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4EC9378B" w14:textId="77777777" w:rsidR="00371021" w:rsidRPr="00371021" w:rsidRDefault="00371021" w:rsidP="009807BB">
            <w:pPr>
              <w:pStyle w:val="TableText"/>
              <w:jc w:val="right"/>
            </w:pPr>
          </w:p>
        </w:tc>
        <w:tc>
          <w:tcPr>
            <w:tcW w:w="454" w:type="pct"/>
            <w:noWrap/>
            <w:hideMark/>
          </w:tcPr>
          <w:p w14:paraId="18649FF9" w14:textId="77777777" w:rsidR="00371021" w:rsidRPr="00371021" w:rsidRDefault="00371021" w:rsidP="009807BB">
            <w:pPr>
              <w:pStyle w:val="TableText"/>
              <w:jc w:val="right"/>
            </w:pPr>
          </w:p>
        </w:tc>
        <w:tc>
          <w:tcPr>
            <w:tcW w:w="454" w:type="pct"/>
            <w:noWrap/>
            <w:hideMark/>
          </w:tcPr>
          <w:p w14:paraId="6759CA14" w14:textId="77777777" w:rsidR="00371021" w:rsidRPr="00371021" w:rsidRDefault="00371021" w:rsidP="009807BB">
            <w:pPr>
              <w:pStyle w:val="TableText"/>
              <w:jc w:val="right"/>
            </w:pPr>
          </w:p>
        </w:tc>
        <w:tc>
          <w:tcPr>
            <w:tcW w:w="455" w:type="pct"/>
            <w:noWrap/>
            <w:hideMark/>
          </w:tcPr>
          <w:p w14:paraId="7AAA4B10" w14:textId="77777777" w:rsidR="00371021" w:rsidRPr="00371021" w:rsidRDefault="00371021" w:rsidP="009807BB">
            <w:pPr>
              <w:pStyle w:val="TableText"/>
              <w:jc w:val="right"/>
            </w:pPr>
          </w:p>
        </w:tc>
      </w:tr>
      <w:tr w:rsidR="00371021" w:rsidRPr="00371021" w14:paraId="398A50C1" w14:textId="77777777" w:rsidTr="00603002">
        <w:trPr>
          <w:trHeight w:val="20"/>
        </w:trPr>
        <w:tc>
          <w:tcPr>
            <w:tcW w:w="154" w:type="pct"/>
            <w:noWrap/>
            <w:hideMark/>
          </w:tcPr>
          <w:p w14:paraId="33DAFEDC" w14:textId="77777777" w:rsidR="00371021" w:rsidRPr="00371021" w:rsidRDefault="00371021" w:rsidP="009807BB">
            <w:pPr>
              <w:pStyle w:val="TableText"/>
            </w:pPr>
            <w:r w:rsidRPr="00371021">
              <w:lastRenderedPageBreak/>
              <w:t>F</w:t>
            </w:r>
          </w:p>
        </w:tc>
        <w:tc>
          <w:tcPr>
            <w:tcW w:w="2121" w:type="pct"/>
            <w:noWrap/>
            <w:hideMark/>
          </w:tcPr>
          <w:p w14:paraId="73701642" w14:textId="77777777" w:rsidR="00371021" w:rsidRPr="00371021" w:rsidRDefault="00371021" w:rsidP="009807BB">
            <w:pPr>
              <w:pStyle w:val="TableText"/>
            </w:pPr>
            <w:r w:rsidRPr="00371021">
              <w:t>No. patients with HDV+ antibodies who received HDV RNA testing (E × 44.4%)</w:t>
            </w:r>
          </w:p>
        </w:tc>
        <w:tc>
          <w:tcPr>
            <w:tcW w:w="454" w:type="pct"/>
            <w:noWrap/>
            <w:hideMark/>
          </w:tcPr>
          <w:p w14:paraId="2E12E81A" w14:textId="408B7AAB" w:rsidR="00371021" w:rsidRPr="00326F3D" w:rsidRDefault="001A4B8B" w:rsidP="009807BB">
            <w:pPr>
              <w:pStyle w:val="TableText"/>
              <w:jc w:val="right"/>
              <w:rPr>
                <w:highlight w:val="lightGray"/>
              </w:rPr>
            </w:pPr>
            <w:r w:rsidRPr="001A4B8B">
              <w:rPr>
                <w:color w:val="000000"/>
                <w:spacing w:val="48"/>
                <w:shd w:val="solid" w:color="000000" w:fill="000000"/>
                <w:fitText w:val="225" w:id="-961838329"/>
                <w14:textFill>
                  <w14:solidFill>
                    <w14:srgbClr w14:val="000000">
                      <w14:alpha w14:val="100000"/>
                    </w14:srgbClr>
                  </w14:solidFill>
                </w14:textFill>
              </w:rPr>
              <w:t>||</w:t>
            </w:r>
            <w:r w:rsidRPr="001A4B8B">
              <w:rPr>
                <w:color w:val="000000"/>
                <w:spacing w:val="2"/>
                <w:shd w:val="solid" w:color="000000" w:fill="000000"/>
                <w:fitText w:val="225" w:id="-961838329"/>
                <w14:textFill>
                  <w14:solidFill>
                    <w14:srgbClr w14:val="000000">
                      <w14:alpha w14:val="100000"/>
                    </w14:srgbClr>
                  </w14:solidFill>
                </w14:textFill>
              </w:rPr>
              <w:t>|</w:t>
            </w:r>
            <w:r w:rsidR="00AC108D" w:rsidRPr="00AC108D">
              <w:rPr>
                <w:vertAlign w:val="superscript"/>
              </w:rPr>
              <w:t>6</w:t>
            </w:r>
          </w:p>
        </w:tc>
        <w:tc>
          <w:tcPr>
            <w:tcW w:w="454" w:type="pct"/>
            <w:noWrap/>
          </w:tcPr>
          <w:p w14:paraId="265EE651" w14:textId="77777777" w:rsidR="00371021" w:rsidRPr="00371021" w:rsidRDefault="00371021" w:rsidP="009807BB">
            <w:pPr>
              <w:pStyle w:val="TableText"/>
              <w:jc w:val="right"/>
              <w:rPr>
                <w:rFonts w:eastAsiaTheme="minorHAnsi" w:cstheme="minorBidi"/>
                <w:szCs w:val="22"/>
                <w:lang w:eastAsia="en-US"/>
              </w:rPr>
            </w:pPr>
          </w:p>
        </w:tc>
        <w:tc>
          <w:tcPr>
            <w:tcW w:w="454" w:type="pct"/>
            <w:noWrap/>
          </w:tcPr>
          <w:p w14:paraId="21B68619" w14:textId="77777777" w:rsidR="00371021" w:rsidRPr="00371021" w:rsidRDefault="00371021" w:rsidP="009807BB">
            <w:pPr>
              <w:pStyle w:val="TableText"/>
              <w:jc w:val="right"/>
            </w:pPr>
          </w:p>
        </w:tc>
        <w:tc>
          <w:tcPr>
            <w:tcW w:w="454" w:type="pct"/>
            <w:noWrap/>
            <w:hideMark/>
          </w:tcPr>
          <w:p w14:paraId="72432A4C" w14:textId="77777777" w:rsidR="00371021" w:rsidRPr="00371021" w:rsidRDefault="00371021" w:rsidP="009807BB">
            <w:pPr>
              <w:pStyle w:val="TableText"/>
              <w:jc w:val="right"/>
            </w:pPr>
          </w:p>
        </w:tc>
        <w:tc>
          <w:tcPr>
            <w:tcW w:w="454" w:type="pct"/>
            <w:noWrap/>
            <w:hideMark/>
          </w:tcPr>
          <w:p w14:paraId="15BA8ED0" w14:textId="77777777" w:rsidR="00371021" w:rsidRPr="00371021" w:rsidRDefault="00371021" w:rsidP="009807BB">
            <w:pPr>
              <w:pStyle w:val="TableText"/>
              <w:jc w:val="right"/>
            </w:pPr>
          </w:p>
        </w:tc>
        <w:tc>
          <w:tcPr>
            <w:tcW w:w="455" w:type="pct"/>
            <w:noWrap/>
            <w:hideMark/>
          </w:tcPr>
          <w:p w14:paraId="310575F0" w14:textId="77777777" w:rsidR="00371021" w:rsidRPr="00371021" w:rsidRDefault="00371021" w:rsidP="009807BB">
            <w:pPr>
              <w:pStyle w:val="TableText"/>
              <w:jc w:val="right"/>
            </w:pPr>
          </w:p>
        </w:tc>
      </w:tr>
      <w:tr w:rsidR="00371021" w:rsidRPr="00371021" w14:paraId="2050F604" w14:textId="77777777" w:rsidTr="00603002">
        <w:trPr>
          <w:trHeight w:val="20"/>
        </w:trPr>
        <w:tc>
          <w:tcPr>
            <w:tcW w:w="154" w:type="pct"/>
            <w:noWrap/>
            <w:hideMark/>
          </w:tcPr>
          <w:p w14:paraId="0A48CA6B" w14:textId="77777777" w:rsidR="00371021" w:rsidRPr="00371021" w:rsidRDefault="00371021" w:rsidP="009807BB">
            <w:pPr>
              <w:pStyle w:val="TableText"/>
            </w:pPr>
            <w:r w:rsidRPr="00371021">
              <w:t>G</w:t>
            </w:r>
          </w:p>
        </w:tc>
        <w:tc>
          <w:tcPr>
            <w:tcW w:w="2121" w:type="pct"/>
            <w:noWrap/>
            <w:hideMark/>
          </w:tcPr>
          <w:p w14:paraId="258A173B" w14:textId="77777777" w:rsidR="00371021" w:rsidRPr="00371021" w:rsidRDefault="00371021" w:rsidP="009807BB">
            <w:pPr>
              <w:pStyle w:val="TableText"/>
            </w:pPr>
            <w:r w:rsidRPr="00371021">
              <w:t>No. previously found with detectable HDV RNA (F × 56.2%)</w:t>
            </w:r>
          </w:p>
        </w:tc>
        <w:tc>
          <w:tcPr>
            <w:tcW w:w="454" w:type="pct"/>
            <w:noWrap/>
            <w:hideMark/>
          </w:tcPr>
          <w:p w14:paraId="3DA9FA4A" w14:textId="0DF6076D" w:rsidR="00371021" w:rsidRPr="00326F3D" w:rsidRDefault="001A4B8B" w:rsidP="009807BB">
            <w:pPr>
              <w:pStyle w:val="TableText"/>
              <w:jc w:val="right"/>
              <w:rPr>
                <w:highlight w:val="lightGray"/>
              </w:rPr>
            </w:pPr>
            <w:r w:rsidRPr="001A4B8B">
              <w:rPr>
                <w:color w:val="000000"/>
                <w:spacing w:val="48"/>
                <w:shd w:val="solid" w:color="000000" w:fill="000000"/>
                <w:fitText w:val="225" w:id="-961838328"/>
                <w14:textFill>
                  <w14:solidFill>
                    <w14:srgbClr w14:val="000000">
                      <w14:alpha w14:val="100000"/>
                    </w14:srgbClr>
                  </w14:solidFill>
                </w14:textFill>
              </w:rPr>
              <w:t>||</w:t>
            </w:r>
            <w:r w:rsidRPr="001A4B8B">
              <w:rPr>
                <w:color w:val="000000"/>
                <w:spacing w:val="2"/>
                <w:shd w:val="solid" w:color="000000" w:fill="000000"/>
                <w:fitText w:val="225" w:id="-961838328"/>
                <w14:textFill>
                  <w14:solidFill>
                    <w14:srgbClr w14:val="000000">
                      <w14:alpha w14:val="100000"/>
                    </w14:srgbClr>
                  </w14:solidFill>
                </w14:textFill>
              </w:rPr>
              <w:t>|</w:t>
            </w:r>
            <w:r w:rsidR="00AC108D" w:rsidRPr="00AC108D">
              <w:rPr>
                <w:vertAlign w:val="superscript"/>
              </w:rPr>
              <w:t>6</w:t>
            </w:r>
          </w:p>
        </w:tc>
        <w:tc>
          <w:tcPr>
            <w:tcW w:w="454" w:type="pct"/>
            <w:noWrap/>
            <w:hideMark/>
          </w:tcPr>
          <w:p w14:paraId="3CF3CA24"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6F9E9813" w14:textId="77777777" w:rsidR="00371021" w:rsidRPr="00371021" w:rsidRDefault="00371021" w:rsidP="009807BB">
            <w:pPr>
              <w:pStyle w:val="TableText"/>
              <w:jc w:val="right"/>
            </w:pPr>
          </w:p>
        </w:tc>
        <w:tc>
          <w:tcPr>
            <w:tcW w:w="454" w:type="pct"/>
            <w:noWrap/>
            <w:hideMark/>
          </w:tcPr>
          <w:p w14:paraId="323CF84E" w14:textId="77777777" w:rsidR="00371021" w:rsidRPr="00371021" w:rsidRDefault="00371021" w:rsidP="009807BB">
            <w:pPr>
              <w:pStyle w:val="TableText"/>
              <w:jc w:val="right"/>
            </w:pPr>
          </w:p>
        </w:tc>
        <w:tc>
          <w:tcPr>
            <w:tcW w:w="454" w:type="pct"/>
            <w:noWrap/>
            <w:hideMark/>
          </w:tcPr>
          <w:p w14:paraId="680E9549" w14:textId="77777777" w:rsidR="00371021" w:rsidRPr="00371021" w:rsidRDefault="00371021" w:rsidP="009807BB">
            <w:pPr>
              <w:pStyle w:val="TableText"/>
              <w:jc w:val="right"/>
            </w:pPr>
          </w:p>
        </w:tc>
        <w:tc>
          <w:tcPr>
            <w:tcW w:w="455" w:type="pct"/>
            <w:noWrap/>
            <w:hideMark/>
          </w:tcPr>
          <w:p w14:paraId="12820044" w14:textId="77777777" w:rsidR="00371021" w:rsidRPr="00371021" w:rsidRDefault="00371021" w:rsidP="009807BB">
            <w:pPr>
              <w:pStyle w:val="TableText"/>
              <w:jc w:val="right"/>
            </w:pPr>
          </w:p>
        </w:tc>
      </w:tr>
      <w:tr w:rsidR="00371021" w:rsidRPr="00371021" w14:paraId="088BFFA8" w14:textId="77777777" w:rsidTr="00603002">
        <w:trPr>
          <w:trHeight w:val="20"/>
        </w:trPr>
        <w:tc>
          <w:tcPr>
            <w:tcW w:w="154" w:type="pct"/>
            <w:noWrap/>
            <w:hideMark/>
          </w:tcPr>
          <w:p w14:paraId="5CFAAB9A" w14:textId="77777777" w:rsidR="00371021" w:rsidRPr="00371021" w:rsidRDefault="00371021" w:rsidP="009807BB">
            <w:pPr>
              <w:pStyle w:val="TableText"/>
            </w:pPr>
            <w:r w:rsidRPr="00371021">
              <w:t>H</w:t>
            </w:r>
          </w:p>
        </w:tc>
        <w:tc>
          <w:tcPr>
            <w:tcW w:w="2121" w:type="pct"/>
            <w:tcBorders>
              <w:bottom w:val="single" w:sz="4" w:space="0" w:color="auto"/>
            </w:tcBorders>
            <w:noWrap/>
            <w:hideMark/>
          </w:tcPr>
          <w:p w14:paraId="17961CF9" w14:textId="77777777" w:rsidR="00371021" w:rsidRPr="00371021" w:rsidRDefault="00371021" w:rsidP="009807BB">
            <w:pPr>
              <w:pStyle w:val="TableText"/>
            </w:pPr>
            <w:r w:rsidRPr="00371021">
              <w:t>No. eligible for bulevirtide treatment (G × 82.0%)</w:t>
            </w:r>
          </w:p>
        </w:tc>
        <w:tc>
          <w:tcPr>
            <w:tcW w:w="454" w:type="pct"/>
            <w:tcBorders>
              <w:bottom w:val="single" w:sz="4" w:space="0" w:color="auto"/>
            </w:tcBorders>
            <w:noWrap/>
            <w:hideMark/>
          </w:tcPr>
          <w:p w14:paraId="74E230C1" w14:textId="6D71CF9F" w:rsidR="00371021" w:rsidRPr="00326F3D" w:rsidRDefault="001A4B8B" w:rsidP="009807BB">
            <w:pPr>
              <w:pStyle w:val="TableText"/>
              <w:jc w:val="right"/>
              <w:rPr>
                <w:highlight w:val="lightGray"/>
              </w:rPr>
            </w:pPr>
            <w:r w:rsidRPr="001A4B8B">
              <w:rPr>
                <w:color w:val="000000"/>
                <w:spacing w:val="48"/>
                <w:shd w:val="solid" w:color="000000" w:fill="000000"/>
                <w:fitText w:val="225" w:id="-961838327"/>
                <w14:textFill>
                  <w14:solidFill>
                    <w14:srgbClr w14:val="000000">
                      <w14:alpha w14:val="100000"/>
                    </w14:srgbClr>
                  </w14:solidFill>
                </w14:textFill>
              </w:rPr>
              <w:t>||</w:t>
            </w:r>
            <w:r w:rsidRPr="001A4B8B">
              <w:rPr>
                <w:color w:val="000000"/>
                <w:spacing w:val="2"/>
                <w:shd w:val="solid" w:color="000000" w:fill="000000"/>
                <w:fitText w:val="225" w:id="-961838327"/>
                <w14:textFill>
                  <w14:solidFill>
                    <w14:srgbClr w14:val="000000">
                      <w14:alpha w14:val="100000"/>
                    </w14:srgbClr>
                  </w14:solidFill>
                </w14:textFill>
              </w:rPr>
              <w:t>|</w:t>
            </w:r>
            <w:r w:rsidR="00AC108D" w:rsidRPr="00AC108D">
              <w:rPr>
                <w:vertAlign w:val="superscript"/>
              </w:rPr>
              <w:t>6</w:t>
            </w:r>
          </w:p>
        </w:tc>
        <w:tc>
          <w:tcPr>
            <w:tcW w:w="454" w:type="pct"/>
            <w:tcBorders>
              <w:bottom w:val="single" w:sz="4" w:space="0" w:color="auto"/>
            </w:tcBorders>
            <w:noWrap/>
            <w:hideMark/>
          </w:tcPr>
          <w:p w14:paraId="24755413" w14:textId="77777777" w:rsidR="00371021" w:rsidRPr="00371021" w:rsidRDefault="00371021" w:rsidP="009807BB">
            <w:pPr>
              <w:pStyle w:val="TableText"/>
              <w:jc w:val="right"/>
              <w:rPr>
                <w:rFonts w:eastAsiaTheme="minorHAnsi" w:cstheme="minorBidi"/>
                <w:szCs w:val="22"/>
                <w:lang w:eastAsia="en-US"/>
              </w:rPr>
            </w:pPr>
          </w:p>
        </w:tc>
        <w:tc>
          <w:tcPr>
            <w:tcW w:w="454" w:type="pct"/>
            <w:tcBorders>
              <w:bottom w:val="single" w:sz="4" w:space="0" w:color="auto"/>
            </w:tcBorders>
            <w:noWrap/>
            <w:hideMark/>
          </w:tcPr>
          <w:p w14:paraId="44272F66" w14:textId="77777777" w:rsidR="00371021" w:rsidRPr="00371021" w:rsidRDefault="00371021" w:rsidP="009807BB">
            <w:pPr>
              <w:pStyle w:val="TableText"/>
              <w:jc w:val="right"/>
            </w:pPr>
          </w:p>
        </w:tc>
        <w:tc>
          <w:tcPr>
            <w:tcW w:w="454" w:type="pct"/>
            <w:tcBorders>
              <w:bottom w:val="single" w:sz="4" w:space="0" w:color="auto"/>
            </w:tcBorders>
            <w:noWrap/>
            <w:hideMark/>
          </w:tcPr>
          <w:p w14:paraId="2E52355F" w14:textId="77777777" w:rsidR="00371021" w:rsidRPr="00371021" w:rsidRDefault="00371021" w:rsidP="009807BB">
            <w:pPr>
              <w:pStyle w:val="TableText"/>
              <w:jc w:val="right"/>
            </w:pPr>
          </w:p>
        </w:tc>
        <w:tc>
          <w:tcPr>
            <w:tcW w:w="454" w:type="pct"/>
            <w:tcBorders>
              <w:bottom w:val="single" w:sz="4" w:space="0" w:color="auto"/>
            </w:tcBorders>
            <w:noWrap/>
            <w:hideMark/>
          </w:tcPr>
          <w:p w14:paraId="22D644C5" w14:textId="77777777" w:rsidR="00371021" w:rsidRPr="00371021" w:rsidRDefault="00371021" w:rsidP="009807BB">
            <w:pPr>
              <w:pStyle w:val="TableText"/>
              <w:jc w:val="right"/>
            </w:pPr>
          </w:p>
        </w:tc>
        <w:tc>
          <w:tcPr>
            <w:tcW w:w="455" w:type="pct"/>
            <w:tcBorders>
              <w:bottom w:val="single" w:sz="4" w:space="0" w:color="auto"/>
            </w:tcBorders>
            <w:noWrap/>
            <w:hideMark/>
          </w:tcPr>
          <w:p w14:paraId="11190971" w14:textId="77777777" w:rsidR="00371021" w:rsidRPr="00371021" w:rsidRDefault="00371021" w:rsidP="009807BB">
            <w:pPr>
              <w:pStyle w:val="TableText"/>
              <w:jc w:val="right"/>
            </w:pPr>
          </w:p>
        </w:tc>
      </w:tr>
      <w:tr w:rsidR="00371021" w:rsidRPr="00371021" w14:paraId="1C0C1A9B" w14:textId="77777777" w:rsidTr="00603002">
        <w:trPr>
          <w:trHeight w:val="20"/>
        </w:trPr>
        <w:tc>
          <w:tcPr>
            <w:tcW w:w="154" w:type="pct"/>
            <w:noWrap/>
            <w:hideMark/>
          </w:tcPr>
          <w:p w14:paraId="7DDB8E12" w14:textId="77777777" w:rsidR="00371021" w:rsidRPr="00371021" w:rsidRDefault="00371021" w:rsidP="009807BB">
            <w:pPr>
              <w:pStyle w:val="TableText"/>
            </w:pPr>
          </w:p>
        </w:tc>
        <w:tc>
          <w:tcPr>
            <w:tcW w:w="4846" w:type="pct"/>
            <w:gridSpan w:val="7"/>
            <w:noWrap/>
            <w:hideMark/>
          </w:tcPr>
          <w:p w14:paraId="6AE631A9" w14:textId="77777777" w:rsidR="00371021" w:rsidRPr="00371021" w:rsidRDefault="00371021" w:rsidP="009807BB">
            <w:pPr>
              <w:pStyle w:val="TableText"/>
            </w:pPr>
            <w:r w:rsidRPr="00371021">
              <w:t>Prevalent population - unknown chronic HDV diagnosis</w:t>
            </w:r>
          </w:p>
        </w:tc>
      </w:tr>
      <w:tr w:rsidR="00371021" w:rsidRPr="00371021" w14:paraId="6167F704" w14:textId="77777777" w:rsidTr="00603002">
        <w:trPr>
          <w:trHeight w:val="20"/>
        </w:trPr>
        <w:tc>
          <w:tcPr>
            <w:tcW w:w="154" w:type="pct"/>
            <w:noWrap/>
            <w:hideMark/>
          </w:tcPr>
          <w:p w14:paraId="176569AD" w14:textId="77777777" w:rsidR="00371021" w:rsidRPr="00371021" w:rsidRDefault="00371021" w:rsidP="009807BB">
            <w:pPr>
              <w:pStyle w:val="TableText"/>
            </w:pPr>
            <w:r w:rsidRPr="00371021">
              <w:t>I</w:t>
            </w:r>
          </w:p>
        </w:tc>
        <w:tc>
          <w:tcPr>
            <w:tcW w:w="2121" w:type="pct"/>
            <w:noWrap/>
            <w:hideMark/>
          </w:tcPr>
          <w:p w14:paraId="2893E29F" w14:textId="77777777" w:rsidR="00371021" w:rsidRPr="00371021" w:rsidRDefault="00371021" w:rsidP="009807BB">
            <w:pPr>
              <w:pStyle w:val="TableText"/>
            </w:pPr>
            <w:r w:rsidRPr="00371021">
              <w:t>Proportion of prevalent chronic HBV patients tested for anti-HDV following bulevirtide listing</w:t>
            </w:r>
          </w:p>
        </w:tc>
        <w:tc>
          <w:tcPr>
            <w:tcW w:w="454" w:type="pct"/>
            <w:noWrap/>
            <w:hideMark/>
          </w:tcPr>
          <w:p w14:paraId="4C69C042" w14:textId="7C211D3A" w:rsidR="00371021" w:rsidRPr="00371021" w:rsidRDefault="001A4B8B" w:rsidP="009807BB">
            <w:pPr>
              <w:pStyle w:val="TableText"/>
              <w:jc w:val="right"/>
            </w:pPr>
            <w:r w:rsidRPr="001A4B8B">
              <w:rPr>
                <w:color w:val="000000"/>
                <w:spacing w:val="47"/>
                <w:shd w:val="solid" w:color="000000" w:fill="000000"/>
                <w:fitText w:val="313" w:id="-961838326"/>
                <w14:textFill>
                  <w14:solidFill>
                    <w14:srgbClr w14:val="000000">
                      <w14:alpha w14:val="100000"/>
                    </w14:srgbClr>
                  </w14:solidFill>
                </w14:textFill>
              </w:rPr>
              <w:t>|||</w:t>
            </w:r>
            <w:r w:rsidRPr="001A4B8B">
              <w:rPr>
                <w:color w:val="000000"/>
                <w:spacing w:val="2"/>
                <w:shd w:val="solid" w:color="000000" w:fill="000000"/>
                <w:fitText w:val="313" w:id="-961838326"/>
                <w14:textFill>
                  <w14:solidFill>
                    <w14:srgbClr w14:val="000000">
                      <w14:alpha w14:val="100000"/>
                    </w14:srgbClr>
                  </w14:solidFill>
                </w14:textFill>
              </w:rPr>
              <w:t>|</w:t>
            </w:r>
            <w:r w:rsidR="00371021" w:rsidRPr="00371021">
              <w:t>% </w:t>
            </w:r>
            <w:r w:rsidR="00371021" w:rsidRPr="00371021">
              <w:rPr>
                <w:vertAlign w:val="superscript"/>
              </w:rPr>
              <w:t>a</w:t>
            </w:r>
          </w:p>
        </w:tc>
        <w:tc>
          <w:tcPr>
            <w:tcW w:w="454" w:type="pct"/>
            <w:noWrap/>
            <w:hideMark/>
          </w:tcPr>
          <w:p w14:paraId="10017D4B" w14:textId="65BCD04A"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5"/>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5"/>
                <w:lang w:eastAsia="en-US"/>
                <w14:textFill>
                  <w14:solidFill>
                    <w14:srgbClr w14:val="000000">
                      <w14:alpha w14:val="100000"/>
                    </w14:srgbClr>
                  </w14:solidFill>
                </w14:textFill>
              </w:rPr>
              <w:t>|</w:t>
            </w:r>
            <w:r w:rsidR="00371021" w:rsidRPr="00371021">
              <w:rPr>
                <w:rFonts w:eastAsiaTheme="minorHAnsi" w:cstheme="minorBidi"/>
                <w:szCs w:val="22"/>
                <w:lang w:eastAsia="en-US"/>
              </w:rPr>
              <w:t>% </w:t>
            </w:r>
            <w:r w:rsidR="00371021" w:rsidRPr="00371021">
              <w:rPr>
                <w:rFonts w:eastAsiaTheme="minorHAnsi" w:cstheme="minorBidi"/>
                <w:szCs w:val="22"/>
                <w:vertAlign w:val="superscript"/>
                <w:lang w:eastAsia="en-US"/>
              </w:rPr>
              <w:t>b</w:t>
            </w:r>
          </w:p>
        </w:tc>
        <w:tc>
          <w:tcPr>
            <w:tcW w:w="454" w:type="pct"/>
            <w:noWrap/>
            <w:hideMark/>
          </w:tcPr>
          <w:p w14:paraId="24306D81" w14:textId="57BD07FE"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4"/>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4"/>
                <w:lang w:eastAsia="en-US"/>
                <w14:textFill>
                  <w14:solidFill>
                    <w14:srgbClr w14:val="000000">
                      <w14:alpha w14:val="100000"/>
                    </w14:srgbClr>
                  </w14:solidFill>
                </w14:textFill>
              </w:rPr>
              <w:t>|</w:t>
            </w:r>
            <w:r w:rsidR="00371021" w:rsidRPr="00371021">
              <w:rPr>
                <w:rFonts w:eastAsiaTheme="minorHAnsi" w:cstheme="minorBidi"/>
                <w:szCs w:val="22"/>
                <w:lang w:eastAsia="en-US"/>
              </w:rPr>
              <w:t>% </w:t>
            </w:r>
            <w:r w:rsidR="00371021" w:rsidRPr="00371021">
              <w:rPr>
                <w:rFonts w:eastAsiaTheme="minorHAnsi" w:cstheme="minorBidi"/>
                <w:szCs w:val="22"/>
                <w:vertAlign w:val="superscript"/>
                <w:lang w:eastAsia="en-US"/>
              </w:rPr>
              <w:t>c</w:t>
            </w:r>
          </w:p>
        </w:tc>
        <w:tc>
          <w:tcPr>
            <w:tcW w:w="454" w:type="pct"/>
            <w:noWrap/>
            <w:hideMark/>
          </w:tcPr>
          <w:p w14:paraId="70E5BDBC"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38ACC743" w14:textId="77777777" w:rsidR="00371021" w:rsidRPr="00371021" w:rsidRDefault="00371021" w:rsidP="009807BB">
            <w:pPr>
              <w:pStyle w:val="TableText"/>
              <w:jc w:val="right"/>
            </w:pPr>
          </w:p>
        </w:tc>
        <w:tc>
          <w:tcPr>
            <w:tcW w:w="455" w:type="pct"/>
            <w:noWrap/>
            <w:hideMark/>
          </w:tcPr>
          <w:p w14:paraId="576539D1" w14:textId="77777777" w:rsidR="00371021" w:rsidRPr="00371021" w:rsidRDefault="00371021" w:rsidP="009807BB">
            <w:pPr>
              <w:pStyle w:val="TableText"/>
              <w:jc w:val="right"/>
            </w:pPr>
          </w:p>
        </w:tc>
      </w:tr>
      <w:tr w:rsidR="00371021" w:rsidRPr="00371021" w14:paraId="29E01133" w14:textId="77777777" w:rsidTr="00603002">
        <w:trPr>
          <w:trHeight w:val="20"/>
        </w:trPr>
        <w:tc>
          <w:tcPr>
            <w:tcW w:w="154" w:type="pct"/>
            <w:noWrap/>
            <w:hideMark/>
          </w:tcPr>
          <w:p w14:paraId="6C7C4A76" w14:textId="77777777" w:rsidR="00371021" w:rsidRPr="00371021" w:rsidRDefault="00371021" w:rsidP="009807BB">
            <w:pPr>
              <w:pStyle w:val="TableText"/>
            </w:pPr>
            <w:r w:rsidRPr="00371021">
              <w:t>J</w:t>
            </w:r>
          </w:p>
        </w:tc>
        <w:tc>
          <w:tcPr>
            <w:tcW w:w="2121" w:type="pct"/>
            <w:noWrap/>
            <w:hideMark/>
          </w:tcPr>
          <w:p w14:paraId="7741944A" w14:textId="77777777" w:rsidR="00371021" w:rsidRPr="00371021" w:rsidRDefault="00371021" w:rsidP="009807BB">
            <w:pPr>
              <w:pStyle w:val="TableText"/>
            </w:pPr>
            <w:r w:rsidRPr="00371021">
              <w:t>No. prevalent chronic HBV patients tested for anti-HDV following bulevirtide listing (C × I)</w:t>
            </w:r>
          </w:p>
        </w:tc>
        <w:tc>
          <w:tcPr>
            <w:tcW w:w="454" w:type="pct"/>
            <w:noWrap/>
            <w:hideMark/>
          </w:tcPr>
          <w:p w14:paraId="29E2CBCD" w14:textId="2E3F5B3D" w:rsidR="00371021" w:rsidRPr="00326F3D" w:rsidRDefault="001A4B8B" w:rsidP="009807BB">
            <w:pPr>
              <w:pStyle w:val="TableText"/>
              <w:jc w:val="right"/>
              <w:rPr>
                <w:highlight w:val="lightGray"/>
              </w:rPr>
            </w:pPr>
            <w:r w:rsidRPr="001A4B8B">
              <w:rPr>
                <w:color w:val="000000"/>
                <w:spacing w:val="48"/>
                <w:shd w:val="solid" w:color="000000" w:fill="000000"/>
                <w:fitText w:val="225" w:id="-961838323"/>
                <w14:textFill>
                  <w14:solidFill>
                    <w14:srgbClr w14:val="000000">
                      <w14:alpha w14:val="100000"/>
                    </w14:srgbClr>
                  </w14:solidFill>
                </w14:textFill>
              </w:rPr>
              <w:t>||</w:t>
            </w:r>
            <w:r w:rsidRPr="001A4B8B">
              <w:rPr>
                <w:color w:val="000000"/>
                <w:spacing w:val="2"/>
                <w:shd w:val="solid" w:color="000000" w:fill="000000"/>
                <w:fitText w:val="225" w:id="-961838323"/>
                <w14:textFill>
                  <w14:solidFill>
                    <w14:srgbClr w14:val="000000">
                      <w14:alpha w14:val="100000"/>
                    </w14:srgbClr>
                  </w14:solidFill>
                </w14:textFill>
              </w:rPr>
              <w:t>|</w:t>
            </w:r>
            <w:r w:rsidR="00AC108D" w:rsidRPr="00AC108D">
              <w:rPr>
                <w:vertAlign w:val="superscript"/>
              </w:rPr>
              <w:t>4</w:t>
            </w:r>
          </w:p>
        </w:tc>
        <w:tc>
          <w:tcPr>
            <w:tcW w:w="454" w:type="pct"/>
            <w:noWrap/>
            <w:hideMark/>
          </w:tcPr>
          <w:p w14:paraId="7CB1471E" w14:textId="678B2693"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2"/>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2"/>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38024D53" w14:textId="6962A0C0"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1"/>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1"/>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4B5D33B5"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51957654" w14:textId="77777777" w:rsidR="00371021" w:rsidRPr="00371021" w:rsidRDefault="00371021" w:rsidP="009807BB">
            <w:pPr>
              <w:pStyle w:val="TableText"/>
              <w:jc w:val="right"/>
            </w:pPr>
          </w:p>
        </w:tc>
        <w:tc>
          <w:tcPr>
            <w:tcW w:w="455" w:type="pct"/>
            <w:noWrap/>
            <w:hideMark/>
          </w:tcPr>
          <w:p w14:paraId="6DE94A9B" w14:textId="77777777" w:rsidR="00371021" w:rsidRPr="00371021" w:rsidRDefault="00371021" w:rsidP="009807BB">
            <w:pPr>
              <w:pStyle w:val="TableText"/>
              <w:jc w:val="right"/>
            </w:pPr>
          </w:p>
        </w:tc>
      </w:tr>
      <w:tr w:rsidR="00371021" w:rsidRPr="00371021" w14:paraId="20BC8722" w14:textId="77777777" w:rsidTr="00603002">
        <w:trPr>
          <w:trHeight w:val="20"/>
        </w:trPr>
        <w:tc>
          <w:tcPr>
            <w:tcW w:w="154" w:type="pct"/>
            <w:noWrap/>
            <w:hideMark/>
          </w:tcPr>
          <w:p w14:paraId="140092CB" w14:textId="77777777" w:rsidR="00371021" w:rsidRPr="00371021" w:rsidRDefault="00371021" w:rsidP="009807BB">
            <w:pPr>
              <w:pStyle w:val="TableText"/>
            </w:pPr>
            <w:r w:rsidRPr="00371021">
              <w:t>K</w:t>
            </w:r>
          </w:p>
        </w:tc>
        <w:tc>
          <w:tcPr>
            <w:tcW w:w="2121" w:type="pct"/>
            <w:noWrap/>
            <w:hideMark/>
          </w:tcPr>
          <w:p w14:paraId="750C313C" w14:textId="77777777" w:rsidR="00371021" w:rsidRPr="00371021" w:rsidRDefault="00371021" w:rsidP="009807BB">
            <w:pPr>
              <w:pStyle w:val="TableText"/>
            </w:pPr>
            <w:r w:rsidRPr="00371021">
              <w:t>No. chronic HBV patients with anti-HDV+ (J × 4.06%)</w:t>
            </w:r>
          </w:p>
        </w:tc>
        <w:tc>
          <w:tcPr>
            <w:tcW w:w="454" w:type="pct"/>
            <w:noWrap/>
            <w:hideMark/>
          </w:tcPr>
          <w:p w14:paraId="6FC9D38A" w14:textId="15CC0E4C" w:rsidR="00371021" w:rsidRPr="00326F3D" w:rsidRDefault="001A4B8B" w:rsidP="009807BB">
            <w:pPr>
              <w:pStyle w:val="TableText"/>
              <w:jc w:val="right"/>
              <w:rPr>
                <w:highlight w:val="lightGray"/>
              </w:rPr>
            </w:pPr>
            <w:r w:rsidRPr="001A4B8B">
              <w:rPr>
                <w:color w:val="000000"/>
                <w:spacing w:val="48"/>
                <w:shd w:val="solid" w:color="000000" w:fill="000000"/>
                <w:fitText w:val="225" w:id="-961838320"/>
                <w14:textFill>
                  <w14:solidFill>
                    <w14:srgbClr w14:val="000000">
                      <w14:alpha w14:val="100000"/>
                    </w14:srgbClr>
                  </w14:solidFill>
                </w14:textFill>
              </w:rPr>
              <w:t>||</w:t>
            </w:r>
            <w:r w:rsidRPr="001A4B8B">
              <w:rPr>
                <w:color w:val="000000"/>
                <w:spacing w:val="2"/>
                <w:shd w:val="solid" w:color="000000" w:fill="000000"/>
                <w:fitText w:val="225" w:id="-961838320"/>
                <w14:textFill>
                  <w14:solidFill>
                    <w14:srgbClr w14:val="000000">
                      <w14:alpha w14:val="100000"/>
                    </w14:srgbClr>
                  </w14:solidFill>
                </w14:textFill>
              </w:rPr>
              <w:t>|</w:t>
            </w:r>
            <w:r w:rsidR="00AC108D" w:rsidRPr="00AC108D">
              <w:rPr>
                <w:vertAlign w:val="superscript"/>
              </w:rPr>
              <w:t>6</w:t>
            </w:r>
          </w:p>
        </w:tc>
        <w:tc>
          <w:tcPr>
            <w:tcW w:w="454" w:type="pct"/>
            <w:noWrap/>
            <w:hideMark/>
          </w:tcPr>
          <w:p w14:paraId="2CC54201" w14:textId="23B72924"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6"/>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6"/>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2681F75B" w14:textId="03A25C12"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5"/>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5"/>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62FB337A"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59F2ABDB" w14:textId="77777777" w:rsidR="00371021" w:rsidRPr="00371021" w:rsidRDefault="00371021" w:rsidP="009807BB">
            <w:pPr>
              <w:pStyle w:val="TableText"/>
              <w:jc w:val="right"/>
            </w:pPr>
          </w:p>
        </w:tc>
        <w:tc>
          <w:tcPr>
            <w:tcW w:w="455" w:type="pct"/>
            <w:noWrap/>
            <w:hideMark/>
          </w:tcPr>
          <w:p w14:paraId="4DB7D6E9" w14:textId="77777777" w:rsidR="00371021" w:rsidRPr="00371021" w:rsidRDefault="00371021" w:rsidP="009807BB">
            <w:pPr>
              <w:pStyle w:val="TableText"/>
              <w:jc w:val="right"/>
            </w:pPr>
          </w:p>
        </w:tc>
      </w:tr>
      <w:tr w:rsidR="00371021" w:rsidRPr="00371021" w14:paraId="5994410E" w14:textId="77777777" w:rsidTr="00603002">
        <w:trPr>
          <w:trHeight w:val="20"/>
        </w:trPr>
        <w:tc>
          <w:tcPr>
            <w:tcW w:w="154" w:type="pct"/>
            <w:noWrap/>
            <w:hideMark/>
          </w:tcPr>
          <w:p w14:paraId="7B98D8B2" w14:textId="77777777" w:rsidR="00371021" w:rsidRPr="00371021" w:rsidRDefault="00371021" w:rsidP="009807BB">
            <w:pPr>
              <w:pStyle w:val="TableText"/>
            </w:pPr>
            <w:r w:rsidRPr="00371021">
              <w:t>L</w:t>
            </w:r>
          </w:p>
        </w:tc>
        <w:tc>
          <w:tcPr>
            <w:tcW w:w="2121" w:type="pct"/>
            <w:noWrap/>
            <w:hideMark/>
          </w:tcPr>
          <w:p w14:paraId="31BE3175" w14:textId="77777777" w:rsidR="00371021" w:rsidRPr="00371021" w:rsidRDefault="00371021" w:rsidP="009807BB">
            <w:pPr>
              <w:pStyle w:val="TableText"/>
            </w:pPr>
            <w:r w:rsidRPr="00371021">
              <w:t>Uptake of HDV RNA testing following listing</w:t>
            </w:r>
          </w:p>
        </w:tc>
        <w:tc>
          <w:tcPr>
            <w:tcW w:w="454" w:type="pct"/>
            <w:noWrap/>
            <w:hideMark/>
          </w:tcPr>
          <w:p w14:paraId="687C14AB" w14:textId="7CF5D80D" w:rsidR="00371021" w:rsidRPr="00326F3D" w:rsidRDefault="001A4B8B" w:rsidP="009807BB">
            <w:pPr>
              <w:pStyle w:val="TableText"/>
              <w:jc w:val="right"/>
              <w:rPr>
                <w:highlight w:val="lightGray"/>
              </w:rPr>
            </w:pPr>
            <w:r w:rsidRPr="001A4B8B">
              <w:rPr>
                <w:color w:val="000000"/>
                <w:spacing w:val="47"/>
                <w:shd w:val="solid" w:color="000000" w:fill="000000"/>
                <w:fitText w:val="313" w:id="-961838334"/>
                <w14:textFill>
                  <w14:solidFill>
                    <w14:srgbClr w14:val="000000">
                      <w14:alpha w14:val="100000"/>
                    </w14:srgbClr>
                  </w14:solidFill>
                </w14:textFill>
              </w:rPr>
              <w:t>|||</w:t>
            </w:r>
            <w:r w:rsidRPr="001A4B8B">
              <w:rPr>
                <w:color w:val="000000"/>
                <w:spacing w:val="2"/>
                <w:shd w:val="solid" w:color="000000" w:fill="000000"/>
                <w:fitText w:val="313" w:id="-961838334"/>
                <w14:textFill>
                  <w14:solidFill>
                    <w14:srgbClr w14:val="000000">
                      <w14:alpha w14:val="100000"/>
                    </w14:srgbClr>
                  </w14:solidFill>
                </w14:textFill>
              </w:rPr>
              <w:t>|</w:t>
            </w:r>
            <w:r w:rsidR="00371021" w:rsidRPr="00273B5F">
              <w:t>%</w:t>
            </w:r>
          </w:p>
        </w:tc>
        <w:tc>
          <w:tcPr>
            <w:tcW w:w="454" w:type="pct"/>
            <w:noWrap/>
            <w:hideMark/>
          </w:tcPr>
          <w:p w14:paraId="7B31C2AD" w14:textId="38D6B5BD"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33"/>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33"/>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4" w:type="pct"/>
            <w:noWrap/>
            <w:hideMark/>
          </w:tcPr>
          <w:p w14:paraId="3F066FE4" w14:textId="4E98323E"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32"/>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32"/>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4" w:type="pct"/>
            <w:noWrap/>
            <w:hideMark/>
          </w:tcPr>
          <w:p w14:paraId="74FF6035"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041ABE0E" w14:textId="77777777" w:rsidR="00371021" w:rsidRPr="00371021" w:rsidRDefault="00371021" w:rsidP="009807BB">
            <w:pPr>
              <w:pStyle w:val="TableText"/>
              <w:jc w:val="right"/>
            </w:pPr>
          </w:p>
        </w:tc>
        <w:tc>
          <w:tcPr>
            <w:tcW w:w="455" w:type="pct"/>
            <w:noWrap/>
            <w:hideMark/>
          </w:tcPr>
          <w:p w14:paraId="10F9C8AD" w14:textId="77777777" w:rsidR="00371021" w:rsidRPr="00371021" w:rsidRDefault="00371021" w:rsidP="009807BB">
            <w:pPr>
              <w:pStyle w:val="TableText"/>
              <w:jc w:val="right"/>
            </w:pPr>
          </w:p>
        </w:tc>
      </w:tr>
      <w:tr w:rsidR="00371021" w:rsidRPr="00371021" w14:paraId="6BAC1FE2" w14:textId="77777777" w:rsidTr="00603002">
        <w:trPr>
          <w:trHeight w:val="20"/>
        </w:trPr>
        <w:tc>
          <w:tcPr>
            <w:tcW w:w="154" w:type="pct"/>
            <w:noWrap/>
            <w:hideMark/>
          </w:tcPr>
          <w:p w14:paraId="2790965F" w14:textId="77777777" w:rsidR="00371021" w:rsidRPr="00371021" w:rsidRDefault="00371021" w:rsidP="009807BB">
            <w:pPr>
              <w:pStyle w:val="TableText"/>
            </w:pPr>
            <w:r w:rsidRPr="00371021">
              <w:t>M</w:t>
            </w:r>
          </w:p>
        </w:tc>
        <w:tc>
          <w:tcPr>
            <w:tcW w:w="2121" w:type="pct"/>
            <w:noWrap/>
            <w:hideMark/>
          </w:tcPr>
          <w:p w14:paraId="70E57DA5" w14:textId="77777777" w:rsidR="00371021" w:rsidRPr="00371021" w:rsidRDefault="00371021" w:rsidP="009807BB">
            <w:pPr>
              <w:pStyle w:val="TableText"/>
            </w:pPr>
            <w:r w:rsidRPr="00371021">
              <w:t>No. prevalent chronic HBV patients with anti-HDV+ who received HDV RNA testing (K × L)</w:t>
            </w:r>
          </w:p>
        </w:tc>
        <w:tc>
          <w:tcPr>
            <w:tcW w:w="454" w:type="pct"/>
            <w:noWrap/>
            <w:hideMark/>
          </w:tcPr>
          <w:p w14:paraId="2F12198E" w14:textId="5E689E01" w:rsidR="00371021" w:rsidRPr="00326F3D" w:rsidRDefault="001A4B8B" w:rsidP="009807BB">
            <w:pPr>
              <w:pStyle w:val="TableText"/>
              <w:jc w:val="right"/>
              <w:rPr>
                <w:highlight w:val="lightGray"/>
              </w:rPr>
            </w:pPr>
            <w:r w:rsidRPr="001A4B8B">
              <w:rPr>
                <w:color w:val="000000"/>
                <w:spacing w:val="48"/>
                <w:shd w:val="solid" w:color="000000" w:fill="000000"/>
                <w:fitText w:val="225" w:id="-961838331"/>
                <w14:textFill>
                  <w14:solidFill>
                    <w14:srgbClr w14:val="000000">
                      <w14:alpha w14:val="100000"/>
                    </w14:srgbClr>
                  </w14:solidFill>
                </w14:textFill>
              </w:rPr>
              <w:t>||</w:t>
            </w:r>
            <w:r w:rsidRPr="001A4B8B">
              <w:rPr>
                <w:color w:val="000000"/>
                <w:spacing w:val="2"/>
                <w:shd w:val="solid" w:color="000000" w:fill="000000"/>
                <w:fitText w:val="225" w:id="-961838331"/>
                <w14:textFill>
                  <w14:solidFill>
                    <w14:srgbClr w14:val="000000">
                      <w14:alpha w14:val="100000"/>
                    </w14:srgbClr>
                  </w14:solidFill>
                </w14:textFill>
              </w:rPr>
              <w:t>|</w:t>
            </w:r>
            <w:r w:rsidR="00AC108D" w:rsidRPr="00AC108D">
              <w:rPr>
                <w:vertAlign w:val="superscript"/>
              </w:rPr>
              <w:t>6</w:t>
            </w:r>
          </w:p>
        </w:tc>
        <w:tc>
          <w:tcPr>
            <w:tcW w:w="454" w:type="pct"/>
            <w:noWrap/>
            <w:hideMark/>
          </w:tcPr>
          <w:p w14:paraId="646B24BD" w14:textId="4B87FDC7"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0"/>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0"/>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7D6D63C9" w14:textId="795748B2"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9"/>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9"/>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689A2342"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7C4783F3" w14:textId="77777777" w:rsidR="00371021" w:rsidRPr="00371021" w:rsidRDefault="00371021" w:rsidP="009807BB">
            <w:pPr>
              <w:pStyle w:val="TableText"/>
              <w:jc w:val="right"/>
            </w:pPr>
          </w:p>
        </w:tc>
        <w:tc>
          <w:tcPr>
            <w:tcW w:w="455" w:type="pct"/>
            <w:noWrap/>
            <w:hideMark/>
          </w:tcPr>
          <w:p w14:paraId="5E9DED79" w14:textId="77777777" w:rsidR="00371021" w:rsidRPr="00371021" w:rsidRDefault="00371021" w:rsidP="009807BB">
            <w:pPr>
              <w:pStyle w:val="TableText"/>
              <w:jc w:val="right"/>
            </w:pPr>
          </w:p>
        </w:tc>
      </w:tr>
      <w:tr w:rsidR="00371021" w:rsidRPr="00371021" w14:paraId="2F1403DD" w14:textId="77777777" w:rsidTr="00603002">
        <w:trPr>
          <w:trHeight w:val="20"/>
        </w:trPr>
        <w:tc>
          <w:tcPr>
            <w:tcW w:w="154" w:type="pct"/>
            <w:noWrap/>
            <w:hideMark/>
          </w:tcPr>
          <w:p w14:paraId="455014A4" w14:textId="77777777" w:rsidR="00371021" w:rsidRPr="00371021" w:rsidRDefault="00371021" w:rsidP="009807BB">
            <w:pPr>
              <w:pStyle w:val="TableText"/>
            </w:pPr>
            <w:r w:rsidRPr="00371021">
              <w:t>N</w:t>
            </w:r>
          </w:p>
        </w:tc>
        <w:tc>
          <w:tcPr>
            <w:tcW w:w="2121" w:type="pct"/>
            <w:noWrap/>
            <w:hideMark/>
          </w:tcPr>
          <w:p w14:paraId="2C34B504" w14:textId="77777777" w:rsidR="00371021" w:rsidRPr="00371021" w:rsidRDefault="00371021" w:rsidP="009807BB">
            <w:pPr>
              <w:pStyle w:val="TableText"/>
            </w:pPr>
            <w:r w:rsidRPr="00371021">
              <w:t>No. with detectable HDV RNA (M × 56.2%)</w:t>
            </w:r>
          </w:p>
        </w:tc>
        <w:tc>
          <w:tcPr>
            <w:tcW w:w="454" w:type="pct"/>
            <w:noWrap/>
            <w:hideMark/>
          </w:tcPr>
          <w:p w14:paraId="7D112155" w14:textId="7ECF4EC2" w:rsidR="00371021" w:rsidRPr="00326F3D" w:rsidRDefault="001A4B8B" w:rsidP="009807BB">
            <w:pPr>
              <w:pStyle w:val="TableText"/>
              <w:jc w:val="right"/>
              <w:rPr>
                <w:highlight w:val="lightGray"/>
              </w:rPr>
            </w:pPr>
            <w:r w:rsidRPr="001A4B8B">
              <w:rPr>
                <w:color w:val="000000"/>
                <w:spacing w:val="48"/>
                <w:shd w:val="solid" w:color="000000" w:fill="000000"/>
                <w:fitText w:val="225" w:id="-961838328"/>
                <w14:textFill>
                  <w14:solidFill>
                    <w14:srgbClr w14:val="000000">
                      <w14:alpha w14:val="100000"/>
                    </w14:srgbClr>
                  </w14:solidFill>
                </w14:textFill>
              </w:rPr>
              <w:t>||</w:t>
            </w:r>
            <w:r w:rsidRPr="001A4B8B">
              <w:rPr>
                <w:color w:val="000000"/>
                <w:spacing w:val="2"/>
                <w:shd w:val="solid" w:color="000000" w:fill="000000"/>
                <w:fitText w:val="225" w:id="-961838328"/>
                <w14:textFill>
                  <w14:solidFill>
                    <w14:srgbClr w14:val="000000">
                      <w14:alpha w14:val="100000"/>
                    </w14:srgbClr>
                  </w14:solidFill>
                </w14:textFill>
              </w:rPr>
              <w:t>|</w:t>
            </w:r>
            <w:r w:rsidR="00AC108D" w:rsidRPr="00AC108D">
              <w:rPr>
                <w:vertAlign w:val="superscript"/>
              </w:rPr>
              <w:t>6</w:t>
            </w:r>
          </w:p>
        </w:tc>
        <w:tc>
          <w:tcPr>
            <w:tcW w:w="454" w:type="pct"/>
            <w:noWrap/>
            <w:hideMark/>
          </w:tcPr>
          <w:p w14:paraId="1538B3A4" w14:textId="3F75C4A1"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7"/>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7"/>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3B505480" w14:textId="2AE3792D"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6"/>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6"/>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13C675A4"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3F9BBE77" w14:textId="77777777" w:rsidR="00371021" w:rsidRPr="00371021" w:rsidRDefault="00371021" w:rsidP="009807BB">
            <w:pPr>
              <w:pStyle w:val="TableText"/>
              <w:jc w:val="right"/>
            </w:pPr>
          </w:p>
        </w:tc>
        <w:tc>
          <w:tcPr>
            <w:tcW w:w="455" w:type="pct"/>
            <w:noWrap/>
            <w:hideMark/>
          </w:tcPr>
          <w:p w14:paraId="54E6A34F" w14:textId="77777777" w:rsidR="00371021" w:rsidRPr="00371021" w:rsidRDefault="00371021" w:rsidP="009807BB">
            <w:pPr>
              <w:pStyle w:val="TableText"/>
              <w:jc w:val="right"/>
            </w:pPr>
          </w:p>
        </w:tc>
      </w:tr>
      <w:tr w:rsidR="00371021" w:rsidRPr="00371021" w14:paraId="32005F7B" w14:textId="77777777" w:rsidTr="00603002">
        <w:trPr>
          <w:trHeight w:val="20"/>
        </w:trPr>
        <w:tc>
          <w:tcPr>
            <w:tcW w:w="154" w:type="pct"/>
            <w:noWrap/>
            <w:hideMark/>
          </w:tcPr>
          <w:p w14:paraId="2DE4F9EC" w14:textId="77777777" w:rsidR="00371021" w:rsidRPr="00371021" w:rsidRDefault="00371021" w:rsidP="009807BB">
            <w:pPr>
              <w:pStyle w:val="TableText"/>
            </w:pPr>
            <w:r w:rsidRPr="00371021">
              <w:t>O</w:t>
            </w:r>
          </w:p>
        </w:tc>
        <w:tc>
          <w:tcPr>
            <w:tcW w:w="2121" w:type="pct"/>
            <w:noWrap/>
            <w:hideMark/>
          </w:tcPr>
          <w:p w14:paraId="445494E5" w14:textId="77777777" w:rsidR="00371021" w:rsidRPr="00371021" w:rsidRDefault="00371021" w:rsidP="009807BB">
            <w:pPr>
              <w:pStyle w:val="TableText"/>
            </w:pPr>
            <w:r w:rsidRPr="00371021">
              <w:t>No. eligible for bulevirtide treatment (N × 82.0%)</w:t>
            </w:r>
          </w:p>
        </w:tc>
        <w:tc>
          <w:tcPr>
            <w:tcW w:w="454" w:type="pct"/>
            <w:noWrap/>
            <w:hideMark/>
          </w:tcPr>
          <w:p w14:paraId="7BE0FDF0" w14:textId="0313FE5F" w:rsidR="00371021" w:rsidRPr="00326F3D" w:rsidRDefault="001A4B8B" w:rsidP="009807BB">
            <w:pPr>
              <w:pStyle w:val="TableText"/>
              <w:jc w:val="right"/>
              <w:rPr>
                <w:highlight w:val="lightGray"/>
              </w:rPr>
            </w:pPr>
            <w:r w:rsidRPr="001A4B8B">
              <w:rPr>
                <w:color w:val="000000"/>
                <w:spacing w:val="48"/>
                <w:shd w:val="solid" w:color="000000" w:fill="000000"/>
                <w:fitText w:val="225" w:id="-961838325"/>
                <w14:textFill>
                  <w14:solidFill>
                    <w14:srgbClr w14:val="000000">
                      <w14:alpha w14:val="100000"/>
                    </w14:srgbClr>
                  </w14:solidFill>
                </w14:textFill>
              </w:rPr>
              <w:t>||</w:t>
            </w:r>
            <w:r w:rsidRPr="001A4B8B">
              <w:rPr>
                <w:color w:val="000000"/>
                <w:spacing w:val="2"/>
                <w:shd w:val="solid" w:color="000000" w:fill="000000"/>
                <w:fitText w:val="225" w:id="-961838325"/>
                <w14:textFill>
                  <w14:solidFill>
                    <w14:srgbClr w14:val="000000">
                      <w14:alpha w14:val="100000"/>
                    </w14:srgbClr>
                  </w14:solidFill>
                </w14:textFill>
              </w:rPr>
              <w:t>|</w:t>
            </w:r>
            <w:r w:rsidR="00AC108D" w:rsidRPr="00AC108D">
              <w:rPr>
                <w:vertAlign w:val="superscript"/>
              </w:rPr>
              <w:t>6</w:t>
            </w:r>
          </w:p>
        </w:tc>
        <w:tc>
          <w:tcPr>
            <w:tcW w:w="454" w:type="pct"/>
            <w:noWrap/>
            <w:hideMark/>
          </w:tcPr>
          <w:p w14:paraId="017ADDD9" w14:textId="4320617B"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4"/>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4"/>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619D7278" w14:textId="4E4FFF4A"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3"/>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3"/>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703D5EFA" w14:textId="77777777" w:rsidR="00371021" w:rsidRPr="00371021" w:rsidRDefault="00371021" w:rsidP="009807BB">
            <w:pPr>
              <w:pStyle w:val="TableText"/>
              <w:jc w:val="right"/>
              <w:rPr>
                <w:rFonts w:eastAsiaTheme="minorHAnsi" w:cstheme="minorBidi"/>
                <w:szCs w:val="22"/>
                <w:lang w:eastAsia="en-US"/>
              </w:rPr>
            </w:pPr>
          </w:p>
        </w:tc>
        <w:tc>
          <w:tcPr>
            <w:tcW w:w="454" w:type="pct"/>
            <w:noWrap/>
            <w:hideMark/>
          </w:tcPr>
          <w:p w14:paraId="7D718C03" w14:textId="77777777" w:rsidR="00371021" w:rsidRPr="00371021" w:rsidRDefault="00371021" w:rsidP="009807BB">
            <w:pPr>
              <w:pStyle w:val="TableText"/>
              <w:jc w:val="right"/>
            </w:pPr>
          </w:p>
        </w:tc>
        <w:tc>
          <w:tcPr>
            <w:tcW w:w="455" w:type="pct"/>
            <w:noWrap/>
            <w:hideMark/>
          </w:tcPr>
          <w:p w14:paraId="08153E36" w14:textId="77777777" w:rsidR="00371021" w:rsidRPr="00371021" w:rsidRDefault="00371021" w:rsidP="009807BB">
            <w:pPr>
              <w:pStyle w:val="TableText"/>
              <w:jc w:val="right"/>
            </w:pPr>
          </w:p>
        </w:tc>
      </w:tr>
      <w:tr w:rsidR="00371021" w:rsidRPr="00371021" w14:paraId="01AA5BBB" w14:textId="77777777" w:rsidTr="00603002">
        <w:trPr>
          <w:trHeight w:val="20"/>
        </w:trPr>
        <w:tc>
          <w:tcPr>
            <w:tcW w:w="5000" w:type="pct"/>
            <w:gridSpan w:val="8"/>
            <w:noWrap/>
            <w:hideMark/>
          </w:tcPr>
          <w:p w14:paraId="535BBE8F" w14:textId="77777777" w:rsidR="00371021" w:rsidRPr="00371021" w:rsidRDefault="00371021" w:rsidP="009807BB">
            <w:pPr>
              <w:pStyle w:val="TableText"/>
              <w:rPr>
                <w:b/>
                <w:bCs/>
              </w:rPr>
            </w:pPr>
            <w:r w:rsidRPr="00371021">
              <w:rPr>
                <w:b/>
                <w:bCs/>
              </w:rPr>
              <w:t>Use in the incident population</w:t>
            </w:r>
          </w:p>
        </w:tc>
      </w:tr>
      <w:tr w:rsidR="00371021" w:rsidRPr="00371021" w14:paraId="230817AB" w14:textId="77777777" w:rsidTr="00603002">
        <w:trPr>
          <w:trHeight w:val="20"/>
        </w:trPr>
        <w:tc>
          <w:tcPr>
            <w:tcW w:w="154" w:type="pct"/>
            <w:noWrap/>
            <w:hideMark/>
          </w:tcPr>
          <w:p w14:paraId="7F8DB7FF" w14:textId="77777777" w:rsidR="00371021" w:rsidRPr="00371021" w:rsidRDefault="00371021" w:rsidP="009807BB">
            <w:pPr>
              <w:pStyle w:val="TableText"/>
            </w:pPr>
            <w:r w:rsidRPr="00371021">
              <w:t>P</w:t>
            </w:r>
          </w:p>
        </w:tc>
        <w:tc>
          <w:tcPr>
            <w:tcW w:w="2121" w:type="pct"/>
            <w:noWrap/>
            <w:hideMark/>
          </w:tcPr>
          <w:p w14:paraId="7AD8B223" w14:textId="77777777" w:rsidR="00371021" w:rsidRPr="00371021" w:rsidRDefault="00371021" w:rsidP="009807BB">
            <w:pPr>
              <w:pStyle w:val="TableText"/>
            </w:pPr>
            <w:r w:rsidRPr="00371021">
              <w:t>No. incident chronic HBV patients diagnosed (0.02% × Australian population projections age 0−100+)</w:t>
            </w:r>
          </w:p>
        </w:tc>
        <w:tc>
          <w:tcPr>
            <w:tcW w:w="454" w:type="pct"/>
            <w:noWrap/>
            <w:hideMark/>
          </w:tcPr>
          <w:p w14:paraId="6636E1DF" w14:textId="296F568F" w:rsidR="00371021" w:rsidRPr="00326F3D" w:rsidRDefault="001A4B8B" w:rsidP="009807BB">
            <w:pPr>
              <w:pStyle w:val="TableText"/>
              <w:jc w:val="right"/>
              <w:rPr>
                <w:highlight w:val="lightGray"/>
              </w:rPr>
            </w:pPr>
            <w:r w:rsidRPr="001A4B8B">
              <w:rPr>
                <w:color w:val="000000"/>
                <w:spacing w:val="48"/>
                <w:shd w:val="solid" w:color="000000" w:fill="000000"/>
                <w:fitText w:val="225" w:id="-961838322"/>
                <w14:textFill>
                  <w14:solidFill>
                    <w14:srgbClr w14:val="000000">
                      <w14:alpha w14:val="100000"/>
                    </w14:srgbClr>
                  </w14:solidFill>
                </w14:textFill>
              </w:rPr>
              <w:t>||</w:t>
            </w:r>
            <w:r w:rsidRPr="001A4B8B">
              <w:rPr>
                <w:color w:val="000000"/>
                <w:spacing w:val="2"/>
                <w:shd w:val="solid" w:color="000000" w:fill="000000"/>
                <w:fitText w:val="225" w:id="-961838322"/>
                <w14:textFill>
                  <w14:solidFill>
                    <w14:srgbClr w14:val="000000">
                      <w14:alpha w14:val="100000"/>
                    </w14:srgbClr>
                  </w14:solidFill>
                </w14:textFill>
              </w:rPr>
              <w:t>|</w:t>
            </w:r>
            <w:r w:rsidR="00AC108D" w:rsidRPr="00AC108D">
              <w:rPr>
                <w:vertAlign w:val="superscript"/>
              </w:rPr>
              <w:t>5</w:t>
            </w:r>
          </w:p>
        </w:tc>
        <w:tc>
          <w:tcPr>
            <w:tcW w:w="454" w:type="pct"/>
            <w:noWrap/>
            <w:hideMark/>
          </w:tcPr>
          <w:p w14:paraId="62841D46" w14:textId="67732ABC"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1"/>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1"/>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0163EA8A" w14:textId="5C9258FD"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0"/>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0"/>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71295705" w14:textId="2F11A009"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6"/>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6"/>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59FC3F12" w14:textId="7304B138"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5"/>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5"/>
                <w:lang w:eastAsia="en-US"/>
                <w14:textFill>
                  <w14:solidFill>
                    <w14:srgbClr w14:val="000000">
                      <w14:alpha w14:val="100000"/>
                    </w14:srgbClr>
                  </w14:solidFill>
                </w14:textFill>
              </w:rPr>
              <w:t>|</w:t>
            </w:r>
            <w:r w:rsidR="00AC108D" w:rsidRPr="00AC108D">
              <w:rPr>
                <w:vertAlign w:val="superscript"/>
              </w:rPr>
              <w:t>5</w:t>
            </w:r>
          </w:p>
        </w:tc>
        <w:tc>
          <w:tcPr>
            <w:tcW w:w="455" w:type="pct"/>
            <w:noWrap/>
            <w:hideMark/>
          </w:tcPr>
          <w:p w14:paraId="3D0C7C44" w14:textId="460B4059"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9"/>
                <w:szCs w:val="22"/>
                <w:shd w:val="solid" w:color="000000" w:fill="000000"/>
                <w:fitText w:val="226" w:id="-961838334"/>
                <w:lang w:eastAsia="en-US"/>
                <w14:textFill>
                  <w14:solidFill>
                    <w14:srgbClr w14:val="000000">
                      <w14:alpha w14:val="100000"/>
                    </w14:srgbClr>
                  </w14:solidFill>
                </w14:textFill>
              </w:rPr>
              <w:t>||</w:t>
            </w:r>
            <w:r w:rsidRPr="001A4B8B">
              <w:rPr>
                <w:rFonts w:eastAsiaTheme="minorHAnsi" w:cstheme="minorBidi"/>
                <w:color w:val="000000"/>
                <w:spacing w:val="1"/>
                <w:szCs w:val="22"/>
                <w:shd w:val="solid" w:color="000000" w:fill="000000"/>
                <w:fitText w:val="226" w:id="-961838334"/>
                <w:lang w:eastAsia="en-US"/>
                <w14:textFill>
                  <w14:solidFill>
                    <w14:srgbClr w14:val="000000">
                      <w14:alpha w14:val="100000"/>
                    </w14:srgbClr>
                  </w14:solidFill>
                </w14:textFill>
              </w:rPr>
              <w:t>|</w:t>
            </w:r>
            <w:r w:rsidR="00AC108D" w:rsidRPr="00AC108D">
              <w:rPr>
                <w:vertAlign w:val="superscript"/>
              </w:rPr>
              <w:t>5</w:t>
            </w:r>
          </w:p>
        </w:tc>
      </w:tr>
      <w:tr w:rsidR="00371021" w:rsidRPr="00371021" w14:paraId="06DA29E2" w14:textId="77777777" w:rsidTr="00603002">
        <w:trPr>
          <w:trHeight w:val="20"/>
        </w:trPr>
        <w:tc>
          <w:tcPr>
            <w:tcW w:w="154" w:type="pct"/>
            <w:noWrap/>
            <w:hideMark/>
          </w:tcPr>
          <w:p w14:paraId="0880C23B"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Q</w:t>
            </w:r>
          </w:p>
        </w:tc>
        <w:tc>
          <w:tcPr>
            <w:tcW w:w="2121" w:type="pct"/>
            <w:noWrap/>
            <w:hideMark/>
          </w:tcPr>
          <w:p w14:paraId="4EA8135F" w14:textId="77777777" w:rsidR="00371021" w:rsidRPr="00371021" w:rsidRDefault="00371021" w:rsidP="009807BB">
            <w:pPr>
              <w:pStyle w:val="TableText"/>
            </w:pPr>
            <w:r w:rsidRPr="00371021">
              <w:t>No. incident chronic HBV patients engaged in care (P × 90.0%)</w:t>
            </w:r>
          </w:p>
        </w:tc>
        <w:tc>
          <w:tcPr>
            <w:tcW w:w="454" w:type="pct"/>
            <w:noWrap/>
            <w:hideMark/>
          </w:tcPr>
          <w:p w14:paraId="20FBF75C" w14:textId="620C3D11" w:rsidR="00371021" w:rsidRPr="00326F3D" w:rsidRDefault="001A4B8B" w:rsidP="009807BB">
            <w:pPr>
              <w:pStyle w:val="TableText"/>
              <w:jc w:val="right"/>
              <w:rPr>
                <w:highlight w:val="lightGray"/>
              </w:rPr>
            </w:pPr>
            <w:r w:rsidRPr="001A4B8B">
              <w:rPr>
                <w:color w:val="000000"/>
                <w:spacing w:val="48"/>
                <w:shd w:val="solid" w:color="000000" w:fill="000000"/>
                <w:fitText w:val="225" w:id="-961838333"/>
                <w14:textFill>
                  <w14:solidFill>
                    <w14:srgbClr w14:val="000000">
                      <w14:alpha w14:val="100000"/>
                    </w14:srgbClr>
                  </w14:solidFill>
                </w14:textFill>
              </w:rPr>
              <w:t>||</w:t>
            </w:r>
            <w:r w:rsidRPr="001A4B8B">
              <w:rPr>
                <w:color w:val="000000"/>
                <w:spacing w:val="2"/>
                <w:shd w:val="solid" w:color="000000" w:fill="000000"/>
                <w:fitText w:val="225" w:id="-961838333"/>
                <w14:textFill>
                  <w14:solidFill>
                    <w14:srgbClr w14:val="000000">
                      <w14:alpha w14:val="100000"/>
                    </w14:srgbClr>
                  </w14:solidFill>
                </w14:textFill>
              </w:rPr>
              <w:t>|</w:t>
            </w:r>
            <w:r w:rsidR="00AC108D" w:rsidRPr="00AC108D">
              <w:rPr>
                <w:vertAlign w:val="superscript"/>
              </w:rPr>
              <w:t>5</w:t>
            </w:r>
          </w:p>
        </w:tc>
        <w:tc>
          <w:tcPr>
            <w:tcW w:w="454" w:type="pct"/>
            <w:noWrap/>
            <w:hideMark/>
          </w:tcPr>
          <w:p w14:paraId="7D4D41B6" w14:textId="0FDC2AFB"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2"/>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2"/>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17DED34A" w14:textId="7FB2A52D"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1"/>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1"/>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5A5C6E36" w14:textId="6F1F5BD1"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0"/>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0"/>
                <w:lang w:eastAsia="en-US"/>
                <w14:textFill>
                  <w14:solidFill>
                    <w14:srgbClr w14:val="000000">
                      <w14:alpha w14:val="100000"/>
                    </w14:srgbClr>
                  </w14:solidFill>
                </w14:textFill>
              </w:rPr>
              <w:t>|</w:t>
            </w:r>
            <w:r w:rsidR="00AC108D" w:rsidRPr="00AC108D">
              <w:rPr>
                <w:vertAlign w:val="superscript"/>
              </w:rPr>
              <w:t>5</w:t>
            </w:r>
          </w:p>
        </w:tc>
        <w:tc>
          <w:tcPr>
            <w:tcW w:w="454" w:type="pct"/>
            <w:noWrap/>
            <w:hideMark/>
          </w:tcPr>
          <w:p w14:paraId="26FCED87" w14:textId="6481B1C7"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9"/>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9"/>
                <w:lang w:eastAsia="en-US"/>
                <w14:textFill>
                  <w14:solidFill>
                    <w14:srgbClr w14:val="000000">
                      <w14:alpha w14:val="100000"/>
                    </w14:srgbClr>
                  </w14:solidFill>
                </w14:textFill>
              </w:rPr>
              <w:t>|</w:t>
            </w:r>
            <w:r w:rsidR="00AC108D" w:rsidRPr="00AC108D">
              <w:rPr>
                <w:vertAlign w:val="superscript"/>
              </w:rPr>
              <w:t>5</w:t>
            </w:r>
          </w:p>
        </w:tc>
        <w:tc>
          <w:tcPr>
            <w:tcW w:w="455" w:type="pct"/>
            <w:noWrap/>
            <w:hideMark/>
          </w:tcPr>
          <w:p w14:paraId="50311AB3" w14:textId="59323129"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9"/>
                <w:szCs w:val="22"/>
                <w:shd w:val="solid" w:color="000000" w:fill="000000"/>
                <w:fitText w:val="226" w:id="-961838328"/>
                <w:lang w:eastAsia="en-US"/>
                <w14:textFill>
                  <w14:solidFill>
                    <w14:srgbClr w14:val="000000">
                      <w14:alpha w14:val="100000"/>
                    </w14:srgbClr>
                  </w14:solidFill>
                </w14:textFill>
              </w:rPr>
              <w:t>||</w:t>
            </w:r>
            <w:r w:rsidRPr="001A4B8B">
              <w:rPr>
                <w:rFonts w:eastAsiaTheme="minorHAnsi" w:cstheme="minorBidi"/>
                <w:color w:val="000000"/>
                <w:spacing w:val="1"/>
                <w:szCs w:val="22"/>
                <w:shd w:val="solid" w:color="000000" w:fill="000000"/>
                <w:fitText w:val="226" w:id="-961838328"/>
                <w:lang w:eastAsia="en-US"/>
                <w14:textFill>
                  <w14:solidFill>
                    <w14:srgbClr w14:val="000000">
                      <w14:alpha w14:val="100000"/>
                    </w14:srgbClr>
                  </w14:solidFill>
                </w14:textFill>
              </w:rPr>
              <w:t>|</w:t>
            </w:r>
            <w:r w:rsidR="00AC108D" w:rsidRPr="00AC108D">
              <w:rPr>
                <w:vertAlign w:val="superscript"/>
              </w:rPr>
              <w:t>5</w:t>
            </w:r>
          </w:p>
        </w:tc>
      </w:tr>
      <w:tr w:rsidR="00371021" w:rsidRPr="00371021" w14:paraId="5099E3DE" w14:textId="77777777" w:rsidTr="00603002">
        <w:trPr>
          <w:trHeight w:val="20"/>
        </w:trPr>
        <w:tc>
          <w:tcPr>
            <w:tcW w:w="154" w:type="pct"/>
            <w:noWrap/>
            <w:hideMark/>
          </w:tcPr>
          <w:p w14:paraId="7A85894E"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R</w:t>
            </w:r>
          </w:p>
        </w:tc>
        <w:tc>
          <w:tcPr>
            <w:tcW w:w="2121" w:type="pct"/>
            <w:noWrap/>
            <w:hideMark/>
          </w:tcPr>
          <w:p w14:paraId="6FF17D1A" w14:textId="77777777" w:rsidR="00371021" w:rsidRPr="00371021" w:rsidRDefault="00371021" w:rsidP="009807BB">
            <w:pPr>
              <w:pStyle w:val="TableText"/>
            </w:pPr>
            <w:r w:rsidRPr="00371021">
              <w:t>Proportion incident chronic HBV patients tested for anti-HDV following bulevirtide listing</w:t>
            </w:r>
          </w:p>
        </w:tc>
        <w:tc>
          <w:tcPr>
            <w:tcW w:w="454" w:type="pct"/>
            <w:noWrap/>
            <w:hideMark/>
          </w:tcPr>
          <w:p w14:paraId="1E5953BF" w14:textId="4D47CDF7" w:rsidR="00371021" w:rsidRPr="00371021" w:rsidRDefault="001A4B8B" w:rsidP="009807BB">
            <w:pPr>
              <w:pStyle w:val="TableText"/>
              <w:jc w:val="right"/>
            </w:pPr>
            <w:r w:rsidRPr="001A4B8B">
              <w:rPr>
                <w:color w:val="000000"/>
                <w:spacing w:val="47"/>
                <w:shd w:val="solid" w:color="000000" w:fill="000000"/>
                <w:fitText w:val="313" w:id="-961838327"/>
                <w14:textFill>
                  <w14:solidFill>
                    <w14:srgbClr w14:val="000000">
                      <w14:alpha w14:val="100000"/>
                    </w14:srgbClr>
                  </w14:solidFill>
                </w14:textFill>
              </w:rPr>
              <w:t>|||</w:t>
            </w:r>
            <w:r w:rsidRPr="001A4B8B">
              <w:rPr>
                <w:color w:val="000000"/>
                <w:spacing w:val="2"/>
                <w:shd w:val="solid" w:color="000000" w:fill="000000"/>
                <w:fitText w:val="313" w:id="-961838327"/>
                <w14:textFill>
                  <w14:solidFill>
                    <w14:srgbClr w14:val="000000">
                      <w14:alpha w14:val="100000"/>
                    </w14:srgbClr>
                  </w14:solidFill>
                </w14:textFill>
              </w:rPr>
              <w:t>|</w:t>
            </w:r>
            <w:r w:rsidR="00371021" w:rsidRPr="00371021">
              <w:t>%</w:t>
            </w:r>
          </w:p>
        </w:tc>
        <w:tc>
          <w:tcPr>
            <w:tcW w:w="454" w:type="pct"/>
            <w:noWrap/>
            <w:hideMark/>
          </w:tcPr>
          <w:p w14:paraId="63EE7F41" w14:textId="7E5A51B3"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6"/>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6"/>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4" w:type="pct"/>
            <w:noWrap/>
            <w:hideMark/>
          </w:tcPr>
          <w:p w14:paraId="4F94DBA5" w14:textId="642FAB9B" w:rsidR="00371021" w:rsidRPr="009807BB" w:rsidRDefault="001A4B8B" w:rsidP="009807BB">
            <w:pPr>
              <w:pStyle w:val="TableText"/>
              <w:jc w:val="right"/>
              <w:rPr>
                <w:rFonts w:eastAsiaTheme="minorHAnsi" w:cstheme="minorBidi"/>
                <w:szCs w:val="22"/>
                <w:highlight w:val="darkGray"/>
                <w:lang w:eastAsia="en-US"/>
              </w:rPr>
            </w:pPr>
            <w:r w:rsidRPr="001A4B8B">
              <w:rPr>
                <w:rFonts w:eastAsiaTheme="minorHAnsi" w:cstheme="minorBidi"/>
                <w:color w:val="000000"/>
                <w:spacing w:val="47"/>
                <w:szCs w:val="22"/>
                <w:shd w:val="solid" w:color="000000" w:fill="000000"/>
                <w:fitText w:val="313" w:id="-961838325"/>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5"/>
                <w:lang w:eastAsia="en-US"/>
                <w14:textFill>
                  <w14:solidFill>
                    <w14:srgbClr w14:val="000000">
                      <w14:alpha w14:val="100000"/>
                    </w14:srgbClr>
                  </w14:solidFill>
                </w14:textFill>
              </w:rPr>
              <w:t>|</w:t>
            </w:r>
            <w:r w:rsidR="00371021" w:rsidRPr="009807BB">
              <w:rPr>
                <w:rFonts w:eastAsiaTheme="minorHAnsi" w:cstheme="minorBidi"/>
                <w:szCs w:val="22"/>
                <w:lang w:eastAsia="en-US"/>
              </w:rPr>
              <w:t>%</w:t>
            </w:r>
          </w:p>
        </w:tc>
        <w:tc>
          <w:tcPr>
            <w:tcW w:w="454" w:type="pct"/>
            <w:noWrap/>
            <w:hideMark/>
          </w:tcPr>
          <w:p w14:paraId="1CBB2C86" w14:textId="0688DCCC"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4"/>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4"/>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4" w:type="pct"/>
            <w:noWrap/>
            <w:hideMark/>
          </w:tcPr>
          <w:p w14:paraId="53A7D384" w14:textId="0860C4D1"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3"/>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3"/>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5" w:type="pct"/>
            <w:noWrap/>
            <w:hideMark/>
          </w:tcPr>
          <w:p w14:paraId="686A49B0" w14:textId="45843D03"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2"/>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2"/>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r>
      <w:tr w:rsidR="00371021" w:rsidRPr="00371021" w14:paraId="4FD2021D" w14:textId="77777777" w:rsidTr="00603002">
        <w:trPr>
          <w:trHeight w:val="20"/>
        </w:trPr>
        <w:tc>
          <w:tcPr>
            <w:tcW w:w="154" w:type="pct"/>
            <w:noWrap/>
            <w:hideMark/>
          </w:tcPr>
          <w:p w14:paraId="3AC789F3"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S</w:t>
            </w:r>
          </w:p>
        </w:tc>
        <w:tc>
          <w:tcPr>
            <w:tcW w:w="2121" w:type="pct"/>
            <w:noWrap/>
            <w:hideMark/>
          </w:tcPr>
          <w:p w14:paraId="14040200" w14:textId="77777777" w:rsidR="00371021" w:rsidRPr="00371021" w:rsidRDefault="00371021" w:rsidP="009807BB">
            <w:pPr>
              <w:pStyle w:val="TableText"/>
            </w:pPr>
            <w:r w:rsidRPr="00371021">
              <w:t>No. incident chronic HBV patients tested for anti-HDV following bulevirtide listing (Q × R)</w:t>
            </w:r>
          </w:p>
        </w:tc>
        <w:tc>
          <w:tcPr>
            <w:tcW w:w="454" w:type="pct"/>
            <w:noWrap/>
            <w:hideMark/>
          </w:tcPr>
          <w:p w14:paraId="78CD81DA" w14:textId="0BB1D89B" w:rsidR="00371021" w:rsidRPr="00326F3D" w:rsidRDefault="001A4B8B" w:rsidP="009807BB">
            <w:pPr>
              <w:pStyle w:val="TableText"/>
              <w:jc w:val="right"/>
              <w:rPr>
                <w:highlight w:val="lightGray"/>
              </w:rPr>
            </w:pPr>
            <w:r w:rsidRPr="001A4B8B">
              <w:rPr>
                <w:color w:val="000000"/>
                <w:spacing w:val="48"/>
                <w:shd w:val="solid" w:color="000000" w:fill="000000"/>
                <w:fitText w:val="225" w:id="-961838321"/>
                <w14:textFill>
                  <w14:solidFill>
                    <w14:srgbClr w14:val="000000">
                      <w14:alpha w14:val="100000"/>
                    </w14:srgbClr>
                  </w14:solidFill>
                </w14:textFill>
              </w:rPr>
              <w:t>||</w:t>
            </w:r>
            <w:r w:rsidRPr="001A4B8B">
              <w:rPr>
                <w:color w:val="000000"/>
                <w:spacing w:val="2"/>
                <w:shd w:val="solid" w:color="000000" w:fill="000000"/>
                <w:fitText w:val="225" w:id="-961838321"/>
                <w14:textFill>
                  <w14:solidFill>
                    <w14:srgbClr w14:val="000000">
                      <w14:alpha w14:val="100000"/>
                    </w14:srgbClr>
                  </w14:solidFill>
                </w14:textFill>
              </w:rPr>
              <w:t>|</w:t>
            </w:r>
            <w:r w:rsidR="00AC108D" w:rsidRPr="00AC108D">
              <w:rPr>
                <w:vertAlign w:val="superscript"/>
              </w:rPr>
              <w:t>7</w:t>
            </w:r>
          </w:p>
        </w:tc>
        <w:tc>
          <w:tcPr>
            <w:tcW w:w="454" w:type="pct"/>
            <w:noWrap/>
            <w:hideMark/>
          </w:tcPr>
          <w:p w14:paraId="7EFB8FD0" w14:textId="0209A1AB"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0"/>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0"/>
                <w:lang w:eastAsia="en-US"/>
                <w14:textFill>
                  <w14:solidFill>
                    <w14:srgbClr w14:val="000000">
                      <w14:alpha w14:val="100000"/>
                    </w14:srgbClr>
                  </w14:solidFill>
                </w14:textFill>
              </w:rPr>
              <w:t>|</w:t>
            </w:r>
            <w:r w:rsidR="00AC108D" w:rsidRPr="00AC108D">
              <w:rPr>
                <w:vertAlign w:val="superscript"/>
              </w:rPr>
              <w:t>7</w:t>
            </w:r>
          </w:p>
        </w:tc>
        <w:tc>
          <w:tcPr>
            <w:tcW w:w="454" w:type="pct"/>
            <w:noWrap/>
            <w:hideMark/>
          </w:tcPr>
          <w:p w14:paraId="13C91613" w14:textId="6617FA98"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6"/>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6"/>
                <w:lang w:eastAsia="en-US"/>
                <w14:textFill>
                  <w14:solidFill>
                    <w14:srgbClr w14:val="000000">
                      <w14:alpha w14:val="100000"/>
                    </w14:srgbClr>
                  </w14:solidFill>
                </w14:textFill>
              </w:rPr>
              <w:t>|</w:t>
            </w:r>
            <w:r w:rsidR="00AC108D" w:rsidRPr="00AC108D">
              <w:rPr>
                <w:vertAlign w:val="superscript"/>
              </w:rPr>
              <w:t>7</w:t>
            </w:r>
          </w:p>
        </w:tc>
        <w:tc>
          <w:tcPr>
            <w:tcW w:w="454" w:type="pct"/>
            <w:noWrap/>
            <w:hideMark/>
          </w:tcPr>
          <w:p w14:paraId="2460A5F4" w14:textId="20DEF14B"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5"/>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5"/>
                <w:lang w:eastAsia="en-US"/>
                <w14:textFill>
                  <w14:solidFill>
                    <w14:srgbClr w14:val="000000">
                      <w14:alpha w14:val="100000"/>
                    </w14:srgbClr>
                  </w14:solidFill>
                </w14:textFill>
              </w:rPr>
              <w:t>|</w:t>
            </w:r>
            <w:r w:rsidR="00AC108D" w:rsidRPr="00AC108D">
              <w:rPr>
                <w:vertAlign w:val="superscript"/>
              </w:rPr>
              <w:t>7</w:t>
            </w:r>
          </w:p>
        </w:tc>
        <w:tc>
          <w:tcPr>
            <w:tcW w:w="454" w:type="pct"/>
            <w:noWrap/>
            <w:hideMark/>
          </w:tcPr>
          <w:p w14:paraId="2ACB4D52" w14:textId="6C16E60A"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4"/>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4"/>
                <w:lang w:eastAsia="en-US"/>
                <w14:textFill>
                  <w14:solidFill>
                    <w14:srgbClr w14:val="000000">
                      <w14:alpha w14:val="100000"/>
                    </w14:srgbClr>
                  </w14:solidFill>
                </w14:textFill>
              </w:rPr>
              <w:t>|</w:t>
            </w:r>
            <w:r w:rsidR="00AC108D" w:rsidRPr="00AC108D">
              <w:rPr>
                <w:vertAlign w:val="superscript"/>
              </w:rPr>
              <w:t>7</w:t>
            </w:r>
          </w:p>
        </w:tc>
        <w:tc>
          <w:tcPr>
            <w:tcW w:w="455" w:type="pct"/>
            <w:noWrap/>
            <w:hideMark/>
          </w:tcPr>
          <w:p w14:paraId="546207CC" w14:textId="3208E2EA"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9"/>
                <w:szCs w:val="22"/>
                <w:shd w:val="solid" w:color="000000" w:fill="000000"/>
                <w:fitText w:val="226" w:id="-961838333"/>
                <w:lang w:eastAsia="en-US"/>
                <w14:textFill>
                  <w14:solidFill>
                    <w14:srgbClr w14:val="000000">
                      <w14:alpha w14:val="100000"/>
                    </w14:srgbClr>
                  </w14:solidFill>
                </w14:textFill>
              </w:rPr>
              <w:t>||</w:t>
            </w:r>
            <w:r w:rsidRPr="001A4B8B">
              <w:rPr>
                <w:rFonts w:eastAsiaTheme="minorHAnsi" w:cstheme="minorBidi"/>
                <w:color w:val="000000"/>
                <w:spacing w:val="1"/>
                <w:szCs w:val="22"/>
                <w:shd w:val="solid" w:color="000000" w:fill="000000"/>
                <w:fitText w:val="226" w:id="-961838333"/>
                <w:lang w:eastAsia="en-US"/>
                <w14:textFill>
                  <w14:solidFill>
                    <w14:srgbClr w14:val="000000">
                      <w14:alpha w14:val="100000"/>
                    </w14:srgbClr>
                  </w14:solidFill>
                </w14:textFill>
              </w:rPr>
              <w:t>|</w:t>
            </w:r>
            <w:r w:rsidR="00AC108D" w:rsidRPr="00AC108D">
              <w:rPr>
                <w:vertAlign w:val="superscript"/>
              </w:rPr>
              <w:t>7</w:t>
            </w:r>
          </w:p>
        </w:tc>
      </w:tr>
      <w:tr w:rsidR="00371021" w:rsidRPr="00371021" w14:paraId="1EE3342B" w14:textId="77777777" w:rsidTr="00603002">
        <w:trPr>
          <w:trHeight w:val="20"/>
        </w:trPr>
        <w:tc>
          <w:tcPr>
            <w:tcW w:w="154" w:type="pct"/>
            <w:noWrap/>
            <w:hideMark/>
          </w:tcPr>
          <w:p w14:paraId="46A7E6AE"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T</w:t>
            </w:r>
          </w:p>
        </w:tc>
        <w:tc>
          <w:tcPr>
            <w:tcW w:w="2121" w:type="pct"/>
            <w:noWrap/>
            <w:hideMark/>
          </w:tcPr>
          <w:p w14:paraId="32497A60" w14:textId="77777777" w:rsidR="00371021" w:rsidRPr="00371021" w:rsidRDefault="00371021" w:rsidP="009807BB">
            <w:pPr>
              <w:pStyle w:val="TableText"/>
            </w:pPr>
            <w:r w:rsidRPr="00371021">
              <w:t>No. incident chronic HBV patients found with anti-HDV+ (S × 4.06%)</w:t>
            </w:r>
          </w:p>
        </w:tc>
        <w:tc>
          <w:tcPr>
            <w:tcW w:w="454" w:type="pct"/>
            <w:noWrap/>
            <w:hideMark/>
          </w:tcPr>
          <w:p w14:paraId="47E8948F" w14:textId="77CFF102" w:rsidR="00371021" w:rsidRPr="00326F3D" w:rsidRDefault="001A4B8B" w:rsidP="009807BB">
            <w:pPr>
              <w:pStyle w:val="TableText"/>
              <w:jc w:val="right"/>
              <w:rPr>
                <w:highlight w:val="lightGray"/>
              </w:rPr>
            </w:pPr>
            <w:r w:rsidRPr="001A4B8B">
              <w:rPr>
                <w:color w:val="000000"/>
                <w:spacing w:val="48"/>
                <w:shd w:val="solid" w:color="000000" w:fill="000000"/>
                <w:fitText w:val="225" w:id="-961838332"/>
                <w14:textFill>
                  <w14:solidFill>
                    <w14:srgbClr w14:val="000000">
                      <w14:alpha w14:val="100000"/>
                    </w14:srgbClr>
                  </w14:solidFill>
                </w14:textFill>
              </w:rPr>
              <w:t>||</w:t>
            </w:r>
            <w:r w:rsidRPr="001A4B8B">
              <w:rPr>
                <w:color w:val="000000"/>
                <w:spacing w:val="2"/>
                <w:shd w:val="solid" w:color="000000" w:fill="000000"/>
                <w:fitText w:val="225" w:id="-961838332"/>
                <w14:textFill>
                  <w14:solidFill>
                    <w14:srgbClr w14:val="000000">
                      <w14:alpha w14:val="100000"/>
                    </w14:srgbClr>
                  </w14:solidFill>
                </w14:textFill>
              </w:rPr>
              <w:t>|</w:t>
            </w:r>
            <w:r w:rsidR="00AC108D" w:rsidRPr="00AC108D">
              <w:rPr>
                <w:vertAlign w:val="superscript"/>
              </w:rPr>
              <w:t>6</w:t>
            </w:r>
          </w:p>
        </w:tc>
        <w:tc>
          <w:tcPr>
            <w:tcW w:w="454" w:type="pct"/>
            <w:noWrap/>
            <w:hideMark/>
          </w:tcPr>
          <w:p w14:paraId="40980A11" w14:textId="6F20152C"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1"/>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1"/>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23C6F908" w14:textId="3D15D5F0"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0"/>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0"/>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234C6CFE" w14:textId="126E3823"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9"/>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9"/>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45FE11E2" w14:textId="0C85FFFE"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8"/>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8"/>
                <w:lang w:eastAsia="en-US"/>
                <w14:textFill>
                  <w14:solidFill>
                    <w14:srgbClr w14:val="000000">
                      <w14:alpha w14:val="100000"/>
                    </w14:srgbClr>
                  </w14:solidFill>
                </w14:textFill>
              </w:rPr>
              <w:t>|</w:t>
            </w:r>
            <w:r w:rsidR="00AC108D" w:rsidRPr="00AC108D">
              <w:rPr>
                <w:vertAlign w:val="superscript"/>
              </w:rPr>
              <w:t>6</w:t>
            </w:r>
          </w:p>
        </w:tc>
        <w:tc>
          <w:tcPr>
            <w:tcW w:w="455" w:type="pct"/>
            <w:noWrap/>
            <w:hideMark/>
          </w:tcPr>
          <w:p w14:paraId="3F00DB20" w14:textId="3CD64BCD"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9"/>
                <w:szCs w:val="22"/>
                <w:shd w:val="solid" w:color="000000" w:fill="000000"/>
                <w:fitText w:val="226" w:id="-961838327"/>
                <w:lang w:eastAsia="en-US"/>
                <w14:textFill>
                  <w14:solidFill>
                    <w14:srgbClr w14:val="000000">
                      <w14:alpha w14:val="100000"/>
                    </w14:srgbClr>
                  </w14:solidFill>
                </w14:textFill>
              </w:rPr>
              <w:t>||</w:t>
            </w:r>
            <w:r w:rsidRPr="001A4B8B">
              <w:rPr>
                <w:rFonts w:eastAsiaTheme="minorHAnsi" w:cstheme="minorBidi"/>
                <w:color w:val="000000"/>
                <w:spacing w:val="1"/>
                <w:szCs w:val="22"/>
                <w:shd w:val="solid" w:color="000000" w:fill="000000"/>
                <w:fitText w:val="226" w:id="-961838327"/>
                <w:lang w:eastAsia="en-US"/>
                <w14:textFill>
                  <w14:solidFill>
                    <w14:srgbClr w14:val="000000">
                      <w14:alpha w14:val="100000"/>
                    </w14:srgbClr>
                  </w14:solidFill>
                </w14:textFill>
              </w:rPr>
              <w:t>|</w:t>
            </w:r>
            <w:r w:rsidR="00AC108D" w:rsidRPr="00AC108D">
              <w:rPr>
                <w:vertAlign w:val="superscript"/>
              </w:rPr>
              <w:t>6</w:t>
            </w:r>
          </w:p>
        </w:tc>
      </w:tr>
      <w:tr w:rsidR="00371021" w:rsidRPr="00371021" w14:paraId="342368E1" w14:textId="77777777" w:rsidTr="00603002">
        <w:trPr>
          <w:trHeight w:val="20"/>
        </w:trPr>
        <w:tc>
          <w:tcPr>
            <w:tcW w:w="154" w:type="pct"/>
            <w:noWrap/>
            <w:hideMark/>
          </w:tcPr>
          <w:p w14:paraId="0D550B6C"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U</w:t>
            </w:r>
          </w:p>
        </w:tc>
        <w:tc>
          <w:tcPr>
            <w:tcW w:w="2121" w:type="pct"/>
            <w:noWrap/>
            <w:hideMark/>
          </w:tcPr>
          <w:p w14:paraId="12A3F1BF" w14:textId="77777777" w:rsidR="00371021" w:rsidRPr="00371021" w:rsidRDefault="00371021" w:rsidP="009807BB">
            <w:pPr>
              <w:pStyle w:val="TableText"/>
            </w:pPr>
            <w:r w:rsidRPr="00371021">
              <w:t>Uptake of HDV RNA testing following listing</w:t>
            </w:r>
          </w:p>
        </w:tc>
        <w:tc>
          <w:tcPr>
            <w:tcW w:w="454" w:type="pct"/>
            <w:noWrap/>
            <w:hideMark/>
          </w:tcPr>
          <w:p w14:paraId="367DF91D" w14:textId="27B12D12" w:rsidR="00371021" w:rsidRPr="00371021" w:rsidRDefault="001A4B8B" w:rsidP="009807BB">
            <w:pPr>
              <w:pStyle w:val="TableText"/>
              <w:jc w:val="right"/>
            </w:pPr>
            <w:r w:rsidRPr="001A4B8B">
              <w:rPr>
                <w:color w:val="000000"/>
                <w:spacing w:val="47"/>
                <w:shd w:val="solid" w:color="000000" w:fill="000000"/>
                <w:fitText w:val="313" w:id="-961838326"/>
                <w14:textFill>
                  <w14:solidFill>
                    <w14:srgbClr w14:val="000000">
                      <w14:alpha w14:val="100000"/>
                    </w14:srgbClr>
                  </w14:solidFill>
                </w14:textFill>
              </w:rPr>
              <w:t>|||</w:t>
            </w:r>
            <w:r w:rsidRPr="001A4B8B">
              <w:rPr>
                <w:color w:val="000000"/>
                <w:spacing w:val="2"/>
                <w:shd w:val="solid" w:color="000000" w:fill="000000"/>
                <w:fitText w:val="313" w:id="-961838326"/>
                <w14:textFill>
                  <w14:solidFill>
                    <w14:srgbClr w14:val="000000">
                      <w14:alpha w14:val="100000"/>
                    </w14:srgbClr>
                  </w14:solidFill>
                </w14:textFill>
              </w:rPr>
              <w:t>|</w:t>
            </w:r>
            <w:r w:rsidR="00371021" w:rsidRPr="00371021">
              <w:t>%</w:t>
            </w:r>
          </w:p>
        </w:tc>
        <w:tc>
          <w:tcPr>
            <w:tcW w:w="454" w:type="pct"/>
            <w:noWrap/>
            <w:hideMark/>
          </w:tcPr>
          <w:p w14:paraId="19CAA760" w14:textId="7F2B152A"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5"/>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5"/>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4" w:type="pct"/>
            <w:noWrap/>
            <w:hideMark/>
          </w:tcPr>
          <w:p w14:paraId="0E83DF8D" w14:textId="50E72148"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4"/>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4"/>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4" w:type="pct"/>
            <w:noWrap/>
            <w:hideMark/>
          </w:tcPr>
          <w:p w14:paraId="7423D73F" w14:textId="11CBFF54"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3"/>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3"/>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4" w:type="pct"/>
            <w:noWrap/>
            <w:hideMark/>
          </w:tcPr>
          <w:p w14:paraId="1E05807A" w14:textId="78473554"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2"/>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2"/>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c>
          <w:tcPr>
            <w:tcW w:w="455" w:type="pct"/>
            <w:noWrap/>
            <w:hideMark/>
          </w:tcPr>
          <w:p w14:paraId="541E9412" w14:textId="76FA870C" w:rsidR="00371021" w:rsidRPr="00371021" w:rsidRDefault="001A4B8B" w:rsidP="009807BB">
            <w:pPr>
              <w:pStyle w:val="TableText"/>
              <w:jc w:val="right"/>
              <w:rPr>
                <w:rFonts w:eastAsiaTheme="minorHAnsi" w:cstheme="minorBidi"/>
                <w:szCs w:val="22"/>
                <w:lang w:eastAsia="en-US"/>
              </w:rPr>
            </w:pPr>
            <w:r w:rsidRPr="001A4B8B">
              <w:rPr>
                <w:rFonts w:eastAsiaTheme="minorHAnsi" w:cstheme="minorBidi"/>
                <w:color w:val="000000"/>
                <w:spacing w:val="47"/>
                <w:szCs w:val="22"/>
                <w:shd w:val="solid" w:color="000000" w:fill="000000"/>
                <w:fitText w:val="313" w:id="-961838321"/>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313" w:id="-961838321"/>
                <w:lang w:eastAsia="en-US"/>
                <w14:textFill>
                  <w14:solidFill>
                    <w14:srgbClr w14:val="000000">
                      <w14:alpha w14:val="100000"/>
                    </w14:srgbClr>
                  </w14:solidFill>
                </w14:textFill>
              </w:rPr>
              <w:t>|</w:t>
            </w:r>
            <w:r w:rsidR="00371021" w:rsidRPr="00371021">
              <w:rPr>
                <w:rFonts w:eastAsiaTheme="minorHAnsi" w:cstheme="minorBidi"/>
                <w:szCs w:val="22"/>
                <w:lang w:eastAsia="en-US"/>
              </w:rPr>
              <w:t>%</w:t>
            </w:r>
          </w:p>
        </w:tc>
      </w:tr>
      <w:tr w:rsidR="00371021" w:rsidRPr="00371021" w14:paraId="4C050A3C" w14:textId="77777777" w:rsidTr="00603002">
        <w:trPr>
          <w:trHeight w:val="20"/>
        </w:trPr>
        <w:tc>
          <w:tcPr>
            <w:tcW w:w="154" w:type="pct"/>
            <w:noWrap/>
            <w:hideMark/>
          </w:tcPr>
          <w:p w14:paraId="4D7B609F"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V</w:t>
            </w:r>
          </w:p>
        </w:tc>
        <w:tc>
          <w:tcPr>
            <w:tcW w:w="2121" w:type="pct"/>
            <w:noWrap/>
            <w:hideMark/>
          </w:tcPr>
          <w:p w14:paraId="11368849" w14:textId="77777777" w:rsidR="00371021" w:rsidRPr="00371021" w:rsidRDefault="00371021" w:rsidP="009807BB">
            <w:pPr>
              <w:pStyle w:val="TableText"/>
            </w:pPr>
            <w:r w:rsidRPr="00371021">
              <w:t>No. incident chronic HBV patients with anti-HDV+ who received HDV RNA testing (T × U)</w:t>
            </w:r>
          </w:p>
        </w:tc>
        <w:tc>
          <w:tcPr>
            <w:tcW w:w="454" w:type="pct"/>
            <w:noWrap/>
            <w:hideMark/>
          </w:tcPr>
          <w:p w14:paraId="741707CC" w14:textId="18B816C2" w:rsidR="00371021" w:rsidRPr="00326F3D" w:rsidRDefault="001A4B8B" w:rsidP="009807BB">
            <w:pPr>
              <w:pStyle w:val="TableText"/>
              <w:jc w:val="right"/>
              <w:rPr>
                <w:highlight w:val="lightGray"/>
              </w:rPr>
            </w:pPr>
            <w:r w:rsidRPr="001A4B8B">
              <w:rPr>
                <w:color w:val="000000"/>
                <w:spacing w:val="48"/>
                <w:shd w:val="solid" w:color="000000" w:fill="000000"/>
                <w:fitText w:val="225" w:id="-961838320"/>
                <w14:textFill>
                  <w14:solidFill>
                    <w14:srgbClr w14:val="000000">
                      <w14:alpha w14:val="100000"/>
                    </w14:srgbClr>
                  </w14:solidFill>
                </w14:textFill>
              </w:rPr>
              <w:t>||</w:t>
            </w:r>
            <w:r w:rsidRPr="001A4B8B">
              <w:rPr>
                <w:color w:val="000000"/>
                <w:spacing w:val="2"/>
                <w:shd w:val="solid" w:color="000000" w:fill="000000"/>
                <w:fitText w:val="225" w:id="-961838320"/>
                <w14:textFill>
                  <w14:solidFill>
                    <w14:srgbClr w14:val="000000">
                      <w14:alpha w14:val="100000"/>
                    </w14:srgbClr>
                  </w14:solidFill>
                </w14:textFill>
              </w:rPr>
              <w:t>|</w:t>
            </w:r>
            <w:r w:rsidR="00AC108D" w:rsidRPr="00AC108D">
              <w:rPr>
                <w:vertAlign w:val="superscript"/>
              </w:rPr>
              <w:t>6</w:t>
            </w:r>
          </w:p>
        </w:tc>
        <w:tc>
          <w:tcPr>
            <w:tcW w:w="454" w:type="pct"/>
            <w:noWrap/>
            <w:hideMark/>
          </w:tcPr>
          <w:p w14:paraId="32930E8D" w14:textId="71DD8BAA"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6"/>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6"/>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4EA2115C" w14:textId="039F64D8"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5"/>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5"/>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3A80E3F8" w14:textId="6CC2D6C3"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4"/>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4"/>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7DB669FF" w14:textId="2FB41948"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3"/>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3"/>
                <w:lang w:eastAsia="en-US"/>
                <w14:textFill>
                  <w14:solidFill>
                    <w14:srgbClr w14:val="000000">
                      <w14:alpha w14:val="100000"/>
                    </w14:srgbClr>
                  </w14:solidFill>
                </w14:textFill>
              </w:rPr>
              <w:t>|</w:t>
            </w:r>
            <w:r w:rsidR="00AC108D" w:rsidRPr="00AC108D">
              <w:rPr>
                <w:vertAlign w:val="superscript"/>
              </w:rPr>
              <w:t>6</w:t>
            </w:r>
          </w:p>
        </w:tc>
        <w:tc>
          <w:tcPr>
            <w:tcW w:w="455" w:type="pct"/>
            <w:noWrap/>
            <w:hideMark/>
          </w:tcPr>
          <w:p w14:paraId="5A0D51B9" w14:textId="4374F51E"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9"/>
                <w:szCs w:val="22"/>
                <w:shd w:val="solid" w:color="000000" w:fill="000000"/>
                <w:fitText w:val="226" w:id="-961838332"/>
                <w:lang w:eastAsia="en-US"/>
                <w14:textFill>
                  <w14:solidFill>
                    <w14:srgbClr w14:val="000000">
                      <w14:alpha w14:val="100000"/>
                    </w14:srgbClr>
                  </w14:solidFill>
                </w14:textFill>
              </w:rPr>
              <w:t>||</w:t>
            </w:r>
            <w:r w:rsidRPr="001A4B8B">
              <w:rPr>
                <w:rFonts w:eastAsiaTheme="minorHAnsi" w:cstheme="minorBidi"/>
                <w:color w:val="000000"/>
                <w:spacing w:val="1"/>
                <w:szCs w:val="22"/>
                <w:shd w:val="solid" w:color="000000" w:fill="000000"/>
                <w:fitText w:val="226" w:id="-961838332"/>
                <w:lang w:eastAsia="en-US"/>
                <w14:textFill>
                  <w14:solidFill>
                    <w14:srgbClr w14:val="000000">
                      <w14:alpha w14:val="100000"/>
                    </w14:srgbClr>
                  </w14:solidFill>
                </w14:textFill>
              </w:rPr>
              <w:t>|</w:t>
            </w:r>
            <w:r w:rsidR="00AC108D" w:rsidRPr="00AC108D">
              <w:rPr>
                <w:vertAlign w:val="superscript"/>
              </w:rPr>
              <w:t>6</w:t>
            </w:r>
          </w:p>
        </w:tc>
      </w:tr>
      <w:tr w:rsidR="00371021" w:rsidRPr="00371021" w14:paraId="01F3DB59" w14:textId="77777777" w:rsidTr="00603002">
        <w:trPr>
          <w:trHeight w:val="20"/>
        </w:trPr>
        <w:tc>
          <w:tcPr>
            <w:tcW w:w="154" w:type="pct"/>
            <w:noWrap/>
            <w:hideMark/>
          </w:tcPr>
          <w:p w14:paraId="78668C71"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W</w:t>
            </w:r>
          </w:p>
        </w:tc>
        <w:tc>
          <w:tcPr>
            <w:tcW w:w="2121" w:type="pct"/>
            <w:noWrap/>
            <w:hideMark/>
          </w:tcPr>
          <w:p w14:paraId="1126B36E" w14:textId="77777777" w:rsidR="00371021" w:rsidRPr="00371021" w:rsidRDefault="00371021" w:rsidP="009807BB">
            <w:pPr>
              <w:pStyle w:val="TableText"/>
            </w:pPr>
            <w:r w:rsidRPr="00371021">
              <w:t>No. with detectable HDV RNA (V × 56.2%)</w:t>
            </w:r>
          </w:p>
        </w:tc>
        <w:tc>
          <w:tcPr>
            <w:tcW w:w="454" w:type="pct"/>
            <w:noWrap/>
            <w:hideMark/>
          </w:tcPr>
          <w:p w14:paraId="14BE377D" w14:textId="579BD0B8" w:rsidR="00371021" w:rsidRPr="00326F3D" w:rsidRDefault="001A4B8B" w:rsidP="009807BB">
            <w:pPr>
              <w:pStyle w:val="TableText"/>
              <w:jc w:val="right"/>
              <w:rPr>
                <w:highlight w:val="lightGray"/>
              </w:rPr>
            </w:pPr>
            <w:r w:rsidRPr="001A4B8B">
              <w:rPr>
                <w:color w:val="000000"/>
                <w:spacing w:val="48"/>
                <w:shd w:val="solid" w:color="000000" w:fill="000000"/>
                <w:fitText w:val="225" w:id="-961838331"/>
                <w14:textFill>
                  <w14:solidFill>
                    <w14:srgbClr w14:val="000000">
                      <w14:alpha w14:val="100000"/>
                    </w14:srgbClr>
                  </w14:solidFill>
                </w14:textFill>
              </w:rPr>
              <w:t>||</w:t>
            </w:r>
            <w:r w:rsidRPr="001A4B8B">
              <w:rPr>
                <w:color w:val="000000"/>
                <w:spacing w:val="2"/>
                <w:shd w:val="solid" w:color="000000" w:fill="000000"/>
                <w:fitText w:val="225" w:id="-961838331"/>
                <w14:textFill>
                  <w14:solidFill>
                    <w14:srgbClr w14:val="000000">
                      <w14:alpha w14:val="100000"/>
                    </w14:srgbClr>
                  </w14:solidFill>
                </w14:textFill>
              </w:rPr>
              <w:t>|</w:t>
            </w:r>
            <w:r w:rsidR="00AC108D" w:rsidRPr="00AC108D">
              <w:rPr>
                <w:vertAlign w:val="superscript"/>
              </w:rPr>
              <w:t>6</w:t>
            </w:r>
          </w:p>
        </w:tc>
        <w:tc>
          <w:tcPr>
            <w:tcW w:w="454" w:type="pct"/>
            <w:noWrap/>
            <w:hideMark/>
          </w:tcPr>
          <w:p w14:paraId="6063768C" w14:textId="704619A4"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30"/>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30"/>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62C7C547" w14:textId="23B94B3D"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9"/>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9"/>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24E82EA1" w14:textId="3F8BE475"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8"/>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8"/>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7A51974C" w14:textId="71B03C04"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7"/>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7"/>
                <w:lang w:eastAsia="en-US"/>
                <w14:textFill>
                  <w14:solidFill>
                    <w14:srgbClr w14:val="000000">
                      <w14:alpha w14:val="100000"/>
                    </w14:srgbClr>
                  </w14:solidFill>
                </w14:textFill>
              </w:rPr>
              <w:t>|</w:t>
            </w:r>
            <w:r w:rsidR="00AC108D" w:rsidRPr="00AC108D">
              <w:rPr>
                <w:vertAlign w:val="superscript"/>
              </w:rPr>
              <w:t>6</w:t>
            </w:r>
          </w:p>
        </w:tc>
        <w:tc>
          <w:tcPr>
            <w:tcW w:w="455" w:type="pct"/>
            <w:noWrap/>
            <w:hideMark/>
          </w:tcPr>
          <w:p w14:paraId="27264362" w14:textId="1896A714"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9"/>
                <w:szCs w:val="22"/>
                <w:shd w:val="solid" w:color="000000" w:fill="000000"/>
                <w:fitText w:val="226" w:id="-961838326"/>
                <w:lang w:eastAsia="en-US"/>
                <w14:textFill>
                  <w14:solidFill>
                    <w14:srgbClr w14:val="000000">
                      <w14:alpha w14:val="100000"/>
                    </w14:srgbClr>
                  </w14:solidFill>
                </w14:textFill>
              </w:rPr>
              <w:t>||</w:t>
            </w:r>
            <w:r w:rsidRPr="001A4B8B">
              <w:rPr>
                <w:rFonts w:eastAsiaTheme="minorHAnsi" w:cstheme="minorBidi"/>
                <w:color w:val="000000"/>
                <w:spacing w:val="1"/>
                <w:szCs w:val="22"/>
                <w:shd w:val="solid" w:color="000000" w:fill="000000"/>
                <w:fitText w:val="226" w:id="-961838326"/>
                <w:lang w:eastAsia="en-US"/>
                <w14:textFill>
                  <w14:solidFill>
                    <w14:srgbClr w14:val="000000">
                      <w14:alpha w14:val="100000"/>
                    </w14:srgbClr>
                  </w14:solidFill>
                </w14:textFill>
              </w:rPr>
              <w:t>|</w:t>
            </w:r>
            <w:r w:rsidR="00AC108D" w:rsidRPr="00AC108D">
              <w:rPr>
                <w:vertAlign w:val="superscript"/>
              </w:rPr>
              <w:t>6</w:t>
            </w:r>
          </w:p>
        </w:tc>
      </w:tr>
      <w:tr w:rsidR="00371021" w:rsidRPr="00371021" w14:paraId="71E24459" w14:textId="77777777" w:rsidTr="00603002">
        <w:trPr>
          <w:trHeight w:val="20"/>
        </w:trPr>
        <w:tc>
          <w:tcPr>
            <w:tcW w:w="154" w:type="pct"/>
            <w:noWrap/>
            <w:hideMark/>
          </w:tcPr>
          <w:p w14:paraId="0332A985" w14:textId="77777777" w:rsidR="00371021" w:rsidRPr="00371021" w:rsidRDefault="00371021" w:rsidP="009807BB">
            <w:pPr>
              <w:pStyle w:val="TableText"/>
              <w:rPr>
                <w:rFonts w:eastAsiaTheme="minorHAnsi" w:cstheme="minorBidi"/>
                <w:szCs w:val="22"/>
                <w:lang w:eastAsia="en-US"/>
              </w:rPr>
            </w:pPr>
            <w:r w:rsidRPr="00371021">
              <w:rPr>
                <w:rFonts w:eastAsiaTheme="minorHAnsi" w:cstheme="minorBidi"/>
                <w:szCs w:val="22"/>
                <w:lang w:eastAsia="en-US"/>
              </w:rPr>
              <w:t>X</w:t>
            </w:r>
          </w:p>
        </w:tc>
        <w:tc>
          <w:tcPr>
            <w:tcW w:w="2121" w:type="pct"/>
            <w:noWrap/>
            <w:hideMark/>
          </w:tcPr>
          <w:p w14:paraId="499E1209" w14:textId="77777777" w:rsidR="00371021" w:rsidRPr="00371021" w:rsidRDefault="00371021" w:rsidP="009807BB">
            <w:pPr>
              <w:pStyle w:val="TableText"/>
            </w:pPr>
            <w:r w:rsidRPr="00371021">
              <w:t>No. eligible for bulevirtide treatment (W × 82.0%)</w:t>
            </w:r>
          </w:p>
        </w:tc>
        <w:tc>
          <w:tcPr>
            <w:tcW w:w="454" w:type="pct"/>
            <w:noWrap/>
            <w:hideMark/>
          </w:tcPr>
          <w:p w14:paraId="5026AF04" w14:textId="2AE53C32" w:rsidR="00371021" w:rsidRPr="00326F3D" w:rsidRDefault="001A4B8B" w:rsidP="009807BB">
            <w:pPr>
              <w:pStyle w:val="TableText"/>
              <w:jc w:val="right"/>
              <w:rPr>
                <w:highlight w:val="lightGray"/>
              </w:rPr>
            </w:pPr>
            <w:r w:rsidRPr="001A4B8B">
              <w:rPr>
                <w:color w:val="000000"/>
                <w:spacing w:val="48"/>
                <w:shd w:val="solid" w:color="000000" w:fill="000000"/>
                <w:fitText w:val="225" w:id="-961838325"/>
                <w14:textFill>
                  <w14:solidFill>
                    <w14:srgbClr w14:val="000000">
                      <w14:alpha w14:val="100000"/>
                    </w14:srgbClr>
                  </w14:solidFill>
                </w14:textFill>
              </w:rPr>
              <w:t>||</w:t>
            </w:r>
            <w:r w:rsidRPr="001A4B8B">
              <w:rPr>
                <w:color w:val="000000"/>
                <w:spacing w:val="2"/>
                <w:shd w:val="solid" w:color="000000" w:fill="000000"/>
                <w:fitText w:val="225" w:id="-961838325"/>
                <w14:textFill>
                  <w14:solidFill>
                    <w14:srgbClr w14:val="000000">
                      <w14:alpha w14:val="100000"/>
                    </w14:srgbClr>
                  </w14:solidFill>
                </w14:textFill>
              </w:rPr>
              <w:t>|</w:t>
            </w:r>
            <w:r w:rsidR="00AC108D" w:rsidRPr="00AC108D">
              <w:rPr>
                <w:vertAlign w:val="superscript"/>
              </w:rPr>
              <w:t>6</w:t>
            </w:r>
          </w:p>
        </w:tc>
        <w:tc>
          <w:tcPr>
            <w:tcW w:w="454" w:type="pct"/>
            <w:noWrap/>
            <w:hideMark/>
          </w:tcPr>
          <w:p w14:paraId="77151726" w14:textId="073B3286"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4"/>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4"/>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7F25FFD1" w14:textId="7B4E0DCE"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3"/>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3"/>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6FD3EE3B" w14:textId="653F52C8"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2"/>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2"/>
                <w:lang w:eastAsia="en-US"/>
                <w14:textFill>
                  <w14:solidFill>
                    <w14:srgbClr w14:val="000000">
                      <w14:alpha w14:val="100000"/>
                    </w14:srgbClr>
                  </w14:solidFill>
                </w14:textFill>
              </w:rPr>
              <w:t>|</w:t>
            </w:r>
            <w:r w:rsidR="00AC108D" w:rsidRPr="00AC108D">
              <w:rPr>
                <w:vertAlign w:val="superscript"/>
              </w:rPr>
              <w:t>6</w:t>
            </w:r>
          </w:p>
        </w:tc>
        <w:tc>
          <w:tcPr>
            <w:tcW w:w="454" w:type="pct"/>
            <w:noWrap/>
            <w:hideMark/>
          </w:tcPr>
          <w:p w14:paraId="306750A2" w14:textId="7FA93D4B"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8"/>
                <w:szCs w:val="22"/>
                <w:shd w:val="solid" w:color="000000" w:fill="000000"/>
                <w:fitText w:val="225" w:id="-961838321"/>
                <w:lang w:eastAsia="en-US"/>
                <w14:textFill>
                  <w14:solidFill>
                    <w14:srgbClr w14:val="000000">
                      <w14:alpha w14:val="100000"/>
                    </w14:srgbClr>
                  </w14:solidFill>
                </w14:textFill>
              </w:rPr>
              <w:t>||</w:t>
            </w:r>
            <w:r w:rsidRPr="001A4B8B">
              <w:rPr>
                <w:rFonts w:eastAsiaTheme="minorHAnsi" w:cstheme="minorBidi"/>
                <w:color w:val="000000"/>
                <w:spacing w:val="2"/>
                <w:szCs w:val="22"/>
                <w:shd w:val="solid" w:color="000000" w:fill="000000"/>
                <w:fitText w:val="225" w:id="-961838321"/>
                <w:lang w:eastAsia="en-US"/>
                <w14:textFill>
                  <w14:solidFill>
                    <w14:srgbClr w14:val="000000">
                      <w14:alpha w14:val="100000"/>
                    </w14:srgbClr>
                  </w14:solidFill>
                </w14:textFill>
              </w:rPr>
              <w:t>|</w:t>
            </w:r>
            <w:r w:rsidR="00AC108D" w:rsidRPr="00AC108D">
              <w:rPr>
                <w:vertAlign w:val="superscript"/>
              </w:rPr>
              <w:t>6</w:t>
            </w:r>
          </w:p>
        </w:tc>
        <w:tc>
          <w:tcPr>
            <w:tcW w:w="455" w:type="pct"/>
            <w:noWrap/>
            <w:hideMark/>
          </w:tcPr>
          <w:p w14:paraId="068D32CB" w14:textId="592B2153" w:rsidR="00371021" w:rsidRPr="00326F3D" w:rsidRDefault="001A4B8B" w:rsidP="009807BB">
            <w:pPr>
              <w:pStyle w:val="TableText"/>
              <w:jc w:val="right"/>
              <w:rPr>
                <w:rFonts w:eastAsiaTheme="minorHAnsi" w:cstheme="minorBidi"/>
                <w:szCs w:val="22"/>
                <w:highlight w:val="lightGray"/>
                <w:lang w:eastAsia="en-US"/>
              </w:rPr>
            </w:pPr>
            <w:r w:rsidRPr="001A4B8B">
              <w:rPr>
                <w:rFonts w:eastAsiaTheme="minorHAnsi" w:cstheme="minorBidi"/>
                <w:color w:val="000000"/>
                <w:spacing w:val="49"/>
                <w:szCs w:val="22"/>
                <w:shd w:val="solid" w:color="000000" w:fill="000000"/>
                <w:fitText w:val="226" w:id="-961838320"/>
                <w:lang w:eastAsia="en-US"/>
                <w14:textFill>
                  <w14:solidFill>
                    <w14:srgbClr w14:val="000000">
                      <w14:alpha w14:val="100000"/>
                    </w14:srgbClr>
                  </w14:solidFill>
                </w14:textFill>
              </w:rPr>
              <w:t>||</w:t>
            </w:r>
            <w:r w:rsidRPr="001A4B8B">
              <w:rPr>
                <w:rFonts w:eastAsiaTheme="minorHAnsi" w:cstheme="minorBidi"/>
                <w:color w:val="000000"/>
                <w:spacing w:val="1"/>
                <w:szCs w:val="22"/>
                <w:shd w:val="solid" w:color="000000" w:fill="000000"/>
                <w:fitText w:val="226" w:id="-961838320"/>
                <w:lang w:eastAsia="en-US"/>
                <w14:textFill>
                  <w14:solidFill>
                    <w14:srgbClr w14:val="000000">
                      <w14:alpha w14:val="100000"/>
                    </w14:srgbClr>
                  </w14:solidFill>
                </w14:textFill>
              </w:rPr>
              <w:t>|</w:t>
            </w:r>
            <w:r w:rsidR="00AC108D" w:rsidRPr="00AC108D">
              <w:rPr>
                <w:vertAlign w:val="superscript"/>
              </w:rPr>
              <w:t>6</w:t>
            </w:r>
          </w:p>
        </w:tc>
      </w:tr>
      <w:tr w:rsidR="00371021" w:rsidRPr="00371021" w14:paraId="7E9EF8CC" w14:textId="77777777" w:rsidTr="00603002">
        <w:trPr>
          <w:trHeight w:val="20"/>
        </w:trPr>
        <w:tc>
          <w:tcPr>
            <w:tcW w:w="154" w:type="pct"/>
            <w:noWrap/>
          </w:tcPr>
          <w:p w14:paraId="106509CA" w14:textId="77777777" w:rsidR="00371021" w:rsidRPr="00371021" w:rsidRDefault="00371021" w:rsidP="009807BB">
            <w:pPr>
              <w:pStyle w:val="TableText"/>
              <w:rPr>
                <w:b/>
                <w:bCs/>
              </w:rPr>
            </w:pPr>
            <w:r w:rsidRPr="00371021">
              <w:rPr>
                <w:b/>
                <w:bCs/>
              </w:rPr>
              <w:t>Y</w:t>
            </w:r>
          </w:p>
        </w:tc>
        <w:tc>
          <w:tcPr>
            <w:tcW w:w="2121" w:type="pct"/>
            <w:noWrap/>
          </w:tcPr>
          <w:p w14:paraId="0F353CD0" w14:textId="77777777" w:rsidR="00371021" w:rsidRPr="00371021" w:rsidRDefault="00371021" w:rsidP="009807BB">
            <w:pPr>
              <w:pStyle w:val="TableText"/>
              <w:rPr>
                <w:b/>
                <w:bCs/>
              </w:rPr>
            </w:pPr>
            <w:r w:rsidRPr="00371021">
              <w:rPr>
                <w:b/>
                <w:bCs/>
              </w:rPr>
              <w:t>Total eligible for bulevirtide treatment (H + O + X)</w:t>
            </w:r>
          </w:p>
        </w:tc>
        <w:tc>
          <w:tcPr>
            <w:tcW w:w="454" w:type="pct"/>
            <w:noWrap/>
          </w:tcPr>
          <w:p w14:paraId="086AB468" w14:textId="73B012A5" w:rsidR="00371021" w:rsidRPr="00326F3D" w:rsidRDefault="001A4B8B" w:rsidP="009807BB">
            <w:pPr>
              <w:pStyle w:val="TableText"/>
              <w:jc w:val="right"/>
              <w:rPr>
                <w:b/>
                <w:bCs/>
                <w:highlight w:val="lightGray"/>
              </w:rPr>
            </w:pPr>
            <w:r w:rsidRPr="001A4B8B">
              <w:rPr>
                <w:b/>
                <w:bCs/>
                <w:color w:val="000000"/>
                <w:spacing w:val="183"/>
                <w:shd w:val="solid" w:color="000000" w:fill="000000"/>
                <w:fitText w:val="275" w:id="-961838336"/>
                <w14:textFill>
                  <w14:solidFill>
                    <w14:srgbClr w14:val="000000">
                      <w14:alpha w14:val="100000"/>
                    </w14:srgbClr>
                  </w14:solidFill>
                </w14:textFill>
              </w:rPr>
              <w:t>|</w:t>
            </w:r>
            <w:r w:rsidRPr="001A4B8B">
              <w:rPr>
                <w:b/>
                <w:bCs/>
                <w:color w:val="000000"/>
                <w:spacing w:val="1"/>
                <w:shd w:val="solid" w:color="000000" w:fill="000000"/>
                <w:fitText w:val="275" w:id="-961838336"/>
                <w14:textFill>
                  <w14:solidFill>
                    <w14:srgbClr w14:val="000000">
                      <w14:alpha w14:val="100000"/>
                    </w14:srgbClr>
                  </w14:solidFill>
                </w14:textFill>
              </w:rPr>
              <w:t>|</w:t>
            </w:r>
            <w:r w:rsidR="00AC108D" w:rsidRPr="00AC108D">
              <w:rPr>
                <w:vertAlign w:val="superscript"/>
              </w:rPr>
              <w:t>6</w:t>
            </w:r>
          </w:p>
        </w:tc>
        <w:tc>
          <w:tcPr>
            <w:tcW w:w="454" w:type="pct"/>
            <w:noWrap/>
          </w:tcPr>
          <w:p w14:paraId="0097C025" w14:textId="0CAB6933" w:rsidR="00371021" w:rsidRPr="00326F3D" w:rsidRDefault="001A4B8B" w:rsidP="009807BB">
            <w:pPr>
              <w:pStyle w:val="TableText"/>
              <w:jc w:val="right"/>
              <w:rPr>
                <w:b/>
                <w:bCs/>
                <w:highlight w:val="lightGray"/>
              </w:rPr>
            </w:pPr>
            <w:r w:rsidRPr="001A4B8B">
              <w:rPr>
                <w:b/>
                <w:bCs/>
                <w:color w:val="000000"/>
                <w:spacing w:val="183"/>
                <w:shd w:val="solid" w:color="000000" w:fill="000000"/>
                <w:fitText w:val="275" w:id="-961838335"/>
                <w14:textFill>
                  <w14:solidFill>
                    <w14:srgbClr w14:val="000000">
                      <w14:alpha w14:val="100000"/>
                    </w14:srgbClr>
                  </w14:solidFill>
                </w14:textFill>
              </w:rPr>
              <w:t>|</w:t>
            </w:r>
            <w:r w:rsidRPr="001A4B8B">
              <w:rPr>
                <w:b/>
                <w:bCs/>
                <w:color w:val="000000"/>
                <w:spacing w:val="1"/>
                <w:shd w:val="solid" w:color="000000" w:fill="000000"/>
                <w:fitText w:val="275" w:id="-961838335"/>
                <w14:textFill>
                  <w14:solidFill>
                    <w14:srgbClr w14:val="000000">
                      <w14:alpha w14:val="100000"/>
                    </w14:srgbClr>
                  </w14:solidFill>
                </w14:textFill>
              </w:rPr>
              <w:t>|</w:t>
            </w:r>
            <w:r w:rsidR="00AC108D" w:rsidRPr="00AC108D">
              <w:rPr>
                <w:vertAlign w:val="superscript"/>
              </w:rPr>
              <w:t>6</w:t>
            </w:r>
          </w:p>
        </w:tc>
        <w:tc>
          <w:tcPr>
            <w:tcW w:w="454" w:type="pct"/>
            <w:noWrap/>
          </w:tcPr>
          <w:p w14:paraId="58B2EE0F" w14:textId="2D02EE21" w:rsidR="00371021" w:rsidRPr="00326F3D" w:rsidRDefault="001A4B8B" w:rsidP="009807BB">
            <w:pPr>
              <w:pStyle w:val="TableText"/>
              <w:jc w:val="right"/>
              <w:rPr>
                <w:b/>
                <w:bCs/>
                <w:highlight w:val="lightGray"/>
              </w:rPr>
            </w:pPr>
            <w:r w:rsidRPr="001A4B8B">
              <w:rPr>
                <w:b/>
                <w:bCs/>
                <w:color w:val="000000"/>
                <w:spacing w:val="184"/>
                <w:shd w:val="solid" w:color="000000" w:fill="000000"/>
                <w:fitText w:val="276" w:id="-961838334"/>
                <w14:textFill>
                  <w14:solidFill>
                    <w14:srgbClr w14:val="000000">
                      <w14:alpha w14:val="100000"/>
                    </w14:srgbClr>
                  </w14:solidFill>
                </w14:textFill>
              </w:rPr>
              <w:t>|</w:t>
            </w:r>
            <w:r w:rsidRPr="001A4B8B">
              <w:rPr>
                <w:b/>
                <w:bCs/>
                <w:color w:val="000000"/>
                <w:spacing w:val="1"/>
                <w:shd w:val="solid" w:color="000000" w:fill="000000"/>
                <w:fitText w:val="276" w:id="-961838334"/>
                <w14:textFill>
                  <w14:solidFill>
                    <w14:srgbClr w14:val="000000">
                      <w14:alpha w14:val="100000"/>
                    </w14:srgbClr>
                  </w14:solidFill>
                </w14:textFill>
              </w:rPr>
              <w:t>|</w:t>
            </w:r>
            <w:r w:rsidR="00AC108D" w:rsidRPr="00AC108D">
              <w:rPr>
                <w:vertAlign w:val="superscript"/>
              </w:rPr>
              <w:t>6</w:t>
            </w:r>
          </w:p>
        </w:tc>
        <w:tc>
          <w:tcPr>
            <w:tcW w:w="454" w:type="pct"/>
            <w:noWrap/>
          </w:tcPr>
          <w:p w14:paraId="63638C24" w14:textId="34EA07EA" w:rsidR="00371021" w:rsidRPr="00326F3D" w:rsidRDefault="001A4B8B" w:rsidP="009807BB">
            <w:pPr>
              <w:pStyle w:val="TableText"/>
              <w:jc w:val="right"/>
              <w:rPr>
                <w:b/>
                <w:bCs/>
                <w:highlight w:val="lightGray"/>
              </w:rPr>
            </w:pPr>
            <w:r w:rsidRPr="001A4B8B">
              <w:rPr>
                <w:b/>
                <w:bCs/>
                <w:color w:val="000000"/>
                <w:spacing w:val="183"/>
                <w:shd w:val="solid" w:color="000000" w:fill="000000"/>
                <w:fitText w:val="275" w:id="-961838333"/>
                <w14:textFill>
                  <w14:solidFill>
                    <w14:srgbClr w14:val="000000">
                      <w14:alpha w14:val="100000"/>
                    </w14:srgbClr>
                  </w14:solidFill>
                </w14:textFill>
              </w:rPr>
              <w:t>|</w:t>
            </w:r>
            <w:r w:rsidRPr="001A4B8B">
              <w:rPr>
                <w:b/>
                <w:bCs/>
                <w:color w:val="000000"/>
                <w:spacing w:val="1"/>
                <w:shd w:val="solid" w:color="000000" w:fill="000000"/>
                <w:fitText w:val="275" w:id="-961838333"/>
                <w14:textFill>
                  <w14:solidFill>
                    <w14:srgbClr w14:val="000000">
                      <w14:alpha w14:val="100000"/>
                    </w14:srgbClr>
                  </w14:solidFill>
                </w14:textFill>
              </w:rPr>
              <w:t>|</w:t>
            </w:r>
            <w:r w:rsidR="00AC108D" w:rsidRPr="00AC108D">
              <w:rPr>
                <w:vertAlign w:val="superscript"/>
              </w:rPr>
              <w:t>6</w:t>
            </w:r>
          </w:p>
        </w:tc>
        <w:tc>
          <w:tcPr>
            <w:tcW w:w="454" w:type="pct"/>
            <w:noWrap/>
          </w:tcPr>
          <w:p w14:paraId="7D042C72" w14:textId="634C8577" w:rsidR="00371021" w:rsidRPr="00326F3D" w:rsidRDefault="001A4B8B" w:rsidP="009807BB">
            <w:pPr>
              <w:pStyle w:val="TableText"/>
              <w:jc w:val="right"/>
              <w:rPr>
                <w:b/>
                <w:bCs/>
                <w:highlight w:val="lightGray"/>
              </w:rPr>
            </w:pPr>
            <w:r w:rsidRPr="001A4B8B">
              <w:rPr>
                <w:b/>
                <w:bCs/>
                <w:color w:val="000000"/>
                <w:spacing w:val="183"/>
                <w:shd w:val="solid" w:color="000000" w:fill="000000"/>
                <w:fitText w:val="275" w:id="-961838332"/>
                <w14:textFill>
                  <w14:solidFill>
                    <w14:srgbClr w14:val="000000">
                      <w14:alpha w14:val="100000"/>
                    </w14:srgbClr>
                  </w14:solidFill>
                </w14:textFill>
              </w:rPr>
              <w:t>|</w:t>
            </w:r>
            <w:r w:rsidRPr="001A4B8B">
              <w:rPr>
                <w:b/>
                <w:bCs/>
                <w:color w:val="000000"/>
                <w:spacing w:val="1"/>
                <w:shd w:val="solid" w:color="000000" w:fill="000000"/>
                <w:fitText w:val="275" w:id="-961838332"/>
                <w14:textFill>
                  <w14:solidFill>
                    <w14:srgbClr w14:val="000000">
                      <w14:alpha w14:val="100000"/>
                    </w14:srgbClr>
                  </w14:solidFill>
                </w14:textFill>
              </w:rPr>
              <w:t>|</w:t>
            </w:r>
            <w:r w:rsidR="00AC108D" w:rsidRPr="00AC108D">
              <w:rPr>
                <w:vertAlign w:val="superscript"/>
              </w:rPr>
              <w:t>6</w:t>
            </w:r>
          </w:p>
        </w:tc>
        <w:tc>
          <w:tcPr>
            <w:tcW w:w="455" w:type="pct"/>
            <w:noWrap/>
          </w:tcPr>
          <w:p w14:paraId="242A1CC8" w14:textId="0648F796" w:rsidR="00371021" w:rsidRPr="00326F3D" w:rsidRDefault="001A4B8B" w:rsidP="009807BB">
            <w:pPr>
              <w:pStyle w:val="TableText"/>
              <w:jc w:val="right"/>
              <w:rPr>
                <w:b/>
                <w:bCs/>
                <w:highlight w:val="lightGray"/>
              </w:rPr>
            </w:pPr>
            <w:r w:rsidRPr="001A4B8B">
              <w:rPr>
                <w:b/>
                <w:bCs/>
                <w:color w:val="000000"/>
                <w:spacing w:val="196"/>
                <w:shd w:val="solid" w:color="000000" w:fill="000000"/>
                <w:fitText w:val="288" w:id="-961838331"/>
                <w14:textFill>
                  <w14:solidFill>
                    <w14:srgbClr w14:val="000000">
                      <w14:alpha w14:val="100000"/>
                    </w14:srgbClr>
                  </w14:solidFill>
                </w14:textFill>
              </w:rPr>
              <w:t>|</w:t>
            </w:r>
            <w:r w:rsidRPr="001A4B8B">
              <w:rPr>
                <w:b/>
                <w:bCs/>
                <w:color w:val="000000"/>
                <w:spacing w:val="1"/>
                <w:shd w:val="solid" w:color="000000" w:fill="000000"/>
                <w:fitText w:val="288" w:id="-961838331"/>
                <w14:textFill>
                  <w14:solidFill>
                    <w14:srgbClr w14:val="000000">
                      <w14:alpha w14:val="100000"/>
                    </w14:srgbClr>
                  </w14:solidFill>
                </w14:textFill>
              </w:rPr>
              <w:t>|</w:t>
            </w:r>
            <w:r w:rsidR="00AC108D" w:rsidRPr="00AC108D">
              <w:rPr>
                <w:vertAlign w:val="superscript"/>
              </w:rPr>
              <w:t>6</w:t>
            </w:r>
          </w:p>
        </w:tc>
      </w:tr>
    </w:tbl>
    <w:p w14:paraId="33BBA9A3" w14:textId="77777777" w:rsidR="00371021" w:rsidRPr="00371021" w:rsidRDefault="00371021" w:rsidP="009807BB">
      <w:pPr>
        <w:pStyle w:val="TableFooter"/>
      </w:pPr>
      <w:r w:rsidRPr="00371021" w:rsidDel="0015247C">
        <w:t>Source:</w:t>
      </w:r>
      <w:r w:rsidRPr="00371021">
        <w:t xml:space="preserve"> Table 4.2−1, pp188-9, Table 4.2−2, pp189−190 </w:t>
      </w:r>
      <w:r w:rsidRPr="00371021" w:rsidDel="0015247C">
        <w:t>of the submission.</w:t>
      </w:r>
    </w:p>
    <w:p w14:paraId="4167B20C" w14:textId="77777777" w:rsidR="00371021" w:rsidRPr="00371021" w:rsidDel="0015247C" w:rsidRDefault="00371021" w:rsidP="009807BB">
      <w:pPr>
        <w:pStyle w:val="TableFooter"/>
        <w:rPr>
          <w:sz w:val="20"/>
        </w:rPr>
      </w:pPr>
      <w:r w:rsidRPr="00371021">
        <w:t xml:space="preserve">HBV = hepatitis B virus, HDV = hepatitis D virus. </w:t>
      </w:r>
    </w:p>
    <w:p w14:paraId="42265C69" w14:textId="1D5ACEB2" w:rsidR="00371021" w:rsidRPr="00371021" w:rsidRDefault="00371021" w:rsidP="009807BB">
      <w:pPr>
        <w:pStyle w:val="TableFooter"/>
      </w:pPr>
      <w:r w:rsidRPr="00371021">
        <w:rPr>
          <w:vertAlign w:val="superscript"/>
        </w:rPr>
        <w:t>a</w:t>
      </w:r>
      <w:r w:rsidRPr="00371021">
        <w:t xml:space="preserve"> </w:t>
      </w:r>
      <w:proofErr w:type="gramStart"/>
      <w:r w:rsidRPr="00371021">
        <w:t>Prevalent patients</w:t>
      </w:r>
      <w:proofErr w:type="gramEnd"/>
      <w:r w:rsidRPr="00371021">
        <w:t xml:space="preserve"> who haven’t previously been tested for HDV (65.0%) × the proportion of prevalent patients expected to uptake testing in Year 1 (</w:t>
      </w:r>
      <w:r w:rsidR="001A4B8B" w:rsidRPr="001A4B8B">
        <w:rPr>
          <w:color w:val="000000"/>
          <w:spacing w:val="9"/>
          <w:shd w:val="solid" w:color="000000" w:fill="000000"/>
          <w:fitText w:val="281" w:id="-961838330"/>
          <w14:textFill>
            <w14:solidFill>
              <w14:srgbClr w14:val="000000">
                <w14:alpha w14:val="100000"/>
              </w14:srgbClr>
            </w14:solidFill>
          </w14:textFill>
        </w:rPr>
        <w:t>||  |</w:t>
      </w:r>
      <w:r w:rsidR="001A4B8B" w:rsidRPr="001A4B8B">
        <w:rPr>
          <w:color w:val="000000"/>
          <w:spacing w:val="1"/>
          <w:shd w:val="solid" w:color="000000" w:fill="000000"/>
          <w:fitText w:val="281" w:id="-961838330"/>
          <w14:textFill>
            <w14:solidFill>
              <w14:srgbClr w14:val="000000">
                <w14:alpha w14:val="100000"/>
              </w14:srgbClr>
            </w14:solidFill>
          </w14:textFill>
        </w:rPr>
        <w:t>|</w:t>
      </w:r>
      <w:r w:rsidRPr="00371021">
        <w:t>%)</w:t>
      </w:r>
    </w:p>
    <w:p w14:paraId="54B4111E" w14:textId="49D200E7" w:rsidR="00371021" w:rsidRPr="00371021" w:rsidRDefault="00371021" w:rsidP="009807BB">
      <w:pPr>
        <w:pStyle w:val="TableFooter"/>
      </w:pPr>
      <w:r w:rsidRPr="00371021">
        <w:rPr>
          <w:vertAlign w:val="superscript"/>
        </w:rPr>
        <w:t>b</w:t>
      </w:r>
      <w:r w:rsidRPr="00371021">
        <w:t xml:space="preserve"> Prevalent patients who haven’t previously been tested for HDV (65.0%) × the proportion of prevalent patients expected to uptake testing in Year 2 (</w:t>
      </w:r>
      <w:r w:rsidR="001A4B8B" w:rsidRPr="001A4B8B">
        <w:rPr>
          <w:color w:val="000000"/>
          <w:spacing w:val="9"/>
          <w:shd w:val="solid" w:color="000000" w:fill="000000"/>
          <w:fitText w:val="281" w:id="-961838329"/>
          <w14:textFill>
            <w14:solidFill>
              <w14:srgbClr w14:val="000000">
                <w14:alpha w14:val="100000"/>
              </w14:srgbClr>
            </w14:solidFill>
          </w14:textFill>
        </w:rPr>
        <w:t>||  |</w:t>
      </w:r>
      <w:r w:rsidR="001A4B8B" w:rsidRPr="001A4B8B">
        <w:rPr>
          <w:color w:val="000000"/>
          <w:spacing w:val="1"/>
          <w:shd w:val="solid" w:color="000000" w:fill="000000"/>
          <w:fitText w:val="281" w:id="-961838329"/>
          <w14:textFill>
            <w14:solidFill>
              <w14:srgbClr w14:val="000000">
                <w14:alpha w14:val="100000"/>
              </w14:srgbClr>
            </w14:solidFill>
          </w14:textFill>
        </w:rPr>
        <w:t>|</w:t>
      </w:r>
      <w:r w:rsidRPr="00371021">
        <w:t>%)</w:t>
      </w:r>
    </w:p>
    <w:p w14:paraId="1B019819" w14:textId="5145E60E" w:rsidR="00371021" w:rsidRDefault="00371021" w:rsidP="009807BB">
      <w:pPr>
        <w:pStyle w:val="TableFooter"/>
      </w:pPr>
      <w:r w:rsidRPr="00371021">
        <w:rPr>
          <w:vertAlign w:val="superscript"/>
        </w:rPr>
        <w:t>c</w:t>
      </w:r>
      <w:r w:rsidRPr="00371021">
        <w:t xml:space="preserve"> Prevalent patients who haven’t previously been tested for HDV (65.0%) × the proportion of prevalent patients expected to uptake testing in Year 3 (</w:t>
      </w:r>
      <w:r w:rsidR="001A4B8B" w:rsidRPr="001A4B8B">
        <w:rPr>
          <w:color w:val="000000"/>
          <w:spacing w:val="9"/>
          <w:shd w:val="solid" w:color="000000" w:fill="000000"/>
          <w:fitText w:val="281" w:id="-961838328"/>
          <w14:textFill>
            <w14:solidFill>
              <w14:srgbClr w14:val="000000">
                <w14:alpha w14:val="100000"/>
              </w14:srgbClr>
            </w14:solidFill>
          </w14:textFill>
        </w:rPr>
        <w:t>||  |</w:t>
      </w:r>
      <w:r w:rsidR="001A4B8B" w:rsidRPr="001A4B8B">
        <w:rPr>
          <w:color w:val="000000"/>
          <w:spacing w:val="1"/>
          <w:shd w:val="solid" w:color="000000" w:fill="000000"/>
          <w:fitText w:val="281" w:id="-961838328"/>
          <w14:textFill>
            <w14:solidFill>
              <w14:srgbClr w14:val="000000">
                <w14:alpha w14:val="100000"/>
              </w14:srgbClr>
            </w14:solidFill>
          </w14:textFill>
        </w:rPr>
        <w:t>|</w:t>
      </w:r>
      <w:r w:rsidRPr="00371021">
        <w:t>%)</w:t>
      </w:r>
    </w:p>
    <w:p w14:paraId="548DECAF" w14:textId="77777777" w:rsidR="00326F3D" w:rsidRPr="007E0B5A" w:rsidRDefault="00326F3D" w:rsidP="009807BB">
      <w:pPr>
        <w:pStyle w:val="TableFigureFooter"/>
        <w:rPr>
          <w:i/>
          <w:iCs/>
        </w:rPr>
      </w:pPr>
      <w:bookmarkStart w:id="79" w:name="_Hlk165359867"/>
      <w:r w:rsidRPr="007E0B5A">
        <w:rPr>
          <w:i/>
          <w:iCs/>
        </w:rPr>
        <w:t>The redacted values correspond to the following ranges:</w:t>
      </w:r>
    </w:p>
    <w:p w14:paraId="0AB2FE10" w14:textId="0B3B31A4" w:rsidR="00326F3D" w:rsidRPr="007E0B5A" w:rsidRDefault="00326F3D" w:rsidP="009807BB">
      <w:pPr>
        <w:pStyle w:val="TableFigureFooter"/>
        <w:rPr>
          <w:i/>
          <w:iCs/>
        </w:rPr>
      </w:pPr>
      <w:r w:rsidRPr="007E0B5A">
        <w:rPr>
          <w:i/>
          <w:iCs/>
          <w:vertAlign w:val="superscript"/>
        </w:rPr>
        <w:t>1</w:t>
      </w:r>
      <w:r w:rsidRPr="007E0B5A">
        <w:rPr>
          <w:i/>
          <w:iCs/>
        </w:rPr>
        <w:t xml:space="preserve"> 200,000 to &lt; 300,000</w:t>
      </w:r>
    </w:p>
    <w:p w14:paraId="579A5A9B" w14:textId="22D58B57" w:rsidR="00326F3D" w:rsidRPr="007E0B5A" w:rsidRDefault="00326F3D" w:rsidP="009807BB">
      <w:pPr>
        <w:pStyle w:val="TableFigureFooter"/>
        <w:rPr>
          <w:i/>
          <w:iCs/>
        </w:rPr>
      </w:pPr>
      <w:r w:rsidRPr="007E0B5A">
        <w:rPr>
          <w:i/>
          <w:iCs/>
          <w:vertAlign w:val="superscript"/>
        </w:rPr>
        <w:t xml:space="preserve">2 </w:t>
      </w:r>
      <w:r w:rsidRPr="007E0B5A">
        <w:rPr>
          <w:i/>
          <w:iCs/>
        </w:rPr>
        <w:t>100,000 to &lt; 200,000</w:t>
      </w:r>
    </w:p>
    <w:p w14:paraId="4ACCCEFF" w14:textId="798726B3" w:rsidR="00326F3D" w:rsidRPr="007E0B5A" w:rsidRDefault="00326F3D" w:rsidP="009807BB">
      <w:pPr>
        <w:pStyle w:val="TableFigureFooter"/>
        <w:rPr>
          <w:i/>
          <w:iCs/>
        </w:rPr>
      </w:pPr>
      <w:r w:rsidRPr="007E0B5A">
        <w:rPr>
          <w:i/>
          <w:iCs/>
          <w:vertAlign w:val="superscript"/>
        </w:rPr>
        <w:t>3</w:t>
      </w:r>
      <w:r w:rsidRPr="007E0B5A">
        <w:rPr>
          <w:i/>
          <w:iCs/>
        </w:rPr>
        <w:t xml:space="preserve"> 50,000 to &lt; 60,000</w:t>
      </w:r>
    </w:p>
    <w:p w14:paraId="2BE618C9" w14:textId="5617B32B" w:rsidR="00AC108D" w:rsidRPr="007E0B5A" w:rsidRDefault="00AC108D" w:rsidP="009807BB">
      <w:pPr>
        <w:pStyle w:val="TableFigureFooter"/>
        <w:rPr>
          <w:i/>
          <w:iCs/>
        </w:rPr>
      </w:pPr>
      <w:r w:rsidRPr="007E0B5A">
        <w:rPr>
          <w:i/>
          <w:iCs/>
          <w:vertAlign w:val="superscript"/>
        </w:rPr>
        <w:t>4</w:t>
      </w:r>
      <w:r w:rsidRPr="007E0B5A">
        <w:rPr>
          <w:i/>
          <w:iCs/>
        </w:rPr>
        <w:t xml:space="preserve"> 10,000 to &lt; 20,000</w:t>
      </w:r>
    </w:p>
    <w:p w14:paraId="5F990616" w14:textId="50FA85AF" w:rsidR="00AC108D" w:rsidRPr="007E0B5A" w:rsidRDefault="00AC108D" w:rsidP="009807BB">
      <w:pPr>
        <w:pStyle w:val="TableFigureFooter"/>
        <w:rPr>
          <w:i/>
          <w:iCs/>
        </w:rPr>
      </w:pPr>
      <w:r w:rsidRPr="007E0B5A">
        <w:rPr>
          <w:i/>
          <w:iCs/>
          <w:vertAlign w:val="superscript"/>
        </w:rPr>
        <w:t>5</w:t>
      </w:r>
      <w:r w:rsidRPr="007E0B5A">
        <w:rPr>
          <w:i/>
          <w:iCs/>
        </w:rPr>
        <w:t xml:space="preserve"> 5,000 to &lt; 10,000</w:t>
      </w:r>
    </w:p>
    <w:p w14:paraId="1B550A61" w14:textId="457398AE" w:rsidR="00326F3D" w:rsidRPr="007E0B5A" w:rsidRDefault="00AC108D" w:rsidP="009807BB">
      <w:pPr>
        <w:pStyle w:val="TableFigureFooter"/>
        <w:rPr>
          <w:i/>
          <w:iCs/>
        </w:rPr>
      </w:pPr>
      <w:r w:rsidRPr="007E0B5A">
        <w:rPr>
          <w:i/>
          <w:iCs/>
          <w:vertAlign w:val="superscript"/>
        </w:rPr>
        <w:t>6</w:t>
      </w:r>
      <w:r w:rsidR="00273B5F" w:rsidRPr="007E0B5A">
        <w:rPr>
          <w:i/>
          <w:iCs/>
          <w:vertAlign w:val="superscript"/>
        </w:rPr>
        <w:t xml:space="preserve"> </w:t>
      </w:r>
      <w:r w:rsidR="00326F3D" w:rsidRPr="007E0B5A">
        <w:rPr>
          <w:i/>
          <w:iCs/>
        </w:rPr>
        <w:t>&lt; 500</w:t>
      </w:r>
    </w:p>
    <w:p w14:paraId="7CBD3C0F" w14:textId="0D1E3FE5" w:rsidR="00326F3D" w:rsidRPr="00371021" w:rsidRDefault="00AC108D" w:rsidP="00AB14EE">
      <w:pPr>
        <w:pStyle w:val="TableFigureFooter"/>
        <w:spacing w:after="120"/>
      </w:pPr>
      <w:r w:rsidRPr="007E0B5A">
        <w:rPr>
          <w:i/>
          <w:iCs/>
          <w:vertAlign w:val="superscript"/>
        </w:rPr>
        <w:t>7</w:t>
      </w:r>
      <w:r w:rsidRPr="007E0B5A">
        <w:rPr>
          <w:i/>
          <w:iCs/>
        </w:rPr>
        <w:t xml:space="preserve"> </w:t>
      </w:r>
      <w:r w:rsidR="00326F3D" w:rsidRPr="007E0B5A">
        <w:rPr>
          <w:i/>
          <w:iCs/>
        </w:rPr>
        <w:t>500 to &lt; 5,000</w:t>
      </w:r>
      <w:bookmarkEnd w:id="79"/>
    </w:p>
    <w:p w14:paraId="2734B5A6" w14:textId="6B12B4B4" w:rsidR="00371021" w:rsidRPr="00371021" w:rsidRDefault="00371021" w:rsidP="00AB14EE">
      <w:pPr>
        <w:pStyle w:val="3-BodyText"/>
      </w:pPr>
      <w:r w:rsidRPr="00371021">
        <w:lastRenderedPageBreak/>
        <w:t>The total cost to the PBS/RPBS of listing bulevirtide was estimated to be $</w:t>
      </w:r>
      <w:r w:rsidR="00BB4EA8" w:rsidRPr="00BB4EA8">
        <w:t>10</w:t>
      </w:r>
      <w:r w:rsidR="009807BB">
        <w:t> </w:t>
      </w:r>
      <w:r w:rsidR="00BB4EA8" w:rsidRPr="00BB4EA8">
        <w:t>million</w:t>
      </w:r>
      <w:r w:rsidR="009807BB">
        <w:t> </w:t>
      </w:r>
      <w:r w:rsidR="00BB4EA8" w:rsidRPr="00BB4EA8">
        <w:t>to &lt; $20 million</w:t>
      </w:r>
      <w:r w:rsidR="00BB4EA8">
        <w:t xml:space="preserve"> </w:t>
      </w:r>
      <w:r w:rsidRPr="00371021">
        <w:t>in Year 6, and a total of $</w:t>
      </w:r>
      <w:r w:rsidR="00BB4EA8" w:rsidRPr="00BB4EA8">
        <w:t>80 million to &lt; $90 million</w:t>
      </w:r>
      <w:r w:rsidR="00BB4EA8">
        <w:t xml:space="preserve"> </w:t>
      </w:r>
      <w:r w:rsidRPr="00371021">
        <w:t>in the first 6 years of listing (</w:t>
      </w:r>
      <w:r w:rsidRPr="00371021">
        <w:fldChar w:fldCharType="begin" w:fldLock="1"/>
      </w:r>
      <w:r w:rsidRPr="00371021">
        <w:instrText xml:space="preserve"> REF _Ref152349195 \h  \* MERGEFORMAT </w:instrText>
      </w:r>
      <w:r w:rsidRPr="00371021">
        <w:fldChar w:fldCharType="separate"/>
      </w:r>
      <w:r w:rsidRPr="00371021">
        <w:t xml:space="preserve">Table </w:t>
      </w:r>
      <w:r w:rsidRPr="00371021">
        <w:rPr>
          <w:noProof/>
        </w:rPr>
        <w:t>18</w:t>
      </w:r>
      <w:r w:rsidRPr="00371021">
        <w:fldChar w:fldCharType="end"/>
      </w:r>
      <w:r w:rsidRPr="00371021">
        <w:t xml:space="preserve">). </w:t>
      </w:r>
    </w:p>
    <w:p w14:paraId="2C296E7B" w14:textId="6A392796" w:rsidR="00371021" w:rsidRPr="00371021" w:rsidDel="0015247C" w:rsidRDefault="00371021" w:rsidP="00CE1824">
      <w:pPr>
        <w:pStyle w:val="Caption"/>
      </w:pPr>
      <w:bookmarkStart w:id="80" w:name="_Ref152349195"/>
      <w:r w:rsidRPr="00371021">
        <w:t xml:space="preserve">Table </w:t>
      </w:r>
      <w:r w:rsidRPr="00371021">
        <w:fldChar w:fldCharType="begin" w:fldLock="1"/>
      </w:r>
      <w:r w:rsidRPr="00371021">
        <w:instrText>SEQ Table_PBAC. \* ARABIC</w:instrText>
      </w:r>
      <w:r w:rsidRPr="00371021">
        <w:fldChar w:fldCharType="separate"/>
      </w:r>
      <w:r w:rsidRPr="00371021">
        <w:rPr>
          <w:noProof/>
        </w:rPr>
        <w:t>18</w:t>
      </w:r>
      <w:r w:rsidRPr="00371021">
        <w:fldChar w:fldCharType="end"/>
      </w:r>
      <w:bookmarkEnd w:id="80"/>
      <w:r>
        <w:t xml:space="preserve">: </w:t>
      </w:r>
      <w:r w:rsidRPr="00371021" w:rsidDel="0015247C">
        <w:t xml:space="preserve">Estimated net cost of </w:t>
      </w:r>
      <w:r w:rsidRPr="00371021">
        <w:t>bulevirtide</w:t>
      </w:r>
      <w:r w:rsidRPr="00371021" w:rsidDel="0015247C">
        <w:t xml:space="preserve"> to the PBS</w:t>
      </w:r>
    </w:p>
    <w:tbl>
      <w:tblPr>
        <w:tblStyle w:val="ASDTable1"/>
        <w:tblW w:w="5000" w:type="pct"/>
        <w:tblLayout w:type="fixed"/>
        <w:tblLook w:val="04A0" w:firstRow="1" w:lastRow="0" w:firstColumn="1" w:lastColumn="0" w:noHBand="0" w:noVBand="1"/>
        <w:tblCaption w:val="Table 18: Estimated net cost of bulevirtide to the PBS"/>
      </w:tblPr>
      <w:tblGrid>
        <w:gridCol w:w="2120"/>
        <w:gridCol w:w="1148"/>
        <w:gridCol w:w="1149"/>
        <w:gridCol w:w="1149"/>
        <w:gridCol w:w="1149"/>
        <w:gridCol w:w="1149"/>
        <w:gridCol w:w="1152"/>
      </w:tblGrid>
      <w:tr w:rsidR="00371021" w:rsidRPr="00371021" w14:paraId="4CBF7D03" w14:textId="77777777" w:rsidTr="00603002">
        <w:trPr>
          <w:trHeight w:val="20"/>
        </w:trPr>
        <w:tc>
          <w:tcPr>
            <w:tcW w:w="1176" w:type="pct"/>
            <w:noWrap/>
            <w:hideMark/>
          </w:tcPr>
          <w:p w14:paraId="4C8041F8" w14:textId="77777777" w:rsidR="00371021" w:rsidRPr="00371021" w:rsidRDefault="00371021" w:rsidP="00603002">
            <w:pPr>
              <w:pStyle w:val="In-tableHeading"/>
              <w:rPr>
                <w:lang w:val="en-AU"/>
              </w:rPr>
            </w:pPr>
          </w:p>
        </w:tc>
        <w:tc>
          <w:tcPr>
            <w:tcW w:w="637" w:type="pct"/>
            <w:noWrap/>
            <w:hideMark/>
          </w:tcPr>
          <w:p w14:paraId="6F6FA666" w14:textId="77777777" w:rsidR="00371021" w:rsidRPr="00371021" w:rsidRDefault="00371021" w:rsidP="00603002">
            <w:pPr>
              <w:pStyle w:val="In-tableHeading"/>
              <w:jc w:val="center"/>
              <w:rPr>
                <w:lang w:val="en-AU"/>
              </w:rPr>
            </w:pPr>
            <w:r w:rsidRPr="00371021">
              <w:rPr>
                <w:lang w:val="en-AU"/>
              </w:rPr>
              <w:t>2024</w:t>
            </w:r>
          </w:p>
        </w:tc>
        <w:tc>
          <w:tcPr>
            <w:tcW w:w="637" w:type="pct"/>
            <w:noWrap/>
            <w:hideMark/>
          </w:tcPr>
          <w:p w14:paraId="294F990F" w14:textId="77777777" w:rsidR="00371021" w:rsidRPr="00371021" w:rsidRDefault="00371021" w:rsidP="00603002">
            <w:pPr>
              <w:pStyle w:val="In-tableHeading"/>
              <w:jc w:val="center"/>
              <w:rPr>
                <w:lang w:val="en-AU"/>
              </w:rPr>
            </w:pPr>
            <w:r w:rsidRPr="00371021">
              <w:rPr>
                <w:lang w:val="en-AU"/>
              </w:rPr>
              <w:t>2025</w:t>
            </w:r>
          </w:p>
        </w:tc>
        <w:tc>
          <w:tcPr>
            <w:tcW w:w="637" w:type="pct"/>
            <w:noWrap/>
            <w:hideMark/>
          </w:tcPr>
          <w:p w14:paraId="6DAF8D9E" w14:textId="77777777" w:rsidR="00371021" w:rsidRPr="00371021" w:rsidRDefault="00371021" w:rsidP="00603002">
            <w:pPr>
              <w:pStyle w:val="In-tableHeading"/>
              <w:jc w:val="center"/>
              <w:rPr>
                <w:lang w:val="en-AU"/>
              </w:rPr>
            </w:pPr>
            <w:r w:rsidRPr="00371021">
              <w:rPr>
                <w:lang w:val="en-AU"/>
              </w:rPr>
              <w:t>2026</w:t>
            </w:r>
          </w:p>
        </w:tc>
        <w:tc>
          <w:tcPr>
            <w:tcW w:w="637" w:type="pct"/>
            <w:noWrap/>
            <w:hideMark/>
          </w:tcPr>
          <w:p w14:paraId="02D8D6F2" w14:textId="77777777" w:rsidR="00371021" w:rsidRPr="00371021" w:rsidRDefault="00371021" w:rsidP="00603002">
            <w:pPr>
              <w:pStyle w:val="In-tableHeading"/>
              <w:jc w:val="center"/>
              <w:rPr>
                <w:lang w:val="en-AU"/>
              </w:rPr>
            </w:pPr>
            <w:r w:rsidRPr="00371021">
              <w:rPr>
                <w:lang w:val="en-AU"/>
              </w:rPr>
              <w:t>2027</w:t>
            </w:r>
          </w:p>
        </w:tc>
        <w:tc>
          <w:tcPr>
            <w:tcW w:w="637" w:type="pct"/>
            <w:noWrap/>
            <w:hideMark/>
          </w:tcPr>
          <w:p w14:paraId="53BAAECC" w14:textId="77777777" w:rsidR="00371021" w:rsidRPr="00371021" w:rsidRDefault="00371021" w:rsidP="00603002">
            <w:pPr>
              <w:pStyle w:val="In-tableHeading"/>
              <w:jc w:val="center"/>
              <w:rPr>
                <w:lang w:val="en-AU"/>
              </w:rPr>
            </w:pPr>
            <w:r w:rsidRPr="00371021">
              <w:rPr>
                <w:lang w:val="en-AU"/>
              </w:rPr>
              <w:t>2028</w:t>
            </w:r>
          </w:p>
        </w:tc>
        <w:tc>
          <w:tcPr>
            <w:tcW w:w="639" w:type="pct"/>
            <w:noWrap/>
            <w:hideMark/>
          </w:tcPr>
          <w:p w14:paraId="3BD09A62" w14:textId="77777777" w:rsidR="00371021" w:rsidRPr="00371021" w:rsidRDefault="00371021" w:rsidP="00603002">
            <w:pPr>
              <w:pStyle w:val="In-tableHeading"/>
              <w:jc w:val="center"/>
              <w:rPr>
                <w:lang w:val="en-AU"/>
              </w:rPr>
            </w:pPr>
            <w:r w:rsidRPr="00371021">
              <w:rPr>
                <w:lang w:val="en-AU"/>
              </w:rPr>
              <w:t>2029</w:t>
            </w:r>
          </w:p>
        </w:tc>
      </w:tr>
      <w:tr w:rsidR="00371021" w:rsidRPr="00371021" w14:paraId="5B86983E" w14:textId="77777777" w:rsidTr="00603002">
        <w:trPr>
          <w:trHeight w:val="20"/>
        </w:trPr>
        <w:tc>
          <w:tcPr>
            <w:tcW w:w="1176" w:type="pct"/>
            <w:noWrap/>
            <w:hideMark/>
          </w:tcPr>
          <w:p w14:paraId="692BCD01" w14:textId="4ACFF577" w:rsidR="00371021" w:rsidRPr="00371021" w:rsidRDefault="00371021" w:rsidP="00603002">
            <w:pPr>
              <w:pStyle w:val="TableText"/>
              <w:keepNext/>
            </w:pPr>
            <w:r w:rsidRPr="00371021">
              <w:t xml:space="preserve">No. eligible for bulevirtide (Row Y, </w:t>
            </w:r>
            <w:r w:rsidRPr="00371021">
              <w:fldChar w:fldCharType="begin" w:fldLock="1"/>
            </w:r>
            <w:r w:rsidRPr="00371021">
              <w:instrText xml:space="preserve"> REF _Ref152349185 \h  \* MERGEFORMAT </w:instrText>
            </w:r>
            <w:r w:rsidRPr="00371021">
              <w:fldChar w:fldCharType="separate"/>
            </w:r>
            <w:r w:rsidR="004D3F40" w:rsidRPr="00371021">
              <w:t>Table 17</w:t>
            </w:r>
            <w:r w:rsidRPr="00371021">
              <w:fldChar w:fldCharType="end"/>
            </w:r>
            <w:r w:rsidRPr="00371021">
              <w:t>)</w:t>
            </w:r>
          </w:p>
        </w:tc>
        <w:tc>
          <w:tcPr>
            <w:tcW w:w="637" w:type="pct"/>
            <w:noWrap/>
            <w:hideMark/>
          </w:tcPr>
          <w:p w14:paraId="5064954D" w14:textId="35A4522C"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7"/>
                <w14:textFill>
                  <w14:solidFill>
                    <w14:srgbClr w14:val="000000">
                      <w14:alpha w14:val="100000"/>
                    </w14:srgbClr>
                  </w14:solidFill>
                </w14:textFill>
              </w:rPr>
              <w:t xml:space="preserve">　</w:t>
            </w:r>
            <w:r w:rsidRPr="001A4B8B">
              <w:rPr>
                <w:color w:val="000000"/>
                <w:w w:val="25"/>
                <w:shd w:val="solid" w:color="000000" w:fill="000000"/>
                <w:fitText w:val="113" w:id="-961838327"/>
                <w14:textFill>
                  <w14:solidFill>
                    <w14:srgbClr w14:val="000000">
                      <w14:alpha w14:val="100000"/>
                    </w14:srgbClr>
                  </w14:solidFill>
                </w14:textFill>
              </w:rPr>
              <w:t>|</w:t>
            </w:r>
            <w:r w:rsidRPr="001A4B8B">
              <w:rPr>
                <w:rFonts w:hint="eastAsia"/>
                <w:color w:val="000000"/>
                <w:spacing w:val="2"/>
                <w:w w:val="25"/>
                <w:shd w:val="solid" w:color="000000" w:fill="000000"/>
                <w:fitText w:val="113" w:id="-961838327"/>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3DC08111" w14:textId="24132D71"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6"/>
                <w14:textFill>
                  <w14:solidFill>
                    <w14:srgbClr w14:val="000000">
                      <w14:alpha w14:val="100000"/>
                    </w14:srgbClr>
                  </w14:solidFill>
                </w14:textFill>
              </w:rPr>
              <w:t xml:space="preserve">　</w:t>
            </w:r>
            <w:r w:rsidRPr="001A4B8B">
              <w:rPr>
                <w:color w:val="000000"/>
                <w:w w:val="25"/>
                <w:shd w:val="solid" w:color="000000" w:fill="000000"/>
                <w:fitText w:val="113" w:id="-961838326"/>
                <w14:textFill>
                  <w14:solidFill>
                    <w14:srgbClr w14:val="000000">
                      <w14:alpha w14:val="100000"/>
                    </w14:srgbClr>
                  </w14:solidFill>
                </w14:textFill>
              </w:rPr>
              <w:t>|</w:t>
            </w:r>
            <w:r w:rsidRPr="001A4B8B">
              <w:rPr>
                <w:rFonts w:hint="eastAsia"/>
                <w:color w:val="000000"/>
                <w:spacing w:val="2"/>
                <w:w w:val="25"/>
                <w:shd w:val="solid" w:color="000000" w:fill="000000"/>
                <w:fitText w:val="113" w:id="-961838326"/>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1D2437B4" w14:textId="1F9AA606"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5"/>
                <w14:textFill>
                  <w14:solidFill>
                    <w14:srgbClr w14:val="000000">
                      <w14:alpha w14:val="100000"/>
                    </w14:srgbClr>
                  </w14:solidFill>
                </w14:textFill>
              </w:rPr>
              <w:t xml:space="preserve">　</w:t>
            </w:r>
            <w:r w:rsidRPr="001A4B8B">
              <w:rPr>
                <w:color w:val="000000"/>
                <w:w w:val="25"/>
                <w:shd w:val="solid" w:color="000000" w:fill="000000"/>
                <w:fitText w:val="113" w:id="-961838325"/>
                <w14:textFill>
                  <w14:solidFill>
                    <w14:srgbClr w14:val="000000">
                      <w14:alpha w14:val="100000"/>
                    </w14:srgbClr>
                  </w14:solidFill>
                </w14:textFill>
              </w:rPr>
              <w:t>|</w:t>
            </w:r>
            <w:r w:rsidRPr="001A4B8B">
              <w:rPr>
                <w:rFonts w:hint="eastAsia"/>
                <w:color w:val="000000"/>
                <w:spacing w:val="2"/>
                <w:w w:val="25"/>
                <w:shd w:val="solid" w:color="000000" w:fill="000000"/>
                <w:fitText w:val="113" w:id="-961838325"/>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1179B5A8" w14:textId="6CD59B1C"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4"/>
                <w14:textFill>
                  <w14:solidFill>
                    <w14:srgbClr w14:val="000000">
                      <w14:alpha w14:val="100000"/>
                    </w14:srgbClr>
                  </w14:solidFill>
                </w14:textFill>
              </w:rPr>
              <w:t xml:space="preserve">　</w:t>
            </w:r>
            <w:r w:rsidRPr="001A4B8B">
              <w:rPr>
                <w:color w:val="000000"/>
                <w:w w:val="25"/>
                <w:shd w:val="solid" w:color="000000" w:fill="000000"/>
                <w:fitText w:val="113" w:id="-961838324"/>
                <w14:textFill>
                  <w14:solidFill>
                    <w14:srgbClr w14:val="000000">
                      <w14:alpha w14:val="100000"/>
                    </w14:srgbClr>
                  </w14:solidFill>
                </w14:textFill>
              </w:rPr>
              <w:t>|</w:t>
            </w:r>
            <w:r w:rsidRPr="001A4B8B">
              <w:rPr>
                <w:rFonts w:hint="eastAsia"/>
                <w:color w:val="000000"/>
                <w:spacing w:val="2"/>
                <w:w w:val="25"/>
                <w:shd w:val="solid" w:color="000000" w:fill="000000"/>
                <w:fitText w:val="113" w:id="-961838324"/>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053AA987" w14:textId="1EF33A6F"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3"/>
                <w14:textFill>
                  <w14:solidFill>
                    <w14:srgbClr w14:val="000000">
                      <w14:alpha w14:val="100000"/>
                    </w14:srgbClr>
                  </w14:solidFill>
                </w14:textFill>
              </w:rPr>
              <w:t xml:space="preserve">　</w:t>
            </w:r>
            <w:r w:rsidRPr="001A4B8B">
              <w:rPr>
                <w:color w:val="000000"/>
                <w:w w:val="25"/>
                <w:shd w:val="solid" w:color="000000" w:fill="000000"/>
                <w:fitText w:val="113" w:id="-961838323"/>
                <w14:textFill>
                  <w14:solidFill>
                    <w14:srgbClr w14:val="000000">
                      <w14:alpha w14:val="100000"/>
                    </w14:srgbClr>
                  </w14:solidFill>
                </w14:textFill>
              </w:rPr>
              <w:t>|</w:t>
            </w:r>
            <w:r w:rsidRPr="001A4B8B">
              <w:rPr>
                <w:rFonts w:hint="eastAsia"/>
                <w:color w:val="000000"/>
                <w:spacing w:val="2"/>
                <w:w w:val="25"/>
                <w:shd w:val="solid" w:color="000000" w:fill="000000"/>
                <w:fitText w:val="113" w:id="-961838323"/>
                <w14:textFill>
                  <w14:solidFill>
                    <w14:srgbClr w14:val="000000">
                      <w14:alpha w14:val="100000"/>
                    </w14:srgbClr>
                  </w14:solidFill>
                </w14:textFill>
              </w:rPr>
              <w:t xml:space="preserve">　</w:t>
            </w:r>
            <w:r w:rsidR="00866B89" w:rsidRPr="00866B89">
              <w:rPr>
                <w:vertAlign w:val="superscript"/>
              </w:rPr>
              <w:t>1</w:t>
            </w:r>
          </w:p>
        </w:tc>
        <w:tc>
          <w:tcPr>
            <w:tcW w:w="639" w:type="pct"/>
            <w:noWrap/>
            <w:hideMark/>
          </w:tcPr>
          <w:p w14:paraId="36865C10" w14:textId="388FA194"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22"/>
                <w14:textFill>
                  <w14:solidFill>
                    <w14:srgbClr w14:val="000000">
                      <w14:alpha w14:val="100000"/>
                    </w14:srgbClr>
                  </w14:solidFill>
                </w14:textFill>
              </w:rPr>
              <w:t xml:space="preserve">　</w:t>
            </w:r>
            <w:r w:rsidRPr="001A4B8B">
              <w:rPr>
                <w:color w:val="000000"/>
                <w:w w:val="22"/>
                <w:shd w:val="solid" w:color="000000" w:fill="000000"/>
                <w:fitText w:val="100" w:id="-961838322"/>
                <w14:textFill>
                  <w14:solidFill>
                    <w14:srgbClr w14:val="000000">
                      <w14:alpha w14:val="100000"/>
                    </w14:srgbClr>
                  </w14:solidFill>
                </w14:textFill>
              </w:rPr>
              <w:t>|</w:t>
            </w:r>
            <w:r w:rsidRPr="001A4B8B">
              <w:rPr>
                <w:rFonts w:hint="eastAsia"/>
                <w:color w:val="000000"/>
                <w:spacing w:val="3"/>
                <w:w w:val="22"/>
                <w:shd w:val="solid" w:color="000000" w:fill="000000"/>
                <w:fitText w:val="100" w:id="-961838322"/>
                <w14:textFill>
                  <w14:solidFill>
                    <w14:srgbClr w14:val="000000">
                      <w14:alpha w14:val="100000"/>
                    </w14:srgbClr>
                  </w14:solidFill>
                </w14:textFill>
              </w:rPr>
              <w:t xml:space="preserve">　</w:t>
            </w:r>
            <w:r w:rsidR="00866B89" w:rsidRPr="00866B89">
              <w:rPr>
                <w:vertAlign w:val="superscript"/>
              </w:rPr>
              <w:t>1</w:t>
            </w:r>
          </w:p>
        </w:tc>
      </w:tr>
      <w:tr w:rsidR="00371021" w:rsidRPr="00371021" w14:paraId="5EA422D0" w14:textId="77777777" w:rsidTr="00603002">
        <w:trPr>
          <w:trHeight w:val="20"/>
        </w:trPr>
        <w:tc>
          <w:tcPr>
            <w:tcW w:w="1176" w:type="pct"/>
            <w:noWrap/>
            <w:hideMark/>
          </w:tcPr>
          <w:p w14:paraId="558B78D6" w14:textId="77777777" w:rsidR="00371021" w:rsidRPr="00371021" w:rsidRDefault="00371021" w:rsidP="00603002">
            <w:pPr>
              <w:pStyle w:val="TableText"/>
              <w:keepNext/>
            </w:pPr>
            <w:r w:rsidRPr="00371021">
              <w:t>Uptake of bulevirtide</w:t>
            </w:r>
          </w:p>
        </w:tc>
        <w:tc>
          <w:tcPr>
            <w:tcW w:w="637" w:type="pct"/>
            <w:noWrap/>
            <w:hideMark/>
          </w:tcPr>
          <w:p w14:paraId="62A77C50" w14:textId="15F44926" w:rsidR="00371021" w:rsidRPr="00371021" w:rsidRDefault="001A4B8B" w:rsidP="00304D78">
            <w:pPr>
              <w:pStyle w:val="TableText"/>
              <w:keepNext/>
              <w:jc w:val="center"/>
            </w:pPr>
            <w:r w:rsidRPr="001A4B8B">
              <w:rPr>
                <w:rFonts w:hint="eastAsia"/>
                <w:color w:val="000000"/>
                <w:w w:val="33"/>
                <w:shd w:val="solid" w:color="000000" w:fill="000000"/>
                <w:fitText w:val="150" w:id="-961838321"/>
                <w14:textFill>
                  <w14:solidFill>
                    <w14:srgbClr w14:val="000000">
                      <w14:alpha w14:val="100000"/>
                    </w14:srgbClr>
                  </w14:solidFill>
                </w14:textFill>
              </w:rPr>
              <w:t xml:space="preserve">　</w:t>
            </w:r>
            <w:r w:rsidRPr="001A4B8B">
              <w:rPr>
                <w:color w:val="000000"/>
                <w:w w:val="33"/>
                <w:shd w:val="solid" w:color="000000" w:fill="000000"/>
                <w:fitText w:val="150" w:id="-961838321"/>
                <w14:textFill>
                  <w14:solidFill>
                    <w14:srgbClr w14:val="000000">
                      <w14:alpha w14:val="100000"/>
                    </w14:srgbClr>
                  </w14:solidFill>
                </w14:textFill>
              </w:rPr>
              <w:t>|</w:t>
            </w:r>
            <w:r w:rsidRPr="001A4B8B">
              <w:rPr>
                <w:rFonts w:hint="eastAsia"/>
                <w:color w:val="000000"/>
                <w:spacing w:val="4"/>
                <w:w w:val="33"/>
                <w:shd w:val="solid" w:color="000000" w:fill="000000"/>
                <w:fitText w:val="150" w:id="-961838321"/>
                <w14:textFill>
                  <w14:solidFill>
                    <w14:srgbClr w14:val="000000">
                      <w14:alpha w14:val="100000"/>
                    </w14:srgbClr>
                  </w14:solidFill>
                </w14:textFill>
              </w:rPr>
              <w:t xml:space="preserve">　</w:t>
            </w:r>
            <w:r w:rsidR="00371021" w:rsidRPr="00371021">
              <w:t>%</w:t>
            </w:r>
          </w:p>
        </w:tc>
        <w:tc>
          <w:tcPr>
            <w:tcW w:w="637" w:type="pct"/>
            <w:noWrap/>
            <w:hideMark/>
          </w:tcPr>
          <w:p w14:paraId="4E58E958" w14:textId="71CA3C4E" w:rsidR="00371021" w:rsidRPr="00371021" w:rsidRDefault="001A4B8B" w:rsidP="00304D78">
            <w:pPr>
              <w:pStyle w:val="TableText"/>
              <w:keepNext/>
              <w:jc w:val="center"/>
            </w:pPr>
            <w:r w:rsidRPr="001A4B8B">
              <w:rPr>
                <w:color w:val="000000"/>
                <w:spacing w:val="64"/>
                <w:shd w:val="solid" w:color="000000" w:fill="000000"/>
                <w:fitText w:val="150" w:id="-961838320"/>
                <w14:textFill>
                  <w14:solidFill>
                    <w14:srgbClr w14:val="000000">
                      <w14:alpha w14:val="100000"/>
                    </w14:srgbClr>
                  </w14:solidFill>
                </w14:textFill>
              </w:rPr>
              <w:t>|</w:t>
            </w:r>
            <w:r w:rsidRPr="001A4B8B">
              <w:rPr>
                <w:color w:val="000000"/>
                <w:spacing w:val="1"/>
                <w:shd w:val="solid" w:color="000000" w:fill="000000"/>
                <w:fitText w:val="150" w:id="-961838320"/>
                <w14:textFill>
                  <w14:solidFill>
                    <w14:srgbClr w14:val="000000">
                      <w14:alpha w14:val="100000"/>
                    </w14:srgbClr>
                  </w14:solidFill>
                </w14:textFill>
              </w:rPr>
              <w:t>|</w:t>
            </w:r>
            <w:r w:rsidR="00371021" w:rsidRPr="00371021">
              <w:t>%</w:t>
            </w:r>
          </w:p>
        </w:tc>
        <w:tc>
          <w:tcPr>
            <w:tcW w:w="637" w:type="pct"/>
            <w:noWrap/>
            <w:hideMark/>
          </w:tcPr>
          <w:p w14:paraId="43FCBE78" w14:textId="2A6D987B" w:rsidR="00371021" w:rsidRPr="00371021" w:rsidRDefault="001A4B8B" w:rsidP="00304D78">
            <w:pPr>
              <w:pStyle w:val="TableText"/>
              <w:keepNext/>
              <w:jc w:val="center"/>
            </w:pPr>
            <w:r w:rsidRPr="001A4B8B">
              <w:rPr>
                <w:rFonts w:hint="eastAsia"/>
                <w:color w:val="000000"/>
                <w:w w:val="33"/>
                <w:shd w:val="solid" w:color="000000" w:fill="000000"/>
                <w:fitText w:val="150" w:id="-961838336"/>
                <w14:textFill>
                  <w14:solidFill>
                    <w14:srgbClr w14:val="000000">
                      <w14:alpha w14:val="100000"/>
                    </w14:srgbClr>
                  </w14:solidFill>
                </w14:textFill>
              </w:rPr>
              <w:t xml:space="preserve">　</w:t>
            </w:r>
            <w:r w:rsidRPr="001A4B8B">
              <w:rPr>
                <w:color w:val="000000"/>
                <w:w w:val="33"/>
                <w:shd w:val="solid" w:color="000000" w:fill="000000"/>
                <w:fitText w:val="150" w:id="-961838336"/>
                <w14:textFill>
                  <w14:solidFill>
                    <w14:srgbClr w14:val="000000">
                      <w14:alpha w14:val="100000"/>
                    </w14:srgbClr>
                  </w14:solidFill>
                </w14:textFill>
              </w:rPr>
              <w:t>|</w:t>
            </w:r>
            <w:r w:rsidRPr="001A4B8B">
              <w:rPr>
                <w:rFonts w:hint="eastAsia"/>
                <w:color w:val="000000"/>
                <w:spacing w:val="4"/>
                <w:w w:val="33"/>
                <w:shd w:val="solid" w:color="000000" w:fill="000000"/>
                <w:fitText w:val="150" w:id="-961838336"/>
                <w14:textFill>
                  <w14:solidFill>
                    <w14:srgbClr w14:val="000000">
                      <w14:alpha w14:val="100000"/>
                    </w14:srgbClr>
                  </w14:solidFill>
                </w14:textFill>
              </w:rPr>
              <w:t xml:space="preserve">　</w:t>
            </w:r>
            <w:r w:rsidR="00371021" w:rsidRPr="00371021">
              <w:t>%</w:t>
            </w:r>
          </w:p>
        </w:tc>
        <w:tc>
          <w:tcPr>
            <w:tcW w:w="637" w:type="pct"/>
            <w:noWrap/>
            <w:hideMark/>
          </w:tcPr>
          <w:p w14:paraId="5223D1D7" w14:textId="28F476CB" w:rsidR="00371021" w:rsidRPr="00371021" w:rsidRDefault="001A4B8B" w:rsidP="00304D78">
            <w:pPr>
              <w:pStyle w:val="TableText"/>
              <w:keepNext/>
              <w:jc w:val="center"/>
            </w:pPr>
            <w:r w:rsidRPr="001A4B8B">
              <w:rPr>
                <w:rFonts w:hint="eastAsia"/>
                <w:color w:val="000000"/>
                <w:w w:val="33"/>
                <w:shd w:val="solid" w:color="000000" w:fill="000000"/>
                <w:fitText w:val="150" w:id="-961838335"/>
                <w14:textFill>
                  <w14:solidFill>
                    <w14:srgbClr w14:val="000000">
                      <w14:alpha w14:val="100000"/>
                    </w14:srgbClr>
                  </w14:solidFill>
                </w14:textFill>
              </w:rPr>
              <w:t xml:space="preserve">　</w:t>
            </w:r>
            <w:r w:rsidRPr="001A4B8B">
              <w:rPr>
                <w:color w:val="000000"/>
                <w:w w:val="33"/>
                <w:shd w:val="solid" w:color="000000" w:fill="000000"/>
                <w:fitText w:val="150" w:id="-961838335"/>
                <w14:textFill>
                  <w14:solidFill>
                    <w14:srgbClr w14:val="000000">
                      <w14:alpha w14:val="100000"/>
                    </w14:srgbClr>
                  </w14:solidFill>
                </w14:textFill>
              </w:rPr>
              <w:t>|</w:t>
            </w:r>
            <w:r w:rsidRPr="001A4B8B">
              <w:rPr>
                <w:rFonts w:hint="eastAsia"/>
                <w:color w:val="000000"/>
                <w:spacing w:val="4"/>
                <w:w w:val="33"/>
                <w:shd w:val="solid" w:color="000000" w:fill="000000"/>
                <w:fitText w:val="150" w:id="-961838335"/>
                <w14:textFill>
                  <w14:solidFill>
                    <w14:srgbClr w14:val="000000">
                      <w14:alpha w14:val="100000"/>
                    </w14:srgbClr>
                  </w14:solidFill>
                </w14:textFill>
              </w:rPr>
              <w:t xml:space="preserve">　</w:t>
            </w:r>
            <w:r w:rsidR="00371021" w:rsidRPr="00371021">
              <w:t>%</w:t>
            </w:r>
          </w:p>
        </w:tc>
        <w:tc>
          <w:tcPr>
            <w:tcW w:w="637" w:type="pct"/>
            <w:noWrap/>
            <w:hideMark/>
          </w:tcPr>
          <w:p w14:paraId="4336138D" w14:textId="322200DE" w:rsidR="00371021" w:rsidRPr="00371021" w:rsidRDefault="001A4B8B" w:rsidP="00304D78">
            <w:pPr>
              <w:pStyle w:val="TableText"/>
              <w:keepNext/>
              <w:jc w:val="center"/>
            </w:pPr>
            <w:r w:rsidRPr="001A4B8B">
              <w:rPr>
                <w:color w:val="000000"/>
                <w:spacing w:val="65"/>
                <w:shd w:val="solid" w:color="000000" w:fill="000000"/>
                <w:fitText w:val="151" w:id="-961838334"/>
                <w14:textFill>
                  <w14:solidFill>
                    <w14:srgbClr w14:val="000000">
                      <w14:alpha w14:val="100000"/>
                    </w14:srgbClr>
                  </w14:solidFill>
                </w14:textFill>
              </w:rPr>
              <w:t>|</w:t>
            </w:r>
            <w:r w:rsidRPr="001A4B8B">
              <w:rPr>
                <w:color w:val="000000"/>
                <w:spacing w:val="1"/>
                <w:shd w:val="solid" w:color="000000" w:fill="000000"/>
                <w:fitText w:val="151" w:id="-961838334"/>
                <w14:textFill>
                  <w14:solidFill>
                    <w14:srgbClr w14:val="000000">
                      <w14:alpha w14:val="100000"/>
                    </w14:srgbClr>
                  </w14:solidFill>
                </w14:textFill>
              </w:rPr>
              <w:t>|</w:t>
            </w:r>
            <w:r w:rsidR="00371021" w:rsidRPr="00371021">
              <w:t>%</w:t>
            </w:r>
          </w:p>
        </w:tc>
        <w:tc>
          <w:tcPr>
            <w:tcW w:w="639" w:type="pct"/>
            <w:noWrap/>
            <w:hideMark/>
          </w:tcPr>
          <w:p w14:paraId="0C98D806" w14:textId="63BA7E9F" w:rsidR="00371021" w:rsidRPr="00371021" w:rsidRDefault="001A4B8B" w:rsidP="00304D78">
            <w:pPr>
              <w:pStyle w:val="TableText"/>
              <w:keepNext/>
              <w:jc w:val="center"/>
            </w:pPr>
            <w:r w:rsidRPr="001A4B8B">
              <w:rPr>
                <w:color w:val="000000"/>
                <w:spacing w:val="65"/>
                <w:shd w:val="solid" w:color="000000" w:fill="000000"/>
                <w:fitText w:val="151" w:id="-961838333"/>
                <w14:textFill>
                  <w14:solidFill>
                    <w14:srgbClr w14:val="000000">
                      <w14:alpha w14:val="100000"/>
                    </w14:srgbClr>
                  </w14:solidFill>
                </w14:textFill>
              </w:rPr>
              <w:t>|</w:t>
            </w:r>
            <w:r w:rsidRPr="001A4B8B">
              <w:rPr>
                <w:color w:val="000000"/>
                <w:spacing w:val="1"/>
                <w:shd w:val="solid" w:color="000000" w:fill="000000"/>
                <w:fitText w:val="151" w:id="-961838333"/>
                <w14:textFill>
                  <w14:solidFill>
                    <w14:srgbClr w14:val="000000">
                      <w14:alpha w14:val="100000"/>
                    </w14:srgbClr>
                  </w14:solidFill>
                </w14:textFill>
              </w:rPr>
              <w:t>|</w:t>
            </w:r>
            <w:r w:rsidR="00371021" w:rsidRPr="00371021">
              <w:t>%</w:t>
            </w:r>
          </w:p>
        </w:tc>
      </w:tr>
      <w:tr w:rsidR="00371021" w:rsidRPr="00371021" w14:paraId="28A12EC9" w14:textId="77777777" w:rsidTr="00603002">
        <w:trPr>
          <w:trHeight w:val="20"/>
        </w:trPr>
        <w:tc>
          <w:tcPr>
            <w:tcW w:w="1176" w:type="pct"/>
            <w:noWrap/>
            <w:hideMark/>
          </w:tcPr>
          <w:p w14:paraId="59D86E16" w14:textId="77777777" w:rsidR="00371021" w:rsidRPr="00371021" w:rsidRDefault="00371021" w:rsidP="00603002">
            <w:pPr>
              <w:pStyle w:val="TableText"/>
              <w:keepNext/>
            </w:pPr>
            <w:r w:rsidRPr="00371021">
              <w:t>No. patients initiating bulevirtide</w:t>
            </w:r>
          </w:p>
        </w:tc>
        <w:tc>
          <w:tcPr>
            <w:tcW w:w="637" w:type="pct"/>
            <w:noWrap/>
            <w:hideMark/>
          </w:tcPr>
          <w:p w14:paraId="5F042ABE" w14:textId="605B6857"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2"/>
                <w14:textFill>
                  <w14:solidFill>
                    <w14:srgbClr w14:val="000000">
                      <w14:alpha w14:val="100000"/>
                    </w14:srgbClr>
                  </w14:solidFill>
                </w14:textFill>
              </w:rPr>
              <w:t xml:space="preserve">　</w:t>
            </w:r>
            <w:r w:rsidRPr="001A4B8B">
              <w:rPr>
                <w:color w:val="000000"/>
                <w:w w:val="25"/>
                <w:shd w:val="solid" w:color="000000" w:fill="000000"/>
                <w:fitText w:val="113" w:id="-961838332"/>
                <w14:textFill>
                  <w14:solidFill>
                    <w14:srgbClr w14:val="000000">
                      <w14:alpha w14:val="100000"/>
                    </w14:srgbClr>
                  </w14:solidFill>
                </w14:textFill>
              </w:rPr>
              <w:t>|</w:t>
            </w:r>
            <w:r w:rsidRPr="001A4B8B">
              <w:rPr>
                <w:rFonts w:hint="eastAsia"/>
                <w:color w:val="000000"/>
                <w:spacing w:val="2"/>
                <w:w w:val="25"/>
                <w:shd w:val="solid" w:color="000000" w:fill="000000"/>
                <w:fitText w:val="113" w:id="-961838332"/>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3DE89251" w14:textId="5284F058"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1"/>
                <w14:textFill>
                  <w14:solidFill>
                    <w14:srgbClr w14:val="000000">
                      <w14:alpha w14:val="100000"/>
                    </w14:srgbClr>
                  </w14:solidFill>
                </w14:textFill>
              </w:rPr>
              <w:t xml:space="preserve">　</w:t>
            </w:r>
            <w:r w:rsidRPr="001A4B8B">
              <w:rPr>
                <w:color w:val="000000"/>
                <w:w w:val="25"/>
                <w:shd w:val="solid" w:color="000000" w:fill="000000"/>
                <w:fitText w:val="113" w:id="-961838331"/>
                <w14:textFill>
                  <w14:solidFill>
                    <w14:srgbClr w14:val="000000">
                      <w14:alpha w14:val="100000"/>
                    </w14:srgbClr>
                  </w14:solidFill>
                </w14:textFill>
              </w:rPr>
              <w:t>|</w:t>
            </w:r>
            <w:r w:rsidRPr="001A4B8B">
              <w:rPr>
                <w:rFonts w:hint="eastAsia"/>
                <w:color w:val="000000"/>
                <w:spacing w:val="2"/>
                <w:w w:val="25"/>
                <w:shd w:val="solid" w:color="000000" w:fill="000000"/>
                <w:fitText w:val="113" w:id="-961838331"/>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1E41F85B" w14:textId="5D56B0C9"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0"/>
                <w14:textFill>
                  <w14:solidFill>
                    <w14:srgbClr w14:val="000000">
                      <w14:alpha w14:val="100000"/>
                    </w14:srgbClr>
                  </w14:solidFill>
                </w14:textFill>
              </w:rPr>
              <w:t xml:space="preserve">　</w:t>
            </w:r>
            <w:r w:rsidRPr="001A4B8B">
              <w:rPr>
                <w:color w:val="000000"/>
                <w:w w:val="25"/>
                <w:shd w:val="solid" w:color="000000" w:fill="000000"/>
                <w:fitText w:val="113" w:id="-961838330"/>
                <w14:textFill>
                  <w14:solidFill>
                    <w14:srgbClr w14:val="000000">
                      <w14:alpha w14:val="100000"/>
                    </w14:srgbClr>
                  </w14:solidFill>
                </w14:textFill>
              </w:rPr>
              <w:t>|</w:t>
            </w:r>
            <w:r w:rsidRPr="001A4B8B">
              <w:rPr>
                <w:rFonts w:hint="eastAsia"/>
                <w:color w:val="000000"/>
                <w:spacing w:val="2"/>
                <w:w w:val="25"/>
                <w:shd w:val="solid" w:color="000000" w:fill="000000"/>
                <w:fitText w:val="113" w:id="-961838330"/>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63E1871C" w14:textId="1149B31B"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9"/>
                <w14:textFill>
                  <w14:solidFill>
                    <w14:srgbClr w14:val="000000">
                      <w14:alpha w14:val="100000"/>
                    </w14:srgbClr>
                  </w14:solidFill>
                </w14:textFill>
              </w:rPr>
              <w:t xml:space="preserve">　</w:t>
            </w:r>
            <w:r w:rsidRPr="001A4B8B">
              <w:rPr>
                <w:color w:val="000000"/>
                <w:w w:val="25"/>
                <w:shd w:val="solid" w:color="000000" w:fill="000000"/>
                <w:fitText w:val="113" w:id="-961838329"/>
                <w14:textFill>
                  <w14:solidFill>
                    <w14:srgbClr w14:val="000000">
                      <w14:alpha w14:val="100000"/>
                    </w14:srgbClr>
                  </w14:solidFill>
                </w14:textFill>
              </w:rPr>
              <w:t>|</w:t>
            </w:r>
            <w:r w:rsidRPr="001A4B8B">
              <w:rPr>
                <w:rFonts w:hint="eastAsia"/>
                <w:color w:val="000000"/>
                <w:spacing w:val="2"/>
                <w:w w:val="25"/>
                <w:shd w:val="solid" w:color="000000" w:fill="000000"/>
                <w:fitText w:val="113" w:id="-961838329"/>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5E092505" w14:textId="5DCAF2E3"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8"/>
                <w14:textFill>
                  <w14:solidFill>
                    <w14:srgbClr w14:val="000000">
                      <w14:alpha w14:val="100000"/>
                    </w14:srgbClr>
                  </w14:solidFill>
                </w14:textFill>
              </w:rPr>
              <w:t xml:space="preserve">　</w:t>
            </w:r>
            <w:r w:rsidRPr="001A4B8B">
              <w:rPr>
                <w:color w:val="000000"/>
                <w:w w:val="25"/>
                <w:shd w:val="solid" w:color="000000" w:fill="000000"/>
                <w:fitText w:val="113" w:id="-961838328"/>
                <w14:textFill>
                  <w14:solidFill>
                    <w14:srgbClr w14:val="000000">
                      <w14:alpha w14:val="100000"/>
                    </w14:srgbClr>
                  </w14:solidFill>
                </w14:textFill>
              </w:rPr>
              <w:t>|</w:t>
            </w:r>
            <w:r w:rsidRPr="001A4B8B">
              <w:rPr>
                <w:rFonts w:hint="eastAsia"/>
                <w:color w:val="000000"/>
                <w:spacing w:val="2"/>
                <w:w w:val="25"/>
                <w:shd w:val="solid" w:color="000000" w:fill="000000"/>
                <w:fitText w:val="113" w:id="-961838328"/>
                <w14:textFill>
                  <w14:solidFill>
                    <w14:srgbClr w14:val="000000">
                      <w14:alpha w14:val="100000"/>
                    </w14:srgbClr>
                  </w14:solidFill>
                </w14:textFill>
              </w:rPr>
              <w:t xml:space="preserve">　</w:t>
            </w:r>
            <w:r w:rsidR="00866B89" w:rsidRPr="00866B89">
              <w:rPr>
                <w:vertAlign w:val="superscript"/>
              </w:rPr>
              <w:t>1</w:t>
            </w:r>
          </w:p>
        </w:tc>
        <w:tc>
          <w:tcPr>
            <w:tcW w:w="639" w:type="pct"/>
            <w:noWrap/>
            <w:hideMark/>
          </w:tcPr>
          <w:p w14:paraId="1FDE2794" w14:textId="7A28FDC9"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27"/>
                <w14:textFill>
                  <w14:solidFill>
                    <w14:srgbClr w14:val="000000">
                      <w14:alpha w14:val="100000"/>
                    </w14:srgbClr>
                  </w14:solidFill>
                </w14:textFill>
              </w:rPr>
              <w:t xml:space="preserve">　</w:t>
            </w:r>
            <w:r w:rsidRPr="001A4B8B">
              <w:rPr>
                <w:color w:val="000000"/>
                <w:w w:val="22"/>
                <w:shd w:val="solid" w:color="000000" w:fill="000000"/>
                <w:fitText w:val="100" w:id="-961838327"/>
                <w14:textFill>
                  <w14:solidFill>
                    <w14:srgbClr w14:val="000000">
                      <w14:alpha w14:val="100000"/>
                    </w14:srgbClr>
                  </w14:solidFill>
                </w14:textFill>
              </w:rPr>
              <w:t>|</w:t>
            </w:r>
            <w:r w:rsidRPr="001A4B8B">
              <w:rPr>
                <w:rFonts w:hint="eastAsia"/>
                <w:color w:val="000000"/>
                <w:spacing w:val="3"/>
                <w:w w:val="22"/>
                <w:shd w:val="solid" w:color="000000" w:fill="000000"/>
                <w:fitText w:val="100" w:id="-961838327"/>
                <w14:textFill>
                  <w14:solidFill>
                    <w14:srgbClr w14:val="000000">
                      <w14:alpha w14:val="100000"/>
                    </w14:srgbClr>
                  </w14:solidFill>
                </w14:textFill>
              </w:rPr>
              <w:t xml:space="preserve">　</w:t>
            </w:r>
            <w:r w:rsidR="00866B89" w:rsidRPr="00866B89">
              <w:rPr>
                <w:vertAlign w:val="superscript"/>
              </w:rPr>
              <w:t>1</w:t>
            </w:r>
          </w:p>
        </w:tc>
      </w:tr>
      <w:tr w:rsidR="00371021" w:rsidRPr="00371021" w14:paraId="0F5F9F27" w14:textId="77777777" w:rsidTr="00603002">
        <w:trPr>
          <w:trHeight w:val="20"/>
        </w:trPr>
        <w:tc>
          <w:tcPr>
            <w:tcW w:w="5000" w:type="pct"/>
            <w:gridSpan w:val="7"/>
            <w:tcBorders>
              <w:bottom w:val="single" w:sz="4" w:space="0" w:color="auto"/>
            </w:tcBorders>
            <w:noWrap/>
          </w:tcPr>
          <w:p w14:paraId="4A8C9C93" w14:textId="77777777" w:rsidR="00371021" w:rsidRPr="00371021" w:rsidRDefault="00371021" w:rsidP="00603002">
            <w:pPr>
              <w:pStyle w:val="TableText"/>
              <w:keepNext/>
            </w:pPr>
            <w:r w:rsidRPr="00371021">
              <w:t>Patient-years on treatment, by year of treatment:</w:t>
            </w:r>
          </w:p>
        </w:tc>
      </w:tr>
      <w:tr w:rsidR="00371021" w:rsidRPr="00371021" w14:paraId="1A384978" w14:textId="77777777" w:rsidTr="00603002">
        <w:trPr>
          <w:trHeight w:val="20"/>
        </w:trPr>
        <w:tc>
          <w:tcPr>
            <w:tcW w:w="1176" w:type="pct"/>
            <w:tcBorders>
              <w:bottom w:val="nil"/>
            </w:tcBorders>
            <w:noWrap/>
            <w:hideMark/>
          </w:tcPr>
          <w:p w14:paraId="62695649" w14:textId="77777777" w:rsidR="00371021" w:rsidRPr="00371021" w:rsidRDefault="00371021" w:rsidP="00603002">
            <w:pPr>
              <w:pStyle w:val="TableText"/>
              <w:keepNext/>
              <w:ind w:left="164"/>
            </w:pPr>
            <w:r w:rsidRPr="00371021">
              <w:t>First year (93.8%)</w:t>
            </w:r>
          </w:p>
        </w:tc>
        <w:tc>
          <w:tcPr>
            <w:tcW w:w="637" w:type="pct"/>
            <w:tcBorders>
              <w:bottom w:val="nil"/>
            </w:tcBorders>
            <w:noWrap/>
            <w:hideMark/>
          </w:tcPr>
          <w:p w14:paraId="7E20146B" w14:textId="61C0CA4E" w:rsidR="00371021" w:rsidRPr="00371021" w:rsidRDefault="001A4B8B" w:rsidP="00866B89">
            <w:pPr>
              <w:pStyle w:val="TableText"/>
              <w:keepNext/>
              <w:jc w:val="center"/>
            </w:pPr>
            <w:r w:rsidRPr="001A4B8B">
              <w:rPr>
                <w:rFonts w:hint="eastAsia"/>
                <w:color w:val="000000"/>
                <w:w w:val="25"/>
                <w:shd w:val="solid" w:color="000000" w:fill="000000"/>
                <w:fitText w:val="113" w:id="-961838326"/>
                <w14:textFill>
                  <w14:solidFill>
                    <w14:srgbClr w14:val="000000">
                      <w14:alpha w14:val="100000"/>
                    </w14:srgbClr>
                  </w14:solidFill>
                </w14:textFill>
              </w:rPr>
              <w:t xml:space="preserve">　</w:t>
            </w:r>
            <w:r w:rsidRPr="001A4B8B">
              <w:rPr>
                <w:color w:val="000000"/>
                <w:w w:val="25"/>
                <w:shd w:val="solid" w:color="000000" w:fill="000000"/>
                <w:fitText w:val="113" w:id="-961838326"/>
                <w14:textFill>
                  <w14:solidFill>
                    <w14:srgbClr w14:val="000000">
                      <w14:alpha w14:val="100000"/>
                    </w14:srgbClr>
                  </w14:solidFill>
                </w14:textFill>
              </w:rPr>
              <w:t>|</w:t>
            </w:r>
            <w:r w:rsidRPr="001A4B8B">
              <w:rPr>
                <w:rFonts w:hint="eastAsia"/>
                <w:color w:val="000000"/>
                <w:spacing w:val="2"/>
                <w:w w:val="25"/>
                <w:shd w:val="solid" w:color="000000" w:fill="000000"/>
                <w:fitText w:val="113" w:id="-961838326"/>
                <w14:textFill>
                  <w14:solidFill>
                    <w14:srgbClr w14:val="000000">
                      <w14:alpha w14:val="100000"/>
                    </w14:srgbClr>
                  </w14:solidFill>
                </w14:textFill>
              </w:rPr>
              <w:t xml:space="preserve">　</w:t>
            </w:r>
            <w:r w:rsidR="00866B89" w:rsidRPr="00866B89">
              <w:rPr>
                <w:vertAlign w:val="superscript"/>
              </w:rPr>
              <w:t>1</w:t>
            </w:r>
          </w:p>
        </w:tc>
        <w:tc>
          <w:tcPr>
            <w:tcW w:w="637" w:type="pct"/>
            <w:tcBorders>
              <w:bottom w:val="nil"/>
            </w:tcBorders>
            <w:noWrap/>
            <w:hideMark/>
          </w:tcPr>
          <w:p w14:paraId="2FBC4E46" w14:textId="440345D7"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5"/>
                <w14:textFill>
                  <w14:solidFill>
                    <w14:srgbClr w14:val="000000">
                      <w14:alpha w14:val="100000"/>
                    </w14:srgbClr>
                  </w14:solidFill>
                </w14:textFill>
              </w:rPr>
              <w:t xml:space="preserve">　</w:t>
            </w:r>
            <w:r w:rsidRPr="001A4B8B">
              <w:rPr>
                <w:color w:val="000000"/>
                <w:w w:val="25"/>
                <w:shd w:val="solid" w:color="000000" w:fill="000000"/>
                <w:fitText w:val="113" w:id="-961838325"/>
                <w14:textFill>
                  <w14:solidFill>
                    <w14:srgbClr w14:val="000000">
                      <w14:alpha w14:val="100000"/>
                    </w14:srgbClr>
                  </w14:solidFill>
                </w14:textFill>
              </w:rPr>
              <w:t>|</w:t>
            </w:r>
            <w:r w:rsidRPr="001A4B8B">
              <w:rPr>
                <w:rFonts w:hint="eastAsia"/>
                <w:color w:val="000000"/>
                <w:spacing w:val="2"/>
                <w:w w:val="25"/>
                <w:shd w:val="solid" w:color="000000" w:fill="000000"/>
                <w:fitText w:val="113" w:id="-961838325"/>
                <w14:textFill>
                  <w14:solidFill>
                    <w14:srgbClr w14:val="000000">
                      <w14:alpha w14:val="100000"/>
                    </w14:srgbClr>
                  </w14:solidFill>
                </w14:textFill>
              </w:rPr>
              <w:t xml:space="preserve">　</w:t>
            </w:r>
            <w:r w:rsidR="00866B89" w:rsidRPr="00866B89">
              <w:rPr>
                <w:vertAlign w:val="superscript"/>
              </w:rPr>
              <w:t>1</w:t>
            </w:r>
          </w:p>
        </w:tc>
        <w:tc>
          <w:tcPr>
            <w:tcW w:w="637" w:type="pct"/>
            <w:tcBorders>
              <w:bottom w:val="nil"/>
            </w:tcBorders>
            <w:noWrap/>
            <w:hideMark/>
          </w:tcPr>
          <w:p w14:paraId="6613A194" w14:textId="01A0F0C9"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4"/>
                <w14:textFill>
                  <w14:solidFill>
                    <w14:srgbClr w14:val="000000">
                      <w14:alpha w14:val="100000"/>
                    </w14:srgbClr>
                  </w14:solidFill>
                </w14:textFill>
              </w:rPr>
              <w:t xml:space="preserve">　</w:t>
            </w:r>
            <w:r w:rsidRPr="001A4B8B">
              <w:rPr>
                <w:color w:val="000000"/>
                <w:w w:val="25"/>
                <w:shd w:val="solid" w:color="000000" w:fill="000000"/>
                <w:fitText w:val="113" w:id="-961838324"/>
                <w14:textFill>
                  <w14:solidFill>
                    <w14:srgbClr w14:val="000000">
                      <w14:alpha w14:val="100000"/>
                    </w14:srgbClr>
                  </w14:solidFill>
                </w14:textFill>
              </w:rPr>
              <w:t>|</w:t>
            </w:r>
            <w:r w:rsidRPr="001A4B8B">
              <w:rPr>
                <w:rFonts w:hint="eastAsia"/>
                <w:color w:val="000000"/>
                <w:spacing w:val="2"/>
                <w:w w:val="25"/>
                <w:shd w:val="solid" w:color="000000" w:fill="000000"/>
                <w:fitText w:val="113" w:id="-961838324"/>
                <w14:textFill>
                  <w14:solidFill>
                    <w14:srgbClr w14:val="000000">
                      <w14:alpha w14:val="100000"/>
                    </w14:srgbClr>
                  </w14:solidFill>
                </w14:textFill>
              </w:rPr>
              <w:t xml:space="preserve">　</w:t>
            </w:r>
            <w:r w:rsidR="00866B89" w:rsidRPr="00866B89">
              <w:rPr>
                <w:vertAlign w:val="superscript"/>
              </w:rPr>
              <w:t>1</w:t>
            </w:r>
          </w:p>
        </w:tc>
        <w:tc>
          <w:tcPr>
            <w:tcW w:w="637" w:type="pct"/>
            <w:tcBorders>
              <w:bottom w:val="nil"/>
            </w:tcBorders>
            <w:noWrap/>
            <w:hideMark/>
          </w:tcPr>
          <w:p w14:paraId="1A2A95EA" w14:textId="446364D9"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3"/>
                <w14:textFill>
                  <w14:solidFill>
                    <w14:srgbClr w14:val="000000">
                      <w14:alpha w14:val="100000"/>
                    </w14:srgbClr>
                  </w14:solidFill>
                </w14:textFill>
              </w:rPr>
              <w:t xml:space="preserve">　</w:t>
            </w:r>
            <w:r w:rsidRPr="001A4B8B">
              <w:rPr>
                <w:color w:val="000000"/>
                <w:w w:val="25"/>
                <w:shd w:val="solid" w:color="000000" w:fill="000000"/>
                <w:fitText w:val="113" w:id="-961838323"/>
                <w14:textFill>
                  <w14:solidFill>
                    <w14:srgbClr w14:val="000000">
                      <w14:alpha w14:val="100000"/>
                    </w14:srgbClr>
                  </w14:solidFill>
                </w14:textFill>
              </w:rPr>
              <w:t>|</w:t>
            </w:r>
            <w:r w:rsidRPr="001A4B8B">
              <w:rPr>
                <w:rFonts w:hint="eastAsia"/>
                <w:color w:val="000000"/>
                <w:spacing w:val="2"/>
                <w:w w:val="25"/>
                <w:shd w:val="solid" w:color="000000" w:fill="000000"/>
                <w:fitText w:val="113" w:id="-961838323"/>
                <w14:textFill>
                  <w14:solidFill>
                    <w14:srgbClr w14:val="000000">
                      <w14:alpha w14:val="100000"/>
                    </w14:srgbClr>
                  </w14:solidFill>
                </w14:textFill>
              </w:rPr>
              <w:t xml:space="preserve">　</w:t>
            </w:r>
            <w:r w:rsidR="00866B89" w:rsidRPr="00866B89">
              <w:rPr>
                <w:vertAlign w:val="superscript"/>
              </w:rPr>
              <w:t>1</w:t>
            </w:r>
          </w:p>
        </w:tc>
        <w:tc>
          <w:tcPr>
            <w:tcW w:w="637" w:type="pct"/>
            <w:tcBorders>
              <w:bottom w:val="nil"/>
            </w:tcBorders>
            <w:noWrap/>
            <w:hideMark/>
          </w:tcPr>
          <w:p w14:paraId="6EC6021B" w14:textId="27B475DE"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2"/>
                <w14:textFill>
                  <w14:solidFill>
                    <w14:srgbClr w14:val="000000">
                      <w14:alpha w14:val="100000"/>
                    </w14:srgbClr>
                  </w14:solidFill>
                </w14:textFill>
              </w:rPr>
              <w:t xml:space="preserve">　</w:t>
            </w:r>
            <w:r w:rsidRPr="001A4B8B">
              <w:rPr>
                <w:color w:val="000000"/>
                <w:w w:val="25"/>
                <w:shd w:val="solid" w:color="000000" w:fill="000000"/>
                <w:fitText w:val="113" w:id="-961838322"/>
                <w14:textFill>
                  <w14:solidFill>
                    <w14:srgbClr w14:val="000000">
                      <w14:alpha w14:val="100000"/>
                    </w14:srgbClr>
                  </w14:solidFill>
                </w14:textFill>
              </w:rPr>
              <w:t>|</w:t>
            </w:r>
            <w:r w:rsidRPr="001A4B8B">
              <w:rPr>
                <w:rFonts w:hint="eastAsia"/>
                <w:color w:val="000000"/>
                <w:spacing w:val="2"/>
                <w:w w:val="25"/>
                <w:shd w:val="solid" w:color="000000" w:fill="000000"/>
                <w:fitText w:val="113" w:id="-961838322"/>
                <w14:textFill>
                  <w14:solidFill>
                    <w14:srgbClr w14:val="000000">
                      <w14:alpha w14:val="100000"/>
                    </w14:srgbClr>
                  </w14:solidFill>
                </w14:textFill>
              </w:rPr>
              <w:t xml:space="preserve">　</w:t>
            </w:r>
            <w:r w:rsidR="00866B89" w:rsidRPr="00866B89">
              <w:rPr>
                <w:vertAlign w:val="superscript"/>
              </w:rPr>
              <w:t>1</w:t>
            </w:r>
          </w:p>
        </w:tc>
        <w:tc>
          <w:tcPr>
            <w:tcW w:w="639" w:type="pct"/>
            <w:tcBorders>
              <w:bottom w:val="nil"/>
            </w:tcBorders>
            <w:noWrap/>
            <w:hideMark/>
          </w:tcPr>
          <w:p w14:paraId="3D4BA651" w14:textId="105287C0"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21"/>
                <w14:textFill>
                  <w14:solidFill>
                    <w14:srgbClr w14:val="000000">
                      <w14:alpha w14:val="100000"/>
                    </w14:srgbClr>
                  </w14:solidFill>
                </w14:textFill>
              </w:rPr>
              <w:t xml:space="preserve">　</w:t>
            </w:r>
            <w:r w:rsidRPr="001A4B8B">
              <w:rPr>
                <w:color w:val="000000"/>
                <w:w w:val="22"/>
                <w:shd w:val="solid" w:color="000000" w:fill="000000"/>
                <w:fitText w:val="100" w:id="-961838321"/>
                <w14:textFill>
                  <w14:solidFill>
                    <w14:srgbClr w14:val="000000">
                      <w14:alpha w14:val="100000"/>
                    </w14:srgbClr>
                  </w14:solidFill>
                </w14:textFill>
              </w:rPr>
              <w:t>|</w:t>
            </w:r>
            <w:r w:rsidRPr="001A4B8B">
              <w:rPr>
                <w:rFonts w:hint="eastAsia"/>
                <w:color w:val="000000"/>
                <w:spacing w:val="3"/>
                <w:w w:val="22"/>
                <w:shd w:val="solid" w:color="000000" w:fill="000000"/>
                <w:fitText w:val="100" w:id="-961838321"/>
                <w14:textFill>
                  <w14:solidFill>
                    <w14:srgbClr w14:val="000000">
                      <w14:alpha w14:val="100000"/>
                    </w14:srgbClr>
                  </w14:solidFill>
                </w14:textFill>
              </w:rPr>
              <w:t xml:space="preserve">　</w:t>
            </w:r>
            <w:r w:rsidR="00866B89" w:rsidRPr="00866B89">
              <w:rPr>
                <w:vertAlign w:val="superscript"/>
              </w:rPr>
              <w:t>1</w:t>
            </w:r>
          </w:p>
        </w:tc>
      </w:tr>
      <w:tr w:rsidR="00371021" w:rsidRPr="00371021" w14:paraId="3F8E9BD7" w14:textId="77777777" w:rsidTr="00603002">
        <w:trPr>
          <w:trHeight w:val="20"/>
        </w:trPr>
        <w:tc>
          <w:tcPr>
            <w:tcW w:w="1176" w:type="pct"/>
            <w:tcBorders>
              <w:top w:val="nil"/>
              <w:bottom w:val="nil"/>
            </w:tcBorders>
            <w:noWrap/>
            <w:hideMark/>
          </w:tcPr>
          <w:p w14:paraId="7C67447A" w14:textId="77777777" w:rsidR="00371021" w:rsidRPr="00371021" w:rsidRDefault="00371021" w:rsidP="00603002">
            <w:pPr>
              <w:pStyle w:val="TableText"/>
              <w:keepNext/>
              <w:ind w:left="164"/>
            </w:pPr>
            <w:r w:rsidRPr="00371021">
              <w:t>Second year (83.0%)</w:t>
            </w:r>
          </w:p>
        </w:tc>
        <w:tc>
          <w:tcPr>
            <w:tcW w:w="637" w:type="pct"/>
            <w:tcBorders>
              <w:top w:val="nil"/>
              <w:bottom w:val="nil"/>
            </w:tcBorders>
            <w:noWrap/>
            <w:hideMark/>
          </w:tcPr>
          <w:p w14:paraId="20BAEBE4" w14:textId="77777777" w:rsidR="00371021" w:rsidRPr="00371021" w:rsidRDefault="00371021" w:rsidP="00866B89">
            <w:pPr>
              <w:pStyle w:val="TableText"/>
              <w:keepNext/>
              <w:jc w:val="center"/>
            </w:pPr>
          </w:p>
        </w:tc>
        <w:tc>
          <w:tcPr>
            <w:tcW w:w="637" w:type="pct"/>
            <w:tcBorders>
              <w:top w:val="nil"/>
              <w:bottom w:val="nil"/>
            </w:tcBorders>
            <w:noWrap/>
            <w:hideMark/>
          </w:tcPr>
          <w:p w14:paraId="3DF84F23" w14:textId="1F94B4DD"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0"/>
                <w14:textFill>
                  <w14:solidFill>
                    <w14:srgbClr w14:val="000000">
                      <w14:alpha w14:val="100000"/>
                    </w14:srgbClr>
                  </w14:solidFill>
                </w14:textFill>
              </w:rPr>
              <w:t xml:space="preserve">　</w:t>
            </w:r>
            <w:r w:rsidRPr="001A4B8B">
              <w:rPr>
                <w:color w:val="000000"/>
                <w:w w:val="25"/>
                <w:shd w:val="solid" w:color="000000" w:fill="000000"/>
                <w:fitText w:val="113" w:id="-961838320"/>
                <w14:textFill>
                  <w14:solidFill>
                    <w14:srgbClr w14:val="000000">
                      <w14:alpha w14:val="100000"/>
                    </w14:srgbClr>
                  </w14:solidFill>
                </w14:textFill>
              </w:rPr>
              <w:t>|</w:t>
            </w:r>
            <w:r w:rsidRPr="001A4B8B">
              <w:rPr>
                <w:rFonts w:hint="eastAsia"/>
                <w:color w:val="000000"/>
                <w:spacing w:val="2"/>
                <w:w w:val="25"/>
                <w:shd w:val="solid" w:color="000000" w:fill="000000"/>
                <w:fitText w:val="113" w:id="-961838320"/>
                <w14:textFill>
                  <w14:solidFill>
                    <w14:srgbClr w14:val="000000">
                      <w14:alpha w14:val="100000"/>
                    </w14:srgbClr>
                  </w14:solidFill>
                </w14:textFill>
              </w:rPr>
              <w:t xml:space="preserve">　</w:t>
            </w:r>
            <w:r w:rsidR="00866B89" w:rsidRPr="00866B89">
              <w:rPr>
                <w:vertAlign w:val="superscript"/>
              </w:rPr>
              <w:t>1</w:t>
            </w:r>
          </w:p>
        </w:tc>
        <w:tc>
          <w:tcPr>
            <w:tcW w:w="637" w:type="pct"/>
            <w:tcBorders>
              <w:top w:val="nil"/>
              <w:bottom w:val="nil"/>
            </w:tcBorders>
            <w:noWrap/>
            <w:hideMark/>
          </w:tcPr>
          <w:p w14:paraId="7A00CC3A" w14:textId="55B14F1A"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6"/>
                <w14:textFill>
                  <w14:solidFill>
                    <w14:srgbClr w14:val="000000">
                      <w14:alpha w14:val="100000"/>
                    </w14:srgbClr>
                  </w14:solidFill>
                </w14:textFill>
              </w:rPr>
              <w:t xml:space="preserve">　</w:t>
            </w:r>
            <w:r w:rsidRPr="001A4B8B">
              <w:rPr>
                <w:color w:val="000000"/>
                <w:w w:val="25"/>
                <w:shd w:val="solid" w:color="000000" w:fill="000000"/>
                <w:fitText w:val="113" w:id="-961838336"/>
                <w14:textFill>
                  <w14:solidFill>
                    <w14:srgbClr w14:val="000000">
                      <w14:alpha w14:val="100000"/>
                    </w14:srgbClr>
                  </w14:solidFill>
                </w14:textFill>
              </w:rPr>
              <w:t>|</w:t>
            </w:r>
            <w:r w:rsidRPr="001A4B8B">
              <w:rPr>
                <w:rFonts w:hint="eastAsia"/>
                <w:color w:val="000000"/>
                <w:spacing w:val="2"/>
                <w:w w:val="25"/>
                <w:shd w:val="solid" w:color="000000" w:fill="000000"/>
                <w:fitText w:val="113" w:id="-961838336"/>
                <w14:textFill>
                  <w14:solidFill>
                    <w14:srgbClr w14:val="000000">
                      <w14:alpha w14:val="100000"/>
                    </w14:srgbClr>
                  </w14:solidFill>
                </w14:textFill>
              </w:rPr>
              <w:t xml:space="preserve">　</w:t>
            </w:r>
            <w:r w:rsidR="00866B89" w:rsidRPr="00866B89">
              <w:rPr>
                <w:vertAlign w:val="superscript"/>
              </w:rPr>
              <w:t>1</w:t>
            </w:r>
          </w:p>
        </w:tc>
        <w:tc>
          <w:tcPr>
            <w:tcW w:w="637" w:type="pct"/>
            <w:tcBorders>
              <w:top w:val="nil"/>
              <w:bottom w:val="nil"/>
            </w:tcBorders>
            <w:noWrap/>
            <w:hideMark/>
          </w:tcPr>
          <w:p w14:paraId="0BA7B719" w14:textId="47C2BAEB"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5"/>
                <w14:textFill>
                  <w14:solidFill>
                    <w14:srgbClr w14:val="000000">
                      <w14:alpha w14:val="100000"/>
                    </w14:srgbClr>
                  </w14:solidFill>
                </w14:textFill>
              </w:rPr>
              <w:t xml:space="preserve">　</w:t>
            </w:r>
            <w:r w:rsidRPr="001A4B8B">
              <w:rPr>
                <w:color w:val="000000"/>
                <w:w w:val="25"/>
                <w:shd w:val="solid" w:color="000000" w:fill="000000"/>
                <w:fitText w:val="113" w:id="-961838335"/>
                <w14:textFill>
                  <w14:solidFill>
                    <w14:srgbClr w14:val="000000">
                      <w14:alpha w14:val="100000"/>
                    </w14:srgbClr>
                  </w14:solidFill>
                </w14:textFill>
              </w:rPr>
              <w:t>|</w:t>
            </w:r>
            <w:r w:rsidRPr="001A4B8B">
              <w:rPr>
                <w:rFonts w:hint="eastAsia"/>
                <w:color w:val="000000"/>
                <w:spacing w:val="2"/>
                <w:w w:val="25"/>
                <w:shd w:val="solid" w:color="000000" w:fill="000000"/>
                <w:fitText w:val="113" w:id="-961838335"/>
                <w14:textFill>
                  <w14:solidFill>
                    <w14:srgbClr w14:val="000000">
                      <w14:alpha w14:val="100000"/>
                    </w14:srgbClr>
                  </w14:solidFill>
                </w14:textFill>
              </w:rPr>
              <w:t xml:space="preserve">　</w:t>
            </w:r>
            <w:r w:rsidR="00866B89" w:rsidRPr="00866B89">
              <w:rPr>
                <w:vertAlign w:val="superscript"/>
              </w:rPr>
              <w:t>1</w:t>
            </w:r>
          </w:p>
        </w:tc>
        <w:tc>
          <w:tcPr>
            <w:tcW w:w="637" w:type="pct"/>
            <w:tcBorders>
              <w:top w:val="nil"/>
              <w:bottom w:val="nil"/>
            </w:tcBorders>
            <w:noWrap/>
            <w:hideMark/>
          </w:tcPr>
          <w:p w14:paraId="3C27EE75" w14:textId="45E8E6C2"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4"/>
                <w14:textFill>
                  <w14:solidFill>
                    <w14:srgbClr w14:val="000000">
                      <w14:alpha w14:val="100000"/>
                    </w14:srgbClr>
                  </w14:solidFill>
                </w14:textFill>
              </w:rPr>
              <w:t xml:space="preserve">　</w:t>
            </w:r>
            <w:r w:rsidRPr="001A4B8B">
              <w:rPr>
                <w:color w:val="000000"/>
                <w:w w:val="25"/>
                <w:shd w:val="solid" w:color="000000" w:fill="000000"/>
                <w:fitText w:val="113" w:id="-961838334"/>
                <w14:textFill>
                  <w14:solidFill>
                    <w14:srgbClr w14:val="000000">
                      <w14:alpha w14:val="100000"/>
                    </w14:srgbClr>
                  </w14:solidFill>
                </w14:textFill>
              </w:rPr>
              <w:t>|</w:t>
            </w:r>
            <w:r w:rsidRPr="001A4B8B">
              <w:rPr>
                <w:rFonts w:hint="eastAsia"/>
                <w:color w:val="000000"/>
                <w:spacing w:val="2"/>
                <w:w w:val="25"/>
                <w:shd w:val="solid" w:color="000000" w:fill="000000"/>
                <w:fitText w:val="113" w:id="-961838334"/>
                <w14:textFill>
                  <w14:solidFill>
                    <w14:srgbClr w14:val="000000">
                      <w14:alpha w14:val="100000"/>
                    </w14:srgbClr>
                  </w14:solidFill>
                </w14:textFill>
              </w:rPr>
              <w:t xml:space="preserve">　</w:t>
            </w:r>
            <w:r w:rsidR="00866B89" w:rsidRPr="00866B89">
              <w:rPr>
                <w:vertAlign w:val="superscript"/>
              </w:rPr>
              <w:t>1</w:t>
            </w:r>
          </w:p>
        </w:tc>
        <w:tc>
          <w:tcPr>
            <w:tcW w:w="639" w:type="pct"/>
            <w:tcBorders>
              <w:top w:val="nil"/>
              <w:bottom w:val="nil"/>
            </w:tcBorders>
            <w:noWrap/>
            <w:hideMark/>
          </w:tcPr>
          <w:p w14:paraId="62F3D711" w14:textId="79B70939"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33"/>
                <w14:textFill>
                  <w14:solidFill>
                    <w14:srgbClr w14:val="000000">
                      <w14:alpha w14:val="100000"/>
                    </w14:srgbClr>
                  </w14:solidFill>
                </w14:textFill>
              </w:rPr>
              <w:t xml:space="preserve">　</w:t>
            </w:r>
            <w:r w:rsidRPr="001A4B8B">
              <w:rPr>
                <w:color w:val="000000"/>
                <w:w w:val="22"/>
                <w:shd w:val="solid" w:color="000000" w:fill="000000"/>
                <w:fitText w:val="100" w:id="-961838333"/>
                <w14:textFill>
                  <w14:solidFill>
                    <w14:srgbClr w14:val="000000">
                      <w14:alpha w14:val="100000"/>
                    </w14:srgbClr>
                  </w14:solidFill>
                </w14:textFill>
              </w:rPr>
              <w:t>|</w:t>
            </w:r>
            <w:r w:rsidRPr="001A4B8B">
              <w:rPr>
                <w:rFonts w:hint="eastAsia"/>
                <w:color w:val="000000"/>
                <w:spacing w:val="3"/>
                <w:w w:val="22"/>
                <w:shd w:val="solid" w:color="000000" w:fill="000000"/>
                <w:fitText w:val="100" w:id="-961838333"/>
                <w14:textFill>
                  <w14:solidFill>
                    <w14:srgbClr w14:val="000000">
                      <w14:alpha w14:val="100000"/>
                    </w14:srgbClr>
                  </w14:solidFill>
                </w14:textFill>
              </w:rPr>
              <w:t xml:space="preserve">　</w:t>
            </w:r>
            <w:r w:rsidR="00866B89" w:rsidRPr="00866B89">
              <w:rPr>
                <w:vertAlign w:val="superscript"/>
              </w:rPr>
              <w:t>1</w:t>
            </w:r>
          </w:p>
        </w:tc>
      </w:tr>
      <w:tr w:rsidR="00371021" w:rsidRPr="00371021" w14:paraId="1914524E" w14:textId="77777777" w:rsidTr="00603002">
        <w:trPr>
          <w:trHeight w:val="20"/>
        </w:trPr>
        <w:tc>
          <w:tcPr>
            <w:tcW w:w="1176" w:type="pct"/>
            <w:tcBorders>
              <w:top w:val="nil"/>
              <w:bottom w:val="nil"/>
            </w:tcBorders>
            <w:noWrap/>
            <w:hideMark/>
          </w:tcPr>
          <w:p w14:paraId="5CFD59D3" w14:textId="77777777" w:rsidR="00371021" w:rsidRPr="00371021" w:rsidRDefault="00371021" w:rsidP="00603002">
            <w:pPr>
              <w:pStyle w:val="TableText"/>
              <w:keepNext/>
              <w:ind w:left="164"/>
            </w:pPr>
            <w:r w:rsidRPr="00371021">
              <w:t>Third year (60.3%)</w:t>
            </w:r>
          </w:p>
        </w:tc>
        <w:tc>
          <w:tcPr>
            <w:tcW w:w="637" w:type="pct"/>
            <w:tcBorders>
              <w:top w:val="nil"/>
              <w:bottom w:val="nil"/>
            </w:tcBorders>
            <w:noWrap/>
            <w:hideMark/>
          </w:tcPr>
          <w:p w14:paraId="7E6BE1DE" w14:textId="77777777" w:rsidR="00371021" w:rsidRPr="00371021" w:rsidRDefault="00371021" w:rsidP="00866B89">
            <w:pPr>
              <w:pStyle w:val="TableText"/>
              <w:keepNext/>
              <w:jc w:val="center"/>
            </w:pPr>
          </w:p>
        </w:tc>
        <w:tc>
          <w:tcPr>
            <w:tcW w:w="637" w:type="pct"/>
            <w:tcBorders>
              <w:top w:val="nil"/>
              <w:bottom w:val="nil"/>
            </w:tcBorders>
            <w:noWrap/>
            <w:hideMark/>
          </w:tcPr>
          <w:p w14:paraId="0BC50946" w14:textId="77777777" w:rsidR="00371021" w:rsidRPr="00371021" w:rsidRDefault="00371021" w:rsidP="00866B89">
            <w:pPr>
              <w:pStyle w:val="TableText"/>
              <w:keepNext/>
              <w:jc w:val="center"/>
            </w:pPr>
          </w:p>
        </w:tc>
        <w:tc>
          <w:tcPr>
            <w:tcW w:w="637" w:type="pct"/>
            <w:tcBorders>
              <w:top w:val="nil"/>
              <w:bottom w:val="nil"/>
            </w:tcBorders>
            <w:noWrap/>
            <w:hideMark/>
          </w:tcPr>
          <w:p w14:paraId="21016D37" w14:textId="2876A947"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2"/>
                <w14:textFill>
                  <w14:solidFill>
                    <w14:srgbClr w14:val="000000">
                      <w14:alpha w14:val="100000"/>
                    </w14:srgbClr>
                  </w14:solidFill>
                </w14:textFill>
              </w:rPr>
              <w:t xml:space="preserve">　</w:t>
            </w:r>
            <w:r w:rsidRPr="001A4B8B">
              <w:rPr>
                <w:color w:val="000000"/>
                <w:w w:val="25"/>
                <w:shd w:val="solid" w:color="000000" w:fill="000000"/>
                <w:fitText w:val="113" w:id="-961838332"/>
                <w14:textFill>
                  <w14:solidFill>
                    <w14:srgbClr w14:val="000000">
                      <w14:alpha w14:val="100000"/>
                    </w14:srgbClr>
                  </w14:solidFill>
                </w14:textFill>
              </w:rPr>
              <w:t>|</w:t>
            </w:r>
            <w:r w:rsidRPr="001A4B8B">
              <w:rPr>
                <w:rFonts w:hint="eastAsia"/>
                <w:color w:val="000000"/>
                <w:spacing w:val="2"/>
                <w:w w:val="25"/>
                <w:shd w:val="solid" w:color="000000" w:fill="000000"/>
                <w:fitText w:val="113" w:id="-961838332"/>
                <w14:textFill>
                  <w14:solidFill>
                    <w14:srgbClr w14:val="000000">
                      <w14:alpha w14:val="100000"/>
                    </w14:srgbClr>
                  </w14:solidFill>
                </w14:textFill>
              </w:rPr>
              <w:t xml:space="preserve">　</w:t>
            </w:r>
            <w:r w:rsidR="00866B89" w:rsidRPr="00866B89">
              <w:rPr>
                <w:vertAlign w:val="superscript"/>
              </w:rPr>
              <w:t>1</w:t>
            </w:r>
          </w:p>
        </w:tc>
        <w:tc>
          <w:tcPr>
            <w:tcW w:w="637" w:type="pct"/>
            <w:tcBorders>
              <w:top w:val="nil"/>
              <w:bottom w:val="nil"/>
            </w:tcBorders>
            <w:noWrap/>
            <w:hideMark/>
          </w:tcPr>
          <w:p w14:paraId="4EC7A5F4" w14:textId="00A6E3A9"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1"/>
                <w14:textFill>
                  <w14:solidFill>
                    <w14:srgbClr w14:val="000000">
                      <w14:alpha w14:val="100000"/>
                    </w14:srgbClr>
                  </w14:solidFill>
                </w14:textFill>
              </w:rPr>
              <w:t xml:space="preserve">　</w:t>
            </w:r>
            <w:r w:rsidRPr="001A4B8B">
              <w:rPr>
                <w:color w:val="000000"/>
                <w:w w:val="25"/>
                <w:shd w:val="solid" w:color="000000" w:fill="000000"/>
                <w:fitText w:val="113" w:id="-961838331"/>
                <w14:textFill>
                  <w14:solidFill>
                    <w14:srgbClr w14:val="000000">
                      <w14:alpha w14:val="100000"/>
                    </w14:srgbClr>
                  </w14:solidFill>
                </w14:textFill>
              </w:rPr>
              <w:t>|</w:t>
            </w:r>
            <w:r w:rsidRPr="001A4B8B">
              <w:rPr>
                <w:rFonts w:hint="eastAsia"/>
                <w:color w:val="000000"/>
                <w:spacing w:val="2"/>
                <w:w w:val="25"/>
                <w:shd w:val="solid" w:color="000000" w:fill="000000"/>
                <w:fitText w:val="113" w:id="-961838331"/>
                <w14:textFill>
                  <w14:solidFill>
                    <w14:srgbClr w14:val="000000">
                      <w14:alpha w14:val="100000"/>
                    </w14:srgbClr>
                  </w14:solidFill>
                </w14:textFill>
              </w:rPr>
              <w:t xml:space="preserve">　</w:t>
            </w:r>
            <w:r w:rsidR="00866B89" w:rsidRPr="00866B89">
              <w:rPr>
                <w:vertAlign w:val="superscript"/>
              </w:rPr>
              <w:t>1</w:t>
            </w:r>
          </w:p>
        </w:tc>
        <w:tc>
          <w:tcPr>
            <w:tcW w:w="637" w:type="pct"/>
            <w:tcBorders>
              <w:top w:val="nil"/>
              <w:bottom w:val="nil"/>
            </w:tcBorders>
            <w:noWrap/>
            <w:hideMark/>
          </w:tcPr>
          <w:p w14:paraId="5C366CB6" w14:textId="05F9C901"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0"/>
                <w14:textFill>
                  <w14:solidFill>
                    <w14:srgbClr w14:val="000000">
                      <w14:alpha w14:val="100000"/>
                    </w14:srgbClr>
                  </w14:solidFill>
                </w14:textFill>
              </w:rPr>
              <w:t xml:space="preserve">　</w:t>
            </w:r>
            <w:r w:rsidRPr="001A4B8B">
              <w:rPr>
                <w:color w:val="000000"/>
                <w:w w:val="25"/>
                <w:shd w:val="solid" w:color="000000" w:fill="000000"/>
                <w:fitText w:val="113" w:id="-961838330"/>
                <w14:textFill>
                  <w14:solidFill>
                    <w14:srgbClr w14:val="000000">
                      <w14:alpha w14:val="100000"/>
                    </w14:srgbClr>
                  </w14:solidFill>
                </w14:textFill>
              </w:rPr>
              <w:t>|</w:t>
            </w:r>
            <w:r w:rsidRPr="001A4B8B">
              <w:rPr>
                <w:rFonts w:hint="eastAsia"/>
                <w:color w:val="000000"/>
                <w:spacing w:val="2"/>
                <w:w w:val="25"/>
                <w:shd w:val="solid" w:color="000000" w:fill="000000"/>
                <w:fitText w:val="113" w:id="-961838330"/>
                <w14:textFill>
                  <w14:solidFill>
                    <w14:srgbClr w14:val="000000">
                      <w14:alpha w14:val="100000"/>
                    </w14:srgbClr>
                  </w14:solidFill>
                </w14:textFill>
              </w:rPr>
              <w:t xml:space="preserve">　</w:t>
            </w:r>
            <w:r w:rsidR="00866B89" w:rsidRPr="00866B89">
              <w:rPr>
                <w:vertAlign w:val="superscript"/>
              </w:rPr>
              <w:t>1</w:t>
            </w:r>
          </w:p>
        </w:tc>
        <w:tc>
          <w:tcPr>
            <w:tcW w:w="639" w:type="pct"/>
            <w:tcBorders>
              <w:top w:val="nil"/>
              <w:bottom w:val="nil"/>
            </w:tcBorders>
            <w:noWrap/>
            <w:hideMark/>
          </w:tcPr>
          <w:p w14:paraId="2EF5719D" w14:textId="357661BC"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29"/>
                <w14:textFill>
                  <w14:solidFill>
                    <w14:srgbClr w14:val="000000">
                      <w14:alpha w14:val="100000"/>
                    </w14:srgbClr>
                  </w14:solidFill>
                </w14:textFill>
              </w:rPr>
              <w:t xml:space="preserve">　</w:t>
            </w:r>
            <w:r w:rsidRPr="001A4B8B">
              <w:rPr>
                <w:color w:val="000000"/>
                <w:w w:val="22"/>
                <w:shd w:val="solid" w:color="000000" w:fill="000000"/>
                <w:fitText w:val="100" w:id="-961838329"/>
                <w14:textFill>
                  <w14:solidFill>
                    <w14:srgbClr w14:val="000000">
                      <w14:alpha w14:val="100000"/>
                    </w14:srgbClr>
                  </w14:solidFill>
                </w14:textFill>
              </w:rPr>
              <w:t>|</w:t>
            </w:r>
            <w:r w:rsidRPr="001A4B8B">
              <w:rPr>
                <w:rFonts w:hint="eastAsia"/>
                <w:color w:val="000000"/>
                <w:spacing w:val="3"/>
                <w:w w:val="22"/>
                <w:shd w:val="solid" w:color="000000" w:fill="000000"/>
                <w:fitText w:val="100" w:id="-961838329"/>
                <w14:textFill>
                  <w14:solidFill>
                    <w14:srgbClr w14:val="000000">
                      <w14:alpha w14:val="100000"/>
                    </w14:srgbClr>
                  </w14:solidFill>
                </w14:textFill>
              </w:rPr>
              <w:t xml:space="preserve">　</w:t>
            </w:r>
            <w:r w:rsidR="00866B89" w:rsidRPr="00866B89">
              <w:rPr>
                <w:vertAlign w:val="superscript"/>
              </w:rPr>
              <w:t>1</w:t>
            </w:r>
          </w:p>
        </w:tc>
      </w:tr>
      <w:tr w:rsidR="00371021" w:rsidRPr="00371021" w14:paraId="1A7B5C7B" w14:textId="77777777" w:rsidTr="00603002">
        <w:trPr>
          <w:trHeight w:val="20"/>
        </w:trPr>
        <w:tc>
          <w:tcPr>
            <w:tcW w:w="1176" w:type="pct"/>
            <w:tcBorders>
              <w:top w:val="nil"/>
              <w:bottom w:val="nil"/>
            </w:tcBorders>
            <w:noWrap/>
            <w:hideMark/>
          </w:tcPr>
          <w:p w14:paraId="3BA62BA4" w14:textId="77777777" w:rsidR="00371021" w:rsidRPr="00371021" w:rsidRDefault="00371021" w:rsidP="00603002">
            <w:pPr>
              <w:pStyle w:val="TableText"/>
              <w:keepNext/>
              <w:ind w:left="164"/>
            </w:pPr>
            <w:r w:rsidRPr="00371021">
              <w:t>Fourth year (54.9%)</w:t>
            </w:r>
          </w:p>
        </w:tc>
        <w:tc>
          <w:tcPr>
            <w:tcW w:w="637" w:type="pct"/>
            <w:tcBorders>
              <w:top w:val="nil"/>
              <w:bottom w:val="nil"/>
            </w:tcBorders>
            <w:noWrap/>
            <w:hideMark/>
          </w:tcPr>
          <w:p w14:paraId="70E4F9FB" w14:textId="77777777" w:rsidR="00371021" w:rsidRPr="00371021" w:rsidRDefault="00371021" w:rsidP="00866B89">
            <w:pPr>
              <w:pStyle w:val="TableText"/>
              <w:keepNext/>
              <w:jc w:val="center"/>
            </w:pPr>
          </w:p>
        </w:tc>
        <w:tc>
          <w:tcPr>
            <w:tcW w:w="637" w:type="pct"/>
            <w:tcBorders>
              <w:top w:val="nil"/>
              <w:bottom w:val="nil"/>
            </w:tcBorders>
            <w:noWrap/>
            <w:hideMark/>
          </w:tcPr>
          <w:p w14:paraId="1B57165C" w14:textId="77777777" w:rsidR="00371021" w:rsidRPr="00371021" w:rsidRDefault="00371021" w:rsidP="00866B89">
            <w:pPr>
              <w:pStyle w:val="TableText"/>
              <w:keepNext/>
              <w:jc w:val="center"/>
            </w:pPr>
          </w:p>
        </w:tc>
        <w:tc>
          <w:tcPr>
            <w:tcW w:w="637" w:type="pct"/>
            <w:tcBorders>
              <w:top w:val="nil"/>
              <w:bottom w:val="nil"/>
            </w:tcBorders>
            <w:noWrap/>
            <w:hideMark/>
          </w:tcPr>
          <w:p w14:paraId="77018AC8" w14:textId="77777777" w:rsidR="00371021" w:rsidRPr="00371021" w:rsidRDefault="00371021" w:rsidP="00866B89">
            <w:pPr>
              <w:pStyle w:val="TableText"/>
              <w:keepNext/>
              <w:jc w:val="center"/>
            </w:pPr>
          </w:p>
        </w:tc>
        <w:tc>
          <w:tcPr>
            <w:tcW w:w="637" w:type="pct"/>
            <w:tcBorders>
              <w:top w:val="nil"/>
              <w:bottom w:val="nil"/>
            </w:tcBorders>
            <w:noWrap/>
            <w:hideMark/>
          </w:tcPr>
          <w:p w14:paraId="1135FFD0" w14:textId="259F3C47"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8"/>
                <w14:textFill>
                  <w14:solidFill>
                    <w14:srgbClr w14:val="000000">
                      <w14:alpha w14:val="100000"/>
                    </w14:srgbClr>
                  </w14:solidFill>
                </w14:textFill>
              </w:rPr>
              <w:t xml:space="preserve">　</w:t>
            </w:r>
            <w:r w:rsidRPr="001A4B8B">
              <w:rPr>
                <w:color w:val="000000"/>
                <w:w w:val="25"/>
                <w:shd w:val="solid" w:color="000000" w:fill="000000"/>
                <w:fitText w:val="113" w:id="-961838328"/>
                <w14:textFill>
                  <w14:solidFill>
                    <w14:srgbClr w14:val="000000">
                      <w14:alpha w14:val="100000"/>
                    </w14:srgbClr>
                  </w14:solidFill>
                </w14:textFill>
              </w:rPr>
              <w:t>|</w:t>
            </w:r>
            <w:r w:rsidRPr="001A4B8B">
              <w:rPr>
                <w:rFonts w:hint="eastAsia"/>
                <w:color w:val="000000"/>
                <w:spacing w:val="2"/>
                <w:w w:val="25"/>
                <w:shd w:val="solid" w:color="000000" w:fill="000000"/>
                <w:fitText w:val="113" w:id="-961838328"/>
                <w14:textFill>
                  <w14:solidFill>
                    <w14:srgbClr w14:val="000000">
                      <w14:alpha w14:val="100000"/>
                    </w14:srgbClr>
                  </w14:solidFill>
                </w14:textFill>
              </w:rPr>
              <w:t xml:space="preserve">　</w:t>
            </w:r>
            <w:r w:rsidR="00866B89" w:rsidRPr="00866B89">
              <w:rPr>
                <w:vertAlign w:val="superscript"/>
              </w:rPr>
              <w:t>1</w:t>
            </w:r>
          </w:p>
        </w:tc>
        <w:tc>
          <w:tcPr>
            <w:tcW w:w="637" w:type="pct"/>
            <w:tcBorders>
              <w:top w:val="nil"/>
              <w:bottom w:val="nil"/>
            </w:tcBorders>
            <w:noWrap/>
            <w:hideMark/>
          </w:tcPr>
          <w:p w14:paraId="5FA38A6E" w14:textId="7BEE35AE"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7"/>
                <w14:textFill>
                  <w14:solidFill>
                    <w14:srgbClr w14:val="000000">
                      <w14:alpha w14:val="100000"/>
                    </w14:srgbClr>
                  </w14:solidFill>
                </w14:textFill>
              </w:rPr>
              <w:t xml:space="preserve">　</w:t>
            </w:r>
            <w:r w:rsidRPr="001A4B8B">
              <w:rPr>
                <w:color w:val="000000"/>
                <w:w w:val="25"/>
                <w:shd w:val="solid" w:color="000000" w:fill="000000"/>
                <w:fitText w:val="113" w:id="-961838327"/>
                <w14:textFill>
                  <w14:solidFill>
                    <w14:srgbClr w14:val="000000">
                      <w14:alpha w14:val="100000"/>
                    </w14:srgbClr>
                  </w14:solidFill>
                </w14:textFill>
              </w:rPr>
              <w:t>|</w:t>
            </w:r>
            <w:r w:rsidRPr="001A4B8B">
              <w:rPr>
                <w:rFonts w:hint="eastAsia"/>
                <w:color w:val="000000"/>
                <w:spacing w:val="2"/>
                <w:w w:val="25"/>
                <w:shd w:val="solid" w:color="000000" w:fill="000000"/>
                <w:fitText w:val="113" w:id="-961838327"/>
                <w14:textFill>
                  <w14:solidFill>
                    <w14:srgbClr w14:val="000000">
                      <w14:alpha w14:val="100000"/>
                    </w14:srgbClr>
                  </w14:solidFill>
                </w14:textFill>
              </w:rPr>
              <w:t xml:space="preserve">　</w:t>
            </w:r>
            <w:r w:rsidR="00866B89" w:rsidRPr="00866B89">
              <w:rPr>
                <w:vertAlign w:val="superscript"/>
              </w:rPr>
              <w:t>1</w:t>
            </w:r>
          </w:p>
        </w:tc>
        <w:tc>
          <w:tcPr>
            <w:tcW w:w="639" w:type="pct"/>
            <w:tcBorders>
              <w:top w:val="nil"/>
              <w:bottom w:val="nil"/>
            </w:tcBorders>
            <w:noWrap/>
            <w:hideMark/>
          </w:tcPr>
          <w:p w14:paraId="20027CD3" w14:textId="22CB698D"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26"/>
                <w14:textFill>
                  <w14:solidFill>
                    <w14:srgbClr w14:val="000000">
                      <w14:alpha w14:val="100000"/>
                    </w14:srgbClr>
                  </w14:solidFill>
                </w14:textFill>
              </w:rPr>
              <w:t xml:space="preserve">　</w:t>
            </w:r>
            <w:r w:rsidRPr="001A4B8B">
              <w:rPr>
                <w:color w:val="000000"/>
                <w:w w:val="22"/>
                <w:shd w:val="solid" w:color="000000" w:fill="000000"/>
                <w:fitText w:val="100" w:id="-961838326"/>
                <w14:textFill>
                  <w14:solidFill>
                    <w14:srgbClr w14:val="000000">
                      <w14:alpha w14:val="100000"/>
                    </w14:srgbClr>
                  </w14:solidFill>
                </w14:textFill>
              </w:rPr>
              <w:t>|</w:t>
            </w:r>
            <w:r w:rsidRPr="001A4B8B">
              <w:rPr>
                <w:rFonts w:hint="eastAsia"/>
                <w:color w:val="000000"/>
                <w:spacing w:val="3"/>
                <w:w w:val="22"/>
                <w:shd w:val="solid" w:color="000000" w:fill="000000"/>
                <w:fitText w:val="100" w:id="-961838326"/>
                <w14:textFill>
                  <w14:solidFill>
                    <w14:srgbClr w14:val="000000">
                      <w14:alpha w14:val="100000"/>
                    </w14:srgbClr>
                  </w14:solidFill>
                </w14:textFill>
              </w:rPr>
              <w:t xml:space="preserve">　</w:t>
            </w:r>
            <w:r w:rsidR="00866B89" w:rsidRPr="00866B89">
              <w:rPr>
                <w:vertAlign w:val="superscript"/>
              </w:rPr>
              <w:t>1</w:t>
            </w:r>
          </w:p>
        </w:tc>
      </w:tr>
      <w:tr w:rsidR="00371021" w:rsidRPr="00371021" w14:paraId="4D8A0FA0" w14:textId="77777777" w:rsidTr="00603002">
        <w:trPr>
          <w:trHeight w:val="20"/>
        </w:trPr>
        <w:tc>
          <w:tcPr>
            <w:tcW w:w="1176" w:type="pct"/>
            <w:tcBorders>
              <w:top w:val="nil"/>
              <w:bottom w:val="nil"/>
            </w:tcBorders>
            <w:noWrap/>
            <w:hideMark/>
          </w:tcPr>
          <w:p w14:paraId="0997AC82" w14:textId="77777777" w:rsidR="00371021" w:rsidRPr="00371021" w:rsidRDefault="00371021" w:rsidP="00603002">
            <w:pPr>
              <w:pStyle w:val="TableText"/>
              <w:keepNext/>
              <w:ind w:left="164"/>
            </w:pPr>
            <w:r w:rsidRPr="00371021">
              <w:t>Fifth year (50.0%)</w:t>
            </w:r>
          </w:p>
        </w:tc>
        <w:tc>
          <w:tcPr>
            <w:tcW w:w="637" w:type="pct"/>
            <w:tcBorders>
              <w:top w:val="nil"/>
              <w:bottom w:val="nil"/>
            </w:tcBorders>
            <w:noWrap/>
            <w:hideMark/>
          </w:tcPr>
          <w:p w14:paraId="1AC1B831" w14:textId="77777777" w:rsidR="00371021" w:rsidRPr="00371021" w:rsidRDefault="00371021" w:rsidP="00866B89">
            <w:pPr>
              <w:pStyle w:val="TableText"/>
              <w:keepNext/>
              <w:jc w:val="center"/>
            </w:pPr>
          </w:p>
        </w:tc>
        <w:tc>
          <w:tcPr>
            <w:tcW w:w="637" w:type="pct"/>
            <w:tcBorders>
              <w:top w:val="nil"/>
              <w:bottom w:val="nil"/>
            </w:tcBorders>
            <w:noWrap/>
            <w:hideMark/>
          </w:tcPr>
          <w:p w14:paraId="14C3F5C9" w14:textId="77777777" w:rsidR="00371021" w:rsidRPr="00371021" w:rsidRDefault="00371021" w:rsidP="00866B89">
            <w:pPr>
              <w:pStyle w:val="TableText"/>
              <w:keepNext/>
              <w:jc w:val="center"/>
            </w:pPr>
          </w:p>
        </w:tc>
        <w:tc>
          <w:tcPr>
            <w:tcW w:w="637" w:type="pct"/>
            <w:tcBorders>
              <w:top w:val="nil"/>
              <w:bottom w:val="nil"/>
            </w:tcBorders>
            <w:noWrap/>
            <w:hideMark/>
          </w:tcPr>
          <w:p w14:paraId="3CB8EC86" w14:textId="77777777" w:rsidR="00371021" w:rsidRPr="00371021" w:rsidRDefault="00371021" w:rsidP="00866B89">
            <w:pPr>
              <w:pStyle w:val="TableText"/>
              <w:keepNext/>
              <w:jc w:val="center"/>
            </w:pPr>
          </w:p>
        </w:tc>
        <w:tc>
          <w:tcPr>
            <w:tcW w:w="637" w:type="pct"/>
            <w:tcBorders>
              <w:top w:val="nil"/>
              <w:bottom w:val="nil"/>
            </w:tcBorders>
            <w:noWrap/>
            <w:hideMark/>
          </w:tcPr>
          <w:p w14:paraId="1D56959E" w14:textId="77777777" w:rsidR="00371021" w:rsidRPr="00371021" w:rsidRDefault="00371021" w:rsidP="00866B89">
            <w:pPr>
              <w:pStyle w:val="TableText"/>
              <w:keepNext/>
              <w:jc w:val="center"/>
            </w:pPr>
          </w:p>
        </w:tc>
        <w:tc>
          <w:tcPr>
            <w:tcW w:w="637" w:type="pct"/>
            <w:tcBorders>
              <w:top w:val="nil"/>
              <w:bottom w:val="nil"/>
            </w:tcBorders>
            <w:noWrap/>
            <w:hideMark/>
          </w:tcPr>
          <w:p w14:paraId="1DB68613" w14:textId="4D8C24B2"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5"/>
                <w14:textFill>
                  <w14:solidFill>
                    <w14:srgbClr w14:val="000000">
                      <w14:alpha w14:val="100000"/>
                    </w14:srgbClr>
                  </w14:solidFill>
                </w14:textFill>
              </w:rPr>
              <w:t xml:space="preserve">　</w:t>
            </w:r>
            <w:r w:rsidRPr="001A4B8B">
              <w:rPr>
                <w:color w:val="000000"/>
                <w:w w:val="25"/>
                <w:shd w:val="solid" w:color="000000" w:fill="000000"/>
                <w:fitText w:val="113" w:id="-961838325"/>
                <w14:textFill>
                  <w14:solidFill>
                    <w14:srgbClr w14:val="000000">
                      <w14:alpha w14:val="100000"/>
                    </w14:srgbClr>
                  </w14:solidFill>
                </w14:textFill>
              </w:rPr>
              <w:t>|</w:t>
            </w:r>
            <w:r w:rsidRPr="001A4B8B">
              <w:rPr>
                <w:rFonts w:hint="eastAsia"/>
                <w:color w:val="000000"/>
                <w:spacing w:val="2"/>
                <w:w w:val="25"/>
                <w:shd w:val="solid" w:color="000000" w:fill="000000"/>
                <w:fitText w:val="113" w:id="-961838325"/>
                <w14:textFill>
                  <w14:solidFill>
                    <w14:srgbClr w14:val="000000">
                      <w14:alpha w14:val="100000"/>
                    </w14:srgbClr>
                  </w14:solidFill>
                </w14:textFill>
              </w:rPr>
              <w:t xml:space="preserve">　</w:t>
            </w:r>
            <w:r w:rsidR="00866B89" w:rsidRPr="00866B89">
              <w:rPr>
                <w:vertAlign w:val="superscript"/>
              </w:rPr>
              <w:t>1</w:t>
            </w:r>
          </w:p>
        </w:tc>
        <w:tc>
          <w:tcPr>
            <w:tcW w:w="639" w:type="pct"/>
            <w:tcBorders>
              <w:top w:val="nil"/>
              <w:bottom w:val="nil"/>
            </w:tcBorders>
            <w:noWrap/>
            <w:hideMark/>
          </w:tcPr>
          <w:p w14:paraId="7E4238CD" w14:textId="6405EF23"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24"/>
                <w14:textFill>
                  <w14:solidFill>
                    <w14:srgbClr w14:val="000000">
                      <w14:alpha w14:val="100000"/>
                    </w14:srgbClr>
                  </w14:solidFill>
                </w14:textFill>
              </w:rPr>
              <w:t xml:space="preserve">　</w:t>
            </w:r>
            <w:r w:rsidRPr="001A4B8B">
              <w:rPr>
                <w:color w:val="000000"/>
                <w:w w:val="22"/>
                <w:shd w:val="solid" w:color="000000" w:fill="000000"/>
                <w:fitText w:val="100" w:id="-961838324"/>
                <w14:textFill>
                  <w14:solidFill>
                    <w14:srgbClr w14:val="000000">
                      <w14:alpha w14:val="100000"/>
                    </w14:srgbClr>
                  </w14:solidFill>
                </w14:textFill>
              </w:rPr>
              <w:t>|</w:t>
            </w:r>
            <w:r w:rsidRPr="001A4B8B">
              <w:rPr>
                <w:rFonts w:hint="eastAsia"/>
                <w:color w:val="000000"/>
                <w:spacing w:val="3"/>
                <w:w w:val="22"/>
                <w:shd w:val="solid" w:color="000000" w:fill="000000"/>
                <w:fitText w:val="100" w:id="-961838324"/>
                <w14:textFill>
                  <w14:solidFill>
                    <w14:srgbClr w14:val="000000">
                      <w14:alpha w14:val="100000"/>
                    </w14:srgbClr>
                  </w14:solidFill>
                </w14:textFill>
              </w:rPr>
              <w:t xml:space="preserve">　</w:t>
            </w:r>
            <w:r w:rsidR="00866B89" w:rsidRPr="00866B89">
              <w:rPr>
                <w:vertAlign w:val="superscript"/>
              </w:rPr>
              <w:t>1</w:t>
            </w:r>
          </w:p>
        </w:tc>
      </w:tr>
      <w:tr w:rsidR="00371021" w:rsidRPr="00371021" w14:paraId="6BB22C58" w14:textId="77777777" w:rsidTr="00603002">
        <w:trPr>
          <w:trHeight w:val="20"/>
        </w:trPr>
        <w:tc>
          <w:tcPr>
            <w:tcW w:w="1176" w:type="pct"/>
            <w:tcBorders>
              <w:top w:val="nil"/>
            </w:tcBorders>
            <w:noWrap/>
            <w:hideMark/>
          </w:tcPr>
          <w:p w14:paraId="44865068" w14:textId="77777777" w:rsidR="00371021" w:rsidRPr="00371021" w:rsidRDefault="00371021" w:rsidP="00603002">
            <w:pPr>
              <w:pStyle w:val="TableText"/>
              <w:keepNext/>
              <w:ind w:left="164"/>
            </w:pPr>
            <w:r w:rsidRPr="00371021">
              <w:t>Sixth year (45.7%)</w:t>
            </w:r>
          </w:p>
        </w:tc>
        <w:tc>
          <w:tcPr>
            <w:tcW w:w="637" w:type="pct"/>
            <w:tcBorders>
              <w:top w:val="nil"/>
            </w:tcBorders>
            <w:noWrap/>
            <w:hideMark/>
          </w:tcPr>
          <w:p w14:paraId="6FC7731B" w14:textId="77777777" w:rsidR="00371021" w:rsidRPr="00371021" w:rsidRDefault="00371021" w:rsidP="00866B89">
            <w:pPr>
              <w:pStyle w:val="TableText"/>
              <w:keepNext/>
              <w:jc w:val="center"/>
            </w:pPr>
          </w:p>
        </w:tc>
        <w:tc>
          <w:tcPr>
            <w:tcW w:w="637" w:type="pct"/>
            <w:tcBorders>
              <w:top w:val="nil"/>
            </w:tcBorders>
            <w:noWrap/>
            <w:hideMark/>
          </w:tcPr>
          <w:p w14:paraId="5197BE08" w14:textId="77777777" w:rsidR="00371021" w:rsidRPr="00371021" w:rsidRDefault="00371021" w:rsidP="00866B89">
            <w:pPr>
              <w:pStyle w:val="TableText"/>
              <w:keepNext/>
              <w:jc w:val="center"/>
            </w:pPr>
          </w:p>
        </w:tc>
        <w:tc>
          <w:tcPr>
            <w:tcW w:w="637" w:type="pct"/>
            <w:tcBorders>
              <w:top w:val="nil"/>
            </w:tcBorders>
            <w:noWrap/>
            <w:hideMark/>
          </w:tcPr>
          <w:p w14:paraId="4562100C" w14:textId="77777777" w:rsidR="00371021" w:rsidRPr="00371021" w:rsidRDefault="00371021" w:rsidP="00866B89">
            <w:pPr>
              <w:pStyle w:val="TableText"/>
              <w:keepNext/>
              <w:jc w:val="center"/>
            </w:pPr>
          </w:p>
        </w:tc>
        <w:tc>
          <w:tcPr>
            <w:tcW w:w="637" w:type="pct"/>
            <w:tcBorders>
              <w:top w:val="nil"/>
            </w:tcBorders>
            <w:noWrap/>
            <w:hideMark/>
          </w:tcPr>
          <w:p w14:paraId="5E0E7FB6" w14:textId="77777777" w:rsidR="00371021" w:rsidRPr="00371021" w:rsidRDefault="00371021" w:rsidP="00866B89">
            <w:pPr>
              <w:pStyle w:val="TableText"/>
              <w:keepNext/>
              <w:jc w:val="center"/>
            </w:pPr>
          </w:p>
        </w:tc>
        <w:tc>
          <w:tcPr>
            <w:tcW w:w="637" w:type="pct"/>
            <w:tcBorders>
              <w:top w:val="nil"/>
            </w:tcBorders>
            <w:noWrap/>
            <w:hideMark/>
          </w:tcPr>
          <w:p w14:paraId="6D4663C6" w14:textId="77777777" w:rsidR="00371021" w:rsidRPr="00371021" w:rsidRDefault="00371021" w:rsidP="00866B89">
            <w:pPr>
              <w:pStyle w:val="TableText"/>
              <w:keepNext/>
              <w:jc w:val="center"/>
            </w:pPr>
          </w:p>
        </w:tc>
        <w:tc>
          <w:tcPr>
            <w:tcW w:w="639" w:type="pct"/>
            <w:tcBorders>
              <w:top w:val="nil"/>
            </w:tcBorders>
            <w:noWrap/>
            <w:hideMark/>
          </w:tcPr>
          <w:p w14:paraId="406E8A08" w14:textId="41E0EBE7"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23"/>
                <w14:textFill>
                  <w14:solidFill>
                    <w14:srgbClr w14:val="000000">
                      <w14:alpha w14:val="100000"/>
                    </w14:srgbClr>
                  </w14:solidFill>
                </w14:textFill>
              </w:rPr>
              <w:t xml:space="preserve">　</w:t>
            </w:r>
            <w:r w:rsidRPr="001A4B8B">
              <w:rPr>
                <w:color w:val="000000"/>
                <w:w w:val="22"/>
                <w:shd w:val="solid" w:color="000000" w:fill="000000"/>
                <w:fitText w:val="100" w:id="-961838323"/>
                <w14:textFill>
                  <w14:solidFill>
                    <w14:srgbClr w14:val="000000">
                      <w14:alpha w14:val="100000"/>
                    </w14:srgbClr>
                  </w14:solidFill>
                </w14:textFill>
              </w:rPr>
              <w:t>|</w:t>
            </w:r>
            <w:r w:rsidRPr="001A4B8B">
              <w:rPr>
                <w:rFonts w:hint="eastAsia"/>
                <w:color w:val="000000"/>
                <w:spacing w:val="3"/>
                <w:w w:val="22"/>
                <w:shd w:val="solid" w:color="000000" w:fill="000000"/>
                <w:fitText w:val="100" w:id="-961838323"/>
                <w14:textFill>
                  <w14:solidFill>
                    <w14:srgbClr w14:val="000000">
                      <w14:alpha w14:val="100000"/>
                    </w14:srgbClr>
                  </w14:solidFill>
                </w14:textFill>
              </w:rPr>
              <w:t xml:space="preserve">　</w:t>
            </w:r>
            <w:r w:rsidR="00866B89" w:rsidRPr="00866B89">
              <w:rPr>
                <w:vertAlign w:val="superscript"/>
              </w:rPr>
              <w:t>1</w:t>
            </w:r>
          </w:p>
        </w:tc>
      </w:tr>
      <w:tr w:rsidR="00371021" w:rsidRPr="00371021" w14:paraId="4C7F1953" w14:textId="77777777" w:rsidTr="00603002">
        <w:trPr>
          <w:trHeight w:val="20"/>
        </w:trPr>
        <w:tc>
          <w:tcPr>
            <w:tcW w:w="1176" w:type="pct"/>
            <w:noWrap/>
            <w:hideMark/>
          </w:tcPr>
          <w:p w14:paraId="2D5C2B33" w14:textId="77777777" w:rsidR="00371021" w:rsidRPr="00371021" w:rsidRDefault="00371021" w:rsidP="00603002">
            <w:pPr>
              <w:pStyle w:val="TableText"/>
              <w:keepNext/>
            </w:pPr>
            <w:r w:rsidRPr="00371021">
              <w:t>Total patient-years on treatment</w:t>
            </w:r>
          </w:p>
        </w:tc>
        <w:tc>
          <w:tcPr>
            <w:tcW w:w="637" w:type="pct"/>
            <w:noWrap/>
            <w:hideMark/>
          </w:tcPr>
          <w:p w14:paraId="43F2077D" w14:textId="296C8A37"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2"/>
                <w14:textFill>
                  <w14:solidFill>
                    <w14:srgbClr w14:val="000000">
                      <w14:alpha w14:val="100000"/>
                    </w14:srgbClr>
                  </w14:solidFill>
                </w14:textFill>
              </w:rPr>
              <w:t xml:space="preserve">　</w:t>
            </w:r>
            <w:r w:rsidRPr="001A4B8B">
              <w:rPr>
                <w:color w:val="000000"/>
                <w:w w:val="25"/>
                <w:shd w:val="solid" w:color="000000" w:fill="000000"/>
                <w:fitText w:val="113" w:id="-961838322"/>
                <w14:textFill>
                  <w14:solidFill>
                    <w14:srgbClr w14:val="000000">
                      <w14:alpha w14:val="100000"/>
                    </w14:srgbClr>
                  </w14:solidFill>
                </w14:textFill>
              </w:rPr>
              <w:t>|</w:t>
            </w:r>
            <w:r w:rsidRPr="001A4B8B">
              <w:rPr>
                <w:rFonts w:hint="eastAsia"/>
                <w:color w:val="000000"/>
                <w:spacing w:val="2"/>
                <w:w w:val="25"/>
                <w:shd w:val="solid" w:color="000000" w:fill="000000"/>
                <w:fitText w:val="113" w:id="-961838322"/>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37161696" w14:textId="64F0A4B3"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1"/>
                <w14:textFill>
                  <w14:solidFill>
                    <w14:srgbClr w14:val="000000">
                      <w14:alpha w14:val="100000"/>
                    </w14:srgbClr>
                  </w14:solidFill>
                </w14:textFill>
              </w:rPr>
              <w:t xml:space="preserve">　</w:t>
            </w:r>
            <w:r w:rsidRPr="001A4B8B">
              <w:rPr>
                <w:color w:val="000000"/>
                <w:w w:val="25"/>
                <w:shd w:val="solid" w:color="000000" w:fill="000000"/>
                <w:fitText w:val="113" w:id="-961838321"/>
                <w14:textFill>
                  <w14:solidFill>
                    <w14:srgbClr w14:val="000000">
                      <w14:alpha w14:val="100000"/>
                    </w14:srgbClr>
                  </w14:solidFill>
                </w14:textFill>
              </w:rPr>
              <w:t>|</w:t>
            </w:r>
            <w:r w:rsidRPr="001A4B8B">
              <w:rPr>
                <w:rFonts w:hint="eastAsia"/>
                <w:color w:val="000000"/>
                <w:spacing w:val="2"/>
                <w:w w:val="25"/>
                <w:shd w:val="solid" w:color="000000" w:fill="000000"/>
                <w:fitText w:val="113" w:id="-961838321"/>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656D399A" w14:textId="409B7F29"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0"/>
                <w14:textFill>
                  <w14:solidFill>
                    <w14:srgbClr w14:val="000000">
                      <w14:alpha w14:val="100000"/>
                    </w14:srgbClr>
                  </w14:solidFill>
                </w14:textFill>
              </w:rPr>
              <w:t xml:space="preserve">　</w:t>
            </w:r>
            <w:r w:rsidRPr="001A4B8B">
              <w:rPr>
                <w:color w:val="000000"/>
                <w:w w:val="25"/>
                <w:shd w:val="solid" w:color="000000" w:fill="000000"/>
                <w:fitText w:val="113" w:id="-961838320"/>
                <w14:textFill>
                  <w14:solidFill>
                    <w14:srgbClr w14:val="000000">
                      <w14:alpha w14:val="100000"/>
                    </w14:srgbClr>
                  </w14:solidFill>
                </w14:textFill>
              </w:rPr>
              <w:t>|</w:t>
            </w:r>
            <w:r w:rsidRPr="001A4B8B">
              <w:rPr>
                <w:rFonts w:hint="eastAsia"/>
                <w:color w:val="000000"/>
                <w:spacing w:val="2"/>
                <w:w w:val="25"/>
                <w:shd w:val="solid" w:color="000000" w:fill="000000"/>
                <w:fitText w:val="113" w:id="-961838320"/>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2A47C33B" w14:textId="732DB499"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6"/>
                <w14:textFill>
                  <w14:solidFill>
                    <w14:srgbClr w14:val="000000">
                      <w14:alpha w14:val="100000"/>
                    </w14:srgbClr>
                  </w14:solidFill>
                </w14:textFill>
              </w:rPr>
              <w:t xml:space="preserve">　</w:t>
            </w:r>
            <w:r w:rsidRPr="001A4B8B">
              <w:rPr>
                <w:color w:val="000000"/>
                <w:w w:val="25"/>
                <w:shd w:val="solid" w:color="000000" w:fill="000000"/>
                <w:fitText w:val="113" w:id="-961838336"/>
                <w14:textFill>
                  <w14:solidFill>
                    <w14:srgbClr w14:val="000000">
                      <w14:alpha w14:val="100000"/>
                    </w14:srgbClr>
                  </w14:solidFill>
                </w14:textFill>
              </w:rPr>
              <w:t>|</w:t>
            </w:r>
            <w:r w:rsidRPr="001A4B8B">
              <w:rPr>
                <w:rFonts w:hint="eastAsia"/>
                <w:color w:val="000000"/>
                <w:spacing w:val="2"/>
                <w:w w:val="25"/>
                <w:shd w:val="solid" w:color="000000" w:fill="000000"/>
                <w:fitText w:val="113" w:id="-961838336"/>
                <w14:textFill>
                  <w14:solidFill>
                    <w14:srgbClr w14:val="000000">
                      <w14:alpha w14:val="100000"/>
                    </w14:srgbClr>
                  </w14:solidFill>
                </w14:textFill>
              </w:rPr>
              <w:t xml:space="preserve">　</w:t>
            </w:r>
            <w:r w:rsidR="00866B89" w:rsidRPr="00866B89">
              <w:rPr>
                <w:vertAlign w:val="superscript"/>
              </w:rPr>
              <w:t>1</w:t>
            </w:r>
          </w:p>
        </w:tc>
        <w:tc>
          <w:tcPr>
            <w:tcW w:w="637" w:type="pct"/>
            <w:noWrap/>
            <w:hideMark/>
          </w:tcPr>
          <w:p w14:paraId="1E1972B2" w14:textId="3089AA41"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5"/>
                <w14:textFill>
                  <w14:solidFill>
                    <w14:srgbClr w14:val="000000">
                      <w14:alpha w14:val="100000"/>
                    </w14:srgbClr>
                  </w14:solidFill>
                </w14:textFill>
              </w:rPr>
              <w:t xml:space="preserve">　</w:t>
            </w:r>
            <w:r w:rsidRPr="001A4B8B">
              <w:rPr>
                <w:color w:val="000000"/>
                <w:w w:val="25"/>
                <w:shd w:val="solid" w:color="000000" w:fill="000000"/>
                <w:fitText w:val="113" w:id="-961838335"/>
                <w14:textFill>
                  <w14:solidFill>
                    <w14:srgbClr w14:val="000000">
                      <w14:alpha w14:val="100000"/>
                    </w14:srgbClr>
                  </w14:solidFill>
                </w14:textFill>
              </w:rPr>
              <w:t>|</w:t>
            </w:r>
            <w:r w:rsidRPr="001A4B8B">
              <w:rPr>
                <w:rFonts w:hint="eastAsia"/>
                <w:color w:val="000000"/>
                <w:spacing w:val="2"/>
                <w:w w:val="25"/>
                <w:shd w:val="solid" w:color="000000" w:fill="000000"/>
                <w:fitText w:val="113" w:id="-961838335"/>
                <w14:textFill>
                  <w14:solidFill>
                    <w14:srgbClr w14:val="000000">
                      <w14:alpha w14:val="100000"/>
                    </w14:srgbClr>
                  </w14:solidFill>
                </w14:textFill>
              </w:rPr>
              <w:t xml:space="preserve">　</w:t>
            </w:r>
            <w:r w:rsidR="00866B89" w:rsidRPr="00866B89">
              <w:rPr>
                <w:vertAlign w:val="superscript"/>
              </w:rPr>
              <w:t>1</w:t>
            </w:r>
          </w:p>
        </w:tc>
        <w:tc>
          <w:tcPr>
            <w:tcW w:w="639" w:type="pct"/>
            <w:noWrap/>
            <w:hideMark/>
          </w:tcPr>
          <w:p w14:paraId="5151DC59" w14:textId="31616127"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334"/>
                <w14:textFill>
                  <w14:solidFill>
                    <w14:srgbClr w14:val="000000">
                      <w14:alpha w14:val="100000"/>
                    </w14:srgbClr>
                  </w14:solidFill>
                </w14:textFill>
              </w:rPr>
              <w:t xml:space="preserve">　</w:t>
            </w:r>
            <w:r w:rsidRPr="001A4B8B">
              <w:rPr>
                <w:color w:val="000000"/>
                <w:w w:val="22"/>
                <w:shd w:val="solid" w:color="000000" w:fill="000000"/>
                <w:fitText w:val="100" w:id="-961838334"/>
                <w14:textFill>
                  <w14:solidFill>
                    <w14:srgbClr w14:val="000000">
                      <w14:alpha w14:val="100000"/>
                    </w14:srgbClr>
                  </w14:solidFill>
                </w14:textFill>
              </w:rPr>
              <w:t>|</w:t>
            </w:r>
            <w:r w:rsidRPr="001A4B8B">
              <w:rPr>
                <w:rFonts w:hint="eastAsia"/>
                <w:color w:val="000000"/>
                <w:spacing w:val="3"/>
                <w:w w:val="22"/>
                <w:shd w:val="solid" w:color="000000" w:fill="000000"/>
                <w:fitText w:val="100" w:id="-961838334"/>
                <w14:textFill>
                  <w14:solidFill>
                    <w14:srgbClr w14:val="000000">
                      <w14:alpha w14:val="100000"/>
                    </w14:srgbClr>
                  </w14:solidFill>
                </w14:textFill>
              </w:rPr>
              <w:t xml:space="preserve">　</w:t>
            </w:r>
            <w:r w:rsidR="00866B89" w:rsidRPr="00866B89">
              <w:rPr>
                <w:vertAlign w:val="superscript"/>
              </w:rPr>
              <w:t>1</w:t>
            </w:r>
          </w:p>
        </w:tc>
      </w:tr>
      <w:tr w:rsidR="00371021" w:rsidRPr="00371021" w14:paraId="3CD539DF" w14:textId="77777777" w:rsidTr="00603002">
        <w:trPr>
          <w:trHeight w:val="20"/>
        </w:trPr>
        <w:tc>
          <w:tcPr>
            <w:tcW w:w="1176" w:type="pct"/>
            <w:noWrap/>
            <w:hideMark/>
          </w:tcPr>
          <w:p w14:paraId="42FB5A92" w14:textId="77777777" w:rsidR="00371021" w:rsidRPr="00371021" w:rsidRDefault="00371021" w:rsidP="00603002">
            <w:pPr>
              <w:pStyle w:val="TableText"/>
              <w:keepNext/>
            </w:pPr>
            <w:r w:rsidRPr="00371021">
              <w:t>No. scripts (5.48 per patient-year on treatment)</w:t>
            </w:r>
          </w:p>
        </w:tc>
        <w:tc>
          <w:tcPr>
            <w:tcW w:w="637" w:type="pct"/>
            <w:noWrap/>
            <w:hideMark/>
          </w:tcPr>
          <w:p w14:paraId="3FCE6F93" w14:textId="48DBB3C3"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3"/>
                <w14:textFill>
                  <w14:solidFill>
                    <w14:srgbClr w14:val="000000">
                      <w14:alpha w14:val="100000"/>
                    </w14:srgbClr>
                  </w14:solidFill>
                </w14:textFill>
              </w:rPr>
              <w:t xml:space="preserve">　</w:t>
            </w:r>
            <w:r w:rsidRPr="001A4B8B">
              <w:rPr>
                <w:color w:val="000000"/>
                <w:w w:val="25"/>
                <w:shd w:val="solid" w:color="000000" w:fill="000000"/>
                <w:fitText w:val="113" w:id="-961838333"/>
                <w14:textFill>
                  <w14:solidFill>
                    <w14:srgbClr w14:val="000000">
                      <w14:alpha w14:val="100000"/>
                    </w14:srgbClr>
                  </w14:solidFill>
                </w14:textFill>
              </w:rPr>
              <w:t>|</w:t>
            </w:r>
            <w:r w:rsidRPr="001A4B8B">
              <w:rPr>
                <w:rFonts w:hint="eastAsia"/>
                <w:color w:val="000000"/>
                <w:spacing w:val="2"/>
                <w:w w:val="25"/>
                <w:shd w:val="solid" w:color="000000" w:fill="000000"/>
                <w:fitText w:val="113" w:id="-961838333"/>
                <w14:textFill>
                  <w14:solidFill>
                    <w14:srgbClr w14:val="000000">
                      <w14:alpha w14:val="100000"/>
                    </w14:srgbClr>
                  </w14:solidFill>
                </w14:textFill>
              </w:rPr>
              <w:t xml:space="preserve">　</w:t>
            </w:r>
            <w:r w:rsidR="00866B89" w:rsidRPr="00866B89">
              <w:rPr>
                <w:vertAlign w:val="superscript"/>
              </w:rPr>
              <w:t>2</w:t>
            </w:r>
          </w:p>
        </w:tc>
        <w:tc>
          <w:tcPr>
            <w:tcW w:w="637" w:type="pct"/>
            <w:noWrap/>
            <w:hideMark/>
          </w:tcPr>
          <w:p w14:paraId="6D9B40C0" w14:textId="13652AAE"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2"/>
                <w14:textFill>
                  <w14:solidFill>
                    <w14:srgbClr w14:val="000000">
                      <w14:alpha w14:val="100000"/>
                    </w14:srgbClr>
                  </w14:solidFill>
                </w14:textFill>
              </w:rPr>
              <w:t xml:space="preserve">　</w:t>
            </w:r>
            <w:r w:rsidRPr="001A4B8B">
              <w:rPr>
                <w:color w:val="000000"/>
                <w:w w:val="25"/>
                <w:shd w:val="solid" w:color="000000" w:fill="000000"/>
                <w:fitText w:val="113" w:id="-961838332"/>
                <w14:textFill>
                  <w14:solidFill>
                    <w14:srgbClr w14:val="000000">
                      <w14:alpha w14:val="100000"/>
                    </w14:srgbClr>
                  </w14:solidFill>
                </w14:textFill>
              </w:rPr>
              <w:t>|</w:t>
            </w:r>
            <w:r w:rsidRPr="001A4B8B">
              <w:rPr>
                <w:rFonts w:hint="eastAsia"/>
                <w:color w:val="000000"/>
                <w:spacing w:val="2"/>
                <w:w w:val="25"/>
                <w:shd w:val="solid" w:color="000000" w:fill="000000"/>
                <w:fitText w:val="113" w:id="-961838332"/>
                <w14:textFill>
                  <w14:solidFill>
                    <w14:srgbClr w14:val="000000">
                      <w14:alpha w14:val="100000"/>
                    </w14:srgbClr>
                  </w14:solidFill>
                </w14:textFill>
              </w:rPr>
              <w:t xml:space="preserve">　</w:t>
            </w:r>
            <w:r w:rsidR="00866B89" w:rsidRPr="00866B89">
              <w:rPr>
                <w:vertAlign w:val="superscript"/>
              </w:rPr>
              <w:t>2</w:t>
            </w:r>
          </w:p>
        </w:tc>
        <w:tc>
          <w:tcPr>
            <w:tcW w:w="637" w:type="pct"/>
            <w:noWrap/>
            <w:hideMark/>
          </w:tcPr>
          <w:p w14:paraId="78100A98" w14:textId="047D18C1"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1"/>
                <w14:textFill>
                  <w14:solidFill>
                    <w14:srgbClr w14:val="000000">
                      <w14:alpha w14:val="100000"/>
                    </w14:srgbClr>
                  </w14:solidFill>
                </w14:textFill>
              </w:rPr>
              <w:t xml:space="preserve">　</w:t>
            </w:r>
            <w:r w:rsidRPr="001A4B8B">
              <w:rPr>
                <w:color w:val="000000"/>
                <w:w w:val="25"/>
                <w:shd w:val="solid" w:color="000000" w:fill="000000"/>
                <w:fitText w:val="113" w:id="-961838331"/>
                <w14:textFill>
                  <w14:solidFill>
                    <w14:srgbClr w14:val="000000">
                      <w14:alpha w14:val="100000"/>
                    </w14:srgbClr>
                  </w14:solidFill>
                </w14:textFill>
              </w:rPr>
              <w:t>|</w:t>
            </w:r>
            <w:r w:rsidRPr="001A4B8B">
              <w:rPr>
                <w:rFonts w:hint="eastAsia"/>
                <w:color w:val="000000"/>
                <w:spacing w:val="2"/>
                <w:w w:val="25"/>
                <w:shd w:val="solid" w:color="000000" w:fill="000000"/>
                <w:fitText w:val="113" w:id="-961838331"/>
                <w14:textFill>
                  <w14:solidFill>
                    <w14:srgbClr w14:val="000000">
                      <w14:alpha w14:val="100000"/>
                    </w14:srgbClr>
                  </w14:solidFill>
                </w14:textFill>
              </w:rPr>
              <w:t xml:space="preserve">　</w:t>
            </w:r>
            <w:r w:rsidR="00866B89" w:rsidRPr="00866B89">
              <w:rPr>
                <w:vertAlign w:val="superscript"/>
              </w:rPr>
              <w:t>2</w:t>
            </w:r>
          </w:p>
        </w:tc>
        <w:tc>
          <w:tcPr>
            <w:tcW w:w="637" w:type="pct"/>
            <w:noWrap/>
            <w:hideMark/>
          </w:tcPr>
          <w:p w14:paraId="1A736B5F" w14:textId="6CA36A06"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30"/>
                <w14:textFill>
                  <w14:solidFill>
                    <w14:srgbClr w14:val="000000">
                      <w14:alpha w14:val="100000"/>
                    </w14:srgbClr>
                  </w14:solidFill>
                </w14:textFill>
              </w:rPr>
              <w:t xml:space="preserve">　</w:t>
            </w:r>
            <w:r w:rsidRPr="001A4B8B">
              <w:rPr>
                <w:color w:val="000000"/>
                <w:w w:val="25"/>
                <w:shd w:val="solid" w:color="000000" w:fill="000000"/>
                <w:fitText w:val="113" w:id="-961838330"/>
                <w14:textFill>
                  <w14:solidFill>
                    <w14:srgbClr w14:val="000000">
                      <w14:alpha w14:val="100000"/>
                    </w14:srgbClr>
                  </w14:solidFill>
                </w14:textFill>
              </w:rPr>
              <w:t>|</w:t>
            </w:r>
            <w:r w:rsidRPr="001A4B8B">
              <w:rPr>
                <w:rFonts w:hint="eastAsia"/>
                <w:color w:val="000000"/>
                <w:spacing w:val="2"/>
                <w:w w:val="25"/>
                <w:shd w:val="solid" w:color="000000" w:fill="000000"/>
                <w:fitText w:val="113" w:id="-961838330"/>
                <w14:textFill>
                  <w14:solidFill>
                    <w14:srgbClr w14:val="000000">
                      <w14:alpha w14:val="100000"/>
                    </w14:srgbClr>
                  </w14:solidFill>
                </w14:textFill>
              </w:rPr>
              <w:t xml:space="preserve">　</w:t>
            </w:r>
            <w:r w:rsidR="00866B89" w:rsidRPr="00866B89">
              <w:rPr>
                <w:vertAlign w:val="superscript"/>
              </w:rPr>
              <w:t>2</w:t>
            </w:r>
          </w:p>
        </w:tc>
        <w:tc>
          <w:tcPr>
            <w:tcW w:w="637" w:type="pct"/>
            <w:noWrap/>
            <w:hideMark/>
          </w:tcPr>
          <w:p w14:paraId="58EAE29E" w14:textId="6CF38B97"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329"/>
                <w14:textFill>
                  <w14:solidFill>
                    <w14:srgbClr w14:val="000000">
                      <w14:alpha w14:val="100000"/>
                    </w14:srgbClr>
                  </w14:solidFill>
                </w14:textFill>
              </w:rPr>
              <w:t xml:space="preserve">　</w:t>
            </w:r>
            <w:r w:rsidRPr="001A4B8B">
              <w:rPr>
                <w:color w:val="000000"/>
                <w:w w:val="25"/>
                <w:shd w:val="solid" w:color="000000" w:fill="000000"/>
                <w:fitText w:val="113" w:id="-961838329"/>
                <w14:textFill>
                  <w14:solidFill>
                    <w14:srgbClr w14:val="000000">
                      <w14:alpha w14:val="100000"/>
                    </w14:srgbClr>
                  </w14:solidFill>
                </w14:textFill>
              </w:rPr>
              <w:t>|</w:t>
            </w:r>
            <w:r w:rsidRPr="001A4B8B">
              <w:rPr>
                <w:rFonts w:hint="eastAsia"/>
                <w:color w:val="000000"/>
                <w:spacing w:val="2"/>
                <w:w w:val="25"/>
                <w:shd w:val="solid" w:color="000000" w:fill="000000"/>
                <w:fitText w:val="113" w:id="-961838329"/>
                <w14:textFill>
                  <w14:solidFill>
                    <w14:srgbClr w14:val="000000">
                      <w14:alpha w14:val="100000"/>
                    </w14:srgbClr>
                  </w14:solidFill>
                </w14:textFill>
              </w:rPr>
              <w:t xml:space="preserve">　</w:t>
            </w:r>
            <w:r w:rsidR="00866B89" w:rsidRPr="00866B89">
              <w:rPr>
                <w:vertAlign w:val="superscript"/>
              </w:rPr>
              <w:t>2</w:t>
            </w:r>
          </w:p>
        </w:tc>
        <w:tc>
          <w:tcPr>
            <w:tcW w:w="639" w:type="pct"/>
            <w:noWrap/>
            <w:hideMark/>
          </w:tcPr>
          <w:p w14:paraId="4604AFB3" w14:textId="10BD05FA"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080"/>
                <w14:textFill>
                  <w14:solidFill>
                    <w14:srgbClr w14:val="000000">
                      <w14:alpha w14:val="100000"/>
                    </w14:srgbClr>
                  </w14:solidFill>
                </w14:textFill>
              </w:rPr>
              <w:t xml:space="preserve">　</w:t>
            </w:r>
            <w:r w:rsidRPr="001A4B8B">
              <w:rPr>
                <w:color w:val="000000"/>
                <w:w w:val="22"/>
                <w:shd w:val="solid" w:color="000000" w:fill="000000"/>
                <w:fitText w:val="100" w:id="-961838080"/>
                <w14:textFill>
                  <w14:solidFill>
                    <w14:srgbClr w14:val="000000">
                      <w14:alpha w14:val="100000"/>
                    </w14:srgbClr>
                  </w14:solidFill>
                </w14:textFill>
              </w:rPr>
              <w:t>|</w:t>
            </w:r>
            <w:r w:rsidRPr="001A4B8B">
              <w:rPr>
                <w:rFonts w:hint="eastAsia"/>
                <w:color w:val="000000"/>
                <w:spacing w:val="3"/>
                <w:w w:val="22"/>
                <w:shd w:val="solid" w:color="000000" w:fill="000000"/>
                <w:fitText w:val="100" w:id="-961838080"/>
                <w14:textFill>
                  <w14:solidFill>
                    <w14:srgbClr w14:val="000000">
                      <w14:alpha w14:val="100000"/>
                    </w14:srgbClr>
                  </w14:solidFill>
                </w14:textFill>
              </w:rPr>
              <w:t xml:space="preserve">　</w:t>
            </w:r>
            <w:r w:rsidR="00866B89" w:rsidRPr="00866B89">
              <w:rPr>
                <w:vertAlign w:val="superscript"/>
              </w:rPr>
              <w:t>2</w:t>
            </w:r>
          </w:p>
        </w:tc>
      </w:tr>
      <w:tr w:rsidR="00371021" w:rsidRPr="00371021" w14:paraId="17344F17" w14:textId="77777777" w:rsidTr="00603002">
        <w:trPr>
          <w:trHeight w:val="20"/>
        </w:trPr>
        <w:tc>
          <w:tcPr>
            <w:tcW w:w="1176" w:type="pct"/>
            <w:noWrap/>
            <w:hideMark/>
          </w:tcPr>
          <w:p w14:paraId="5B1A03AA" w14:textId="1985794F" w:rsidR="00371021" w:rsidRPr="00371021" w:rsidRDefault="00371021" w:rsidP="00603002">
            <w:pPr>
              <w:pStyle w:val="TableText"/>
              <w:keepNext/>
            </w:pPr>
            <w:r w:rsidRPr="00371021">
              <w:t>Cost to the PBS ($</w:t>
            </w:r>
            <w:r w:rsidR="001A4B8B" w:rsidRPr="001A4B8B">
              <w:rPr>
                <w:color w:val="000000"/>
                <w:spacing w:val="51"/>
                <w:shd w:val="solid" w:color="000000" w:fill="000000"/>
                <w:fitText w:val="325" w:id="-961838079"/>
                <w14:textFill>
                  <w14:solidFill>
                    <w14:srgbClr w14:val="000000">
                      <w14:alpha w14:val="100000"/>
                    </w14:srgbClr>
                  </w14:solidFill>
                </w14:textFill>
              </w:rPr>
              <w:t>|||</w:t>
            </w:r>
            <w:r w:rsidR="001A4B8B" w:rsidRPr="001A4B8B">
              <w:rPr>
                <w:color w:val="000000"/>
                <w:spacing w:val="2"/>
                <w:shd w:val="solid" w:color="000000" w:fill="000000"/>
                <w:fitText w:val="325" w:id="-961838079"/>
                <w14:textFill>
                  <w14:solidFill>
                    <w14:srgbClr w14:val="000000">
                      <w14:alpha w14:val="100000"/>
                    </w14:srgbClr>
                  </w14:solidFill>
                </w14:textFill>
              </w:rPr>
              <w:t>|</w:t>
            </w:r>
            <w:r w:rsidRPr="00371021">
              <w:t xml:space="preserve"> per script)</w:t>
            </w:r>
          </w:p>
        </w:tc>
        <w:tc>
          <w:tcPr>
            <w:tcW w:w="637" w:type="pct"/>
            <w:noWrap/>
            <w:hideMark/>
          </w:tcPr>
          <w:p w14:paraId="100B80EE" w14:textId="36F04401"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8"/>
                <w14:textFill>
                  <w14:solidFill>
                    <w14:srgbClr w14:val="000000">
                      <w14:alpha w14:val="100000"/>
                    </w14:srgbClr>
                  </w14:solidFill>
                </w14:textFill>
              </w:rPr>
              <w:t xml:space="preserve">　</w:t>
            </w:r>
            <w:r w:rsidRPr="001A4B8B">
              <w:rPr>
                <w:color w:val="000000"/>
                <w:w w:val="25"/>
                <w:shd w:val="solid" w:color="000000" w:fill="000000"/>
                <w:fitText w:val="113" w:id="-961838078"/>
                <w14:textFill>
                  <w14:solidFill>
                    <w14:srgbClr w14:val="000000">
                      <w14:alpha w14:val="100000"/>
                    </w14:srgbClr>
                  </w14:solidFill>
                </w14:textFill>
              </w:rPr>
              <w:t>|</w:t>
            </w:r>
            <w:r w:rsidRPr="001A4B8B">
              <w:rPr>
                <w:rFonts w:hint="eastAsia"/>
                <w:color w:val="000000"/>
                <w:spacing w:val="2"/>
                <w:w w:val="25"/>
                <w:shd w:val="solid" w:color="000000" w:fill="000000"/>
                <w:fitText w:val="113" w:id="-961838078"/>
                <w14:textFill>
                  <w14:solidFill>
                    <w14:srgbClr w14:val="000000">
                      <w14:alpha w14:val="100000"/>
                    </w14:srgbClr>
                  </w14:solidFill>
                </w14:textFill>
              </w:rPr>
              <w:t xml:space="preserve">　</w:t>
            </w:r>
            <w:r w:rsidR="00866B89" w:rsidRPr="00866B89">
              <w:rPr>
                <w:vertAlign w:val="superscript"/>
              </w:rPr>
              <w:t>3</w:t>
            </w:r>
          </w:p>
        </w:tc>
        <w:tc>
          <w:tcPr>
            <w:tcW w:w="637" w:type="pct"/>
            <w:noWrap/>
            <w:hideMark/>
          </w:tcPr>
          <w:p w14:paraId="245DDAB7" w14:textId="371160ED"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7"/>
                <w14:textFill>
                  <w14:solidFill>
                    <w14:srgbClr w14:val="000000">
                      <w14:alpha w14:val="100000"/>
                    </w14:srgbClr>
                  </w14:solidFill>
                </w14:textFill>
              </w:rPr>
              <w:t xml:space="preserve">　</w:t>
            </w:r>
            <w:r w:rsidRPr="001A4B8B">
              <w:rPr>
                <w:color w:val="000000"/>
                <w:w w:val="25"/>
                <w:shd w:val="solid" w:color="000000" w:fill="000000"/>
                <w:fitText w:val="113" w:id="-961838077"/>
                <w14:textFill>
                  <w14:solidFill>
                    <w14:srgbClr w14:val="000000">
                      <w14:alpha w14:val="100000"/>
                    </w14:srgbClr>
                  </w14:solidFill>
                </w14:textFill>
              </w:rPr>
              <w:t>|</w:t>
            </w:r>
            <w:r w:rsidRPr="001A4B8B">
              <w:rPr>
                <w:rFonts w:hint="eastAsia"/>
                <w:color w:val="000000"/>
                <w:spacing w:val="2"/>
                <w:w w:val="25"/>
                <w:shd w:val="solid" w:color="000000" w:fill="000000"/>
                <w:fitText w:val="113" w:id="-961838077"/>
                <w14:textFill>
                  <w14:solidFill>
                    <w14:srgbClr w14:val="000000">
                      <w14:alpha w14:val="100000"/>
                    </w14:srgbClr>
                  </w14:solidFill>
                </w14:textFill>
              </w:rPr>
              <w:t xml:space="preserve">　</w:t>
            </w:r>
            <w:r w:rsidR="00866B89" w:rsidRPr="00866B89">
              <w:rPr>
                <w:vertAlign w:val="superscript"/>
              </w:rPr>
              <w:t>4</w:t>
            </w:r>
          </w:p>
        </w:tc>
        <w:tc>
          <w:tcPr>
            <w:tcW w:w="637" w:type="pct"/>
            <w:noWrap/>
            <w:hideMark/>
          </w:tcPr>
          <w:p w14:paraId="3F9C776C" w14:textId="7869AFA0"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6"/>
                <w14:textFill>
                  <w14:solidFill>
                    <w14:srgbClr w14:val="000000">
                      <w14:alpha w14:val="100000"/>
                    </w14:srgbClr>
                  </w14:solidFill>
                </w14:textFill>
              </w:rPr>
              <w:t xml:space="preserve">　</w:t>
            </w:r>
            <w:r w:rsidRPr="001A4B8B">
              <w:rPr>
                <w:color w:val="000000"/>
                <w:w w:val="25"/>
                <w:shd w:val="solid" w:color="000000" w:fill="000000"/>
                <w:fitText w:val="113" w:id="-961838076"/>
                <w14:textFill>
                  <w14:solidFill>
                    <w14:srgbClr w14:val="000000">
                      <w14:alpha w14:val="100000"/>
                    </w14:srgbClr>
                  </w14:solidFill>
                </w14:textFill>
              </w:rPr>
              <w:t>|</w:t>
            </w:r>
            <w:r w:rsidRPr="001A4B8B">
              <w:rPr>
                <w:rFonts w:hint="eastAsia"/>
                <w:color w:val="000000"/>
                <w:spacing w:val="2"/>
                <w:w w:val="25"/>
                <w:shd w:val="solid" w:color="000000" w:fill="000000"/>
                <w:fitText w:val="113" w:id="-961838076"/>
                <w14:textFill>
                  <w14:solidFill>
                    <w14:srgbClr w14:val="000000">
                      <w14:alpha w14:val="100000"/>
                    </w14:srgbClr>
                  </w14:solidFill>
                </w14:textFill>
              </w:rPr>
              <w:t xml:space="preserve">　</w:t>
            </w:r>
            <w:r w:rsidR="00866B89" w:rsidRPr="00866B89">
              <w:rPr>
                <w:vertAlign w:val="superscript"/>
              </w:rPr>
              <w:t>4</w:t>
            </w:r>
          </w:p>
        </w:tc>
        <w:tc>
          <w:tcPr>
            <w:tcW w:w="637" w:type="pct"/>
            <w:noWrap/>
            <w:hideMark/>
          </w:tcPr>
          <w:p w14:paraId="709E3503" w14:textId="5B42E79B"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5"/>
                <w14:textFill>
                  <w14:solidFill>
                    <w14:srgbClr w14:val="000000">
                      <w14:alpha w14:val="100000"/>
                    </w14:srgbClr>
                  </w14:solidFill>
                </w14:textFill>
              </w:rPr>
              <w:t xml:space="preserve">　</w:t>
            </w:r>
            <w:r w:rsidRPr="001A4B8B">
              <w:rPr>
                <w:color w:val="000000"/>
                <w:w w:val="25"/>
                <w:shd w:val="solid" w:color="000000" w:fill="000000"/>
                <w:fitText w:val="113" w:id="-961838075"/>
                <w14:textFill>
                  <w14:solidFill>
                    <w14:srgbClr w14:val="000000">
                      <w14:alpha w14:val="100000"/>
                    </w14:srgbClr>
                  </w14:solidFill>
                </w14:textFill>
              </w:rPr>
              <w:t>|</w:t>
            </w:r>
            <w:r w:rsidRPr="001A4B8B">
              <w:rPr>
                <w:rFonts w:hint="eastAsia"/>
                <w:color w:val="000000"/>
                <w:spacing w:val="2"/>
                <w:w w:val="25"/>
                <w:shd w:val="solid" w:color="000000" w:fill="000000"/>
                <w:fitText w:val="113" w:id="-961838075"/>
                <w14:textFill>
                  <w14:solidFill>
                    <w14:srgbClr w14:val="000000">
                      <w14:alpha w14:val="100000"/>
                    </w14:srgbClr>
                  </w14:solidFill>
                </w14:textFill>
              </w:rPr>
              <w:t xml:space="preserve">　</w:t>
            </w:r>
            <w:r w:rsidR="00866B89" w:rsidRPr="00866B89">
              <w:rPr>
                <w:vertAlign w:val="superscript"/>
              </w:rPr>
              <w:t>4</w:t>
            </w:r>
          </w:p>
        </w:tc>
        <w:tc>
          <w:tcPr>
            <w:tcW w:w="637" w:type="pct"/>
            <w:noWrap/>
            <w:hideMark/>
          </w:tcPr>
          <w:p w14:paraId="00649893" w14:textId="5A7793AF"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4"/>
                <w14:textFill>
                  <w14:solidFill>
                    <w14:srgbClr w14:val="000000">
                      <w14:alpha w14:val="100000"/>
                    </w14:srgbClr>
                  </w14:solidFill>
                </w14:textFill>
              </w:rPr>
              <w:t xml:space="preserve">　</w:t>
            </w:r>
            <w:r w:rsidRPr="001A4B8B">
              <w:rPr>
                <w:color w:val="000000"/>
                <w:w w:val="25"/>
                <w:shd w:val="solid" w:color="000000" w:fill="000000"/>
                <w:fitText w:val="113" w:id="-961838074"/>
                <w14:textFill>
                  <w14:solidFill>
                    <w14:srgbClr w14:val="000000">
                      <w14:alpha w14:val="100000"/>
                    </w14:srgbClr>
                  </w14:solidFill>
                </w14:textFill>
              </w:rPr>
              <w:t>|</w:t>
            </w:r>
            <w:r w:rsidRPr="001A4B8B">
              <w:rPr>
                <w:rFonts w:hint="eastAsia"/>
                <w:color w:val="000000"/>
                <w:spacing w:val="2"/>
                <w:w w:val="25"/>
                <w:shd w:val="solid" w:color="000000" w:fill="000000"/>
                <w:fitText w:val="113" w:id="-961838074"/>
                <w14:textFill>
                  <w14:solidFill>
                    <w14:srgbClr w14:val="000000">
                      <w14:alpha w14:val="100000"/>
                    </w14:srgbClr>
                  </w14:solidFill>
                </w14:textFill>
              </w:rPr>
              <w:t xml:space="preserve">　</w:t>
            </w:r>
            <w:r w:rsidR="00866B89" w:rsidRPr="00866B89">
              <w:rPr>
                <w:vertAlign w:val="superscript"/>
              </w:rPr>
              <w:t>4</w:t>
            </w:r>
          </w:p>
        </w:tc>
        <w:tc>
          <w:tcPr>
            <w:tcW w:w="639" w:type="pct"/>
            <w:noWrap/>
            <w:hideMark/>
          </w:tcPr>
          <w:p w14:paraId="2E3DE2D8" w14:textId="014755FC"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073"/>
                <w14:textFill>
                  <w14:solidFill>
                    <w14:srgbClr w14:val="000000">
                      <w14:alpha w14:val="100000"/>
                    </w14:srgbClr>
                  </w14:solidFill>
                </w14:textFill>
              </w:rPr>
              <w:t xml:space="preserve">　</w:t>
            </w:r>
            <w:r w:rsidRPr="001A4B8B">
              <w:rPr>
                <w:color w:val="000000"/>
                <w:w w:val="22"/>
                <w:shd w:val="solid" w:color="000000" w:fill="000000"/>
                <w:fitText w:val="100" w:id="-961838073"/>
                <w14:textFill>
                  <w14:solidFill>
                    <w14:srgbClr w14:val="000000">
                      <w14:alpha w14:val="100000"/>
                    </w14:srgbClr>
                  </w14:solidFill>
                </w14:textFill>
              </w:rPr>
              <w:t>|</w:t>
            </w:r>
            <w:r w:rsidRPr="001A4B8B">
              <w:rPr>
                <w:rFonts w:hint="eastAsia"/>
                <w:color w:val="000000"/>
                <w:spacing w:val="3"/>
                <w:w w:val="22"/>
                <w:shd w:val="solid" w:color="000000" w:fill="000000"/>
                <w:fitText w:val="100" w:id="-961838073"/>
                <w14:textFill>
                  <w14:solidFill>
                    <w14:srgbClr w14:val="000000">
                      <w14:alpha w14:val="100000"/>
                    </w14:srgbClr>
                  </w14:solidFill>
                </w14:textFill>
              </w:rPr>
              <w:t xml:space="preserve">　</w:t>
            </w:r>
            <w:r w:rsidR="00866B89" w:rsidRPr="00866B89">
              <w:rPr>
                <w:vertAlign w:val="superscript"/>
              </w:rPr>
              <w:t>4</w:t>
            </w:r>
          </w:p>
        </w:tc>
      </w:tr>
      <w:tr w:rsidR="00371021" w:rsidRPr="00371021" w14:paraId="0E03480A" w14:textId="77777777" w:rsidTr="00603002">
        <w:trPr>
          <w:trHeight w:val="20"/>
        </w:trPr>
        <w:tc>
          <w:tcPr>
            <w:tcW w:w="1176" w:type="pct"/>
            <w:noWrap/>
            <w:hideMark/>
          </w:tcPr>
          <w:p w14:paraId="4CCAE651" w14:textId="77777777" w:rsidR="00371021" w:rsidRPr="00371021" w:rsidRDefault="00371021" w:rsidP="00603002">
            <w:pPr>
              <w:pStyle w:val="TableText"/>
              <w:keepNext/>
            </w:pPr>
            <w:r w:rsidRPr="00371021">
              <w:t>Patient copayments ($22.96 per script)</w:t>
            </w:r>
          </w:p>
        </w:tc>
        <w:tc>
          <w:tcPr>
            <w:tcW w:w="637" w:type="pct"/>
            <w:noWrap/>
            <w:hideMark/>
          </w:tcPr>
          <w:p w14:paraId="1EF29DC6" w14:textId="40FE487C"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2"/>
                <w14:textFill>
                  <w14:solidFill>
                    <w14:srgbClr w14:val="000000">
                      <w14:alpha w14:val="100000"/>
                    </w14:srgbClr>
                  </w14:solidFill>
                </w14:textFill>
              </w:rPr>
              <w:t xml:space="preserve">　</w:t>
            </w:r>
            <w:r w:rsidRPr="001A4B8B">
              <w:rPr>
                <w:color w:val="000000"/>
                <w:w w:val="25"/>
                <w:shd w:val="solid" w:color="000000" w:fill="000000"/>
                <w:fitText w:val="113" w:id="-961838072"/>
                <w14:textFill>
                  <w14:solidFill>
                    <w14:srgbClr w14:val="000000">
                      <w14:alpha w14:val="100000"/>
                    </w14:srgbClr>
                  </w14:solidFill>
                </w14:textFill>
              </w:rPr>
              <w:t>|</w:t>
            </w:r>
            <w:r w:rsidRPr="001A4B8B">
              <w:rPr>
                <w:rFonts w:hint="eastAsia"/>
                <w:color w:val="000000"/>
                <w:spacing w:val="2"/>
                <w:w w:val="25"/>
                <w:shd w:val="solid" w:color="000000" w:fill="000000"/>
                <w:fitText w:val="113" w:id="-961838072"/>
                <w14:textFill>
                  <w14:solidFill>
                    <w14:srgbClr w14:val="000000">
                      <w14:alpha w14:val="100000"/>
                    </w14:srgbClr>
                  </w14:solidFill>
                </w14:textFill>
              </w:rPr>
              <w:t xml:space="preserve">　</w:t>
            </w:r>
            <w:r w:rsidR="00866B89" w:rsidRPr="00866B89">
              <w:rPr>
                <w:vertAlign w:val="superscript"/>
              </w:rPr>
              <w:t>3</w:t>
            </w:r>
          </w:p>
        </w:tc>
        <w:tc>
          <w:tcPr>
            <w:tcW w:w="637" w:type="pct"/>
            <w:noWrap/>
            <w:hideMark/>
          </w:tcPr>
          <w:p w14:paraId="5C9B816E" w14:textId="58EAEADC"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1"/>
                <w14:textFill>
                  <w14:solidFill>
                    <w14:srgbClr w14:val="000000">
                      <w14:alpha w14:val="100000"/>
                    </w14:srgbClr>
                  </w14:solidFill>
                </w14:textFill>
              </w:rPr>
              <w:t xml:space="preserve">　</w:t>
            </w:r>
            <w:r w:rsidRPr="001A4B8B">
              <w:rPr>
                <w:color w:val="000000"/>
                <w:w w:val="25"/>
                <w:shd w:val="solid" w:color="000000" w:fill="000000"/>
                <w:fitText w:val="113" w:id="-961838071"/>
                <w14:textFill>
                  <w14:solidFill>
                    <w14:srgbClr w14:val="000000">
                      <w14:alpha w14:val="100000"/>
                    </w14:srgbClr>
                  </w14:solidFill>
                </w14:textFill>
              </w:rPr>
              <w:t>|</w:t>
            </w:r>
            <w:r w:rsidRPr="001A4B8B">
              <w:rPr>
                <w:rFonts w:hint="eastAsia"/>
                <w:color w:val="000000"/>
                <w:spacing w:val="2"/>
                <w:w w:val="25"/>
                <w:shd w:val="solid" w:color="000000" w:fill="000000"/>
                <w:fitText w:val="113" w:id="-961838071"/>
                <w14:textFill>
                  <w14:solidFill>
                    <w14:srgbClr w14:val="000000">
                      <w14:alpha w14:val="100000"/>
                    </w14:srgbClr>
                  </w14:solidFill>
                </w14:textFill>
              </w:rPr>
              <w:t xml:space="preserve">　</w:t>
            </w:r>
            <w:r w:rsidR="00866B89" w:rsidRPr="00866B89">
              <w:rPr>
                <w:vertAlign w:val="superscript"/>
              </w:rPr>
              <w:t>3</w:t>
            </w:r>
          </w:p>
        </w:tc>
        <w:tc>
          <w:tcPr>
            <w:tcW w:w="637" w:type="pct"/>
            <w:noWrap/>
            <w:hideMark/>
          </w:tcPr>
          <w:p w14:paraId="54C14442" w14:textId="42FFF178"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70"/>
                <w14:textFill>
                  <w14:solidFill>
                    <w14:srgbClr w14:val="000000">
                      <w14:alpha w14:val="100000"/>
                    </w14:srgbClr>
                  </w14:solidFill>
                </w14:textFill>
              </w:rPr>
              <w:t xml:space="preserve">　</w:t>
            </w:r>
            <w:r w:rsidRPr="001A4B8B">
              <w:rPr>
                <w:color w:val="000000"/>
                <w:w w:val="25"/>
                <w:shd w:val="solid" w:color="000000" w:fill="000000"/>
                <w:fitText w:val="113" w:id="-961838070"/>
                <w14:textFill>
                  <w14:solidFill>
                    <w14:srgbClr w14:val="000000">
                      <w14:alpha w14:val="100000"/>
                    </w14:srgbClr>
                  </w14:solidFill>
                </w14:textFill>
              </w:rPr>
              <w:t>|</w:t>
            </w:r>
            <w:r w:rsidRPr="001A4B8B">
              <w:rPr>
                <w:rFonts w:hint="eastAsia"/>
                <w:color w:val="000000"/>
                <w:spacing w:val="2"/>
                <w:w w:val="25"/>
                <w:shd w:val="solid" w:color="000000" w:fill="000000"/>
                <w:fitText w:val="113" w:id="-961838070"/>
                <w14:textFill>
                  <w14:solidFill>
                    <w14:srgbClr w14:val="000000">
                      <w14:alpha w14:val="100000"/>
                    </w14:srgbClr>
                  </w14:solidFill>
                </w14:textFill>
              </w:rPr>
              <w:t xml:space="preserve">　</w:t>
            </w:r>
            <w:r w:rsidR="00866B89" w:rsidRPr="00866B89">
              <w:rPr>
                <w:vertAlign w:val="superscript"/>
              </w:rPr>
              <w:t>3</w:t>
            </w:r>
          </w:p>
        </w:tc>
        <w:tc>
          <w:tcPr>
            <w:tcW w:w="637" w:type="pct"/>
            <w:noWrap/>
            <w:hideMark/>
          </w:tcPr>
          <w:p w14:paraId="15647604" w14:textId="02463C06"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69"/>
                <w14:textFill>
                  <w14:solidFill>
                    <w14:srgbClr w14:val="000000">
                      <w14:alpha w14:val="100000"/>
                    </w14:srgbClr>
                  </w14:solidFill>
                </w14:textFill>
              </w:rPr>
              <w:t xml:space="preserve">　</w:t>
            </w:r>
            <w:r w:rsidRPr="001A4B8B">
              <w:rPr>
                <w:color w:val="000000"/>
                <w:w w:val="25"/>
                <w:shd w:val="solid" w:color="000000" w:fill="000000"/>
                <w:fitText w:val="113" w:id="-961838069"/>
                <w14:textFill>
                  <w14:solidFill>
                    <w14:srgbClr w14:val="000000">
                      <w14:alpha w14:val="100000"/>
                    </w14:srgbClr>
                  </w14:solidFill>
                </w14:textFill>
              </w:rPr>
              <w:t>|</w:t>
            </w:r>
            <w:r w:rsidRPr="001A4B8B">
              <w:rPr>
                <w:rFonts w:hint="eastAsia"/>
                <w:color w:val="000000"/>
                <w:spacing w:val="2"/>
                <w:w w:val="25"/>
                <w:shd w:val="solid" w:color="000000" w:fill="000000"/>
                <w:fitText w:val="113" w:id="-961838069"/>
                <w14:textFill>
                  <w14:solidFill>
                    <w14:srgbClr w14:val="000000">
                      <w14:alpha w14:val="100000"/>
                    </w14:srgbClr>
                  </w14:solidFill>
                </w14:textFill>
              </w:rPr>
              <w:t xml:space="preserve">　</w:t>
            </w:r>
            <w:r w:rsidR="00866B89" w:rsidRPr="00866B89">
              <w:rPr>
                <w:vertAlign w:val="superscript"/>
              </w:rPr>
              <w:t>3</w:t>
            </w:r>
          </w:p>
        </w:tc>
        <w:tc>
          <w:tcPr>
            <w:tcW w:w="637" w:type="pct"/>
            <w:noWrap/>
            <w:hideMark/>
          </w:tcPr>
          <w:p w14:paraId="4A10295B" w14:textId="6FD13C26" w:rsidR="00371021" w:rsidRPr="00866B89" w:rsidRDefault="001A4B8B" w:rsidP="00866B89">
            <w:pPr>
              <w:pStyle w:val="TableText"/>
              <w:keepNext/>
              <w:jc w:val="center"/>
              <w:rPr>
                <w:highlight w:val="lightGray"/>
              </w:rPr>
            </w:pPr>
            <w:r w:rsidRPr="001A4B8B">
              <w:rPr>
                <w:rFonts w:hint="eastAsia"/>
                <w:color w:val="000000"/>
                <w:w w:val="25"/>
                <w:shd w:val="solid" w:color="000000" w:fill="000000"/>
                <w:fitText w:val="113" w:id="-961838068"/>
                <w14:textFill>
                  <w14:solidFill>
                    <w14:srgbClr w14:val="000000">
                      <w14:alpha w14:val="100000"/>
                    </w14:srgbClr>
                  </w14:solidFill>
                </w14:textFill>
              </w:rPr>
              <w:t xml:space="preserve">　</w:t>
            </w:r>
            <w:r w:rsidRPr="001A4B8B">
              <w:rPr>
                <w:color w:val="000000"/>
                <w:w w:val="25"/>
                <w:shd w:val="solid" w:color="000000" w:fill="000000"/>
                <w:fitText w:val="113" w:id="-961838068"/>
                <w14:textFill>
                  <w14:solidFill>
                    <w14:srgbClr w14:val="000000">
                      <w14:alpha w14:val="100000"/>
                    </w14:srgbClr>
                  </w14:solidFill>
                </w14:textFill>
              </w:rPr>
              <w:t>|</w:t>
            </w:r>
            <w:r w:rsidRPr="001A4B8B">
              <w:rPr>
                <w:rFonts w:hint="eastAsia"/>
                <w:color w:val="000000"/>
                <w:spacing w:val="2"/>
                <w:w w:val="25"/>
                <w:shd w:val="solid" w:color="000000" w:fill="000000"/>
                <w:fitText w:val="113" w:id="-961838068"/>
                <w14:textFill>
                  <w14:solidFill>
                    <w14:srgbClr w14:val="000000">
                      <w14:alpha w14:val="100000"/>
                    </w14:srgbClr>
                  </w14:solidFill>
                </w14:textFill>
              </w:rPr>
              <w:t xml:space="preserve">　</w:t>
            </w:r>
            <w:r w:rsidR="00866B89" w:rsidRPr="00866B89">
              <w:rPr>
                <w:vertAlign w:val="superscript"/>
              </w:rPr>
              <w:t>3</w:t>
            </w:r>
          </w:p>
        </w:tc>
        <w:tc>
          <w:tcPr>
            <w:tcW w:w="639" w:type="pct"/>
            <w:noWrap/>
            <w:hideMark/>
          </w:tcPr>
          <w:p w14:paraId="690F60D9" w14:textId="54B7CC06" w:rsidR="00371021" w:rsidRPr="00866B89" w:rsidRDefault="001A4B8B" w:rsidP="00866B89">
            <w:pPr>
              <w:pStyle w:val="TableText"/>
              <w:keepNext/>
              <w:jc w:val="center"/>
              <w:rPr>
                <w:highlight w:val="lightGray"/>
              </w:rPr>
            </w:pPr>
            <w:r w:rsidRPr="001A4B8B">
              <w:rPr>
                <w:rFonts w:hint="eastAsia"/>
                <w:color w:val="000000"/>
                <w:w w:val="22"/>
                <w:shd w:val="solid" w:color="000000" w:fill="000000"/>
                <w:fitText w:val="100" w:id="-961838067"/>
                <w14:textFill>
                  <w14:solidFill>
                    <w14:srgbClr w14:val="000000">
                      <w14:alpha w14:val="100000"/>
                    </w14:srgbClr>
                  </w14:solidFill>
                </w14:textFill>
              </w:rPr>
              <w:t xml:space="preserve">　</w:t>
            </w:r>
            <w:r w:rsidRPr="001A4B8B">
              <w:rPr>
                <w:color w:val="000000"/>
                <w:w w:val="22"/>
                <w:shd w:val="solid" w:color="000000" w:fill="000000"/>
                <w:fitText w:val="100" w:id="-961838067"/>
                <w14:textFill>
                  <w14:solidFill>
                    <w14:srgbClr w14:val="000000">
                      <w14:alpha w14:val="100000"/>
                    </w14:srgbClr>
                  </w14:solidFill>
                </w14:textFill>
              </w:rPr>
              <w:t>|</w:t>
            </w:r>
            <w:r w:rsidRPr="001A4B8B">
              <w:rPr>
                <w:rFonts w:hint="eastAsia"/>
                <w:color w:val="000000"/>
                <w:spacing w:val="3"/>
                <w:w w:val="22"/>
                <w:shd w:val="solid" w:color="000000" w:fill="000000"/>
                <w:fitText w:val="100" w:id="-961838067"/>
                <w14:textFill>
                  <w14:solidFill>
                    <w14:srgbClr w14:val="000000">
                      <w14:alpha w14:val="100000"/>
                    </w14:srgbClr>
                  </w14:solidFill>
                </w14:textFill>
              </w:rPr>
              <w:t xml:space="preserve">　</w:t>
            </w:r>
            <w:r w:rsidR="00866B89" w:rsidRPr="00866B89">
              <w:rPr>
                <w:vertAlign w:val="superscript"/>
              </w:rPr>
              <w:t>3</w:t>
            </w:r>
          </w:p>
        </w:tc>
      </w:tr>
      <w:tr w:rsidR="00371021" w:rsidRPr="00371021" w14:paraId="7E1E8352" w14:textId="77777777" w:rsidTr="00603002">
        <w:trPr>
          <w:trHeight w:val="20"/>
        </w:trPr>
        <w:tc>
          <w:tcPr>
            <w:tcW w:w="1176" w:type="pct"/>
            <w:noWrap/>
            <w:hideMark/>
          </w:tcPr>
          <w:p w14:paraId="2EEF6DFE" w14:textId="77777777" w:rsidR="00371021" w:rsidRPr="00371021" w:rsidRDefault="00371021" w:rsidP="00603002">
            <w:pPr>
              <w:pStyle w:val="TableText"/>
              <w:keepNext/>
              <w:rPr>
                <w:b/>
                <w:bCs/>
              </w:rPr>
            </w:pPr>
            <w:r w:rsidRPr="00371021">
              <w:rPr>
                <w:b/>
                <w:bCs/>
              </w:rPr>
              <w:t>Cost to the PBS, less patient copayments</w:t>
            </w:r>
          </w:p>
        </w:tc>
        <w:tc>
          <w:tcPr>
            <w:tcW w:w="637" w:type="pct"/>
            <w:noWrap/>
            <w:hideMark/>
          </w:tcPr>
          <w:p w14:paraId="325B7241" w14:textId="32758837" w:rsidR="00371021" w:rsidRPr="00866B89" w:rsidRDefault="001A4B8B" w:rsidP="00866B89">
            <w:pPr>
              <w:pStyle w:val="TableText"/>
              <w:keepNext/>
              <w:jc w:val="center"/>
              <w:rPr>
                <w:b/>
                <w:bCs/>
                <w:highlight w:val="lightGray"/>
              </w:rPr>
            </w:pPr>
            <w:r w:rsidRPr="001A4B8B">
              <w:rPr>
                <w:b/>
                <w:bCs/>
                <w:color w:val="000000"/>
                <w:spacing w:val="71"/>
                <w:shd w:val="solid" w:color="000000" w:fill="000000"/>
                <w:fitText w:val="163" w:id="-961838066"/>
                <w14:textFill>
                  <w14:solidFill>
                    <w14:srgbClr w14:val="000000">
                      <w14:alpha w14:val="100000"/>
                    </w14:srgbClr>
                  </w14:solidFill>
                </w14:textFill>
              </w:rPr>
              <w:t>|</w:t>
            </w:r>
            <w:r w:rsidRPr="001A4B8B">
              <w:rPr>
                <w:b/>
                <w:bCs/>
                <w:color w:val="000000"/>
                <w:spacing w:val="1"/>
                <w:shd w:val="solid" w:color="000000" w:fill="000000"/>
                <w:fitText w:val="163" w:id="-961838066"/>
                <w14:textFill>
                  <w14:solidFill>
                    <w14:srgbClr w14:val="000000">
                      <w14:alpha w14:val="100000"/>
                    </w14:srgbClr>
                  </w14:solidFill>
                </w14:textFill>
              </w:rPr>
              <w:t>|</w:t>
            </w:r>
            <w:r w:rsidR="00866B89" w:rsidRPr="00866B89">
              <w:rPr>
                <w:vertAlign w:val="superscript"/>
              </w:rPr>
              <w:t>3</w:t>
            </w:r>
          </w:p>
        </w:tc>
        <w:tc>
          <w:tcPr>
            <w:tcW w:w="637" w:type="pct"/>
            <w:noWrap/>
            <w:hideMark/>
          </w:tcPr>
          <w:p w14:paraId="793AFE4D" w14:textId="0D4FEDE3" w:rsidR="00371021" w:rsidRPr="00866B89" w:rsidRDefault="001A4B8B" w:rsidP="00866B89">
            <w:pPr>
              <w:pStyle w:val="TableText"/>
              <w:keepNext/>
              <w:jc w:val="center"/>
              <w:rPr>
                <w:b/>
                <w:bCs/>
                <w:highlight w:val="lightGray"/>
              </w:rPr>
            </w:pPr>
            <w:r w:rsidRPr="001A4B8B">
              <w:rPr>
                <w:b/>
                <w:bCs/>
                <w:color w:val="000000"/>
                <w:spacing w:val="71"/>
                <w:shd w:val="solid" w:color="000000" w:fill="000000"/>
                <w:fitText w:val="163" w:id="-961838065"/>
                <w14:textFill>
                  <w14:solidFill>
                    <w14:srgbClr w14:val="000000">
                      <w14:alpha w14:val="100000"/>
                    </w14:srgbClr>
                  </w14:solidFill>
                </w14:textFill>
              </w:rPr>
              <w:t>|</w:t>
            </w:r>
            <w:r w:rsidRPr="001A4B8B">
              <w:rPr>
                <w:b/>
                <w:bCs/>
                <w:color w:val="000000"/>
                <w:spacing w:val="1"/>
                <w:shd w:val="solid" w:color="000000" w:fill="000000"/>
                <w:fitText w:val="163" w:id="-961838065"/>
                <w14:textFill>
                  <w14:solidFill>
                    <w14:srgbClr w14:val="000000">
                      <w14:alpha w14:val="100000"/>
                    </w14:srgbClr>
                  </w14:solidFill>
                </w14:textFill>
              </w:rPr>
              <w:t>|</w:t>
            </w:r>
            <w:r w:rsidR="00866B89" w:rsidRPr="00866B89">
              <w:rPr>
                <w:vertAlign w:val="superscript"/>
              </w:rPr>
              <w:t>4</w:t>
            </w:r>
          </w:p>
        </w:tc>
        <w:tc>
          <w:tcPr>
            <w:tcW w:w="637" w:type="pct"/>
            <w:noWrap/>
            <w:hideMark/>
          </w:tcPr>
          <w:p w14:paraId="673AD63E" w14:textId="48A03162" w:rsidR="00371021" w:rsidRPr="00866B89" w:rsidRDefault="001A4B8B" w:rsidP="00866B89">
            <w:pPr>
              <w:pStyle w:val="TableText"/>
              <w:keepNext/>
              <w:jc w:val="center"/>
              <w:rPr>
                <w:b/>
                <w:bCs/>
                <w:highlight w:val="lightGray"/>
              </w:rPr>
            </w:pPr>
            <w:r w:rsidRPr="001A4B8B">
              <w:rPr>
                <w:b/>
                <w:bCs/>
                <w:color w:val="000000"/>
                <w:spacing w:val="71"/>
                <w:shd w:val="solid" w:color="000000" w:fill="000000"/>
                <w:fitText w:val="163" w:id="-961838064"/>
                <w14:textFill>
                  <w14:solidFill>
                    <w14:srgbClr w14:val="000000">
                      <w14:alpha w14:val="100000"/>
                    </w14:srgbClr>
                  </w14:solidFill>
                </w14:textFill>
              </w:rPr>
              <w:t>|</w:t>
            </w:r>
            <w:r w:rsidRPr="001A4B8B">
              <w:rPr>
                <w:b/>
                <w:bCs/>
                <w:color w:val="000000"/>
                <w:spacing w:val="1"/>
                <w:shd w:val="solid" w:color="000000" w:fill="000000"/>
                <w:fitText w:val="163" w:id="-961838064"/>
                <w14:textFill>
                  <w14:solidFill>
                    <w14:srgbClr w14:val="000000">
                      <w14:alpha w14:val="100000"/>
                    </w14:srgbClr>
                  </w14:solidFill>
                </w14:textFill>
              </w:rPr>
              <w:t>|</w:t>
            </w:r>
            <w:r w:rsidR="00866B89" w:rsidRPr="00866B89">
              <w:rPr>
                <w:vertAlign w:val="superscript"/>
              </w:rPr>
              <w:t>4</w:t>
            </w:r>
          </w:p>
        </w:tc>
        <w:tc>
          <w:tcPr>
            <w:tcW w:w="637" w:type="pct"/>
            <w:noWrap/>
            <w:hideMark/>
          </w:tcPr>
          <w:p w14:paraId="5739F58B" w14:textId="7187B806" w:rsidR="00371021" w:rsidRPr="00866B89" w:rsidRDefault="001A4B8B" w:rsidP="00866B89">
            <w:pPr>
              <w:pStyle w:val="TableText"/>
              <w:keepNext/>
              <w:jc w:val="center"/>
              <w:rPr>
                <w:b/>
                <w:bCs/>
                <w:highlight w:val="lightGray"/>
              </w:rPr>
            </w:pPr>
            <w:r w:rsidRPr="001A4B8B">
              <w:rPr>
                <w:b/>
                <w:bCs/>
                <w:color w:val="000000"/>
                <w:spacing w:val="71"/>
                <w:shd w:val="solid" w:color="000000" w:fill="000000"/>
                <w:fitText w:val="163" w:id="-961838080"/>
                <w14:textFill>
                  <w14:solidFill>
                    <w14:srgbClr w14:val="000000">
                      <w14:alpha w14:val="100000"/>
                    </w14:srgbClr>
                  </w14:solidFill>
                </w14:textFill>
              </w:rPr>
              <w:t>|</w:t>
            </w:r>
            <w:r w:rsidRPr="001A4B8B">
              <w:rPr>
                <w:b/>
                <w:bCs/>
                <w:color w:val="000000"/>
                <w:spacing w:val="1"/>
                <w:shd w:val="solid" w:color="000000" w:fill="000000"/>
                <w:fitText w:val="163" w:id="-961838080"/>
                <w14:textFill>
                  <w14:solidFill>
                    <w14:srgbClr w14:val="000000">
                      <w14:alpha w14:val="100000"/>
                    </w14:srgbClr>
                  </w14:solidFill>
                </w14:textFill>
              </w:rPr>
              <w:t>|</w:t>
            </w:r>
            <w:r w:rsidR="00866B89" w:rsidRPr="00866B89">
              <w:rPr>
                <w:vertAlign w:val="superscript"/>
              </w:rPr>
              <w:t>4</w:t>
            </w:r>
          </w:p>
        </w:tc>
        <w:tc>
          <w:tcPr>
            <w:tcW w:w="637" w:type="pct"/>
            <w:noWrap/>
            <w:hideMark/>
          </w:tcPr>
          <w:p w14:paraId="658DBA59" w14:textId="70052122" w:rsidR="00371021" w:rsidRPr="00866B89" w:rsidRDefault="001A4B8B" w:rsidP="00866B89">
            <w:pPr>
              <w:pStyle w:val="TableText"/>
              <w:keepNext/>
              <w:jc w:val="center"/>
              <w:rPr>
                <w:b/>
                <w:bCs/>
                <w:highlight w:val="lightGray"/>
              </w:rPr>
            </w:pPr>
            <w:r w:rsidRPr="001A4B8B">
              <w:rPr>
                <w:b/>
                <w:bCs/>
                <w:color w:val="000000"/>
                <w:spacing w:val="71"/>
                <w:shd w:val="solid" w:color="000000" w:fill="000000"/>
                <w:fitText w:val="163" w:id="-961838079"/>
                <w14:textFill>
                  <w14:solidFill>
                    <w14:srgbClr w14:val="000000">
                      <w14:alpha w14:val="100000"/>
                    </w14:srgbClr>
                  </w14:solidFill>
                </w14:textFill>
              </w:rPr>
              <w:t>|</w:t>
            </w:r>
            <w:r w:rsidRPr="001A4B8B">
              <w:rPr>
                <w:b/>
                <w:bCs/>
                <w:color w:val="000000"/>
                <w:spacing w:val="1"/>
                <w:shd w:val="solid" w:color="000000" w:fill="000000"/>
                <w:fitText w:val="163" w:id="-961838079"/>
                <w14:textFill>
                  <w14:solidFill>
                    <w14:srgbClr w14:val="000000">
                      <w14:alpha w14:val="100000"/>
                    </w14:srgbClr>
                  </w14:solidFill>
                </w14:textFill>
              </w:rPr>
              <w:t>|</w:t>
            </w:r>
            <w:r w:rsidR="00866B89" w:rsidRPr="00866B89">
              <w:rPr>
                <w:vertAlign w:val="superscript"/>
              </w:rPr>
              <w:t>4</w:t>
            </w:r>
          </w:p>
        </w:tc>
        <w:tc>
          <w:tcPr>
            <w:tcW w:w="639" w:type="pct"/>
            <w:noWrap/>
            <w:hideMark/>
          </w:tcPr>
          <w:p w14:paraId="0932D4E8" w14:textId="1C504085" w:rsidR="00371021" w:rsidRPr="00866B89" w:rsidRDefault="001A4B8B" w:rsidP="00866B89">
            <w:pPr>
              <w:pStyle w:val="TableText"/>
              <w:keepNext/>
              <w:jc w:val="center"/>
              <w:rPr>
                <w:b/>
                <w:bCs/>
                <w:highlight w:val="lightGray"/>
              </w:rPr>
            </w:pPr>
            <w:r w:rsidRPr="001A4B8B">
              <w:rPr>
                <w:rFonts w:hint="eastAsia"/>
                <w:b/>
                <w:bCs/>
                <w:color w:val="000000"/>
                <w:w w:val="33"/>
                <w:shd w:val="solid" w:color="000000" w:fill="000000"/>
                <w:fitText w:val="150" w:id="-961838078"/>
                <w14:textFill>
                  <w14:solidFill>
                    <w14:srgbClr w14:val="000000">
                      <w14:alpha w14:val="100000"/>
                    </w14:srgbClr>
                  </w14:solidFill>
                </w14:textFill>
              </w:rPr>
              <w:t xml:space="preserve">　</w:t>
            </w:r>
            <w:r w:rsidRPr="001A4B8B">
              <w:rPr>
                <w:b/>
                <w:bCs/>
                <w:color w:val="000000"/>
                <w:w w:val="33"/>
                <w:shd w:val="solid" w:color="000000" w:fill="000000"/>
                <w:fitText w:val="150" w:id="-961838078"/>
                <w14:textFill>
                  <w14:solidFill>
                    <w14:srgbClr w14:val="000000">
                      <w14:alpha w14:val="100000"/>
                    </w14:srgbClr>
                  </w14:solidFill>
                </w14:textFill>
              </w:rPr>
              <w:t>|</w:t>
            </w:r>
            <w:r w:rsidRPr="001A4B8B">
              <w:rPr>
                <w:rFonts w:hint="eastAsia"/>
                <w:b/>
                <w:bCs/>
                <w:color w:val="000000"/>
                <w:spacing w:val="3"/>
                <w:w w:val="33"/>
                <w:shd w:val="solid" w:color="000000" w:fill="000000"/>
                <w:fitText w:val="150" w:id="-961838078"/>
                <w14:textFill>
                  <w14:solidFill>
                    <w14:srgbClr w14:val="000000">
                      <w14:alpha w14:val="100000"/>
                    </w14:srgbClr>
                  </w14:solidFill>
                </w14:textFill>
              </w:rPr>
              <w:t xml:space="preserve">　</w:t>
            </w:r>
            <w:r w:rsidR="00866B89" w:rsidRPr="00866B89">
              <w:rPr>
                <w:vertAlign w:val="superscript"/>
              </w:rPr>
              <w:t>4</w:t>
            </w:r>
          </w:p>
        </w:tc>
      </w:tr>
    </w:tbl>
    <w:p w14:paraId="73A0E615" w14:textId="77777777" w:rsidR="00371021" w:rsidRPr="00371021" w:rsidRDefault="00371021" w:rsidP="00371021">
      <w:pPr>
        <w:pStyle w:val="TableFooter"/>
      </w:pPr>
      <w:r w:rsidRPr="00371021" w:rsidDel="0015247C">
        <w:t>Source:</w:t>
      </w:r>
      <w:r w:rsidRPr="00371021">
        <w:t xml:space="preserve"> Table 4.2−3, pp190-1, Table 4.2−4, p191 and </w:t>
      </w:r>
      <w:r w:rsidRPr="00371021" w:rsidDel="0015247C">
        <w:t>Table</w:t>
      </w:r>
      <w:r w:rsidRPr="00371021">
        <w:t xml:space="preserve"> 4.2−8,</w:t>
      </w:r>
      <w:r w:rsidRPr="00371021" w:rsidDel="0015247C">
        <w:t xml:space="preserve"> p</w:t>
      </w:r>
      <w:r w:rsidRPr="00371021">
        <w:t>195</w:t>
      </w:r>
      <w:r w:rsidRPr="00371021" w:rsidDel="0015247C">
        <w:t xml:space="preserve"> of the submission.</w:t>
      </w:r>
    </w:p>
    <w:p w14:paraId="7EA7B939" w14:textId="77777777" w:rsidR="00371021" w:rsidRDefault="00371021" w:rsidP="00371021">
      <w:pPr>
        <w:pStyle w:val="TableFooter"/>
      </w:pPr>
      <w:r w:rsidRPr="00371021">
        <w:t xml:space="preserve">HBV = hepatitis B virus, HDV = hepatitis D virus. </w:t>
      </w:r>
    </w:p>
    <w:p w14:paraId="503EF0FA" w14:textId="77777777" w:rsidR="00866B89" w:rsidRPr="007E0B5A" w:rsidRDefault="00866B89" w:rsidP="00866B89">
      <w:pPr>
        <w:pStyle w:val="TableFigureFooter"/>
        <w:rPr>
          <w:i/>
          <w:iCs/>
        </w:rPr>
      </w:pPr>
      <w:r w:rsidRPr="007E0B5A">
        <w:rPr>
          <w:i/>
          <w:iCs/>
        </w:rPr>
        <w:t>The redacted values correspond to the following ranges:</w:t>
      </w:r>
    </w:p>
    <w:p w14:paraId="42FE1F11" w14:textId="6734D193" w:rsidR="00866B89" w:rsidRPr="007E0B5A" w:rsidRDefault="00866B89" w:rsidP="00866B89">
      <w:pPr>
        <w:pStyle w:val="TableFigureFooter"/>
        <w:rPr>
          <w:i/>
          <w:iCs/>
        </w:rPr>
      </w:pPr>
      <w:r w:rsidRPr="007E0B5A">
        <w:rPr>
          <w:i/>
          <w:iCs/>
          <w:vertAlign w:val="superscript"/>
        </w:rPr>
        <w:t>1</w:t>
      </w:r>
      <w:bookmarkStart w:id="81" w:name="_Hlk165360536"/>
      <w:r w:rsidRPr="007E0B5A">
        <w:rPr>
          <w:i/>
          <w:iCs/>
        </w:rPr>
        <w:t>&lt; 500</w:t>
      </w:r>
    </w:p>
    <w:bookmarkEnd w:id="81"/>
    <w:p w14:paraId="216C4A36" w14:textId="64911687" w:rsidR="00866B89" w:rsidRPr="007E0B5A" w:rsidRDefault="00866B89" w:rsidP="00866B89">
      <w:pPr>
        <w:pStyle w:val="TableFigureFooter"/>
        <w:rPr>
          <w:i/>
          <w:iCs/>
        </w:rPr>
      </w:pPr>
      <w:r w:rsidRPr="007E0B5A">
        <w:rPr>
          <w:i/>
          <w:iCs/>
          <w:vertAlign w:val="superscript"/>
        </w:rPr>
        <w:t>2</w:t>
      </w:r>
      <w:r w:rsidRPr="007E0B5A">
        <w:rPr>
          <w:i/>
          <w:iCs/>
        </w:rPr>
        <w:t xml:space="preserve"> 500 to &lt; 5,000</w:t>
      </w:r>
    </w:p>
    <w:p w14:paraId="69540160" w14:textId="7A98D281" w:rsidR="00866B89" w:rsidRPr="007E0B5A" w:rsidRDefault="00866B89" w:rsidP="00866B89">
      <w:pPr>
        <w:pStyle w:val="TableFigureFooter"/>
        <w:rPr>
          <w:i/>
          <w:iCs/>
        </w:rPr>
      </w:pPr>
      <w:r w:rsidRPr="007E0B5A">
        <w:rPr>
          <w:i/>
          <w:iCs/>
          <w:vertAlign w:val="superscript"/>
        </w:rPr>
        <w:t xml:space="preserve">3 </w:t>
      </w:r>
      <w:r w:rsidRPr="007E0B5A">
        <w:rPr>
          <w:i/>
          <w:iCs/>
        </w:rPr>
        <w:t>$0 to &lt; $10 million</w:t>
      </w:r>
    </w:p>
    <w:p w14:paraId="04B97159" w14:textId="47AB4B03" w:rsidR="00866B89" w:rsidRPr="00371021" w:rsidDel="0015247C" w:rsidRDefault="005C2B5E" w:rsidP="00AB14EE">
      <w:pPr>
        <w:pStyle w:val="TableFigureFooter"/>
        <w:spacing w:after="120"/>
        <w:rPr>
          <w:sz w:val="20"/>
        </w:rPr>
      </w:pPr>
      <w:r w:rsidRPr="007E0B5A">
        <w:rPr>
          <w:i/>
          <w:iCs/>
          <w:vertAlign w:val="superscript"/>
        </w:rPr>
        <w:t>4</w:t>
      </w:r>
      <w:r w:rsidRPr="007E0B5A">
        <w:rPr>
          <w:i/>
          <w:iCs/>
        </w:rPr>
        <w:t xml:space="preserve"> </w:t>
      </w:r>
      <w:r w:rsidR="00866B89" w:rsidRPr="007E0B5A">
        <w:rPr>
          <w:i/>
          <w:iCs/>
        </w:rPr>
        <w:t>$10 million to &lt; $20 million</w:t>
      </w:r>
    </w:p>
    <w:p w14:paraId="0379BAD1" w14:textId="2708A3C8" w:rsidR="00371021" w:rsidRPr="00371021" w:rsidRDefault="00371021" w:rsidP="00AB14EE">
      <w:pPr>
        <w:pStyle w:val="3-BodyText"/>
      </w:pPr>
      <w:r w:rsidRPr="00371021">
        <w:t>The cost to the PBS may be an underestimate given concerns noted regarding the size of the population eligible for treatment. Further, the submission estimated an increase in uptake of anti-HDV testing following listing of HDV RNA testing and bulevirtide treatment. While th</w:t>
      </w:r>
      <w:r w:rsidR="00AC3DBC">
        <w:t>e evaluation considered this</w:t>
      </w:r>
      <w:r w:rsidRPr="00371021">
        <w:t xml:space="preserve"> was reasonable, estimates of uptake to HDV RNA testing and then bulevirtide were subsequently applied which may underestimate use if the increase in anti-HDV testing was for the purpose of HDV RNA testing and then access to bulevirtide treatment. </w:t>
      </w:r>
    </w:p>
    <w:p w14:paraId="7000A82F" w14:textId="77777777" w:rsidR="00371021" w:rsidRPr="00371021" w:rsidRDefault="00371021" w:rsidP="00AB14EE">
      <w:pPr>
        <w:pStyle w:val="3-BodyText"/>
      </w:pPr>
      <w:r w:rsidRPr="00371021">
        <w:t>The effect of differences between treatment continuation assumptions and stopping criteria on the financial impact is uncertain. While some responders may cease treatment after experiencing undetectable RNA or normal ALT levels, there is evidence to suggest that this effect may not be sustained after treatment cessation (and so they may become subsequently eligible). In those patients who do not respond, it is unclear when in practice clinicians would cease treatment.</w:t>
      </w:r>
    </w:p>
    <w:p w14:paraId="6440FF1E" w14:textId="77777777" w:rsidR="00371021" w:rsidRPr="00371021" w:rsidRDefault="00371021" w:rsidP="00AB14EE">
      <w:pPr>
        <w:pStyle w:val="3-BodyText"/>
      </w:pPr>
      <w:r w:rsidRPr="00371021">
        <w:lastRenderedPageBreak/>
        <w:t>While the submission has proposed a grandfathering listing, grandfathered patients have not been included in the financial estimates. The submission considered that these patients (currently n = 3) would be assumed as part of the epidemiological estimates. This was reasonable.</w:t>
      </w:r>
    </w:p>
    <w:p w14:paraId="2C881F68" w14:textId="1180096C" w:rsidR="00371021" w:rsidRDefault="00371021" w:rsidP="00AB14EE">
      <w:pPr>
        <w:pStyle w:val="3-BodyText"/>
      </w:pPr>
      <w:r w:rsidRPr="00371021">
        <w:t xml:space="preserve">The </w:t>
      </w:r>
      <w:r w:rsidR="004D3F40">
        <w:t>financial estimates</w:t>
      </w:r>
      <w:r w:rsidR="004D3F40" w:rsidRPr="00371021">
        <w:t xml:space="preserve"> </w:t>
      </w:r>
      <w:r w:rsidRPr="00371021">
        <w:t>were most sensitive to changes in the proportion of patients expected to be anti-HDV positive or HDV RNA positive, the proportion of patients eligible for bulevirtide treatment and the expected uptake of HDV RNA testing and bulevirtide. Concerns were noted regarding the proportion of patients considered eligible for bulevirtide treatment and uptake estimates applied for HDV RNA testing and bulevirtide treatment (given that an increase in anti-HDV testing was also assumed, and drivers for the increase in uptake may be for access to HDV RNA testing and bulevirtide treatment).</w:t>
      </w:r>
      <w:r w:rsidR="00CB1ADD">
        <w:t xml:space="preserve"> </w:t>
      </w:r>
    </w:p>
    <w:p w14:paraId="13A84EC3" w14:textId="1169820B" w:rsidR="00CB1ADD" w:rsidRDefault="00CB1ADD" w:rsidP="00AB14EE">
      <w:pPr>
        <w:pStyle w:val="3-BodyText"/>
      </w:pPr>
      <w:r>
        <w:t xml:space="preserve">The DUSC considered the utilisation of bulevirtide was likely overestimated. In addition to the views raised in </w:t>
      </w:r>
      <w:r w:rsidR="004D3F40" w:rsidRPr="00371021">
        <w:fldChar w:fldCharType="begin" w:fldLock="1"/>
      </w:r>
      <w:r w:rsidR="004D3F40" w:rsidRPr="00371021">
        <w:instrText xml:space="preserve"> REF _Ref152349175 \h  \* MERGEFORMAT </w:instrText>
      </w:r>
      <w:r w:rsidR="004D3F40" w:rsidRPr="00371021">
        <w:fldChar w:fldCharType="separate"/>
      </w:r>
      <w:r w:rsidR="004D3F40" w:rsidRPr="00371021">
        <w:t xml:space="preserve">Table </w:t>
      </w:r>
      <w:r w:rsidR="004D3F40" w:rsidRPr="00371021">
        <w:rPr>
          <w:noProof/>
        </w:rPr>
        <w:t>16</w:t>
      </w:r>
      <w:r w:rsidR="004D3F40" w:rsidRPr="00371021">
        <w:fldChar w:fldCharType="end"/>
      </w:r>
      <w:r>
        <w:t xml:space="preserve">, the DUSC considered </w:t>
      </w:r>
      <w:r w:rsidR="00BF2D52">
        <w:t xml:space="preserve">it was likely the availability of an effective treatment for CHD would increase testing rates in practice, but that not all patients who had testing for anti-HDV antibodies would be eligible for HDV RNA testing. The DUSC also considered the limited number of testing centres may further limit the use of RDV RNA quantification testing. In addition to issues with testing, the DUSC considered </w:t>
      </w:r>
      <w:r w:rsidR="00C615E6">
        <w:t>some</w:t>
      </w:r>
      <w:r w:rsidR="00BF2D52">
        <w:t xml:space="preserve"> of the inputs were uncertain or inappropriate (</w:t>
      </w:r>
      <w:r w:rsidR="00C615E6" w:rsidRPr="00371021">
        <w:fldChar w:fldCharType="begin" w:fldLock="1"/>
      </w:r>
      <w:r w:rsidR="00C615E6" w:rsidRPr="00371021">
        <w:instrText xml:space="preserve"> REF _Ref152349175 \h  \* MERGEFORMAT </w:instrText>
      </w:r>
      <w:r w:rsidR="00C615E6" w:rsidRPr="00371021">
        <w:fldChar w:fldCharType="separate"/>
      </w:r>
      <w:r w:rsidR="00C615E6" w:rsidRPr="00371021">
        <w:t xml:space="preserve">Table </w:t>
      </w:r>
      <w:r w:rsidR="00C615E6" w:rsidRPr="00371021">
        <w:rPr>
          <w:noProof/>
        </w:rPr>
        <w:t>16</w:t>
      </w:r>
      <w:r w:rsidR="00C615E6" w:rsidRPr="00371021">
        <w:fldChar w:fldCharType="end"/>
      </w:r>
      <w:r w:rsidR="00BF2D52">
        <w:t>), the uptake of bulevirtide in the requested population was also highly uncertain due to its administration requirements</w:t>
      </w:r>
      <w:r w:rsidR="00C615E6">
        <w:t xml:space="preserve">. The DUSC considered </w:t>
      </w:r>
      <w:r w:rsidR="00BF2D52">
        <w:t xml:space="preserve">that additional sensitivity analyses may be informative. DUSC considered the issues with the utilisation and financial estimates model were complex. </w:t>
      </w:r>
    </w:p>
    <w:p w14:paraId="5EA650E3" w14:textId="77777777" w:rsidR="00FC30F3" w:rsidRPr="00BF711C" w:rsidRDefault="00FC30F3" w:rsidP="00AB14EE">
      <w:pPr>
        <w:pStyle w:val="4-SubsectionHeading"/>
      </w:pPr>
      <w:r w:rsidRPr="00BF711C">
        <w:t>Quality use of medicines</w:t>
      </w:r>
      <w:bookmarkEnd w:id="51"/>
      <w:bookmarkEnd w:id="76"/>
    </w:p>
    <w:p w14:paraId="39780F66" w14:textId="77777777" w:rsidR="00EC6347" w:rsidRPr="00196231" w:rsidRDefault="00EC6347" w:rsidP="00AB14EE">
      <w:pPr>
        <w:pStyle w:val="3-BodyText"/>
      </w:pPr>
      <w:r w:rsidRPr="7A2CA021">
        <w:t xml:space="preserve">The submission presented “EU Risk Management Plan for Hepcludex® (Bulevirtide)”, which will form the basis for the Australian Risk Management Plan (RMP). The EU RMP includes: </w:t>
      </w:r>
    </w:p>
    <w:p w14:paraId="4DF37B98" w14:textId="77777777" w:rsidR="00EC6347" w:rsidRPr="00196231" w:rsidRDefault="00EC6347" w:rsidP="00AB14EE">
      <w:pPr>
        <w:pStyle w:val="PBACESParagraphBulletPoint"/>
      </w:pPr>
      <w:r w:rsidRPr="00196231">
        <w:t>Pharmacovigilance plan. Adverse reaction information is collected continuously and regularly analysed including PSUR assessment. One registry study (GS-US-589-6206) and two clinical studies (MYR301 and MYR204) for bulevirtide are included to provide AE information.</w:t>
      </w:r>
    </w:p>
    <w:p w14:paraId="2BE80695" w14:textId="55996D8A" w:rsidR="003A6EC7" w:rsidRDefault="00EC6347" w:rsidP="00AB14EE">
      <w:pPr>
        <w:pStyle w:val="PBACESParagraphBulletPoint"/>
      </w:pPr>
      <w:r w:rsidRPr="00196231">
        <w:t xml:space="preserve">Risk minimisation measures. The routine risk minimisation measure for bulevirtide comprise of the Summary of Product Characteristics (SmPC), the package leaflet, and the legal status of the product. </w:t>
      </w:r>
    </w:p>
    <w:p w14:paraId="54FDACFD" w14:textId="279FC60A" w:rsidR="00BF2D52" w:rsidRPr="00BF2D52" w:rsidRDefault="00BF2D52" w:rsidP="00AB14EE">
      <w:pPr>
        <w:pStyle w:val="3-BodyText"/>
      </w:pPr>
      <w:r w:rsidRPr="7A2CA021">
        <w:t xml:space="preserve">The </w:t>
      </w:r>
      <w:r>
        <w:t>DUSC</w:t>
      </w:r>
      <w:r w:rsidRPr="7A2CA021">
        <w:t xml:space="preserve"> </w:t>
      </w:r>
      <w:r w:rsidR="003B0CCB">
        <w:t xml:space="preserve">considered the treatment modality of bulevirtide presents a number of barriers for people living with CHD, including the requirement for daily injection, </w:t>
      </w:r>
      <w:r w:rsidR="0025286E">
        <w:t xml:space="preserve">and </w:t>
      </w:r>
      <w:r w:rsidR="003B0CCB">
        <w:t xml:space="preserve">specific reconstitution and refrigeration requirements. The DUSC also considered the demographics of CHD in Australia likely includes a significant number of people from disadvantaged backgrounds with poorer access to health care in health education, </w:t>
      </w:r>
      <w:r w:rsidR="003B0CCB">
        <w:lastRenderedPageBreak/>
        <w:t>increasing the risks of compliance issues and missed or unviable dosing which could lead to hepatic flares.</w:t>
      </w:r>
    </w:p>
    <w:p w14:paraId="3E9D3F9F" w14:textId="77777777" w:rsidR="00C317F3" w:rsidRPr="00BF711C" w:rsidRDefault="00070D75" w:rsidP="00AB14EE">
      <w:pPr>
        <w:pStyle w:val="4-SubsectionHeading"/>
      </w:pPr>
      <w:bookmarkStart w:id="82" w:name="_Toc156984642"/>
      <w:r w:rsidRPr="00BF711C">
        <w:t>Financial management – risk sharing a</w:t>
      </w:r>
      <w:r w:rsidR="00C317F3" w:rsidRPr="00BF711C">
        <w:t>rrangements</w:t>
      </w:r>
      <w:bookmarkEnd w:id="52"/>
      <w:bookmarkEnd w:id="82"/>
    </w:p>
    <w:p w14:paraId="319E9672" w14:textId="135082A7" w:rsidR="00C317F3" w:rsidRPr="00D86C8B" w:rsidRDefault="00A677E9" w:rsidP="00AB14EE">
      <w:pPr>
        <w:pStyle w:val="3-BodyText"/>
      </w:pPr>
      <w:r>
        <w:t>The submission stated that a risk sharing arrangement was not proposed due to the small number of patients expected to be commencing treatment with bulevirtide (&lt;</w:t>
      </w:r>
      <w:r w:rsidR="005C2B5E" w:rsidRPr="005C2B5E">
        <w:t>500</w:t>
      </w:r>
      <w:r w:rsidR="005C2B5E">
        <w:t xml:space="preserve"> </w:t>
      </w:r>
      <w:r>
        <w:t xml:space="preserve"> annually) and all eligible patients will be confirmed by HDV RNA PCR test. </w:t>
      </w:r>
      <w:r w:rsidRPr="00D20CA8">
        <w:t>It was noted that a large proportion of people living with diagnosed chronic HBV are currently not engaged in care (and so are not assumed to receive testing for HDV). The impact to the MBS and PBS may be higher than expected if there is substantial use (due to opportunistic testing) in these patients.</w:t>
      </w:r>
      <w:r w:rsidR="00D86C8B">
        <w:t xml:space="preserve"> </w:t>
      </w:r>
    </w:p>
    <w:p w14:paraId="7C329D3F" w14:textId="12B0EC0E" w:rsidR="00D86C8B" w:rsidRPr="00AB14EE" w:rsidRDefault="00D86C8B" w:rsidP="00AB14EE">
      <w:pPr>
        <w:ind w:firstLine="709"/>
      </w:pPr>
      <w:r w:rsidRPr="00C33D30">
        <w:rPr>
          <w:i/>
        </w:rPr>
        <w:t>For more detail on PBAC’s view, see section 7 PBAC outcome.</w:t>
      </w:r>
    </w:p>
    <w:p w14:paraId="7F7B3AAB" w14:textId="77777777" w:rsidR="00371021" w:rsidRPr="00AB14EE" w:rsidRDefault="00371021" w:rsidP="00AB14EE">
      <w:pPr>
        <w:pStyle w:val="2-SectionHeading"/>
      </w:pPr>
      <w:bookmarkStart w:id="83" w:name="_Hlk76381249"/>
      <w:bookmarkStart w:id="84" w:name="_Hlk76377955"/>
      <w:bookmarkStart w:id="85" w:name="_Hlk103934877"/>
      <w:bookmarkStart w:id="86" w:name="_Toc124937105"/>
      <w:r w:rsidRPr="00AB14EE">
        <w:t>PBAC Outcome</w:t>
      </w:r>
    </w:p>
    <w:p w14:paraId="1F74BDA7" w14:textId="01E9E2BD" w:rsidR="00D75294" w:rsidRDefault="00D75294" w:rsidP="00AB14EE">
      <w:pPr>
        <w:pStyle w:val="3-BodyText"/>
      </w:pPr>
      <w:bookmarkStart w:id="87" w:name="_Hlk111543188"/>
      <w:r>
        <w:t xml:space="preserve">The PBAC did not recommend the listing of bulevirtide for the treatment of chronic hepatitis D (CHD) infection. The PBAC considered the available evidence </w:t>
      </w:r>
      <w:r w:rsidR="0025286E">
        <w:t>indicates</w:t>
      </w:r>
      <w:r>
        <w:t xml:space="preserve"> that bulevirtide, for some patients, is effective in terms of reducing or achieving an undetectable viral load and/or normalising some liver enzyme parameters (such as alanine transaminase (ALT)). However, the </w:t>
      </w:r>
      <w:r w:rsidR="0025286E">
        <w:t>PBAC</w:t>
      </w:r>
      <w:r>
        <w:t xml:space="preserve"> considered the magnitude of long-term benefits </w:t>
      </w:r>
      <w:r w:rsidR="005835FF">
        <w:t xml:space="preserve">in terms of </w:t>
      </w:r>
      <w:r w:rsidR="005835FF" w:rsidRPr="00750633">
        <w:t>clinical and patient-relevant benefits</w:t>
      </w:r>
      <w:r w:rsidR="005835FF">
        <w:t xml:space="preserve"> </w:t>
      </w:r>
      <w:r w:rsidR="0025286E">
        <w:t xml:space="preserve">could </w:t>
      </w:r>
      <w:r>
        <w:t xml:space="preserve">not </w:t>
      </w:r>
      <w:r w:rsidR="0025286E">
        <w:t xml:space="preserve">be </w:t>
      </w:r>
      <w:r>
        <w:t>reliably quantified, which led to major uncertainties with the economic evaluation</w:t>
      </w:r>
      <w:r w:rsidR="0025286E">
        <w:t>. The PBAC also considered</w:t>
      </w:r>
      <w:r>
        <w:t xml:space="preserve"> that</w:t>
      </w:r>
      <w:r w:rsidR="0025286E">
        <w:t xml:space="preserve"> the economic model presented </w:t>
      </w:r>
      <w:r w:rsidR="003318CF">
        <w:t xml:space="preserve">likely </w:t>
      </w:r>
      <w:r w:rsidR="0025286E">
        <w:t>did not reflect how bulevirtide is used in Australian clinical practice</w:t>
      </w:r>
      <w:r w:rsidR="003318CF">
        <w:t xml:space="preserve"> as testing, treatment persistence, and clinical decisions around treatment discontinuation were uncertain</w:t>
      </w:r>
      <w:r w:rsidR="0025286E">
        <w:t>.</w:t>
      </w:r>
      <w:r w:rsidR="003318CF">
        <w:t xml:space="preserve"> </w:t>
      </w:r>
      <w:r w:rsidR="003318CF" w:rsidRPr="00040EF5">
        <w:t xml:space="preserve">The PBAC </w:t>
      </w:r>
      <w:r w:rsidR="003318CF">
        <w:t>considered</w:t>
      </w:r>
      <w:r w:rsidR="003318CF" w:rsidRPr="00040EF5">
        <w:t xml:space="preserve"> that the ICER </w:t>
      </w:r>
      <w:r w:rsidR="00274C9B">
        <w:t>wa</w:t>
      </w:r>
      <w:r w:rsidR="003318CF">
        <w:t xml:space="preserve">s </w:t>
      </w:r>
      <w:r w:rsidR="003318CF" w:rsidRPr="00040EF5">
        <w:t>likely underestimated</w:t>
      </w:r>
      <w:r w:rsidR="003318CF">
        <w:t xml:space="preserve"> and </w:t>
      </w:r>
      <w:r w:rsidR="003318CF" w:rsidRPr="00D11FBF">
        <w:rPr>
          <w:rFonts w:cs="Arial"/>
          <w:snapToGrid w:val="0"/>
          <w:lang w:val="en-GB"/>
        </w:rPr>
        <w:t xml:space="preserve">bulevirtide </w:t>
      </w:r>
      <w:r w:rsidR="003318CF">
        <w:rPr>
          <w:rFonts w:cs="Arial"/>
          <w:snapToGrid w:val="0"/>
          <w:lang w:val="en-GB"/>
        </w:rPr>
        <w:t>was</w:t>
      </w:r>
      <w:r w:rsidR="003318CF" w:rsidRPr="00D11FBF">
        <w:rPr>
          <w:rFonts w:cs="Arial"/>
          <w:snapToGrid w:val="0"/>
          <w:lang w:val="en-GB"/>
        </w:rPr>
        <w:t xml:space="preserve"> not </w:t>
      </w:r>
      <w:r w:rsidR="00A32D0D">
        <w:rPr>
          <w:rFonts w:cs="Arial"/>
          <w:snapToGrid w:val="0"/>
          <w:lang w:val="en-GB"/>
        </w:rPr>
        <w:t xml:space="preserve">considered </w:t>
      </w:r>
      <w:r w:rsidR="003318CF" w:rsidRPr="00D11FBF">
        <w:rPr>
          <w:rFonts w:cs="Arial"/>
          <w:snapToGrid w:val="0"/>
          <w:lang w:val="en-GB"/>
        </w:rPr>
        <w:t>cost effective at the requested price</w:t>
      </w:r>
      <w:r w:rsidR="003318CF">
        <w:rPr>
          <w:rFonts w:cs="Arial"/>
          <w:snapToGrid w:val="0"/>
          <w:lang w:val="en-GB"/>
        </w:rPr>
        <w:t>.</w:t>
      </w:r>
      <w:r w:rsidR="00CB543D">
        <w:t xml:space="preserve"> </w:t>
      </w:r>
      <w:r>
        <w:t xml:space="preserve">The PBAC considered the utilisation and financial estimates to be uncertain. </w:t>
      </w:r>
    </w:p>
    <w:p w14:paraId="5E49A064" w14:textId="51792AF0" w:rsidR="00D75294" w:rsidRPr="009F2427" w:rsidRDefault="00D75294" w:rsidP="00AB14EE">
      <w:pPr>
        <w:pStyle w:val="3-BodyText"/>
      </w:pPr>
      <w:r w:rsidRPr="009F2427">
        <w:t xml:space="preserve">The </w:t>
      </w:r>
      <w:r w:rsidR="004F5C02" w:rsidRPr="009F2427">
        <w:t>PBAC advised the key reason for not recommending the listing was the economic evaluation.</w:t>
      </w:r>
      <w:r w:rsidRPr="009F2427">
        <w:t xml:space="preserve"> </w:t>
      </w:r>
    </w:p>
    <w:p w14:paraId="79267706" w14:textId="1E12EE96" w:rsidR="00CB543D" w:rsidRDefault="00CB543D" w:rsidP="00AB14EE">
      <w:pPr>
        <w:pStyle w:val="3-BodyText"/>
      </w:pPr>
      <w:r>
        <w:t xml:space="preserve">The PBAC noted bulevirtide was designated by the TGA for priority review, however that at time of consideration, the TGA Delegate’s Overview was not available. </w:t>
      </w:r>
    </w:p>
    <w:p w14:paraId="77B0B712" w14:textId="63B22C15" w:rsidR="00CB543D" w:rsidRDefault="00CB543D" w:rsidP="00AB14EE">
      <w:pPr>
        <w:pStyle w:val="3-BodyText"/>
      </w:pPr>
      <w:r>
        <w:t xml:space="preserve">The PBAC </w:t>
      </w:r>
      <w:r w:rsidR="008808A0">
        <w:t xml:space="preserve">noted the input from health care professionals and consumer organisations supported the listing </w:t>
      </w:r>
      <w:r w:rsidR="00705A2E">
        <w:t xml:space="preserve">of bulevirtide </w:t>
      </w:r>
      <w:r w:rsidR="008808A0">
        <w:t>and highlighted the long-term impacts of CHD infection</w:t>
      </w:r>
      <w:r w:rsidR="00705A2E">
        <w:t xml:space="preserve">. </w:t>
      </w:r>
      <w:r w:rsidR="008808A0">
        <w:t xml:space="preserve"> </w:t>
      </w:r>
      <w:r w:rsidR="00705A2E">
        <w:t xml:space="preserve">Consumers noted that patients with CHD </w:t>
      </w:r>
      <w:r w:rsidR="008808A0">
        <w:t xml:space="preserve">had </w:t>
      </w:r>
      <w:r w:rsidR="00007D16">
        <w:t>limited</w:t>
      </w:r>
      <w:r w:rsidR="008808A0">
        <w:t xml:space="preserve"> treatment options</w:t>
      </w:r>
      <w:r w:rsidR="00705A2E">
        <w:t xml:space="preserve"> and the </w:t>
      </w:r>
      <w:r w:rsidR="004C6640">
        <w:t xml:space="preserve">PBAC </w:t>
      </w:r>
      <w:r>
        <w:t>acknowledged there was a high clinical need for effective therapies for CHD infection</w:t>
      </w:r>
      <w:r w:rsidR="0016397E">
        <w:t xml:space="preserve"> </w:t>
      </w:r>
      <w:r w:rsidR="00705A2E">
        <w:t>as</w:t>
      </w:r>
      <w:r w:rsidR="0016397E">
        <w:t xml:space="preserve"> current treatments for </w:t>
      </w:r>
      <w:r w:rsidR="004C6640">
        <w:t>CHD (such as</w:t>
      </w:r>
      <w:r w:rsidR="00CB2D8F">
        <w:t xml:space="preserve"> peg-interferon alfa-2a (</w:t>
      </w:r>
      <w:r w:rsidR="00CB2D8F" w:rsidRPr="00543EB7">
        <w:t>PEG-IFN-</w:t>
      </w:r>
      <w:r w:rsidR="00CB2D8F" w:rsidRPr="00543EB7">
        <w:rPr>
          <w:rFonts w:cstheme="minorHAnsi"/>
        </w:rPr>
        <w:t>α</w:t>
      </w:r>
      <w:r w:rsidR="00CB2D8F">
        <w:rPr>
          <w:rFonts w:cstheme="minorHAnsi"/>
        </w:rPr>
        <w:t>)</w:t>
      </w:r>
      <w:r w:rsidR="004C6640">
        <w:t>)</w:t>
      </w:r>
      <w:r w:rsidR="0016397E">
        <w:t xml:space="preserve"> were not effective</w:t>
      </w:r>
      <w:r w:rsidR="004C6640">
        <w:t xml:space="preserve"> or not tolerable for many patients</w:t>
      </w:r>
      <w:r>
        <w:t xml:space="preserve">. </w:t>
      </w:r>
    </w:p>
    <w:p w14:paraId="4A9A7381" w14:textId="238E08CB" w:rsidR="00705A2E" w:rsidRDefault="0016397E" w:rsidP="00AB14EE">
      <w:pPr>
        <w:pStyle w:val="3-BodyText"/>
      </w:pPr>
      <w:r>
        <w:t xml:space="preserve">The PBAC considered the proposed restriction </w:t>
      </w:r>
      <w:r w:rsidR="008178DC">
        <w:t xml:space="preserve">was reasonable for the purposes of initiating treatment, </w:t>
      </w:r>
      <w:r w:rsidR="005A7B28">
        <w:t>and generally reflected the patient population included in the key clinical trial for bulevirtide</w:t>
      </w:r>
      <w:r w:rsidR="008178DC">
        <w:t xml:space="preserve">. The Committee noted the PSCR </w:t>
      </w:r>
      <w:r w:rsidR="00705A2E">
        <w:t xml:space="preserve">clarified </w:t>
      </w:r>
      <w:r w:rsidR="008178DC">
        <w:t>that the requested listing was to be limited to patients with no or well-compensated liver disease (</w:t>
      </w:r>
      <w:r w:rsidR="00CA06D8">
        <w:t xml:space="preserve">i.e. </w:t>
      </w:r>
      <w:r w:rsidR="008178DC">
        <w:lastRenderedPageBreak/>
        <w:t xml:space="preserve">Child Pugh Class A) </w:t>
      </w:r>
      <w:r w:rsidR="005A7B28">
        <w:t>which</w:t>
      </w:r>
      <w:r w:rsidR="008178DC">
        <w:t xml:space="preserve"> was consistent with the </w:t>
      </w:r>
      <w:r w:rsidR="00E301D6">
        <w:t xml:space="preserve">population included in the </w:t>
      </w:r>
      <w:r w:rsidR="008178DC">
        <w:t>clinical trial</w:t>
      </w:r>
      <w:r w:rsidR="005A7B28">
        <w:t xml:space="preserve">. </w:t>
      </w:r>
      <w:r w:rsidR="00705A2E">
        <w:t xml:space="preserve">The PBAC also considered that it would be appropriate for the listing to be silent on age, rather than specifying patients must be over 18 years. The PBAC agreed with the ESC that given the rarity of </w:t>
      </w:r>
      <w:r w:rsidR="00E301D6">
        <w:t>CHD</w:t>
      </w:r>
      <w:r w:rsidR="00705A2E">
        <w:t xml:space="preserve"> in Australia, and the potential access issues for patients in rural and remote communities it was appropriate for prescribing to be in consultation with physicians with experience in the management of viral hepatitis.</w:t>
      </w:r>
    </w:p>
    <w:p w14:paraId="20176D11" w14:textId="04AC126E" w:rsidR="00705A2E" w:rsidRDefault="00F540B0" w:rsidP="00AB14EE">
      <w:pPr>
        <w:pStyle w:val="3-BodyText"/>
      </w:pPr>
      <w:r>
        <w:t>The PBAC noted that no separate continuation criteria or explicit stopping rule was proposed for the listing. The PBAC considered the decision to c</w:t>
      </w:r>
      <w:r w:rsidR="00705A2E">
        <w:t>ontinue</w:t>
      </w:r>
      <w:r>
        <w:t xml:space="preserve"> or c</w:t>
      </w:r>
      <w:r w:rsidR="00705A2E">
        <w:t>ease</w:t>
      </w:r>
      <w:r>
        <w:t xml:space="preserve"> treatment</w:t>
      </w:r>
      <w:r w:rsidR="00705A2E">
        <w:t>,</w:t>
      </w:r>
      <w:r>
        <w:t xml:space="preserve"> based on response</w:t>
      </w:r>
      <w:r w:rsidR="00705A2E">
        <w:t>,</w:t>
      </w:r>
      <w:r>
        <w:t xml:space="preserve"> was a matter of clinical judgement</w:t>
      </w:r>
      <w:r w:rsidR="00705A2E">
        <w:t>,</w:t>
      </w:r>
      <w:r>
        <w:t xml:space="preserve"> and considered an explicit stopping rule was not appropriate because of the risk of viral breakthrough should treatment be ceased. The PBAC noted the advice from the Secretariat and input from the Sponsor through the PSCR and </w:t>
      </w:r>
      <w:r w:rsidR="00705A2E">
        <w:t>p</w:t>
      </w:r>
      <w:r>
        <w:t>re-PBAC response</w:t>
      </w:r>
      <w:r w:rsidR="00E301D6">
        <w:t>,</w:t>
      </w:r>
      <w:r>
        <w:t xml:space="preserve"> and considered the proposed restriction </w:t>
      </w:r>
      <w:r w:rsidR="00E301D6">
        <w:t>should be revised</w:t>
      </w:r>
      <w:r>
        <w:t xml:space="preserve"> to ensure patients who achieve an undetectable viral load and/or ALT normalisation were not inappropriately excluded from accessing ongoing treatment. </w:t>
      </w:r>
      <w:r w:rsidR="0016397E">
        <w:t xml:space="preserve">The Committee </w:t>
      </w:r>
      <w:r w:rsidR="00E301D6">
        <w:t xml:space="preserve">noted the issue raised in terms of continuing </w:t>
      </w:r>
      <w:r w:rsidR="00CB2D8F">
        <w:t>treatment</w:t>
      </w:r>
      <w:r w:rsidR="00E301D6">
        <w:t xml:space="preserve"> </w:t>
      </w:r>
      <w:r w:rsidR="00CB2D8F">
        <w:t xml:space="preserve">also </w:t>
      </w:r>
      <w:r w:rsidR="00E301D6">
        <w:t xml:space="preserve">applied to the </w:t>
      </w:r>
      <w:r w:rsidR="008B3BAF">
        <w:t>current restrictions</w:t>
      </w:r>
      <w:r w:rsidR="00E301D6">
        <w:t xml:space="preserve"> for CHB and requested</w:t>
      </w:r>
      <w:r w:rsidR="0016397E">
        <w:t xml:space="preserve"> the Department </w:t>
      </w:r>
      <w:r w:rsidR="00E301D6">
        <w:t>review</w:t>
      </w:r>
      <w:r w:rsidR="0016397E">
        <w:t xml:space="preserve"> the </w:t>
      </w:r>
      <w:r w:rsidR="008B3BAF">
        <w:t>relevant restrictions</w:t>
      </w:r>
      <w:r w:rsidR="00CB2D8F">
        <w:t xml:space="preserve"> to ensure the intended continuing use is clear</w:t>
      </w:r>
      <w:r w:rsidR="0016397E">
        <w:t xml:space="preserve"> (paragraph </w:t>
      </w:r>
      <w:r w:rsidR="006A1B2E">
        <w:fldChar w:fldCharType="begin" w:fldLock="1"/>
      </w:r>
      <w:r w:rsidR="006A1B2E">
        <w:instrText xml:space="preserve"> REF _Ref163046903 \r \h </w:instrText>
      </w:r>
      <w:r w:rsidR="00AB14EE">
        <w:instrText xml:space="preserve"> \* MERGEFORMAT </w:instrText>
      </w:r>
      <w:r w:rsidR="006A1B2E">
        <w:fldChar w:fldCharType="separate"/>
      </w:r>
      <w:r w:rsidR="006A1B2E">
        <w:t>3.5</w:t>
      </w:r>
      <w:r w:rsidR="006A1B2E">
        <w:fldChar w:fldCharType="end"/>
      </w:r>
      <w:r w:rsidR="0016397E">
        <w:t xml:space="preserve">). </w:t>
      </w:r>
    </w:p>
    <w:p w14:paraId="32344386" w14:textId="04377291" w:rsidR="008B3BAF" w:rsidRPr="005F4401" w:rsidRDefault="007307CE" w:rsidP="00AB14EE">
      <w:pPr>
        <w:pStyle w:val="3-BodyText"/>
        <w:rPr>
          <w:color w:val="3366FF"/>
        </w:rPr>
      </w:pPr>
      <w:r>
        <w:t>The PBAC agreed with the ESC</w:t>
      </w:r>
      <w:r w:rsidR="005F4401">
        <w:t>s</w:t>
      </w:r>
      <w:r>
        <w:t xml:space="preserve"> </w:t>
      </w:r>
      <w:r w:rsidR="008B3BAF">
        <w:t>that</w:t>
      </w:r>
      <w:r>
        <w:t xml:space="preserve"> the way bulevirtide would be used in practice was somewhat uncertain. The Committee noted </w:t>
      </w:r>
      <w:r w:rsidR="00E54D0C" w:rsidRPr="00543EB7">
        <w:t>PEG-IFN-</w:t>
      </w:r>
      <w:r w:rsidR="00E54D0C" w:rsidRPr="00543EB7">
        <w:rPr>
          <w:rFonts w:cstheme="minorHAnsi"/>
        </w:rPr>
        <w:t xml:space="preserve">α </w:t>
      </w:r>
      <w:r>
        <w:t xml:space="preserve">was not </w:t>
      </w:r>
      <w:r w:rsidR="005F4401">
        <w:t xml:space="preserve">widely </w:t>
      </w:r>
      <w:r>
        <w:t>used in practice in Australia</w:t>
      </w:r>
      <w:r w:rsidR="00E54D0C">
        <w:t xml:space="preserve"> for CHD</w:t>
      </w:r>
      <w:r>
        <w:t xml:space="preserve">, </w:t>
      </w:r>
      <w:r w:rsidR="005F4401">
        <w:t>however</w:t>
      </w:r>
      <w:r>
        <w:t xml:space="preserve"> considered it was unclear whether, in the presence of an additional viral suppressive agent such as bulevirtide, co</w:t>
      </w:r>
      <w:r w:rsidR="00EC341E">
        <w:t>mbined use</w:t>
      </w:r>
      <w:r>
        <w:t xml:space="preserve"> of these agents may occur in practice with an objective to attempt viral clearance of HDV. </w:t>
      </w:r>
      <w:r w:rsidR="005F4401">
        <w:t xml:space="preserve">The PBAC agreed with the </w:t>
      </w:r>
      <w:r w:rsidR="008B3BAF" w:rsidRPr="00543EB7">
        <w:t>ESCs that it would not be appropriate to require use of PEG-INF prior to bulevirtide</w:t>
      </w:r>
      <w:r w:rsidR="005F4401">
        <w:t xml:space="preserve"> given PEG-INF is not</w:t>
      </w:r>
      <w:r w:rsidR="005F4401" w:rsidRPr="00543EB7">
        <w:t xml:space="preserve"> </w:t>
      </w:r>
      <w:r w:rsidR="005F4401">
        <w:t>commonly used</w:t>
      </w:r>
      <w:r w:rsidR="005F4401" w:rsidRPr="00543EB7">
        <w:t xml:space="preserve"> in Australian practice</w:t>
      </w:r>
      <w:r w:rsidR="008B3BAF" w:rsidRPr="00543EB7">
        <w:t>.</w:t>
      </w:r>
    </w:p>
    <w:p w14:paraId="68B8479E" w14:textId="5E32D022" w:rsidR="00E54D0C" w:rsidRPr="00FF37DC" w:rsidRDefault="00E54D0C" w:rsidP="00AB14EE">
      <w:pPr>
        <w:pStyle w:val="3-BodyText"/>
      </w:pPr>
      <w:r>
        <w:t>The PBAC considered the nominated comparator of symptomatic management of CHD</w:t>
      </w:r>
      <w:r w:rsidR="00CB2D8F" w:rsidRPr="00CB2D8F">
        <w:t xml:space="preserve"> </w:t>
      </w:r>
      <w:r w:rsidR="00CB2D8F">
        <w:t>(also referred to as BSC)</w:t>
      </w:r>
      <w:r>
        <w:t xml:space="preserve"> was reasonable</w:t>
      </w:r>
      <w:r w:rsidR="00EC341E">
        <w:t>.</w:t>
      </w:r>
      <w:r w:rsidR="00EC341E">
        <w:rPr>
          <w:rFonts w:cstheme="minorHAnsi"/>
        </w:rPr>
        <w:t xml:space="preserve"> </w:t>
      </w:r>
    </w:p>
    <w:p w14:paraId="230FFEDB" w14:textId="6B586FB4" w:rsidR="00FF37DC" w:rsidRDefault="00FF37DC" w:rsidP="00AB14EE">
      <w:pPr>
        <w:pStyle w:val="3-BodyText"/>
      </w:pPr>
      <w:r w:rsidRPr="00FF37DC">
        <w:t xml:space="preserve">The PBAC noted the PBS component of the submission was supported a single Phase 3, open label trial (MYR301) comparing the effectiveness and safety of two dose regimens of bulevirtide (2 mg daily and 10 mg daily) and a delayed treatment group (BSC for 48 weeks followed by bulevirtide treatment) over 144. The PBAC noted the submission requested </w:t>
      </w:r>
      <w:r w:rsidR="006C556A">
        <w:t xml:space="preserve">PBS </w:t>
      </w:r>
      <w:r w:rsidRPr="00FF37DC">
        <w:t xml:space="preserve">listing of the 2 mg dose </w:t>
      </w:r>
      <w:r w:rsidR="006C556A" w:rsidRPr="00FF37DC">
        <w:t xml:space="preserve">only </w:t>
      </w:r>
      <w:r w:rsidR="00EC341E">
        <w:t xml:space="preserve">as </w:t>
      </w:r>
      <w:r w:rsidRPr="00FF37DC">
        <w:t>TGA registration is being sought for this dose</w:t>
      </w:r>
      <w:r w:rsidR="00EC341E">
        <w:t xml:space="preserve"> </w:t>
      </w:r>
      <w:r w:rsidR="006C556A">
        <w:t xml:space="preserve">only </w:t>
      </w:r>
      <w:r w:rsidR="00EC341E">
        <w:t>and</w:t>
      </w:r>
      <w:r w:rsidR="00EC341E" w:rsidRPr="00FF37DC">
        <w:t xml:space="preserve"> both dose options showed compara</w:t>
      </w:r>
      <w:r w:rsidR="00EC341E">
        <w:t>ble</w:t>
      </w:r>
      <w:r w:rsidR="00EC341E" w:rsidRPr="00FF37DC">
        <w:t xml:space="preserve"> effectiveness</w:t>
      </w:r>
      <w:r w:rsidRPr="00FF37DC">
        <w:t xml:space="preserve">. The PBAC considered the trial was reliable in terms of </w:t>
      </w:r>
      <w:r w:rsidR="006C556A">
        <w:t xml:space="preserve">assessing </w:t>
      </w:r>
      <w:r w:rsidRPr="00FF37DC">
        <w:t xml:space="preserve">virologic response (i.e. decrease in HDV RNA by ≥ 2 log10 IU/ml from baseline), undetectable HDV RNA, ALT normalisation, change in liver stiffness and key safety outcomes. However, </w:t>
      </w:r>
      <w:r w:rsidR="00EC341E">
        <w:t>t</w:t>
      </w:r>
      <w:r w:rsidRPr="00FF37DC">
        <w:t>he Committee agreed with the ESC</w:t>
      </w:r>
      <w:r w:rsidR="006C556A">
        <w:t>s</w:t>
      </w:r>
      <w:r w:rsidRPr="00FF37DC">
        <w:t xml:space="preserve"> that there were substantial uncertainties with the approach used to translate these surrogate measures to target clinical outcomes (as discussed in paragraphs </w:t>
      </w:r>
      <w:r w:rsidR="006A1B2E">
        <w:fldChar w:fldCharType="begin" w:fldLock="1"/>
      </w:r>
      <w:r w:rsidR="006A1B2E">
        <w:instrText xml:space="preserve"> REF _Ref159581818 \r \h </w:instrText>
      </w:r>
      <w:r w:rsidR="00AB14EE">
        <w:instrText xml:space="preserve"> \* MERGEFORMAT </w:instrText>
      </w:r>
      <w:r w:rsidR="006A1B2E">
        <w:fldChar w:fldCharType="separate"/>
      </w:r>
      <w:r w:rsidR="00EC341E">
        <w:t>6.34</w:t>
      </w:r>
      <w:r w:rsidR="006A1B2E">
        <w:fldChar w:fldCharType="end"/>
      </w:r>
      <w:r w:rsidR="006A1B2E">
        <w:t>-</w:t>
      </w:r>
      <w:r w:rsidR="006A1B2E">
        <w:fldChar w:fldCharType="begin" w:fldLock="1"/>
      </w:r>
      <w:r w:rsidR="006A1B2E">
        <w:instrText xml:space="preserve"> REF _Ref163047122 \r \h </w:instrText>
      </w:r>
      <w:r w:rsidR="00AB14EE">
        <w:instrText xml:space="preserve"> \* MERGEFORMAT </w:instrText>
      </w:r>
      <w:r w:rsidR="006A1B2E">
        <w:fldChar w:fldCharType="separate"/>
      </w:r>
      <w:r w:rsidR="00EC341E">
        <w:t>6.38</w:t>
      </w:r>
      <w:r w:rsidR="006A1B2E">
        <w:fldChar w:fldCharType="end"/>
      </w:r>
      <w:r w:rsidRPr="00FF37DC">
        <w:t xml:space="preserve">), and that given viral suppression requires ongoing treatment with bulevirtide, assumptions around duration of treatment </w:t>
      </w:r>
      <w:r w:rsidR="00EC341E">
        <w:t>would impact</w:t>
      </w:r>
      <w:r w:rsidRPr="00FF37DC">
        <w:t xml:space="preserve"> on long-term outcomes.</w:t>
      </w:r>
      <w:r w:rsidR="00750633">
        <w:t xml:space="preserve"> </w:t>
      </w:r>
    </w:p>
    <w:p w14:paraId="5550F8D3" w14:textId="584BA80E" w:rsidR="00750633" w:rsidRDefault="00750633" w:rsidP="00AB14EE">
      <w:pPr>
        <w:pStyle w:val="3-BodyText"/>
      </w:pPr>
      <w:r w:rsidRPr="00750633">
        <w:lastRenderedPageBreak/>
        <w:t xml:space="preserve">The </w:t>
      </w:r>
      <w:r w:rsidR="00EC341E">
        <w:t>PBAC</w:t>
      </w:r>
      <w:r w:rsidR="00EC341E" w:rsidRPr="00750633">
        <w:t xml:space="preserve"> </w:t>
      </w:r>
      <w:r w:rsidRPr="00750633">
        <w:t>noted the results of the MYR301 trial found that at the primary endpoint of 48 weeks, 22/49 of patients (44.9%) had achieved a combined response</w:t>
      </w:r>
      <w:r w:rsidR="00EE3D5B">
        <w:t xml:space="preserve"> (virologic response and ALT normalisation)</w:t>
      </w:r>
      <w:r w:rsidRPr="00750633">
        <w:t xml:space="preserve"> in the bulevirtide arm versus 1/51 (2.0%) in the delayed treatment arm, with the proportion of responders </w:t>
      </w:r>
      <w:r w:rsidR="00EE3D5B">
        <w:t xml:space="preserve">in the bulevirtide arm </w:t>
      </w:r>
      <w:r w:rsidRPr="00750633">
        <w:t xml:space="preserve">increasing to 27/41 (55.1%) at the exploratory </w:t>
      </w:r>
      <w:r w:rsidR="006C556A">
        <w:t>time</w:t>
      </w:r>
      <w:r w:rsidRPr="00750633">
        <w:t xml:space="preserve">point </w:t>
      </w:r>
      <w:r w:rsidR="006C556A">
        <w:t>of</w:t>
      </w:r>
      <w:r w:rsidR="006C556A" w:rsidRPr="00750633">
        <w:t xml:space="preserve"> </w:t>
      </w:r>
      <w:r w:rsidRPr="00750633">
        <w:t xml:space="preserve">96 weeks. The PBAC also noted that </w:t>
      </w:r>
      <w:r w:rsidR="00EE3D5B">
        <w:t xml:space="preserve">statistically significant differences were demonstrated at 48 weeks with </w:t>
      </w:r>
      <w:r w:rsidRPr="00750633">
        <w:t xml:space="preserve">virologic response observed in 36 patients (73.5%) </w:t>
      </w:r>
      <w:r w:rsidR="00EE3D5B">
        <w:t xml:space="preserve">in the bulevirtide arm and 2 (3.9%) in the delayed treatment arm and </w:t>
      </w:r>
      <w:r w:rsidRPr="00750633">
        <w:t xml:space="preserve">ALT normalisation in 25 patients (51.0%) </w:t>
      </w:r>
      <w:r w:rsidR="00EE3D5B">
        <w:t xml:space="preserve">in the bulevirtide arm and 6 (11.8%) in the delayed treatment arm. In addition, in the bulevirtide arm, </w:t>
      </w:r>
      <w:r w:rsidRPr="00750633">
        <w:t xml:space="preserve">6 patients </w:t>
      </w:r>
      <w:r w:rsidR="00EE3D5B">
        <w:t xml:space="preserve">at week 48 </w:t>
      </w:r>
      <w:r w:rsidR="00EE3D5B" w:rsidRPr="00750633">
        <w:t xml:space="preserve">had achieved undetectable HDV RNA levels </w:t>
      </w:r>
      <w:r w:rsidRPr="00750633">
        <w:t xml:space="preserve">(increasing to 10 patients at week 96). The PBAC considered the available evidence demonstrates bulevirtide is effective for the treatment of CHD </w:t>
      </w:r>
      <w:r w:rsidR="00EC341E">
        <w:t>in terms of</w:t>
      </w:r>
      <w:r w:rsidRPr="00750633">
        <w:t xml:space="preserve"> the composite endpoint (including its components), as well as for achieving undetectable HDV RNA. Therefore, the PBAC considered there is a likely to be a benefit to CHD patients from treatment with bulevirtide; however as noted above, the translation of these surrogate outcomes to clinical and patient-relevant benefits, especially over the longer term, is highly uncertain and presents significant uncertainty for assessing the cost effectiveness of bulevirtide in the economic model presented.</w:t>
      </w:r>
      <w:r>
        <w:t xml:space="preserve"> </w:t>
      </w:r>
    </w:p>
    <w:p w14:paraId="0A4B78BA" w14:textId="030908FF" w:rsidR="00750633" w:rsidRDefault="00750633" w:rsidP="00AB14EE">
      <w:pPr>
        <w:pStyle w:val="3-BodyText"/>
      </w:pPr>
      <w:r w:rsidRPr="00750633">
        <w:t>The PBAC noted the submission described bulevirtide as having a manageable safety profile compared to BSC. The Committee considered that whilst there was limited data on the safety of bulevirtide arising from the small size of the trial and limited follow-up period (especially given bulevirtide may be used for long periods), the available data did not suggest major differences in rates of treatment-emergent adverse events (TEAEs) between bulevirtide and BSC/delayed treatment out to week 48 and therefore, the claim may be adequately supported</w:t>
      </w:r>
      <w:r w:rsidR="006A1B2E">
        <w:t>,</w:t>
      </w:r>
      <w:r w:rsidRPr="00750633">
        <w:t xml:space="preserve"> with the caveat that longer-term safety data would be informative to further support this claim.</w:t>
      </w:r>
    </w:p>
    <w:bookmarkEnd w:id="87"/>
    <w:p w14:paraId="5A5FC3B1" w14:textId="2F62FB77" w:rsidR="00A32D0D" w:rsidRDefault="00D11FBF" w:rsidP="00AB14EE">
      <w:pPr>
        <w:pStyle w:val="3-BodyText"/>
      </w:pPr>
      <w:r w:rsidRPr="00CF2011">
        <w:rPr>
          <w:rFonts w:cs="Arial"/>
          <w:snapToGrid w:val="0"/>
          <w:lang w:val="en-GB"/>
        </w:rPr>
        <w:t xml:space="preserve">The PBAC agreed with the ESC </w:t>
      </w:r>
      <w:r w:rsidR="006E4991" w:rsidRPr="00CF2011">
        <w:rPr>
          <w:rFonts w:cs="Arial"/>
          <w:snapToGrid w:val="0"/>
          <w:lang w:val="en-GB"/>
        </w:rPr>
        <w:t>that</w:t>
      </w:r>
      <w:r w:rsidRPr="00CF2011">
        <w:rPr>
          <w:rFonts w:cs="Arial"/>
          <w:snapToGrid w:val="0"/>
          <w:lang w:val="en-GB"/>
        </w:rPr>
        <w:t xml:space="preserve"> the economic model </w:t>
      </w:r>
      <w:r w:rsidR="006E4991" w:rsidRPr="00CF2011">
        <w:rPr>
          <w:rFonts w:cs="Arial"/>
          <w:snapToGrid w:val="0"/>
          <w:lang w:val="en-GB"/>
        </w:rPr>
        <w:t>was</w:t>
      </w:r>
      <w:r w:rsidRPr="00CF2011">
        <w:rPr>
          <w:rFonts w:cs="Arial"/>
          <w:snapToGrid w:val="0"/>
          <w:lang w:val="en-GB"/>
        </w:rPr>
        <w:t xml:space="preserve"> unreliable for decision-making. The PBAC </w:t>
      </w:r>
      <w:r w:rsidR="00CF2011" w:rsidRPr="00CF2011">
        <w:t>noted that the benefits of viral suppression in the economic evaluation were modelled based on extrapolation of sustained viral immune clearance (either spontaneous or associated with interferon treatment). The PBAC agreed with the ESCs that there are likely to be differences in outcomes between patients who are able to clear HDV infection (undetectable HDV RNA) and those who are achieving and/or sustaining virologic suppression with ongoing treatment. W</w:t>
      </w:r>
      <w:r w:rsidR="00CF2011">
        <w:t>hilst there may be improvements in tests over time, the use of undetectable viral load as the response measure would be more consistent with studies used to quantify the effect of virological response on outcomes</w:t>
      </w:r>
      <w:r w:rsidR="00CF2011" w:rsidRPr="00CF2011">
        <w:rPr>
          <w:rFonts w:cs="Arial"/>
          <w:snapToGrid w:val="0"/>
          <w:lang w:val="en-GB"/>
        </w:rPr>
        <w:t xml:space="preserve"> </w:t>
      </w:r>
      <w:r w:rsidRPr="00CF2011">
        <w:rPr>
          <w:rFonts w:cs="Arial"/>
          <w:snapToGrid w:val="0"/>
          <w:lang w:val="en-GB"/>
        </w:rPr>
        <w:t xml:space="preserve">(paragraph </w:t>
      </w:r>
      <w:r w:rsidR="00CF2011">
        <w:rPr>
          <w:rFonts w:cs="Arial"/>
          <w:snapToGrid w:val="0"/>
          <w:lang w:val="en-GB"/>
        </w:rPr>
        <w:fldChar w:fldCharType="begin" w:fldLock="1"/>
      </w:r>
      <w:r w:rsidR="00CF2011">
        <w:rPr>
          <w:rFonts w:cs="Arial"/>
          <w:snapToGrid w:val="0"/>
          <w:lang w:val="en-GB"/>
        </w:rPr>
        <w:instrText xml:space="preserve"> REF _Ref163818326 \r \h </w:instrText>
      </w:r>
      <w:r w:rsidR="00AB14EE">
        <w:rPr>
          <w:rFonts w:cs="Arial"/>
          <w:snapToGrid w:val="0"/>
          <w:lang w:val="en-GB"/>
        </w:rPr>
        <w:instrText xml:space="preserve"> \* MERGEFORMAT </w:instrText>
      </w:r>
      <w:r w:rsidR="00CF2011">
        <w:rPr>
          <w:rFonts w:cs="Arial"/>
          <w:snapToGrid w:val="0"/>
          <w:lang w:val="en-GB"/>
        </w:rPr>
      </w:r>
      <w:r w:rsidR="00CF2011">
        <w:rPr>
          <w:rFonts w:cs="Arial"/>
          <w:snapToGrid w:val="0"/>
          <w:lang w:val="en-GB"/>
        </w:rPr>
        <w:fldChar w:fldCharType="separate"/>
      </w:r>
      <w:r w:rsidR="00CF2011">
        <w:rPr>
          <w:rFonts w:cs="Arial"/>
          <w:snapToGrid w:val="0"/>
          <w:lang w:val="en-GB"/>
        </w:rPr>
        <w:t>6.35</w:t>
      </w:r>
      <w:r w:rsidR="00CF2011">
        <w:rPr>
          <w:rFonts w:cs="Arial"/>
          <w:snapToGrid w:val="0"/>
          <w:lang w:val="en-GB"/>
        </w:rPr>
        <w:fldChar w:fldCharType="end"/>
      </w:r>
      <w:r w:rsidRPr="00CF2011">
        <w:rPr>
          <w:rFonts w:cs="Arial"/>
          <w:snapToGrid w:val="0"/>
          <w:lang w:val="en-GB"/>
        </w:rPr>
        <w:t>)</w:t>
      </w:r>
      <w:r w:rsidR="00CF2011">
        <w:rPr>
          <w:rFonts w:cs="Arial"/>
          <w:snapToGrid w:val="0"/>
          <w:lang w:val="en-GB"/>
        </w:rPr>
        <w:t>. The PBAC considered that, given this issue,</w:t>
      </w:r>
      <w:r w:rsidRPr="00CF2011">
        <w:rPr>
          <w:rFonts w:cs="Arial"/>
          <w:snapToGrid w:val="0"/>
          <w:lang w:val="en-GB"/>
        </w:rPr>
        <w:t xml:space="preserve"> the inputs to the economic model for long-term outcomes were highly uncertain and likely to overestimate the effectiveness of bulevirtide. </w:t>
      </w:r>
      <w:r w:rsidR="006E4991" w:rsidRPr="00CF2011">
        <w:rPr>
          <w:rFonts w:cs="Arial"/>
          <w:snapToGrid w:val="0"/>
          <w:lang w:val="en-GB"/>
        </w:rPr>
        <w:t xml:space="preserve">The PBAC noted that there were a number of other areas of uncertainty in the model including the </w:t>
      </w:r>
      <w:r w:rsidRPr="00CF2011">
        <w:rPr>
          <w:rFonts w:cs="Arial"/>
          <w:snapToGrid w:val="0"/>
          <w:lang w:val="en-GB"/>
        </w:rPr>
        <w:t>assumption of a utility gain in the target population (</w:t>
      </w:r>
      <w:proofErr w:type="gramStart"/>
      <w:r w:rsidRPr="00CF2011">
        <w:rPr>
          <w:rFonts w:cs="Arial"/>
          <w:snapToGrid w:val="0"/>
          <w:lang w:val="en-GB"/>
        </w:rPr>
        <w:t>i.e.</w:t>
      </w:r>
      <w:proofErr w:type="gramEnd"/>
      <w:r w:rsidRPr="00CF2011">
        <w:rPr>
          <w:rFonts w:cs="Arial"/>
          <w:snapToGrid w:val="0"/>
          <w:lang w:val="en-GB"/>
        </w:rPr>
        <w:t xml:space="preserve"> patients with little or no hepatic impairment at baseline), </w:t>
      </w:r>
      <w:r w:rsidR="006E4991" w:rsidRPr="00BF711C">
        <w:t>the time horizon</w:t>
      </w:r>
      <w:r w:rsidR="006E4991">
        <w:t xml:space="preserve"> (58 years)</w:t>
      </w:r>
      <w:r w:rsidR="006E4991" w:rsidRPr="00BF711C">
        <w:t xml:space="preserve">, </w:t>
      </w:r>
      <w:r w:rsidR="00F23D1D">
        <w:t xml:space="preserve">and the source used to model the natural history of chronic HDV. </w:t>
      </w:r>
      <w:r w:rsidR="00F23D1D" w:rsidRPr="00CF2011">
        <w:rPr>
          <w:rFonts w:cs="Arial"/>
          <w:snapToGrid w:val="0"/>
          <w:lang w:val="en-GB"/>
        </w:rPr>
        <w:t xml:space="preserve">Further, </w:t>
      </w:r>
      <w:r w:rsidRPr="00CF2011">
        <w:rPr>
          <w:rFonts w:cs="Arial"/>
          <w:snapToGrid w:val="0"/>
          <w:lang w:val="en-GB"/>
        </w:rPr>
        <w:t xml:space="preserve">the likely </w:t>
      </w:r>
      <w:r w:rsidR="00CF2011">
        <w:rPr>
          <w:rFonts w:cs="Arial"/>
          <w:snapToGrid w:val="0"/>
          <w:lang w:val="en-GB"/>
        </w:rPr>
        <w:t xml:space="preserve">role of testing and </w:t>
      </w:r>
      <w:r w:rsidRPr="00CF2011">
        <w:rPr>
          <w:rFonts w:cs="Arial"/>
          <w:snapToGrid w:val="0"/>
          <w:lang w:val="en-GB"/>
        </w:rPr>
        <w:lastRenderedPageBreak/>
        <w:t xml:space="preserve">duration of therapy </w:t>
      </w:r>
      <w:r w:rsidR="00F23D1D" w:rsidRPr="00CF2011">
        <w:rPr>
          <w:rFonts w:cs="Arial"/>
          <w:snapToGrid w:val="0"/>
          <w:lang w:val="en-GB"/>
        </w:rPr>
        <w:t xml:space="preserve">is highly uncertain </w:t>
      </w:r>
      <w:r w:rsidRPr="00CF2011">
        <w:rPr>
          <w:rFonts w:cs="Arial"/>
          <w:snapToGrid w:val="0"/>
          <w:lang w:val="en-GB"/>
        </w:rPr>
        <w:t xml:space="preserve">and compliance to treatment </w:t>
      </w:r>
      <w:r w:rsidR="00F23D1D" w:rsidRPr="00CF2011">
        <w:rPr>
          <w:rFonts w:cs="Arial"/>
          <w:snapToGrid w:val="0"/>
          <w:lang w:val="en-GB"/>
        </w:rPr>
        <w:t xml:space="preserve">applied in the model was not consistent with the trial data, though no adjustment was made to the </w:t>
      </w:r>
      <w:r w:rsidR="00292A66" w:rsidRPr="00CF2011">
        <w:rPr>
          <w:rFonts w:cs="Arial"/>
          <w:snapToGrid w:val="0"/>
          <w:lang w:val="en-GB"/>
        </w:rPr>
        <w:t xml:space="preserve">efficacy </w:t>
      </w:r>
      <w:r w:rsidR="00F23D1D" w:rsidRPr="00CF2011">
        <w:rPr>
          <w:rFonts w:cs="Arial"/>
          <w:snapToGrid w:val="0"/>
          <w:lang w:val="en-GB"/>
        </w:rPr>
        <w:t xml:space="preserve">outcomes. </w:t>
      </w:r>
      <w:r w:rsidR="00CF2011">
        <w:rPr>
          <w:rFonts w:cs="Arial"/>
          <w:snapToGrid w:val="0"/>
          <w:lang w:val="en-GB"/>
        </w:rPr>
        <w:t xml:space="preserve">As such, the PBAC considered that the model </w:t>
      </w:r>
      <w:r w:rsidR="00CF2011">
        <w:t xml:space="preserve">likely did not reflect how bulevirtide would be used in Australian clinical practice. </w:t>
      </w:r>
    </w:p>
    <w:p w14:paraId="384D5C85" w14:textId="537F53DF" w:rsidR="00FD539B" w:rsidRPr="00FD539B" w:rsidRDefault="00A32D0D" w:rsidP="00AB14EE">
      <w:pPr>
        <w:pStyle w:val="3-BodyText"/>
      </w:pPr>
      <w:r>
        <w:t xml:space="preserve">The PBAC noted that </w:t>
      </w:r>
      <w:r w:rsidR="00D11FBF" w:rsidRPr="00CF2011">
        <w:rPr>
          <w:rFonts w:cs="Arial"/>
          <w:snapToGrid w:val="0"/>
          <w:lang w:val="en-GB"/>
        </w:rPr>
        <w:t xml:space="preserve">the </w:t>
      </w:r>
      <w:r>
        <w:rPr>
          <w:rFonts w:cs="Arial"/>
          <w:snapToGrid w:val="0"/>
          <w:lang w:val="en-GB"/>
        </w:rPr>
        <w:t>modelled</w:t>
      </w:r>
      <w:r w:rsidR="00DD2808" w:rsidRPr="00CF2011">
        <w:rPr>
          <w:rFonts w:cs="Arial"/>
          <w:snapToGrid w:val="0"/>
          <w:lang w:val="en-GB"/>
        </w:rPr>
        <w:t xml:space="preserve"> duration of treatment </w:t>
      </w:r>
      <w:r>
        <w:rPr>
          <w:rFonts w:cs="Arial"/>
          <w:snapToGrid w:val="0"/>
          <w:lang w:val="en-GB"/>
        </w:rPr>
        <w:t xml:space="preserve">was </w:t>
      </w:r>
      <w:r w:rsidR="00DD2808" w:rsidRPr="00CF2011">
        <w:t>8.8 years</w:t>
      </w:r>
      <w:r>
        <w:t>, and</w:t>
      </w:r>
      <w:r w:rsidR="00F477AD" w:rsidRPr="00CF2011">
        <w:t xml:space="preserve"> </w:t>
      </w:r>
      <w:r w:rsidRPr="00CF2011">
        <w:rPr>
          <w:rFonts w:cs="Arial"/>
          <w:snapToGrid w:val="0"/>
          <w:lang w:val="en-GB"/>
        </w:rPr>
        <w:t xml:space="preserve">ongoing treatment </w:t>
      </w:r>
      <w:r>
        <w:rPr>
          <w:rFonts w:cs="Arial"/>
          <w:snapToGrid w:val="0"/>
          <w:lang w:val="en-GB"/>
        </w:rPr>
        <w:t xml:space="preserve">is required </w:t>
      </w:r>
      <w:r w:rsidRPr="00CF2011">
        <w:rPr>
          <w:rFonts w:cs="Arial"/>
          <w:snapToGrid w:val="0"/>
          <w:lang w:val="en-GB"/>
        </w:rPr>
        <w:t>to maintain viral suppression</w:t>
      </w:r>
      <w:r>
        <w:t xml:space="preserve">. In this context, the PBAC considered </w:t>
      </w:r>
      <w:r w:rsidRPr="00CF2011">
        <w:rPr>
          <w:rFonts w:cs="Arial"/>
          <w:snapToGrid w:val="0"/>
          <w:lang w:val="en-GB"/>
        </w:rPr>
        <w:t>the undiscounted life year gain estimated in the model (~6.3 years) appears highly implausible</w:t>
      </w:r>
      <w:r w:rsidR="00CF2011">
        <w:rPr>
          <w:rFonts w:cs="Arial"/>
          <w:snapToGrid w:val="0"/>
          <w:lang w:val="en-GB"/>
        </w:rPr>
        <w:t xml:space="preserve">. </w:t>
      </w:r>
      <w:r w:rsidR="00AA15DF" w:rsidRPr="00CF2011">
        <w:rPr>
          <w:rFonts w:cs="Arial"/>
          <w:snapToGrid w:val="0"/>
          <w:lang w:val="en-GB"/>
        </w:rPr>
        <w:t>T</w:t>
      </w:r>
      <w:r w:rsidR="00D11FBF" w:rsidRPr="00CF2011">
        <w:rPr>
          <w:rFonts w:cs="Arial"/>
          <w:snapToGrid w:val="0"/>
          <w:lang w:val="en-GB"/>
        </w:rPr>
        <w:t>he</w:t>
      </w:r>
      <w:r w:rsidR="00F23D1D" w:rsidRPr="00CF2011">
        <w:rPr>
          <w:rFonts w:cs="Arial"/>
          <w:snapToGrid w:val="0"/>
          <w:lang w:val="en-GB"/>
        </w:rPr>
        <w:t>refore</w:t>
      </w:r>
      <w:r w:rsidR="00FD539B" w:rsidRPr="00CF2011">
        <w:rPr>
          <w:rFonts w:cs="Arial"/>
          <w:snapToGrid w:val="0"/>
          <w:lang w:val="en-GB"/>
        </w:rPr>
        <w:t>,</w:t>
      </w:r>
      <w:r w:rsidR="00F23D1D" w:rsidRPr="00CF2011">
        <w:rPr>
          <w:rFonts w:cs="Arial"/>
          <w:snapToGrid w:val="0"/>
          <w:lang w:val="en-GB"/>
        </w:rPr>
        <w:t xml:space="preserve"> the</w:t>
      </w:r>
      <w:r w:rsidR="00D11FBF" w:rsidRPr="00CF2011">
        <w:rPr>
          <w:rFonts w:cs="Arial"/>
          <w:snapToGrid w:val="0"/>
          <w:lang w:val="en-GB"/>
        </w:rPr>
        <w:t xml:space="preserve"> PBAC </w:t>
      </w:r>
      <w:r w:rsidR="00AA15DF" w:rsidRPr="00CF2011">
        <w:rPr>
          <w:rFonts w:cs="Arial"/>
          <w:snapToGrid w:val="0"/>
          <w:lang w:val="en-GB"/>
        </w:rPr>
        <w:t xml:space="preserve">considered </w:t>
      </w:r>
      <w:r w:rsidR="00D11FBF" w:rsidRPr="00CF2011">
        <w:rPr>
          <w:rFonts w:cs="Arial"/>
          <w:snapToGrid w:val="0"/>
          <w:lang w:val="en-GB"/>
        </w:rPr>
        <w:t>the economic model likely substantially underestimated the ICER</w:t>
      </w:r>
      <w:r w:rsidR="00F23D1D" w:rsidRPr="00CF2011">
        <w:rPr>
          <w:rFonts w:cs="Arial"/>
          <w:snapToGrid w:val="0"/>
          <w:lang w:val="en-GB"/>
        </w:rPr>
        <w:t>. The PBAC</w:t>
      </w:r>
      <w:r w:rsidR="00D11FBF" w:rsidRPr="00CF2011">
        <w:rPr>
          <w:rFonts w:cs="Arial"/>
          <w:snapToGrid w:val="0"/>
          <w:lang w:val="en-GB"/>
        </w:rPr>
        <w:t xml:space="preserve"> noted more conservative inputs such as a definition of response that was more consistent with the surrogate to final transformation</w:t>
      </w:r>
      <w:r w:rsidR="00F23D1D" w:rsidRPr="00CF2011">
        <w:rPr>
          <w:rFonts w:cs="Arial"/>
          <w:snapToGrid w:val="0"/>
          <w:lang w:val="en-GB"/>
        </w:rPr>
        <w:t xml:space="preserve">, </w:t>
      </w:r>
      <w:r w:rsidR="00FD539B" w:rsidRPr="00CF2011">
        <w:rPr>
          <w:rFonts w:cs="Arial"/>
          <w:snapToGrid w:val="0"/>
          <w:lang w:val="en-GB"/>
        </w:rPr>
        <w:t xml:space="preserve">removal of </w:t>
      </w:r>
      <w:r w:rsidR="00FD539B" w:rsidRPr="00BF711C">
        <w:t>utility gains in responders</w:t>
      </w:r>
      <w:r w:rsidR="00FD539B">
        <w:t>, a shorter time horizon, alternative sources for transition probabilities</w:t>
      </w:r>
      <w:r w:rsidR="00FD539B" w:rsidRPr="00BF711C">
        <w:t xml:space="preserve"> </w:t>
      </w:r>
      <w:r w:rsidR="00FD539B" w:rsidRPr="00CF2011">
        <w:rPr>
          <w:rFonts w:cs="Arial"/>
          <w:snapToGrid w:val="0"/>
          <w:lang w:val="en-GB"/>
        </w:rPr>
        <w:t xml:space="preserve">had a </w:t>
      </w:r>
      <w:r w:rsidR="00AA15DF" w:rsidRPr="00CF2011">
        <w:rPr>
          <w:rFonts w:cs="Arial"/>
          <w:snapToGrid w:val="0"/>
          <w:lang w:val="en-GB"/>
        </w:rPr>
        <w:t xml:space="preserve">substantial cumulative </w:t>
      </w:r>
      <w:r w:rsidR="00292A66" w:rsidRPr="00CF2011">
        <w:rPr>
          <w:rFonts w:cs="Arial"/>
          <w:snapToGrid w:val="0"/>
          <w:lang w:val="en-GB"/>
        </w:rPr>
        <w:t xml:space="preserve">impact </w:t>
      </w:r>
      <w:r w:rsidR="00AA15DF" w:rsidRPr="00CF2011">
        <w:rPr>
          <w:rFonts w:cs="Arial"/>
          <w:snapToGrid w:val="0"/>
          <w:lang w:val="en-GB"/>
        </w:rPr>
        <w:t>on the ICER</w:t>
      </w:r>
      <w:r w:rsidR="003318CF" w:rsidRPr="00CF2011">
        <w:rPr>
          <w:rFonts w:cs="Arial"/>
          <w:snapToGrid w:val="0"/>
          <w:lang w:val="en-GB"/>
        </w:rPr>
        <w:t>, resulting in an ICER that was very high</w:t>
      </w:r>
      <w:r w:rsidR="00D11FBF" w:rsidRPr="00CF2011">
        <w:rPr>
          <w:rFonts w:cs="Arial"/>
          <w:snapToGrid w:val="0"/>
          <w:lang w:val="en-GB"/>
        </w:rPr>
        <w:t xml:space="preserve">. Therefore, the PBAC considered the listing of bulevirtide </w:t>
      </w:r>
      <w:r w:rsidR="00292A66" w:rsidRPr="00CF2011">
        <w:rPr>
          <w:rFonts w:cs="Arial"/>
          <w:snapToGrid w:val="0"/>
          <w:lang w:val="en-GB"/>
        </w:rPr>
        <w:t xml:space="preserve">was </w:t>
      </w:r>
      <w:r w:rsidR="00D11FBF" w:rsidRPr="00CF2011">
        <w:rPr>
          <w:rFonts w:cs="Arial"/>
          <w:snapToGrid w:val="0"/>
          <w:lang w:val="en-GB"/>
        </w:rPr>
        <w:t>not cost effective at the requested price</w:t>
      </w:r>
      <w:r w:rsidR="00FD539B" w:rsidRPr="00CF2011">
        <w:rPr>
          <w:rFonts w:cs="Arial"/>
          <w:snapToGrid w:val="0"/>
          <w:lang w:val="en-GB"/>
        </w:rPr>
        <w:t xml:space="preserve">. </w:t>
      </w:r>
    </w:p>
    <w:p w14:paraId="2DF46F6A" w14:textId="6619313C" w:rsidR="00D11FBF" w:rsidRPr="00D11FBF" w:rsidRDefault="00FD539B" w:rsidP="00AB14EE">
      <w:pPr>
        <w:pStyle w:val="3-BodyText"/>
      </w:pPr>
      <w:r>
        <w:rPr>
          <w:rFonts w:cs="Arial"/>
          <w:snapToGrid w:val="0"/>
          <w:lang w:val="en-GB"/>
        </w:rPr>
        <w:t xml:space="preserve">The PBAC </w:t>
      </w:r>
      <w:r w:rsidR="00D11FBF" w:rsidRPr="00D11FBF">
        <w:rPr>
          <w:rFonts w:cs="Arial"/>
          <w:snapToGrid w:val="0"/>
          <w:lang w:val="en-GB"/>
        </w:rPr>
        <w:t xml:space="preserve">agreed with the ESC that </w:t>
      </w:r>
      <w:r w:rsidRPr="00BF711C">
        <w:t>it would likely be a long time before the patient-relevant impacts of bulevirtide treatment are well-characterised,</w:t>
      </w:r>
      <w:r>
        <w:t xml:space="preserve"> </w:t>
      </w:r>
      <w:r w:rsidR="00DD2808">
        <w:t xml:space="preserve">and </w:t>
      </w:r>
      <w:r w:rsidR="00F477AD">
        <w:t xml:space="preserve">considered </w:t>
      </w:r>
      <w:r w:rsidR="00DD2808">
        <w:t xml:space="preserve">there remains uncertainty regarding how </w:t>
      </w:r>
      <w:r w:rsidR="00F477AD">
        <w:t xml:space="preserve">bulevirtide is likely to be used in clinical practice. As such, the PBAC considered </w:t>
      </w:r>
      <w:r>
        <w:rPr>
          <w:rFonts w:cs="Arial"/>
          <w:snapToGrid w:val="0"/>
          <w:lang w:val="en-GB"/>
        </w:rPr>
        <w:t>the most</w:t>
      </w:r>
      <w:r w:rsidR="00D11FBF" w:rsidRPr="00D11FBF">
        <w:rPr>
          <w:rFonts w:cs="Arial"/>
          <w:snapToGrid w:val="0"/>
          <w:lang w:val="en-GB"/>
        </w:rPr>
        <w:t xml:space="preserve"> appropriate way to manage the substantial uncertainties would be to adopt a conservative approach to the model inputs and </w:t>
      </w:r>
      <w:r w:rsidR="00F477AD">
        <w:rPr>
          <w:rFonts w:cs="Arial"/>
          <w:snapToGrid w:val="0"/>
          <w:lang w:val="en-GB"/>
        </w:rPr>
        <w:t xml:space="preserve">advised </w:t>
      </w:r>
      <w:r w:rsidR="00D11FBF" w:rsidRPr="00D11FBF">
        <w:rPr>
          <w:rFonts w:cs="Arial"/>
          <w:snapToGrid w:val="0"/>
          <w:lang w:val="en-GB"/>
        </w:rPr>
        <w:t>that a revised economic model</w:t>
      </w:r>
      <w:r w:rsidR="00F477AD">
        <w:rPr>
          <w:rFonts w:cs="Arial"/>
          <w:snapToGrid w:val="0"/>
          <w:lang w:val="en-GB"/>
        </w:rPr>
        <w:t xml:space="preserve"> would be required</w:t>
      </w:r>
      <w:r>
        <w:rPr>
          <w:rFonts w:cs="Arial"/>
          <w:snapToGrid w:val="0"/>
          <w:lang w:val="en-GB"/>
        </w:rPr>
        <w:t>. The PBAC also considered a</w:t>
      </w:r>
      <w:r w:rsidR="00AA15DF">
        <w:rPr>
          <w:rFonts w:cs="Arial"/>
          <w:snapToGrid w:val="0"/>
          <w:lang w:val="en-GB"/>
        </w:rPr>
        <w:t xml:space="preserve"> </w:t>
      </w:r>
      <w:r>
        <w:rPr>
          <w:rFonts w:cs="Arial"/>
          <w:snapToGrid w:val="0"/>
          <w:lang w:val="en-GB"/>
        </w:rPr>
        <w:t>reduction in the</w:t>
      </w:r>
      <w:r w:rsidR="00AA15DF">
        <w:rPr>
          <w:rFonts w:cs="Arial"/>
          <w:snapToGrid w:val="0"/>
          <w:lang w:val="en-GB"/>
        </w:rPr>
        <w:t xml:space="preserve"> price</w:t>
      </w:r>
      <w:r>
        <w:rPr>
          <w:rFonts w:cs="Arial"/>
          <w:snapToGrid w:val="0"/>
          <w:lang w:val="en-GB"/>
        </w:rPr>
        <w:t xml:space="preserve"> of bulevirtide would be required, given that more conservative model inputs would substantially increase the ICER</w:t>
      </w:r>
      <w:r w:rsidR="00D11FBF" w:rsidRPr="00D11FBF">
        <w:rPr>
          <w:rFonts w:cs="Arial"/>
          <w:snapToGrid w:val="0"/>
          <w:lang w:val="en-GB"/>
        </w:rPr>
        <w:t>.</w:t>
      </w:r>
      <w:r w:rsidR="00D11FBF">
        <w:rPr>
          <w:rFonts w:cs="Arial"/>
          <w:snapToGrid w:val="0"/>
          <w:lang w:val="en-GB"/>
        </w:rPr>
        <w:t xml:space="preserve"> </w:t>
      </w:r>
      <w:r w:rsidR="000B0EB9" w:rsidRPr="000B0EB9">
        <w:rPr>
          <w:rFonts w:cs="Arial"/>
          <w:snapToGrid w:val="0"/>
          <w:lang w:val="en-GB"/>
        </w:rPr>
        <w:t xml:space="preserve">The PBAC recalled that other antivirals for chronic viral hepatitis have previously been considered cost-effective with ICERs less than $45,000/QALY, </w:t>
      </w:r>
      <w:r w:rsidR="000B0EB9">
        <w:rPr>
          <w:rFonts w:cs="Arial"/>
          <w:snapToGrid w:val="0"/>
          <w:lang w:val="en-GB"/>
        </w:rPr>
        <w:t xml:space="preserve">although the PBAC noted that the frequency of CHD infection in Australia is much lower than for hepatitis B or hepatitis C, </w:t>
      </w:r>
      <w:r w:rsidR="000B0EB9" w:rsidRPr="000B0EB9">
        <w:rPr>
          <w:rFonts w:cs="Arial"/>
          <w:snapToGrid w:val="0"/>
          <w:lang w:val="en-GB"/>
        </w:rPr>
        <w:t>treatment options for CHD are limited</w:t>
      </w:r>
      <w:r w:rsidR="000B0EB9">
        <w:rPr>
          <w:rFonts w:cs="Arial"/>
          <w:snapToGrid w:val="0"/>
          <w:lang w:val="en-GB"/>
        </w:rPr>
        <w:t>,</w:t>
      </w:r>
      <w:r w:rsidR="000B0EB9" w:rsidRPr="000B0EB9">
        <w:rPr>
          <w:rFonts w:cs="Arial"/>
          <w:snapToGrid w:val="0"/>
          <w:lang w:val="en-GB"/>
        </w:rPr>
        <w:t xml:space="preserve"> and the TGA granted orphan drug designation to bulevirtide.</w:t>
      </w:r>
    </w:p>
    <w:p w14:paraId="11B16051" w14:textId="5F1F011E" w:rsidR="00D11FBF" w:rsidRPr="00D11FBF" w:rsidRDefault="00D11FBF" w:rsidP="00AB14EE">
      <w:pPr>
        <w:pStyle w:val="3-BodyText"/>
      </w:pPr>
      <w:r>
        <w:t xml:space="preserve">The PBAC considered </w:t>
      </w:r>
      <w:r w:rsidR="00021AAE">
        <w:t>that there a</w:t>
      </w:r>
      <w:r w:rsidR="00292A66">
        <w:t>re</w:t>
      </w:r>
      <w:r w:rsidR="00021AAE">
        <w:t xml:space="preserve"> relatively reliable sources for estimating the prevalence of CHB, HDV and CHD and considered that the most recent Australian sources should be used for these inputs. The PBAC noted that as CHD is relatively rare there are likely to be less than 100 incident patients per year eligible for treatment with bulevirtide. However, the PBAC considered </w:t>
      </w:r>
      <w:r>
        <w:t>the likely uptake</w:t>
      </w:r>
      <w:r w:rsidR="00021AAE">
        <w:t xml:space="preserve"> of both testing and treatment</w:t>
      </w:r>
      <w:r>
        <w:t xml:space="preserve">, </w:t>
      </w:r>
      <w:r w:rsidR="00021AAE">
        <w:t xml:space="preserve">and </w:t>
      </w:r>
      <w:r>
        <w:t>utilisation and duration of therapy with bulevirtide</w:t>
      </w:r>
      <w:r w:rsidR="00021AAE">
        <w:t>,</w:t>
      </w:r>
      <w:r>
        <w:t xml:space="preserve"> to be highly uncertain</w:t>
      </w:r>
      <w:r w:rsidR="00CC5861">
        <w:t xml:space="preserve"> in practice</w:t>
      </w:r>
      <w:r>
        <w:t xml:space="preserve">. </w:t>
      </w:r>
      <w:r w:rsidR="005A7B28">
        <w:t>T</w:t>
      </w:r>
      <w:r w:rsidR="00CC5861" w:rsidRPr="00CC5861">
        <w:t xml:space="preserve">he PBAC </w:t>
      </w:r>
      <w:r w:rsidR="00113931">
        <w:t xml:space="preserve">noted </w:t>
      </w:r>
      <w:r w:rsidR="00FD539B">
        <w:t>that in</w:t>
      </w:r>
      <w:r w:rsidR="00FD539B" w:rsidRPr="00CC5861">
        <w:t xml:space="preserve"> </w:t>
      </w:r>
      <w:r w:rsidR="00CC5861" w:rsidRPr="00CC5861">
        <w:t xml:space="preserve">the proposed PBS population for bulevirtide </w:t>
      </w:r>
      <w:r w:rsidR="00FD539B">
        <w:t>(</w:t>
      </w:r>
      <w:r w:rsidR="00CC5861" w:rsidRPr="00CC5861">
        <w:t>patients with no or well-compensated cirrhosis</w:t>
      </w:r>
      <w:r w:rsidR="00FD539B">
        <w:t>)</w:t>
      </w:r>
      <w:r w:rsidR="00113931">
        <w:t>,</w:t>
      </w:r>
      <w:r w:rsidR="00CC5861" w:rsidRPr="00CC5861">
        <w:t xml:space="preserve"> most </w:t>
      </w:r>
      <w:r w:rsidR="00FD539B">
        <w:t xml:space="preserve">patients </w:t>
      </w:r>
      <w:r w:rsidR="00CC5861" w:rsidRPr="00CC5861">
        <w:t>would likely have no or limited symptoms of hepatic disease</w:t>
      </w:r>
      <w:r w:rsidR="006A1B2E">
        <w:t>. Therefore the Committee</w:t>
      </w:r>
      <w:r w:rsidR="00CC5861" w:rsidRPr="00CC5861">
        <w:t xml:space="preserve"> considered, given the onerous administration requirements of daily and ongoing injections</w:t>
      </w:r>
      <w:r w:rsidR="00113931">
        <w:t>,</w:t>
      </w:r>
      <w:r w:rsidR="00FD539B">
        <w:t xml:space="preserve"> treatment </w:t>
      </w:r>
      <w:r w:rsidR="00DD2808">
        <w:t xml:space="preserve">uptake and </w:t>
      </w:r>
      <w:r w:rsidR="00FD539B">
        <w:t>persistence is uncertain.</w:t>
      </w:r>
      <w:r w:rsidR="00CC5861" w:rsidRPr="00CC5861">
        <w:t xml:space="preserve"> Furthermore, the Committee noted and agreed with the DUSC that the use of HDV RNA quantification testing to determine eligibility may have been overestimated, and that some inputs such as the proportion of CHB patients engaged in care, anti-HDV antibody testing rates and proportion eligible for bulevirtide were</w:t>
      </w:r>
      <w:r w:rsidR="00DD2A90">
        <w:t xml:space="preserve"> uncertain</w:t>
      </w:r>
      <w:r w:rsidR="00CC5861" w:rsidRPr="00CC5861">
        <w:t xml:space="preserve">. The PBAC noted the </w:t>
      </w:r>
      <w:r w:rsidR="00DD2A90">
        <w:lastRenderedPageBreak/>
        <w:t>p</w:t>
      </w:r>
      <w:r w:rsidR="00CC5861" w:rsidRPr="00CC5861">
        <w:t>re</w:t>
      </w:r>
      <w:r w:rsidR="00DD2A90">
        <w:noBreakHyphen/>
      </w:r>
      <w:r w:rsidR="00CC5861" w:rsidRPr="00CC5861">
        <w:t xml:space="preserve">PBAC </w:t>
      </w:r>
      <w:r w:rsidR="00DD2A90">
        <w:t>r</w:t>
      </w:r>
      <w:r w:rsidR="00CC5861" w:rsidRPr="00CC5861">
        <w:t xml:space="preserve">esponse disagreed with the DUSC </w:t>
      </w:r>
      <w:r w:rsidR="00DD2A90">
        <w:t>regarding</w:t>
      </w:r>
      <w:r w:rsidR="00DD2A90" w:rsidRPr="00CC5861">
        <w:t xml:space="preserve"> </w:t>
      </w:r>
      <w:r w:rsidR="00CC5861" w:rsidRPr="00CC5861">
        <w:t>numerous inputs to the utilisation estimates; however considered that overall the</w:t>
      </w:r>
      <w:r w:rsidR="00CC5861">
        <w:t>re</w:t>
      </w:r>
      <w:r w:rsidR="00CC5861" w:rsidRPr="00CC5861">
        <w:t xml:space="preserve"> were substantial uncertainties with the way HDV is tested for and managed in practice that </w:t>
      </w:r>
      <w:r w:rsidR="00DD2A90">
        <w:t>may</w:t>
      </w:r>
      <w:r w:rsidR="00CC5861" w:rsidRPr="00CC5861">
        <w:t xml:space="preserve"> </w:t>
      </w:r>
      <w:r w:rsidR="001425DA">
        <w:t xml:space="preserve">also </w:t>
      </w:r>
      <w:r w:rsidR="00CC5861" w:rsidRPr="00CC5861">
        <w:t xml:space="preserve">change with the availability of a treatment option where few or no </w:t>
      </w:r>
      <w:r w:rsidR="00CC5861">
        <w:t>options exist</w:t>
      </w:r>
      <w:r w:rsidR="00DD2A90">
        <w:t xml:space="preserve">. </w:t>
      </w:r>
    </w:p>
    <w:p w14:paraId="0C26D15D" w14:textId="2BE0DE0C" w:rsidR="0035785A" w:rsidRPr="0035785A" w:rsidRDefault="008808A0" w:rsidP="00AB14EE">
      <w:pPr>
        <w:pStyle w:val="3-BodyText"/>
      </w:pPr>
      <w:r w:rsidRPr="0035785A">
        <w:t xml:space="preserve">The PBAC noted the submission </w:t>
      </w:r>
      <w:r w:rsidR="0035785A" w:rsidRPr="0035785A">
        <w:t xml:space="preserve">claimed that the ‘Rule of Rescue’ would apply to bulevirtide. </w:t>
      </w:r>
      <w:r w:rsidR="001425DA">
        <w:t>The PBAC considered that the “Rule of Rescue” criteria were not met for bulevirtide for the following reasons</w:t>
      </w:r>
      <w:r w:rsidR="0035785A" w:rsidRPr="0035785A">
        <w:t xml:space="preserve">: </w:t>
      </w:r>
    </w:p>
    <w:p w14:paraId="211F3094" w14:textId="1EF7FAE0" w:rsidR="008808A0" w:rsidRDefault="00146389" w:rsidP="004E6F8C">
      <w:pPr>
        <w:widowControl w:val="0"/>
        <w:numPr>
          <w:ilvl w:val="0"/>
          <w:numId w:val="32"/>
        </w:numPr>
        <w:spacing w:before="0" w:after="120"/>
        <w:ind w:left="1134"/>
        <w:rPr>
          <w:rFonts w:cs="Arial"/>
          <w:snapToGrid w:val="0"/>
          <w:lang w:val="en-GB"/>
        </w:rPr>
      </w:pPr>
      <w:r w:rsidRPr="00146389">
        <w:rPr>
          <w:rFonts w:cs="Arial"/>
          <w:snapToGrid w:val="0"/>
          <w:u w:val="single"/>
        </w:rPr>
        <w:t>No nonpharmacological or pharmacological interventions for these patients:</w:t>
      </w:r>
      <w:r>
        <w:rPr>
          <w:rFonts w:cs="Arial"/>
          <w:snapToGrid w:val="0"/>
        </w:rPr>
        <w:t xml:space="preserve"> </w:t>
      </w:r>
      <w:r w:rsidR="0035785A">
        <w:rPr>
          <w:rFonts w:cs="Arial"/>
          <w:snapToGrid w:val="0"/>
          <w:lang w:val="en-GB"/>
        </w:rPr>
        <w:t xml:space="preserve">The PBAC considered that while there is no TGA registered medicine or identified alternative approved therapy for the treatment of CHD in Australia, </w:t>
      </w:r>
      <w:r w:rsidR="00D15967" w:rsidRPr="00D15967">
        <w:rPr>
          <w:rFonts w:cs="Arial"/>
          <w:snapToGrid w:val="0"/>
          <w:lang w:val="en-GB"/>
        </w:rPr>
        <w:t>PEG-IFN-α</w:t>
      </w:r>
      <w:r w:rsidR="00D15967">
        <w:rPr>
          <w:rFonts w:cs="Arial"/>
          <w:snapToGrid w:val="0"/>
          <w:lang w:val="en-GB"/>
        </w:rPr>
        <w:t xml:space="preserve"> </w:t>
      </w:r>
      <w:r w:rsidR="001425DA">
        <w:rPr>
          <w:rFonts w:cs="Arial"/>
          <w:snapToGrid w:val="0"/>
          <w:lang w:val="en-GB"/>
        </w:rPr>
        <w:t xml:space="preserve">is </w:t>
      </w:r>
      <w:r w:rsidR="00D15967">
        <w:rPr>
          <w:rFonts w:cs="Arial"/>
          <w:snapToGrid w:val="0"/>
          <w:lang w:val="en-GB"/>
        </w:rPr>
        <w:t>used</w:t>
      </w:r>
      <w:r w:rsidR="00113931">
        <w:rPr>
          <w:rFonts w:cs="Arial"/>
          <w:snapToGrid w:val="0"/>
          <w:lang w:val="en-GB"/>
        </w:rPr>
        <w:t xml:space="preserve"> to a limited extent</w:t>
      </w:r>
      <w:r w:rsidR="00D15967">
        <w:rPr>
          <w:rFonts w:cs="Arial"/>
          <w:snapToGrid w:val="0"/>
          <w:lang w:val="en-GB"/>
        </w:rPr>
        <w:t xml:space="preserve">. </w:t>
      </w:r>
    </w:p>
    <w:p w14:paraId="25A5F50A" w14:textId="272A362C" w:rsidR="00D15967" w:rsidRDefault="00146389" w:rsidP="004E6F8C">
      <w:pPr>
        <w:widowControl w:val="0"/>
        <w:numPr>
          <w:ilvl w:val="0"/>
          <w:numId w:val="32"/>
        </w:numPr>
        <w:spacing w:before="0" w:after="120"/>
        <w:ind w:left="1134"/>
        <w:rPr>
          <w:rFonts w:cs="Arial"/>
          <w:snapToGrid w:val="0"/>
          <w:lang w:val="en-GB"/>
        </w:rPr>
      </w:pPr>
      <w:r w:rsidRPr="00146389">
        <w:rPr>
          <w:rFonts w:cs="Arial"/>
          <w:snapToGrid w:val="0"/>
          <w:u w:val="single"/>
          <w:lang w:val="en-GB"/>
        </w:rPr>
        <w:t>The medical condition is severe, progressive</w:t>
      </w:r>
      <w:r w:rsidR="003318CF">
        <w:rPr>
          <w:rFonts w:cs="Arial"/>
          <w:snapToGrid w:val="0"/>
          <w:u w:val="single"/>
          <w:lang w:val="en-GB"/>
        </w:rPr>
        <w:t>,</w:t>
      </w:r>
      <w:r w:rsidRPr="00146389">
        <w:rPr>
          <w:rFonts w:cs="Arial"/>
          <w:snapToGrid w:val="0"/>
          <w:u w:val="single"/>
          <w:lang w:val="en-GB"/>
        </w:rPr>
        <w:t xml:space="preserve"> and expected to lead to premature death:</w:t>
      </w:r>
      <w:r>
        <w:rPr>
          <w:rFonts w:cs="Arial"/>
          <w:snapToGrid w:val="0"/>
          <w:lang w:val="en-GB"/>
        </w:rPr>
        <w:t xml:space="preserve"> </w:t>
      </w:r>
      <w:r w:rsidR="00D15967">
        <w:rPr>
          <w:rFonts w:cs="Arial"/>
          <w:snapToGrid w:val="0"/>
          <w:lang w:val="en-GB"/>
        </w:rPr>
        <w:t xml:space="preserve">The PBAC </w:t>
      </w:r>
      <w:r w:rsidR="00D551DA">
        <w:rPr>
          <w:rFonts w:cs="Arial"/>
          <w:snapToGrid w:val="0"/>
          <w:lang w:val="en-GB"/>
        </w:rPr>
        <w:t xml:space="preserve">acknowledged CHD is progressive and </w:t>
      </w:r>
      <w:r w:rsidR="000125DD">
        <w:rPr>
          <w:rFonts w:cs="Arial"/>
          <w:snapToGrid w:val="0"/>
          <w:lang w:val="en-GB"/>
        </w:rPr>
        <w:t xml:space="preserve">is </w:t>
      </w:r>
      <w:r w:rsidR="00D551DA">
        <w:rPr>
          <w:rFonts w:cs="Arial"/>
          <w:snapToGrid w:val="0"/>
          <w:lang w:val="en-GB"/>
        </w:rPr>
        <w:t xml:space="preserve">associated with substantially </w:t>
      </w:r>
      <w:r w:rsidR="000125DD">
        <w:rPr>
          <w:rFonts w:cs="Arial"/>
          <w:snapToGrid w:val="0"/>
          <w:lang w:val="en-GB"/>
        </w:rPr>
        <w:t xml:space="preserve">increased </w:t>
      </w:r>
      <w:r w:rsidR="00D551DA">
        <w:rPr>
          <w:rFonts w:cs="Arial"/>
          <w:snapToGrid w:val="0"/>
          <w:lang w:val="en-GB"/>
        </w:rPr>
        <w:t xml:space="preserve">mortality </w:t>
      </w:r>
      <w:r w:rsidR="000125DD">
        <w:rPr>
          <w:rFonts w:cs="Arial"/>
          <w:snapToGrid w:val="0"/>
          <w:lang w:val="en-GB"/>
        </w:rPr>
        <w:t xml:space="preserve">compared with </w:t>
      </w:r>
      <w:r w:rsidR="00D551DA">
        <w:rPr>
          <w:rFonts w:cs="Arial"/>
          <w:snapToGrid w:val="0"/>
          <w:lang w:val="en-GB"/>
        </w:rPr>
        <w:t>CHB infection alone; however, the Committee also noted the requested patient population was in early stage of disease</w:t>
      </w:r>
      <w:r>
        <w:rPr>
          <w:rFonts w:cs="Arial"/>
          <w:snapToGrid w:val="0"/>
          <w:lang w:val="en-GB"/>
        </w:rPr>
        <w:t xml:space="preserve">, and </w:t>
      </w:r>
      <w:r w:rsidRPr="00543EB7">
        <w:t>the estimated 5-year survival probability in Child-Pugh Class A patients was 90% for anti-HDV positive/HbeAg negative</w:t>
      </w:r>
      <w:r>
        <w:t xml:space="preserve"> patients.</w:t>
      </w:r>
    </w:p>
    <w:p w14:paraId="53AB6D55" w14:textId="322AA284" w:rsidR="00D551DA" w:rsidRDefault="00146389" w:rsidP="004E6F8C">
      <w:pPr>
        <w:widowControl w:val="0"/>
        <w:numPr>
          <w:ilvl w:val="0"/>
          <w:numId w:val="32"/>
        </w:numPr>
        <w:spacing w:before="0" w:after="120"/>
        <w:ind w:left="1134"/>
        <w:rPr>
          <w:rFonts w:cs="Arial"/>
          <w:snapToGrid w:val="0"/>
          <w:lang w:val="en-GB"/>
        </w:rPr>
      </w:pPr>
      <w:r w:rsidRPr="00146389">
        <w:rPr>
          <w:rFonts w:cs="Arial"/>
          <w:snapToGrid w:val="0"/>
          <w:u w:val="single"/>
          <w:lang w:val="en-GB"/>
        </w:rPr>
        <w:t>The medical condition applies to only a very small number of patients:</w:t>
      </w:r>
      <w:r>
        <w:rPr>
          <w:rFonts w:cs="Arial"/>
          <w:snapToGrid w:val="0"/>
          <w:lang w:val="en-GB"/>
        </w:rPr>
        <w:t xml:space="preserve"> </w:t>
      </w:r>
      <w:r w:rsidR="00D551DA">
        <w:rPr>
          <w:rFonts w:cs="Arial"/>
          <w:snapToGrid w:val="0"/>
          <w:lang w:val="en-GB"/>
        </w:rPr>
        <w:t>The PBAC noted bulevirtide has been granted orphan drug status by the TGA</w:t>
      </w:r>
      <w:r w:rsidR="00353883">
        <w:rPr>
          <w:rFonts w:cs="Arial"/>
          <w:snapToGrid w:val="0"/>
          <w:lang w:val="en-GB"/>
        </w:rPr>
        <w:t xml:space="preserve"> and that the incidence of HDV infection in Australia is relatively low; however the Committee also considered there is a prevalent pool of patients that is likely not insignificant, and the availability of a treatment option for CHD may increase testing and identify additional patients. </w:t>
      </w:r>
    </w:p>
    <w:p w14:paraId="3A897436" w14:textId="24761BFF" w:rsidR="00353883" w:rsidRPr="0035785A" w:rsidRDefault="00146389" w:rsidP="004E6F8C">
      <w:pPr>
        <w:widowControl w:val="0"/>
        <w:numPr>
          <w:ilvl w:val="0"/>
          <w:numId w:val="32"/>
        </w:numPr>
        <w:spacing w:before="0" w:after="120"/>
        <w:ind w:left="1134"/>
        <w:rPr>
          <w:rFonts w:cs="Arial"/>
          <w:snapToGrid w:val="0"/>
          <w:lang w:val="en-GB"/>
        </w:rPr>
      </w:pPr>
      <w:r w:rsidRPr="00146389">
        <w:rPr>
          <w:rFonts w:cs="Arial"/>
          <w:snapToGrid w:val="0"/>
          <w:u w:val="single"/>
          <w:lang w:val="en-GB"/>
        </w:rPr>
        <w:t>The medicine provides a worthwhile clinical improvement sufficient to qualify as a rescue from the medical condition:</w:t>
      </w:r>
      <w:r>
        <w:rPr>
          <w:rFonts w:cs="Arial"/>
          <w:snapToGrid w:val="0"/>
          <w:lang w:val="en-GB"/>
        </w:rPr>
        <w:t xml:space="preserve"> </w:t>
      </w:r>
      <w:r w:rsidR="00353883">
        <w:rPr>
          <w:rFonts w:cs="Arial"/>
          <w:snapToGrid w:val="0"/>
          <w:lang w:val="en-GB"/>
        </w:rPr>
        <w:t xml:space="preserve">The PBAC acknowledged the trial data for bulevirtide showed relevant and important improvements in surrogate outcomes in the target population; </w:t>
      </w:r>
      <w:r w:rsidR="00386391">
        <w:rPr>
          <w:rFonts w:cs="Arial"/>
          <w:snapToGrid w:val="0"/>
          <w:lang w:val="en-GB"/>
        </w:rPr>
        <w:t>however,</w:t>
      </w:r>
      <w:r w:rsidR="00353883">
        <w:rPr>
          <w:rFonts w:cs="Arial"/>
          <w:snapToGrid w:val="0"/>
          <w:lang w:val="en-GB"/>
        </w:rPr>
        <w:t xml:space="preserve"> the PBAC </w:t>
      </w:r>
      <w:r w:rsidR="001425DA">
        <w:rPr>
          <w:rFonts w:cs="Arial"/>
          <w:snapToGrid w:val="0"/>
          <w:lang w:val="en-GB"/>
        </w:rPr>
        <w:t xml:space="preserve">considered the magnitude of </w:t>
      </w:r>
      <w:r w:rsidR="00353883">
        <w:rPr>
          <w:rFonts w:cs="Arial"/>
          <w:snapToGrid w:val="0"/>
          <w:lang w:val="en-GB"/>
        </w:rPr>
        <w:t xml:space="preserve">benefit </w:t>
      </w:r>
      <w:r w:rsidR="001425DA">
        <w:rPr>
          <w:rFonts w:cs="Arial"/>
          <w:snapToGrid w:val="0"/>
          <w:lang w:val="en-GB"/>
        </w:rPr>
        <w:t>in terms of</w:t>
      </w:r>
      <w:r w:rsidR="00353883">
        <w:rPr>
          <w:rFonts w:cs="Arial"/>
          <w:snapToGrid w:val="0"/>
          <w:lang w:val="en-GB"/>
        </w:rPr>
        <w:t xml:space="preserve"> patient-relevant and clinically important outcomes, especially over the longer term</w:t>
      </w:r>
      <w:r w:rsidR="001425DA">
        <w:rPr>
          <w:rFonts w:cs="Arial"/>
          <w:snapToGrid w:val="0"/>
          <w:lang w:val="en-GB"/>
        </w:rPr>
        <w:t>, was uncertain</w:t>
      </w:r>
      <w:r w:rsidR="00353883">
        <w:rPr>
          <w:rFonts w:cs="Arial"/>
          <w:snapToGrid w:val="0"/>
          <w:lang w:val="en-GB"/>
        </w:rPr>
        <w:t>.</w:t>
      </w:r>
    </w:p>
    <w:p w14:paraId="196E688D" w14:textId="13AF1973" w:rsidR="00371021" w:rsidRPr="00F147BB" w:rsidRDefault="00371021" w:rsidP="00AB14EE">
      <w:pPr>
        <w:pStyle w:val="3-BodyText"/>
      </w:pPr>
      <w:r w:rsidRPr="00F147BB">
        <w:t xml:space="preserve">The PBAC considered a resubmission for </w:t>
      </w:r>
      <w:r w:rsidR="0039268C">
        <w:t>bulevirtide</w:t>
      </w:r>
      <w:r w:rsidRPr="00F147BB">
        <w:t xml:space="preserve"> should address the following issues:</w:t>
      </w:r>
      <w:r w:rsidR="00484DC8" w:rsidRPr="00F147BB">
        <w:t xml:space="preserve"> </w:t>
      </w:r>
    </w:p>
    <w:p w14:paraId="39F2CD2B" w14:textId="7CE8FBF9" w:rsidR="00F147BB" w:rsidRDefault="00F147BB" w:rsidP="00AB14EE">
      <w:pPr>
        <w:pStyle w:val="PBACESParagraphBulletPoint"/>
        <w:rPr>
          <w:snapToGrid w:val="0"/>
          <w:lang w:val="en-GB"/>
        </w:rPr>
      </w:pPr>
      <w:r>
        <w:rPr>
          <w:snapToGrid w:val="0"/>
          <w:lang w:val="en-GB"/>
        </w:rPr>
        <w:t xml:space="preserve">A </w:t>
      </w:r>
      <w:r w:rsidR="001425DA">
        <w:rPr>
          <w:snapToGrid w:val="0"/>
          <w:lang w:val="en-GB"/>
        </w:rPr>
        <w:t>r</w:t>
      </w:r>
      <w:r>
        <w:rPr>
          <w:snapToGrid w:val="0"/>
          <w:lang w:val="en-GB"/>
        </w:rPr>
        <w:t>evised restriction that ensures patients are not inappropriately excluded from being able to continue bulevirtide if they achieve an undetectable viral load and/or ALT normalisation whilst on treatment.</w:t>
      </w:r>
    </w:p>
    <w:p w14:paraId="77A7FB45" w14:textId="7DF2B836" w:rsidR="00484DC8" w:rsidRDefault="00484DC8" w:rsidP="00AB14EE">
      <w:pPr>
        <w:pStyle w:val="PBACESParagraphBulletPoint"/>
        <w:rPr>
          <w:snapToGrid w:val="0"/>
          <w:lang w:val="en-GB"/>
        </w:rPr>
      </w:pPr>
      <w:r>
        <w:rPr>
          <w:snapToGrid w:val="0"/>
          <w:lang w:val="en-GB"/>
        </w:rPr>
        <w:t>A revised economic model with inputs that are more</w:t>
      </w:r>
      <w:r w:rsidR="00375BEC">
        <w:rPr>
          <w:snapToGrid w:val="0"/>
          <w:lang w:val="en-GB"/>
        </w:rPr>
        <w:t xml:space="preserve"> conservative (see scenarios in Table 14) and better</w:t>
      </w:r>
      <w:r>
        <w:rPr>
          <w:snapToGrid w:val="0"/>
          <w:lang w:val="en-GB"/>
        </w:rPr>
        <w:t xml:space="preserve"> aligned with the approach used to model the surrogate to final clinical outcomes</w:t>
      </w:r>
      <w:r w:rsidR="00146389">
        <w:rPr>
          <w:snapToGrid w:val="0"/>
          <w:lang w:val="en-GB"/>
        </w:rPr>
        <w:t xml:space="preserve">. </w:t>
      </w:r>
      <w:r w:rsidR="00F147BB" w:rsidRPr="00F147BB">
        <w:rPr>
          <w:snapToGrid w:val="0"/>
          <w:lang w:val="en-GB"/>
        </w:rPr>
        <w:t>The PBAC also considered, given the implausible gain</w:t>
      </w:r>
      <w:r w:rsidR="00113931">
        <w:rPr>
          <w:snapToGrid w:val="0"/>
          <w:lang w:val="en-GB"/>
        </w:rPr>
        <w:t xml:space="preserve"> in survival</w:t>
      </w:r>
      <w:r w:rsidR="00F147BB" w:rsidRPr="00F147BB">
        <w:rPr>
          <w:snapToGrid w:val="0"/>
          <w:lang w:val="en-GB"/>
        </w:rPr>
        <w:t xml:space="preserve"> </w:t>
      </w:r>
      <w:r w:rsidR="00146389">
        <w:rPr>
          <w:snapToGrid w:val="0"/>
          <w:lang w:val="en-GB"/>
        </w:rPr>
        <w:t xml:space="preserve">for </w:t>
      </w:r>
      <w:r w:rsidR="00F147BB" w:rsidRPr="00F147BB">
        <w:rPr>
          <w:snapToGrid w:val="0"/>
          <w:lang w:val="en-GB"/>
        </w:rPr>
        <w:t>bulevirtide</w:t>
      </w:r>
      <w:r w:rsidR="00146389">
        <w:rPr>
          <w:snapToGrid w:val="0"/>
          <w:lang w:val="en-GB"/>
        </w:rPr>
        <w:t xml:space="preserve"> in the model</w:t>
      </w:r>
      <w:r w:rsidR="00F147BB" w:rsidRPr="00F147BB">
        <w:rPr>
          <w:snapToGrid w:val="0"/>
          <w:lang w:val="en-GB"/>
        </w:rPr>
        <w:t>, that adjustment</w:t>
      </w:r>
      <w:r w:rsidR="00AD6D57">
        <w:rPr>
          <w:snapToGrid w:val="0"/>
          <w:lang w:val="en-GB"/>
        </w:rPr>
        <w:t>s should ensure that the model results in more plausible effects on liver-related outcomes and survival gains</w:t>
      </w:r>
      <w:r w:rsidR="00F147BB" w:rsidRPr="00F147BB">
        <w:rPr>
          <w:snapToGrid w:val="0"/>
          <w:lang w:val="en-GB"/>
        </w:rPr>
        <w:t>.</w:t>
      </w:r>
    </w:p>
    <w:p w14:paraId="3A96AC65" w14:textId="01601C01" w:rsidR="00F147BB" w:rsidRPr="00484DC8" w:rsidRDefault="00DD2A90" w:rsidP="00AB14EE">
      <w:pPr>
        <w:pStyle w:val="PBACESParagraphBulletPoint"/>
        <w:rPr>
          <w:snapToGrid w:val="0"/>
          <w:lang w:val="en-GB"/>
        </w:rPr>
      </w:pPr>
      <w:r>
        <w:lastRenderedPageBreak/>
        <w:t>R</w:t>
      </w:r>
      <w:r w:rsidRPr="00CC5861">
        <w:t xml:space="preserve">evised utilisation and financial estimates </w:t>
      </w:r>
      <w:r>
        <w:t>to ensure the most recent prevalence/incidence data are used</w:t>
      </w:r>
      <w:r w:rsidR="003318CF">
        <w:t>,</w:t>
      </w:r>
      <w:r>
        <w:t xml:space="preserve"> and addressing the issues raised by DUSC and the PBAC as noted in </w:t>
      </w:r>
      <w:r w:rsidRPr="00371021">
        <w:fldChar w:fldCharType="begin" w:fldLock="1"/>
      </w:r>
      <w:r w:rsidRPr="00371021">
        <w:instrText xml:space="preserve"> REF _Ref152349175 \h  \* MERGEFORMAT </w:instrText>
      </w:r>
      <w:r w:rsidRPr="00371021">
        <w:fldChar w:fldCharType="separate"/>
      </w:r>
      <w:r w:rsidRPr="00371021">
        <w:t xml:space="preserve">Table </w:t>
      </w:r>
      <w:r w:rsidRPr="00371021">
        <w:rPr>
          <w:noProof/>
        </w:rPr>
        <w:t>16</w:t>
      </w:r>
      <w:r w:rsidRPr="00371021">
        <w:fldChar w:fldCharType="end"/>
      </w:r>
      <w:r w:rsidRPr="00CC5861">
        <w:t>.</w:t>
      </w:r>
      <w:r>
        <w:t xml:space="preserve"> In addition, the PBAC considered </w:t>
      </w:r>
      <w:r w:rsidR="00F147BB">
        <w:rPr>
          <w:snapToGrid w:val="0"/>
          <w:lang w:val="en-GB"/>
        </w:rPr>
        <w:t>additional sensitivity analyses to allow a more thorough investigation of the impact of differen</w:t>
      </w:r>
      <w:r w:rsidR="003318CF">
        <w:rPr>
          <w:snapToGrid w:val="0"/>
          <w:lang w:val="en-GB"/>
        </w:rPr>
        <w:t>t</w:t>
      </w:r>
      <w:r w:rsidR="00F147BB">
        <w:rPr>
          <w:snapToGrid w:val="0"/>
          <w:lang w:val="en-GB"/>
        </w:rPr>
        <w:t xml:space="preserve"> scenarios</w:t>
      </w:r>
      <w:r>
        <w:rPr>
          <w:snapToGrid w:val="0"/>
          <w:lang w:val="en-GB"/>
        </w:rPr>
        <w:t xml:space="preserve"> </w:t>
      </w:r>
      <w:r w:rsidR="003318CF">
        <w:rPr>
          <w:snapToGrid w:val="0"/>
          <w:lang w:val="en-GB"/>
        </w:rPr>
        <w:t xml:space="preserve">in terms of testing and treatment uptake </w:t>
      </w:r>
      <w:r>
        <w:rPr>
          <w:snapToGrid w:val="0"/>
          <w:lang w:val="en-GB"/>
        </w:rPr>
        <w:t>would be informative</w:t>
      </w:r>
      <w:r w:rsidR="00F147BB">
        <w:rPr>
          <w:snapToGrid w:val="0"/>
          <w:lang w:val="en-GB"/>
        </w:rPr>
        <w:t>.</w:t>
      </w:r>
    </w:p>
    <w:p w14:paraId="3CB111B1" w14:textId="6BBA3081" w:rsidR="00371021" w:rsidRPr="00F147BB" w:rsidRDefault="00371021" w:rsidP="00AB14EE">
      <w:pPr>
        <w:pStyle w:val="3-BodyText"/>
        <w:numPr>
          <w:ilvl w:val="0"/>
          <w:numId w:val="0"/>
        </w:numPr>
        <w:ind w:left="720"/>
        <w:rPr>
          <w:snapToGrid w:val="0"/>
          <w:lang w:val="en-GB"/>
        </w:rPr>
      </w:pPr>
      <w:r w:rsidRPr="00C6512B">
        <w:rPr>
          <w:snapToGrid w:val="0"/>
          <w:lang w:val="en-GB"/>
        </w:rPr>
        <w:t>The resubmission may be lodged at any future standard due date for PBAC submissions using the standard re-entry pathway.</w:t>
      </w:r>
    </w:p>
    <w:p w14:paraId="3F4D696A" w14:textId="0355C6FF" w:rsidR="00371021" w:rsidRPr="00AB14EE" w:rsidRDefault="00371021" w:rsidP="00AB14EE">
      <w:pPr>
        <w:pStyle w:val="3-BodyText"/>
        <w:rPr>
          <w:rFonts w:cs="Arial"/>
          <w:bCs/>
          <w:snapToGrid w:val="0"/>
          <w:lang w:val="en-GB"/>
        </w:rPr>
      </w:pPr>
      <w:r w:rsidRPr="00F147BB">
        <w:t xml:space="preserve">The PBAC noted that this submission is eligible for an Independent Review. </w:t>
      </w:r>
    </w:p>
    <w:p w14:paraId="17D1EE76" w14:textId="77777777" w:rsidR="00371021" w:rsidRPr="00525B39" w:rsidRDefault="00371021" w:rsidP="00371021">
      <w:pPr>
        <w:spacing w:before="240" w:after="0"/>
        <w:rPr>
          <w:rFonts w:cs="Arial"/>
          <w:b/>
          <w:bCs/>
          <w:snapToGrid w:val="0"/>
          <w:lang w:val="en-GB"/>
        </w:rPr>
      </w:pPr>
      <w:r w:rsidRPr="00525B39">
        <w:rPr>
          <w:rFonts w:cs="Arial"/>
          <w:b/>
          <w:bCs/>
          <w:snapToGrid w:val="0"/>
          <w:lang w:val="en-GB"/>
        </w:rPr>
        <w:t>Outcome:</w:t>
      </w:r>
    </w:p>
    <w:p w14:paraId="784A34E0" w14:textId="0CBFD20C" w:rsidR="00850EFF" w:rsidRDefault="00371021" w:rsidP="00371021">
      <w:pPr>
        <w:rPr>
          <w:rFonts w:cs="Arial"/>
          <w:bCs/>
          <w:snapToGrid w:val="0"/>
          <w:lang w:val="en-GB"/>
        </w:rPr>
      </w:pPr>
      <w:r>
        <w:rPr>
          <w:rFonts w:cs="Arial"/>
          <w:bCs/>
          <w:snapToGrid w:val="0"/>
          <w:lang w:val="en-GB"/>
        </w:rPr>
        <w:t>Not recommended</w:t>
      </w:r>
      <w:r w:rsidRPr="00525B39">
        <w:rPr>
          <w:rFonts w:cs="Arial"/>
          <w:bCs/>
          <w:snapToGrid w:val="0"/>
          <w:lang w:val="en-GB"/>
        </w:rPr>
        <w:t xml:space="preserve"> </w:t>
      </w:r>
    </w:p>
    <w:p w14:paraId="4F41B5C5" w14:textId="77777777" w:rsidR="00850EFF" w:rsidRPr="00850EFF" w:rsidRDefault="00850EFF" w:rsidP="00AB14EE">
      <w:pPr>
        <w:pStyle w:val="2-SectionHeading"/>
        <w:rPr>
          <w:lang w:eastAsia="en-AU"/>
        </w:rPr>
      </w:pPr>
      <w:bookmarkStart w:id="88" w:name="_Hlk165280286"/>
      <w:r w:rsidRPr="00850EFF">
        <w:rPr>
          <w:lang w:eastAsia="en-AU"/>
        </w:rPr>
        <w:t>Context for Decision</w:t>
      </w:r>
    </w:p>
    <w:p w14:paraId="26E72967" w14:textId="77777777" w:rsidR="00850EFF" w:rsidRPr="00850EFF" w:rsidRDefault="00850EFF" w:rsidP="00AB14EE">
      <w:pPr>
        <w:pStyle w:val="3-BodyText"/>
        <w:numPr>
          <w:ilvl w:val="0"/>
          <w:numId w:val="0"/>
        </w:numPr>
        <w:ind w:left="720"/>
        <w:rPr>
          <w:snapToGrid w:val="0"/>
          <w:lang w:eastAsia="en-AU"/>
        </w:rPr>
      </w:pPr>
      <w:r w:rsidRPr="00850EFF">
        <w:rPr>
          <w:snapToGrid w:val="0"/>
          <w:lang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D2C0EF1" w14:textId="77777777" w:rsidR="00850EFF" w:rsidRPr="00850EFF" w:rsidRDefault="00850EFF" w:rsidP="00AB14EE">
      <w:pPr>
        <w:pStyle w:val="2-SectionHeading"/>
        <w:rPr>
          <w:lang w:eastAsia="en-AU"/>
        </w:rPr>
      </w:pPr>
      <w:r w:rsidRPr="00850EFF">
        <w:rPr>
          <w:lang w:eastAsia="en-AU"/>
        </w:rPr>
        <w:t>Sponsor’s Comment</w:t>
      </w:r>
    </w:p>
    <w:p w14:paraId="09F0B267" w14:textId="77777777" w:rsidR="00850EFF" w:rsidRPr="00850EFF" w:rsidRDefault="00850EFF" w:rsidP="00AB14EE">
      <w:pPr>
        <w:pStyle w:val="3-BodyText"/>
        <w:numPr>
          <w:ilvl w:val="0"/>
          <w:numId w:val="0"/>
        </w:numPr>
        <w:ind w:left="720"/>
        <w:rPr>
          <w:snapToGrid w:val="0"/>
          <w:lang w:eastAsia="en-AU"/>
        </w:rPr>
      </w:pPr>
      <w:r w:rsidRPr="00850EFF">
        <w:rPr>
          <w:snapToGrid w:val="0"/>
          <w:lang w:eastAsia="en-AU"/>
        </w:rPr>
        <w:t>The sponsor had no comment.</w:t>
      </w:r>
    </w:p>
    <w:bookmarkEnd w:id="83"/>
    <w:bookmarkEnd w:id="84"/>
    <w:bookmarkEnd w:id="85"/>
    <w:bookmarkEnd w:id="86"/>
    <w:bookmarkEnd w:id="88"/>
    <w:p w14:paraId="1EF4DADC" w14:textId="77777777" w:rsidR="00850EFF" w:rsidRPr="00525B39" w:rsidRDefault="00850EFF" w:rsidP="00371021">
      <w:pPr>
        <w:rPr>
          <w:rFonts w:cs="Arial"/>
          <w:bCs/>
          <w:snapToGrid w:val="0"/>
          <w:lang w:val="en-GB"/>
        </w:rPr>
      </w:pPr>
    </w:p>
    <w:sectPr w:rsidR="00850EFF" w:rsidRPr="00525B39" w:rsidSect="00EF630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01179" w14:textId="77777777" w:rsidR="006564A8" w:rsidRDefault="006564A8" w:rsidP="00BA3306">
      <w:pPr>
        <w:spacing w:before="0" w:after="0"/>
      </w:pPr>
      <w:r>
        <w:separator/>
      </w:r>
    </w:p>
    <w:p w14:paraId="4C1B237A" w14:textId="77777777" w:rsidR="006564A8" w:rsidRDefault="006564A8"/>
  </w:endnote>
  <w:endnote w:type="continuationSeparator" w:id="0">
    <w:p w14:paraId="7AF2D2CE" w14:textId="77777777" w:rsidR="006564A8" w:rsidRDefault="006564A8" w:rsidP="00BA3306">
      <w:pPr>
        <w:spacing w:before="0" w:after="0"/>
      </w:pPr>
      <w:r>
        <w:continuationSeparator/>
      </w:r>
    </w:p>
    <w:p w14:paraId="508E2930" w14:textId="77777777" w:rsidR="006564A8" w:rsidRDefault="006564A8"/>
  </w:endnote>
  <w:endnote w:type="continuationNotice" w:id="1">
    <w:p w14:paraId="36C4DB61" w14:textId="77777777" w:rsidR="006564A8" w:rsidRDefault="006564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Body)">
    <w:altName w:val="Calibri"/>
    <w:charset w:val="00"/>
    <w:family w:val="roman"/>
    <w:pitch w:val="default"/>
  </w:font>
  <w:font w:name="MS PGothic">
    <w:panose1 w:val="020B0600070205080204"/>
    <w:charset w:val="80"/>
    <w:family w:val="swiss"/>
    <w:pitch w:val="variable"/>
    <w:sig w:usb0="E00002FF" w:usb1="6AC7FDFB" w:usb2="08000012" w:usb3="00000000" w:csb0="0002009F" w:csb1="00000000"/>
  </w:font>
  <w:font w:name="Shaker 2 Lancet">
    <w:altName w:val="Calibri"/>
    <w:panose1 w:val="00000000000000000000"/>
    <w:charset w:val="00"/>
    <w:family w:val="swiss"/>
    <w:notTrueType/>
    <w:pitch w:val="default"/>
    <w:sig w:usb0="00000003" w:usb1="00000000" w:usb2="00000000" w:usb3="00000000" w:csb0="00000001" w:csb1="00000000"/>
  </w:font>
  <w:font w:name="GuardianSansGR-Regular">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AB68" w14:textId="77777777" w:rsidR="001A4B8B" w:rsidRDefault="001A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4CED" w14:textId="77777777" w:rsidR="00EF630E" w:rsidRDefault="00EF630E" w:rsidP="00371021">
    <w:pPr>
      <w:pStyle w:val="Footer"/>
      <w:keepNext/>
      <w:ind w:left="360"/>
      <w:jc w:val="center"/>
      <w:rPr>
        <w:rFonts w:ascii="Calibri" w:hAnsi="Calibri" w:cs="Arial"/>
        <w:b/>
      </w:rPr>
    </w:pPr>
  </w:p>
  <w:p w14:paraId="6614C034" w14:textId="737F6AA6" w:rsidR="00371021" w:rsidRPr="00371021" w:rsidRDefault="00371021" w:rsidP="00371021">
    <w:pPr>
      <w:pStyle w:val="Footer"/>
      <w:keepNext/>
      <w:ind w:left="360"/>
      <w:jc w:val="center"/>
      <w:rPr>
        <w:rFonts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sidRPr="00836F75">
      <w:rPr>
        <w:rFonts w:ascii="Calibri" w:hAnsi="Calibri" w:cs="Arial"/>
        <w:b/>
        <w:noProof/>
      </w:rPr>
      <w:t>1</w:t>
    </w:r>
    <w:r w:rsidRPr="00836F75">
      <w:rPr>
        <w:rFonts w:ascii="Calibri" w:hAnsi="Calibri" w:cs="Arial"/>
        <w:b/>
        <w:noProof/>
      </w:rPr>
      <w:fldChar w:fldCharType="end"/>
    </w:r>
    <w:r>
      <w:rPr>
        <w:rFonts w:ascii="Calibri" w:hAnsi="Calibri"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23A8" w14:textId="77777777" w:rsidR="001A4B8B" w:rsidRDefault="001A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2F97" w14:textId="77777777" w:rsidR="006564A8" w:rsidRDefault="006564A8" w:rsidP="00BA3306">
      <w:pPr>
        <w:spacing w:before="0" w:after="0"/>
      </w:pPr>
      <w:r>
        <w:separator/>
      </w:r>
    </w:p>
  </w:footnote>
  <w:footnote w:type="continuationSeparator" w:id="0">
    <w:p w14:paraId="73FA9428" w14:textId="77777777" w:rsidR="006564A8" w:rsidRDefault="006564A8" w:rsidP="00BA3306">
      <w:pPr>
        <w:spacing w:before="0" w:after="0"/>
      </w:pPr>
      <w:r>
        <w:continuationSeparator/>
      </w:r>
    </w:p>
    <w:p w14:paraId="6F12BA0A" w14:textId="77777777" w:rsidR="006564A8" w:rsidRDefault="006564A8"/>
  </w:footnote>
  <w:footnote w:type="continuationNotice" w:id="1">
    <w:p w14:paraId="63B3231C" w14:textId="77777777" w:rsidR="006564A8" w:rsidRDefault="006564A8">
      <w:pPr>
        <w:spacing w:before="0" w:after="0"/>
      </w:pPr>
    </w:p>
  </w:footnote>
  <w:footnote w:id="2">
    <w:p w14:paraId="06649761" w14:textId="77777777" w:rsidR="00592813" w:rsidRPr="00C33762" w:rsidRDefault="00592813" w:rsidP="00592813">
      <w:pPr>
        <w:pStyle w:val="Default"/>
      </w:pPr>
      <w:r>
        <w:rPr>
          <w:rStyle w:val="FootnoteReference"/>
        </w:rPr>
        <w:footnoteRef/>
      </w:r>
      <w:r>
        <w:t xml:space="preserve"> </w:t>
      </w:r>
      <w:r w:rsidRPr="00C33762">
        <w:rPr>
          <w:rFonts w:asciiTheme="minorHAnsi" w:hAnsiTheme="minorHAnsi" w:cstheme="minorHAnsi"/>
          <w:sz w:val="18"/>
          <w:szCs w:val="18"/>
        </w:rPr>
        <w:t>Wedemeyer H et al. Safety and efficacy of bulevirtide in combination with tenofovir disoproxil fumarate in patients with hepatitis B virus and hepatitis D virus coinfection (MYR202): a multicentre, randomised, parallel-group, open-label, phase 2 trial</w:t>
      </w:r>
      <w:r>
        <w:rPr>
          <w:rFonts w:asciiTheme="minorHAnsi" w:hAnsiTheme="minorHAnsi" w:cstheme="minorHAnsi"/>
          <w:sz w:val="18"/>
          <w:szCs w:val="18"/>
        </w:rPr>
        <w:t>. Lancet Infectious Diseases. 2023; 23:117-129.</w:t>
      </w:r>
    </w:p>
  </w:footnote>
  <w:footnote w:id="3">
    <w:p w14:paraId="7A5CC71C" w14:textId="3F1E1286" w:rsidR="00592813" w:rsidRDefault="00592813">
      <w:pPr>
        <w:pStyle w:val="FootnoteText"/>
      </w:pPr>
      <w:r>
        <w:rPr>
          <w:rStyle w:val="FootnoteReference"/>
        </w:rPr>
        <w:footnoteRef/>
      </w:r>
      <w:r>
        <w:t xml:space="preserve"> Lampertico et al. Results from an integrated analysis at week 96: continued treatment of early virologic non-responders or partial responders with bulevirtide monotherapy for chronic hepatitis delta leads to improvement in virologic and biochemical responses. 2023 AASLD November 2023.</w:t>
      </w:r>
    </w:p>
  </w:footnote>
  <w:footnote w:id="4">
    <w:p w14:paraId="17FFC49C" w14:textId="77777777" w:rsidR="00934511" w:rsidRPr="007B7BFF" w:rsidRDefault="00934511" w:rsidP="00EC6347">
      <w:pPr>
        <w:autoSpaceDE w:val="0"/>
        <w:autoSpaceDN w:val="0"/>
        <w:adjustRightInd w:val="0"/>
        <w:spacing w:before="0" w:after="0"/>
        <w:jc w:val="left"/>
        <w:rPr>
          <w:rFonts w:cstheme="minorHAnsi"/>
          <w:sz w:val="18"/>
          <w:szCs w:val="18"/>
        </w:rPr>
      </w:pPr>
      <w:r>
        <w:rPr>
          <w:rStyle w:val="FootnoteReference"/>
        </w:rPr>
        <w:footnoteRef/>
      </w:r>
      <w:r>
        <w:t xml:space="preserve"> </w:t>
      </w:r>
      <w:r w:rsidRPr="00CA07D2">
        <w:rPr>
          <w:rFonts w:cstheme="minorHAnsi"/>
          <w:sz w:val="18"/>
          <w:szCs w:val="18"/>
        </w:rPr>
        <w:t>Bichko V et al. Pathogenesis associated with replication of hepatitis delta virus. Infectious Agents and Diseases. 1994; 3: 94-97.</w:t>
      </w:r>
    </w:p>
  </w:footnote>
  <w:footnote w:id="5">
    <w:p w14:paraId="4A2653B0" w14:textId="77777777" w:rsidR="00934511" w:rsidRDefault="00934511" w:rsidP="00EC6347">
      <w:pPr>
        <w:pStyle w:val="FootnoteText"/>
      </w:pPr>
      <w:r>
        <w:rPr>
          <w:rStyle w:val="FootnoteReference"/>
        </w:rPr>
        <w:footnoteRef/>
      </w:r>
      <w:r>
        <w:t xml:space="preserve"> Miao Z et al. Estimating the global prevalence, disease progression, and clinical outcome of hepatitis Delta virus infection. Journal of Infectious Diseases. 2020; 221:1677-1687.</w:t>
      </w:r>
    </w:p>
    <w:p w14:paraId="6B8D0302" w14:textId="29570179" w:rsidR="00934511" w:rsidRDefault="00934511" w:rsidP="00EC6347">
      <w:pPr>
        <w:pStyle w:val="FootnoteText"/>
      </w:pPr>
      <w:r w:rsidRPr="008D4DE6">
        <w:t>Fattovich G et al. Influence of hepatitis delta virus infection on morbidity and mortality in compensated cirrhosis type B. The European Concerted Action on Viral Hepatitis (Eurohep). Gut. 2000; 46: 420-426.</w:t>
      </w:r>
    </w:p>
  </w:footnote>
  <w:footnote w:id="6">
    <w:p w14:paraId="39DCF3DF" w14:textId="468A3DEF" w:rsidR="00934511" w:rsidRPr="00EE1ED0" w:rsidRDefault="00934511" w:rsidP="00EC6347">
      <w:pPr>
        <w:pStyle w:val="FootnoteText"/>
        <w:rPr>
          <w:rFonts w:cstheme="minorHAnsi"/>
        </w:rPr>
      </w:pPr>
      <w:r>
        <w:rPr>
          <w:rStyle w:val="FootnoteReference"/>
        </w:rPr>
        <w:footnoteRef/>
      </w:r>
      <w:r>
        <w:rPr>
          <w:rFonts w:cstheme="minorHAnsi"/>
          <w:szCs w:val="18"/>
        </w:rPr>
        <w:t xml:space="preserve"> Fattovich G et al. Influence of hepatitis delta virus infection on morbidity in compensated cirrhosis type B. Gut. 2000; 46:420-426</w:t>
      </w:r>
      <w:r w:rsidRPr="00EE1ED0">
        <w:rPr>
          <w:rFonts w:cstheme="minorHAnsi"/>
          <w:szCs w:val="18"/>
        </w:rPr>
        <w:t>.</w:t>
      </w:r>
      <w:r>
        <w:rPr>
          <w:rFonts w:cstheme="minorHAnsi"/>
          <w:szCs w:val="18"/>
        </w:rPr>
        <w:t xml:space="preserve"> </w:t>
      </w:r>
    </w:p>
  </w:footnote>
  <w:footnote w:id="7">
    <w:p w14:paraId="6C849391" w14:textId="77777777" w:rsidR="00934511" w:rsidRPr="007B5F9E" w:rsidRDefault="00934511" w:rsidP="00EC6347">
      <w:pPr>
        <w:autoSpaceDE w:val="0"/>
        <w:autoSpaceDN w:val="0"/>
        <w:adjustRightInd w:val="0"/>
        <w:spacing w:before="0" w:after="0"/>
        <w:jc w:val="left"/>
        <w:rPr>
          <w:rFonts w:cstheme="minorHAnsi"/>
          <w:sz w:val="18"/>
          <w:szCs w:val="18"/>
        </w:rPr>
      </w:pPr>
      <w:r>
        <w:rPr>
          <w:rStyle w:val="FootnoteReference"/>
        </w:rPr>
        <w:footnoteRef/>
      </w:r>
      <w:r>
        <w:t xml:space="preserve"> </w:t>
      </w:r>
      <w:r w:rsidRPr="007B5F9E">
        <w:rPr>
          <w:rFonts w:eastAsia="GuardianSansGR-Regular" w:cstheme="minorHAnsi"/>
          <w:sz w:val="18"/>
          <w:szCs w:val="18"/>
        </w:rPr>
        <w:t>Abdrakhman A et al, Effectiveness of pegylated interferon monotherapy in the treatment of chronic hepatitis D virus infection: a meta-analysis. Antiviral Research. 2021;185: 104995.</w:t>
      </w:r>
    </w:p>
  </w:footnote>
  <w:footnote w:id="8">
    <w:p w14:paraId="074E9D2D" w14:textId="4206BF1D" w:rsidR="00446449" w:rsidRDefault="00446449">
      <w:pPr>
        <w:pStyle w:val="FootnoteText"/>
      </w:pPr>
      <w:r>
        <w:rPr>
          <w:rStyle w:val="FootnoteReference"/>
        </w:rPr>
        <w:footnoteRef/>
      </w:r>
      <w:r>
        <w:t xml:space="preserve"> </w:t>
      </w:r>
      <w:r w:rsidRPr="00446449">
        <w:t>https://www.nice.org.uk/guidance/TA896/chapter/1-Recommendations</w:t>
      </w:r>
    </w:p>
  </w:footnote>
  <w:footnote w:id="9">
    <w:p w14:paraId="351E0E8C" w14:textId="77777777" w:rsidR="00934511" w:rsidRDefault="00934511" w:rsidP="00EC6347">
      <w:pPr>
        <w:pStyle w:val="FootnoteText"/>
      </w:pPr>
      <w:r>
        <w:rPr>
          <w:rStyle w:val="FootnoteReference"/>
        </w:rPr>
        <w:footnoteRef/>
      </w:r>
      <w:r>
        <w:t xml:space="preserve"> In the MYR301 trial, combined response was defined as </w:t>
      </w:r>
      <w:r w:rsidRPr="007E355B">
        <w:t>HDV RNA decrease by ≥2 log</w:t>
      </w:r>
      <w:r w:rsidRPr="007E355B">
        <w:rPr>
          <w:vertAlign w:val="subscript"/>
        </w:rPr>
        <w:t>10</w:t>
      </w:r>
      <w:r w:rsidRPr="007E355B">
        <w:t xml:space="preserve"> IU/ml </w:t>
      </w:r>
      <w:r>
        <w:t xml:space="preserve">from baseline </w:t>
      </w:r>
      <w:r w:rsidRPr="007E355B">
        <w:t>or undetectable HDV RNA</w:t>
      </w:r>
      <w:r>
        <w:t xml:space="preserve"> and ALT normalisation </w:t>
      </w:r>
    </w:p>
  </w:footnote>
  <w:footnote w:id="10">
    <w:p w14:paraId="5D20E7DA" w14:textId="77777777" w:rsidR="00934511" w:rsidRDefault="00934511" w:rsidP="00EC6347">
      <w:pPr>
        <w:pStyle w:val="FootnoteText"/>
      </w:pPr>
      <w:r>
        <w:rPr>
          <w:rStyle w:val="FootnoteReference"/>
        </w:rPr>
        <w:footnoteRef/>
      </w:r>
      <w:r>
        <w:t xml:space="preserve"> Virologic response defines as </w:t>
      </w:r>
      <w:r w:rsidRPr="007E355B">
        <w:t>HDV RNA decrease by ≥2 log</w:t>
      </w:r>
      <w:r w:rsidRPr="007E355B">
        <w:rPr>
          <w:vertAlign w:val="subscript"/>
        </w:rPr>
        <w:t>10</w:t>
      </w:r>
      <w:r w:rsidRPr="007E355B">
        <w:t xml:space="preserve"> IU/ml </w:t>
      </w:r>
      <w:r>
        <w:t xml:space="preserve">from baseline </w:t>
      </w:r>
      <w:r w:rsidRPr="007E355B">
        <w:t>or undetectable HDV RNA)</w:t>
      </w:r>
    </w:p>
  </w:footnote>
  <w:footnote w:id="11">
    <w:p w14:paraId="526B6B9D" w14:textId="77777777" w:rsidR="00934511" w:rsidRDefault="00934511" w:rsidP="00EC6347">
      <w:pPr>
        <w:pStyle w:val="FootnoteText"/>
      </w:pPr>
      <w:r>
        <w:rPr>
          <w:rStyle w:val="FootnoteReference"/>
        </w:rPr>
        <w:footnoteRef/>
      </w:r>
      <w:r>
        <w:t xml:space="preserve"> Farci P et al. Long-term benefit of interferon alpha therapy of chronic hepatitis D: regression of advanced hepatic fibrosis. Gastroenterology. 2004; 1740-1749.</w:t>
      </w:r>
    </w:p>
  </w:footnote>
  <w:footnote w:id="12">
    <w:p w14:paraId="743230FE" w14:textId="77777777" w:rsidR="00A22EEA" w:rsidRPr="002776D3" w:rsidRDefault="00A22EEA" w:rsidP="00A22EEA">
      <w:pPr>
        <w:pStyle w:val="FootnoteText"/>
        <w:rPr>
          <w:lang w:val="en-US"/>
        </w:rPr>
      </w:pPr>
      <w:r>
        <w:rPr>
          <w:rStyle w:val="FootnoteReference"/>
        </w:rPr>
        <w:footnoteRef/>
      </w:r>
      <w:r>
        <w:t xml:space="preserve"> </w:t>
      </w:r>
      <w:r>
        <w:rPr>
          <w:lang w:val="en-US"/>
        </w:rPr>
        <w:t xml:space="preserve">1 </w:t>
      </w:r>
      <w:r>
        <w:rPr>
          <w:rFonts w:cstheme="minorHAnsi"/>
          <w:lang w:val="en-US"/>
        </w:rPr>
        <w:t>÷</w:t>
      </w:r>
      <w:r>
        <w:rPr>
          <w:lang w:val="en-US"/>
        </w:rPr>
        <w:t xml:space="preserve"> yield [56.2%) </w:t>
      </w:r>
      <w:r>
        <w:rPr>
          <w:rFonts w:cstheme="minorHAnsi"/>
          <w:lang w:val="en-US"/>
        </w:rPr>
        <w:t>×</w:t>
      </w:r>
      <w:r>
        <w:rPr>
          <w:lang w:val="en-US"/>
        </w:rPr>
        <w:t xml:space="preserve"> the cost per test [$</w:t>
      </w:r>
      <w:r w:rsidRPr="00190AF8">
        <w:rPr>
          <w:lang w:val="en-US"/>
        </w:rPr>
        <w:t>152.10</w:t>
      </w:r>
      <w:r>
        <w:rPr>
          <w:lang w:val="en-US"/>
        </w:rPr>
        <w:t>]</w:t>
      </w:r>
    </w:p>
  </w:footnote>
  <w:footnote w:id="13">
    <w:p w14:paraId="663F689A" w14:textId="77777777" w:rsidR="00934511" w:rsidRPr="00B003B5" w:rsidRDefault="00934511" w:rsidP="00A677E9">
      <w:pPr>
        <w:pStyle w:val="FootnoteText"/>
        <w:rPr>
          <w:lang w:val="en-US"/>
        </w:rPr>
      </w:pPr>
      <w:r>
        <w:rPr>
          <w:rStyle w:val="FootnoteReference"/>
        </w:rPr>
        <w:footnoteRef/>
      </w:r>
      <w:r>
        <w:rPr>
          <w:lang w:val="en-US"/>
        </w:rPr>
        <w:t xml:space="preserve"> </w:t>
      </w:r>
      <w:r w:rsidRPr="002501C9">
        <w:t>Goyal A, Murray JM. Cost-Effectiveness of Peg-Interferon, Interferon and Oral Nucleoside Analogues in the Treatment of Chronic Hepatitis B and D Infections in China. Clin Drug Investig. 2016 Aug;36(8):637-48.</w:t>
      </w:r>
    </w:p>
  </w:footnote>
  <w:footnote w:id="14">
    <w:p w14:paraId="299CC6F2" w14:textId="77777777" w:rsidR="00934511" w:rsidRPr="00B003B5" w:rsidRDefault="00934511" w:rsidP="00A677E9">
      <w:pPr>
        <w:pStyle w:val="FootnoteText"/>
        <w:rPr>
          <w:lang w:val="en-US"/>
        </w:rPr>
      </w:pPr>
      <w:r>
        <w:rPr>
          <w:rStyle w:val="FootnoteReference"/>
        </w:rPr>
        <w:footnoteRef/>
      </w:r>
      <w:r>
        <w:t xml:space="preserve"> </w:t>
      </w:r>
      <w:r w:rsidRPr="002501C9">
        <w:t>Romeo R, Del Ninno E, Rumi M, Russo A, Sangiovanni A, de Franchis R, et al. A 28-year study of the course of hepatitis Delta infection: a risk factor for cirrhosis and hepatocellular carcinoma. Gastroenterology. 2009 May;136(5):1629-38.</w:t>
      </w:r>
    </w:p>
  </w:footnote>
  <w:footnote w:id="15">
    <w:p w14:paraId="7E88F412" w14:textId="77777777" w:rsidR="00934511" w:rsidRPr="00B003B5" w:rsidRDefault="00934511" w:rsidP="00A677E9">
      <w:pPr>
        <w:pStyle w:val="FootnoteText"/>
        <w:rPr>
          <w:lang w:val="en-US"/>
        </w:rPr>
      </w:pPr>
      <w:r>
        <w:rPr>
          <w:rStyle w:val="FootnoteReference"/>
        </w:rPr>
        <w:footnoteRef/>
      </w:r>
      <w:r>
        <w:t xml:space="preserve"> </w:t>
      </w:r>
      <w:r w:rsidRPr="002501C9">
        <w:t>Fattovich G, Giustina G, Christensen E, Pantalena M, Zagni I, Realdi G, et al. Influence of hepatitis delta virus infection on morbidity and mortality in compensated cirrhosis type B. The European Concerted Action on Viral Hepatitis (Eurohep). Gut. 2000 Mar;46(3):420-6.</w:t>
      </w:r>
    </w:p>
  </w:footnote>
  <w:footnote w:id="16">
    <w:p w14:paraId="670865A6" w14:textId="77777777" w:rsidR="00934511" w:rsidRPr="002072CE" w:rsidRDefault="00934511" w:rsidP="00A677E9">
      <w:pPr>
        <w:pStyle w:val="FootnoteText"/>
        <w:rPr>
          <w:lang w:val="en-US"/>
        </w:rPr>
      </w:pPr>
      <w:r>
        <w:rPr>
          <w:rStyle w:val="FootnoteReference"/>
        </w:rPr>
        <w:footnoteRef/>
      </w:r>
      <w:r>
        <w:t xml:space="preserve"> </w:t>
      </w:r>
      <w:r w:rsidRPr="002501C9">
        <w:t>Bermingham SL, Hughes R, Fenu E, Sawyer LM, Boxall E, P TK, et al. Cost-Effectiveness Analysis of Alternative Antiviral Strategies for the Treatment of HBeAg-Positive and HBeAg-Negative Chronic Hepatitis B in the United Kingdom. Value Health. 2015 Sep;18(6):800-9.</w:t>
      </w:r>
    </w:p>
  </w:footnote>
  <w:footnote w:id="17">
    <w:p w14:paraId="3A6176AF" w14:textId="77777777" w:rsidR="0021716C" w:rsidRPr="00B8277A" w:rsidRDefault="0021716C" w:rsidP="0021716C">
      <w:pPr>
        <w:autoSpaceDE w:val="0"/>
        <w:autoSpaceDN w:val="0"/>
        <w:adjustRightInd w:val="0"/>
        <w:spacing w:before="0" w:after="0"/>
        <w:jc w:val="left"/>
        <w:rPr>
          <w:rFonts w:cstheme="minorHAnsi"/>
          <w:sz w:val="18"/>
          <w:szCs w:val="18"/>
          <w:lang w:val="en-US"/>
        </w:rPr>
      </w:pPr>
      <w:r w:rsidRPr="00B8277A">
        <w:rPr>
          <w:rStyle w:val="FootnoteReference"/>
          <w:rFonts w:cstheme="minorHAnsi"/>
          <w:sz w:val="18"/>
          <w:szCs w:val="18"/>
        </w:rPr>
        <w:footnoteRef/>
      </w:r>
      <w:r w:rsidRPr="00B8277A">
        <w:rPr>
          <w:rFonts w:cstheme="minorHAnsi"/>
          <w:sz w:val="18"/>
          <w:szCs w:val="18"/>
        </w:rPr>
        <w:t xml:space="preserve"> Marcellin P, Wong DK, Sievert W, Buggisch P, Petersen J, Flisiak R, et al. Ten-year efficacy and safety of tenofovir disoproxil fumarate treatment for chronic hepatitis B virus infection. </w:t>
      </w:r>
      <w:r w:rsidRPr="00B8277A">
        <w:rPr>
          <w:rFonts w:cstheme="minorHAnsi"/>
          <w:i/>
          <w:iCs/>
          <w:sz w:val="18"/>
          <w:szCs w:val="18"/>
        </w:rPr>
        <w:t>Liver Int</w:t>
      </w:r>
      <w:r w:rsidRPr="00B8277A">
        <w:rPr>
          <w:rFonts w:cstheme="minorHAnsi"/>
          <w:sz w:val="18"/>
          <w:szCs w:val="18"/>
        </w:rPr>
        <w:t>. 2019 Oct;39(10):1868-75.</w:t>
      </w:r>
    </w:p>
  </w:footnote>
  <w:footnote w:id="18">
    <w:p w14:paraId="48308F1C" w14:textId="63CFAEE7" w:rsidR="00934511" w:rsidRPr="008F2835" w:rsidRDefault="00934511" w:rsidP="00A677E9">
      <w:pPr>
        <w:pStyle w:val="FootnoteText"/>
        <w:rPr>
          <w:lang w:val="en-US"/>
        </w:rPr>
      </w:pPr>
      <w:r>
        <w:rPr>
          <w:rStyle w:val="FootnoteReference"/>
        </w:rPr>
        <w:footnoteRef/>
      </w:r>
      <w:r>
        <w:t xml:space="preserve"> </w:t>
      </w:r>
      <w:r>
        <w:rPr>
          <w:lang w:val="en-US"/>
        </w:rPr>
        <w:t xml:space="preserve">No. days in each 24-week cycle [168] </w:t>
      </w:r>
      <w:r>
        <w:rPr>
          <w:rFonts w:cstheme="minorHAnsi"/>
          <w:lang w:val="en-US"/>
        </w:rPr>
        <w:t>÷ no. days each script lasts [60] × compliance [90.0%] × $</w:t>
      </w:r>
      <w:r w:rsidR="001A4B8B" w:rsidRPr="001A4B8B">
        <w:rPr>
          <w:rFonts w:cstheme="minorHAnsi"/>
          <w:color w:val="000000"/>
          <w:w w:val="86"/>
          <w:shd w:val="solid" w:color="000000" w:fill="000000"/>
          <w:fitText w:val="356" w:id="-961838077"/>
          <w:lang w:val="en-US"/>
          <w14:textFill>
            <w14:solidFill>
              <w14:srgbClr w14:val="000000">
                <w14:alpha w14:val="100000"/>
              </w14:srgbClr>
            </w14:solidFill>
          </w14:textFill>
        </w:rPr>
        <w:t>|</w:t>
      </w:r>
      <w:proofErr w:type="gramStart"/>
      <w:r w:rsidR="001A4B8B" w:rsidRPr="001A4B8B">
        <w:rPr>
          <w:rFonts w:cstheme="minorHAnsi"/>
          <w:color w:val="000000"/>
          <w:w w:val="86"/>
          <w:shd w:val="solid" w:color="000000" w:fill="000000"/>
          <w:fitText w:val="356" w:id="-961838077"/>
          <w:lang w:val="en-US"/>
          <w14:textFill>
            <w14:solidFill>
              <w14:srgbClr w14:val="000000">
                <w14:alpha w14:val="100000"/>
              </w14:srgbClr>
            </w14:solidFill>
          </w14:textFill>
        </w:rPr>
        <w:t>|  |</w:t>
      </w:r>
      <w:proofErr w:type="gramEnd"/>
      <w:r w:rsidR="001A4B8B" w:rsidRPr="001A4B8B">
        <w:rPr>
          <w:rFonts w:cstheme="minorHAnsi"/>
          <w:color w:val="000000"/>
          <w:w w:val="86"/>
          <w:shd w:val="solid" w:color="000000" w:fill="000000"/>
          <w:fitText w:val="356" w:id="-961838077"/>
          <w:lang w:val="en-US"/>
          <w14:textFill>
            <w14:solidFill>
              <w14:srgbClr w14:val="000000">
                <w14:alpha w14:val="100000"/>
              </w14:srgbClr>
            </w14:solidFill>
          </w14:textFill>
        </w:rPr>
        <w:t>|</w:t>
      </w:r>
    </w:p>
  </w:footnote>
  <w:footnote w:id="19">
    <w:p w14:paraId="6E97F297" w14:textId="327492D9" w:rsidR="00BD4D8C" w:rsidRDefault="00BD4D8C">
      <w:pPr>
        <w:pStyle w:val="FootnoteText"/>
      </w:pPr>
      <w:r>
        <w:rPr>
          <w:rStyle w:val="FootnoteReference"/>
        </w:rPr>
        <w:footnoteRef/>
      </w:r>
      <w:r>
        <w:t xml:space="preserve"> </w:t>
      </w:r>
      <w:r w:rsidRPr="00BD4D8C">
        <w:t>Loustaud-Ratti, E. G., H. Fontaine, E. Maugain, M. Lemaitre, C. Lacueille, E. Benabadji Baro-Delta: données d’observance et de persistance en vraie vie des patients traités par Bulevirtide 2mg à partir des données du SNDS.  (2023).</w:t>
      </w:r>
    </w:p>
  </w:footnote>
  <w:footnote w:id="20">
    <w:p w14:paraId="09EEFE0A" w14:textId="77777777" w:rsidR="00934511" w:rsidRPr="009D2A6A" w:rsidRDefault="00934511" w:rsidP="00A677E9">
      <w:pPr>
        <w:pStyle w:val="FootnoteText"/>
        <w:rPr>
          <w:lang w:val="en-US"/>
        </w:rPr>
      </w:pPr>
      <w:r>
        <w:rPr>
          <w:rStyle w:val="FootnoteReference"/>
        </w:rPr>
        <w:footnoteRef/>
      </w:r>
      <w:r>
        <w:t xml:space="preserve"> </w:t>
      </w:r>
      <w:r w:rsidRPr="009D2A6A">
        <w:t>Wright M, Grieve R, Roberts J, Main J, Thomas HC, Investigators UKMHCT. Health benefits of antiviral therapy for mild chronic hepatitis C: randomised controlled trial and economic evaluation. Health Technol Assess. 2006 Jul;10(21):1-113, iii.</w:t>
      </w:r>
    </w:p>
  </w:footnote>
  <w:footnote w:id="21">
    <w:p w14:paraId="30948972" w14:textId="77777777" w:rsidR="00934511" w:rsidRPr="0000764D" w:rsidRDefault="00934511" w:rsidP="00A677E9">
      <w:pPr>
        <w:pStyle w:val="FootnoteText"/>
        <w:rPr>
          <w:lang w:val="en-US"/>
        </w:rPr>
      </w:pPr>
      <w:r>
        <w:rPr>
          <w:rStyle w:val="FootnoteReference"/>
        </w:rPr>
        <w:footnoteRef/>
      </w:r>
      <w:r>
        <w:t xml:space="preserve"> Average treatment duration [</w:t>
      </w:r>
      <w:r>
        <w:rPr>
          <w:lang w:val="en-US"/>
        </w:rPr>
        <w:t xml:space="preserve">8.8 years] </w:t>
      </w:r>
      <w:r>
        <w:rPr>
          <w:rFonts w:cstheme="minorHAnsi"/>
          <w:lang w:val="en-US"/>
        </w:rPr>
        <w:t>×</w:t>
      </w:r>
      <w:r>
        <w:rPr>
          <w:lang w:val="en-US"/>
        </w:rPr>
        <w:t xml:space="preserve"> compliance [90.0%] </w:t>
      </w:r>
      <w:r>
        <w:rPr>
          <w:rFonts w:cstheme="minorHAnsi"/>
          <w:lang w:val="en-US"/>
        </w:rPr>
        <w:t>×</w:t>
      </w:r>
      <w:r>
        <w:rPr>
          <w:lang w:val="en-US"/>
        </w:rPr>
        <w:t xml:space="preserve"> (52 </w:t>
      </w:r>
      <w:r>
        <w:rPr>
          <w:rFonts w:cstheme="minorHAnsi"/>
          <w:lang w:val="en-US"/>
        </w:rPr>
        <w:t>×</w:t>
      </w:r>
      <w:r>
        <w:rPr>
          <w:lang w:val="en-US"/>
        </w:rPr>
        <w:t xml:space="preserve"> 7) days per year / 60 days per script</w:t>
      </w:r>
    </w:p>
  </w:footnote>
  <w:footnote w:id="22">
    <w:p w14:paraId="7D2995C5" w14:textId="77777777" w:rsidR="00371021" w:rsidRPr="008E522D" w:rsidRDefault="00371021" w:rsidP="00371021">
      <w:pPr>
        <w:pStyle w:val="FootnoteText"/>
        <w:rPr>
          <w:lang w:val="en-US"/>
        </w:rPr>
      </w:pPr>
      <w:r>
        <w:rPr>
          <w:rStyle w:val="FootnoteReference"/>
        </w:rPr>
        <w:footnoteRef/>
      </w:r>
      <w:r>
        <w:t xml:space="preserve"> </w:t>
      </w:r>
      <w:r w:rsidRPr="00407109">
        <w:t>Cosentino C, Clayton-Chubb D, Lubel JS. Management of hepatitis D in general practice. Aust J Gen Pract. 2023;52(8):536-9.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3509" w14:textId="77777777" w:rsidR="001A4B8B" w:rsidRDefault="001A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2E59" w14:textId="749055A0" w:rsidR="00371021" w:rsidRDefault="00850EFF" w:rsidP="00D03BB9">
    <w:pPr>
      <w:pStyle w:val="Header"/>
      <w:keepNext/>
      <w:ind w:left="360"/>
      <w:jc w:val="center"/>
      <w:rPr>
        <w:rFonts w:cs="Arial"/>
        <w:i/>
        <w:color w:val="808080"/>
      </w:rPr>
    </w:pPr>
    <w:bookmarkStart w:id="89" w:name="_Hlk165280167"/>
    <w:r w:rsidRPr="00850EFF">
      <w:rPr>
        <w:rFonts w:ascii="Calibri" w:eastAsia="Times New Roman" w:hAnsi="Calibri" w:cs="Calibri"/>
        <w:i/>
        <w:color w:val="808080"/>
        <w:szCs w:val="24"/>
        <w:lang w:eastAsia="en-AU"/>
      </w:rPr>
      <w:t>Public Summary Document</w:t>
    </w:r>
    <w:bookmarkEnd w:id="89"/>
    <w:r w:rsidRPr="00850EFF">
      <w:rPr>
        <w:rFonts w:ascii="Calibri" w:eastAsia="Times New Roman" w:hAnsi="Calibri" w:cs="Calibri"/>
        <w:i/>
        <w:color w:val="808080"/>
        <w:szCs w:val="24"/>
        <w:lang w:eastAsia="en-AU"/>
      </w:rPr>
      <w:t xml:space="preserve"> </w:t>
    </w:r>
    <w:r w:rsidR="00371021" w:rsidRPr="00056684">
      <w:rPr>
        <w:rFonts w:cs="Arial"/>
        <w:i/>
        <w:color w:val="808080"/>
      </w:rPr>
      <w:t xml:space="preserve">– </w:t>
    </w:r>
    <w:r w:rsidR="00371021">
      <w:rPr>
        <w:rFonts w:cs="Arial"/>
        <w:i/>
        <w:color w:val="808080"/>
      </w:rPr>
      <w:t>March 2024</w:t>
    </w:r>
    <w:r w:rsidR="00371021" w:rsidRPr="00056684">
      <w:rPr>
        <w:rFonts w:cs="Arial"/>
        <w:i/>
        <w:color w:val="808080"/>
      </w:rPr>
      <w:t xml:space="preserve"> PBAC Meeting</w:t>
    </w:r>
  </w:p>
  <w:p w14:paraId="3901478C" w14:textId="3E3FD24D" w:rsidR="00371021" w:rsidRPr="00371021" w:rsidRDefault="00371021" w:rsidP="00371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3864" w14:textId="77777777" w:rsidR="001A4B8B" w:rsidRDefault="001A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C6841"/>
    <w:multiLevelType w:val="hybridMultilevel"/>
    <w:tmpl w:val="4C220B3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7141A3"/>
    <w:multiLevelType w:val="hybridMultilevel"/>
    <w:tmpl w:val="DD08307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4042F"/>
    <w:multiLevelType w:val="hybridMultilevel"/>
    <w:tmpl w:val="5EAA3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1C37282E"/>
    <w:multiLevelType w:val="hybridMultilevel"/>
    <w:tmpl w:val="65862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F56ED"/>
    <w:multiLevelType w:val="hybridMultilevel"/>
    <w:tmpl w:val="2B7ED5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F5195D"/>
    <w:multiLevelType w:val="hybridMultilevel"/>
    <w:tmpl w:val="6B90D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884CF4"/>
    <w:multiLevelType w:val="hybridMultilevel"/>
    <w:tmpl w:val="B2061C7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6B2F4F"/>
    <w:multiLevelType w:val="hybridMultilevel"/>
    <w:tmpl w:val="43EC05AE"/>
    <w:lvl w:ilvl="0" w:tplc="3364D866">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9F0260"/>
    <w:multiLevelType w:val="hybridMultilevel"/>
    <w:tmpl w:val="94B450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C9A1F77"/>
    <w:multiLevelType w:val="multilevel"/>
    <w:tmpl w:val="870AF1A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376C72"/>
    <w:multiLevelType w:val="hybridMultilevel"/>
    <w:tmpl w:val="37FC50F2"/>
    <w:lvl w:ilvl="0" w:tplc="0C090001">
      <w:start w:val="1"/>
      <w:numFmt w:val="bullet"/>
      <w:lvlText w:val=""/>
      <w:lvlJc w:val="left"/>
      <w:pPr>
        <w:ind w:left="720" w:hanging="360"/>
      </w:pPr>
      <w:rPr>
        <w:rFonts w:ascii="Symbol" w:hAnsi="Symbol" w:hint="default"/>
      </w:rPr>
    </w:lvl>
    <w:lvl w:ilvl="1" w:tplc="EA6A9A00">
      <w:numFmt w:val="bullet"/>
      <w:lvlText w:val="-"/>
      <w:lvlJc w:val="left"/>
      <w:pPr>
        <w:ind w:left="1440" w:hanging="360"/>
      </w:pPr>
      <w:rPr>
        <w:rFonts w:ascii="Arial Narrow" w:eastAsiaTheme="minorHAnsi" w:hAnsi="Arial Narrow"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CC3786"/>
    <w:multiLevelType w:val="hybridMultilevel"/>
    <w:tmpl w:val="AACE29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4D841179"/>
    <w:multiLevelType w:val="hybridMultilevel"/>
    <w:tmpl w:val="F248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9456899"/>
    <w:multiLevelType w:val="multilevel"/>
    <w:tmpl w:val="445E34D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A41444CE"/>
    <w:lvl w:ilvl="0">
      <w:start w:val="1"/>
      <w:numFmt w:val="decimal"/>
      <w:pStyle w:val="2-SectionHeading"/>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pStyle w:val="4-SubsectionHeading"/>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pStyle w:val="3-BodyText"/>
      <w:lvlText w:val="%1.%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93884092">
    <w:abstractNumId w:val="28"/>
  </w:num>
  <w:num w:numId="2" w16cid:durableId="152109460">
    <w:abstractNumId w:val="12"/>
  </w:num>
  <w:num w:numId="3" w16cid:durableId="1781877282">
    <w:abstractNumId w:val="7"/>
  </w:num>
  <w:num w:numId="4" w16cid:durableId="1434204990">
    <w:abstractNumId w:val="28"/>
  </w:num>
  <w:num w:numId="5" w16cid:durableId="36779850">
    <w:abstractNumId w:val="23"/>
  </w:num>
  <w:num w:numId="6" w16cid:durableId="2067145046">
    <w:abstractNumId w:val="2"/>
  </w:num>
  <w:num w:numId="7" w16cid:durableId="1687562898">
    <w:abstractNumId w:val="11"/>
  </w:num>
  <w:num w:numId="8" w16cid:durableId="1984919832">
    <w:abstractNumId w:val="26"/>
  </w:num>
  <w:num w:numId="9" w16cid:durableId="387924399">
    <w:abstractNumId w:val="0"/>
  </w:num>
  <w:num w:numId="10" w16cid:durableId="5583953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4929721">
    <w:abstractNumId w:val="29"/>
  </w:num>
  <w:num w:numId="12" w16cid:durableId="1811511650">
    <w:abstractNumId w:val="15"/>
  </w:num>
  <w:num w:numId="13" w16cid:durableId="1136876798">
    <w:abstractNumId w:val="22"/>
  </w:num>
  <w:num w:numId="14" w16cid:durableId="324281365">
    <w:abstractNumId w:val="19"/>
  </w:num>
  <w:num w:numId="15" w16cid:durableId="532571319">
    <w:abstractNumId w:val="4"/>
  </w:num>
  <w:num w:numId="16" w16cid:durableId="103156800">
    <w:abstractNumId w:val="21"/>
  </w:num>
  <w:num w:numId="17" w16cid:durableId="743920651">
    <w:abstractNumId w:val="8"/>
  </w:num>
  <w:num w:numId="18" w16cid:durableId="29456755">
    <w:abstractNumId w:val="6"/>
  </w:num>
  <w:num w:numId="19" w16cid:durableId="726342972">
    <w:abstractNumId w:val="17"/>
  </w:num>
  <w:num w:numId="20" w16cid:durableId="147748926">
    <w:abstractNumId w:val="1"/>
  </w:num>
  <w:num w:numId="21" w16cid:durableId="96020583">
    <w:abstractNumId w:val="3"/>
  </w:num>
  <w:num w:numId="22" w16cid:durableId="561988106">
    <w:abstractNumId w:val="9"/>
  </w:num>
  <w:num w:numId="23" w16cid:durableId="191919066">
    <w:abstractNumId w:val="20"/>
  </w:num>
  <w:num w:numId="24" w16cid:durableId="966009019">
    <w:abstractNumId w:val="10"/>
  </w:num>
  <w:num w:numId="25" w16cid:durableId="1484590348">
    <w:abstractNumId w:val="13"/>
  </w:num>
  <w:num w:numId="26" w16cid:durableId="1085616126">
    <w:abstractNumId w:val="18"/>
  </w:num>
  <w:num w:numId="27" w16cid:durableId="691885024">
    <w:abstractNumId w:val="30"/>
  </w:num>
  <w:num w:numId="28" w16cid:durableId="87821427">
    <w:abstractNumId w:val="16"/>
  </w:num>
  <w:num w:numId="29" w16cid:durableId="1813792642">
    <w:abstractNumId w:val="25"/>
  </w:num>
  <w:num w:numId="30" w16cid:durableId="1096557315">
    <w:abstractNumId w:val="27"/>
  </w:num>
  <w:num w:numId="31" w16cid:durableId="1414467341">
    <w:abstractNumId w:val="24"/>
  </w:num>
  <w:num w:numId="32" w16cid:durableId="1660579228">
    <w:abstractNumId w:val="14"/>
  </w:num>
  <w:num w:numId="33" w16cid:durableId="1590849630">
    <w:abstractNumId w:val="5"/>
  </w:num>
  <w:num w:numId="34" w16cid:durableId="1875456488">
    <w:abstractNumId w:val="28"/>
  </w:num>
  <w:num w:numId="35" w16cid:durableId="1169175146">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vwed2aatew98exf9lvz9xgzddatzze050x&quot;&gt;HDV RNA bulevirtide COM&lt;record-ids&gt;&lt;item&gt;1&lt;/item&gt;&lt;item&gt;2&lt;/item&gt;&lt;item&gt;3&lt;/item&gt;&lt;item&gt;4&lt;/item&gt;&lt;item&gt;7&lt;/item&gt;&lt;item&gt;9&lt;/item&gt;&lt;item&gt;10&lt;/item&gt;&lt;item&gt;12&lt;/item&gt;&lt;item&gt;13&lt;/item&gt;&lt;item&gt;14&lt;/item&gt;&lt;item&gt;17&lt;/item&gt;&lt;item&gt;18&lt;/item&gt;&lt;item&gt;19&lt;/item&gt;&lt;item&gt;20&lt;/item&gt;&lt;item&gt;21&lt;/item&gt;&lt;item&gt;22&lt;/item&gt;&lt;item&gt;24&lt;/item&gt;&lt;item&gt;25&lt;/item&gt;&lt;item&gt;26&lt;/item&gt;&lt;item&gt;28&lt;/item&gt;&lt;item&gt;29&lt;/item&gt;&lt;item&gt;31&lt;/item&gt;&lt;item&gt;32&lt;/item&gt;&lt;item&gt;33&lt;/item&gt;&lt;item&gt;35&lt;/item&gt;&lt;item&gt;36&lt;/item&gt;&lt;item&gt;37&lt;/item&gt;&lt;item&gt;38&lt;/item&gt;&lt;item&gt;39&lt;/item&gt;&lt;item&gt;40&lt;/item&gt;&lt;item&gt;41&lt;/item&gt;&lt;item&gt;42&lt;/item&gt;&lt;item&gt;43&lt;/item&gt;&lt;item&gt;44&lt;/item&gt;&lt;item&gt;45&lt;/item&gt;&lt;item&gt;48&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8&lt;/item&gt;&lt;item&gt;79&lt;/item&gt;&lt;item&gt;80&lt;/item&gt;&lt;item&gt;82&lt;/item&gt;&lt;item&gt;83&lt;/item&gt;&lt;item&gt;84&lt;/item&gt;&lt;item&gt;85&lt;/item&gt;&lt;item&gt;86&lt;/item&gt;&lt;item&gt;87&lt;/item&gt;&lt;item&gt;88&lt;/item&gt;&lt;item&gt;90&lt;/item&gt;&lt;item&gt;91&lt;/item&gt;&lt;item&gt;92&lt;/item&gt;&lt;item&gt;93&lt;/item&gt;&lt;item&gt;94&lt;/item&gt;&lt;item&gt;95&lt;/item&gt;&lt;item&gt;96&lt;/item&gt;&lt;item&gt;98&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3&lt;/item&gt;&lt;item&gt;134&lt;/item&gt;&lt;item&gt;135&lt;/item&gt;&lt;item&gt;136&lt;/item&gt;&lt;item&gt;137&lt;/item&gt;&lt;item&gt;140&lt;/item&gt;&lt;item&gt;141&lt;/item&gt;&lt;item&gt;143&lt;/item&gt;&lt;item&gt;144&lt;/item&gt;&lt;item&gt;145&lt;/item&gt;&lt;item&gt;146&lt;/item&gt;&lt;item&gt;147&lt;/item&gt;&lt;item&gt;148&lt;/item&gt;&lt;item&gt;149&lt;/item&gt;&lt;item&gt;150&lt;/item&gt;&lt;item&gt;151&lt;/item&gt;&lt;/record-ids&gt;&lt;/item&gt;&lt;/Libraries&gt;"/>
  </w:docVars>
  <w:rsids>
    <w:rsidRoot w:val="00FA49D5"/>
    <w:rsid w:val="00000342"/>
    <w:rsid w:val="00000D68"/>
    <w:rsid w:val="00000EAE"/>
    <w:rsid w:val="000012FA"/>
    <w:rsid w:val="00001410"/>
    <w:rsid w:val="0000143F"/>
    <w:rsid w:val="00001972"/>
    <w:rsid w:val="00001AB4"/>
    <w:rsid w:val="00001CDB"/>
    <w:rsid w:val="00002A5A"/>
    <w:rsid w:val="00003778"/>
    <w:rsid w:val="00004655"/>
    <w:rsid w:val="00004B0A"/>
    <w:rsid w:val="00004FE4"/>
    <w:rsid w:val="00005E43"/>
    <w:rsid w:val="000062E0"/>
    <w:rsid w:val="00007D16"/>
    <w:rsid w:val="00010120"/>
    <w:rsid w:val="000102A9"/>
    <w:rsid w:val="000104EC"/>
    <w:rsid w:val="0001066F"/>
    <w:rsid w:val="000110A6"/>
    <w:rsid w:val="00011169"/>
    <w:rsid w:val="00011205"/>
    <w:rsid w:val="00011447"/>
    <w:rsid w:val="000125DD"/>
    <w:rsid w:val="0001281E"/>
    <w:rsid w:val="000131C9"/>
    <w:rsid w:val="000131F1"/>
    <w:rsid w:val="00013222"/>
    <w:rsid w:val="00013512"/>
    <w:rsid w:val="000135FA"/>
    <w:rsid w:val="00013E19"/>
    <w:rsid w:val="00013FE3"/>
    <w:rsid w:val="000142C1"/>
    <w:rsid w:val="00014CD6"/>
    <w:rsid w:val="00015290"/>
    <w:rsid w:val="000153C8"/>
    <w:rsid w:val="0001548D"/>
    <w:rsid w:val="00015E3D"/>
    <w:rsid w:val="00015E8F"/>
    <w:rsid w:val="00016408"/>
    <w:rsid w:val="00016A39"/>
    <w:rsid w:val="00016B0B"/>
    <w:rsid w:val="000170E1"/>
    <w:rsid w:val="00017399"/>
    <w:rsid w:val="0002095B"/>
    <w:rsid w:val="00021AAE"/>
    <w:rsid w:val="00021D7E"/>
    <w:rsid w:val="00022824"/>
    <w:rsid w:val="000229C1"/>
    <w:rsid w:val="00022D6C"/>
    <w:rsid w:val="00023139"/>
    <w:rsid w:val="00023633"/>
    <w:rsid w:val="000239BE"/>
    <w:rsid w:val="000243BC"/>
    <w:rsid w:val="0002474F"/>
    <w:rsid w:val="00024ABF"/>
    <w:rsid w:val="00024B55"/>
    <w:rsid w:val="0002501A"/>
    <w:rsid w:val="00025B1B"/>
    <w:rsid w:val="00025C0F"/>
    <w:rsid w:val="00025E0F"/>
    <w:rsid w:val="0002647C"/>
    <w:rsid w:val="000268DA"/>
    <w:rsid w:val="00026C73"/>
    <w:rsid w:val="000271B7"/>
    <w:rsid w:val="000305B1"/>
    <w:rsid w:val="00030D9F"/>
    <w:rsid w:val="00031BAF"/>
    <w:rsid w:val="00033708"/>
    <w:rsid w:val="000339AA"/>
    <w:rsid w:val="00033CE1"/>
    <w:rsid w:val="00033F30"/>
    <w:rsid w:val="00034404"/>
    <w:rsid w:val="00034949"/>
    <w:rsid w:val="0003497C"/>
    <w:rsid w:val="00034A37"/>
    <w:rsid w:val="00035800"/>
    <w:rsid w:val="000359BA"/>
    <w:rsid w:val="00035DA0"/>
    <w:rsid w:val="00036123"/>
    <w:rsid w:val="00036563"/>
    <w:rsid w:val="000373A9"/>
    <w:rsid w:val="00040457"/>
    <w:rsid w:val="00040603"/>
    <w:rsid w:val="00040770"/>
    <w:rsid w:val="00040948"/>
    <w:rsid w:val="00040CA0"/>
    <w:rsid w:val="00040EF5"/>
    <w:rsid w:val="00041019"/>
    <w:rsid w:val="00041524"/>
    <w:rsid w:val="00041583"/>
    <w:rsid w:val="00042215"/>
    <w:rsid w:val="000430DA"/>
    <w:rsid w:val="00043742"/>
    <w:rsid w:val="000438A5"/>
    <w:rsid w:val="00043D01"/>
    <w:rsid w:val="0004441D"/>
    <w:rsid w:val="00044C5A"/>
    <w:rsid w:val="00045AB1"/>
    <w:rsid w:val="00045E02"/>
    <w:rsid w:val="00045FCA"/>
    <w:rsid w:val="000461CF"/>
    <w:rsid w:val="0004642A"/>
    <w:rsid w:val="000465D6"/>
    <w:rsid w:val="0004758A"/>
    <w:rsid w:val="0004758F"/>
    <w:rsid w:val="00047867"/>
    <w:rsid w:val="0004788F"/>
    <w:rsid w:val="00047B21"/>
    <w:rsid w:val="00047B80"/>
    <w:rsid w:val="000505CC"/>
    <w:rsid w:val="000508EA"/>
    <w:rsid w:val="00050C40"/>
    <w:rsid w:val="00050EA2"/>
    <w:rsid w:val="0005150D"/>
    <w:rsid w:val="0005188F"/>
    <w:rsid w:val="000522EE"/>
    <w:rsid w:val="00052BCD"/>
    <w:rsid w:val="000533DB"/>
    <w:rsid w:val="00053911"/>
    <w:rsid w:val="00053DB6"/>
    <w:rsid w:val="00054171"/>
    <w:rsid w:val="0005509E"/>
    <w:rsid w:val="000558B5"/>
    <w:rsid w:val="00055DCD"/>
    <w:rsid w:val="00055E41"/>
    <w:rsid w:val="00056F4B"/>
    <w:rsid w:val="00057535"/>
    <w:rsid w:val="00057666"/>
    <w:rsid w:val="000578D9"/>
    <w:rsid w:val="00057C2E"/>
    <w:rsid w:val="00057F71"/>
    <w:rsid w:val="000605B2"/>
    <w:rsid w:val="0006168B"/>
    <w:rsid w:val="00061E18"/>
    <w:rsid w:val="00062018"/>
    <w:rsid w:val="00062067"/>
    <w:rsid w:val="000625DF"/>
    <w:rsid w:val="0006287B"/>
    <w:rsid w:val="00063DC4"/>
    <w:rsid w:val="000643FA"/>
    <w:rsid w:val="0006442F"/>
    <w:rsid w:val="0006488E"/>
    <w:rsid w:val="00064BC7"/>
    <w:rsid w:val="00064C28"/>
    <w:rsid w:val="00064CDF"/>
    <w:rsid w:val="00064D04"/>
    <w:rsid w:val="0006545B"/>
    <w:rsid w:val="00065523"/>
    <w:rsid w:val="00065C62"/>
    <w:rsid w:val="00065C96"/>
    <w:rsid w:val="00065CDE"/>
    <w:rsid w:val="00065D9C"/>
    <w:rsid w:val="00065F4A"/>
    <w:rsid w:val="0006618B"/>
    <w:rsid w:val="000676E5"/>
    <w:rsid w:val="00067764"/>
    <w:rsid w:val="000677DE"/>
    <w:rsid w:val="0007063B"/>
    <w:rsid w:val="000708AA"/>
    <w:rsid w:val="00070D75"/>
    <w:rsid w:val="00070F2E"/>
    <w:rsid w:val="000721FB"/>
    <w:rsid w:val="000729EE"/>
    <w:rsid w:val="00072D07"/>
    <w:rsid w:val="00073BF9"/>
    <w:rsid w:val="000748A4"/>
    <w:rsid w:val="00074996"/>
    <w:rsid w:val="00074DDC"/>
    <w:rsid w:val="000750AE"/>
    <w:rsid w:val="00075836"/>
    <w:rsid w:val="00075D5A"/>
    <w:rsid w:val="00075FE7"/>
    <w:rsid w:val="000762D8"/>
    <w:rsid w:val="0007695E"/>
    <w:rsid w:val="00077C00"/>
    <w:rsid w:val="00077CEB"/>
    <w:rsid w:val="00077F1E"/>
    <w:rsid w:val="000804F2"/>
    <w:rsid w:val="00080813"/>
    <w:rsid w:val="00080C4F"/>
    <w:rsid w:val="00080E65"/>
    <w:rsid w:val="00080EAD"/>
    <w:rsid w:val="00080FF3"/>
    <w:rsid w:val="00081264"/>
    <w:rsid w:val="0008150D"/>
    <w:rsid w:val="000816DF"/>
    <w:rsid w:val="00081CA5"/>
    <w:rsid w:val="0008216D"/>
    <w:rsid w:val="00082422"/>
    <w:rsid w:val="000824D7"/>
    <w:rsid w:val="000825EF"/>
    <w:rsid w:val="00082868"/>
    <w:rsid w:val="000829F7"/>
    <w:rsid w:val="00083C55"/>
    <w:rsid w:val="000841BF"/>
    <w:rsid w:val="000847FE"/>
    <w:rsid w:val="000849DA"/>
    <w:rsid w:val="00084B18"/>
    <w:rsid w:val="00084D72"/>
    <w:rsid w:val="00084FD0"/>
    <w:rsid w:val="00085B70"/>
    <w:rsid w:val="00085FC7"/>
    <w:rsid w:val="00086133"/>
    <w:rsid w:val="000871B4"/>
    <w:rsid w:val="00090060"/>
    <w:rsid w:val="00090D5C"/>
    <w:rsid w:val="00090DB3"/>
    <w:rsid w:val="00091A9B"/>
    <w:rsid w:val="00091B0B"/>
    <w:rsid w:val="0009251E"/>
    <w:rsid w:val="00092727"/>
    <w:rsid w:val="00092945"/>
    <w:rsid w:val="00092DD7"/>
    <w:rsid w:val="0009482F"/>
    <w:rsid w:val="00094CDE"/>
    <w:rsid w:val="0009609A"/>
    <w:rsid w:val="0009688E"/>
    <w:rsid w:val="00096BCD"/>
    <w:rsid w:val="000A027E"/>
    <w:rsid w:val="000A0A45"/>
    <w:rsid w:val="000A0C9C"/>
    <w:rsid w:val="000A13D1"/>
    <w:rsid w:val="000A1C27"/>
    <w:rsid w:val="000A1F7B"/>
    <w:rsid w:val="000A2514"/>
    <w:rsid w:val="000A2694"/>
    <w:rsid w:val="000A27E5"/>
    <w:rsid w:val="000A282E"/>
    <w:rsid w:val="000A2A41"/>
    <w:rsid w:val="000A2EF1"/>
    <w:rsid w:val="000A3523"/>
    <w:rsid w:val="000A3995"/>
    <w:rsid w:val="000A3997"/>
    <w:rsid w:val="000A3D99"/>
    <w:rsid w:val="000A3F4C"/>
    <w:rsid w:val="000A51E5"/>
    <w:rsid w:val="000A5D44"/>
    <w:rsid w:val="000A6FBD"/>
    <w:rsid w:val="000A7333"/>
    <w:rsid w:val="000A7EA5"/>
    <w:rsid w:val="000B0EB9"/>
    <w:rsid w:val="000B1041"/>
    <w:rsid w:val="000B1223"/>
    <w:rsid w:val="000B1F84"/>
    <w:rsid w:val="000B228E"/>
    <w:rsid w:val="000B24C0"/>
    <w:rsid w:val="000B2BE3"/>
    <w:rsid w:val="000B2F61"/>
    <w:rsid w:val="000B35EA"/>
    <w:rsid w:val="000B39FC"/>
    <w:rsid w:val="000B3D75"/>
    <w:rsid w:val="000B4481"/>
    <w:rsid w:val="000B4783"/>
    <w:rsid w:val="000B56CD"/>
    <w:rsid w:val="000B5D24"/>
    <w:rsid w:val="000B6430"/>
    <w:rsid w:val="000B650A"/>
    <w:rsid w:val="000B6B69"/>
    <w:rsid w:val="000B73D1"/>
    <w:rsid w:val="000B7454"/>
    <w:rsid w:val="000B7AD5"/>
    <w:rsid w:val="000B7AED"/>
    <w:rsid w:val="000B7EFB"/>
    <w:rsid w:val="000C00BE"/>
    <w:rsid w:val="000C0142"/>
    <w:rsid w:val="000C11CC"/>
    <w:rsid w:val="000C11D1"/>
    <w:rsid w:val="000C17C3"/>
    <w:rsid w:val="000C31D3"/>
    <w:rsid w:val="000C3E8E"/>
    <w:rsid w:val="000C4E25"/>
    <w:rsid w:val="000C583C"/>
    <w:rsid w:val="000C5BB6"/>
    <w:rsid w:val="000C5EE4"/>
    <w:rsid w:val="000C61E2"/>
    <w:rsid w:val="000C668E"/>
    <w:rsid w:val="000C6A40"/>
    <w:rsid w:val="000C6A73"/>
    <w:rsid w:val="000C7000"/>
    <w:rsid w:val="000C7883"/>
    <w:rsid w:val="000C793A"/>
    <w:rsid w:val="000C7B1E"/>
    <w:rsid w:val="000D0023"/>
    <w:rsid w:val="000D060C"/>
    <w:rsid w:val="000D0A09"/>
    <w:rsid w:val="000D0A81"/>
    <w:rsid w:val="000D10CF"/>
    <w:rsid w:val="000D12CB"/>
    <w:rsid w:val="000D169F"/>
    <w:rsid w:val="000D1AB4"/>
    <w:rsid w:val="000D2B43"/>
    <w:rsid w:val="000D32F3"/>
    <w:rsid w:val="000D37C0"/>
    <w:rsid w:val="000D39EF"/>
    <w:rsid w:val="000D3B5B"/>
    <w:rsid w:val="000D4043"/>
    <w:rsid w:val="000D4389"/>
    <w:rsid w:val="000D4684"/>
    <w:rsid w:val="000D4793"/>
    <w:rsid w:val="000D5375"/>
    <w:rsid w:val="000D5698"/>
    <w:rsid w:val="000D7479"/>
    <w:rsid w:val="000D7682"/>
    <w:rsid w:val="000D7865"/>
    <w:rsid w:val="000D7869"/>
    <w:rsid w:val="000D7A9C"/>
    <w:rsid w:val="000D7DEF"/>
    <w:rsid w:val="000D7EBC"/>
    <w:rsid w:val="000D7F7B"/>
    <w:rsid w:val="000E0135"/>
    <w:rsid w:val="000E01C8"/>
    <w:rsid w:val="000E0737"/>
    <w:rsid w:val="000E07CD"/>
    <w:rsid w:val="000E0E6C"/>
    <w:rsid w:val="000E340F"/>
    <w:rsid w:val="000E38EB"/>
    <w:rsid w:val="000E3B46"/>
    <w:rsid w:val="000E3E49"/>
    <w:rsid w:val="000E4163"/>
    <w:rsid w:val="000E462A"/>
    <w:rsid w:val="000E46D0"/>
    <w:rsid w:val="000E4A3D"/>
    <w:rsid w:val="000E4BB9"/>
    <w:rsid w:val="000E4D3E"/>
    <w:rsid w:val="000E6925"/>
    <w:rsid w:val="000E7019"/>
    <w:rsid w:val="000E7E15"/>
    <w:rsid w:val="000E7FB6"/>
    <w:rsid w:val="000F08AD"/>
    <w:rsid w:val="000F0B60"/>
    <w:rsid w:val="000F0ED8"/>
    <w:rsid w:val="000F1D79"/>
    <w:rsid w:val="000F243A"/>
    <w:rsid w:val="000F2534"/>
    <w:rsid w:val="000F2CE9"/>
    <w:rsid w:val="000F2D3B"/>
    <w:rsid w:val="000F2DD3"/>
    <w:rsid w:val="000F313A"/>
    <w:rsid w:val="000F3652"/>
    <w:rsid w:val="000F369D"/>
    <w:rsid w:val="000F3A7F"/>
    <w:rsid w:val="000F3E32"/>
    <w:rsid w:val="000F453E"/>
    <w:rsid w:val="000F4B93"/>
    <w:rsid w:val="000F5715"/>
    <w:rsid w:val="000F5A1E"/>
    <w:rsid w:val="000F5C81"/>
    <w:rsid w:val="000F77D5"/>
    <w:rsid w:val="0010002A"/>
    <w:rsid w:val="0010086D"/>
    <w:rsid w:val="00101143"/>
    <w:rsid w:val="001017EC"/>
    <w:rsid w:val="001018A8"/>
    <w:rsid w:val="00102DA4"/>
    <w:rsid w:val="00103068"/>
    <w:rsid w:val="0010323D"/>
    <w:rsid w:val="00104136"/>
    <w:rsid w:val="00104A1D"/>
    <w:rsid w:val="001054F7"/>
    <w:rsid w:val="001059D6"/>
    <w:rsid w:val="001069A7"/>
    <w:rsid w:val="001072D1"/>
    <w:rsid w:val="00110119"/>
    <w:rsid w:val="00111667"/>
    <w:rsid w:val="00111951"/>
    <w:rsid w:val="00111A5F"/>
    <w:rsid w:val="0011213C"/>
    <w:rsid w:val="00112358"/>
    <w:rsid w:val="00112F1A"/>
    <w:rsid w:val="001136A7"/>
    <w:rsid w:val="001138E3"/>
    <w:rsid w:val="00113931"/>
    <w:rsid w:val="00113F89"/>
    <w:rsid w:val="00114A5C"/>
    <w:rsid w:val="00114BDD"/>
    <w:rsid w:val="0011516F"/>
    <w:rsid w:val="001152AE"/>
    <w:rsid w:val="00115D20"/>
    <w:rsid w:val="00116419"/>
    <w:rsid w:val="0011675B"/>
    <w:rsid w:val="00116FEE"/>
    <w:rsid w:val="0011712D"/>
    <w:rsid w:val="00120345"/>
    <w:rsid w:val="00121791"/>
    <w:rsid w:val="0012216E"/>
    <w:rsid w:val="00122C04"/>
    <w:rsid w:val="00122C12"/>
    <w:rsid w:val="00122DF4"/>
    <w:rsid w:val="001234C2"/>
    <w:rsid w:val="00124361"/>
    <w:rsid w:val="0012508B"/>
    <w:rsid w:val="0012523C"/>
    <w:rsid w:val="00125372"/>
    <w:rsid w:val="00125673"/>
    <w:rsid w:val="00125A6C"/>
    <w:rsid w:val="00126360"/>
    <w:rsid w:val="00126821"/>
    <w:rsid w:val="00126869"/>
    <w:rsid w:val="00126A78"/>
    <w:rsid w:val="00126D90"/>
    <w:rsid w:val="0012701F"/>
    <w:rsid w:val="00127132"/>
    <w:rsid w:val="001279AE"/>
    <w:rsid w:val="0013007F"/>
    <w:rsid w:val="001307A0"/>
    <w:rsid w:val="00131E56"/>
    <w:rsid w:val="001323D6"/>
    <w:rsid w:val="00132402"/>
    <w:rsid w:val="00132939"/>
    <w:rsid w:val="00133B1C"/>
    <w:rsid w:val="00135050"/>
    <w:rsid w:val="0013626E"/>
    <w:rsid w:val="00136399"/>
    <w:rsid w:val="001364CD"/>
    <w:rsid w:val="00136E56"/>
    <w:rsid w:val="00136E74"/>
    <w:rsid w:val="00136E76"/>
    <w:rsid w:val="00136F0F"/>
    <w:rsid w:val="001375DF"/>
    <w:rsid w:val="00140622"/>
    <w:rsid w:val="00140A20"/>
    <w:rsid w:val="00140A47"/>
    <w:rsid w:val="00140E2E"/>
    <w:rsid w:val="001412F5"/>
    <w:rsid w:val="00141B59"/>
    <w:rsid w:val="00141B8C"/>
    <w:rsid w:val="00141EFB"/>
    <w:rsid w:val="001425A7"/>
    <w:rsid w:val="001425DA"/>
    <w:rsid w:val="00142606"/>
    <w:rsid w:val="00143007"/>
    <w:rsid w:val="00146180"/>
    <w:rsid w:val="00146389"/>
    <w:rsid w:val="001468C6"/>
    <w:rsid w:val="001469F5"/>
    <w:rsid w:val="00146C47"/>
    <w:rsid w:val="00146DF9"/>
    <w:rsid w:val="00147183"/>
    <w:rsid w:val="00147AB8"/>
    <w:rsid w:val="0015150F"/>
    <w:rsid w:val="0015247C"/>
    <w:rsid w:val="00152635"/>
    <w:rsid w:val="00152B1F"/>
    <w:rsid w:val="00153288"/>
    <w:rsid w:val="0015329C"/>
    <w:rsid w:val="00153778"/>
    <w:rsid w:val="00153A3C"/>
    <w:rsid w:val="00153D92"/>
    <w:rsid w:val="00153E0E"/>
    <w:rsid w:val="00153E68"/>
    <w:rsid w:val="001542F1"/>
    <w:rsid w:val="00154735"/>
    <w:rsid w:val="001559D9"/>
    <w:rsid w:val="00156013"/>
    <w:rsid w:val="00156066"/>
    <w:rsid w:val="001560BC"/>
    <w:rsid w:val="001563C1"/>
    <w:rsid w:val="00156AAB"/>
    <w:rsid w:val="0015770F"/>
    <w:rsid w:val="00160214"/>
    <w:rsid w:val="001605F4"/>
    <w:rsid w:val="001606BC"/>
    <w:rsid w:val="001609A4"/>
    <w:rsid w:val="001613EF"/>
    <w:rsid w:val="001614B7"/>
    <w:rsid w:val="0016201C"/>
    <w:rsid w:val="001630D1"/>
    <w:rsid w:val="00163598"/>
    <w:rsid w:val="0016397E"/>
    <w:rsid w:val="00163ED4"/>
    <w:rsid w:val="00164742"/>
    <w:rsid w:val="00164793"/>
    <w:rsid w:val="001647FC"/>
    <w:rsid w:val="00165A49"/>
    <w:rsid w:val="00165C7E"/>
    <w:rsid w:val="00165CAE"/>
    <w:rsid w:val="00165E8F"/>
    <w:rsid w:val="001667A9"/>
    <w:rsid w:val="00166823"/>
    <w:rsid w:val="00167F34"/>
    <w:rsid w:val="001709D4"/>
    <w:rsid w:val="001718FC"/>
    <w:rsid w:val="0017282F"/>
    <w:rsid w:val="00172EF7"/>
    <w:rsid w:val="0017329D"/>
    <w:rsid w:val="00173577"/>
    <w:rsid w:val="0017384B"/>
    <w:rsid w:val="00173C1C"/>
    <w:rsid w:val="00173E55"/>
    <w:rsid w:val="00173EAF"/>
    <w:rsid w:val="00173F54"/>
    <w:rsid w:val="00174058"/>
    <w:rsid w:val="00174454"/>
    <w:rsid w:val="00174CCB"/>
    <w:rsid w:val="00174D92"/>
    <w:rsid w:val="001752D0"/>
    <w:rsid w:val="00175DE4"/>
    <w:rsid w:val="001760C0"/>
    <w:rsid w:val="0017661E"/>
    <w:rsid w:val="00176658"/>
    <w:rsid w:val="00176AA5"/>
    <w:rsid w:val="00176ACE"/>
    <w:rsid w:val="00176BB1"/>
    <w:rsid w:val="001770A7"/>
    <w:rsid w:val="001770E4"/>
    <w:rsid w:val="0017720E"/>
    <w:rsid w:val="001772CC"/>
    <w:rsid w:val="00177893"/>
    <w:rsid w:val="00177FD2"/>
    <w:rsid w:val="00180210"/>
    <w:rsid w:val="00180217"/>
    <w:rsid w:val="00180636"/>
    <w:rsid w:val="00180846"/>
    <w:rsid w:val="00180FB9"/>
    <w:rsid w:val="0018141A"/>
    <w:rsid w:val="00181FC3"/>
    <w:rsid w:val="001825FD"/>
    <w:rsid w:val="001835EC"/>
    <w:rsid w:val="0018373E"/>
    <w:rsid w:val="001839C0"/>
    <w:rsid w:val="001839F7"/>
    <w:rsid w:val="00183A87"/>
    <w:rsid w:val="00184221"/>
    <w:rsid w:val="0018443E"/>
    <w:rsid w:val="001848F7"/>
    <w:rsid w:val="00185217"/>
    <w:rsid w:val="0018529E"/>
    <w:rsid w:val="001857E4"/>
    <w:rsid w:val="00185C35"/>
    <w:rsid w:val="00186307"/>
    <w:rsid w:val="001863F7"/>
    <w:rsid w:val="001867B4"/>
    <w:rsid w:val="00186EBC"/>
    <w:rsid w:val="00187727"/>
    <w:rsid w:val="00187C9F"/>
    <w:rsid w:val="00187D9E"/>
    <w:rsid w:val="00190AF8"/>
    <w:rsid w:val="001916C0"/>
    <w:rsid w:val="0019195A"/>
    <w:rsid w:val="00191AD3"/>
    <w:rsid w:val="00191B1A"/>
    <w:rsid w:val="001920F9"/>
    <w:rsid w:val="00192227"/>
    <w:rsid w:val="0019242C"/>
    <w:rsid w:val="00192C79"/>
    <w:rsid w:val="0019366D"/>
    <w:rsid w:val="00194261"/>
    <w:rsid w:val="00194758"/>
    <w:rsid w:val="00194CB7"/>
    <w:rsid w:val="001952BB"/>
    <w:rsid w:val="00195DA4"/>
    <w:rsid w:val="00196231"/>
    <w:rsid w:val="00197074"/>
    <w:rsid w:val="00197A07"/>
    <w:rsid w:val="00197D31"/>
    <w:rsid w:val="00197E76"/>
    <w:rsid w:val="00197FD2"/>
    <w:rsid w:val="001A0142"/>
    <w:rsid w:val="001A0B56"/>
    <w:rsid w:val="001A0D46"/>
    <w:rsid w:val="001A1980"/>
    <w:rsid w:val="001A1B23"/>
    <w:rsid w:val="001A1D9A"/>
    <w:rsid w:val="001A1F9A"/>
    <w:rsid w:val="001A20DC"/>
    <w:rsid w:val="001A245F"/>
    <w:rsid w:val="001A3DC9"/>
    <w:rsid w:val="001A4B8B"/>
    <w:rsid w:val="001A4BA0"/>
    <w:rsid w:val="001A4C0C"/>
    <w:rsid w:val="001A5038"/>
    <w:rsid w:val="001A5D52"/>
    <w:rsid w:val="001A6CA2"/>
    <w:rsid w:val="001A73A8"/>
    <w:rsid w:val="001A74C3"/>
    <w:rsid w:val="001B00CE"/>
    <w:rsid w:val="001B01CD"/>
    <w:rsid w:val="001B0291"/>
    <w:rsid w:val="001B039D"/>
    <w:rsid w:val="001B0470"/>
    <w:rsid w:val="001B0E20"/>
    <w:rsid w:val="001B12A9"/>
    <w:rsid w:val="001B1FD6"/>
    <w:rsid w:val="001B2299"/>
    <w:rsid w:val="001B2429"/>
    <w:rsid w:val="001B33CB"/>
    <w:rsid w:val="001B4FC5"/>
    <w:rsid w:val="001B4FC6"/>
    <w:rsid w:val="001B5823"/>
    <w:rsid w:val="001B59D5"/>
    <w:rsid w:val="001B5B6B"/>
    <w:rsid w:val="001B5D05"/>
    <w:rsid w:val="001B60EC"/>
    <w:rsid w:val="001B6389"/>
    <w:rsid w:val="001B6A71"/>
    <w:rsid w:val="001B6BD0"/>
    <w:rsid w:val="001B72B0"/>
    <w:rsid w:val="001C04CC"/>
    <w:rsid w:val="001C051E"/>
    <w:rsid w:val="001C06AA"/>
    <w:rsid w:val="001C174B"/>
    <w:rsid w:val="001C20B6"/>
    <w:rsid w:val="001C3AD4"/>
    <w:rsid w:val="001C40A1"/>
    <w:rsid w:val="001C41CB"/>
    <w:rsid w:val="001C4D4E"/>
    <w:rsid w:val="001C5836"/>
    <w:rsid w:val="001C5C8D"/>
    <w:rsid w:val="001C64EA"/>
    <w:rsid w:val="001C678D"/>
    <w:rsid w:val="001C6823"/>
    <w:rsid w:val="001C68C3"/>
    <w:rsid w:val="001C69D7"/>
    <w:rsid w:val="001C6EDF"/>
    <w:rsid w:val="001C732C"/>
    <w:rsid w:val="001C7497"/>
    <w:rsid w:val="001C7528"/>
    <w:rsid w:val="001C796E"/>
    <w:rsid w:val="001C7B80"/>
    <w:rsid w:val="001C7B9F"/>
    <w:rsid w:val="001C7C6F"/>
    <w:rsid w:val="001C7D17"/>
    <w:rsid w:val="001C7D1B"/>
    <w:rsid w:val="001C7E3C"/>
    <w:rsid w:val="001D0E29"/>
    <w:rsid w:val="001D1D86"/>
    <w:rsid w:val="001D22CF"/>
    <w:rsid w:val="001D2345"/>
    <w:rsid w:val="001D2AB4"/>
    <w:rsid w:val="001D3284"/>
    <w:rsid w:val="001D33E5"/>
    <w:rsid w:val="001D35EB"/>
    <w:rsid w:val="001D44C7"/>
    <w:rsid w:val="001D5337"/>
    <w:rsid w:val="001D5677"/>
    <w:rsid w:val="001D5C8A"/>
    <w:rsid w:val="001D5D47"/>
    <w:rsid w:val="001D5DE3"/>
    <w:rsid w:val="001D61D3"/>
    <w:rsid w:val="001D61F6"/>
    <w:rsid w:val="001D6F1D"/>
    <w:rsid w:val="001D7233"/>
    <w:rsid w:val="001D7A84"/>
    <w:rsid w:val="001D7CF1"/>
    <w:rsid w:val="001D7DA2"/>
    <w:rsid w:val="001E0514"/>
    <w:rsid w:val="001E0525"/>
    <w:rsid w:val="001E0994"/>
    <w:rsid w:val="001E0B0D"/>
    <w:rsid w:val="001E102E"/>
    <w:rsid w:val="001E117C"/>
    <w:rsid w:val="001E1268"/>
    <w:rsid w:val="001E1827"/>
    <w:rsid w:val="001E1A32"/>
    <w:rsid w:val="001E1A6D"/>
    <w:rsid w:val="001E2020"/>
    <w:rsid w:val="001E25EC"/>
    <w:rsid w:val="001E2853"/>
    <w:rsid w:val="001E2E18"/>
    <w:rsid w:val="001E38C7"/>
    <w:rsid w:val="001E4E98"/>
    <w:rsid w:val="001E5896"/>
    <w:rsid w:val="001E5918"/>
    <w:rsid w:val="001E6585"/>
    <w:rsid w:val="001E6D62"/>
    <w:rsid w:val="001E6EB5"/>
    <w:rsid w:val="001E6FE6"/>
    <w:rsid w:val="001E74FF"/>
    <w:rsid w:val="001F008B"/>
    <w:rsid w:val="001F073C"/>
    <w:rsid w:val="001F0D0A"/>
    <w:rsid w:val="001F15F0"/>
    <w:rsid w:val="001F167C"/>
    <w:rsid w:val="001F2912"/>
    <w:rsid w:val="001F298B"/>
    <w:rsid w:val="001F2B29"/>
    <w:rsid w:val="001F2F47"/>
    <w:rsid w:val="001F2FBD"/>
    <w:rsid w:val="001F3233"/>
    <w:rsid w:val="001F3847"/>
    <w:rsid w:val="001F3B3C"/>
    <w:rsid w:val="001F3BD8"/>
    <w:rsid w:val="001F3F97"/>
    <w:rsid w:val="001F47A4"/>
    <w:rsid w:val="001F5016"/>
    <w:rsid w:val="001F5AE3"/>
    <w:rsid w:val="001F6896"/>
    <w:rsid w:val="001F68D2"/>
    <w:rsid w:val="001F6F94"/>
    <w:rsid w:val="001F701C"/>
    <w:rsid w:val="001F7BED"/>
    <w:rsid w:val="00200296"/>
    <w:rsid w:val="00200450"/>
    <w:rsid w:val="00201ADB"/>
    <w:rsid w:val="00201CA4"/>
    <w:rsid w:val="0020232D"/>
    <w:rsid w:val="002025E7"/>
    <w:rsid w:val="00203312"/>
    <w:rsid w:val="00203BB4"/>
    <w:rsid w:val="00203D8B"/>
    <w:rsid w:val="00204220"/>
    <w:rsid w:val="00204838"/>
    <w:rsid w:val="00204B6C"/>
    <w:rsid w:val="00204BE7"/>
    <w:rsid w:val="00204C64"/>
    <w:rsid w:val="00204D5B"/>
    <w:rsid w:val="002058E5"/>
    <w:rsid w:val="00206F0C"/>
    <w:rsid w:val="002070BF"/>
    <w:rsid w:val="00207957"/>
    <w:rsid w:val="0021002B"/>
    <w:rsid w:val="00210F64"/>
    <w:rsid w:val="00210FAA"/>
    <w:rsid w:val="00211340"/>
    <w:rsid w:val="0021187B"/>
    <w:rsid w:val="00211F51"/>
    <w:rsid w:val="00212181"/>
    <w:rsid w:val="00213BEA"/>
    <w:rsid w:val="00213EE1"/>
    <w:rsid w:val="00214438"/>
    <w:rsid w:val="002147B9"/>
    <w:rsid w:val="002147ED"/>
    <w:rsid w:val="00214CFF"/>
    <w:rsid w:val="00214D82"/>
    <w:rsid w:val="00215787"/>
    <w:rsid w:val="002160E9"/>
    <w:rsid w:val="00216816"/>
    <w:rsid w:val="0021716C"/>
    <w:rsid w:val="0021736D"/>
    <w:rsid w:val="00217AEA"/>
    <w:rsid w:val="00217C07"/>
    <w:rsid w:val="00217E14"/>
    <w:rsid w:val="002200DF"/>
    <w:rsid w:val="002205EB"/>
    <w:rsid w:val="00220EE4"/>
    <w:rsid w:val="00220FE5"/>
    <w:rsid w:val="0022112C"/>
    <w:rsid w:val="00221F0B"/>
    <w:rsid w:val="0022222A"/>
    <w:rsid w:val="002224D4"/>
    <w:rsid w:val="0022254D"/>
    <w:rsid w:val="002226CC"/>
    <w:rsid w:val="00222C06"/>
    <w:rsid w:val="002233F0"/>
    <w:rsid w:val="002234A6"/>
    <w:rsid w:val="002249D3"/>
    <w:rsid w:val="00224EA8"/>
    <w:rsid w:val="002250C2"/>
    <w:rsid w:val="00225271"/>
    <w:rsid w:val="002254ED"/>
    <w:rsid w:val="00225FCB"/>
    <w:rsid w:val="00226B80"/>
    <w:rsid w:val="00226E92"/>
    <w:rsid w:val="002273E4"/>
    <w:rsid w:val="00227857"/>
    <w:rsid w:val="00227D10"/>
    <w:rsid w:val="002302C3"/>
    <w:rsid w:val="00230533"/>
    <w:rsid w:val="00230A37"/>
    <w:rsid w:val="00230B62"/>
    <w:rsid w:val="00232567"/>
    <w:rsid w:val="002327EE"/>
    <w:rsid w:val="002329E9"/>
    <w:rsid w:val="00232F6C"/>
    <w:rsid w:val="00233296"/>
    <w:rsid w:val="002333F3"/>
    <w:rsid w:val="00233644"/>
    <w:rsid w:val="00233714"/>
    <w:rsid w:val="00233933"/>
    <w:rsid w:val="00233B8E"/>
    <w:rsid w:val="00234259"/>
    <w:rsid w:val="00234274"/>
    <w:rsid w:val="002352BE"/>
    <w:rsid w:val="00235E2B"/>
    <w:rsid w:val="00235EDC"/>
    <w:rsid w:val="00236156"/>
    <w:rsid w:val="0023720C"/>
    <w:rsid w:val="00237499"/>
    <w:rsid w:val="002374DA"/>
    <w:rsid w:val="002379BE"/>
    <w:rsid w:val="0024027A"/>
    <w:rsid w:val="0024057B"/>
    <w:rsid w:val="00240E5D"/>
    <w:rsid w:val="00241347"/>
    <w:rsid w:val="00241394"/>
    <w:rsid w:val="00241C3E"/>
    <w:rsid w:val="002423B3"/>
    <w:rsid w:val="002425EA"/>
    <w:rsid w:val="00242EA0"/>
    <w:rsid w:val="0024364F"/>
    <w:rsid w:val="00243685"/>
    <w:rsid w:val="00243E2D"/>
    <w:rsid w:val="00243F24"/>
    <w:rsid w:val="00244155"/>
    <w:rsid w:val="0024459C"/>
    <w:rsid w:val="002448FA"/>
    <w:rsid w:val="00244BAB"/>
    <w:rsid w:val="00244D93"/>
    <w:rsid w:val="002456A1"/>
    <w:rsid w:val="00245AD1"/>
    <w:rsid w:val="00245AD9"/>
    <w:rsid w:val="00245B86"/>
    <w:rsid w:val="0024610E"/>
    <w:rsid w:val="002468D6"/>
    <w:rsid w:val="00246BDF"/>
    <w:rsid w:val="00246E04"/>
    <w:rsid w:val="002470BB"/>
    <w:rsid w:val="002470F9"/>
    <w:rsid w:val="00247685"/>
    <w:rsid w:val="002508FA"/>
    <w:rsid w:val="00250EEC"/>
    <w:rsid w:val="0025164E"/>
    <w:rsid w:val="00251855"/>
    <w:rsid w:val="00251B50"/>
    <w:rsid w:val="0025209F"/>
    <w:rsid w:val="0025237B"/>
    <w:rsid w:val="002523EB"/>
    <w:rsid w:val="0025243D"/>
    <w:rsid w:val="00252704"/>
    <w:rsid w:val="002527DD"/>
    <w:rsid w:val="0025286E"/>
    <w:rsid w:val="00252D61"/>
    <w:rsid w:val="002530E7"/>
    <w:rsid w:val="002532B4"/>
    <w:rsid w:val="00254637"/>
    <w:rsid w:val="0025487C"/>
    <w:rsid w:val="00254AE2"/>
    <w:rsid w:val="00254EEB"/>
    <w:rsid w:val="00254FAD"/>
    <w:rsid w:val="0025613F"/>
    <w:rsid w:val="00256147"/>
    <w:rsid w:val="002569F9"/>
    <w:rsid w:val="002570AF"/>
    <w:rsid w:val="00257870"/>
    <w:rsid w:val="00257C43"/>
    <w:rsid w:val="00257F91"/>
    <w:rsid w:val="002601BF"/>
    <w:rsid w:val="00261C47"/>
    <w:rsid w:val="00261DC6"/>
    <w:rsid w:val="0026213B"/>
    <w:rsid w:val="00262C13"/>
    <w:rsid w:val="002633D5"/>
    <w:rsid w:val="00263774"/>
    <w:rsid w:val="00263A45"/>
    <w:rsid w:val="00263F2C"/>
    <w:rsid w:val="00264270"/>
    <w:rsid w:val="00264623"/>
    <w:rsid w:val="00264773"/>
    <w:rsid w:val="00264D67"/>
    <w:rsid w:val="00264E52"/>
    <w:rsid w:val="00265248"/>
    <w:rsid w:val="00265599"/>
    <w:rsid w:val="00266490"/>
    <w:rsid w:val="002669D8"/>
    <w:rsid w:val="00266BF5"/>
    <w:rsid w:val="002674ED"/>
    <w:rsid w:val="00267BE8"/>
    <w:rsid w:val="002703D9"/>
    <w:rsid w:val="00270976"/>
    <w:rsid w:val="00270B1F"/>
    <w:rsid w:val="00270BBC"/>
    <w:rsid w:val="002717FF"/>
    <w:rsid w:val="0027187F"/>
    <w:rsid w:val="00271CF3"/>
    <w:rsid w:val="00271DC5"/>
    <w:rsid w:val="00271E53"/>
    <w:rsid w:val="00271F62"/>
    <w:rsid w:val="00272127"/>
    <w:rsid w:val="0027225A"/>
    <w:rsid w:val="00272891"/>
    <w:rsid w:val="00272AA3"/>
    <w:rsid w:val="0027331C"/>
    <w:rsid w:val="00273B5F"/>
    <w:rsid w:val="00274625"/>
    <w:rsid w:val="002746ED"/>
    <w:rsid w:val="0027497D"/>
    <w:rsid w:val="00274B97"/>
    <w:rsid w:val="00274C9B"/>
    <w:rsid w:val="00274F5C"/>
    <w:rsid w:val="0027549E"/>
    <w:rsid w:val="0027559C"/>
    <w:rsid w:val="0027575E"/>
    <w:rsid w:val="00275A53"/>
    <w:rsid w:val="00276C8A"/>
    <w:rsid w:val="00276C8F"/>
    <w:rsid w:val="002773FC"/>
    <w:rsid w:val="00277ADE"/>
    <w:rsid w:val="00277B4A"/>
    <w:rsid w:val="00277D40"/>
    <w:rsid w:val="00280037"/>
    <w:rsid w:val="002801F4"/>
    <w:rsid w:val="0028082C"/>
    <w:rsid w:val="00280B5B"/>
    <w:rsid w:val="00280D8D"/>
    <w:rsid w:val="0028118D"/>
    <w:rsid w:val="00281708"/>
    <w:rsid w:val="00281DCF"/>
    <w:rsid w:val="00281FB9"/>
    <w:rsid w:val="002836DF"/>
    <w:rsid w:val="002838AE"/>
    <w:rsid w:val="00284528"/>
    <w:rsid w:val="00284575"/>
    <w:rsid w:val="00285434"/>
    <w:rsid w:val="00285ACB"/>
    <w:rsid w:val="002861AB"/>
    <w:rsid w:val="00286528"/>
    <w:rsid w:val="00286CBA"/>
    <w:rsid w:val="00287596"/>
    <w:rsid w:val="0028777E"/>
    <w:rsid w:val="00287CF7"/>
    <w:rsid w:val="00287E1E"/>
    <w:rsid w:val="00290C7B"/>
    <w:rsid w:val="00291928"/>
    <w:rsid w:val="002923DF"/>
    <w:rsid w:val="0029260E"/>
    <w:rsid w:val="0029289C"/>
    <w:rsid w:val="002928F4"/>
    <w:rsid w:val="00292A66"/>
    <w:rsid w:val="00293A1D"/>
    <w:rsid w:val="00293E62"/>
    <w:rsid w:val="00294089"/>
    <w:rsid w:val="00294D25"/>
    <w:rsid w:val="00295D55"/>
    <w:rsid w:val="00297510"/>
    <w:rsid w:val="002A0A10"/>
    <w:rsid w:val="002A11C1"/>
    <w:rsid w:val="002A2AFF"/>
    <w:rsid w:val="002A2C1C"/>
    <w:rsid w:val="002A2C50"/>
    <w:rsid w:val="002A3330"/>
    <w:rsid w:val="002A3742"/>
    <w:rsid w:val="002A391F"/>
    <w:rsid w:val="002A4054"/>
    <w:rsid w:val="002A40E6"/>
    <w:rsid w:val="002A44DF"/>
    <w:rsid w:val="002A4503"/>
    <w:rsid w:val="002A5A12"/>
    <w:rsid w:val="002A5E2C"/>
    <w:rsid w:val="002A6017"/>
    <w:rsid w:val="002A6738"/>
    <w:rsid w:val="002A675D"/>
    <w:rsid w:val="002A72C1"/>
    <w:rsid w:val="002A7506"/>
    <w:rsid w:val="002A78B9"/>
    <w:rsid w:val="002A7EAB"/>
    <w:rsid w:val="002A7F19"/>
    <w:rsid w:val="002B05B8"/>
    <w:rsid w:val="002B3128"/>
    <w:rsid w:val="002B339F"/>
    <w:rsid w:val="002B37E5"/>
    <w:rsid w:val="002B4941"/>
    <w:rsid w:val="002B4B00"/>
    <w:rsid w:val="002B4FDB"/>
    <w:rsid w:val="002B50E4"/>
    <w:rsid w:val="002B5D74"/>
    <w:rsid w:val="002B60AC"/>
    <w:rsid w:val="002B627F"/>
    <w:rsid w:val="002B67CA"/>
    <w:rsid w:val="002B6817"/>
    <w:rsid w:val="002B7712"/>
    <w:rsid w:val="002B7ADB"/>
    <w:rsid w:val="002B7FAF"/>
    <w:rsid w:val="002C0086"/>
    <w:rsid w:val="002C00F5"/>
    <w:rsid w:val="002C0110"/>
    <w:rsid w:val="002C0198"/>
    <w:rsid w:val="002C0522"/>
    <w:rsid w:val="002C071E"/>
    <w:rsid w:val="002C091C"/>
    <w:rsid w:val="002C1478"/>
    <w:rsid w:val="002C1543"/>
    <w:rsid w:val="002C17C7"/>
    <w:rsid w:val="002C1D2F"/>
    <w:rsid w:val="002C258E"/>
    <w:rsid w:val="002C31D5"/>
    <w:rsid w:val="002C349E"/>
    <w:rsid w:val="002C4F7C"/>
    <w:rsid w:val="002C5B4F"/>
    <w:rsid w:val="002C6108"/>
    <w:rsid w:val="002C64EF"/>
    <w:rsid w:val="002C719E"/>
    <w:rsid w:val="002C7278"/>
    <w:rsid w:val="002C763A"/>
    <w:rsid w:val="002C77A7"/>
    <w:rsid w:val="002C7C13"/>
    <w:rsid w:val="002D0EF2"/>
    <w:rsid w:val="002D1242"/>
    <w:rsid w:val="002D23E6"/>
    <w:rsid w:val="002D24AC"/>
    <w:rsid w:val="002D2FCA"/>
    <w:rsid w:val="002D37CF"/>
    <w:rsid w:val="002D403D"/>
    <w:rsid w:val="002D537F"/>
    <w:rsid w:val="002D5600"/>
    <w:rsid w:val="002D60B1"/>
    <w:rsid w:val="002D6B4A"/>
    <w:rsid w:val="002D6F81"/>
    <w:rsid w:val="002D7823"/>
    <w:rsid w:val="002D78AB"/>
    <w:rsid w:val="002E18F9"/>
    <w:rsid w:val="002E1B01"/>
    <w:rsid w:val="002E252F"/>
    <w:rsid w:val="002E29D6"/>
    <w:rsid w:val="002E2D28"/>
    <w:rsid w:val="002E345E"/>
    <w:rsid w:val="002E389F"/>
    <w:rsid w:val="002E3DE8"/>
    <w:rsid w:val="002E4293"/>
    <w:rsid w:val="002E44A7"/>
    <w:rsid w:val="002E46ED"/>
    <w:rsid w:val="002E4C2D"/>
    <w:rsid w:val="002E5285"/>
    <w:rsid w:val="002E5703"/>
    <w:rsid w:val="002E5DEA"/>
    <w:rsid w:val="002E5FCD"/>
    <w:rsid w:val="002E724A"/>
    <w:rsid w:val="002E756E"/>
    <w:rsid w:val="002E7957"/>
    <w:rsid w:val="002F04F9"/>
    <w:rsid w:val="002F078A"/>
    <w:rsid w:val="002F11B6"/>
    <w:rsid w:val="002F11CC"/>
    <w:rsid w:val="002F1390"/>
    <w:rsid w:val="002F1C8F"/>
    <w:rsid w:val="002F1F18"/>
    <w:rsid w:val="002F26E6"/>
    <w:rsid w:val="002F27EB"/>
    <w:rsid w:val="002F2CD1"/>
    <w:rsid w:val="002F2F24"/>
    <w:rsid w:val="002F2F7A"/>
    <w:rsid w:val="002F311E"/>
    <w:rsid w:val="002F313A"/>
    <w:rsid w:val="002F345B"/>
    <w:rsid w:val="002F3A1E"/>
    <w:rsid w:val="002F3E3E"/>
    <w:rsid w:val="002F4204"/>
    <w:rsid w:val="002F42C3"/>
    <w:rsid w:val="002F4515"/>
    <w:rsid w:val="002F47FA"/>
    <w:rsid w:val="002F4831"/>
    <w:rsid w:val="002F5F83"/>
    <w:rsid w:val="002F5FEC"/>
    <w:rsid w:val="002F6BBD"/>
    <w:rsid w:val="002F71B8"/>
    <w:rsid w:val="002F71F4"/>
    <w:rsid w:val="002F7C8B"/>
    <w:rsid w:val="003001A2"/>
    <w:rsid w:val="00300687"/>
    <w:rsid w:val="00300718"/>
    <w:rsid w:val="00300989"/>
    <w:rsid w:val="00301519"/>
    <w:rsid w:val="003018C8"/>
    <w:rsid w:val="00301EA1"/>
    <w:rsid w:val="00301F26"/>
    <w:rsid w:val="003020EF"/>
    <w:rsid w:val="00302157"/>
    <w:rsid w:val="00302CC1"/>
    <w:rsid w:val="00302FCC"/>
    <w:rsid w:val="003030E3"/>
    <w:rsid w:val="0030359A"/>
    <w:rsid w:val="00303DB4"/>
    <w:rsid w:val="00303F0E"/>
    <w:rsid w:val="00303F4C"/>
    <w:rsid w:val="00304D78"/>
    <w:rsid w:val="003061D9"/>
    <w:rsid w:val="003062AE"/>
    <w:rsid w:val="00306E02"/>
    <w:rsid w:val="003070E2"/>
    <w:rsid w:val="00307E4B"/>
    <w:rsid w:val="0031033B"/>
    <w:rsid w:val="00310894"/>
    <w:rsid w:val="00310C9B"/>
    <w:rsid w:val="00310E37"/>
    <w:rsid w:val="0031179F"/>
    <w:rsid w:val="003128BF"/>
    <w:rsid w:val="00312FE2"/>
    <w:rsid w:val="00313490"/>
    <w:rsid w:val="00313D2C"/>
    <w:rsid w:val="00313E3A"/>
    <w:rsid w:val="0031480D"/>
    <w:rsid w:val="00314BFC"/>
    <w:rsid w:val="00315101"/>
    <w:rsid w:val="003151E8"/>
    <w:rsid w:val="0031546C"/>
    <w:rsid w:val="00315514"/>
    <w:rsid w:val="003162EB"/>
    <w:rsid w:val="00316FEA"/>
    <w:rsid w:val="00317E18"/>
    <w:rsid w:val="003202C7"/>
    <w:rsid w:val="003205FE"/>
    <w:rsid w:val="003208AE"/>
    <w:rsid w:val="00320BFC"/>
    <w:rsid w:val="00320CB2"/>
    <w:rsid w:val="00320E0A"/>
    <w:rsid w:val="00321184"/>
    <w:rsid w:val="00321224"/>
    <w:rsid w:val="00321A20"/>
    <w:rsid w:val="00322451"/>
    <w:rsid w:val="00322489"/>
    <w:rsid w:val="00322797"/>
    <w:rsid w:val="00323532"/>
    <w:rsid w:val="00323CDD"/>
    <w:rsid w:val="00324141"/>
    <w:rsid w:val="00324B79"/>
    <w:rsid w:val="00324E9F"/>
    <w:rsid w:val="0032518C"/>
    <w:rsid w:val="00325C5C"/>
    <w:rsid w:val="00325C7D"/>
    <w:rsid w:val="00326F31"/>
    <w:rsid w:val="00326F3D"/>
    <w:rsid w:val="00327326"/>
    <w:rsid w:val="003300F5"/>
    <w:rsid w:val="0033064A"/>
    <w:rsid w:val="00330D8B"/>
    <w:rsid w:val="0033137E"/>
    <w:rsid w:val="003318CF"/>
    <w:rsid w:val="00331A16"/>
    <w:rsid w:val="00332846"/>
    <w:rsid w:val="0033289D"/>
    <w:rsid w:val="003332CE"/>
    <w:rsid w:val="003336EC"/>
    <w:rsid w:val="00333C84"/>
    <w:rsid w:val="00333D60"/>
    <w:rsid w:val="00334853"/>
    <w:rsid w:val="0033491A"/>
    <w:rsid w:val="00334ACF"/>
    <w:rsid w:val="00334BAD"/>
    <w:rsid w:val="00334D6A"/>
    <w:rsid w:val="00334E85"/>
    <w:rsid w:val="003356A6"/>
    <w:rsid w:val="00335E68"/>
    <w:rsid w:val="003361BA"/>
    <w:rsid w:val="0033648A"/>
    <w:rsid w:val="003364D9"/>
    <w:rsid w:val="00336E9E"/>
    <w:rsid w:val="0033756B"/>
    <w:rsid w:val="0033787D"/>
    <w:rsid w:val="00340EFE"/>
    <w:rsid w:val="00341178"/>
    <w:rsid w:val="003413C6"/>
    <w:rsid w:val="003415D4"/>
    <w:rsid w:val="00341994"/>
    <w:rsid w:val="00341A14"/>
    <w:rsid w:val="00341FB7"/>
    <w:rsid w:val="003428FA"/>
    <w:rsid w:val="003429D1"/>
    <w:rsid w:val="00342A29"/>
    <w:rsid w:val="00342C1F"/>
    <w:rsid w:val="00343248"/>
    <w:rsid w:val="00343C2D"/>
    <w:rsid w:val="00344875"/>
    <w:rsid w:val="00344B08"/>
    <w:rsid w:val="003458E3"/>
    <w:rsid w:val="00345D42"/>
    <w:rsid w:val="00345E01"/>
    <w:rsid w:val="003462B8"/>
    <w:rsid w:val="0034790D"/>
    <w:rsid w:val="00347C00"/>
    <w:rsid w:val="0035045D"/>
    <w:rsid w:val="00351381"/>
    <w:rsid w:val="00351C5B"/>
    <w:rsid w:val="003524A8"/>
    <w:rsid w:val="00352C61"/>
    <w:rsid w:val="00352FB5"/>
    <w:rsid w:val="00352FC2"/>
    <w:rsid w:val="003530A6"/>
    <w:rsid w:val="003530BA"/>
    <w:rsid w:val="00353627"/>
    <w:rsid w:val="00353883"/>
    <w:rsid w:val="003539BF"/>
    <w:rsid w:val="0035424F"/>
    <w:rsid w:val="00355773"/>
    <w:rsid w:val="0035584A"/>
    <w:rsid w:val="00355F72"/>
    <w:rsid w:val="003560A6"/>
    <w:rsid w:val="00356263"/>
    <w:rsid w:val="003567AD"/>
    <w:rsid w:val="00356B14"/>
    <w:rsid w:val="00356E1D"/>
    <w:rsid w:val="00357657"/>
    <w:rsid w:val="0035785A"/>
    <w:rsid w:val="00357A34"/>
    <w:rsid w:val="00357E32"/>
    <w:rsid w:val="00360293"/>
    <w:rsid w:val="003608DB"/>
    <w:rsid w:val="0036142A"/>
    <w:rsid w:val="00361D54"/>
    <w:rsid w:val="00361EA8"/>
    <w:rsid w:val="003620EB"/>
    <w:rsid w:val="0036300D"/>
    <w:rsid w:val="00363487"/>
    <w:rsid w:val="00363727"/>
    <w:rsid w:val="003639A6"/>
    <w:rsid w:val="0036425A"/>
    <w:rsid w:val="003645D5"/>
    <w:rsid w:val="00364639"/>
    <w:rsid w:val="00365400"/>
    <w:rsid w:val="0036548F"/>
    <w:rsid w:val="00366755"/>
    <w:rsid w:val="003674A0"/>
    <w:rsid w:val="003677E8"/>
    <w:rsid w:val="003679AE"/>
    <w:rsid w:val="00367F4C"/>
    <w:rsid w:val="00370688"/>
    <w:rsid w:val="00370B35"/>
    <w:rsid w:val="00371021"/>
    <w:rsid w:val="00371287"/>
    <w:rsid w:val="003714BA"/>
    <w:rsid w:val="00372803"/>
    <w:rsid w:val="00372AD2"/>
    <w:rsid w:val="00372C2D"/>
    <w:rsid w:val="00372E72"/>
    <w:rsid w:val="003737C9"/>
    <w:rsid w:val="0037425F"/>
    <w:rsid w:val="003747ED"/>
    <w:rsid w:val="00374870"/>
    <w:rsid w:val="00375BEC"/>
    <w:rsid w:val="00376372"/>
    <w:rsid w:val="003763B6"/>
    <w:rsid w:val="003764B8"/>
    <w:rsid w:val="00377355"/>
    <w:rsid w:val="003774E7"/>
    <w:rsid w:val="003779A4"/>
    <w:rsid w:val="00377BB1"/>
    <w:rsid w:val="00377F14"/>
    <w:rsid w:val="00380226"/>
    <w:rsid w:val="003802AE"/>
    <w:rsid w:val="00380474"/>
    <w:rsid w:val="003807C7"/>
    <w:rsid w:val="00380C57"/>
    <w:rsid w:val="00380F0E"/>
    <w:rsid w:val="00381130"/>
    <w:rsid w:val="00381AEF"/>
    <w:rsid w:val="00381C37"/>
    <w:rsid w:val="00381EFE"/>
    <w:rsid w:val="0038281C"/>
    <w:rsid w:val="003833EC"/>
    <w:rsid w:val="00383A2F"/>
    <w:rsid w:val="00383E9A"/>
    <w:rsid w:val="003847EC"/>
    <w:rsid w:val="0038516B"/>
    <w:rsid w:val="003857B3"/>
    <w:rsid w:val="00385A64"/>
    <w:rsid w:val="003862B9"/>
    <w:rsid w:val="00386391"/>
    <w:rsid w:val="00386D1A"/>
    <w:rsid w:val="00386E2E"/>
    <w:rsid w:val="00387103"/>
    <w:rsid w:val="0038719A"/>
    <w:rsid w:val="0038735E"/>
    <w:rsid w:val="00387D74"/>
    <w:rsid w:val="003901BE"/>
    <w:rsid w:val="0039045D"/>
    <w:rsid w:val="00390915"/>
    <w:rsid w:val="00390C7F"/>
    <w:rsid w:val="00391479"/>
    <w:rsid w:val="00391509"/>
    <w:rsid w:val="0039157B"/>
    <w:rsid w:val="00391744"/>
    <w:rsid w:val="0039182E"/>
    <w:rsid w:val="0039268C"/>
    <w:rsid w:val="00392915"/>
    <w:rsid w:val="00392D53"/>
    <w:rsid w:val="0039337B"/>
    <w:rsid w:val="003933A0"/>
    <w:rsid w:val="0039342B"/>
    <w:rsid w:val="00394227"/>
    <w:rsid w:val="00394C83"/>
    <w:rsid w:val="003952F1"/>
    <w:rsid w:val="00395913"/>
    <w:rsid w:val="00395F14"/>
    <w:rsid w:val="00396339"/>
    <w:rsid w:val="00396F09"/>
    <w:rsid w:val="00397170"/>
    <w:rsid w:val="00397CB6"/>
    <w:rsid w:val="00397EC5"/>
    <w:rsid w:val="003A0168"/>
    <w:rsid w:val="003A04B8"/>
    <w:rsid w:val="003A096A"/>
    <w:rsid w:val="003A1783"/>
    <w:rsid w:val="003A1E2B"/>
    <w:rsid w:val="003A285F"/>
    <w:rsid w:val="003A2F41"/>
    <w:rsid w:val="003A3391"/>
    <w:rsid w:val="003A3433"/>
    <w:rsid w:val="003A343A"/>
    <w:rsid w:val="003A3B9B"/>
    <w:rsid w:val="003A445F"/>
    <w:rsid w:val="003A4A2B"/>
    <w:rsid w:val="003A4F28"/>
    <w:rsid w:val="003A537E"/>
    <w:rsid w:val="003A53BA"/>
    <w:rsid w:val="003A660F"/>
    <w:rsid w:val="003A6841"/>
    <w:rsid w:val="003A693E"/>
    <w:rsid w:val="003A6BF0"/>
    <w:rsid w:val="003A6C94"/>
    <w:rsid w:val="003A6EC7"/>
    <w:rsid w:val="003A73A4"/>
    <w:rsid w:val="003A7508"/>
    <w:rsid w:val="003A7595"/>
    <w:rsid w:val="003A79A4"/>
    <w:rsid w:val="003B08FD"/>
    <w:rsid w:val="003B095E"/>
    <w:rsid w:val="003B0CCB"/>
    <w:rsid w:val="003B1DC0"/>
    <w:rsid w:val="003B247C"/>
    <w:rsid w:val="003B27B7"/>
    <w:rsid w:val="003B3C35"/>
    <w:rsid w:val="003B41AF"/>
    <w:rsid w:val="003B42F4"/>
    <w:rsid w:val="003B4BFD"/>
    <w:rsid w:val="003B5B85"/>
    <w:rsid w:val="003B5BDF"/>
    <w:rsid w:val="003B5F3C"/>
    <w:rsid w:val="003B6069"/>
    <w:rsid w:val="003B66F3"/>
    <w:rsid w:val="003B6906"/>
    <w:rsid w:val="003B7303"/>
    <w:rsid w:val="003B7656"/>
    <w:rsid w:val="003B772F"/>
    <w:rsid w:val="003B7D76"/>
    <w:rsid w:val="003C0127"/>
    <w:rsid w:val="003C055D"/>
    <w:rsid w:val="003C0EAF"/>
    <w:rsid w:val="003C1A9F"/>
    <w:rsid w:val="003C1B69"/>
    <w:rsid w:val="003C2796"/>
    <w:rsid w:val="003C2818"/>
    <w:rsid w:val="003C2902"/>
    <w:rsid w:val="003C2E33"/>
    <w:rsid w:val="003C3803"/>
    <w:rsid w:val="003C3EED"/>
    <w:rsid w:val="003C44EE"/>
    <w:rsid w:val="003C45D9"/>
    <w:rsid w:val="003C549A"/>
    <w:rsid w:val="003C54D2"/>
    <w:rsid w:val="003C5792"/>
    <w:rsid w:val="003C5CE8"/>
    <w:rsid w:val="003C5D46"/>
    <w:rsid w:val="003C6A73"/>
    <w:rsid w:val="003C6DBE"/>
    <w:rsid w:val="003C777E"/>
    <w:rsid w:val="003C7E8B"/>
    <w:rsid w:val="003D11A9"/>
    <w:rsid w:val="003D1451"/>
    <w:rsid w:val="003D1796"/>
    <w:rsid w:val="003D1C58"/>
    <w:rsid w:val="003D1DCA"/>
    <w:rsid w:val="003D1FB3"/>
    <w:rsid w:val="003D2212"/>
    <w:rsid w:val="003D29EB"/>
    <w:rsid w:val="003D2A37"/>
    <w:rsid w:val="003D2BF6"/>
    <w:rsid w:val="003D3334"/>
    <w:rsid w:val="003D3C3E"/>
    <w:rsid w:val="003D3E21"/>
    <w:rsid w:val="003D3E6A"/>
    <w:rsid w:val="003D3EFE"/>
    <w:rsid w:val="003D422A"/>
    <w:rsid w:val="003D453B"/>
    <w:rsid w:val="003D5658"/>
    <w:rsid w:val="003D5C14"/>
    <w:rsid w:val="003D6133"/>
    <w:rsid w:val="003D6235"/>
    <w:rsid w:val="003D6538"/>
    <w:rsid w:val="003D69EF"/>
    <w:rsid w:val="003D6B07"/>
    <w:rsid w:val="003D6C84"/>
    <w:rsid w:val="003D71B1"/>
    <w:rsid w:val="003D7A32"/>
    <w:rsid w:val="003D7CD0"/>
    <w:rsid w:val="003E0522"/>
    <w:rsid w:val="003E0EDB"/>
    <w:rsid w:val="003E1AA6"/>
    <w:rsid w:val="003E1DB4"/>
    <w:rsid w:val="003E2166"/>
    <w:rsid w:val="003E24C6"/>
    <w:rsid w:val="003E3291"/>
    <w:rsid w:val="003E3B7D"/>
    <w:rsid w:val="003E5455"/>
    <w:rsid w:val="003E561B"/>
    <w:rsid w:val="003E58CE"/>
    <w:rsid w:val="003E5F7E"/>
    <w:rsid w:val="003E6196"/>
    <w:rsid w:val="003E6475"/>
    <w:rsid w:val="003E7020"/>
    <w:rsid w:val="003E718B"/>
    <w:rsid w:val="003E749D"/>
    <w:rsid w:val="003F08F3"/>
    <w:rsid w:val="003F105A"/>
    <w:rsid w:val="003F1CA0"/>
    <w:rsid w:val="003F1F11"/>
    <w:rsid w:val="003F2000"/>
    <w:rsid w:val="003F288C"/>
    <w:rsid w:val="003F2CC6"/>
    <w:rsid w:val="003F2F6D"/>
    <w:rsid w:val="003F4FBA"/>
    <w:rsid w:val="003F57E6"/>
    <w:rsid w:val="003F6199"/>
    <w:rsid w:val="003F63D9"/>
    <w:rsid w:val="003F6620"/>
    <w:rsid w:val="003F6B5D"/>
    <w:rsid w:val="003F7010"/>
    <w:rsid w:val="004001AF"/>
    <w:rsid w:val="00401209"/>
    <w:rsid w:val="00401482"/>
    <w:rsid w:val="00401BBB"/>
    <w:rsid w:val="00401E77"/>
    <w:rsid w:val="00401F14"/>
    <w:rsid w:val="00402368"/>
    <w:rsid w:val="00402559"/>
    <w:rsid w:val="00402CFB"/>
    <w:rsid w:val="004033BF"/>
    <w:rsid w:val="004036B5"/>
    <w:rsid w:val="00403C05"/>
    <w:rsid w:val="00403F0A"/>
    <w:rsid w:val="00404428"/>
    <w:rsid w:val="004044F2"/>
    <w:rsid w:val="00404B7C"/>
    <w:rsid w:val="00404C3E"/>
    <w:rsid w:val="0040607B"/>
    <w:rsid w:val="004067E0"/>
    <w:rsid w:val="004073DC"/>
    <w:rsid w:val="00407FAB"/>
    <w:rsid w:val="00410C3B"/>
    <w:rsid w:val="004112C2"/>
    <w:rsid w:val="00411D0E"/>
    <w:rsid w:val="00411F2D"/>
    <w:rsid w:val="00412E1C"/>
    <w:rsid w:val="00413412"/>
    <w:rsid w:val="00413B25"/>
    <w:rsid w:val="00413FE6"/>
    <w:rsid w:val="00414123"/>
    <w:rsid w:val="00414445"/>
    <w:rsid w:val="00414755"/>
    <w:rsid w:val="0041498A"/>
    <w:rsid w:val="00414FDC"/>
    <w:rsid w:val="0041510C"/>
    <w:rsid w:val="004160E0"/>
    <w:rsid w:val="00416479"/>
    <w:rsid w:val="0041685C"/>
    <w:rsid w:val="00416AC6"/>
    <w:rsid w:val="00417B0D"/>
    <w:rsid w:val="00417D5B"/>
    <w:rsid w:val="0042003D"/>
    <w:rsid w:val="00420540"/>
    <w:rsid w:val="00420DBD"/>
    <w:rsid w:val="00421450"/>
    <w:rsid w:val="00421FBB"/>
    <w:rsid w:val="00422E9E"/>
    <w:rsid w:val="00422F23"/>
    <w:rsid w:val="00423263"/>
    <w:rsid w:val="00423BB5"/>
    <w:rsid w:val="00423F3A"/>
    <w:rsid w:val="0042482D"/>
    <w:rsid w:val="0042486F"/>
    <w:rsid w:val="00425029"/>
    <w:rsid w:val="00425080"/>
    <w:rsid w:val="004257FF"/>
    <w:rsid w:val="00425BD4"/>
    <w:rsid w:val="00425C01"/>
    <w:rsid w:val="00426090"/>
    <w:rsid w:val="00426C29"/>
    <w:rsid w:val="00426CD0"/>
    <w:rsid w:val="00426CF2"/>
    <w:rsid w:val="004273AD"/>
    <w:rsid w:val="00427E55"/>
    <w:rsid w:val="00430348"/>
    <w:rsid w:val="0043056A"/>
    <w:rsid w:val="0043095B"/>
    <w:rsid w:val="004309D3"/>
    <w:rsid w:val="0043110E"/>
    <w:rsid w:val="004316E9"/>
    <w:rsid w:val="00431D19"/>
    <w:rsid w:val="00431E70"/>
    <w:rsid w:val="00432288"/>
    <w:rsid w:val="00432CD2"/>
    <w:rsid w:val="00433228"/>
    <w:rsid w:val="004339B0"/>
    <w:rsid w:val="004351E1"/>
    <w:rsid w:val="00435C76"/>
    <w:rsid w:val="004360C1"/>
    <w:rsid w:val="00436BF0"/>
    <w:rsid w:val="00436C41"/>
    <w:rsid w:val="00436C44"/>
    <w:rsid w:val="00437BB5"/>
    <w:rsid w:val="00440F39"/>
    <w:rsid w:val="00441342"/>
    <w:rsid w:val="00441354"/>
    <w:rsid w:val="00441962"/>
    <w:rsid w:val="00441F28"/>
    <w:rsid w:val="00442E57"/>
    <w:rsid w:val="00443050"/>
    <w:rsid w:val="00444232"/>
    <w:rsid w:val="004442E9"/>
    <w:rsid w:val="00444883"/>
    <w:rsid w:val="00444A4A"/>
    <w:rsid w:val="00445910"/>
    <w:rsid w:val="00446449"/>
    <w:rsid w:val="00446551"/>
    <w:rsid w:val="00446D79"/>
    <w:rsid w:val="00447197"/>
    <w:rsid w:val="00447E24"/>
    <w:rsid w:val="0045007A"/>
    <w:rsid w:val="004504BA"/>
    <w:rsid w:val="004506C1"/>
    <w:rsid w:val="00452644"/>
    <w:rsid w:val="00452901"/>
    <w:rsid w:val="00452AAF"/>
    <w:rsid w:val="00452B79"/>
    <w:rsid w:val="0045389C"/>
    <w:rsid w:val="00453BAE"/>
    <w:rsid w:val="00453D59"/>
    <w:rsid w:val="004540BC"/>
    <w:rsid w:val="004540C9"/>
    <w:rsid w:val="0045424D"/>
    <w:rsid w:val="004544BC"/>
    <w:rsid w:val="004548E9"/>
    <w:rsid w:val="00454945"/>
    <w:rsid w:val="00454F56"/>
    <w:rsid w:val="00455FCC"/>
    <w:rsid w:val="00456128"/>
    <w:rsid w:val="0045618A"/>
    <w:rsid w:val="00456242"/>
    <w:rsid w:val="0045682C"/>
    <w:rsid w:val="00456BBE"/>
    <w:rsid w:val="004578DC"/>
    <w:rsid w:val="0046009B"/>
    <w:rsid w:val="0046047C"/>
    <w:rsid w:val="00460B6A"/>
    <w:rsid w:val="00460DDB"/>
    <w:rsid w:val="00460F5C"/>
    <w:rsid w:val="004619BB"/>
    <w:rsid w:val="004622ED"/>
    <w:rsid w:val="004629C3"/>
    <w:rsid w:val="00462EC2"/>
    <w:rsid w:val="00464452"/>
    <w:rsid w:val="004647AB"/>
    <w:rsid w:val="00464E63"/>
    <w:rsid w:val="004654A0"/>
    <w:rsid w:val="00465AB7"/>
    <w:rsid w:val="00465D3F"/>
    <w:rsid w:val="0046600B"/>
    <w:rsid w:val="0046621E"/>
    <w:rsid w:val="00467206"/>
    <w:rsid w:val="00470AB3"/>
    <w:rsid w:val="00470B49"/>
    <w:rsid w:val="004718B4"/>
    <w:rsid w:val="0047194A"/>
    <w:rsid w:val="00471CD5"/>
    <w:rsid w:val="0047204B"/>
    <w:rsid w:val="0047265A"/>
    <w:rsid w:val="00472B34"/>
    <w:rsid w:val="00472D4D"/>
    <w:rsid w:val="00473128"/>
    <w:rsid w:val="00473A41"/>
    <w:rsid w:val="00473E32"/>
    <w:rsid w:val="00474D77"/>
    <w:rsid w:val="00475C72"/>
    <w:rsid w:val="004761AE"/>
    <w:rsid w:val="004763DE"/>
    <w:rsid w:val="004766FD"/>
    <w:rsid w:val="004773BC"/>
    <w:rsid w:val="004773D7"/>
    <w:rsid w:val="004775DF"/>
    <w:rsid w:val="004777EE"/>
    <w:rsid w:val="0048067E"/>
    <w:rsid w:val="00480B31"/>
    <w:rsid w:val="00480DC9"/>
    <w:rsid w:val="00481067"/>
    <w:rsid w:val="004814DD"/>
    <w:rsid w:val="00481549"/>
    <w:rsid w:val="004817E4"/>
    <w:rsid w:val="004821B6"/>
    <w:rsid w:val="00482716"/>
    <w:rsid w:val="0048386D"/>
    <w:rsid w:val="00483F83"/>
    <w:rsid w:val="00483F93"/>
    <w:rsid w:val="004844FF"/>
    <w:rsid w:val="00484664"/>
    <w:rsid w:val="0048478C"/>
    <w:rsid w:val="00484B32"/>
    <w:rsid w:val="00484DC8"/>
    <w:rsid w:val="00485890"/>
    <w:rsid w:val="00485A2E"/>
    <w:rsid w:val="00485A41"/>
    <w:rsid w:val="00486308"/>
    <w:rsid w:val="0048696F"/>
    <w:rsid w:val="0048761C"/>
    <w:rsid w:val="00487661"/>
    <w:rsid w:val="00487728"/>
    <w:rsid w:val="004904EF"/>
    <w:rsid w:val="0049077C"/>
    <w:rsid w:val="004907D9"/>
    <w:rsid w:val="004908B7"/>
    <w:rsid w:val="004909E6"/>
    <w:rsid w:val="00490A71"/>
    <w:rsid w:val="00491393"/>
    <w:rsid w:val="004915E9"/>
    <w:rsid w:val="00491893"/>
    <w:rsid w:val="004919DD"/>
    <w:rsid w:val="00492DB3"/>
    <w:rsid w:val="004935EF"/>
    <w:rsid w:val="0049382E"/>
    <w:rsid w:val="004939BA"/>
    <w:rsid w:val="004942FA"/>
    <w:rsid w:val="004943A5"/>
    <w:rsid w:val="0049467A"/>
    <w:rsid w:val="004948F6"/>
    <w:rsid w:val="00494F7C"/>
    <w:rsid w:val="0049543A"/>
    <w:rsid w:val="00495E9D"/>
    <w:rsid w:val="00496124"/>
    <w:rsid w:val="0049624A"/>
    <w:rsid w:val="00496965"/>
    <w:rsid w:val="00496985"/>
    <w:rsid w:val="00496F7D"/>
    <w:rsid w:val="004A0C6D"/>
    <w:rsid w:val="004A0F76"/>
    <w:rsid w:val="004A1A60"/>
    <w:rsid w:val="004A1EB8"/>
    <w:rsid w:val="004A1ED4"/>
    <w:rsid w:val="004A235D"/>
    <w:rsid w:val="004A25D6"/>
    <w:rsid w:val="004A25EF"/>
    <w:rsid w:val="004A28D8"/>
    <w:rsid w:val="004A2934"/>
    <w:rsid w:val="004A2CE3"/>
    <w:rsid w:val="004A2DF5"/>
    <w:rsid w:val="004A3B92"/>
    <w:rsid w:val="004A49CC"/>
    <w:rsid w:val="004A4EF3"/>
    <w:rsid w:val="004A5562"/>
    <w:rsid w:val="004A5746"/>
    <w:rsid w:val="004A5FBC"/>
    <w:rsid w:val="004A6291"/>
    <w:rsid w:val="004A650B"/>
    <w:rsid w:val="004A65C9"/>
    <w:rsid w:val="004A71AE"/>
    <w:rsid w:val="004B010F"/>
    <w:rsid w:val="004B0F74"/>
    <w:rsid w:val="004B0FD3"/>
    <w:rsid w:val="004B1509"/>
    <w:rsid w:val="004B1787"/>
    <w:rsid w:val="004B19DA"/>
    <w:rsid w:val="004B26B1"/>
    <w:rsid w:val="004B2F2C"/>
    <w:rsid w:val="004B3676"/>
    <w:rsid w:val="004B3A9D"/>
    <w:rsid w:val="004B3C00"/>
    <w:rsid w:val="004B4112"/>
    <w:rsid w:val="004B42F0"/>
    <w:rsid w:val="004B46FB"/>
    <w:rsid w:val="004B4BA4"/>
    <w:rsid w:val="004B4EBE"/>
    <w:rsid w:val="004B5150"/>
    <w:rsid w:val="004B545E"/>
    <w:rsid w:val="004B54C5"/>
    <w:rsid w:val="004B57B9"/>
    <w:rsid w:val="004B5AFF"/>
    <w:rsid w:val="004B5C3E"/>
    <w:rsid w:val="004B5EF7"/>
    <w:rsid w:val="004B6601"/>
    <w:rsid w:val="004B6D07"/>
    <w:rsid w:val="004B6D19"/>
    <w:rsid w:val="004B7D80"/>
    <w:rsid w:val="004C000E"/>
    <w:rsid w:val="004C0585"/>
    <w:rsid w:val="004C0777"/>
    <w:rsid w:val="004C0AB2"/>
    <w:rsid w:val="004C0CC1"/>
    <w:rsid w:val="004C0DF5"/>
    <w:rsid w:val="004C1310"/>
    <w:rsid w:val="004C180E"/>
    <w:rsid w:val="004C184D"/>
    <w:rsid w:val="004C1C97"/>
    <w:rsid w:val="004C1D0C"/>
    <w:rsid w:val="004C2012"/>
    <w:rsid w:val="004C2FF3"/>
    <w:rsid w:val="004C37B3"/>
    <w:rsid w:val="004C3AF1"/>
    <w:rsid w:val="004C3B63"/>
    <w:rsid w:val="004C3D64"/>
    <w:rsid w:val="004C445C"/>
    <w:rsid w:val="004C49CA"/>
    <w:rsid w:val="004C559B"/>
    <w:rsid w:val="004C56E4"/>
    <w:rsid w:val="004C5DE9"/>
    <w:rsid w:val="004C5F62"/>
    <w:rsid w:val="004C6640"/>
    <w:rsid w:val="004C6990"/>
    <w:rsid w:val="004C79D1"/>
    <w:rsid w:val="004C7AEC"/>
    <w:rsid w:val="004C7E4B"/>
    <w:rsid w:val="004D0ADA"/>
    <w:rsid w:val="004D0B7F"/>
    <w:rsid w:val="004D1006"/>
    <w:rsid w:val="004D13ED"/>
    <w:rsid w:val="004D1A8D"/>
    <w:rsid w:val="004D21C1"/>
    <w:rsid w:val="004D2882"/>
    <w:rsid w:val="004D3616"/>
    <w:rsid w:val="004D3959"/>
    <w:rsid w:val="004D3F40"/>
    <w:rsid w:val="004D45DF"/>
    <w:rsid w:val="004D4E08"/>
    <w:rsid w:val="004D535F"/>
    <w:rsid w:val="004D5466"/>
    <w:rsid w:val="004D634C"/>
    <w:rsid w:val="004D6A6F"/>
    <w:rsid w:val="004D7194"/>
    <w:rsid w:val="004D71CD"/>
    <w:rsid w:val="004D7D8D"/>
    <w:rsid w:val="004D7F30"/>
    <w:rsid w:val="004E0C0B"/>
    <w:rsid w:val="004E1707"/>
    <w:rsid w:val="004E2125"/>
    <w:rsid w:val="004E2828"/>
    <w:rsid w:val="004E296E"/>
    <w:rsid w:val="004E346E"/>
    <w:rsid w:val="004E475E"/>
    <w:rsid w:val="004E4800"/>
    <w:rsid w:val="004E488B"/>
    <w:rsid w:val="004E580A"/>
    <w:rsid w:val="004E5DAC"/>
    <w:rsid w:val="004E5E87"/>
    <w:rsid w:val="004E5F8F"/>
    <w:rsid w:val="004E6126"/>
    <w:rsid w:val="004E64F8"/>
    <w:rsid w:val="004E6CFF"/>
    <w:rsid w:val="004E6D75"/>
    <w:rsid w:val="004E6F8C"/>
    <w:rsid w:val="004E7838"/>
    <w:rsid w:val="004E7AD4"/>
    <w:rsid w:val="004E7C94"/>
    <w:rsid w:val="004E7E2D"/>
    <w:rsid w:val="004F1802"/>
    <w:rsid w:val="004F21B3"/>
    <w:rsid w:val="004F2248"/>
    <w:rsid w:val="004F2553"/>
    <w:rsid w:val="004F2608"/>
    <w:rsid w:val="004F31EE"/>
    <w:rsid w:val="004F3688"/>
    <w:rsid w:val="004F3AAE"/>
    <w:rsid w:val="004F4253"/>
    <w:rsid w:val="004F4BDE"/>
    <w:rsid w:val="004F4D66"/>
    <w:rsid w:val="004F5673"/>
    <w:rsid w:val="004F5BCE"/>
    <w:rsid w:val="004F5C02"/>
    <w:rsid w:val="004F658C"/>
    <w:rsid w:val="004F67E7"/>
    <w:rsid w:val="004F7C05"/>
    <w:rsid w:val="004F7CAC"/>
    <w:rsid w:val="00500405"/>
    <w:rsid w:val="00500C6A"/>
    <w:rsid w:val="00500CF2"/>
    <w:rsid w:val="00500F8E"/>
    <w:rsid w:val="00501299"/>
    <w:rsid w:val="005013C2"/>
    <w:rsid w:val="005015EE"/>
    <w:rsid w:val="0050175A"/>
    <w:rsid w:val="005018D7"/>
    <w:rsid w:val="00501FDD"/>
    <w:rsid w:val="00502229"/>
    <w:rsid w:val="005032C0"/>
    <w:rsid w:val="00503E77"/>
    <w:rsid w:val="005040D5"/>
    <w:rsid w:val="00504269"/>
    <w:rsid w:val="00504DA3"/>
    <w:rsid w:val="00504FCB"/>
    <w:rsid w:val="005058CC"/>
    <w:rsid w:val="0050730B"/>
    <w:rsid w:val="0050764E"/>
    <w:rsid w:val="00510F13"/>
    <w:rsid w:val="005112FE"/>
    <w:rsid w:val="00511320"/>
    <w:rsid w:val="005119C9"/>
    <w:rsid w:val="00511A21"/>
    <w:rsid w:val="00511A75"/>
    <w:rsid w:val="005125C7"/>
    <w:rsid w:val="0051310E"/>
    <w:rsid w:val="00513692"/>
    <w:rsid w:val="005143F9"/>
    <w:rsid w:val="00514DA5"/>
    <w:rsid w:val="00514E56"/>
    <w:rsid w:val="00514FCA"/>
    <w:rsid w:val="00515C28"/>
    <w:rsid w:val="00515E62"/>
    <w:rsid w:val="0051603B"/>
    <w:rsid w:val="0051616D"/>
    <w:rsid w:val="005162B7"/>
    <w:rsid w:val="005164BC"/>
    <w:rsid w:val="00516566"/>
    <w:rsid w:val="00517078"/>
    <w:rsid w:val="00517B35"/>
    <w:rsid w:val="00520843"/>
    <w:rsid w:val="00520FB1"/>
    <w:rsid w:val="005218C3"/>
    <w:rsid w:val="005225CB"/>
    <w:rsid w:val="00522975"/>
    <w:rsid w:val="005229C3"/>
    <w:rsid w:val="00523095"/>
    <w:rsid w:val="00523670"/>
    <w:rsid w:val="00523DD1"/>
    <w:rsid w:val="00524338"/>
    <w:rsid w:val="005243B7"/>
    <w:rsid w:val="00524C4A"/>
    <w:rsid w:val="00525318"/>
    <w:rsid w:val="00526059"/>
    <w:rsid w:val="00526424"/>
    <w:rsid w:val="00526587"/>
    <w:rsid w:val="0052663C"/>
    <w:rsid w:val="00527456"/>
    <w:rsid w:val="0052758B"/>
    <w:rsid w:val="005305FA"/>
    <w:rsid w:val="00530C30"/>
    <w:rsid w:val="005318C9"/>
    <w:rsid w:val="0053193D"/>
    <w:rsid w:val="00531943"/>
    <w:rsid w:val="00531A8C"/>
    <w:rsid w:val="00531C11"/>
    <w:rsid w:val="0053211C"/>
    <w:rsid w:val="00532443"/>
    <w:rsid w:val="00532B42"/>
    <w:rsid w:val="0053350B"/>
    <w:rsid w:val="00533832"/>
    <w:rsid w:val="00534B13"/>
    <w:rsid w:val="00535331"/>
    <w:rsid w:val="005359DF"/>
    <w:rsid w:val="00535C74"/>
    <w:rsid w:val="005361AB"/>
    <w:rsid w:val="00536991"/>
    <w:rsid w:val="00536E7B"/>
    <w:rsid w:val="0053748A"/>
    <w:rsid w:val="00537CBC"/>
    <w:rsid w:val="00540141"/>
    <w:rsid w:val="005404B6"/>
    <w:rsid w:val="00540E33"/>
    <w:rsid w:val="0054131B"/>
    <w:rsid w:val="005416CF"/>
    <w:rsid w:val="00541883"/>
    <w:rsid w:val="00541D2B"/>
    <w:rsid w:val="00541D43"/>
    <w:rsid w:val="00542068"/>
    <w:rsid w:val="00542349"/>
    <w:rsid w:val="0054330B"/>
    <w:rsid w:val="005439E5"/>
    <w:rsid w:val="00543AF9"/>
    <w:rsid w:val="00543C8C"/>
    <w:rsid w:val="00543EB7"/>
    <w:rsid w:val="0054406F"/>
    <w:rsid w:val="00544AC8"/>
    <w:rsid w:val="00544C74"/>
    <w:rsid w:val="00544DE1"/>
    <w:rsid w:val="00545004"/>
    <w:rsid w:val="00545978"/>
    <w:rsid w:val="005459E1"/>
    <w:rsid w:val="00545BE6"/>
    <w:rsid w:val="00545C39"/>
    <w:rsid w:val="00546701"/>
    <w:rsid w:val="00546CE7"/>
    <w:rsid w:val="00547C38"/>
    <w:rsid w:val="00547CD2"/>
    <w:rsid w:val="00547D70"/>
    <w:rsid w:val="00547F1B"/>
    <w:rsid w:val="00547F20"/>
    <w:rsid w:val="00547FC0"/>
    <w:rsid w:val="00547FE2"/>
    <w:rsid w:val="005502C8"/>
    <w:rsid w:val="0055072B"/>
    <w:rsid w:val="00550BCE"/>
    <w:rsid w:val="0055160A"/>
    <w:rsid w:val="00551DCF"/>
    <w:rsid w:val="00552033"/>
    <w:rsid w:val="00552C72"/>
    <w:rsid w:val="00552CDE"/>
    <w:rsid w:val="0055323C"/>
    <w:rsid w:val="005532FE"/>
    <w:rsid w:val="005535A0"/>
    <w:rsid w:val="005543E7"/>
    <w:rsid w:val="00554405"/>
    <w:rsid w:val="00554B48"/>
    <w:rsid w:val="0055532F"/>
    <w:rsid w:val="005558A9"/>
    <w:rsid w:val="005565B2"/>
    <w:rsid w:val="00556738"/>
    <w:rsid w:val="00556905"/>
    <w:rsid w:val="00557628"/>
    <w:rsid w:val="0055780A"/>
    <w:rsid w:val="00560033"/>
    <w:rsid w:val="00560B4A"/>
    <w:rsid w:val="00560BC3"/>
    <w:rsid w:val="00560D73"/>
    <w:rsid w:val="0056100F"/>
    <w:rsid w:val="0056125B"/>
    <w:rsid w:val="00561282"/>
    <w:rsid w:val="005617DF"/>
    <w:rsid w:val="00561D24"/>
    <w:rsid w:val="00561DF1"/>
    <w:rsid w:val="00561E9B"/>
    <w:rsid w:val="00562189"/>
    <w:rsid w:val="005626BE"/>
    <w:rsid w:val="0056341C"/>
    <w:rsid w:val="0056429D"/>
    <w:rsid w:val="00564718"/>
    <w:rsid w:val="005650C5"/>
    <w:rsid w:val="00565894"/>
    <w:rsid w:val="00565A06"/>
    <w:rsid w:val="00565D0E"/>
    <w:rsid w:val="005664A8"/>
    <w:rsid w:val="00566893"/>
    <w:rsid w:val="00566926"/>
    <w:rsid w:val="00566BB4"/>
    <w:rsid w:val="00566FB0"/>
    <w:rsid w:val="00567B59"/>
    <w:rsid w:val="00567C1F"/>
    <w:rsid w:val="00571593"/>
    <w:rsid w:val="00571949"/>
    <w:rsid w:val="00571D72"/>
    <w:rsid w:val="0057324A"/>
    <w:rsid w:val="005733D4"/>
    <w:rsid w:val="005738A6"/>
    <w:rsid w:val="00573DDC"/>
    <w:rsid w:val="0057460C"/>
    <w:rsid w:val="00574FB2"/>
    <w:rsid w:val="0057500D"/>
    <w:rsid w:val="005753C0"/>
    <w:rsid w:val="00575488"/>
    <w:rsid w:val="00575498"/>
    <w:rsid w:val="00575ED1"/>
    <w:rsid w:val="00576078"/>
    <w:rsid w:val="00576ADE"/>
    <w:rsid w:val="005770BA"/>
    <w:rsid w:val="00577587"/>
    <w:rsid w:val="00577726"/>
    <w:rsid w:val="00577CFD"/>
    <w:rsid w:val="00577DEF"/>
    <w:rsid w:val="00580097"/>
    <w:rsid w:val="00580514"/>
    <w:rsid w:val="005806A4"/>
    <w:rsid w:val="00580EB1"/>
    <w:rsid w:val="005815FB"/>
    <w:rsid w:val="005816FD"/>
    <w:rsid w:val="0058334E"/>
    <w:rsid w:val="00583428"/>
    <w:rsid w:val="005835FF"/>
    <w:rsid w:val="00585D97"/>
    <w:rsid w:val="00586009"/>
    <w:rsid w:val="00586BBC"/>
    <w:rsid w:val="00587230"/>
    <w:rsid w:val="00587291"/>
    <w:rsid w:val="0058729A"/>
    <w:rsid w:val="005878C6"/>
    <w:rsid w:val="00590202"/>
    <w:rsid w:val="005902D1"/>
    <w:rsid w:val="00590DC9"/>
    <w:rsid w:val="00590F23"/>
    <w:rsid w:val="00591008"/>
    <w:rsid w:val="0059122C"/>
    <w:rsid w:val="005917A8"/>
    <w:rsid w:val="0059209F"/>
    <w:rsid w:val="00592283"/>
    <w:rsid w:val="00592368"/>
    <w:rsid w:val="00592813"/>
    <w:rsid w:val="00592BA3"/>
    <w:rsid w:val="00592C7F"/>
    <w:rsid w:val="00592FC3"/>
    <w:rsid w:val="00594719"/>
    <w:rsid w:val="00595C3A"/>
    <w:rsid w:val="005967FE"/>
    <w:rsid w:val="00596BB4"/>
    <w:rsid w:val="00597600"/>
    <w:rsid w:val="00597972"/>
    <w:rsid w:val="00597FAB"/>
    <w:rsid w:val="005A1552"/>
    <w:rsid w:val="005A2531"/>
    <w:rsid w:val="005A2761"/>
    <w:rsid w:val="005A30C2"/>
    <w:rsid w:val="005A3281"/>
    <w:rsid w:val="005A3EA9"/>
    <w:rsid w:val="005A4C43"/>
    <w:rsid w:val="005A59F0"/>
    <w:rsid w:val="005A62C5"/>
    <w:rsid w:val="005A7B28"/>
    <w:rsid w:val="005A7D26"/>
    <w:rsid w:val="005B104C"/>
    <w:rsid w:val="005B1F8E"/>
    <w:rsid w:val="005B2399"/>
    <w:rsid w:val="005B2B56"/>
    <w:rsid w:val="005B3BE7"/>
    <w:rsid w:val="005B3F7A"/>
    <w:rsid w:val="005B4382"/>
    <w:rsid w:val="005B4741"/>
    <w:rsid w:val="005B5109"/>
    <w:rsid w:val="005B589F"/>
    <w:rsid w:val="005B5DED"/>
    <w:rsid w:val="005B61EA"/>
    <w:rsid w:val="005B6698"/>
    <w:rsid w:val="005B6C55"/>
    <w:rsid w:val="005B7FC5"/>
    <w:rsid w:val="005C06E5"/>
    <w:rsid w:val="005C08BD"/>
    <w:rsid w:val="005C1A4A"/>
    <w:rsid w:val="005C1D2B"/>
    <w:rsid w:val="005C1E04"/>
    <w:rsid w:val="005C2085"/>
    <w:rsid w:val="005C2B5E"/>
    <w:rsid w:val="005C3757"/>
    <w:rsid w:val="005C3A10"/>
    <w:rsid w:val="005C3E76"/>
    <w:rsid w:val="005C407E"/>
    <w:rsid w:val="005C4817"/>
    <w:rsid w:val="005C63EE"/>
    <w:rsid w:val="005C6814"/>
    <w:rsid w:val="005C6A66"/>
    <w:rsid w:val="005C6C84"/>
    <w:rsid w:val="005C793C"/>
    <w:rsid w:val="005C7FA5"/>
    <w:rsid w:val="005D04BE"/>
    <w:rsid w:val="005D0BC0"/>
    <w:rsid w:val="005D181D"/>
    <w:rsid w:val="005D2849"/>
    <w:rsid w:val="005D2D21"/>
    <w:rsid w:val="005D3BD9"/>
    <w:rsid w:val="005D3FFD"/>
    <w:rsid w:val="005D43E5"/>
    <w:rsid w:val="005D49C7"/>
    <w:rsid w:val="005D4EE3"/>
    <w:rsid w:val="005D5162"/>
    <w:rsid w:val="005D516F"/>
    <w:rsid w:val="005D5B10"/>
    <w:rsid w:val="005D5BA1"/>
    <w:rsid w:val="005D6208"/>
    <w:rsid w:val="005D62BD"/>
    <w:rsid w:val="005D697E"/>
    <w:rsid w:val="005D69C2"/>
    <w:rsid w:val="005D7083"/>
    <w:rsid w:val="005D7519"/>
    <w:rsid w:val="005E0A3C"/>
    <w:rsid w:val="005E0CCC"/>
    <w:rsid w:val="005E0D9E"/>
    <w:rsid w:val="005E104C"/>
    <w:rsid w:val="005E1F2C"/>
    <w:rsid w:val="005E2805"/>
    <w:rsid w:val="005E3262"/>
    <w:rsid w:val="005E373C"/>
    <w:rsid w:val="005E3825"/>
    <w:rsid w:val="005E49B2"/>
    <w:rsid w:val="005E4B7E"/>
    <w:rsid w:val="005E4DB2"/>
    <w:rsid w:val="005E5BC7"/>
    <w:rsid w:val="005E6358"/>
    <w:rsid w:val="005E6497"/>
    <w:rsid w:val="005F0AE8"/>
    <w:rsid w:val="005F13C1"/>
    <w:rsid w:val="005F16BA"/>
    <w:rsid w:val="005F1AD7"/>
    <w:rsid w:val="005F1EE2"/>
    <w:rsid w:val="005F1FD6"/>
    <w:rsid w:val="005F2515"/>
    <w:rsid w:val="005F2A6B"/>
    <w:rsid w:val="005F2D29"/>
    <w:rsid w:val="005F2EB4"/>
    <w:rsid w:val="005F2F17"/>
    <w:rsid w:val="005F327F"/>
    <w:rsid w:val="005F3366"/>
    <w:rsid w:val="005F37E6"/>
    <w:rsid w:val="005F40C1"/>
    <w:rsid w:val="005F4401"/>
    <w:rsid w:val="005F4586"/>
    <w:rsid w:val="005F532D"/>
    <w:rsid w:val="005F59B5"/>
    <w:rsid w:val="005F6409"/>
    <w:rsid w:val="005F74F1"/>
    <w:rsid w:val="005F7FD8"/>
    <w:rsid w:val="00600773"/>
    <w:rsid w:val="006008E0"/>
    <w:rsid w:val="00600A39"/>
    <w:rsid w:val="006019FF"/>
    <w:rsid w:val="006024D3"/>
    <w:rsid w:val="00602EC7"/>
    <w:rsid w:val="0060381A"/>
    <w:rsid w:val="00603B6F"/>
    <w:rsid w:val="00604CA8"/>
    <w:rsid w:val="006052B4"/>
    <w:rsid w:val="00605446"/>
    <w:rsid w:val="006055CF"/>
    <w:rsid w:val="00605BB9"/>
    <w:rsid w:val="00606EF9"/>
    <w:rsid w:val="00606F4E"/>
    <w:rsid w:val="0060706A"/>
    <w:rsid w:val="006072B3"/>
    <w:rsid w:val="00607758"/>
    <w:rsid w:val="00607ABD"/>
    <w:rsid w:val="00607FEF"/>
    <w:rsid w:val="0061037B"/>
    <w:rsid w:val="00610582"/>
    <w:rsid w:val="00610674"/>
    <w:rsid w:val="00610B4D"/>
    <w:rsid w:val="00610D5E"/>
    <w:rsid w:val="006110E8"/>
    <w:rsid w:val="00611150"/>
    <w:rsid w:val="006112E3"/>
    <w:rsid w:val="0061198C"/>
    <w:rsid w:val="00611D1B"/>
    <w:rsid w:val="00613467"/>
    <w:rsid w:val="00613512"/>
    <w:rsid w:val="00613B1B"/>
    <w:rsid w:val="00613B99"/>
    <w:rsid w:val="00613D33"/>
    <w:rsid w:val="0061484F"/>
    <w:rsid w:val="00614BAE"/>
    <w:rsid w:val="006153BB"/>
    <w:rsid w:val="0061543F"/>
    <w:rsid w:val="00616B8F"/>
    <w:rsid w:val="00616C56"/>
    <w:rsid w:val="00616D71"/>
    <w:rsid w:val="006170C4"/>
    <w:rsid w:val="006176F1"/>
    <w:rsid w:val="00617A57"/>
    <w:rsid w:val="00617EE3"/>
    <w:rsid w:val="0062027A"/>
    <w:rsid w:val="0062028A"/>
    <w:rsid w:val="00620495"/>
    <w:rsid w:val="00620783"/>
    <w:rsid w:val="00620B9C"/>
    <w:rsid w:val="00623092"/>
    <w:rsid w:val="00623454"/>
    <w:rsid w:val="0062398E"/>
    <w:rsid w:val="00624209"/>
    <w:rsid w:val="00624315"/>
    <w:rsid w:val="006245AB"/>
    <w:rsid w:val="00624778"/>
    <w:rsid w:val="0062545B"/>
    <w:rsid w:val="0062552A"/>
    <w:rsid w:val="00626A54"/>
    <w:rsid w:val="00626D9F"/>
    <w:rsid w:val="0062726F"/>
    <w:rsid w:val="00627CBD"/>
    <w:rsid w:val="00630496"/>
    <w:rsid w:val="00630917"/>
    <w:rsid w:val="006319C7"/>
    <w:rsid w:val="0063225E"/>
    <w:rsid w:val="00632A52"/>
    <w:rsid w:val="006332BE"/>
    <w:rsid w:val="006333C5"/>
    <w:rsid w:val="006338AB"/>
    <w:rsid w:val="00633E9F"/>
    <w:rsid w:val="00634041"/>
    <w:rsid w:val="00634104"/>
    <w:rsid w:val="00634BC5"/>
    <w:rsid w:val="00634FBD"/>
    <w:rsid w:val="00635269"/>
    <w:rsid w:val="0063554C"/>
    <w:rsid w:val="00635758"/>
    <w:rsid w:val="006359B2"/>
    <w:rsid w:val="00636190"/>
    <w:rsid w:val="00636D93"/>
    <w:rsid w:val="0063712A"/>
    <w:rsid w:val="00637278"/>
    <w:rsid w:val="006372B8"/>
    <w:rsid w:val="00637890"/>
    <w:rsid w:val="00637C5B"/>
    <w:rsid w:val="006407DE"/>
    <w:rsid w:val="0064083C"/>
    <w:rsid w:val="006408C3"/>
    <w:rsid w:val="00640BD8"/>
    <w:rsid w:val="00640E65"/>
    <w:rsid w:val="00641486"/>
    <w:rsid w:val="00641F9D"/>
    <w:rsid w:val="0064217E"/>
    <w:rsid w:val="006428AF"/>
    <w:rsid w:val="0064290C"/>
    <w:rsid w:val="00642A77"/>
    <w:rsid w:val="00642E80"/>
    <w:rsid w:val="0064344A"/>
    <w:rsid w:val="006436B7"/>
    <w:rsid w:val="00643A8D"/>
    <w:rsid w:val="0064430B"/>
    <w:rsid w:val="0064486B"/>
    <w:rsid w:val="006448C0"/>
    <w:rsid w:val="00644B1E"/>
    <w:rsid w:val="00644CED"/>
    <w:rsid w:val="006451CF"/>
    <w:rsid w:val="006454BB"/>
    <w:rsid w:val="00645AB3"/>
    <w:rsid w:val="00645FC0"/>
    <w:rsid w:val="00646168"/>
    <w:rsid w:val="0064620D"/>
    <w:rsid w:val="0064719A"/>
    <w:rsid w:val="006473DB"/>
    <w:rsid w:val="0064773F"/>
    <w:rsid w:val="00650D9A"/>
    <w:rsid w:val="0065113F"/>
    <w:rsid w:val="00651336"/>
    <w:rsid w:val="006519DF"/>
    <w:rsid w:val="0065226B"/>
    <w:rsid w:val="0065236E"/>
    <w:rsid w:val="00653D98"/>
    <w:rsid w:val="00654574"/>
    <w:rsid w:val="006545E6"/>
    <w:rsid w:val="006547A0"/>
    <w:rsid w:val="006548F7"/>
    <w:rsid w:val="00654D31"/>
    <w:rsid w:val="00655158"/>
    <w:rsid w:val="006552E9"/>
    <w:rsid w:val="00655ADD"/>
    <w:rsid w:val="006560A2"/>
    <w:rsid w:val="006564A8"/>
    <w:rsid w:val="006567A6"/>
    <w:rsid w:val="006567C2"/>
    <w:rsid w:val="006568AF"/>
    <w:rsid w:val="00656A27"/>
    <w:rsid w:val="00656DDD"/>
    <w:rsid w:val="00656EED"/>
    <w:rsid w:val="00657754"/>
    <w:rsid w:val="00657E70"/>
    <w:rsid w:val="006617B1"/>
    <w:rsid w:val="00661809"/>
    <w:rsid w:val="006618AA"/>
    <w:rsid w:val="00662234"/>
    <w:rsid w:val="006626AA"/>
    <w:rsid w:val="00662DFF"/>
    <w:rsid w:val="0066322E"/>
    <w:rsid w:val="00663C0F"/>
    <w:rsid w:val="00664356"/>
    <w:rsid w:val="00664499"/>
    <w:rsid w:val="00664F13"/>
    <w:rsid w:val="00665465"/>
    <w:rsid w:val="00665E45"/>
    <w:rsid w:val="00665FC6"/>
    <w:rsid w:val="00667104"/>
    <w:rsid w:val="006679FE"/>
    <w:rsid w:val="00667B00"/>
    <w:rsid w:val="00667CBF"/>
    <w:rsid w:val="006701F5"/>
    <w:rsid w:val="00670986"/>
    <w:rsid w:val="00670A1A"/>
    <w:rsid w:val="006718A3"/>
    <w:rsid w:val="00672120"/>
    <w:rsid w:val="00672285"/>
    <w:rsid w:val="0067327D"/>
    <w:rsid w:val="00673352"/>
    <w:rsid w:val="00673843"/>
    <w:rsid w:val="00674207"/>
    <w:rsid w:val="0067429B"/>
    <w:rsid w:val="006746F4"/>
    <w:rsid w:val="00674A18"/>
    <w:rsid w:val="00675D9C"/>
    <w:rsid w:val="00676E15"/>
    <w:rsid w:val="0067701D"/>
    <w:rsid w:val="006770D5"/>
    <w:rsid w:val="00677C9D"/>
    <w:rsid w:val="006807B8"/>
    <w:rsid w:val="0068131F"/>
    <w:rsid w:val="006813DE"/>
    <w:rsid w:val="00681B36"/>
    <w:rsid w:val="00681C5B"/>
    <w:rsid w:val="00682205"/>
    <w:rsid w:val="006824AD"/>
    <w:rsid w:val="00682D02"/>
    <w:rsid w:val="00682DFE"/>
    <w:rsid w:val="00682FBB"/>
    <w:rsid w:val="0068368C"/>
    <w:rsid w:val="00683DDD"/>
    <w:rsid w:val="00684114"/>
    <w:rsid w:val="0068429D"/>
    <w:rsid w:val="0068446B"/>
    <w:rsid w:val="00685CE8"/>
    <w:rsid w:val="0068616F"/>
    <w:rsid w:val="0068650C"/>
    <w:rsid w:val="00686653"/>
    <w:rsid w:val="006866D7"/>
    <w:rsid w:val="00686A71"/>
    <w:rsid w:val="006871A1"/>
    <w:rsid w:val="006875CD"/>
    <w:rsid w:val="00687A78"/>
    <w:rsid w:val="00690362"/>
    <w:rsid w:val="0069123E"/>
    <w:rsid w:val="0069153D"/>
    <w:rsid w:val="00691913"/>
    <w:rsid w:val="0069222A"/>
    <w:rsid w:val="00693399"/>
    <w:rsid w:val="00693414"/>
    <w:rsid w:val="00694434"/>
    <w:rsid w:val="0069459C"/>
    <w:rsid w:val="0069521F"/>
    <w:rsid w:val="0069721C"/>
    <w:rsid w:val="006977F6"/>
    <w:rsid w:val="00697B8E"/>
    <w:rsid w:val="00697DC4"/>
    <w:rsid w:val="00697E56"/>
    <w:rsid w:val="006A0363"/>
    <w:rsid w:val="006A0978"/>
    <w:rsid w:val="006A0DD1"/>
    <w:rsid w:val="006A11EB"/>
    <w:rsid w:val="006A138B"/>
    <w:rsid w:val="006A1569"/>
    <w:rsid w:val="006A15B9"/>
    <w:rsid w:val="006A1B2E"/>
    <w:rsid w:val="006A1E33"/>
    <w:rsid w:val="006A239A"/>
    <w:rsid w:val="006A23E5"/>
    <w:rsid w:val="006A2406"/>
    <w:rsid w:val="006A4396"/>
    <w:rsid w:val="006A4433"/>
    <w:rsid w:val="006A4CCE"/>
    <w:rsid w:val="006A583B"/>
    <w:rsid w:val="006A5BA8"/>
    <w:rsid w:val="006A5FE7"/>
    <w:rsid w:val="006A65F6"/>
    <w:rsid w:val="006A69FB"/>
    <w:rsid w:val="006A781A"/>
    <w:rsid w:val="006A7D4C"/>
    <w:rsid w:val="006A7DAA"/>
    <w:rsid w:val="006B0001"/>
    <w:rsid w:val="006B00DD"/>
    <w:rsid w:val="006B0480"/>
    <w:rsid w:val="006B140A"/>
    <w:rsid w:val="006B1DEB"/>
    <w:rsid w:val="006B1FF4"/>
    <w:rsid w:val="006B32AD"/>
    <w:rsid w:val="006B3A7C"/>
    <w:rsid w:val="006B3CAA"/>
    <w:rsid w:val="006B3F8E"/>
    <w:rsid w:val="006B3FE0"/>
    <w:rsid w:val="006B4471"/>
    <w:rsid w:val="006B49F0"/>
    <w:rsid w:val="006B53A7"/>
    <w:rsid w:val="006B5D29"/>
    <w:rsid w:val="006B6044"/>
    <w:rsid w:val="006B631F"/>
    <w:rsid w:val="006B64FC"/>
    <w:rsid w:val="006B6DE4"/>
    <w:rsid w:val="006B7FCF"/>
    <w:rsid w:val="006C014A"/>
    <w:rsid w:val="006C05CD"/>
    <w:rsid w:val="006C05EB"/>
    <w:rsid w:val="006C0974"/>
    <w:rsid w:val="006C277B"/>
    <w:rsid w:val="006C2A84"/>
    <w:rsid w:val="006C2CB7"/>
    <w:rsid w:val="006C352A"/>
    <w:rsid w:val="006C39A5"/>
    <w:rsid w:val="006C3E08"/>
    <w:rsid w:val="006C4906"/>
    <w:rsid w:val="006C4BE2"/>
    <w:rsid w:val="006C504B"/>
    <w:rsid w:val="006C518E"/>
    <w:rsid w:val="006C556A"/>
    <w:rsid w:val="006C56C9"/>
    <w:rsid w:val="006C5B51"/>
    <w:rsid w:val="006C5EC3"/>
    <w:rsid w:val="006C6797"/>
    <w:rsid w:val="006C6AA6"/>
    <w:rsid w:val="006C6EB5"/>
    <w:rsid w:val="006C794C"/>
    <w:rsid w:val="006D02F5"/>
    <w:rsid w:val="006D1140"/>
    <w:rsid w:val="006D1234"/>
    <w:rsid w:val="006D1793"/>
    <w:rsid w:val="006D18A1"/>
    <w:rsid w:val="006D1F54"/>
    <w:rsid w:val="006D2AF4"/>
    <w:rsid w:val="006D3143"/>
    <w:rsid w:val="006D3271"/>
    <w:rsid w:val="006D332A"/>
    <w:rsid w:val="006D33C5"/>
    <w:rsid w:val="006D35D0"/>
    <w:rsid w:val="006D3A7C"/>
    <w:rsid w:val="006D4296"/>
    <w:rsid w:val="006D4E1F"/>
    <w:rsid w:val="006D536B"/>
    <w:rsid w:val="006D5A92"/>
    <w:rsid w:val="006D5D03"/>
    <w:rsid w:val="006D5DF9"/>
    <w:rsid w:val="006D5F43"/>
    <w:rsid w:val="006D5FA1"/>
    <w:rsid w:val="006D66CF"/>
    <w:rsid w:val="006D674D"/>
    <w:rsid w:val="006D6A19"/>
    <w:rsid w:val="006D6A22"/>
    <w:rsid w:val="006D78B9"/>
    <w:rsid w:val="006D7D25"/>
    <w:rsid w:val="006E0662"/>
    <w:rsid w:val="006E0BBC"/>
    <w:rsid w:val="006E1E35"/>
    <w:rsid w:val="006E394F"/>
    <w:rsid w:val="006E3BB6"/>
    <w:rsid w:val="006E3EFD"/>
    <w:rsid w:val="006E400E"/>
    <w:rsid w:val="006E4991"/>
    <w:rsid w:val="006E707F"/>
    <w:rsid w:val="006E7175"/>
    <w:rsid w:val="006E7302"/>
    <w:rsid w:val="006E7525"/>
    <w:rsid w:val="006E7D75"/>
    <w:rsid w:val="006F0548"/>
    <w:rsid w:val="006F1067"/>
    <w:rsid w:val="006F161E"/>
    <w:rsid w:val="006F1886"/>
    <w:rsid w:val="006F1BB3"/>
    <w:rsid w:val="006F21CC"/>
    <w:rsid w:val="006F3046"/>
    <w:rsid w:val="006F32BF"/>
    <w:rsid w:val="006F350A"/>
    <w:rsid w:val="006F4176"/>
    <w:rsid w:val="006F480B"/>
    <w:rsid w:val="006F4856"/>
    <w:rsid w:val="006F50D9"/>
    <w:rsid w:val="006F5671"/>
    <w:rsid w:val="006F5F9D"/>
    <w:rsid w:val="006F6255"/>
    <w:rsid w:val="006F79FB"/>
    <w:rsid w:val="00700BF1"/>
    <w:rsid w:val="00700E72"/>
    <w:rsid w:val="00700FE7"/>
    <w:rsid w:val="00701170"/>
    <w:rsid w:val="00701CB5"/>
    <w:rsid w:val="0070203B"/>
    <w:rsid w:val="00702A86"/>
    <w:rsid w:val="00702DC4"/>
    <w:rsid w:val="00703418"/>
    <w:rsid w:val="00703822"/>
    <w:rsid w:val="00705A2E"/>
    <w:rsid w:val="00705DDE"/>
    <w:rsid w:val="00705FE5"/>
    <w:rsid w:val="007061AA"/>
    <w:rsid w:val="007063D3"/>
    <w:rsid w:val="0070646A"/>
    <w:rsid w:val="007079F7"/>
    <w:rsid w:val="00707EE7"/>
    <w:rsid w:val="00710485"/>
    <w:rsid w:val="007109D8"/>
    <w:rsid w:val="0071112C"/>
    <w:rsid w:val="007113C0"/>
    <w:rsid w:val="007115E8"/>
    <w:rsid w:val="007123E8"/>
    <w:rsid w:val="007125EC"/>
    <w:rsid w:val="00712C73"/>
    <w:rsid w:val="00712CD1"/>
    <w:rsid w:val="00712FAA"/>
    <w:rsid w:val="0071362E"/>
    <w:rsid w:val="00713760"/>
    <w:rsid w:val="0071385B"/>
    <w:rsid w:val="00713AA4"/>
    <w:rsid w:val="00714C44"/>
    <w:rsid w:val="00714D41"/>
    <w:rsid w:val="00714E0D"/>
    <w:rsid w:val="00715033"/>
    <w:rsid w:val="0071517B"/>
    <w:rsid w:val="00715ABB"/>
    <w:rsid w:val="007169A9"/>
    <w:rsid w:val="00716EBC"/>
    <w:rsid w:val="00717389"/>
    <w:rsid w:val="00717C8E"/>
    <w:rsid w:val="00720E59"/>
    <w:rsid w:val="007214ED"/>
    <w:rsid w:val="00721551"/>
    <w:rsid w:val="00721761"/>
    <w:rsid w:val="00721802"/>
    <w:rsid w:val="00722107"/>
    <w:rsid w:val="00722446"/>
    <w:rsid w:val="00722861"/>
    <w:rsid w:val="007230A5"/>
    <w:rsid w:val="00723421"/>
    <w:rsid w:val="00723E1E"/>
    <w:rsid w:val="0072419A"/>
    <w:rsid w:val="00724E71"/>
    <w:rsid w:val="00724F7E"/>
    <w:rsid w:val="007251B6"/>
    <w:rsid w:val="00725B65"/>
    <w:rsid w:val="0072685C"/>
    <w:rsid w:val="007268C3"/>
    <w:rsid w:val="00726F7A"/>
    <w:rsid w:val="00727501"/>
    <w:rsid w:val="00730335"/>
    <w:rsid w:val="007307CE"/>
    <w:rsid w:val="00730D7F"/>
    <w:rsid w:val="00730F49"/>
    <w:rsid w:val="0073153D"/>
    <w:rsid w:val="00732869"/>
    <w:rsid w:val="00732AB9"/>
    <w:rsid w:val="007334BE"/>
    <w:rsid w:val="007340CC"/>
    <w:rsid w:val="00734CCC"/>
    <w:rsid w:val="00734D48"/>
    <w:rsid w:val="0073577E"/>
    <w:rsid w:val="00735846"/>
    <w:rsid w:val="00735AF8"/>
    <w:rsid w:val="00736A99"/>
    <w:rsid w:val="00736AF2"/>
    <w:rsid w:val="00736C8C"/>
    <w:rsid w:val="0073729C"/>
    <w:rsid w:val="00737AD3"/>
    <w:rsid w:val="00740099"/>
    <w:rsid w:val="0074029C"/>
    <w:rsid w:val="007408F2"/>
    <w:rsid w:val="007422EE"/>
    <w:rsid w:val="00742917"/>
    <w:rsid w:val="00742D20"/>
    <w:rsid w:val="007431E2"/>
    <w:rsid w:val="0074354E"/>
    <w:rsid w:val="00743B80"/>
    <w:rsid w:val="00744331"/>
    <w:rsid w:val="00744627"/>
    <w:rsid w:val="007447F0"/>
    <w:rsid w:val="00746419"/>
    <w:rsid w:val="0074671F"/>
    <w:rsid w:val="00746B8E"/>
    <w:rsid w:val="00747380"/>
    <w:rsid w:val="007478FD"/>
    <w:rsid w:val="00747C80"/>
    <w:rsid w:val="007503C5"/>
    <w:rsid w:val="00750420"/>
    <w:rsid w:val="00750633"/>
    <w:rsid w:val="0075082C"/>
    <w:rsid w:val="007509A6"/>
    <w:rsid w:val="00750B5A"/>
    <w:rsid w:val="00750EA8"/>
    <w:rsid w:val="00751801"/>
    <w:rsid w:val="00751C6B"/>
    <w:rsid w:val="00751F15"/>
    <w:rsid w:val="00752351"/>
    <w:rsid w:val="007530E6"/>
    <w:rsid w:val="0075327D"/>
    <w:rsid w:val="0075342B"/>
    <w:rsid w:val="00754E85"/>
    <w:rsid w:val="007550E6"/>
    <w:rsid w:val="007554A3"/>
    <w:rsid w:val="007558FA"/>
    <w:rsid w:val="00756415"/>
    <w:rsid w:val="0075662A"/>
    <w:rsid w:val="007567D0"/>
    <w:rsid w:val="00756AD4"/>
    <w:rsid w:val="00756F8B"/>
    <w:rsid w:val="00757AC0"/>
    <w:rsid w:val="00760A36"/>
    <w:rsid w:val="00760B2E"/>
    <w:rsid w:val="00760D4A"/>
    <w:rsid w:val="00761595"/>
    <w:rsid w:val="0076168A"/>
    <w:rsid w:val="00761818"/>
    <w:rsid w:val="00761EC0"/>
    <w:rsid w:val="00762063"/>
    <w:rsid w:val="00762373"/>
    <w:rsid w:val="0076374A"/>
    <w:rsid w:val="00763E58"/>
    <w:rsid w:val="0076446C"/>
    <w:rsid w:val="00764823"/>
    <w:rsid w:val="00764D17"/>
    <w:rsid w:val="00766069"/>
    <w:rsid w:val="00766265"/>
    <w:rsid w:val="0076655B"/>
    <w:rsid w:val="00766A3F"/>
    <w:rsid w:val="00767CBE"/>
    <w:rsid w:val="007703E1"/>
    <w:rsid w:val="0077095E"/>
    <w:rsid w:val="00770966"/>
    <w:rsid w:val="007709A5"/>
    <w:rsid w:val="00771339"/>
    <w:rsid w:val="007713D4"/>
    <w:rsid w:val="00771B46"/>
    <w:rsid w:val="00772C70"/>
    <w:rsid w:val="00772D43"/>
    <w:rsid w:val="00772D45"/>
    <w:rsid w:val="00774A89"/>
    <w:rsid w:val="0077501A"/>
    <w:rsid w:val="0077547C"/>
    <w:rsid w:val="0077548D"/>
    <w:rsid w:val="007759A3"/>
    <w:rsid w:val="007763DA"/>
    <w:rsid w:val="007775B2"/>
    <w:rsid w:val="00777DED"/>
    <w:rsid w:val="00780033"/>
    <w:rsid w:val="00780536"/>
    <w:rsid w:val="0078065C"/>
    <w:rsid w:val="00780A9E"/>
    <w:rsid w:val="00781374"/>
    <w:rsid w:val="00781777"/>
    <w:rsid w:val="00781EC7"/>
    <w:rsid w:val="00781F4B"/>
    <w:rsid w:val="0078218C"/>
    <w:rsid w:val="007822C6"/>
    <w:rsid w:val="007827A1"/>
    <w:rsid w:val="007829AA"/>
    <w:rsid w:val="00782AA9"/>
    <w:rsid w:val="007840D1"/>
    <w:rsid w:val="007847FA"/>
    <w:rsid w:val="007853C3"/>
    <w:rsid w:val="00785E13"/>
    <w:rsid w:val="00786243"/>
    <w:rsid w:val="0078638E"/>
    <w:rsid w:val="00786C2C"/>
    <w:rsid w:val="00786E25"/>
    <w:rsid w:val="00787267"/>
    <w:rsid w:val="00787332"/>
    <w:rsid w:val="0078778A"/>
    <w:rsid w:val="007879AE"/>
    <w:rsid w:val="00790910"/>
    <w:rsid w:val="00790C20"/>
    <w:rsid w:val="00790D22"/>
    <w:rsid w:val="00791DE1"/>
    <w:rsid w:val="007934EC"/>
    <w:rsid w:val="0079375E"/>
    <w:rsid w:val="00793824"/>
    <w:rsid w:val="00794614"/>
    <w:rsid w:val="00794625"/>
    <w:rsid w:val="00794B72"/>
    <w:rsid w:val="00794BB4"/>
    <w:rsid w:val="00794BF1"/>
    <w:rsid w:val="00794C0F"/>
    <w:rsid w:val="00794E00"/>
    <w:rsid w:val="00794E30"/>
    <w:rsid w:val="0079515C"/>
    <w:rsid w:val="0079515E"/>
    <w:rsid w:val="00796C40"/>
    <w:rsid w:val="00797BB2"/>
    <w:rsid w:val="00797D36"/>
    <w:rsid w:val="007A0667"/>
    <w:rsid w:val="007A0877"/>
    <w:rsid w:val="007A0B78"/>
    <w:rsid w:val="007A0C94"/>
    <w:rsid w:val="007A0E17"/>
    <w:rsid w:val="007A15B8"/>
    <w:rsid w:val="007A1AEB"/>
    <w:rsid w:val="007A2560"/>
    <w:rsid w:val="007A2961"/>
    <w:rsid w:val="007A2AF2"/>
    <w:rsid w:val="007A321D"/>
    <w:rsid w:val="007A37EA"/>
    <w:rsid w:val="007A3A8C"/>
    <w:rsid w:val="007A3B64"/>
    <w:rsid w:val="007A4321"/>
    <w:rsid w:val="007A4386"/>
    <w:rsid w:val="007A4500"/>
    <w:rsid w:val="007A4EC3"/>
    <w:rsid w:val="007A4EDF"/>
    <w:rsid w:val="007A5FB6"/>
    <w:rsid w:val="007A6254"/>
    <w:rsid w:val="007A679C"/>
    <w:rsid w:val="007A7148"/>
    <w:rsid w:val="007B099E"/>
    <w:rsid w:val="007B0E0C"/>
    <w:rsid w:val="007B11F6"/>
    <w:rsid w:val="007B1720"/>
    <w:rsid w:val="007B1C63"/>
    <w:rsid w:val="007B20D7"/>
    <w:rsid w:val="007B23AF"/>
    <w:rsid w:val="007B2AF8"/>
    <w:rsid w:val="007B3627"/>
    <w:rsid w:val="007B37B9"/>
    <w:rsid w:val="007B395A"/>
    <w:rsid w:val="007B41C9"/>
    <w:rsid w:val="007B4CA1"/>
    <w:rsid w:val="007C030E"/>
    <w:rsid w:val="007C0D0E"/>
    <w:rsid w:val="007C233A"/>
    <w:rsid w:val="007C264D"/>
    <w:rsid w:val="007C26E5"/>
    <w:rsid w:val="007C2885"/>
    <w:rsid w:val="007C39DA"/>
    <w:rsid w:val="007C3FED"/>
    <w:rsid w:val="007C4CD5"/>
    <w:rsid w:val="007C4D1E"/>
    <w:rsid w:val="007C5140"/>
    <w:rsid w:val="007C62EA"/>
    <w:rsid w:val="007C67C6"/>
    <w:rsid w:val="007C6B1D"/>
    <w:rsid w:val="007C6CF5"/>
    <w:rsid w:val="007C720A"/>
    <w:rsid w:val="007C7499"/>
    <w:rsid w:val="007C77D5"/>
    <w:rsid w:val="007C7F25"/>
    <w:rsid w:val="007D0001"/>
    <w:rsid w:val="007D0FAD"/>
    <w:rsid w:val="007D1092"/>
    <w:rsid w:val="007D1113"/>
    <w:rsid w:val="007D118C"/>
    <w:rsid w:val="007D1924"/>
    <w:rsid w:val="007D2621"/>
    <w:rsid w:val="007D2909"/>
    <w:rsid w:val="007D343B"/>
    <w:rsid w:val="007D3606"/>
    <w:rsid w:val="007D3BFB"/>
    <w:rsid w:val="007D47E5"/>
    <w:rsid w:val="007D496C"/>
    <w:rsid w:val="007D49C3"/>
    <w:rsid w:val="007D4F75"/>
    <w:rsid w:val="007D5CA8"/>
    <w:rsid w:val="007D6B9E"/>
    <w:rsid w:val="007D6DBA"/>
    <w:rsid w:val="007D7CA7"/>
    <w:rsid w:val="007E02F4"/>
    <w:rsid w:val="007E0B5A"/>
    <w:rsid w:val="007E0CAF"/>
    <w:rsid w:val="007E1461"/>
    <w:rsid w:val="007E1806"/>
    <w:rsid w:val="007E2BC5"/>
    <w:rsid w:val="007E2EA0"/>
    <w:rsid w:val="007E2F09"/>
    <w:rsid w:val="007E36F5"/>
    <w:rsid w:val="007E3E36"/>
    <w:rsid w:val="007E4529"/>
    <w:rsid w:val="007E4B8B"/>
    <w:rsid w:val="007E5708"/>
    <w:rsid w:val="007E58EB"/>
    <w:rsid w:val="007E5BC3"/>
    <w:rsid w:val="007E5C5A"/>
    <w:rsid w:val="007E5E7D"/>
    <w:rsid w:val="007E5E83"/>
    <w:rsid w:val="007E61D5"/>
    <w:rsid w:val="007E72D6"/>
    <w:rsid w:val="007F08CA"/>
    <w:rsid w:val="007F0B5A"/>
    <w:rsid w:val="007F0CE5"/>
    <w:rsid w:val="007F17C5"/>
    <w:rsid w:val="007F1A74"/>
    <w:rsid w:val="007F22EA"/>
    <w:rsid w:val="007F3016"/>
    <w:rsid w:val="007F32BB"/>
    <w:rsid w:val="007F364B"/>
    <w:rsid w:val="007F3945"/>
    <w:rsid w:val="007F3B6E"/>
    <w:rsid w:val="007F3D9C"/>
    <w:rsid w:val="007F4564"/>
    <w:rsid w:val="007F49D9"/>
    <w:rsid w:val="007F4BD8"/>
    <w:rsid w:val="007F603E"/>
    <w:rsid w:val="007F6295"/>
    <w:rsid w:val="007F6CF5"/>
    <w:rsid w:val="007F6F08"/>
    <w:rsid w:val="007F7158"/>
    <w:rsid w:val="007F78FE"/>
    <w:rsid w:val="007F7AC2"/>
    <w:rsid w:val="0080069F"/>
    <w:rsid w:val="00800B0E"/>
    <w:rsid w:val="00800CAB"/>
    <w:rsid w:val="00800D54"/>
    <w:rsid w:val="00801821"/>
    <w:rsid w:val="008023F2"/>
    <w:rsid w:val="00802B63"/>
    <w:rsid w:val="00803E8B"/>
    <w:rsid w:val="008043E8"/>
    <w:rsid w:val="00805979"/>
    <w:rsid w:val="00806434"/>
    <w:rsid w:val="00806531"/>
    <w:rsid w:val="0080681D"/>
    <w:rsid w:val="00807559"/>
    <w:rsid w:val="00810419"/>
    <w:rsid w:val="00810927"/>
    <w:rsid w:val="0081119A"/>
    <w:rsid w:val="00811401"/>
    <w:rsid w:val="008115C2"/>
    <w:rsid w:val="008117BF"/>
    <w:rsid w:val="008127AA"/>
    <w:rsid w:val="00812C24"/>
    <w:rsid w:val="00812DDE"/>
    <w:rsid w:val="00813288"/>
    <w:rsid w:val="008137CA"/>
    <w:rsid w:val="0081404D"/>
    <w:rsid w:val="0081414E"/>
    <w:rsid w:val="00814A49"/>
    <w:rsid w:val="008151A9"/>
    <w:rsid w:val="00815F7B"/>
    <w:rsid w:val="00816618"/>
    <w:rsid w:val="0081683E"/>
    <w:rsid w:val="00816A15"/>
    <w:rsid w:val="00816D87"/>
    <w:rsid w:val="00817447"/>
    <w:rsid w:val="008178DC"/>
    <w:rsid w:val="00817F36"/>
    <w:rsid w:val="00817FB7"/>
    <w:rsid w:val="00820047"/>
    <w:rsid w:val="008202CF"/>
    <w:rsid w:val="008204EF"/>
    <w:rsid w:val="00821A29"/>
    <w:rsid w:val="008222C0"/>
    <w:rsid w:val="00822AE8"/>
    <w:rsid w:val="00822E1B"/>
    <w:rsid w:val="00823233"/>
    <w:rsid w:val="0082339E"/>
    <w:rsid w:val="00823A91"/>
    <w:rsid w:val="00823CC1"/>
    <w:rsid w:val="00823D10"/>
    <w:rsid w:val="00824426"/>
    <w:rsid w:val="0082492C"/>
    <w:rsid w:val="00824A30"/>
    <w:rsid w:val="00824B0E"/>
    <w:rsid w:val="00824B7A"/>
    <w:rsid w:val="00824C9D"/>
    <w:rsid w:val="00824F99"/>
    <w:rsid w:val="008260B8"/>
    <w:rsid w:val="0082630A"/>
    <w:rsid w:val="008266AF"/>
    <w:rsid w:val="008268AE"/>
    <w:rsid w:val="00827126"/>
    <w:rsid w:val="00830094"/>
    <w:rsid w:val="0083050A"/>
    <w:rsid w:val="00830597"/>
    <w:rsid w:val="00830E52"/>
    <w:rsid w:val="00830F51"/>
    <w:rsid w:val="00830FAA"/>
    <w:rsid w:val="008315B4"/>
    <w:rsid w:val="008316D1"/>
    <w:rsid w:val="00831A54"/>
    <w:rsid w:val="00831E6C"/>
    <w:rsid w:val="00831E82"/>
    <w:rsid w:val="00831FCC"/>
    <w:rsid w:val="0083233F"/>
    <w:rsid w:val="008324E3"/>
    <w:rsid w:val="00833B9F"/>
    <w:rsid w:val="00833DF8"/>
    <w:rsid w:val="00833E59"/>
    <w:rsid w:val="00834220"/>
    <w:rsid w:val="0083450B"/>
    <w:rsid w:val="00834E25"/>
    <w:rsid w:val="008351C8"/>
    <w:rsid w:val="008353A6"/>
    <w:rsid w:val="00835716"/>
    <w:rsid w:val="0083589A"/>
    <w:rsid w:val="00835CA3"/>
    <w:rsid w:val="00835F43"/>
    <w:rsid w:val="00836442"/>
    <w:rsid w:val="00836E8D"/>
    <w:rsid w:val="00836F1F"/>
    <w:rsid w:val="008373C6"/>
    <w:rsid w:val="008378BD"/>
    <w:rsid w:val="008378F0"/>
    <w:rsid w:val="008379F5"/>
    <w:rsid w:val="00837FBD"/>
    <w:rsid w:val="00840128"/>
    <w:rsid w:val="00840C8E"/>
    <w:rsid w:val="00840FC2"/>
    <w:rsid w:val="0084184A"/>
    <w:rsid w:val="0084194F"/>
    <w:rsid w:val="00842710"/>
    <w:rsid w:val="00843418"/>
    <w:rsid w:val="008435B7"/>
    <w:rsid w:val="00843A71"/>
    <w:rsid w:val="00843AAD"/>
    <w:rsid w:val="00843B69"/>
    <w:rsid w:val="00844347"/>
    <w:rsid w:val="0084437F"/>
    <w:rsid w:val="008450F3"/>
    <w:rsid w:val="00845946"/>
    <w:rsid w:val="0084636C"/>
    <w:rsid w:val="00847619"/>
    <w:rsid w:val="008476A0"/>
    <w:rsid w:val="00847845"/>
    <w:rsid w:val="00850163"/>
    <w:rsid w:val="0085031A"/>
    <w:rsid w:val="0085041B"/>
    <w:rsid w:val="00850727"/>
    <w:rsid w:val="008509E0"/>
    <w:rsid w:val="00850AAE"/>
    <w:rsid w:val="00850EFF"/>
    <w:rsid w:val="00850F34"/>
    <w:rsid w:val="008510EE"/>
    <w:rsid w:val="00851C5E"/>
    <w:rsid w:val="00851D29"/>
    <w:rsid w:val="0085296D"/>
    <w:rsid w:val="00852F38"/>
    <w:rsid w:val="00853E77"/>
    <w:rsid w:val="008545CF"/>
    <w:rsid w:val="00854EF0"/>
    <w:rsid w:val="0085508D"/>
    <w:rsid w:val="0085521C"/>
    <w:rsid w:val="00855D91"/>
    <w:rsid w:val="00856549"/>
    <w:rsid w:val="00856733"/>
    <w:rsid w:val="00856776"/>
    <w:rsid w:val="008569EB"/>
    <w:rsid w:val="00856C34"/>
    <w:rsid w:val="0085745C"/>
    <w:rsid w:val="008601E9"/>
    <w:rsid w:val="00860530"/>
    <w:rsid w:val="0086061A"/>
    <w:rsid w:val="0086103B"/>
    <w:rsid w:val="008621C6"/>
    <w:rsid w:val="00862B69"/>
    <w:rsid w:val="008631B5"/>
    <w:rsid w:val="00863E95"/>
    <w:rsid w:val="00864268"/>
    <w:rsid w:val="00865546"/>
    <w:rsid w:val="0086573C"/>
    <w:rsid w:val="00865B5F"/>
    <w:rsid w:val="00865DC1"/>
    <w:rsid w:val="00866B89"/>
    <w:rsid w:val="0086748E"/>
    <w:rsid w:val="0086754C"/>
    <w:rsid w:val="00867E67"/>
    <w:rsid w:val="00870112"/>
    <w:rsid w:val="00870C8E"/>
    <w:rsid w:val="008725DA"/>
    <w:rsid w:val="00873358"/>
    <w:rsid w:val="0087365A"/>
    <w:rsid w:val="00873BD2"/>
    <w:rsid w:val="00873D72"/>
    <w:rsid w:val="008743C7"/>
    <w:rsid w:val="00874EEE"/>
    <w:rsid w:val="00875010"/>
    <w:rsid w:val="008750F9"/>
    <w:rsid w:val="00875133"/>
    <w:rsid w:val="00875139"/>
    <w:rsid w:val="00875341"/>
    <w:rsid w:val="0087536F"/>
    <w:rsid w:val="008754AF"/>
    <w:rsid w:val="008765B1"/>
    <w:rsid w:val="008773CC"/>
    <w:rsid w:val="008774DC"/>
    <w:rsid w:val="00877B90"/>
    <w:rsid w:val="00880704"/>
    <w:rsid w:val="008808A0"/>
    <w:rsid w:val="00880A40"/>
    <w:rsid w:val="00880E08"/>
    <w:rsid w:val="008810DB"/>
    <w:rsid w:val="00881C81"/>
    <w:rsid w:val="00882B15"/>
    <w:rsid w:val="00882C06"/>
    <w:rsid w:val="00882CC7"/>
    <w:rsid w:val="00883CC3"/>
    <w:rsid w:val="0088402F"/>
    <w:rsid w:val="00884670"/>
    <w:rsid w:val="0088489D"/>
    <w:rsid w:val="00884D5D"/>
    <w:rsid w:val="00885059"/>
    <w:rsid w:val="008850CD"/>
    <w:rsid w:val="00886131"/>
    <w:rsid w:val="008869F4"/>
    <w:rsid w:val="00886BA0"/>
    <w:rsid w:val="00886F03"/>
    <w:rsid w:val="00887C24"/>
    <w:rsid w:val="008904F4"/>
    <w:rsid w:val="008908DC"/>
    <w:rsid w:val="00890A5C"/>
    <w:rsid w:val="00890AE7"/>
    <w:rsid w:val="00890D2F"/>
    <w:rsid w:val="008911A2"/>
    <w:rsid w:val="008911CB"/>
    <w:rsid w:val="00892533"/>
    <w:rsid w:val="00892B5A"/>
    <w:rsid w:val="0089304B"/>
    <w:rsid w:val="00893EEF"/>
    <w:rsid w:val="008944E4"/>
    <w:rsid w:val="0089500E"/>
    <w:rsid w:val="0089572E"/>
    <w:rsid w:val="00895A9B"/>
    <w:rsid w:val="00896360"/>
    <w:rsid w:val="00896DDA"/>
    <w:rsid w:val="008975A2"/>
    <w:rsid w:val="00897B51"/>
    <w:rsid w:val="008A0638"/>
    <w:rsid w:val="008A0CE0"/>
    <w:rsid w:val="008A10E7"/>
    <w:rsid w:val="008A12B3"/>
    <w:rsid w:val="008A14CB"/>
    <w:rsid w:val="008A184F"/>
    <w:rsid w:val="008A1D8E"/>
    <w:rsid w:val="008A25B0"/>
    <w:rsid w:val="008A2842"/>
    <w:rsid w:val="008A28A2"/>
    <w:rsid w:val="008A2C72"/>
    <w:rsid w:val="008A33A5"/>
    <w:rsid w:val="008A3425"/>
    <w:rsid w:val="008A35CD"/>
    <w:rsid w:val="008A3ADD"/>
    <w:rsid w:val="008A40BC"/>
    <w:rsid w:val="008A40DD"/>
    <w:rsid w:val="008A41CD"/>
    <w:rsid w:val="008A4880"/>
    <w:rsid w:val="008A4BC9"/>
    <w:rsid w:val="008A5130"/>
    <w:rsid w:val="008A52B1"/>
    <w:rsid w:val="008A5754"/>
    <w:rsid w:val="008A5E0E"/>
    <w:rsid w:val="008A65E9"/>
    <w:rsid w:val="008A673D"/>
    <w:rsid w:val="008A71E0"/>
    <w:rsid w:val="008A7328"/>
    <w:rsid w:val="008A7341"/>
    <w:rsid w:val="008A7E4B"/>
    <w:rsid w:val="008B06F1"/>
    <w:rsid w:val="008B0739"/>
    <w:rsid w:val="008B0B87"/>
    <w:rsid w:val="008B0C53"/>
    <w:rsid w:val="008B1413"/>
    <w:rsid w:val="008B1DC6"/>
    <w:rsid w:val="008B1FFD"/>
    <w:rsid w:val="008B2287"/>
    <w:rsid w:val="008B2C31"/>
    <w:rsid w:val="008B2E71"/>
    <w:rsid w:val="008B3BAF"/>
    <w:rsid w:val="008B3F07"/>
    <w:rsid w:val="008B3FC5"/>
    <w:rsid w:val="008B411B"/>
    <w:rsid w:val="008B469E"/>
    <w:rsid w:val="008B4EA4"/>
    <w:rsid w:val="008B5193"/>
    <w:rsid w:val="008B5B32"/>
    <w:rsid w:val="008B5B9B"/>
    <w:rsid w:val="008B6A73"/>
    <w:rsid w:val="008B6AA7"/>
    <w:rsid w:val="008B7019"/>
    <w:rsid w:val="008B7216"/>
    <w:rsid w:val="008B7B13"/>
    <w:rsid w:val="008C01AD"/>
    <w:rsid w:val="008C036C"/>
    <w:rsid w:val="008C0580"/>
    <w:rsid w:val="008C0645"/>
    <w:rsid w:val="008C069A"/>
    <w:rsid w:val="008C0D18"/>
    <w:rsid w:val="008C0F8A"/>
    <w:rsid w:val="008C1189"/>
    <w:rsid w:val="008C1A8F"/>
    <w:rsid w:val="008C1C6B"/>
    <w:rsid w:val="008C1EE5"/>
    <w:rsid w:val="008C26C4"/>
    <w:rsid w:val="008C2989"/>
    <w:rsid w:val="008C31EC"/>
    <w:rsid w:val="008C334E"/>
    <w:rsid w:val="008C3447"/>
    <w:rsid w:val="008C34E0"/>
    <w:rsid w:val="008C3552"/>
    <w:rsid w:val="008C3D0F"/>
    <w:rsid w:val="008C3D9E"/>
    <w:rsid w:val="008C460D"/>
    <w:rsid w:val="008C4765"/>
    <w:rsid w:val="008C4BA8"/>
    <w:rsid w:val="008C4D2C"/>
    <w:rsid w:val="008C5627"/>
    <w:rsid w:val="008C5730"/>
    <w:rsid w:val="008C5777"/>
    <w:rsid w:val="008C6339"/>
    <w:rsid w:val="008C6495"/>
    <w:rsid w:val="008C65C8"/>
    <w:rsid w:val="008C67E8"/>
    <w:rsid w:val="008C69C5"/>
    <w:rsid w:val="008C6A02"/>
    <w:rsid w:val="008C6C22"/>
    <w:rsid w:val="008D012F"/>
    <w:rsid w:val="008D09DD"/>
    <w:rsid w:val="008D0AD5"/>
    <w:rsid w:val="008D11FE"/>
    <w:rsid w:val="008D1531"/>
    <w:rsid w:val="008D1784"/>
    <w:rsid w:val="008D1933"/>
    <w:rsid w:val="008D22AC"/>
    <w:rsid w:val="008D269A"/>
    <w:rsid w:val="008D2C5A"/>
    <w:rsid w:val="008D3168"/>
    <w:rsid w:val="008D32D7"/>
    <w:rsid w:val="008D32E3"/>
    <w:rsid w:val="008D475B"/>
    <w:rsid w:val="008D480A"/>
    <w:rsid w:val="008D4912"/>
    <w:rsid w:val="008D4B00"/>
    <w:rsid w:val="008D4B88"/>
    <w:rsid w:val="008D4DE6"/>
    <w:rsid w:val="008D5BAD"/>
    <w:rsid w:val="008D5C21"/>
    <w:rsid w:val="008D61A1"/>
    <w:rsid w:val="008D69F5"/>
    <w:rsid w:val="008D78FF"/>
    <w:rsid w:val="008D7BF5"/>
    <w:rsid w:val="008D7C17"/>
    <w:rsid w:val="008E12B2"/>
    <w:rsid w:val="008E1D7F"/>
    <w:rsid w:val="008E1E0C"/>
    <w:rsid w:val="008E2777"/>
    <w:rsid w:val="008E35FE"/>
    <w:rsid w:val="008E45BE"/>
    <w:rsid w:val="008E4B1A"/>
    <w:rsid w:val="008E4DBA"/>
    <w:rsid w:val="008E4EFA"/>
    <w:rsid w:val="008E522D"/>
    <w:rsid w:val="008E54CE"/>
    <w:rsid w:val="008E606F"/>
    <w:rsid w:val="008E6FF2"/>
    <w:rsid w:val="008E7763"/>
    <w:rsid w:val="008F02CA"/>
    <w:rsid w:val="008F07FC"/>
    <w:rsid w:val="008F0C3A"/>
    <w:rsid w:val="008F0D42"/>
    <w:rsid w:val="008F1BCE"/>
    <w:rsid w:val="008F21C9"/>
    <w:rsid w:val="008F242B"/>
    <w:rsid w:val="008F276B"/>
    <w:rsid w:val="008F2866"/>
    <w:rsid w:val="008F2D4D"/>
    <w:rsid w:val="008F3164"/>
    <w:rsid w:val="008F33C7"/>
    <w:rsid w:val="008F3519"/>
    <w:rsid w:val="008F39BE"/>
    <w:rsid w:val="008F3BAC"/>
    <w:rsid w:val="008F4478"/>
    <w:rsid w:val="008F4A7E"/>
    <w:rsid w:val="008F5299"/>
    <w:rsid w:val="008F56A0"/>
    <w:rsid w:val="008F5DB8"/>
    <w:rsid w:val="008F5E79"/>
    <w:rsid w:val="008F5FF7"/>
    <w:rsid w:val="008F626C"/>
    <w:rsid w:val="008F6564"/>
    <w:rsid w:val="008F6B38"/>
    <w:rsid w:val="008F6E78"/>
    <w:rsid w:val="008F6F14"/>
    <w:rsid w:val="008F703E"/>
    <w:rsid w:val="008F79B3"/>
    <w:rsid w:val="008F7CE7"/>
    <w:rsid w:val="008F7E54"/>
    <w:rsid w:val="00900174"/>
    <w:rsid w:val="009003BE"/>
    <w:rsid w:val="009004D6"/>
    <w:rsid w:val="00900CE6"/>
    <w:rsid w:val="00901981"/>
    <w:rsid w:val="00901C26"/>
    <w:rsid w:val="0090239A"/>
    <w:rsid w:val="009023B3"/>
    <w:rsid w:val="00902D73"/>
    <w:rsid w:val="00902E86"/>
    <w:rsid w:val="009034E3"/>
    <w:rsid w:val="00903694"/>
    <w:rsid w:val="00903C27"/>
    <w:rsid w:val="00903F33"/>
    <w:rsid w:val="00903FCE"/>
    <w:rsid w:val="009044AB"/>
    <w:rsid w:val="0090456B"/>
    <w:rsid w:val="00904E8B"/>
    <w:rsid w:val="00906746"/>
    <w:rsid w:val="00906A55"/>
    <w:rsid w:val="00906C2F"/>
    <w:rsid w:val="0090734D"/>
    <w:rsid w:val="00907899"/>
    <w:rsid w:val="00910899"/>
    <w:rsid w:val="00910A4D"/>
    <w:rsid w:val="00911436"/>
    <w:rsid w:val="00911656"/>
    <w:rsid w:val="0091238F"/>
    <w:rsid w:val="009124ED"/>
    <w:rsid w:val="00912868"/>
    <w:rsid w:val="00912A4F"/>
    <w:rsid w:val="00912ACE"/>
    <w:rsid w:val="00913137"/>
    <w:rsid w:val="009131F2"/>
    <w:rsid w:val="009136A2"/>
    <w:rsid w:val="0091409B"/>
    <w:rsid w:val="00914338"/>
    <w:rsid w:val="00914445"/>
    <w:rsid w:val="00914DA7"/>
    <w:rsid w:val="00914EB0"/>
    <w:rsid w:val="00914F3E"/>
    <w:rsid w:val="00915928"/>
    <w:rsid w:val="00915F63"/>
    <w:rsid w:val="00915F95"/>
    <w:rsid w:val="00916615"/>
    <w:rsid w:val="00916705"/>
    <w:rsid w:val="00916AFA"/>
    <w:rsid w:val="009170D4"/>
    <w:rsid w:val="009177E9"/>
    <w:rsid w:val="00920767"/>
    <w:rsid w:val="009209FB"/>
    <w:rsid w:val="0092188B"/>
    <w:rsid w:val="009221AD"/>
    <w:rsid w:val="00922A85"/>
    <w:rsid w:val="00922B06"/>
    <w:rsid w:val="00922D3E"/>
    <w:rsid w:val="009230CE"/>
    <w:rsid w:val="009231AD"/>
    <w:rsid w:val="00923366"/>
    <w:rsid w:val="009235DC"/>
    <w:rsid w:val="009237ED"/>
    <w:rsid w:val="009238C2"/>
    <w:rsid w:val="00923CAB"/>
    <w:rsid w:val="009240B7"/>
    <w:rsid w:val="009243FB"/>
    <w:rsid w:val="009245E3"/>
    <w:rsid w:val="009246F5"/>
    <w:rsid w:val="009252E3"/>
    <w:rsid w:val="00925515"/>
    <w:rsid w:val="00925F8E"/>
    <w:rsid w:val="0092600B"/>
    <w:rsid w:val="009265C7"/>
    <w:rsid w:val="00926CF8"/>
    <w:rsid w:val="00926D59"/>
    <w:rsid w:val="0092794A"/>
    <w:rsid w:val="00927A31"/>
    <w:rsid w:val="009300CC"/>
    <w:rsid w:val="009304CD"/>
    <w:rsid w:val="0093070D"/>
    <w:rsid w:val="009309ED"/>
    <w:rsid w:val="00930D09"/>
    <w:rsid w:val="00930FA7"/>
    <w:rsid w:val="00931079"/>
    <w:rsid w:val="009310E2"/>
    <w:rsid w:val="009312B2"/>
    <w:rsid w:val="00931AFB"/>
    <w:rsid w:val="00931D90"/>
    <w:rsid w:val="00932589"/>
    <w:rsid w:val="009328C9"/>
    <w:rsid w:val="00932B41"/>
    <w:rsid w:val="00932D73"/>
    <w:rsid w:val="00932DFA"/>
    <w:rsid w:val="009331CF"/>
    <w:rsid w:val="009334AC"/>
    <w:rsid w:val="0093371F"/>
    <w:rsid w:val="00934060"/>
    <w:rsid w:val="00934511"/>
    <w:rsid w:val="00934564"/>
    <w:rsid w:val="00935E03"/>
    <w:rsid w:val="009361A8"/>
    <w:rsid w:val="0093636D"/>
    <w:rsid w:val="00936C08"/>
    <w:rsid w:val="009374D4"/>
    <w:rsid w:val="00937CF5"/>
    <w:rsid w:val="00937E53"/>
    <w:rsid w:val="00940149"/>
    <w:rsid w:val="00940425"/>
    <w:rsid w:val="0094146D"/>
    <w:rsid w:val="009418AD"/>
    <w:rsid w:val="00941A22"/>
    <w:rsid w:val="00941E32"/>
    <w:rsid w:val="00941ED9"/>
    <w:rsid w:val="00942010"/>
    <w:rsid w:val="009424BE"/>
    <w:rsid w:val="00942700"/>
    <w:rsid w:val="009428B5"/>
    <w:rsid w:val="00942922"/>
    <w:rsid w:val="0094320A"/>
    <w:rsid w:val="00943B25"/>
    <w:rsid w:val="00943CED"/>
    <w:rsid w:val="00943EDE"/>
    <w:rsid w:val="00944196"/>
    <w:rsid w:val="009458E0"/>
    <w:rsid w:val="00945A89"/>
    <w:rsid w:val="00945B2A"/>
    <w:rsid w:val="00946132"/>
    <w:rsid w:val="009471AD"/>
    <w:rsid w:val="00950251"/>
    <w:rsid w:val="00950C3F"/>
    <w:rsid w:val="009514BA"/>
    <w:rsid w:val="00951564"/>
    <w:rsid w:val="0095170D"/>
    <w:rsid w:val="00952632"/>
    <w:rsid w:val="009527B4"/>
    <w:rsid w:val="0095307F"/>
    <w:rsid w:val="00953700"/>
    <w:rsid w:val="009546EE"/>
    <w:rsid w:val="00954779"/>
    <w:rsid w:val="009548FF"/>
    <w:rsid w:val="00954D17"/>
    <w:rsid w:val="00954E3D"/>
    <w:rsid w:val="00955526"/>
    <w:rsid w:val="00956392"/>
    <w:rsid w:val="009564C3"/>
    <w:rsid w:val="00957FD5"/>
    <w:rsid w:val="009602B3"/>
    <w:rsid w:val="00960512"/>
    <w:rsid w:val="00960913"/>
    <w:rsid w:val="00961229"/>
    <w:rsid w:val="00961BE3"/>
    <w:rsid w:val="00962276"/>
    <w:rsid w:val="009624F6"/>
    <w:rsid w:val="00962538"/>
    <w:rsid w:val="00963511"/>
    <w:rsid w:val="00965089"/>
    <w:rsid w:val="00965269"/>
    <w:rsid w:val="009661F2"/>
    <w:rsid w:val="009665A8"/>
    <w:rsid w:val="00966C09"/>
    <w:rsid w:val="00966F78"/>
    <w:rsid w:val="00967571"/>
    <w:rsid w:val="0096797A"/>
    <w:rsid w:val="00967CE3"/>
    <w:rsid w:val="00970223"/>
    <w:rsid w:val="009703E3"/>
    <w:rsid w:val="00970D2E"/>
    <w:rsid w:val="00970E24"/>
    <w:rsid w:val="00971209"/>
    <w:rsid w:val="009712D1"/>
    <w:rsid w:val="00971512"/>
    <w:rsid w:val="009717E3"/>
    <w:rsid w:val="0097185D"/>
    <w:rsid w:val="009732E6"/>
    <w:rsid w:val="00973391"/>
    <w:rsid w:val="00973423"/>
    <w:rsid w:val="00973CAA"/>
    <w:rsid w:val="00973E9B"/>
    <w:rsid w:val="00974104"/>
    <w:rsid w:val="009750D1"/>
    <w:rsid w:val="00975114"/>
    <w:rsid w:val="00975A35"/>
    <w:rsid w:val="00975A73"/>
    <w:rsid w:val="00975B0B"/>
    <w:rsid w:val="00975D5D"/>
    <w:rsid w:val="00975EF7"/>
    <w:rsid w:val="00975F9C"/>
    <w:rsid w:val="0097600F"/>
    <w:rsid w:val="009761D9"/>
    <w:rsid w:val="009763C6"/>
    <w:rsid w:val="0097670E"/>
    <w:rsid w:val="00976A5B"/>
    <w:rsid w:val="00976C7A"/>
    <w:rsid w:val="00976CDA"/>
    <w:rsid w:val="009775C1"/>
    <w:rsid w:val="00977B05"/>
    <w:rsid w:val="00977C05"/>
    <w:rsid w:val="00977E1A"/>
    <w:rsid w:val="009802BA"/>
    <w:rsid w:val="009807BB"/>
    <w:rsid w:val="00980CAC"/>
    <w:rsid w:val="00980E55"/>
    <w:rsid w:val="00980F87"/>
    <w:rsid w:val="009810BB"/>
    <w:rsid w:val="00981427"/>
    <w:rsid w:val="00981467"/>
    <w:rsid w:val="00982188"/>
    <w:rsid w:val="00982203"/>
    <w:rsid w:val="00982994"/>
    <w:rsid w:val="00982ACF"/>
    <w:rsid w:val="0098356D"/>
    <w:rsid w:val="00983648"/>
    <w:rsid w:val="00983692"/>
    <w:rsid w:val="00984441"/>
    <w:rsid w:val="009844AC"/>
    <w:rsid w:val="009844CF"/>
    <w:rsid w:val="009845D9"/>
    <w:rsid w:val="0098486B"/>
    <w:rsid w:val="00984DD8"/>
    <w:rsid w:val="009850A1"/>
    <w:rsid w:val="00985273"/>
    <w:rsid w:val="00986FC3"/>
    <w:rsid w:val="0099085F"/>
    <w:rsid w:val="00990A2D"/>
    <w:rsid w:val="00990E9C"/>
    <w:rsid w:val="00991695"/>
    <w:rsid w:val="0099182A"/>
    <w:rsid w:val="0099215A"/>
    <w:rsid w:val="00992426"/>
    <w:rsid w:val="009925DB"/>
    <w:rsid w:val="00993114"/>
    <w:rsid w:val="00993B72"/>
    <w:rsid w:val="00993CC9"/>
    <w:rsid w:val="009940A4"/>
    <w:rsid w:val="00994533"/>
    <w:rsid w:val="00994773"/>
    <w:rsid w:val="00994866"/>
    <w:rsid w:val="00994E1D"/>
    <w:rsid w:val="009951EA"/>
    <w:rsid w:val="0099543E"/>
    <w:rsid w:val="00995AD7"/>
    <w:rsid w:val="00995BB2"/>
    <w:rsid w:val="00996431"/>
    <w:rsid w:val="00997AC5"/>
    <w:rsid w:val="009A03C5"/>
    <w:rsid w:val="009A0BFC"/>
    <w:rsid w:val="009A0D27"/>
    <w:rsid w:val="009A0F7D"/>
    <w:rsid w:val="009A10CC"/>
    <w:rsid w:val="009A1166"/>
    <w:rsid w:val="009A136A"/>
    <w:rsid w:val="009A143D"/>
    <w:rsid w:val="009A1740"/>
    <w:rsid w:val="009A178E"/>
    <w:rsid w:val="009A2132"/>
    <w:rsid w:val="009A349D"/>
    <w:rsid w:val="009A3CB9"/>
    <w:rsid w:val="009A3E7C"/>
    <w:rsid w:val="009A4305"/>
    <w:rsid w:val="009A580E"/>
    <w:rsid w:val="009A5979"/>
    <w:rsid w:val="009A688C"/>
    <w:rsid w:val="009A6A4D"/>
    <w:rsid w:val="009A6D5F"/>
    <w:rsid w:val="009A6F74"/>
    <w:rsid w:val="009A7683"/>
    <w:rsid w:val="009B007A"/>
    <w:rsid w:val="009B0768"/>
    <w:rsid w:val="009B08C4"/>
    <w:rsid w:val="009B115D"/>
    <w:rsid w:val="009B2138"/>
    <w:rsid w:val="009B33D7"/>
    <w:rsid w:val="009B3DA0"/>
    <w:rsid w:val="009B4729"/>
    <w:rsid w:val="009B4ADC"/>
    <w:rsid w:val="009B4F83"/>
    <w:rsid w:val="009B518F"/>
    <w:rsid w:val="009B5591"/>
    <w:rsid w:val="009B56F6"/>
    <w:rsid w:val="009B59B9"/>
    <w:rsid w:val="009B5AC4"/>
    <w:rsid w:val="009B5B26"/>
    <w:rsid w:val="009B611E"/>
    <w:rsid w:val="009B6634"/>
    <w:rsid w:val="009B7FA4"/>
    <w:rsid w:val="009C0500"/>
    <w:rsid w:val="009C0897"/>
    <w:rsid w:val="009C0A6D"/>
    <w:rsid w:val="009C0CC4"/>
    <w:rsid w:val="009C0F03"/>
    <w:rsid w:val="009C0FC2"/>
    <w:rsid w:val="009C20D1"/>
    <w:rsid w:val="009C260C"/>
    <w:rsid w:val="009C278B"/>
    <w:rsid w:val="009C293A"/>
    <w:rsid w:val="009C2B9B"/>
    <w:rsid w:val="009C442E"/>
    <w:rsid w:val="009C4CFB"/>
    <w:rsid w:val="009C4D08"/>
    <w:rsid w:val="009C4F22"/>
    <w:rsid w:val="009C54F5"/>
    <w:rsid w:val="009C6BFD"/>
    <w:rsid w:val="009C7F62"/>
    <w:rsid w:val="009D0799"/>
    <w:rsid w:val="009D0A54"/>
    <w:rsid w:val="009D15C4"/>
    <w:rsid w:val="009D166F"/>
    <w:rsid w:val="009D1D13"/>
    <w:rsid w:val="009D1FBC"/>
    <w:rsid w:val="009D2770"/>
    <w:rsid w:val="009D28C2"/>
    <w:rsid w:val="009D3237"/>
    <w:rsid w:val="009D360C"/>
    <w:rsid w:val="009D3628"/>
    <w:rsid w:val="009D3DC7"/>
    <w:rsid w:val="009D4C2A"/>
    <w:rsid w:val="009D4D71"/>
    <w:rsid w:val="009D5E2D"/>
    <w:rsid w:val="009D6019"/>
    <w:rsid w:val="009D6914"/>
    <w:rsid w:val="009D6F8D"/>
    <w:rsid w:val="009E0691"/>
    <w:rsid w:val="009E0FB4"/>
    <w:rsid w:val="009E13D8"/>
    <w:rsid w:val="009E1A3C"/>
    <w:rsid w:val="009E1C22"/>
    <w:rsid w:val="009E2033"/>
    <w:rsid w:val="009E2481"/>
    <w:rsid w:val="009E2636"/>
    <w:rsid w:val="009E2E19"/>
    <w:rsid w:val="009E37E4"/>
    <w:rsid w:val="009E3C7E"/>
    <w:rsid w:val="009E3DB6"/>
    <w:rsid w:val="009E3DC4"/>
    <w:rsid w:val="009E3EC3"/>
    <w:rsid w:val="009E3FAC"/>
    <w:rsid w:val="009E4389"/>
    <w:rsid w:val="009E43E8"/>
    <w:rsid w:val="009E4637"/>
    <w:rsid w:val="009E4C70"/>
    <w:rsid w:val="009E6E04"/>
    <w:rsid w:val="009E704A"/>
    <w:rsid w:val="009E72FA"/>
    <w:rsid w:val="009E7522"/>
    <w:rsid w:val="009E7696"/>
    <w:rsid w:val="009E77B6"/>
    <w:rsid w:val="009E7A04"/>
    <w:rsid w:val="009F00DE"/>
    <w:rsid w:val="009F02F8"/>
    <w:rsid w:val="009F034C"/>
    <w:rsid w:val="009F0381"/>
    <w:rsid w:val="009F193A"/>
    <w:rsid w:val="009F1B6A"/>
    <w:rsid w:val="009F2427"/>
    <w:rsid w:val="009F2893"/>
    <w:rsid w:val="009F2D99"/>
    <w:rsid w:val="009F3387"/>
    <w:rsid w:val="009F3631"/>
    <w:rsid w:val="009F363C"/>
    <w:rsid w:val="009F3679"/>
    <w:rsid w:val="009F3790"/>
    <w:rsid w:val="009F4729"/>
    <w:rsid w:val="009F476C"/>
    <w:rsid w:val="009F5779"/>
    <w:rsid w:val="009F586C"/>
    <w:rsid w:val="009F5D30"/>
    <w:rsid w:val="009F682E"/>
    <w:rsid w:val="009F69DF"/>
    <w:rsid w:val="009F6BAE"/>
    <w:rsid w:val="009F6CB7"/>
    <w:rsid w:val="009F732D"/>
    <w:rsid w:val="009F7A90"/>
    <w:rsid w:val="009F7B88"/>
    <w:rsid w:val="009F7CEB"/>
    <w:rsid w:val="009F7D8A"/>
    <w:rsid w:val="00A006EE"/>
    <w:rsid w:val="00A01C48"/>
    <w:rsid w:val="00A0273E"/>
    <w:rsid w:val="00A02878"/>
    <w:rsid w:val="00A02C79"/>
    <w:rsid w:val="00A02E25"/>
    <w:rsid w:val="00A03256"/>
    <w:rsid w:val="00A03258"/>
    <w:rsid w:val="00A03A7A"/>
    <w:rsid w:val="00A03D63"/>
    <w:rsid w:val="00A040FD"/>
    <w:rsid w:val="00A0426A"/>
    <w:rsid w:val="00A04C0D"/>
    <w:rsid w:val="00A06062"/>
    <w:rsid w:val="00A06683"/>
    <w:rsid w:val="00A068D5"/>
    <w:rsid w:val="00A06C71"/>
    <w:rsid w:val="00A06F2C"/>
    <w:rsid w:val="00A07327"/>
    <w:rsid w:val="00A0735F"/>
    <w:rsid w:val="00A07D60"/>
    <w:rsid w:val="00A10C5A"/>
    <w:rsid w:val="00A10FBF"/>
    <w:rsid w:val="00A116BB"/>
    <w:rsid w:val="00A1195E"/>
    <w:rsid w:val="00A11ADE"/>
    <w:rsid w:val="00A11B04"/>
    <w:rsid w:val="00A11E76"/>
    <w:rsid w:val="00A12799"/>
    <w:rsid w:val="00A12A44"/>
    <w:rsid w:val="00A12BB4"/>
    <w:rsid w:val="00A12E67"/>
    <w:rsid w:val="00A13A08"/>
    <w:rsid w:val="00A13A6D"/>
    <w:rsid w:val="00A13EF8"/>
    <w:rsid w:val="00A16638"/>
    <w:rsid w:val="00A16B7B"/>
    <w:rsid w:val="00A16D8C"/>
    <w:rsid w:val="00A17490"/>
    <w:rsid w:val="00A179C8"/>
    <w:rsid w:val="00A17AB3"/>
    <w:rsid w:val="00A17EB5"/>
    <w:rsid w:val="00A200D6"/>
    <w:rsid w:val="00A20A3D"/>
    <w:rsid w:val="00A20B1A"/>
    <w:rsid w:val="00A20CEE"/>
    <w:rsid w:val="00A21247"/>
    <w:rsid w:val="00A216F9"/>
    <w:rsid w:val="00A21AEC"/>
    <w:rsid w:val="00A22558"/>
    <w:rsid w:val="00A22A39"/>
    <w:rsid w:val="00A22C5C"/>
    <w:rsid w:val="00A22EC5"/>
    <w:rsid w:val="00A22EEA"/>
    <w:rsid w:val="00A2315A"/>
    <w:rsid w:val="00A23567"/>
    <w:rsid w:val="00A23F1D"/>
    <w:rsid w:val="00A24C7F"/>
    <w:rsid w:val="00A25372"/>
    <w:rsid w:val="00A25818"/>
    <w:rsid w:val="00A25A26"/>
    <w:rsid w:val="00A25E8D"/>
    <w:rsid w:val="00A25EAC"/>
    <w:rsid w:val="00A264FB"/>
    <w:rsid w:val="00A266FC"/>
    <w:rsid w:val="00A2672F"/>
    <w:rsid w:val="00A26E4A"/>
    <w:rsid w:val="00A279F9"/>
    <w:rsid w:val="00A27A9B"/>
    <w:rsid w:val="00A308C0"/>
    <w:rsid w:val="00A30AF3"/>
    <w:rsid w:val="00A30C72"/>
    <w:rsid w:val="00A312FE"/>
    <w:rsid w:val="00A32A75"/>
    <w:rsid w:val="00A32D0D"/>
    <w:rsid w:val="00A338DB"/>
    <w:rsid w:val="00A33EE4"/>
    <w:rsid w:val="00A33F9B"/>
    <w:rsid w:val="00A34222"/>
    <w:rsid w:val="00A3439F"/>
    <w:rsid w:val="00A34436"/>
    <w:rsid w:val="00A35835"/>
    <w:rsid w:val="00A3620A"/>
    <w:rsid w:val="00A36C8C"/>
    <w:rsid w:val="00A3702E"/>
    <w:rsid w:val="00A370F3"/>
    <w:rsid w:val="00A40599"/>
    <w:rsid w:val="00A41E5D"/>
    <w:rsid w:val="00A41F60"/>
    <w:rsid w:val="00A42B2D"/>
    <w:rsid w:val="00A42D1A"/>
    <w:rsid w:val="00A434E0"/>
    <w:rsid w:val="00A4353E"/>
    <w:rsid w:val="00A43FAC"/>
    <w:rsid w:val="00A44019"/>
    <w:rsid w:val="00A449DF"/>
    <w:rsid w:val="00A44A61"/>
    <w:rsid w:val="00A44B50"/>
    <w:rsid w:val="00A44E4B"/>
    <w:rsid w:val="00A45200"/>
    <w:rsid w:val="00A45378"/>
    <w:rsid w:val="00A459F9"/>
    <w:rsid w:val="00A45B01"/>
    <w:rsid w:val="00A4693D"/>
    <w:rsid w:val="00A46E38"/>
    <w:rsid w:val="00A477E3"/>
    <w:rsid w:val="00A5043A"/>
    <w:rsid w:val="00A51A25"/>
    <w:rsid w:val="00A51F31"/>
    <w:rsid w:val="00A52507"/>
    <w:rsid w:val="00A52A01"/>
    <w:rsid w:val="00A53020"/>
    <w:rsid w:val="00A530F2"/>
    <w:rsid w:val="00A535A6"/>
    <w:rsid w:val="00A535FB"/>
    <w:rsid w:val="00A53FA8"/>
    <w:rsid w:val="00A5453C"/>
    <w:rsid w:val="00A54CAB"/>
    <w:rsid w:val="00A550AE"/>
    <w:rsid w:val="00A55585"/>
    <w:rsid w:val="00A55660"/>
    <w:rsid w:val="00A55DC5"/>
    <w:rsid w:val="00A576B4"/>
    <w:rsid w:val="00A57905"/>
    <w:rsid w:val="00A60999"/>
    <w:rsid w:val="00A612E7"/>
    <w:rsid w:val="00A61A40"/>
    <w:rsid w:val="00A61B06"/>
    <w:rsid w:val="00A61C56"/>
    <w:rsid w:val="00A61EAF"/>
    <w:rsid w:val="00A62875"/>
    <w:rsid w:val="00A62942"/>
    <w:rsid w:val="00A62E60"/>
    <w:rsid w:val="00A63630"/>
    <w:rsid w:val="00A6374D"/>
    <w:rsid w:val="00A63AC4"/>
    <w:rsid w:val="00A63BED"/>
    <w:rsid w:val="00A63E57"/>
    <w:rsid w:val="00A645B5"/>
    <w:rsid w:val="00A6517D"/>
    <w:rsid w:val="00A65211"/>
    <w:rsid w:val="00A6525E"/>
    <w:rsid w:val="00A65C1F"/>
    <w:rsid w:val="00A65C5B"/>
    <w:rsid w:val="00A6618B"/>
    <w:rsid w:val="00A668E7"/>
    <w:rsid w:val="00A672B4"/>
    <w:rsid w:val="00A677E9"/>
    <w:rsid w:val="00A67C0E"/>
    <w:rsid w:val="00A67F81"/>
    <w:rsid w:val="00A70057"/>
    <w:rsid w:val="00A70471"/>
    <w:rsid w:val="00A70A61"/>
    <w:rsid w:val="00A70C36"/>
    <w:rsid w:val="00A71E4E"/>
    <w:rsid w:val="00A727BB"/>
    <w:rsid w:val="00A7288D"/>
    <w:rsid w:val="00A7343D"/>
    <w:rsid w:val="00A7354B"/>
    <w:rsid w:val="00A73A9C"/>
    <w:rsid w:val="00A73DE8"/>
    <w:rsid w:val="00A73FC6"/>
    <w:rsid w:val="00A7424C"/>
    <w:rsid w:val="00A7468E"/>
    <w:rsid w:val="00A75112"/>
    <w:rsid w:val="00A75752"/>
    <w:rsid w:val="00A75CA9"/>
    <w:rsid w:val="00A75DA1"/>
    <w:rsid w:val="00A75DD6"/>
    <w:rsid w:val="00A76569"/>
    <w:rsid w:val="00A76EA4"/>
    <w:rsid w:val="00A77B4F"/>
    <w:rsid w:val="00A77BDE"/>
    <w:rsid w:val="00A77CBB"/>
    <w:rsid w:val="00A77F64"/>
    <w:rsid w:val="00A81F82"/>
    <w:rsid w:val="00A82437"/>
    <w:rsid w:val="00A841B0"/>
    <w:rsid w:val="00A84706"/>
    <w:rsid w:val="00A849AE"/>
    <w:rsid w:val="00A84EAA"/>
    <w:rsid w:val="00A85138"/>
    <w:rsid w:val="00A85A2B"/>
    <w:rsid w:val="00A86148"/>
    <w:rsid w:val="00A86357"/>
    <w:rsid w:val="00A863A3"/>
    <w:rsid w:val="00A863F7"/>
    <w:rsid w:val="00A86C32"/>
    <w:rsid w:val="00A87B99"/>
    <w:rsid w:val="00A9154C"/>
    <w:rsid w:val="00A918BB"/>
    <w:rsid w:val="00A91EF2"/>
    <w:rsid w:val="00A92EBE"/>
    <w:rsid w:val="00A92F42"/>
    <w:rsid w:val="00A93543"/>
    <w:rsid w:val="00A938A9"/>
    <w:rsid w:val="00A93D96"/>
    <w:rsid w:val="00A93F16"/>
    <w:rsid w:val="00A93F6B"/>
    <w:rsid w:val="00A942F9"/>
    <w:rsid w:val="00A94A13"/>
    <w:rsid w:val="00A94EC9"/>
    <w:rsid w:val="00A94EFC"/>
    <w:rsid w:val="00A95CC8"/>
    <w:rsid w:val="00A95D71"/>
    <w:rsid w:val="00A963DD"/>
    <w:rsid w:val="00A9644D"/>
    <w:rsid w:val="00A96BDA"/>
    <w:rsid w:val="00A97584"/>
    <w:rsid w:val="00AA05E1"/>
    <w:rsid w:val="00AA0705"/>
    <w:rsid w:val="00AA07C1"/>
    <w:rsid w:val="00AA0D7E"/>
    <w:rsid w:val="00AA1044"/>
    <w:rsid w:val="00AA15DF"/>
    <w:rsid w:val="00AA1681"/>
    <w:rsid w:val="00AA1CEE"/>
    <w:rsid w:val="00AA1E9F"/>
    <w:rsid w:val="00AA1FE1"/>
    <w:rsid w:val="00AA2AEE"/>
    <w:rsid w:val="00AA2BF9"/>
    <w:rsid w:val="00AA2E6C"/>
    <w:rsid w:val="00AA2FA1"/>
    <w:rsid w:val="00AA30F2"/>
    <w:rsid w:val="00AA3496"/>
    <w:rsid w:val="00AA349F"/>
    <w:rsid w:val="00AA4967"/>
    <w:rsid w:val="00AA4F28"/>
    <w:rsid w:val="00AA4FC2"/>
    <w:rsid w:val="00AA51C1"/>
    <w:rsid w:val="00AA51C2"/>
    <w:rsid w:val="00AA529A"/>
    <w:rsid w:val="00AA60E5"/>
    <w:rsid w:val="00AA6156"/>
    <w:rsid w:val="00AA738D"/>
    <w:rsid w:val="00AA73AC"/>
    <w:rsid w:val="00AA797D"/>
    <w:rsid w:val="00AA7B77"/>
    <w:rsid w:val="00AB01E1"/>
    <w:rsid w:val="00AB14EE"/>
    <w:rsid w:val="00AB1837"/>
    <w:rsid w:val="00AB187A"/>
    <w:rsid w:val="00AB2AB7"/>
    <w:rsid w:val="00AB2C39"/>
    <w:rsid w:val="00AB33F7"/>
    <w:rsid w:val="00AB344E"/>
    <w:rsid w:val="00AB36DE"/>
    <w:rsid w:val="00AB3CE7"/>
    <w:rsid w:val="00AB46D5"/>
    <w:rsid w:val="00AB472E"/>
    <w:rsid w:val="00AB47DE"/>
    <w:rsid w:val="00AB514A"/>
    <w:rsid w:val="00AB5E49"/>
    <w:rsid w:val="00AB6A84"/>
    <w:rsid w:val="00AB6EEF"/>
    <w:rsid w:val="00AB71BF"/>
    <w:rsid w:val="00AB731C"/>
    <w:rsid w:val="00AB7F16"/>
    <w:rsid w:val="00AC0D83"/>
    <w:rsid w:val="00AC108D"/>
    <w:rsid w:val="00AC1421"/>
    <w:rsid w:val="00AC1E12"/>
    <w:rsid w:val="00AC1FA4"/>
    <w:rsid w:val="00AC28F7"/>
    <w:rsid w:val="00AC2D2E"/>
    <w:rsid w:val="00AC2FFC"/>
    <w:rsid w:val="00AC3DBC"/>
    <w:rsid w:val="00AC4287"/>
    <w:rsid w:val="00AC50E3"/>
    <w:rsid w:val="00AC512D"/>
    <w:rsid w:val="00AC514E"/>
    <w:rsid w:val="00AC5434"/>
    <w:rsid w:val="00AC561C"/>
    <w:rsid w:val="00AC58D3"/>
    <w:rsid w:val="00AC59CF"/>
    <w:rsid w:val="00AC5DB0"/>
    <w:rsid w:val="00AC5DD8"/>
    <w:rsid w:val="00AC6941"/>
    <w:rsid w:val="00AC6E3B"/>
    <w:rsid w:val="00AD01D0"/>
    <w:rsid w:val="00AD0784"/>
    <w:rsid w:val="00AD0B09"/>
    <w:rsid w:val="00AD0BCA"/>
    <w:rsid w:val="00AD1297"/>
    <w:rsid w:val="00AD19F2"/>
    <w:rsid w:val="00AD1A64"/>
    <w:rsid w:val="00AD21F0"/>
    <w:rsid w:val="00AD2A79"/>
    <w:rsid w:val="00AD2C65"/>
    <w:rsid w:val="00AD3058"/>
    <w:rsid w:val="00AD3546"/>
    <w:rsid w:val="00AD35BC"/>
    <w:rsid w:val="00AD39CA"/>
    <w:rsid w:val="00AD4467"/>
    <w:rsid w:val="00AD4613"/>
    <w:rsid w:val="00AD4B35"/>
    <w:rsid w:val="00AD518F"/>
    <w:rsid w:val="00AD51C9"/>
    <w:rsid w:val="00AD542F"/>
    <w:rsid w:val="00AD56AC"/>
    <w:rsid w:val="00AD5B88"/>
    <w:rsid w:val="00AD5D28"/>
    <w:rsid w:val="00AD5E83"/>
    <w:rsid w:val="00AD63F2"/>
    <w:rsid w:val="00AD64CD"/>
    <w:rsid w:val="00AD6CDA"/>
    <w:rsid w:val="00AD6D57"/>
    <w:rsid w:val="00AD6EEA"/>
    <w:rsid w:val="00AD7421"/>
    <w:rsid w:val="00AD7593"/>
    <w:rsid w:val="00AD78E1"/>
    <w:rsid w:val="00AD7FFD"/>
    <w:rsid w:val="00AE0AD1"/>
    <w:rsid w:val="00AE123F"/>
    <w:rsid w:val="00AE1727"/>
    <w:rsid w:val="00AE1E6A"/>
    <w:rsid w:val="00AE2A68"/>
    <w:rsid w:val="00AE2B5B"/>
    <w:rsid w:val="00AE36AC"/>
    <w:rsid w:val="00AE3A5A"/>
    <w:rsid w:val="00AE3BFE"/>
    <w:rsid w:val="00AE46FF"/>
    <w:rsid w:val="00AE486B"/>
    <w:rsid w:val="00AE4B0F"/>
    <w:rsid w:val="00AE56AB"/>
    <w:rsid w:val="00AE5D5F"/>
    <w:rsid w:val="00AE772D"/>
    <w:rsid w:val="00AE7E14"/>
    <w:rsid w:val="00AE7E3F"/>
    <w:rsid w:val="00AE7E99"/>
    <w:rsid w:val="00AE7FF4"/>
    <w:rsid w:val="00AF04E2"/>
    <w:rsid w:val="00AF0DF9"/>
    <w:rsid w:val="00AF18FF"/>
    <w:rsid w:val="00AF1A88"/>
    <w:rsid w:val="00AF1F79"/>
    <w:rsid w:val="00AF1FDB"/>
    <w:rsid w:val="00AF22A8"/>
    <w:rsid w:val="00AF24DD"/>
    <w:rsid w:val="00AF34F0"/>
    <w:rsid w:val="00AF4B34"/>
    <w:rsid w:val="00AF4BE4"/>
    <w:rsid w:val="00AF4C16"/>
    <w:rsid w:val="00AF4CF0"/>
    <w:rsid w:val="00AF4D68"/>
    <w:rsid w:val="00AF4DD9"/>
    <w:rsid w:val="00AF62DC"/>
    <w:rsid w:val="00AF637F"/>
    <w:rsid w:val="00AF7178"/>
    <w:rsid w:val="00AF7B9A"/>
    <w:rsid w:val="00B00A52"/>
    <w:rsid w:val="00B00DC9"/>
    <w:rsid w:val="00B01002"/>
    <w:rsid w:val="00B01175"/>
    <w:rsid w:val="00B014A4"/>
    <w:rsid w:val="00B017CB"/>
    <w:rsid w:val="00B01BE1"/>
    <w:rsid w:val="00B0230D"/>
    <w:rsid w:val="00B02BFE"/>
    <w:rsid w:val="00B03622"/>
    <w:rsid w:val="00B03AD8"/>
    <w:rsid w:val="00B03BBF"/>
    <w:rsid w:val="00B04A80"/>
    <w:rsid w:val="00B0529B"/>
    <w:rsid w:val="00B05A6C"/>
    <w:rsid w:val="00B05CD6"/>
    <w:rsid w:val="00B05CED"/>
    <w:rsid w:val="00B05E21"/>
    <w:rsid w:val="00B05E75"/>
    <w:rsid w:val="00B05FD4"/>
    <w:rsid w:val="00B06284"/>
    <w:rsid w:val="00B0648D"/>
    <w:rsid w:val="00B069BA"/>
    <w:rsid w:val="00B06BB7"/>
    <w:rsid w:val="00B07553"/>
    <w:rsid w:val="00B0763E"/>
    <w:rsid w:val="00B07B99"/>
    <w:rsid w:val="00B10316"/>
    <w:rsid w:val="00B11B7F"/>
    <w:rsid w:val="00B11C66"/>
    <w:rsid w:val="00B11EA0"/>
    <w:rsid w:val="00B12BB3"/>
    <w:rsid w:val="00B13271"/>
    <w:rsid w:val="00B13338"/>
    <w:rsid w:val="00B13A01"/>
    <w:rsid w:val="00B13C09"/>
    <w:rsid w:val="00B145A3"/>
    <w:rsid w:val="00B1465E"/>
    <w:rsid w:val="00B14F1B"/>
    <w:rsid w:val="00B14FC2"/>
    <w:rsid w:val="00B1542E"/>
    <w:rsid w:val="00B158D8"/>
    <w:rsid w:val="00B1667D"/>
    <w:rsid w:val="00B167C2"/>
    <w:rsid w:val="00B1684A"/>
    <w:rsid w:val="00B16902"/>
    <w:rsid w:val="00B16AC9"/>
    <w:rsid w:val="00B1707A"/>
    <w:rsid w:val="00B170C3"/>
    <w:rsid w:val="00B17D2F"/>
    <w:rsid w:val="00B17FDB"/>
    <w:rsid w:val="00B20BAE"/>
    <w:rsid w:val="00B211F8"/>
    <w:rsid w:val="00B2138A"/>
    <w:rsid w:val="00B217CC"/>
    <w:rsid w:val="00B21BB1"/>
    <w:rsid w:val="00B225D0"/>
    <w:rsid w:val="00B22634"/>
    <w:rsid w:val="00B22BB3"/>
    <w:rsid w:val="00B235C9"/>
    <w:rsid w:val="00B23AF6"/>
    <w:rsid w:val="00B24151"/>
    <w:rsid w:val="00B259DF"/>
    <w:rsid w:val="00B25D68"/>
    <w:rsid w:val="00B2777B"/>
    <w:rsid w:val="00B30024"/>
    <w:rsid w:val="00B30120"/>
    <w:rsid w:val="00B30D73"/>
    <w:rsid w:val="00B31CED"/>
    <w:rsid w:val="00B32B90"/>
    <w:rsid w:val="00B33914"/>
    <w:rsid w:val="00B34485"/>
    <w:rsid w:val="00B364E2"/>
    <w:rsid w:val="00B367E2"/>
    <w:rsid w:val="00B36AAA"/>
    <w:rsid w:val="00B36FC2"/>
    <w:rsid w:val="00B40419"/>
    <w:rsid w:val="00B41AC9"/>
    <w:rsid w:val="00B41BAE"/>
    <w:rsid w:val="00B4220C"/>
    <w:rsid w:val="00B42A71"/>
    <w:rsid w:val="00B4305B"/>
    <w:rsid w:val="00B4335E"/>
    <w:rsid w:val="00B436F7"/>
    <w:rsid w:val="00B446C2"/>
    <w:rsid w:val="00B453CB"/>
    <w:rsid w:val="00B454EA"/>
    <w:rsid w:val="00B4656A"/>
    <w:rsid w:val="00B470ED"/>
    <w:rsid w:val="00B51022"/>
    <w:rsid w:val="00B511D3"/>
    <w:rsid w:val="00B523EC"/>
    <w:rsid w:val="00B52808"/>
    <w:rsid w:val="00B537F5"/>
    <w:rsid w:val="00B542BC"/>
    <w:rsid w:val="00B54552"/>
    <w:rsid w:val="00B554F5"/>
    <w:rsid w:val="00B55CAC"/>
    <w:rsid w:val="00B56195"/>
    <w:rsid w:val="00B5666A"/>
    <w:rsid w:val="00B56B3D"/>
    <w:rsid w:val="00B56D6A"/>
    <w:rsid w:val="00B575B8"/>
    <w:rsid w:val="00B576C0"/>
    <w:rsid w:val="00B578BC"/>
    <w:rsid w:val="00B60815"/>
    <w:rsid w:val="00B6100D"/>
    <w:rsid w:val="00B6291B"/>
    <w:rsid w:val="00B62B18"/>
    <w:rsid w:val="00B6345A"/>
    <w:rsid w:val="00B63460"/>
    <w:rsid w:val="00B63B37"/>
    <w:rsid w:val="00B641D8"/>
    <w:rsid w:val="00B64496"/>
    <w:rsid w:val="00B647D6"/>
    <w:rsid w:val="00B64995"/>
    <w:rsid w:val="00B6504B"/>
    <w:rsid w:val="00B65B1D"/>
    <w:rsid w:val="00B65DC6"/>
    <w:rsid w:val="00B66A9A"/>
    <w:rsid w:val="00B66C04"/>
    <w:rsid w:val="00B66C37"/>
    <w:rsid w:val="00B67119"/>
    <w:rsid w:val="00B70522"/>
    <w:rsid w:val="00B70A3E"/>
    <w:rsid w:val="00B70F1B"/>
    <w:rsid w:val="00B71675"/>
    <w:rsid w:val="00B71AC2"/>
    <w:rsid w:val="00B71B0D"/>
    <w:rsid w:val="00B71B62"/>
    <w:rsid w:val="00B721CA"/>
    <w:rsid w:val="00B722EB"/>
    <w:rsid w:val="00B7286C"/>
    <w:rsid w:val="00B72941"/>
    <w:rsid w:val="00B729B6"/>
    <w:rsid w:val="00B73ADC"/>
    <w:rsid w:val="00B741B0"/>
    <w:rsid w:val="00B742A0"/>
    <w:rsid w:val="00B745F2"/>
    <w:rsid w:val="00B74BE3"/>
    <w:rsid w:val="00B74FAB"/>
    <w:rsid w:val="00B753D6"/>
    <w:rsid w:val="00B75630"/>
    <w:rsid w:val="00B75BC0"/>
    <w:rsid w:val="00B7636B"/>
    <w:rsid w:val="00B76492"/>
    <w:rsid w:val="00B767F1"/>
    <w:rsid w:val="00B769A2"/>
    <w:rsid w:val="00B77159"/>
    <w:rsid w:val="00B77205"/>
    <w:rsid w:val="00B7796D"/>
    <w:rsid w:val="00B80482"/>
    <w:rsid w:val="00B80AF5"/>
    <w:rsid w:val="00B80B83"/>
    <w:rsid w:val="00B80C00"/>
    <w:rsid w:val="00B817D8"/>
    <w:rsid w:val="00B82171"/>
    <w:rsid w:val="00B8254D"/>
    <w:rsid w:val="00B827DB"/>
    <w:rsid w:val="00B828F3"/>
    <w:rsid w:val="00B82FEB"/>
    <w:rsid w:val="00B83300"/>
    <w:rsid w:val="00B84C0B"/>
    <w:rsid w:val="00B84F29"/>
    <w:rsid w:val="00B8560C"/>
    <w:rsid w:val="00B85DD3"/>
    <w:rsid w:val="00B862AB"/>
    <w:rsid w:val="00B863A0"/>
    <w:rsid w:val="00B86608"/>
    <w:rsid w:val="00B86A38"/>
    <w:rsid w:val="00B87C61"/>
    <w:rsid w:val="00B87EAA"/>
    <w:rsid w:val="00B90E24"/>
    <w:rsid w:val="00B91214"/>
    <w:rsid w:val="00B919DF"/>
    <w:rsid w:val="00B919FB"/>
    <w:rsid w:val="00B92618"/>
    <w:rsid w:val="00B92F86"/>
    <w:rsid w:val="00B92FF6"/>
    <w:rsid w:val="00B932EE"/>
    <w:rsid w:val="00B9374F"/>
    <w:rsid w:val="00B93CCD"/>
    <w:rsid w:val="00B93F9C"/>
    <w:rsid w:val="00B96457"/>
    <w:rsid w:val="00BA010C"/>
    <w:rsid w:val="00BA01AB"/>
    <w:rsid w:val="00BA1178"/>
    <w:rsid w:val="00BA1541"/>
    <w:rsid w:val="00BA1BA5"/>
    <w:rsid w:val="00BA2340"/>
    <w:rsid w:val="00BA2FAC"/>
    <w:rsid w:val="00BA2FC7"/>
    <w:rsid w:val="00BA3306"/>
    <w:rsid w:val="00BA3A91"/>
    <w:rsid w:val="00BA3D70"/>
    <w:rsid w:val="00BA3F13"/>
    <w:rsid w:val="00BA4696"/>
    <w:rsid w:val="00BA52EC"/>
    <w:rsid w:val="00BA53D3"/>
    <w:rsid w:val="00BA5724"/>
    <w:rsid w:val="00BA5B57"/>
    <w:rsid w:val="00BA5F28"/>
    <w:rsid w:val="00BA73EE"/>
    <w:rsid w:val="00BB0E85"/>
    <w:rsid w:val="00BB15B2"/>
    <w:rsid w:val="00BB2329"/>
    <w:rsid w:val="00BB2D0F"/>
    <w:rsid w:val="00BB3110"/>
    <w:rsid w:val="00BB31BD"/>
    <w:rsid w:val="00BB335D"/>
    <w:rsid w:val="00BB4C2B"/>
    <w:rsid w:val="00BB4C8A"/>
    <w:rsid w:val="00BB4EA8"/>
    <w:rsid w:val="00BB510C"/>
    <w:rsid w:val="00BB54A6"/>
    <w:rsid w:val="00BB5B11"/>
    <w:rsid w:val="00BB5FF9"/>
    <w:rsid w:val="00BB6176"/>
    <w:rsid w:val="00BB6875"/>
    <w:rsid w:val="00BC0336"/>
    <w:rsid w:val="00BC0799"/>
    <w:rsid w:val="00BC07A4"/>
    <w:rsid w:val="00BC07EC"/>
    <w:rsid w:val="00BC0A51"/>
    <w:rsid w:val="00BC0D3B"/>
    <w:rsid w:val="00BC112F"/>
    <w:rsid w:val="00BC13BB"/>
    <w:rsid w:val="00BC16A7"/>
    <w:rsid w:val="00BC19B1"/>
    <w:rsid w:val="00BC1CAF"/>
    <w:rsid w:val="00BC1EB1"/>
    <w:rsid w:val="00BC1ECD"/>
    <w:rsid w:val="00BC3791"/>
    <w:rsid w:val="00BC3FF4"/>
    <w:rsid w:val="00BC49FC"/>
    <w:rsid w:val="00BC4DDF"/>
    <w:rsid w:val="00BC53DA"/>
    <w:rsid w:val="00BC5965"/>
    <w:rsid w:val="00BC5D54"/>
    <w:rsid w:val="00BC7C6F"/>
    <w:rsid w:val="00BD0099"/>
    <w:rsid w:val="00BD03EC"/>
    <w:rsid w:val="00BD0627"/>
    <w:rsid w:val="00BD0717"/>
    <w:rsid w:val="00BD0803"/>
    <w:rsid w:val="00BD1067"/>
    <w:rsid w:val="00BD1323"/>
    <w:rsid w:val="00BD14AA"/>
    <w:rsid w:val="00BD1540"/>
    <w:rsid w:val="00BD3710"/>
    <w:rsid w:val="00BD3D9E"/>
    <w:rsid w:val="00BD4A7E"/>
    <w:rsid w:val="00BD4D8C"/>
    <w:rsid w:val="00BD590A"/>
    <w:rsid w:val="00BD623B"/>
    <w:rsid w:val="00BD673D"/>
    <w:rsid w:val="00BD686D"/>
    <w:rsid w:val="00BD7774"/>
    <w:rsid w:val="00BD79AD"/>
    <w:rsid w:val="00BE07C5"/>
    <w:rsid w:val="00BE0B27"/>
    <w:rsid w:val="00BE0D6D"/>
    <w:rsid w:val="00BE1BA3"/>
    <w:rsid w:val="00BE1C9F"/>
    <w:rsid w:val="00BE1CAC"/>
    <w:rsid w:val="00BE20CC"/>
    <w:rsid w:val="00BE214B"/>
    <w:rsid w:val="00BE2645"/>
    <w:rsid w:val="00BE26EB"/>
    <w:rsid w:val="00BE37E9"/>
    <w:rsid w:val="00BE38BA"/>
    <w:rsid w:val="00BE3CAA"/>
    <w:rsid w:val="00BE3D49"/>
    <w:rsid w:val="00BE3E5F"/>
    <w:rsid w:val="00BE42F7"/>
    <w:rsid w:val="00BE4540"/>
    <w:rsid w:val="00BE522C"/>
    <w:rsid w:val="00BE583A"/>
    <w:rsid w:val="00BE592E"/>
    <w:rsid w:val="00BE60EB"/>
    <w:rsid w:val="00BE6E3D"/>
    <w:rsid w:val="00BE71A9"/>
    <w:rsid w:val="00BE7A0B"/>
    <w:rsid w:val="00BE7CBE"/>
    <w:rsid w:val="00BF0973"/>
    <w:rsid w:val="00BF0D9E"/>
    <w:rsid w:val="00BF1008"/>
    <w:rsid w:val="00BF10F5"/>
    <w:rsid w:val="00BF1255"/>
    <w:rsid w:val="00BF130D"/>
    <w:rsid w:val="00BF2334"/>
    <w:rsid w:val="00BF2D52"/>
    <w:rsid w:val="00BF2FF5"/>
    <w:rsid w:val="00BF3AC1"/>
    <w:rsid w:val="00BF44DD"/>
    <w:rsid w:val="00BF4BA0"/>
    <w:rsid w:val="00BF5BA9"/>
    <w:rsid w:val="00BF63BD"/>
    <w:rsid w:val="00BF7064"/>
    <w:rsid w:val="00BF711C"/>
    <w:rsid w:val="00BF7A17"/>
    <w:rsid w:val="00BF7E30"/>
    <w:rsid w:val="00C00001"/>
    <w:rsid w:val="00C01148"/>
    <w:rsid w:val="00C011D0"/>
    <w:rsid w:val="00C012AC"/>
    <w:rsid w:val="00C016C6"/>
    <w:rsid w:val="00C025B2"/>
    <w:rsid w:val="00C0291A"/>
    <w:rsid w:val="00C031FA"/>
    <w:rsid w:val="00C03706"/>
    <w:rsid w:val="00C0408D"/>
    <w:rsid w:val="00C040A8"/>
    <w:rsid w:val="00C04464"/>
    <w:rsid w:val="00C04549"/>
    <w:rsid w:val="00C04EB5"/>
    <w:rsid w:val="00C0517F"/>
    <w:rsid w:val="00C053BC"/>
    <w:rsid w:val="00C05475"/>
    <w:rsid w:val="00C05562"/>
    <w:rsid w:val="00C05BC4"/>
    <w:rsid w:val="00C05EB4"/>
    <w:rsid w:val="00C05FAA"/>
    <w:rsid w:val="00C0603B"/>
    <w:rsid w:val="00C06459"/>
    <w:rsid w:val="00C06F06"/>
    <w:rsid w:val="00C07417"/>
    <w:rsid w:val="00C0742E"/>
    <w:rsid w:val="00C07BBA"/>
    <w:rsid w:val="00C10144"/>
    <w:rsid w:val="00C10407"/>
    <w:rsid w:val="00C10B20"/>
    <w:rsid w:val="00C10B79"/>
    <w:rsid w:val="00C11425"/>
    <w:rsid w:val="00C11511"/>
    <w:rsid w:val="00C115F0"/>
    <w:rsid w:val="00C11A01"/>
    <w:rsid w:val="00C11C3E"/>
    <w:rsid w:val="00C12B87"/>
    <w:rsid w:val="00C145AA"/>
    <w:rsid w:val="00C1537B"/>
    <w:rsid w:val="00C1556F"/>
    <w:rsid w:val="00C156C4"/>
    <w:rsid w:val="00C15D38"/>
    <w:rsid w:val="00C15E20"/>
    <w:rsid w:val="00C15ECF"/>
    <w:rsid w:val="00C15EDC"/>
    <w:rsid w:val="00C164A4"/>
    <w:rsid w:val="00C1679E"/>
    <w:rsid w:val="00C16ACC"/>
    <w:rsid w:val="00C1705F"/>
    <w:rsid w:val="00C17105"/>
    <w:rsid w:val="00C1780B"/>
    <w:rsid w:val="00C179F2"/>
    <w:rsid w:val="00C206D8"/>
    <w:rsid w:val="00C20733"/>
    <w:rsid w:val="00C20AE1"/>
    <w:rsid w:val="00C21169"/>
    <w:rsid w:val="00C2162A"/>
    <w:rsid w:val="00C2171F"/>
    <w:rsid w:val="00C2183C"/>
    <w:rsid w:val="00C221BF"/>
    <w:rsid w:val="00C22770"/>
    <w:rsid w:val="00C2317D"/>
    <w:rsid w:val="00C239B5"/>
    <w:rsid w:val="00C23A3E"/>
    <w:rsid w:val="00C23F5D"/>
    <w:rsid w:val="00C23FEA"/>
    <w:rsid w:val="00C24CE2"/>
    <w:rsid w:val="00C257EE"/>
    <w:rsid w:val="00C2587F"/>
    <w:rsid w:val="00C25A37"/>
    <w:rsid w:val="00C25EB6"/>
    <w:rsid w:val="00C262DC"/>
    <w:rsid w:val="00C2655B"/>
    <w:rsid w:val="00C26781"/>
    <w:rsid w:val="00C268CF"/>
    <w:rsid w:val="00C269E5"/>
    <w:rsid w:val="00C27455"/>
    <w:rsid w:val="00C2787E"/>
    <w:rsid w:val="00C30D55"/>
    <w:rsid w:val="00C317F3"/>
    <w:rsid w:val="00C3211E"/>
    <w:rsid w:val="00C32157"/>
    <w:rsid w:val="00C326A9"/>
    <w:rsid w:val="00C32D63"/>
    <w:rsid w:val="00C33762"/>
    <w:rsid w:val="00C339CC"/>
    <w:rsid w:val="00C33C14"/>
    <w:rsid w:val="00C33DBC"/>
    <w:rsid w:val="00C33F30"/>
    <w:rsid w:val="00C341E1"/>
    <w:rsid w:val="00C3441A"/>
    <w:rsid w:val="00C34976"/>
    <w:rsid w:val="00C349C2"/>
    <w:rsid w:val="00C361F4"/>
    <w:rsid w:val="00C375DE"/>
    <w:rsid w:val="00C37D58"/>
    <w:rsid w:val="00C37FAA"/>
    <w:rsid w:val="00C4001B"/>
    <w:rsid w:val="00C400B9"/>
    <w:rsid w:val="00C40A42"/>
    <w:rsid w:val="00C40FFB"/>
    <w:rsid w:val="00C4179F"/>
    <w:rsid w:val="00C4183B"/>
    <w:rsid w:val="00C41E04"/>
    <w:rsid w:val="00C42422"/>
    <w:rsid w:val="00C436AC"/>
    <w:rsid w:val="00C436FE"/>
    <w:rsid w:val="00C44C37"/>
    <w:rsid w:val="00C450AB"/>
    <w:rsid w:val="00C4552E"/>
    <w:rsid w:val="00C45DD1"/>
    <w:rsid w:val="00C462A4"/>
    <w:rsid w:val="00C46AE5"/>
    <w:rsid w:val="00C471DB"/>
    <w:rsid w:val="00C472C9"/>
    <w:rsid w:val="00C47567"/>
    <w:rsid w:val="00C47654"/>
    <w:rsid w:val="00C47BD1"/>
    <w:rsid w:val="00C47D9D"/>
    <w:rsid w:val="00C47E70"/>
    <w:rsid w:val="00C50729"/>
    <w:rsid w:val="00C51A1A"/>
    <w:rsid w:val="00C51B6F"/>
    <w:rsid w:val="00C51EB3"/>
    <w:rsid w:val="00C52AAF"/>
    <w:rsid w:val="00C52BE0"/>
    <w:rsid w:val="00C52E81"/>
    <w:rsid w:val="00C52EA0"/>
    <w:rsid w:val="00C53E81"/>
    <w:rsid w:val="00C54792"/>
    <w:rsid w:val="00C5496D"/>
    <w:rsid w:val="00C54B6B"/>
    <w:rsid w:val="00C551E0"/>
    <w:rsid w:val="00C5581C"/>
    <w:rsid w:val="00C55A7C"/>
    <w:rsid w:val="00C55D3E"/>
    <w:rsid w:val="00C56093"/>
    <w:rsid w:val="00C56776"/>
    <w:rsid w:val="00C56AC8"/>
    <w:rsid w:val="00C57E0E"/>
    <w:rsid w:val="00C57E4D"/>
    <w:rsid w:val="00C60B02"/>
    <w:rsid w:val="00C60D47"/>
    <w:rsid w:val="00C61507"/>
    <w:rsid w:val="00C615E6"/>
    <w:rsid w:val="00C619AC"/>
    <w:rsid w:val="00C622A3"/>
    <w:rsid w:val="00C623AB"/>
    <w:rsid w:val="00C62639"/>
    <w:rsid w:val="00C626E2"/>
    <w:rsid w:val="00C628C8"/>
    <w:rsid w:val="00C62C40"/>
    <w:rsid w:val="00C62CBF"/>
    <w:rsid w:val="00C62F58"/>
    <w:rsid w:val="00C633A9"/>
    <w:rsid w:val="00C6410D"/>
    <w:rsid w:val="00C645E7"/>
    <w:rsid w:val="00C645F3"/>
    <w:rsid w:val="00C6499E"/>
    <w:rsid w:val="00C65538"/>
    <w:rsid w:val="00C65C19"/>
    <w:rsid w:val="00C6609F"/>
    <w:rsid w:val="00C67368"/>
    <w:rsid w:val="00C673F8"/>
    <w:rsid w:val="00C709BA"/>
    <w:rsid w:val="00C71A5D"/>
    <w:rsid w:val="00C721CC"/>
    <w:rsid w:val="00C725CE"/>
    <w:rsid w:val="00C72662"/>
    <w:rsid w:val="00C727EE"/>
    <w:rsid w:val="00C72E4E"/>
    <w:rsid w:val="00C72EDC"/>
    <w:rsid w:val="00C73340"/>
    <w:rsid w:val="00C736E7"/>
    <w:rsid w:val="00C73F42"/>
    <w:rsid w:val="00C740C0"/>
    <w:rsid w:val="00C750D2"/>
    <w:rsid w:val="00C7518D"/>
    <w:rsid w:val="00C7519E"/>
    <w:rsid w:val="00C751D1"/>
    <w:rsid w:val="00C75326"/>
    <w:rsid w:val="00C75E48"/>
    <w:rsid w:val="00C76B5A"/>
    <w:rsid w:val="00C77BF4"/>
    <w:rsid w:val="00C77D38"/>
    <w:rsid w:val="00C80399"/>
    <w:rsid w:val="00C80579"/>
    <w:rsid w:val="00C80BD9"/>
    <w:rsid w:val="00C80EF9"/>
    <w:rsid w:val="00C81202"/>
    <w:rsid w:val="00C8140C"/>
    <w:rsid w:val="00C81A12"/>
    <w:rsid w:val="00C81E2E"/>
    <w:rsid w:val="00C82261"/>
    <w:rsid w:val="00C8234A"/>
    <w:rsid w:val="00C824E4"/>
    <w:rsid w:val="00C8296F"/>
    <w:rsid w:val="00C82D8C"/>
    <w:rsid w:val="00C8331B"/>
    <w:rsid w:val="00C83653"/>
    <w:rsid w:val="00C8369D"/>
    <w:rsid w:val="00C8401D"/>
    <w:rsid w:val="00C840B3"/>
    <w:rsid w:val="00C844AB"/>
    <w:rsid w:val="00C846BE"/>
    <w:rsid w:val="00C8482C"/>
    <w:rsid w:val="00C84C02"/>
    <w:rsid w:val="00C84E32"/>
    <w:rsid w:val="00C86A68"/>
    <w:rsid w:val="00C87120"/>
    <w:rsid w:val="00C872A3"/>
    <w:rsid w:val="00C8779D"/>
    <w:rsid w:val="00C87933"/>
    <w:rsid w:val="00C87B70"/>
    <w:rsid w:val="00C87EEB"/>
    <w:rsid w:val="00C87F5E"/>
    <w:rsid w:val="00C9102F"/>
    <w:rsid w:val="00C91472"/>
    <w:rsid w:val="00C9161F"/>
    <w:rsid w:val="00C91663"/>
    <w:rsid w:val="00C918A6"/>
    <w:rsid w:val="00C91FAB"/>
    <w:rsid w:val="00C9207C"/>
    <w:rsid w:val="00C920A1"/>
    <w:rsid w:val="00C921E3"/>
    <w:rsid w:val="00C927F3"/>
    <w:rsid w:val="00C92FCB"/>
    <w:rsid w:val="00C931DE"/>
    <w:rsid w:val="00C934DC"/>
    <w:rsid w:val="00C93787"/>
    <w:rsid w:val="00C9398F"/>
    <w:rsid w:val="00C93C7F"/>
    <w:rsid w:val="00C944FD"/>
    <w:rsid w:val="00C94649"/>
    <w:rsid w:val="00C950F2"/>
    <w:rsid w:val="00C954BF"/>
    <w:rsid w:val="00C95FAD"/>
    <w:rsid w:val="00C963DE"/>
    <w:rsid w:val="00C972D0"/>
    <w:rsid w:val="00C97429"/>
    <w:rsid w:val="00C979B5"/>
    <w:rsid w:val="00CA00B9"/>
    <w:rsid w:val="00CA0622"/>
    <w:rsid w:val="00CA06D8"/>
    <w:rsid w:val="00CA06E7"/>
    <w:rsid w:val="00CA08FF"/>
    <w:rsid w:val="00CA0C26"/>
    <w:rsid w:val="00CA0ECA"/>
    <w:rsid w:val="00CA0F23"/>
    <w:rsid w:val="00CA135B"/>
    <w:rsid w:val="00CA18DB"/>
    <w:rsid w:val="00CA2587"/>
    <w:rsid w:val="00CA2CFF"/>
    <w:rsid w:val="00CA2DC2"/>
    <w:rsid w:val="00CA310B"/>
    <w:rsid w:val="00CA3888"/>
    <w:rsid w:val="00CA512D"/>
    <w:rsid w:val="00CA530F"/>
    <w:rsid w:val="00CA5805"/>
    <w:rsid w:val="00CA5881"/>
    <w:rsid w:val="00CA5A28"/>
    <w:rsid w:val="00CA5B94"/>
    <w:rsid w:val="00CA63CB"/>
    <w:rsid w:val="00CA6777"/>
    <w:rsid w:val="00CA69AC"/>
    <w:rsid w:val="00CA75B3"/>
    <w:rsid w:val="00CA7643"/>
    <w:rsid w:val="00CA7884"/>
    <w:rsid w:val="00CA7E3E"/>
    <w:rsid w:val="00CB04A5"/>
    <w:rsid w:val="00CB07A8"/>
    <w:rsid w:val="00CB09FB"/>
    <w:rsid w:val="00CB12BD"/>
    <w:rsid w:val="00CB12DD"/>
    <w:rsid w:val="00CB1368"/>
    <w:rsid w:val="00CB1ADD"/>
    <w:rsid w:val="00CB1F2D"/>
    <w:rsid w:val="00CB2072"/>
    <w:rsid w:val="00CB2398"/>
    <w:rsid w:val="00CB2921"/>
    <w:rsid w:val="00CB29D1"/>
    <w:rsid w:val="00CB2BB8"/>
    <w:rsid w:val="00CB2D8F"/>
    <w:rsid w:val="00CB3057"/>
    <w:rsid w:val="00CB341A"/>
    <w:rsid w:val="00CB3E74"/>
    <w:rsid w:val="00CB3EBC"/>
    <w:rsid w:val="00CB3F5D"/>
    <w:rsid w:val="00CB4956"/>
    <w:rsid w:val="00CB50FD"/>
    <w:rsid w:val="00CB5389"/>
    <w:rsid w:val="00CB543D"/>
    <w:rsid w:val="00CB5494"/>
    <w:rsid w:val="00CB59D5"/>
    <w:rsid w:val="00CB6AAB"/>
    <w:rsid w:val="00CB6B19"/>
    <w:rsid w:val="00CC00E4"/>
    <w:rsid w:val="00CC0AFD"/>
    <w:rsid w:val="00CC0B3B"/>
    <w:rsid w:val="00CC10E1"/>
    <w:rsid w:val="00CC2E88"/>
    <w:rsid w:val="00CC3543"/>
    <w:rsid w:val="00CC407F"/>
    <w:rsid w:val="00CC40A3"/>
    <w:rsid w:val="00CC42C1"/>
    <w:rsid w:val="00CC4F72"/>
    <w:rsid w:val="00CC53C8"/>
    <w:rsid w:val="00CC5861"/>
    <w:rsid w:val="00CC5ED3"/>
    <w:rsid w:val="00CC5F28"/>
    <w:rsid w:val="00CC622B"/>
    <w:rsid w:val="00CC68A5"/>
    <w:rsid w:val="00CC6A1B"/>
    <w:rsid w:val="00CC722F"/>
    <w:rsid w:val="00CC73A5"/>
    <w:rsid w:val="00CC79A7"/>
    <w:rsid w:val="00CD057C"/>
    <w:rsid w:val="00CD0D02"/>
    <w:rsid w:val="00CD12E3"/>
    <w:rsid w:val="00CD20E8"/>
    <w:rsid w:val="00CD2165"/>
    <w:rsid w:val="00CD27B2"/>
    <w:rsid w:val="00CD2D52"/>
    <w:rsid w:val="00CD3934"/>
    <w:rsid w:val="00CD4BA3"/>
    <w:rsid w:val="00CD59DB"/>
    <w:rsid w:val="00CD5BEE"/>
    <w:rsid w:val="00CD5DD9"/>
    <w:rsid w:val="00CD5E76"/>
    <w:rsid w:val="00CD6327"/>
    <w:rsid w:val="00CD66A4"/>
    <w:rsid w:val="00CD7445"/>
    <w:rsid w:val="00CD78EA"/>
    <w:rsid w:val="00CD7A48"/>
    <w:rsid w:val="00CE02D1"/>
    <w:rsid w:val="00CE03B7"/>
    <w:rsid w:val="00CE0F6C"/>
    <w:rsid w:val="00CE0FE2"/>
    <w:rsid w:val="00CE119E"/>
    <w:rsid w:val="00CE175F"/>
    <w:rsid w:val="00CE1824"/>
    <w:rsid w:val="00CE255C"/>
    <w:rsid w:val="00CE2977"/>
    <w:rsid w:val="00CE2A3A"/>
    <w:rsid w:val="00CE2B78"/>
    <w:rsid w:val="00CE2F8C"/>
    <w:rsid w:val="00CE34F4"/>
    <w:rsid w:val="00CE3501"/>
    <w:rsid w:val="00CE353B"/>
    <w:rsid w:val="00CE37F1"/>
    <w:rsid w:val="00CE3B08"/>
    <w:rsid w:val="00CE4842"/>
    <w:rsid w:val="00CE4885"/>
    <w:rsid w:val="00CE5590"/>
    <w:rsid w:val="00CE5848"/>
    <w:rsid w:val="00CE702F"/>
    <w:rsid w:val="00CE73F9"/>
    <w:rsid w:val="00CE74A3"/>
    <w:rsid w:val="00CE75BD"/>
    <w:rsid w:val="00CE7A3F"/>
    <w:rsid w:val="00CE8FE7"/>
    <w:rsid w:val="00CF0133"/>
    <w:rsid w:val="00CF2011"/>
    <w:rsid w:val="00CF2516"/>
    <w:rsid w:val="00CF2B76"/>
    <w:rsid w:val="00CF38C6"/>
    <w:rsid w:val="00CF3E6E"/>
    <w:rsid w:val="00CF3ECC"/>
    <w:rsid w:val="00CF4240"/>
    <w:rsid w:val="00CF42AC"/>
    <w:rsid w:val="00CF437B"/>
    <w:rsid w:val="00CF43C1"/>
    <w:rsid w:val="00CF4C08"/>
    <w:rsid w:val="00CF56DC"/>
    <w:rsid w:val="00CF7993"/>
    <w:rsid w:val="00D000B4"/>
    <w:rsid w:val="00D004D2"/>
    <w:rsid w:val="00D00898"/>
    <w:rsid w:val="00D0102A"/>
    <w:rsid w:val="00D02362"/>
    <w:rsid w:val="00D026F7"/>
    <w:rsid w:val="00D0289A"/>
    <w:rsid w:val="00D02965"/>
    <w:rsid w:val="00D02F9E"/>
    <w:rsid w:val="00D034DD"/>
    <w:rsid w:val="00D03BB9"/>
    <w:rsid w:val="00D04128"/>
    <w:rsid w:val="00D04952"/>
    <w:rsid w:val="00D0503F"/>
    <w:rsid w:val="00D05BB9"/>
    <w:rsid w:val="00D05CFD"/>
    <w:rsid w:val="00D06939"/>
    <w:rsid w:val="00D06A16"/>
    <w:rsid w:val="00D07706"/>
    <w:rsid w:val="00D1037C"/>
    <w:rsid w:val="00D1078F"/>
    <w:rsid w:val="00D10E60"/>
    <w:rsid w:val="00D11693"/>
    <w:rsid w:val="00D117D3"/>
    <w:rsid w:val="00D11C4B"/>
    <w:rsid w:val="00D11F77"/>
    <w:rsid w:val="00D11FBF"/>
    <w:rsid w:val="00D12343"/>
    <w:rsid w:val="00D12550"/>
    <w:rsid w:val="00D12CD2"/>
    <w:rsid w:val="00D1344A"/>
    <w:rsid w:val="00D13678"/>
    <w:rsid w:val="00D136A4"/>
    <w:rsid w:val="00D13959"/>
    <w:rsid w:val="00D13D0D"/>
    <w:rsid w:val="00D1415B"/>
    <w:rsid w:val="00D14577"/>
    <w:rsid w:val="00D146CA"/>
    <w:rsid w:val="00D14D23"/>
    <w:rsid w:val="00D15755"/>
    <w:rsid w:val="00D15967"/>
    <w:rsid w:val="00D15D8B"/>
    <w:rsid w:val="00D16163"/>
    <w:rsid w:val="00D1617A"/>
    <w:rsid w:val="00D1709E"/>
    <w:rsid w:val="00D17984"/>
    <w:rsid w:val="00D17A66"/>
    <w:rsid w:val="00D17D63"/>
    <w:rsid w:val="00D17F3D"/>
    <w:rsid w:val="00D20CA8"/>
    <w:rsid w:val="00D20FC8"/>
    <w:rsid w:val="00D21CD0"/>
    <w:rsid w:val="00D2272E"/>
    <w:rsid w:val="00D22819"/>
    <w:rsid w:val="00D22F94"/>
    <w:rsid w:val="00D23163"/>
    <w:rsid w:val="00D23207"/>
    <w:rsid w:val="00D232A4"/>
    <w:rsid w:val="00D23ADA"/>
    <w:rsid w:val="00D23B83"/>
    <w:rsid w:val="00D23C70"/>
    <w:rsid w:val="00D240B6"/>
    <w:rsid w:val="00D242F1"/>
    <w:rsid w:val="00D244C2"/>
    <w:rsid w:val="00D24720"/>
    <w:rsid w:val="00D24BE3"/>
    <w:rsid w:val="00D24D4B"/>
    <w:rsid w:val="00D24DAD"/>
    <w:rsid w:val="00D256D6"/>
    <w:rsid w:val="00D25916"/>
    <w:rsid w:val="00D25B40"/>
    <w:rsid w:val="00D25BC7"/>
    <w:rsid w:val="00D26D97"/>
    <w:rsid w:val="00D270D7"/>
    <w:rsid w:val="00D27246"/>
    <w:rsid w:val="00D27A76"/>
    <w:rsid w:val="00D30AA5"/>
    <w:rsid w:val="00D31210"/>
    <w:rsid w:val="00D3167B"/>
    <w:rsid w:val="00D31A53"/>
    <w:rsid w:val="00D329E6"/>
    <w:rsid w:val="00D32D7D"/>
    <w:rsid w:val="00D32ECD"/>
    <w:rsid w:val="00D33360"/>
    <w:rsid w:val="00D336ED"/>
    <w:rsid w:val="00D3394C"/>
    <w:rsid w:val="00D33A80"/>
    <w:rsid w:val="00D340C0"/>
    <w:rsid w:val="00D35A47"/>
    <w:rsid w:val="00D35A7E"/>
    <w:rsid w:val="00D35DA2"/>
    <w:rsid w:val="00D3696A"/>
    <w:rsid w:val="00D36DE6"/>
    <w:rsid w:val="00D37070"/>
    <w:rsid w:val="00D37972"/>
    <w:rsid w:val="00D40691"/>
    <w:rsid w:val="00D406E4"/>
    <w:rsid w:val="00D40896"/>
    <w:rsid w:val="00D408FA"/>
    <w:rsid w:val="00D41534"/>
    <w:rsid w:val="00D4155F"/>
    <w:rsid w:val="00D41584"/>
    <w:rsid w:val="00D41689"/>
    <w:rsid w:val="00D4177A"/>
    <w:rsid w:val="00D4237A"/>
    <w:rsid w:val="00D42CE3"/>
    <w:rsid w:val="00D42E35"/>
    <w:rsid w:val="00D438D5"/>
    <w:rsid w:val="00D43C0F"/>
    <w:rsid w:val="00D440AC"/>
    <w:rsid w:val="00D44293"/>
    <w:rsid w:val="00D444EE"/>
    <w:rsid w:val="00D449D7"/>
    <w:rsid w:val="00D44F9D"/>
    <w:rsid w:val="00D451FC"/>
    <w:rsid w:val="00D455B2"/>
    <w:rsid w:val="00D45F02"/>
    <w:rsid w:val="00D46164"/>
    <w:rsid w:val="00D46B50"/>
    <w:rsid w:val="00D47CCC"/>
    <w:rsid w:val="00D47F68"/>
    <w:rsid w:val="00D5047A"/>
    <w:rsid w:val="00D50BED"/>
    <w:rsid w:val="00D50F47"/>
    <w:rsid w:val="00D50F74"/>
    <w:rsid w:val="00D5113D"/>
    <w:rsid w:val="00D51341"/>
    <w:rsid w:val="00D51BED"/>
    <w:rsid w:val="00D5238F"/>
    <w:rsid w:val="00D52502"/>
    <w:rsid w:val="00D52847"/>
    <w:rsid w:val="00D52D52"/>
    <w:rsid w:val="00D52E71"/>
    <w:rsid w:val="00D53C07"/>
    <w:rsid w:val="00D53F67"/>
    <w:rsid w:val="00D53F99"/>
    <w:rsid w:val="00D54FBB"/>
    <w:rsid w:val="00D551DA"/>
    <w:rsid w:val="00D55A64"/>
    <w:rsid w:val="00D55AC4"/>
    <w:rsid w:val="00D55C7C"/>
    <w:rsid w:val="00D55D79"/>
    <w:rsid w:val="00D55E0F"/>
    <w:rsid w:val="00D55EDD"/>
    <w:rsid w:val="00D564C6"/>
    <w:rsid w:val="00D576BE"/>
    <w:rsid w:val="00D579FE"/>
    <w:rsid w:val="00D60399"/>
    <w:rsid w:val="00D6060D"/>
    <w:rsid w:val="00D608EE"/>
    <w:rsid w:val="00D610FC"/>
    <w:rsid w:val="00D61A22"/>
    <w:rsid w:val="00D61F15"/>
    <w:rsid w:val="00D62474"/>
    <w:rsid w:val="00D62545"/>
    <w:rsid w:val="00D62998"/>
    <w:rsid w:val="00D62B68"/>
    <w:rsid w:val="00D63154"/>
    <w:rsid w:val="00D63237"/>
    <w:rsid w:val="00D639DE"/>
    <w:rsid w:val="00D63C48"/>
    <w:rsid w:val="00D63C5D"/>
    <w:rsid w:val="00D6408F"/>
    <w:rsid w:val="00D640E4"/>
    <w:rsid w:val="00D64289"/>
    <w:rsid w:val="00D65158"/>
    <w:rsid w:val="00D65178"/>
    <w:rsid w:val="00D6582B"/>
    <w:rsid w:val="00D6620F"/>
    <w:rsid w:val="00D6667B"/>
    <w:rsid w:val="00D66FE1"/>
    <w:rsid w:val="00D67701"/>
    <w:rsid w:val="00D6772E"/>
    <w:rsid w:val="00D67FAF"/>
    <w:rsid w:val="00D70272"/>
    <w:rsid w:val="00D70497"/>
    <w:rsid w:val="00D70DD2"/>
    <w:rsid w:val="00D71194"/>
    <w:rsid w:val="00D71400"/>
    <w:rsid w:val="00D71583"/>
    <w:rsid w:val="00D7174E"/>
    <w:rsid w:val="00D727DC"/>
    <w:rsid w:val="00D7296B"/>
    <w:rsid w:val="00D7423D"/>
    <w:rsid w:val="00D74754"/>
    <w:rsid w:val="00D74A49"/>
    <w:rsid w:val="00D74B3F"/>
    <w:rsid w:val="00D75294"/>
    <w:rsid w:val="00D7539A"/>
    <w:rsid w:val="00D75DB4"/>
    <w:rsid w:val="00D75DCC"/>
    <w:rsid w:val="00D764DA"/>
    <w:rsid w:val="00D766C1"/>
    <w:rsid w:val="00D76A2B"/>
    <w:rsid w:val="00D776A7"/>
    <w:rsid w:val="00D77B52"/>
    <w:rsid w:val="00D8003E"/>
    <w:rsid w:val="00D80A91"/>
    <w:rsid w:val="00D818F3"/>
    <w:rsid w:val="00D82BCC"/>
    <w:rsid w:val="00D82D12"/>
    <w:rsid w:val="00D82D81"/>
    <w:rsid w:val="00D83633"/>
    <w:rsid w:val="00D8366C"/>
    <w:rsid w:val="00D83CE3"/>
    <w:rsid w:val="00D8441F"/>
    <w:rsid w:val="00D8449B"/>
    <w:rsid w:val="00D84755"/>
    <w:rsid w:val="00D84B6C"/>
    <w:rsid w:val="00D84E54"/>
    <w:rsid w:val="00D85C1C"/>
    <w:rsid w:val="00D869F7"/>
    <w:rsid w:val="00D86BCA"/>
    <w:rsid w:val="00D86C8B"/>
    <w:rsid w:val="00D873C7"/>
    <w:rsid w:val="00D87C85"/>
    <w:rsid w:val="00D902A9"/>
    <w:rsid w:val="00D90D1F"/>
    <w:rsid w:val="00D90E10"/>
    <w:rsid w:val="00D9110B"/>
    <w:rsid w:val="00D914AC"/>
    <w:rsid w:val="00D9151A"/>
    <w:rsid w:val="00D91848"/>
    <w:rsid w:val="00D91C77"/>
    <w:rsid w:val="00D92DCF"/>
    <w:rsid w:val="00D92F47"/>
    <w:rsid w:val="00D93937"/>
    <w:rsid w:val="00D93D75"/>
    <w:rsid w:val="00D93F53"/>
    <w:rsid w:val="00D943C4"/>
    <w:rsid w:val="00D94D4C"/>
    <w:rsid w:val="00D9534B"/>
    <w:rsid w:val="00D95394"/>
    <w:rsid w:val="00D962C7"/>
    <w:rsid w:val="00D96559"/>
    <w:rsid w:val="00D96E61"/>
    <w:rsid w:val="00D970E7"/>
    <w:rsid w:val="00D970E8"/>
    <w:rsid w:val="00DA01E5"/>
    <w:rsid w:val="00DA032B"/>
    <w:rsid w:val="00DA0456"/>
    <w:rsid w:val="00DA058D"/>
    <w:rsid w:val="00DA05A4"/>
    <w:rsid w:val="00DA0703"/>
    <w:rsid w:val="00DA096E"/>
    <w:rsid w:val="00DA0F3B"/>
    <w:rsid w:val="00DA0FBD"/>
    <w:rsid w:val="00DA167B"/>
    <w:rsid w:val="00DA1B4A"/>
    <w:rsid w:val="00DA1B5B"/>
    <w:rsid w:val="00DA1DE8"/>
    <w:rsid w:val="00DA33BB"/>
    <w:rsid w:val="00DA41CA"/>
    <w:rsid w:val="00DA53DD"/>
    <w:rsid w:val="00DA55BB"/>
    <w:rsid w:val="00DA586B"/>
    <w:rsid w:val="00DA59E8"/>
    <w:rsid w:val="00DA5C10"/>
    <w:rsid w:val="00DA7175"/>
    <w:rsid w:val="00DA73EE"/>
    <w:rsid w:val="00DA7D76"/>
    <w:rsid w:val="00DB023A"/>
    <w:rsid w:val="00DB0760"/>
    <w:rsid w:val="00DB1649"/>
    <w:rsid w:val="00DB19B0"/>
    <w:rsid w:val="00DB1FD9"/>
    <w:rsid w:val="00DB25E6"/>
    <w:rsid w:val="00DB267F"/>
    <w:rsid w:val="00DB2F77"/>
    <w:rsid w:val="00DB4EFE"/>
    <w:rsid w:val="00DB533C"/>
    <w:rsid w:val="00DB5F57"/>
    <w:rsid w:val="00DB64BA"/>
    <w:rsid w:val="00DB66CF"/>
    <w:rsid w:val="00DB6C81"/>
    <w:rsid w:val="00DB6FE3"/>
    <w:rsid w:val="00DB730A"/>
    <w:rsid w:val="00DB738E"/>
    <w:rsid w:val="00DB7F14"/>
    <w:rsid w:val="00DB7F65"/>
    <w:rsid w:val="00DC0803"/>
    <w:rsid w:val="00DC09BB"/>
    <w:rsid w:val="00DC0A72"/>
    <w:rsid w:val="00DC1743"/>
    <w:rsid w:val="00DC1816"/>
    <w:rsid w:val="00DC1866"/>
    <w:rsid w:val="00DC1929"/>
    <w:rsid w:val="00DC212A"/>
    <w:rsid w:val="00DC273B"/>
    <w:rsid w:val="00DC2B48"/>
    <w:rsid w:val="00DC2E11"/>
    <w:rsid w:val="00DC2FD5"/>
    <w:rsid w:val="00DC41D4"/>
    <w:rsid w:val="00DC42FF"/>
    <w:rsid w:val="00DC4CC9"/>
    <w:rsid w:val="00DC4E39"/>
    <w:rsid w:val="00DC50DB"/>
    <w:rsid w:val="00DC5486"/>
    <w:rsid w:val="00DC6F32"/>
    <w:rsid w:val="00DC7746"/>
    <w:rsid w:val="00DD0735"/>
    <w:rsid w:val="00DD0A2E"/>
    <w:rsid w:val="00DD0E29"/>
    <w:rsid w:val="00DD161F"/>
    <w:rsid w:val="00DD2365"/>
    <w:rsid w:val="00DD2409"/>
    <w:rsid w:val="00DD2808"/>
    <w:rsid w:val="00DD2A90"/>
    <w:rsid w:val="00DD3049"/>
    <w:rsid w:val="00DD30CC"/>
    <w:rsid w:val="00DD30CD"/>
    <w:rsid w:val="00DD373C"/>
    <w:rsid w:val="00DD3B44"/>
    <w:rsid w:val="00DD3BF0"/>
    <w:rsid w:val="00DD4194"/>
    <w:rsid w:val="00DD449A"/>
    <w:rsid w:val="00DD47A1"/>
    <w:rsid w:val="00DD4AB8"/>
    <w:rsid w:val="00DD4B0B"/>
    <w:rsid w:val="00DD5079"/>
    <w:rsid w:val="00DD5480"/>
    <w:rsid w:val="00DD56BF"/>
    <w:rsid w:val="00DD5714"/>
    <w:rsid w:val="00DD5B8A"/>
    <w:rsid w:val="00DD5CB2"/>
    <w:rsid w:val="00DD5FDE"/>
    <w:rsid w:val="00DD624A"/>
    <w:rsid w:val="00DD6C13"/>
    <w:rsid w:val="00DD713A"/>
    <w:rsid w:val="00DD75A5"/>
    <w:rsid w:val="00DD7812"/>
    <w:rsid w:val="00DE00CA"/>
    <w:rsid w:val="00DE05B6"/>
    <w:rsid w:val="00DE09D6"/>
    <w:rsid w:val="00DE0C0E"/>
    <w:rsid w:val="00DE0FBC"/>
    <w:rsid w:val="00DE1034"/>
    <w:rsid w:val="00DE14AA"/>
    <w:rsid w:val="00DE1F52"/>
    <w:rsid w:val="00DE2805"/>
    <w:rsid w:val="00DE2BE3"/>
    <w:rsid w:val="00DE30E2"/>
    <w:rsid w:val="00DE3158"/>
    <w:rsid w:val="00DE3A9A"/>
    <w:rsid w:val="00DE3DDD"/>
    <w:rsid w:val="00DE423D"/>
    <w:rsid w:val="00DE4316"/>
    <w:rsid w:val="00DE4494"/>
    <w:rsid w:val="00DE4E56"/>
    <w:rsid w:val="00DE6421"/>
    <w:rsid w:val="00DE706B"/>
    <w:rsid w:val="00DE74A7"/>
    <w:rsid w:val="00DE7530"/>
    <w:rsid w:val="00DE76E4"/>
    <w:rsid w:val="00DE7950"/>
    <w:rsid w:val="00DE7AE4"/>
    <w:rsid w:val="00DE7CD1"/>
    <w:rsid w:val="00DF01F2"/>
    <w:rsid w:val="00DF0689"/>
    <w:rsid w:val="00DF08A1"/>
    <w:rsid w:val="00DF0D8C"/>
    <w:rsid w:val="00DF0F10"/>
    <w:rsid w:val="00DF16C0"/>
    <w:rsid w:val="00DF1A90"/>
    <w:rsid w:val="00DF1DCE"/>
    <w:rsid w:val="00DF21EE"/>
    <w:rsid w:val="00DF238C"/>
    <w:rsid w:val="00DF2D1A"/>
    <w:rsid w:val="00DF2D46"/>
    <w:rsid w:val="00DF2FA0"/>
    <w:rsid w:val="00DF387A"/>
    <w:rsid w:val="00DF3A42"/>
    <w:rsid w:val="00DF3B71"/>
    <w:rsid w:val="00DF4159"/>
    <w:rsid w:val="00DF4309"/>
    <w:rsid w:val="00DF4689"/>
    <w:rsid w:val="00DF5262"/>
    <w:rsid w:val="00DF532D"/>
    <w:rsid w:val="00DF548B"/>
    <w:rsid w:val="00DF5658"/>
    <w:rsid w:val="00DF5C4F"/>
    <w:rsid w:val="00DF6049"/>
    <w:rsid w:val="00DF667F"/>
    <w:rsid w:val="00DF70CC"/>
    <w:rsid w:val="00E00318"/>
    <w:rsid w:val="00E00411"/>
    <w:rsid w:val="00E008B7"/>
    <w:rsid w:val="00E008D1"/>
    <w:rsid w:val="00E01465"/>
    <w:rsid w:val="00E01D22"/>
    <w:rsid w:val="00E02974"/>
    <w:rsid w:val="00E03643"/>
    <w:rsid w:val="00E03995"/>
    <w:rsid w:val="00E03B1D"/>
    <w:rsid w:val="00E041E4"/>
    <w:rsid w:val="00E0435A"/>
    <w:rsid w:val="00E046D2"/>
    <w:rsid w:val="00E04F34"/>
    <w:rsid w:val="00E05795"/>
    <w:rsid w:val="00E05855"/>
    <w:rsid w:val="00E05909"/>
    <w:rsid w:val="00E05FBC"/>
    <w:rsid w:val="00E06981"/>
    <w:rsid w:val="00E06BEF"/>
    <w:rsid w:val="00E073FA"/>
    <w:rsid w:val="00E07782"/>
    <w:rsid w:val="00E10B7D"/>
    <w:rsid w:val="00E11E96"/>
    <w:rsid w:val="00E12214"/>
    <w:rsid w:val="00E12E60"/>
    <w:rsid w:val="00E130A8"/>
    <w:rsid w:val="00E133EE"/>
    <w:rsid w:val="00E13A3E"/>
    <w:rsid w:val="00E13BB9"/>
    <w:rsid w:val="00E144D1"/>
    <w:rsid w:val="00E147EC"/>
    <w:rsid w:val="00E15B5A"/>
    <w:rsid w:val="00E15E11"/>
    <w:rsid w:val="00E1639A"/>
    <w:rsid w:val="00E164D4"/>
    <w:rsid w:val="00E17A3E"/>
    <w:rsid w:val="00E20705"/>
    <w:rsid w:val="00E2196A"/>
    <w:rsid w:val="00E222FD"/>
    <w:rsid w:val="00E2267B"/>
    <w:rsid w:val="00E227D6"/>
    <w:rsid w:val="00E227EA"/>
    <w:rsid w:val="00E22A65"/>
    <w:rsid w:val="00E22AD9"/>
    <w:rsid w:val="00E23426"/>
    <w:rsid w:val="00E23660"/>
    <w:rsid w:val="00E236E3"/>
    <w:rsid w:val="00E23A16"/>
    <w:rsid w:val="00E248F2"/>
    <w:rsid w:val="00E25C14"/>
    <w:rsid w:val="00E264A6"/>
    <w:rsid w:val="00E273B1"/>
    <w:rsid w:val="00E274ED"/>
    <w:rsid w:val="00E2761D"/>
    <w:rsid w:val="00E27940"/>
    <w:rsid w:val="00E27B10"/>
    <w:rsid w:val="00E27C0E"/>
    <w:rsid w:val="00E27D3D"/>
    <w:rsid w:val="00E30072"/>
    <w:rsid w:val="00E3008A"/>
    <w:rsid w:val="00E301D6"/>
    <w:rsid w:val="00E31326"/>
    <w:rsid w:val="00E31348"/>
    <w:rsid w:val="00E31557"/>
    <w:rsid w:val="00E319F8"/>
    <w:rsid w:val="00E31A1E"/>
    <w:rsid w:val="00E31B9C"/>
    <w:rsid w:val="00E32406"/>
    <w:rsid w:val="00E32AF0"/>
    <w:rsid w:val="00E32C18"/>
    <w:rsid w:val="00E32D6D"/>
    <w:rsid w:val="00E32FAA"/>
    <w:rsid w:val="00E32FBE"/>
    <w:rsid w:val="00E33348"/>
    <w:rsid w:val="00E3338E"/>
    <w:rsid w:val="00E3362B"/>
    <w:rsid w:val="00E3370E"/>
    <w:rsid w:val="00E33BBF"/>
    <w:rsid w:val="00E34484"/>
    <w:rsid w:val="00E35767"/>
    <w:rsid w:val="00E36373"/>
    <w:rsid w:val="00E37144"/>
    <w:rsid w:val="00E37424"/>
    <w:rsid w:val="00E37EBA"/>
    <w:rsid w:val="00E40541"/>
    <w:rsid w:val="00E40A57"/>
    <w:rsid w:val="00E41456"/>
    <w:rsid w:val="00E41731"/>
    <w:rsid w:val="00E4176C"/>
    <w:rsid w:val="00E41C65"/>
    <w:rsid w:val="00E42051"/>
    <w:rsid w:val="00E425D1"/>
    <w:rsid w:val="00E42647"/>
    <w:rsid w:val="00E42E0A"/>
    <w:rsid w:val="00E430E2"/>
    <w:rsid w:val="00E437EF"/>
    <w:rsid w:val="00E43B9F"/>
    <w:rsid w:val="00E44C0B"/>
    <w:rsid w:val="00E45180"/>
    <w:rsid w:val="00E45305"/>
    <w:rsid w:val="00E45E7E"/>
    <w:rsid w:val="00E46AC9"/>
    <w:rsid w:val="00E46DB2"/>
    <w:rsid w:val="00E47757"/>
    <w:rsid w:val="00E50215"/>
    <w:rsid w:val="00E5039B"/>
    <w:rsid w:val="00E51D42"/>
    <w:rsid w:val="00E51DB7"/>
    <w:rsid w:val="00E53216"/>
    <w:rsid w:val="00E53407"/>
    <w:rsid w:val="00E535E7"/>
    <w:rsid w:val="00E53DB6"/>
    <w:rsid w:val="00E53E47"/>
    <w:rsid w:val="00E53F4A"/>
    <w:rsid w:val="00E54ACA"/>
    <w:rsid w:val="00E54D0C"/>
    <w:rsid w:val="00E54FB3"/>
    <w:rsid w:val="00E550BE"/>
    <w:rsid w:val="00E5535E"/>
    <w:rsid w:val="00E55904"/>
    <w:rsid w:val="00E55A2E"/>
    <w:rsid w:val="00E55C9D"/>
    <w:rsid w:val="00E55E72"/>
    <w:rsid w:val="00E560D3"/>
    <w:rsid w:val="00E5685C"/>
    <w:rsid w:val="00E5685F"/>
    <w:rsid w:val="00E569BD"/>
    <w:rsid w:val="00E56FD8"/>
    <w:rsid w:val="00E57521"/>
    <w:rsid w:val="00E57E9C"/>
    <w:rsid w:val="00E57FE4"/>
    <w:rsid w:val="00E57FED"/>
    <w:rsid w:val="00E60005"/>
    <w:rsid w:val="00E6034E"/>
    <w:rsid w:val="00E60616"/>
    <w:rsid w:val="00E611AA"/>
    <w:rsid w:val="00E6157A"/>
    <w:rsid w:val="00E61C65"/>
    <w:rsid w:val="00E62335"/>
    <w:rsid w:val="00E6273A"/>
    <w:rsid w:val="00E628DC"/>
    <w:rsid w:val="00E62B07"/>
    <w:rsid w:val="00E62CF4"/>
    <w:rsid w:val="00E6346D"/>
    <w:rsid w:val="00E6377B"/>
    <w:rsid w:val="00E63A7A"/>
    <w:rsid w:val="00E63BA5"/>
    <w:rsid w:val="00E64002"/>
    <w:rsid w:val="00E64A44"/>
    <w:rsid w:val="00E64E60"/>
    <w:rsid w:val="00E656E8"/>
    <w:rsid w:val="00E6607E"/>
    <w:rsid w:val="00E6645E"/>
    <w:rsid w:val="00E665EA"/>
    <w:rsid w:val="00E66614"/>
    <w:rsid w:val="00E6671B"/>
    <w:rsid w:val="00E66924"/>
    <w:rsid w:val="00E6702E"/>
    <w:rsid w:val="00E700CB"/>
    <w:rsid w:val="00E7176C"/>
    <w:rsid w:val="00E71CEB"/>
    <w:rsid w:val="00E71DB3"/>
    <w:rsid w:val="00E73014"/>
    <w:rsid w:val="00E734AB"/>
    <w:rsid w:val="00E7398B"/>
    <w:rsid w:val="00E74154"/>
    <w:rsid w:val="00E74319"/>
    <w:rsid w:val="00E74373"/>
    <w:rsid w:val="00E744FF"/>
    <w:rsid w:val="00E75E6F"/>
    <w:rsid w:val="00E76052"/>
    <w:rsid w:val="00E76152"/>
    <w:rsid w:val="00E76637"/>
    <w:rsid w:val="00E76A74"/>
    <w:rsid w:val="00E76EA9"/>
    <w:rsid w:val="00E77622"/>
    <w:rsid w:val="00E77A80"/>
    <w:rsid w:val="00E80035"/>
    <w:rsid w:val="00E80341"/>
    <w:rsid w:val="00E80945"/>
    <w:rsid w:val="00E80DF5"/>
    <w:rsid w:val="00E8269B"/>
    <w:rsid w:val="00E828E0"/>
    <w:rsid w:val="00E8310B"/>
    <w:rsid w:val="00E835ED"/>
    <w:rsid w:val="00E83E09"/>
    <w:rsid w:val="00E840B9"/>
    <w:rsid w:val="00E8485E"/>
    <w:rsid w:val="00E84AB9"/>
    <w:rsid w:val="00E85350"/>
    <w:rsid w:val="00E85860"/>
    <w:rsid w:val="00E85CA5"/>
    <w:rsid w:val="00E86199"/>
    <w:rsid w:val="00E867AB"/>
    <w:rsid w:val="00E86DFD"/>
    <w:rsid w:val="00E872DB"/>
    <w:rsid w:val="00E87D22"/>
    <w:rsid w:val="00E909E2"/>
    <w:rsid w:val="00E90D5E"/>
    <w:rsid w:val="00E90EA7"/>
    <w:rsid w:val="00E915E0"/>
    <w:rsid w:val="00E9160E"/>
    <w:rsid w:val="00E927AD"/>
    <w:rsid w:val="00E92B30"/>
    <w:rsid w:val="00E930FA"/>
    <w:rsid w:val="00E9317D"/>
    <w:rsid w:val="00E93202"/>
    <w:rsid w:val="00E935AC"/>
    <w:rsid w:val="00E93796"/>
    <w:rsid w:val="00E93CF1"/>
    <w:rsid w:val="00E9422A"/>
    <w:rsid w:val="00E946AD"/>
    <w:rsid w:val="00E94768"/>
    <w:rsid w:val="00E950FA"/>
    <w:rsid w:val="00E951EA"/>
    <w:rsid w:val="00E9623C"/>
    <w:rsid w:val="00E96528"/>
    <w:rsid w:val="00E965EE"/>
    <w:rsid w:val="00E96983"/>
    <w:rsid w:val="00E969FD"/>
    <w:rsid w:val="00E972F9"/>
    <w:rsid w:val="00E976DF"/>
    <w:rsid w:val="00E97E0D"/>
    <w:rsid w:val="00E97E67"/>
    <w:rsid w:val="00E97E9E"/>
    <w:rsid w:val="00EA0B2C"/>
    <w:rsid w:val="00EA0D94"/>
    <w:rsid w:val="00EA12A1"/>
    <w:rsid w:val="00EA1417"/>
    <w:rsid w:val="00EA1B29"/>
    <w:rsid w:val="00EA2350"/>
    <w:rsid w:val="00EA2B07"/>
    <w:rsid w:val="00EA3098"/>
    <w:rsid w:val="00EA344A"/>
    <w:rsid w:val="00EA3D66"/>
    <w:rsid w:val="00EA4B46"/>
    <w:rsid w:val="00EA4CAB"/>
    <w:rsid w:val="00EA4EA4"/>
    <w:rsid w:val="00EA516F"/>
    <w:rsid w:val="00EA5552"/>
    <w:rsid w:val="00EA5778"/>
    <w:rsid w:val="00EA5C39"/>
    <w:rsid w:val="00EA655D"/>
    <w:rsid w:val="00EA66E6"/>
    <w:rsid w:val="00EA68CE"/>
    <w:rsid w:val="00EA6C4A"/>
    <w:rsid w:val="00EA6DDA"/>
    <w:rsid w:val="00EA701D"/>
    <w:rsid w:val="00EA7502"/>
    <w:rsid w:val="00EA776A"/>
    <w:rsid w:val="00EA792B"/>
    <w:rsid w:val="00EA7DBD"/>
    <w:rsid w:val="00EB059F"/>
    <w:rsid w:val="00EB229F"/>
    <w:rsid w:val="00EB24E8"/>
    <w:rsid w:val="00EB2552"/>
    <w:rsid w:val="00EB295A"/>
    <w:rsid w:val="00EB2DD6"/>
    <w:rsid w:val="00EB360C"/>
    <w:rsid w:val="00EB3753"/>
    <w:rsid w:val="00EB3D56"/>
    <w:rsid w:val="00EB426B"/>
    <w:rsid w:val="00EB47B0"/>
    <w:rsid w:val="00EB4B12"/>
    <w:rsid w:val="00EB4E02"/>
    <w:rsid w:val="00EB4F9F"/>
    <w:rsid w:val="00EB5232"/>
    <w:rsid w:val="00EB5242"/>
    <w:rsid w:val="00EB5319"/>
    <w:rsid w:val="00EB536E"/>
    <w:rsid w:val="00EB5B91"/>
    <w:rsid w:val="00EB5D4B"/>
    <w:rsid w:val="00EB5E6D"/>
    <w:rsid w:val="00EB667C"/>
    <w:rsid w:val="00EB6C91"/>
    <w:rsid w:val="00EB6CC0"/>
    <w:rsid w:val="00EB6ED7"/>
    <w:rsid w:val="00EC09AE"/>
    <w:rsid w:val="00EC14AF"/>
    <w:rsid w:val="00EC1C27"/>
    <w:rsid w:val="00EC243D"/>
    <w:rsid w:val="00EC29BC"/>
    <w:rsid w:val="00EC2AB0"/>
    <w:rsid w:val="00EC2FB6"/>
    <w:rsid w:val="00EC300D"/>
    <w:rsid w:val="00EC32A5"/>
    <w:rsid w:val="00EC341E"/>
    <w:rsid w:val="00EC348A"/>
    <w:rsid w:val="00EC353D"/>
    <w:rsid w:val="00EC402C"/>
    <w:rsid w:val="00EC41FE"/>
    <w:rsid w:val="00EC4758"/>
    <w:rsid w:val="00EC57D3"/>
    <w:rsid w:val="00EC5EB6"/>
    <w:rsid w:val="00EC6347"/>
    <w:rsid w:val="00EC6741"/>
    <w:rsid w:val="00EC6F47"/>
    <w:rsid w:val="00EC757D"/>
    <w:rsid w:val="00EC7E7E"/>
    <w:rsid w:val="00ED00CA"/>
    <w:rsid w:val="00ED03EC"/>
    <w:rsid w:val="00ED0EF9"/>
    <w:rsid w:val="00ED12A2"/>
    <w:rsid w:val="00ED13A8"/>
    <w:rsid w:val="00ED13F4"/>
    <w:rsid w:val="00ED29A2"/>
    <w:rsid w:val="00ED2C44"/>
    <w:rsid w:val="00ED2C49"/>
    <w:rsid w:val="00ED3E08"/>
    <w:rsid w:val="00ED4917"/>
    <w:rsid w:val="00ED5042"/>
    <w:rsid w:val="00ED50F3"/>
    <w:rsid w:val="00ED56A1"/>
    <w:rsid w:val="00ED5B7F"/>
    <w:rsid w:val="00ED5B9E"/>
    <w:rsid w:val="00ED5BB3"/>
    <w:rsid w:val="00ED62AD"/>
    <w:rsid w:val="00ED630B"/>
    <w:rsid w:val="00ED6A6E"/>
    <w:rsid w:val="00ED7027"/>
    <w:rsid w:val="00ED7509"/>
    <w:rsid w:val="00ED7972"/>
    <w:rsid w:val="00ED7997"/>
    <w:rsid w:val="00ED7DA0"/>
    <w:rsid w:val="00EE060D"/>
    <w:rsid w:val="00EE0EA0"/>
    <w:rsid w:val="00EE1BEE"/>
    <w:rsid w:val="00EE1E0A"/>
    <w:rsid w:val="00EE2852"/>
    <w:rsid w:val="00EE3D5B"/>
    <w:rsid w:val="00EE422A"/>
    <w:rsid w:val="00EE5014"/>
    <w:rsid w:val="00EE5B03"/>
    <w:rsid w:val="00EE6467"/>
    <w:rsid w:val="00EE6569"/>
    <w:rsid w:val="00EE657E"/>
    <w:rsid w:val="00EE65F2"/>
    <w:rsid w:val="00EE6991"/>
    <w:rsid w:val="00EE6A59"/>
    <w:rsid w:val="00EE7208"/>
    <w:rsid w:val="00EE7DB3"/>
    <w:rsid w:val="00EF05F2"/>
    <w:rsid w:val="00EF0790"/>
    <w:rsid w:val="00EF0AD0"/>
    <w:rsid w:val="00EF0CBB"/>
    <w:rsid w:val="00EF140A"/>
    <w:rsid w:val="00EF268C"/>
    <w:rsid w:val="00EF31DB"/>
    <w:rsid w:val="00EF31F8"/>
    <w:rsid w:val="00EF3278"/>
    <w:rsid w:val="00EF386F"/>
    <w:rsid w:val="00EF3E8B"/>
    <w:rsid w:val="00EF4038"/>
    <w:rsid w:val="00EF4178"/>
    <w:rsid w:val="00EF5350"/>
    <w:rsid w:val="00EF58F5"/>
    <w:rsid w:val="00EF5E7D"/>
    <w:rsid w:val="00EF60EB"/>
    <w:rsid w:val="00EF630E"/>
    <w:rsid w:val="00EF6360"/>
    <w:rsid w:val="00EF6B91"/>
    <w:rsid w:val="00EF6BB1"/>
    <w:rsid w:val="00EF70BF"/>
    <w:rsid w:val="00EF70C8"/>
    <w:rsid w:val="00EF7482"/>
    <w:rsid w:val="00EF7793"/>
    <w:rsid w:val="00EF7874"/>
    <w:rsid w:val="00EF7BB3"/>
    <w:rsid w:val="00EF7FED"/>
    <w:rsid w:val="00F00094"/>
    <w:rsid w:val="00F00678"/>
    <w:rsid w:val="00F014C6"/>
    <w:rsid w:val="00F0152D"/>
    <w:rsid w:val="00F01579"/>
    <w:rsid w:val="00F01723"/>
    <w:rsid w:val="00F0248A"/>
    <w:rsid w:val="00F029A6"/>
    <w:rsid w:val="00F02A40"/>
    <w:rsid w:val="00F0312A"/>
    <w:rsid w:val="00F031B9"/>
    <w:rsid w:val="00F03301"/>
    <w:rsid w:val="00F04030"/>
    <w:rsid w:val="00F048FD"/>
    <w:rsid w:val="00F049EC"/>
    <w:rsid w:val="00F04D49"/>
    <w:rsid w:val="00F04F1F"/>
    <w:rsid w:val="00F050D0"/>
    <w:rsid w:val="00F052DC"/>
    <w:rsid w:val="00F052DF"/>
    <w:rsid w:val="00F0542E"/>
    <w:rsid w:val="00F0548C"/>
    <w:rsid w:val="00F05F11"/>
    <w:rsid w:val="00F0645B"/>
    <w:rsid w:val="00F06613"/>
    <w:rsid w:val="00F06EBF"/>
    <w:rsid w:val="00F07361"/>
    <w:rsid w:val="00F07609"/>
    <w:rsid w:val="00F1045B"/>
    <w:rsid w:val="00F10BE3"/>
    <w:rsid w:val="00F10FC3"/>
    <w:rsid w:val="00F11112"/>
    <w:rsid w:val="00F1131A"/>
    <w:rsid w:val="00F12247"/>
    <w:rsid w:val="00F126AD"/>
    <w:rsid w:val="00F12985"/>
    <w:rsid w:val="00F12BB7"/>
    <w:rsid w:val="00F12ED0"/>
    <w:rsid w:val="00F136C6"/>
    <w:rsid w:val="00F13C3B"/>
    <w:rsid w:val="00F13CFE"/>
    <w:rsid w:val="00F14365"/>
    <w:rsid w:val="00F145A6"/>
    <w:rsid w:val="00F147BB"/>
    <w:rsid w:val="00F14B1B"/>
    <w:rsid w:val="00F15197"/>
    <w:rsid w:val="00F1546C"/>
    <w:rsid w:val="00F15735"/>
    <w:rsid w:val="00F15A89"/>
    <w:rsid w:val="00F16853"/>
    <w:rsid w:val="00F168BE"/>
    <w:rsid w:val="00F1759B"/>
    <w:rsid w:val="00F17711"/>
    <w:rsid w:val="00F17A3F"/>
    <w:rsid w:val="00F17EEA"/>
    <w:rsid w:val="00F20753"/>
    <w:rsid w:val="00F21FA3"/>
    <w:rsid w:val="00F2216C"/>
    <w:rsid w:val="00F2268D"/>
    <w:rsid w:val="00F226A1"/>
    <w:rsid w:val="00F22C87"/>
    <w:rsid w:val="00F22E41"/>
    <w:rsid w:val="00F22FAB"/>
    <w:rsid w:val="00F23982"/>
    <w:rsid w:val="00F23B17"/>
    <w:rsid w:val="00F23D1D"/>
    <w:rsid w:val="00F23D42"/>
    <w:rsid w:val="00F24925"/>
    <w:rsid w:val="00F252FF"/>
    <w:rsid w:val="00F25364"/>
    <w:rsid w:val="00F26024"/>
    <w:rsid w:val="00F26B4B"/>
    <w:rsid w:val="00F26DFE"/>
    <w:rsid w:val="00F26EBE"/>
    <w:rsid w:val="00F2706C"/>
    <w:rsid w:val="00F2732D"/>
    <w:rsid w:val="00F2759A"/>
    <w:rsid w:val="00F30020"/>
    <w:rsid w:val="00F30372"/>
    <w:rsid w:val="00F3094A"/>
    <w:rsid w:val="00F309DC"/>
    <w:rsid w:val="00F31FEB"/>
    <w:rsid w:val="00F324CB"/>
    <w:rsid w:val="00F3376E"/>
    <w:rsid w:val="00F33AAE"/>
    <w:rsid w:val="00F34290"/>
    <w:rsid w:val="00F34DF3"/>
    <w:rsid w:val="00F35DE7"/>
    <w:rsid w:val="00F36331"/>
    <w:rsid w:val="00F36EC5"/>
    <w:rsid w:val="00F3747A"/>
    <w:rsid w:val="00F3769F"/>
    <w:rsid w:val="00F37864"/>
    <w:rsid w:val="00F37935"/>
    <w:rsid w:val="00F37A01"/>
    <w:rsid w:val="00F37F7D"/>
    <w:rsid w:val="00F40947"/>
    <w:rsid w:val="00F42095"/>
    <w:rsid w:val="00F421B5"/>
    <w:rsid w:val="00F42AAA"/>
    <w:rsid w:val="00F42FCD"/>
    <w:rsid w:val="00F430F3"/>
    <w:rsid w:val="00F432FC"/>
    <w:rsid w:val="00F43692"/>
    <w:rsid w:val="00F43C87"/>
    <w:rsid w:val="00F44205"/>
    <w:rsid w:val="00F4422D"/>
    <w:rsid w:val="00F4445A"/>
    <w:rsid w:val="00F44C9F"/>
    <w:rsid w:val="00F44DA3"/>
    <w:rsid w:val="00F45D5E"/>
    <w:rsid w:val="00F45F9F"/>
    <w:rsid w:val="00F46127"/>
    <w:rsid w:val="00F461A0"/>
    <w:rsid w:val="00F463F1"/>
    <w:rsid w:val="00F4691D"/>
    <w:rsid w:val="00F4699F"/>
    <w:rsid w:val="00F46FCD"/>
    <w:rsid w:val="00F475BC"/>
    <w:rsid w:val="00F477AD"/>
    <w:rsid w:val="00F4787A"/>
    <w:rsid w:val="00F50032"/>
    <w:rsid w:val="00F504AE"/>
    <w:rsid w:val="00F50814"/>
    <w:rsid w:val="00F512F7"/>
    <w:rsid w:val="00F516EF"/>
    <w:rsid w:val="00F51C0E"/>
    <w:rsid w:val="00F52975"/>
    <w:rsid w:val="00F52FAD"/>
    <w:rsid w:val="00F531A7"/>
    <w:rsid w:val="00F5396A"/>
    <w:rsid w:val="00F53C49"/>
    <w:rsid w:val="00F540B0"/>
    <w:rsid w:val="00F543EB"/>
    <w:rsid w:val="00F5502B"/>
    <w:rsid w:val="00F55188"/>
    <w:rsid w:val="00F5576D"/>
    <w:rsid w:val="00F557CA"/>
    <w:rsid w:val="00F561CB"/>
    <w:rsid w:val="00F56314"/>
    <w:rsid w:val="00F57051"/>
    <w:rsid w:val="00F573E3"/>
    <w:rsid w:val="00F605BA"/>
    <w:rsid w:val="00F609A6"/>
    <w:rsid w:val="00F60D62"/>
    <w:rsid w:val="00F6165C"/>
    <w:rsid w:val="00F6177B"/>
    <w:rsid w:val="00F61E38"/>
    <w:rsid w:val="00F62171"/>
    <w:rsid w:val="00F625F2"/>
    <w:rsid w:val="00F62EA1"/>
    <w:rsid w:val="00F630C9"/>
    <w:rsid w:val="00F64141"/>
    <w:rsid w:val="00F64177"/>
    <w:rsid w:val="00F65AD7"/>
    <w:rsid w:val="00F6611E"/>
    <w:rsid w:val="00F663F9"/>
    <w:rsid w:val="00F6647A"/>
    <w:rsid w:val="00F6686C"/>
    <w:rsid w:val="00F67505"/>
    <w:rsid w:val="00F67739"/>
    <w:rsid w:val="00F67EEE"/>
    <w:rsid w:val="00F70D5E"/>
    <w:rsid w:val="00F70E11"/>
    <w:rsid w:val="00F71243"/>
    <w:rsid w:val="00F713DB"/>
    <w:rsid w:val="00F71DFC"/>
    <w:rsid w:val="00F721A0"/>
    <w:rsid w:val="00F721FC"/>
    <w:rsid w:val="00F72808"/>
    <w:rsid w:val="00F729CD"/>
    <w:rsid w:val="00F72B42"/>
    <w:rsid w:val="00F72BB2"/>
    <w:rsid w:val="00F72BF2"/>
    <w:rsid w:val="00F730C9"/>
    <w:rsid w:val="00F73218"/>
    <w:rsid w:val="00F733F3"/>
    <w:rsid w:val="00F73617"/>
    <w:rsid w:val="00F73A39"/>
    <w:rsid w:val="00F73E47"/>
    <w:rsid w:val="00F75678"/>
    <w:rsid w:val="00F758FF"/>
    <w:rsid w:val="00F75D3A"/>
    <w:rsid w:val="00F76174"/>
    <w:rsid w:val="00F76476"/>
    <w:rsid w:val="00F77337"/>
    <w:rsid w:val="00F77528"/>
    <w:rsid w:val="00F77A41"/>
    <w:rsid w:val="00F80139"/>
    <w:rsid w:val="00F8038D"/>
    <w:rsid w:val="00F805A5"/>
    <w:rsid w:val="00F80A54"/>
    <w:rsid w:val="00F8162A"/>
    <w:rsid w:val="00F818FE"/>
    <w:rsid w:val="00F8246E"/>
    <w:rsid w:val="00F825B5"/>
    <w:rsid w:val="00F82805"/>
    <w:rsid w:val="00F82EA5"/>
    <w:rsid w:val="00F8343F"/>
    <w:rsid w:val="00F83665"/>
    <w:rsid w:val="00F8398F"/>
    <w:rsid w:val="00F841CA"/>
    <w:rsid w:val="00F849FE"/>
    <w:rsid w:val="00F85588"/>
    <w:rsid w:val="00F86F6C"/>
    <w:rsid w:val="00F87322"/>
    <w:rsid w:val="00F8763B"/>
    <w:rsid w:val="00F876AB"/>
    <w:rsid w:val="00F87C31"/>
    <w:rsid w:val="00F902B7"/>
    <w:rsid w:val="00F905EB"/>
    <w:rsid w:val="00F908AC"/>
    <w:rsid w:val="00F91565"/>
    <w:rsid w:val="00F916EE"/>
    <w:rsid w:val="00F91CBE"/>
    <w:rsid w:val="00F91DAB"/>
    <w:rsid w:val="00F920F5"/>
    <w:rsid w:val="00F9212E"/>
    <w:rsid w:val="00F92670"/>
    <w:rsid w:val="00F928D8"/>
    <w:rsid w:val="00F935BB"/>
    <w:rsid w:val="00F939E0"/>
    <w:rsid w:val="00F940F4"/>
    <w:rsid w:val="00F941DB"/>
    <w:rsid w:val="00F9445F"/>
    <w:rsid w:val="00F94FCA"/>
    <w:rsid w:val="00F95558"/>
    <w:rsid w:val="00F95809"/>
    <w:rsid w:val="00F959E7"/>
    <w:rsid w:val="00F95F0A"/>
    <w:rsid w:val="00F96E21"/>
    <w:rsid w:val="00F970BA"/>
    <w:rsid w:val="00F9786F"/>
    <w:rsid w:val="00FA0329"/>
    <w:rsid w:val="00FA1A77"/>
    <w:rsid w:val="00FA2C5A"/>
    <w:rsid w:val="00FA3738"/>
    <w:rsid w:val="00FA3868"/>
    <w:rsid w:val="00FA39F2"/>
    <w:rsid w:val="00FA49D5"/>
    <w:rsid w:val="00FA4F28"/>
    <w:rsid w:val="00FA4FDF"/>
    <w:rsid w:val="00FA5498"/>
    <w:rsid w:val="00FA5504"/>
    <w:rsid w:val="00FA5868"/>
    <w:rsid w:val="00FA6B7E"/>
    <w:rsid w:val="00FA74B5"/>
    <w:rsid w:val="00FA7560"/>
    <w:rsid w:val="00FA7A5F"/>
    <w:rsid w:val="00FB0E94"/>
    <w:rsid w:val="00FB31EA"/>
    <w:rsid w:val="00FB3A70"/>
    <w:rsid w:val="00FB495B"/>
    <w:rsid w:val="00FB50A9"/>
    <w:rsid w:val="00FB5621"/>
    <w:rsid w:val="00FB57DB"/>
    <w:rsid w:val="00FB6052"/>
    <w:rsid w:val="00FB64A6"/>
    <w:rsid w:val="00FB6669"/>
    <w:rsid w:val="00FB71C9"/>
    <w:rsid w:val="00FB72F7"/>
    <w:rsid w:val="00FB7864"/>
    <w:rsid w:val="00FC06E3"/>
    <w:rsid w:val="00FC0D8B"/>
    <w:rsid w:val="00FC0F71"/>
    <w:rsid w:val="00FC160C"/>
    <w:rsid w:val="00FC1630"/>
    <w:rsid w:val="00FC22AB"/>
    <w:rsid w:val="00FC272E"/>
    <w:rsid w:val="00FC294A"/>
    <w:rsid w:val="00FC2965"/>
    <w:rsid w:val="00FC30F3"/>
    <w:rsid w:val="00FC329C"/>
    <w:rsid w:val="00FC3EF5"/>
    <w:rsid w:val="00FC4AA5"/>
    <w:rsid w:val="00FC4DBD"/>
    <w:rsid w:val="00FC594B"/>
    <w:rsid w:val="00FC5DC5"/>
    <w:rsid w:val="00FC6084"/>
    <w:rsid w:val="00FC62BC"/>
    <w:rsid w:val="00FC66DF"/>
    <w:rsid w:val="00FC67AD"/>
    <w:rsid w:val="00FC6AED"/>
    <w:rsid w:val="00FC6FFC"/>
    <w:rsid w:val="00FC7CD8"/>
    <w:rsid w:val="00FC7D2E"/>
    <w:rsid w:val="00FC7DDB"/>
    <w:rsid w:val="00FC7EF4"/>
    <w:rsid w:val="00FD07C6"/>
    <w:rsid w:val="00FD07CD"/>
    <w:rsid w:val="00FD0B41"/>
    <w:rsid w:val="00FD0DA5"/>
    <w:rsid w:val="00FD1088"/>
    <w:rsid w:val="00FD1C26"/>
    <w:rsid w:val="00FD2394"/>
    <w:rsid w:val="00FD2754"/>
    <w:rsid w:val="00FD2A9E"/>
    <w:rsid w:val="00FD2E5F"/>
    <w:rsid w:val="00FD2E62"/>
    <w:rsid w:val="00FD2FAE"/>
    <w:rsid w:val="00FD3C46"/>
    <w:rsid w:val="00FD4211"/>
    <w:rsid w:val="00FD4337"/>
    <w:rsid w:val="00FD45E5"/>
    <w:rsid w:val="00FD45FD"/>
    <w:rsid w:val="00FD4BE7"/>
    <w:rsid w:val="00FD4FF0"/>
    <w:rsid w:val="00FD539B"/>
    <w:rsid w:val="00FD5726"/>
    <w:rsid w:val="00FD5BD3"/>
    <w:rsid w:val="00FD5FAA"/>
    <w:rsid w:val="00FD7452"/>
    <w:rsid w:val="00FD7841"/>
    <w:rsid w:val="00FD7B89"/>
    <w:rsid w:val="00FE08B5"/>
    <w:rsid w:val="00FE0AE0"/>
    <w:rsid w:val="00FE104B"/>
    <w:rsid w:val="00FE1B08"/>
    <w:rsid w:val="00FE1E87"/>
    <w:rsid w:val="00FE2431"/>
    <w:rsid w:val="00FE294D"/>
    <w:rsid w:val="00FE2CD5"/>
    <w:rsid w:val="00FE2E4B"/>
    <w:rsid w:val="00FE2E8A"/>
    <w:rsid w:val="00FE3067"/>
    <w:rsid w:val="00FE3611"/>
    <w:rsid w:val="00FE3840"/>
    <w:rsid w:val="00FE47AC"/>
    <w:rsid w:val="00FE4C58"/>
    <w:rsid w:val="00FE4D59"/>
    <w:rsid w:val="00FE5D6D"/>
    <w:rsid w:val="00FE634F"/>
    <w:rsid w:val="00FE6709"/>
    <w:rsid w:val="00FE6746"/>
    <w:rsid w:val="00FE6DB8"/>
    <w:rsid w:val="00FE751E"/>
    <w:rsid w:val="00FE7DCF"/>
    <w:rsid w:val="00FE7EE9"/>
    <w:rsid w:val="00FF025C"/>
    <w:rsid w:val="00FF0B31"/>
    <w:rsid w:val="00FF0E52"/>
    <w:rsid w:val="00FF2293"/>
    <w:rsid w:val="00FF2549"/>
    <w:rsid w:val="00FF2550"/>
    <w:rsid w:val="00FF2D71"/>
    <w:rsid w:val="00FF321A"/>
    <w:rsid w:val="00FF33E2"/>
    <w:rsid w:val="00FF3592"/>
    <w:rsid w:val="00FF37DC"/>
    <w:rsid w:val="00FF384C"/>
    <w:rsid w:val="00FF4CE7"/>
    <w:rsid w:val="00FF4D2F"/>
    <w:rsid w:val="00FF5299"/>
    <w:rsid w:val="00FF52D2"/>
    <w:rsid w:val="00FF5C16"/>
    <w:rsid w:val="00FF60E7"/>
    <w:rsid w:val="00FF610D"/>
    <w:rsid w:val="00FF673B"/>
    <w:rsid w:val="00FF67BB"/>
    <w:rsid w:val="00FF6F8B"/>
    <w:rsid w:val="00FF7362"/>
    <w:rsid w:val="0289C080"/>
    <w:rsid w:val="03D97BAF"/>
    <w:rsid w:val="04A2068D"/>
    <w:rsid w:val="04D58BD5"/>
    <w:rsid w:val="05183B64"/>
    <w:rsid w:val="06C39E99"/>
    <w:rsid w:val="074BF6CC"/>
    <w:rsid w:val="07928556"/>
    <w:rsid w:val="07EB1E99"/>
    <w:rsid w:val="0953A4A4"/>
    <w:rsid w:val="0BE681D3"/>
    <w:rsid w:val="0C6FAA73"/>
    <w:rsid w:val="0C93F015"/>
    <w:rsid w:val="0F3DE054"/>
    <w:rsid w:val="11F7D6DC"/>
    <w:rsid w:val="1296FB07"/>
    <w:rsid w:val="13D6EDD1"/>
    <w:rsid w:val="146CEEF3"/>
    <w:rsid w:val="146FD969"/>
    <w:rsid w:val="15C2CB56"/>
    <w:rsid w:val="15CC1A8E"/>
    <w:rsid w:val="1855DD89"/>
    <w:rsid w:val="18DAA4E9"/>
    <w:rsid w:val="18EE8429"/>
    <w:rsid w:val="1935FAF2"/>
    <w:rsid w:val="1937688B"/>
    <w:rsid w:val="197A60A3"/>
    <w:rsid w:val="1A99BB58"/>
    <w:rsid w:val="1B9EB922"/>
    <w:rsid w:val="1BF1B626"/>
    <w:rsid w:val="1C45CA58"/>
    <w:rsid w:val="1DF8E9A5"/>
    <w:rsid w:val="1E81570E"/>
    <w:rsid w:val="1F54041E"/>
    <w:rsid w:val="21987A60"/>
    <w:rsid w:val="22939266"/>
    <w:rsid w:val="23650AE8"/>
    <w:rsid w:val="2385BB29"/>
    <w:rsid w:val="2535066A"/>
    <w:rsid w:val="264F0FF5"/>
    <w:rsid w:val="26855C1B"/>
    <w:rsid w:val="27ECCD1F"/>
    <w:rsid w:val="282B5E44"/>
    <w:rsid w:val="294B2DB7"/>
    <w:rsid w:val="2A6F3EF4"/>
    <w:rsid w:val="2B9F8942"/>
    <w:rsid w:val="2C2017C1"/>
    <w:rsid w:val="2C76E2E8"/>
    <w:rsid w:val="2D080CCF"/>
    <w:rsid w:val="2D9BE90C"/>
    <w:rsid w:val="2F2E4D6F"/>
    <w:rsid w:val="2FAFFF2D"/>
    <w:rsid w:val="3044DF33"/>
    <w:rsid w:val="311F20A6"/>
    <w:rsid w:val="3179A8D2"/>
    <w:rsid w:val="32A1C8AA"/>
    <w:rsid w:val="32D455D2"/>
    <w:rsid w:val="32F66BD3"/>
    <w:rsid w:val="3414E708"/>
    <w:rsid w:val="3425F920"/>
    <w:rsid w:val="35208925"/>
    <w:rsid w:val="3651E5ED"/>
    <w:rsid w:val="37750EEA"/>
    <w:rsid w:val="381D4C35"/>
    <w:rsid w:val="39A769B1"/>
    <w:rsid w:val="3A8616BF"/>
    <w:rsid w:val="3A86D511"/>
    <w:rsid w:val="3A886554"/>
    <w:rsid w:val="3ADF67B7"/>
    <w:rsid w:val="3BA88B08"/>
    <w:rsid w:val="3BB2AFB2"/>
    <w:rsid w:val="3C26E235"/>
    <w:rsid w:val="3C509876"/>
    <w:rsid w:val="3DFCA874"/>
    <w:rsid w:val="3E170879"/>
    <w:rsid w:val="3E4DDCF4"/>
    <w:rsid w:val="3E9D8050"/>
    <w:rsid w:val="3EBED2E0"/>
    <w:rsid w:val="3F0DB18F"/>
    <w:rsid w:val="3FCC0137"/>
    <w:rsid w:val="40E6B56A"/>
    <w:rsid w:val="41BD5C47"/>
    <w:rsid w:val="41D6CCFC"/>
    <w:rsid w:val="44EE9C75"/>
    <w:rsid w:val="45D7B21E"/>
    <w:rsid w:val="45DAD662"/>
    <w:rsid w:val="476F0778"/>
    <w:rsid w:val="477D6580"/>
    <w:rsid w:val="486D2A06"/>
    <w:rsid w:val="4942C216"/>
    <w:rsid w:val="496A1E1E"/>
    <w:rsid w:val="4ACAEBDF"/>
    <w:rsid w:val="4AFEFE13"/>
    <w:rsid w:val="4B3391EB"/>
    <w:rsid w:val="4B4CB33A"/>
    <w:rsid w:val="4B5169DC"/>
    <w:rsid w:val="4B5E32AA"/>
    <w:rsid w:val="4C7DD425"/>
    <w:rsid w:val="4CF78BF8"/>
    <w:rsid w:val="4D88C63C"/>
    <w:rsid w:val="4D8F86E6"/>
    <w:rsid w:val="4E0E4251"/>
    <w:rsid w:val="4F322A0D"/>
    <w:rsid w:val="4FD976EE"/>
    <w:rsid w:val="521881DD"/>
    <w:rsid w:val="52D24CBF"/>
    <w:rsid w:val="5346A221"/>
    <w:rsid w:val="535F8ECD"/>
    <w:rsid w:val="536BA474"/>
    <w:rsid w:val="540D88B6"/>
    <w:rsid w:val="542D0E06"/>
    <w:rsid w:val="5518E373"/>
    <w:rsid w:val="55B0F190"/>
    <w:rsid w:val="55DC2C21"/>
    <w:rsid w:val="56E8EB70"/>
    <w:rsid w:val="59E8F2E3"/>
    <w:rsid w:val="5A39023B"/>
    <w:rsid w:val="5D94C5E8"/>
    <w:rsid w:val="5DCDCFC7"/>
    <w:rsid w:val="5E2B33C5"/>
    <w:rsid w:val="5E99793A"/>
    <w:rsid w:val="5F569438"/>
    <w:rsid w:val="6169B5F8"/>
    <w:rsid w:val="622AEBC3"/>
    <w:rsid w:val="628634E3"/>
    <w:rsid w:val="630221AB"/>
    <w:rsid w:val="6479DBA5"/>
    <w:rsid w:val="647F3F1A"/>
    <w:rsid w:val="64CB55CB"/>
    <w:rsid w:val="64CFDF23"/>
    <w:rsid w:val="65AF6870"/>
    <w:rsid w:val="65CEE7ED"/>
    <w:rsid w:val="661750D5"/>
    <w:rsid w:val="66D2C524"/>
    <w:rsid w:val="67A66F4E"/>
    <w:rsid w:val="6810F87F"/>
    <w:rsid w:val="691ED8E1"/>
    <w:rsid w:val="69828DDE"/>
    <w:rsid w:val="69A85568"/>
    <w:rsid w:val="69DF4981"/>
    <w:rsid w:val="6A19907C"/>
    <w:rsid w:val="6BD317D5"/>
    <w:rsid w:val="6C23F10B"/>
    <w:rsid w:val="6C3D5FFE"/>
    <w:rsid w:val="6CA7A71E"/>
    <w:rsid w:val="6CED201C"/>
    <w:rsid w:val="6ED7B684"/>
    <w:rsid w:val="6EDC3AC2"/>
    <w:rsid w:val="6F2D7A9F"/>
    <w:rsid w:val="6FFE6382"/>
    <w:rsid w:val="70026006"/>
    <w:rsid w:val="70158514"/>
    <w:rsid w:val="707386E5"/>
    <w:rsid w:val="71CA9671"/>
    <w:rsid w:val="722528ED"/>
    <w:rsid w:val="72739CB5"/>
    <w:rsid w:val="73A9F8B7"/>
    <w:rsid w:val="750E9642"/>
    <w:rsid w:val="7680E9E1"/>
    <w:rsid w:val="768A1D8D"/>
    <w:rsid w:val="76944768"/>
    <w:rsid w:val="77DDE06F"/>
    <w:rsid w:val="77EF1B46"/>
    <w:rsid w:val="77F708CC"/>
    <w:rsid w:val="7847FB4A"/>
    <w:rsid w:val="7890CFC0"/>
    <w:rsid w:val="792E93BE"/>
    <w:rsid w:val="79BA4E4A"/>
    <w:rsid w:val="7A2CA021"/>
    <w:rsid w:val="7A3AE69B"/>
    <w:rsid w:val="7D17FF60"/>
    <w:rsid w:val="7FB0CDF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F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59"/>
    <w:pPr>
      <w:spacing w:before="120" w:line="240" w:lineRule="auto"/>
      <w:jc w:val="both"/>
    </w:pPr>
    <w:rPr>
      <w:sz w:val="24"/>
    </w:rPr>
  </w:style>
  <w:style w:type="paragraph" w:styleId="Heading1">
    <w:name w:val="heading 1"/>
    <w:next w:val="MSACESParagraph"/>
    <w:link w:val="Heading1Char"/>
    <w:uiPriority w:val="2"/>
    <w:qFormat/>
    <w:rsid w:val="005C2085"/>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186307"/>
    <w:pPr>
      <w:keepNext/>
      <w:keepLines/>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Styl moj,Akapit z listą11,ES Paragraph,PBAC normal points,Bullet List,Figure_name"/>
    <w:basedOn w:val="Normal"/>
    <w:link w:val="ListParagraphChar"/>
    <w:uiPriority w:val="34"/>
    <w:qFormat/>
    <w:rsid w:val="004908B7"/>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rPr>
      <w:rFonts w:cstheme="minorHAnsi"/>
      <w:color w:val="3366FF"/>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PBAC table,Legemiddelverket 3"/>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c"/>
    <w:next w:val="Normal"/>
    <w:link w:val="CaptionChar"/>
    <w:autoRedefine/>
    <w:qFormat/>
    <w:rsid w:val="00CE1824"/>
    <w:pPr>
      <w:keepNext/>
      <w:widowControl w:val="0"/>
      <w:tabs>
        <w:tab w:val="left" w:pos="1560"/>
      </w:tabs>
      <w:spacing w:after="0" w:line="240" w:lineRule="auto"/>
      <w:ind w:left="1276" w:right="57" w:hanging="1276"/>
      <w:contextualSpacing/>
      <w:jc w:val="both"/>
    </w:pPr>
    <w:rPr>
      <w:rFonts w:ascii="Arial Narrow" w:hAnsi="Arial Narrow"/>
      <w:b/>
      <w:iCs/>
      <w:sz w:val="20"/>
      <w:szCs w:val="18"/>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aliases w:val="Footnote Text Char Char,Footnote Text Char2,Footnote Text Char Char1"/>
    <w:basedOn w:val="Normal"/>
    <w:link w:val="FootnoteTextChar"/>
    <w:uiPriority w:val="99"/>
    <w:semiHidden/>
    <w:qFormat/>
    <w:rsid w:val="00BA3306"/>
    <w:pPr>
      <w:spacing w:before="0" w:after="0"/>
    </w:pPr>
    <w:rPr>
      <w:sz w:val="18"/>
      <w:szCs w:val="20"/>
    </w:rPr>
  </w:style>
  <w:style w:type="character" w:customStyle="1" w:styleId="FootnoteTextChar">
    <w:name w:val="Footnote Text Char"/>
    <w:aliases w:val="Footnote Text Char Char Char,Footnote Text Char2 Char,Footnote Text Char Char1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link w:val="Caption"/>
    <w:rsid w:val="00CE1824"/>
    <w:rPr>
      <w:rFonts w:ascii="Arial Narrow" w:hAnsi="Arial Narrow"/>
      <w:b/>
      <w:iCs/>
      <w:sz w:val="20"/>
      <w:szCs w:val="18"/>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AG Header"/>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AG Header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Styl moj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imes" w:hAnsi="Times"/>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 w:hAnsi="Time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 w:hAnsi="Times"/>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F82805"/>
    <w:pPr>
      <w:numPr>
        <w:numId w:val="7"/>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rPr>
      <w:i w:val="0"/>
      <w:smallCaps/>
      <w:sz w:val="32"/>
    </w:rPr>
  </w:style>
  <w:style w:type="paragraph" w:customStyle="1" w:styleId="PBACESHeading3">
    <w:name w:val="PBAC ES Heading 3"/>
    <w:basedOn w:val="PBACESHeading2"/>
    <w:link w:val="PBACESHeading3Char"/>
    <w:uiPriority w:val="1"/>
    <w:qFormat/>
    <w:rsid w:val="00396339"/>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EF630E"/>
    <w:pPr>
      <w:numPr>
        <w:numId w:val="8"/>
      </w:numPr>
      <w:spacing w:after="120"/>
      <w:ind w:left="1134" w:hanging="357"/>
    </w:pPr>
  </w:style>
  <w:style w:type="character" w:customStyle="1" w:styleId="PBACESParagraphBulletPointChar">
    <w:name w:val="PBAC ES Paragraph Bullet Point Char"/>
    <w:basedOn w:val="ListParagraphChar"/>
    <w:link w:val="PBACESParagraphBulletPoint"/>
    <w:uiPriority w:val="1"/>
    <w:rsid w:val="00EF630E"/>
    <w:rPr>
      <w:color w:val="000000" w:themeColor="text1"/>
      <w:sz w:val="24"/>
    </w:rPr>
  </w:style>
  <w:style w:type="paragraph" w:customStyle="1" w:styleId="OutlineHeading2">
    <w:name w:val="Outline Heading 2"/>
    <w:basedOn w:val="Heading2"/>
    <w:link w:val="OutlineHeading2Char"/>
    <w:uiPriority w:val="3"/>
    <w:qFormat/>
    <w:rsid w:val="007109D8"/>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rsid w:val="001E1827"/>
    <w:pPr>
      <w:spacing w:before="160" w:after="240"/>
    </w:pPr>
    <w:rPr>
      <w:rFonts w:ascii="Arial" w:hAnsi="Arial"/>
      <w:sz w:val="24"/>
    </w:rPr>
  </w:style>
  <w:style w:type="paragraph" w:customStyle="1" w:styleId="MSACESParagraph">
    <w:name w:val="MSAC ES Paragraph"/>
    <w:link w:val="MSACESParagraphChar"/>
    <w:uiPriority w:val="1"/>
    <w:qFormat/>
    <w:rsid w:val="001F298B"/>
    <w:pPr>
      <w:spacing w:after="240" w:line="240" w:lineRule="auto"/>
      <w:jc w:val="both"/>
    </w:pPr>
    <w:rPr>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rsid w:val="001E1827"/>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3"/>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1F298B"/>
    <w:rPr>
      <w:sz w:val="24"/>
    </w:rPr>
  </w:style>
  <w:style w:type="character" w:customStyle="1" w:styleId="MSACESBulletPointChar">
    <w:name w:val="MSAC ES Bullet Point Char"/>
    <w:basedOn w:val="MSACESParagraphChar"/>
    <w:link w:val="MSACESBulletPoint"/>
    <w:uiPriority w:val="1"/>
    <w:rsid w:val="00394C83"/>
    <w:rPr>
      <w:sz w:val="24"/>
    </w:rPr>
  </w:style>
  <w:style w:type="paragraph" w:customStyle="1" w:styleId="ESHeading1">
    <w:name w:val="ES Heading 1"/>
    <w:basedOn w:val="Heading1"/>
    <w:next w:val="Heading1"/>
    <w:uiPriority w:val="8"/>
    <w:semiHidden/>
    <w:rsid w:val="00703418"/>
    <w:p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5"/>
      </w:numPr>
    </w:pPr>
  </w:style>
  <w:style w:type="paragraph" w:customStyle="1" w:styleId="MainBodyBulletPoint">
    <w:name w:val="MainBody Bullet Point"/>
    <w:basedOn w:val="InstructionBulletpoint"/>
    <w:link w:val="MainBodyBulletPointChar"/>
    <w:uiPriority w:val="1"/>
    <w:qFormat/>
    <w:rsid w:val="002532B4"/>
    <w:pPr>
      <w:numPr>
        <w:numId w:val="6"/>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9"/>
      </w:numPr>
    </w:pPr>
  </w:style>
  <w:style w:type="numbering" w:customStyle="1" w:styleId="Style2">
    <w:name w:val="Style2"/>
    <w:uiPriority w:val="99"/>
    <w:rsid w:val="002A391F"/>
    <w:pPr>
      <w:numPr>
        <w:numId w:val="11"/>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rsid w:val="003D1FB3"/>
    <w:rPr>
      <w:i/>
      <w:iCs/>
    </w:rPr>
  </w:style>
  <w:style w:type="numbering" w:customStyle="1" w:styleId="Style3">
    <w:name w:val="Style3"/>
    <w:uiPriority w:val="99"/>
    <w:rsid w:val="0076446C"/>
    <w:pPr>
      <w:numPr>
        <w:numId w:val="12"/>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Comment Text Char Char Char,Comment Text Char Char,- H19"/>
    <w:basedOn w:val="Normal"/>
    <w:link w:val="CommentTextChar"/>
    <w:unhideWhenUsed/>
    <w:qFormat/>
    <w:rsid w:val="001952BB"/>
    <w:rPr>
      <w:sz w:val="20"/>
      <w:szCs w:val="20"/>
    </w:rPr>
  </w:style>
  <w:style w:type="character" w:customStyle="1" w:styleId="CommentTextChar">
    <w:name w:val="Comment Text Char"/>
    <w:aliases w:val="Comment Text Char Char Char Char,Comment Text Char Char Char1,- H19 Char"/>
    <w:basedOn w:val="DefaultParagraphFont"/>
    <w:link w:val="CommentText"/>
    <w:rsid w:val="001952BB"/>
    <w:rPr>
      <w:sz w:val="20"/>
      <w:szCs w:val="20"/>
    </w:rPr>
  </w:style>
  <w:style w:type="paragraph" w:customStyle="1" w:styleId="Guidelinescross-ref">
    <w:name w:val="Guidelines cross-ref"/>
    <w:basedOn w:val="Normal"/>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qFormat/>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qFormat/>
    <w:rsid w:val="00FD07C6"/>
    <w:pPr>
      <w:numPr>
        <w:numId w:val="13"/>
      </w:numPr>
      <w:spacing w:before="0" w:after="0"/>
      <w:ind w:left="714" w:hanging="357"/>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15"/>
      </w:numPr>
      <w:spacing w:after="120"/>
      <w:jc w:val="left"/>
    </w:pPr>
    <w:rPr>
      <w:sz w:val="22"/>
    </w:rPr>
  </w:style>
  <w:style w:type="paragraph" w:customStyle="1" w:styleId="Summaryboxheading">
    <w:name w:val="Summary box heading"/>
    <w:basedOn w:val="Normal"/>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636D93"/>
    <w:pPr>
      <w:numPr>
        <w:numId w:val="16"/>
      </w:numPr>
      <w:spacing w:before="0" w:after="12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EF630E"/>
    <w:pPr>
      <w:keepNext/>
      <w:numPr>
        <w:numId w:val="1"/>
      </w:numPr>
      <w:spacing w:before="240" w:after="120" w:line="240" w:lineRule="auto"/>
      <w:outlineLvl w:val="0"/>
    </w:pPr>
    <w:rPr>
      <w:rFonts w:eastAsia="Times New Roman" w:cs="Arial"/>
      <w:b/>
      <w:snapToGrid w:val="0"/>
      <w:sz w:val="32"/>
      <w:szCs w:val="32"/>
    </w:rPr>
  </w:style>
  <w:style w:type="paragraph" w:customStyle="1" w:styleId="3-BodyText">
    <w:name w:val="3-Body Text"/>
    <w:basedOn w:val="ListParagraph"/>
    <w:link w:val="3-BodyTextChar"/>
    <w:qFormat/>
    <w:rsid w:val="00EF630E"/>
    <w:pPr>
      <w:numPr>
        <w:ilvl w:val="4"/>
        <w:numId w:val="1"/>
      </w:numPr>
      <w:spacing w:before="0" w:after="120"/>
    </w:pPr>
    <w:rPr>
      <w:color w:val="auto"/>
    </w:rPr>
  </w:style>
  <w:style w:type="character" w:customStyle="1" w:styleId="3-BodyTextChar">
    <w:name w:val="3-Body Text Char"/>
    <w:basedOn w:val="ListParagraphChar"/>
    <w:link w:val="3-BodyText"/>
    <w:rsid w:val="00EF630E"/>
    <w:rPr>
      <w:color w:val="000000" w:themeColor="text1"/>
      <w:sz w:val="24"/>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basedOn w:val="Normal"/>
    <w:link w:val="BodyTextChar"/>
    <w:uiPriority w:val="4"/>
    <w:semiHidden/>
    <w:unhideWhenUsed/>
    <w:rsid w:val="009E2636"/>
    <w:pPr>
      <w:spacing w:after="120"/>
    </w:pPr>
  </w:style>
  <w:style w:type="character" w:customStyle="1" w:styleId="BodyTextChar">
    <w:name w:val="Body Text Char"/>
    <w:basedOn w:val="DefaultParagraphFont"/>
    <w:link w:val="BodyText"/>
    <w:uiPriority w:val="4"/>
    <w:semiHidden/>
    <w:rsid w:val="009E2636"/>
    <w:rPr>
      <w:sz w:val="24"/>
    </w:rPr>
  </w:style>
  <w:style w:type="paragraph" w:customStyle="1" w:styleId="4-SubsectionHeading">
    <w:name w:val="4-Subsection Heading"/>
    <w:basedOn w:val="Heading2"/>
    <w:next w:val="3-BodyText"/>
    <w:link w:val="4-SubsectionHeadingChar"/>
    <w:qFormat/>
    <w:rsid w:val="00EF630E"/>
    <w:pPr>
      <w:keepLines w:val="0"/>
      <w:numPr>
        <w:ilvl w:val="2"/>
        <w:numId w:val="1"/>
      </w:numPr>
      <w:spacing w:before="120"/>
      <w:ind w:left="0" w:firstLine="0"/>
      <w:jc w:val="both"/>
    </w:pPr>
    <w:rPr>
      <w:rFonts w:asciiTheme="minorHAnsi" w:hAnsiTheme="minorHAnsi"/>
      <w:snapToGrid/>
      <w:spacing w:val="5"/>
      <w:kern w:val="28"/>
      <w:szCs w:val="36"/>
    </w:rPr>
  </w:style>
  <w:style w:type="character" w:customStyle="1" w:styleId="4-SubsectionHeadingChar">
    <w:name w:val="4-Subsection Heading Char"/>
    <w:basedOn w:val="Heading2Char"/>
    <w:link w:val="4-SubsectionHeading"/>
    <w:rsid w:val="00EF630E"/>
    <w:rPr>
      <w:rFonts w:ascii="Arial" w:eastAsiaTheme="majorEastAsia" w:hAnsi="Arial" w:cstheme="majorBidi"/>
      <w:b/>
      <w:i/>
      <w:snapToGrid/>
      <w:spacing w:val="5"/>
      <w:kern w:val="28"/>
      <w:sz w:val="28"/>
      <w:szCs w:val="36"/>
    </w:rPr>
  </w:style>
  <w:style w:type="paragraph" w:customStyle="1" w:styleId="TableHeading">
    <w:name w:val="TableHeading"/>
    <w:basedOn w:val="Normal"/>
    <w:link w:val="TableHeadingChar"/>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paragraph" w:customStyle="1" w:styleId="DashEndList">
    <w:name w:val="Dash End List"/>
    <w:basedOn w:val="Normal"/>
    <w:qFormat/>
    <w:rsid w:val="0075662A"/>
    <w:pPr>
      <w:numPr>
        <w:numId w:val="17"/>
      </w:numPr>
      <w:spacing w:before="0" w:after="240" w:line="276" w:lineRule="auto"/>
      <w:contextualSpacing/>
      <w:jc w:val="left"/>
    </w:pPr>
    <w:rPr>
      <w:rFonts w:cs="Calibri (Body)"/>
      <w:sz w:val="22"/>
      <w:lang w:val="en-US"/>
    </w:rPr>
  </w:style>
  <w:style w:type="paragraph" w:customStyle="1" w:styleId="Tablenotes">
    <w:name w:val="Tablenotes"/>
    <w:basedOn w:val="Normal"/>
    <w:link w:val="TablenotesChar"/>
    <w:qFormat/>
    <w:rsid w:val="00A672B4"/>
    <w:pPr>
      <w:widowControl w:val="0"/>
      <w:spacing w:before="0" w:after="120"/>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A672B4"/>
    <w:rPr>
      <w:rFonts w:ascii="Arial Narrow" w:eastAsia="Times New Roman" w:hAnsi="Arial Narrow" w:cs="Arial"/>
      <w:snapToGrid w:val="0"/>
      <w:sz w:val="18"/>
      <w:szCs w:val="20"/>
    </w:rPr>
  </w:style>
  <w:style w:type="character" w:styleId="Strong">
    <w:name w:val="Strong"/>
    <w:basedOn w:val="DefaultParagraphFont"/>
    <w:uiPriority w:val="22"/>
    <w:qFormat/>
    <w:rsid w:val="005502C8"/>
    <w:rPr>
      <w:b/>
      <w:bCs/>
    </w:rPr>
  </w:style>
  <w:style w:type="paragraph" w:customStyle="1" w:styleId="NormalBeforeBullet">
    <w:name w:val="Normal Before Bullet"/>
    <w:basedOn w:val="Normal"/>
    <w:qFormat/>
    <w:rsid w:val="00040457"/>
    <w:pPr>
      <w:keepNext/>
      <w:spacing w:before="0" w:after="120"/>
      <w:jc w:val="left"/>
    </w:pPr>
    <w:rPr>
      <w:sz w:val="22"/>
    </w:rPr>
  </w:style>
  <w:style w:type="paragraph" w:customStyle="1" w:styleId="TableNumbered">
    <w:name w:val="Table Numbered"/>
    <w:basedOn w:val="Normal"/>
    <w:qFormat/>
    <w:rsid w:val="00040457"/>
    <w:pPr>
      <w:numPr>
        <w:numId w:val="18"/>
      </w:numPr>
      <w:spacing w:before="40" w:after="40"/>
      <w:ind w:left="357" w:hanging="357"/>
      <w:jc w:val="left"/>
    </w:pPr>
    <w:rPr>
      <w:rFonts w:ascii="Calibri" w:hAnsi="Calibri"/>
      <w:sz w:val="20"/>
    </w:rPr>
  </w:style>
  <w:style w:type="character" w:customStyle="1" w:styleId="ui-provider">
    <w:name w:val="ui-provider"/>
    <w:basedOn w:val="DefaultParagraphFont"/>
    <w:rsid w:val="00CB3F5D"/>
  </w:style>
  <w:style w:type="table" w:customStyle="1" w:styleId="Evideratable">
    <w:name w:val="Evidera table"/>
    <w:basedOn w:val="TableNormal"/>
    <w:rsid w:val="00A24C7F"/>
    <w:pPr>
      <w:spacing w:before="40" w:after="40" w:line="240" w:lineRule="auto"/>
    </w:pPr>
    <w:rPr>
      <w:rFonts w:eastAsia="Times New Roman" w:cs="Times New Roman"/>
      <w:sz w:val="20"/>
      <w:szCs w:val="20"/>
      <w:lang w:val="en-GB" w:eastAsia="en-GB"/>
    </w:rPr>
    <w:tblPr>
      <w:tblStyleRowBandSize w:val="1"/>
      <w:tblInd w:w="0" w:type="nil"/>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8" w:space="0" w:color="E7E6E6" w:themeColor="background2"/>
        <w:insideV w:val="dotted" w:sz="8" w:space="0" w:color="E7E6E6" w:themeColor="background2"/>
      </w:tblBorders>
    </w:tblPr>
    <w:tblStylePr w:type="firstRow">
      <w:rPr>
        <w:rFonts w:asciiTheme="majorHAnsi" w:hAnsiTheme="majorHAnsi" w:hint="default"/>
        <w:b/>
        <w:sz w:val="18"/>
        <w:szCs w:val="18"/>
      </w:rPr>
      <w:tblPr/>
      <w:tcPr>
        <w:tcBorders>
          <w:top w:val="single" w:sz="4" w:space="0" w:color="E7E6E6" w:themeColor="background2"/>
          <w:left w:val="single" w:sz="4" w:space="0" w:color="E7E6E6" w:themeColor="background2"/>
          <w:bottom w:val="single" w:sz="18" w:space="0" w:color="4472C4" w:themeColor="accent5"/>
          <w:right w:val="single" w:sz="4" w:space="0" w:color="E7E6E6" w:themeColor="background2"/>
          <w:insideH w:val="single" w:sz="18" w:space="0" w:color="4472C4" w:themeColor="accent5"/>
          <w:insideV w:val="dotted" w:sz="4" w:space="0" w:color="E7E6E6" w:themeColor="background2"/>
          <w:tl2br w:val="nil"/>
          <w:tr2bl w:val="nil"/>
        </w:tcBorders>
        <w:shd w:val="clear" w:color="auto" w:fill="D9D9D9"/>
      </w:tcPr>
    </w:tblStylePr>
    <w:tblStylePr w:type="lastRow">
      <w:pPr>
        <w:wordWrap/>
        <w:spacing w:beforeLines="0" w:before="100" w:beforeAutospacing="1" w:afterLines="0" w:after="100" w:afterAutospacing="1" w:line="240" w:lineRule="auto"/>
      </w:pPr>
      <w:rPr>
        <w:rFonts w:ascii="Arial" w:hAnsi="Arial" w:cs="Arial" w:hint="default"/>
      </w:rPr>
      <w:tblPr/>
      <w:tcPr>
        <w:tcBorders>
          <w:top w:val="nil"/>
          <w:left w:val="nil"/>
          <w:bottom w:val="single" w:sz="18" w:space="0" w:color="C00000"/>
          <w:right w:val="nil"/>
          <w:insideH w:val="nil"/>
          <w:insideV w:val="nil"/>
          <w:tl2br w:val="nil"/>
          <w:tr2bl w:val="nil"/>
        </w:tcBorders>
      </w:tcPr>
    </w:tblStylePr>
    <w:tblStylePr w:type="firstCol">
      <w:tblPr/>
      <w:tcPr>
        <w:tcBorders>
          <w:left w:val="single" w:sz="4" w:space="0" w:color="E7E6E6" w:themeColor="background2"/>
        </w:tcBorders>
      </w:tcPr>
    </w:tblStylePr>
    <w:tblStylePr w:type="lastCol">
      <w:tblPr/>
      <w:tcPr>
        <w:tcBorders>
          <w:left w:val="nil"/>
          <w:right w:val="single" w:sz="4" w:space="0" w:color="E7E6E6" w:themeColor="background2"/>
        </w:tcBorders>
      </w:tcPr>
    </w:tblStylePr>
    <w:tblStylePr w:type="band1Horz">
      <w:tblPr/>
      <w:tcPr>
        <w:tcBorders>
          <w:insideV w:val="dotted" w:sz="4" w:space="0" w:color="E7E6E6" w:themeColor="background2"/>
        </w:tcBorders>
      </w:tcPr>
    </w:tblStylePr>
    <w:tblStylePr w:type="seCell">
      <w:tblPr/>
      <w:tcPr>
        <w:tcBorders>
          <w:right w:val="single" w:sz="4" w:space="0" w:color="E7E6E6" w:themeColor="background2"/>
        </w:tcBorders>
      </w:tcPr>
    </w:tblStylePr>
    <w:tblStylePr w:type="swCell">
      <w:tblPr/>
      <w:tcPr>
        <w:tcBorders>
          <w:left w:val="single" w:sz="4" w:space="0" w:color="E7E6E6" w:themeColor="background2"/>
        </w:tcBorders>
      </w:tcPr>
    </w:tblStylePr>
  </w:style>
  <w:style w:type="character" w:styleId="UnresolvedMention">
    <w:name w:val="Unresolved Mention"/>
    <w:basedOn w:val="DefaultParagraphFont"/>
    <w:uiPriority w:val="99"/>
    <w:semiHidden/>
    <w:unhideWhenUsed/>
    <w:rsid w:val="00247685"/>
    <w:rPr>
      <w:color w:val="605E5C"/>
      <w:shd w:val="clear" w:color="auto" w:fill="E1DFDD"/>
    </w:rPr>
  </w:style>
  <w:style w:type="character" w:customStyle="1" w:styleId="cf01">
    <w:name w:val="cf01"/>
    <w:basedOn w:val="DefaultParagraphFont"/>
    <w:rsid w:val="00284528"/>
    <w:rPr>
      <w:rFonts w:ascii="Segoe UI" w:hAnsi="Segoe UI" w:cs="Segoe UI" w:hint="default"/>
      <w:sz w:val="18"/>
      <w:szCs w:val="18"/>
    </w:rPr>
  </w:style>
  <w:style w:type="paragraph" w:customStyle="1" w:styleId="Tablefootnote">
    <w:name w:val="Table footnote"/>
    <w:basedOn w:val="Normal"/>
    <w:link w:val="TablefootnoteChar"/>
    <w:qFormat/>
    <w:rsid w:val="000F77D5"/>
    <w:pPr>
      <w:keepNext/>
      <w:keepLines/>
      <w:spacing w:before="0" w:after="360"/>
      <w:contextualSpacing/>
      <w:jc w:val="left"/>
    </w:pPr>
    <w:rPr>
      <w:rFonts w:ascii="Arial Narrow" w:hAnsi="Arial Narrow" w:cs="Calibri (Body)"/>
      <w:sz w:val="18"/>
      <w:lang w:val="en-US"/>
    </w:rPr>
  </w:style>
  <w:style w:type="character" w:customStyle="1" w:styleId="TablefootnoteChar">
    <w:name w:val="Table footnote Char"/>
    <w:basedOn w:val="DefaultParagraphFont"/>
    <w:link w:val="Tablefootnote"/>
    <w:rsid w:val="000F77D5"/>
    <w:rPr>
      <w:rFonts w:ascii="Arial Narrow" w:hAnsi="Arial Narrow" w:cs="Calibri (Body)"/>
      <w:sz w:val="18"/>
      <w:lang w:val="en-US"/>
    </w:rPr>
  </w:style>
  <w:style w:type="table" w:customStyle="1" w:styleId="RTIAMCPTable1">
    <w:name w:val="RTI AMCP Table1"/>
    <w:basedOn w:val="TableNormal"/>
    <w:next w:val="TableGrid"/>
    <w:uiPriority w:val="39"/>
    <w:rsid w:val="00EC6347"/>
    <w:pPr>
      <w:spacing w:after="0" w:line="240" w:lineRule="auto"/>
    </w:pPr>
    <w:rPr>
      <w:rFonts w:cs="Calibri (Body)"/>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RTIAMCPTable2">
    <w:name w:val="RTI AMCP Table2"/>
    <w:basedOn w:val="TableNormal"/>
    <w:next w:val="TableGrid"/>
    <w:uiPriority w:val="39"/>
    <w:rsid w:val="00EC6347"/>
    <w:pPr>
      <w:spacing w:after="0" w:line="240" w:lineRule="auto"/>
    </w:pPr>
    <w:rPr>
      <w:rFonts w:cs="Calibri (Body)"/>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RTIAMCPTable3">
    <w:name w:val="RTI AMCP Table3"/>
    <w:basedOn w:val="TableNormal"/>
    <w:next w:val="TableGrid"/>
    <w:uiPriority w:val="39"/>
    <w:rsid w:val="00EC6347"/>
    <w:pPr>
      <w:spacing w:after="0" w:line="240" w:lineRule="auto"/>
    </w:pPr>
    <w:rPr>
      <w:rFonts w:cs="Calibri (Body)"/>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newstyle1">
    <w:name w:val="new style1"/>
    <w:basedOn w:val="TableNormal"/>
    <w:next w:val="TableGrid"/>
    <w:uiPriority w:val="39"/>
    <w:rsid w:val="00EC6347"/>
    <w:pPr>
      <w:spacing w:after="0" w:line="240" w:lineRule="auto"/>
      <w:jc w:val="both"/>
    </w:pPr>
    <w:rPr>
      <w:rFonts w:ascii="Arial" w:eastAsia="MS PGothic" w:hAnsi="Arial" w:cs="Times New Roman"/>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A1195E"/>
    <w:rPr>
      <w:rFonts w:eastAsia="Times New Roman" w:cstheme="minorHAnsi"/>
      <w:snapToGrid w:val="0"/>
      <w:color w:val="000000" w:themeColor="text1"/>
      <w:lang w:val="da-DK"/>
    </w:rPr>
  </w:style>
  <w:style w:type="paragraph" w:customStyle="1" w:styleId="BodyText1">
    <w:name w:val="Body Text1"/>
    <w:basedOn w:val="Normal"/>
    <w:link w:val="BodyText1Char"/>
    <w:autoRedefine/>
    <w:qFormat/>
    <w:rsid w:val="00A1195E"/>
    <w:pPr>
      <w:spacing w:before="0" w:after="0"/>
    </w:pPr>
    <w:rPr>
      <w:rFonts w:eastAsia="Times New Roman" w:cstheme="minorHAnsi"/>
      <w:snapToGrid w:val="0"/>
      <w:color w:val="000000" w:themeColor="text1"/>
      <w:sz w:val="22"/>
      <w:lang w:val="da-DK"/>
    </w:rPr>
  </w:style>
  <w:style w:type="paragraph" w:customStyle="1" w:styleId="Default">
    <w:name w:val="Default"/>
    <w:rsid w:val="00C33762"/>
    <w:pPr>
      <w:autoSpaceDE w:val="0"/>
      <w:autoSpaceDN w:val="0"/>
      <w:adjustRightInd w:val="0"/>
      <w:spacing w:after="0" w:line="240" w:lineRule="auto"/>
    </w:pPr>
    <w:rPr>
      <w:rFonts w:ascii="Shaker 2 Lancet" w:hAnsi="Shaker 2 Lancet" w:cs="Shaker 2 Lancet"/>
      <w:color w:val="000000"/>
      <w:sz w:val="24"/>
      <w:szCs w:val="24"/>
    </w:rPr>
  </w:style>
  <w:style w:type="paragraph" w:customStyle="1" w:styleId="EndNoteBibliographyTitle">
    <w:name w:val="EndNote Bibliography Title"/>
    <w:basedOn w:val="Normal"/>
    <w:link w:val="EndNoteBibliographyTitleChar"/>
    <w:rsid w:val="00240E5D"/>
    <w:pPr>
      <w:spacing w:after="0"/>
      <w:jc w:val="center"/>
    </w:pPr>
    <w:rPr>
      <w:rFonts w:ascii="Arial Narrow" w:hAnsi="Arial Narrow"/>
      <w:noProof/>
      <w:sz w:val="18"/>
      <w:lang w:val="en-US"/>
    </w:rPr>
  </w:style>
  <w:style w:type="character" w:customStyle="1" w:styleId="EndNoteBibliographyTitleChar">
    <w:name w:val="EndNote Bibliography Title Char"/>
    <w:basedOn w:val="InstructionalTextChar"/>
    <w:link w:val="EndNoteBibliographyTitle"/>
    <w:rsid w:val="00240E5D"/>
    <w:rPr>
      <w:rFonts w:ascii="Arial Narrow" w:hAnsi="Arial Narrow" w:cstheme="minorHAnsi"/>
      <w:noProof/>
      <w:color w:val="3366FF"/>
      <w:sz w:val="18"/>
      <w:lang w:val="en-US"/>
    </w:rPr>
  </w:style>
  <w:style w:type="paragraph" w:customStyle="1" w:styleId="EndNoteBibliography">
    <w:name w:val="EndNote Bibliography"/>
    <w:basedOn w:val="Normal"/>
    <w:link w:val="EndNoteBibliographyChar"/>
    <w:rsid w:val="00240E5D"/>
    <w:rPr>
      <w:rFonts w:ascii="Arial Narrow" w:hAnsi="Arial Narrow"/>
      <w:noProof/>
      <w:sz w:val="18"/>
      <w:lang w:val="en-US"/>
    </w:rPr>
  </w:style>
  <w:style w:type="character" w:customStyle="1" w:styleId="EndNoteBibliographyChar">
    <w:name w:val="EndNote Bibliography Char"/>
    <w:basedOn w:val="InstructionalTextChar"/>
    <w:link w:val="EndNoteBibliography"/>
    <w:rsid w:val="00240E5D"/>
    <w:rPr>
      <w:rFonts w:ascii="Arial Narrow" w:hAnsi="Arial Narrow" w:cstheme="minorHAnsi"/>
      <w:noProof/>
      <w:color w:val="3366FF"/>
      <w:sz w:val="18"/>
      <w:lang w:val="en-US"/>
    </w:rPr>
  </w:style>
  <w:style w:type="character" w:styleId="Mention">
    <w:name w:val="Mention"/>
    <w:basedOn w:val="DefaultParagraphFont"/>
    <w:uiPriority w:val="99"/>
    <w:unhideWhenUsed/>
    <w:rsid w:val="00665465"/>
    <w:rPr>
      <w:color w:val="2B579A"/>
      <w:shd w:val="clear" w:color="auto" w:fill="E1DFDD"/>
    </w:rPr>
  </w:style>
  <w:style w:type="paragraph" w:customStyle="1" w:styleId="1-MainHeading">
    <w:name w:val="1-Main Heading"/>
    <w:link w:val="1-MainHeadingChar"/>
    <w:qFormat/>
    <w:rsid w:val="00980E55"/>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980E55"/>
    <w:rPr>
      <w:rFonts w:eastAsiaTheme="majorEastAsia" w:cstheme="majorBidi"/>
      <w:b/>
      <w:spacing w:val="5"/>
      <w:kern w:val="28"/>
      <w:sz w:val="36"/>
      <w:szCs w:val="36"/>
      <w:lang w:eastAsia="en-AU"/>
    </w:rPr>
  </w:style>
  <w:style w:type="paragraph" w:customStyle="1" w:styleId="PBACHeading1">
    <w:name w:val="PBAC Heading 1"/>
    <w:qFormat/>
    <w:rsid w:val="00217C07"/>
    <w:pPr>
      <w:spacing w:after="0" w:line="240" w:lineRule="auto"/>
      <w:ind w:left="720" w:hanging="720"/>
      <w:outlineLvl w:val="0"/>
    </w:pPr>
    <w:rPr>
      <w:rFonts w:ascii="Calibri" w:eastAsia="Times New Roman" w:hAnsi="Calibri" w:cs="Calibri"/>
      <w:b/>
      <w:snapToGrid w:val="0"/>
      <w:sz w:val="32"/>
      <w:szCs w:val="32"/>
    </w:rPr>
  </w:style>
  <w:style w:type="numbering" w:customStyle="1" w:styleId="NoList1">
    <w:name w:val="No List1"/>
    <w:next w:val="NoList"/>
    <w:uiPriority w:val="99"/>
    <w:semiHidden/>
    <w:unhideWhenUsed/>
    <w:rsid w:val="00E965EE"/>
  </w:style>
  <w:style w:type="table" w:customStyle="1" w:styleId="Legemiddelverket31">
    <w:name w:val="Legemiddelverket 31"/>
    <w:basedOn w:val="TableNormal"/>
    <w:next w:val="TableGrid"/>
    <w:uiPriority w:val="59"/>
    <w:rsid w:val="00E9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E965EE"/>
    <w:rPr>
      <w:sz w:val="20"/>
      <w:szCs w:val="20"/>
    </w:rPr>
  </w:style>
  <w:style w:type="table" w:customStyle="1" w:styleId="PBACtable1">
    <w:name w:val="PBAC table1"/>
    <w:basedOn w:val="TableNormal"/>
    <w:uiPriority w:val="59"/>
    <w:rsid w:val="00E965EE"/>
    <w:pPr>
      <w:spacing w:after="0" w:line="240" w:lineRule="auto"/>
    </w:pPr>
    <w:rPr>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numbering" w:customStyle="1" w:styleId="Headings1">
    <w:name w:val="Headings1"/>
    <w:uiPriority w:val="99"/>
    <w:rsid w:val="00E965EE"/>
  </w:style>
  <w:style w:type="table" w:customStyle="1" w:styleId="PBACTableStyle1">
    <w:name w:val="PBAC Table Style1"/>
    <w:basedOn w:val="TableGrid1"/>
    <w:uiPriority w:val="99"/>
    <w:rsid w:val="00E965EE"/>
    <w:pPr>
      <w:widowControl w:val="0"/>
      <w:spacing w:after="0"/>
      <w:contextualSpacing/>
      <w:jc w:val="center"/>
    </w:pPr>
    <w:rPr>
      <w:rFonts w:ascii="Arial Narrow" w:hAnsi="Arial Narrow"/>
      <w:color w:val="000000"/>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GuardianSansGR-Regular" w:hAnsi="GuardianSansGR-Regular"/>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GuardianSansGR-Regular" w:hAnsi="GuardianSansGR-Regular"/>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GuardianSansGR-Regular" w:hAnsi="GuardianSansGR-Regular"/>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numbering" w:customStyle="1" w:styleId="MSACESBulletpoints1">
    <w:name w:val="MSAC ES Bullet points1"/>
    <w:uiPriority w:val="99"/>
    <w:rsid w:val="00E965EE"/>
  </w:style>
  <w:style w:type="numbering" w:customStyle="1" w:styleId="Style11">
    <w:name w:val="Style11"/>
    <w:uiPriority w:val="99"/>
    <w:rsid w:val="00E965EE"/>
  </w:style>
  <w:style w:type="numbering" w:customStyle="1" w:styleId="Style21">
    <w:name w:val="Style21"/>
    <w:uiPriority w:val="99"/>
    <w:rsid w:val="00E965EE"/>
  </w:style>
  <w:style w:type="numbering" w:customStyle="1" w:styleId="Style31">
    <w:name w:val="Style31"/>
    <w:uiPriority w:val="99"/>
    <w:rsid w:val="00E965EE"/>
  </w:style>
  <w:style w:type="paragraph" w:customStyle="1" w:styleId="3-SubsectionHeading">
    <w:name w:val="3-Subsection Heading"/>
    <w:basedOn w:val="Heading2"/>
    <w:next w:val="Normal"/>
    <w:link w:val="3-SubsectionHeadingChar"/>
    <w:qFormat/>
    <w:rsid w:val="00D86C8B"/>
    <w:pPr>
      <w:keepLines w:val="0"/>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D86C8B"/>
    <w:rPr>
      <w:rFonts w:ascii="Arial" w:eastAsiaTheme="majorEastAsia" w:hAnsi="Arial" w:cstheme="majorBidi"/>
      <w:b/>
      <w:i/>
      <w:snapToGrid/>
      <w:spacing w:val="5"/>
      <w:kern w:val="28"/>
      <w:sz w:val="28"/>
      <w:szCs w:val="36"/>
    </w:rPr>
  </w:style>
  <w:style w:type="paragraph" w:styleId="BodyText3">
    <w:name w:val="Body Text 3"/>
    <w:basedOn w:val="Normal"/>
    <w:link w:val="BodyText3Char"/>
    <w:uiPriority w:val="9"/>
    <w:semiHidden/>
    <w:unhideWhenUsed/>
    <w:rsid w:val="00371021"/>
    <w:pPr>
      <w:spacing w:after="120"/>
    </w:pPr>
    <w:rPr>
      <w:sz w:val="16"/>
      <w:szCs w:val="16"/>
    </w:rPr>
  </w:style>
  <w:style w:type="character" w:customStyle="1" w:styleId="BodyText3Char">
    <w:name w:val="Body Text 3 Char"/>
    <w:basedOn w:val="DefaultParagraphFont"/>
    <w:link w:val="BodyText3"/>
    <w:uiPriority w:val="9"/>
    <w:semiHidden/>
    <w:rsid w:val="00371021"/>
    <w:rPr>
      <w:sz w:val="16"/>
      <w:szCs w:val="16"/>
    </w:rPr>
  </w:style>
  <w:style w:type="paragraph" w:styleId="Subtitle">
    <w:name w:val="Subtitle"/>
    <w:basedOn w:val="Normal"/>
    <w:next w:val="Normal"/>
    <w:link w:val="SubtitleChar"/>
    <w:qFormat/>
    <w:rsid w:val="00B554F5"/>
    <w:pPr>
      <w:spacing w:before="0" w:after="60"/>
      <w:jc w:val="left"/>
      <w:outlineLvl w:val="1"/>
    </w:pPr>
    <w:rPr>
      <w:rFonts w:ascii="Calibri" w:eastAsia="Times New Roman" w:hAnsi="Calibri" w:cs="Times New Roman"/>
      <w:b/>
      <w:szCs w:val="24"/>
    </w:rPr>
  </w:style>
  <w:style w:type="character" w:customStyle="1" w:styleId="SubtitleChar">
    <w:name w:val="Subtitle Char"/>
    <w:basedOn w:val="DefaultParagraphFont"/>
    <w:link w:val="Subtitle"/>
    <w:rsid w:val="00B554F5"/>
    <w:rPr>
      <w:rFonts w:ascii="Calibri" w:eastAsia="Times New Roman"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2922188">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7742">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ndss.health.gov.au/pbi-dashboa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ACF70-3034-4535-A809-E2A645EB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23848</Words>
  <Characters>121867</Characters>
  <Application>Microsoft Office Word</Application>
  <DocSecurity>0</DocSecurity>
  <Lines>5077</Lines>
  <Paragraphs>4415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141300</CharactersWithSpaces>
  <SharedDoc>false</SharedDoc>
  <HLinks>
    <vt:vector size="48" baseType="variant">
      <vt:variant>
        <vt:i4>6357112</vt:i4>
      </vt:variant>
      <vt:variant>
        <vt:i4>231</vt:i4>
      </vt:variant>
      <vt:variant>
        <vt:i4>0</vt:i4>
      </vt:variant>
      <vt:variant>
        <vt:i4>5</vt:i4>
      </vt:variant>
      <vt:variant>
        <vt:lpwstr>https://nindss.health.gov.au/pbi-dashboard/</vt:lpwstr>
      </vt:variant>
      <vt:variant>
        <vt:lpwstr/>
      </vt:variant>
      <vt:variant>
        <vt:i4>852041</vt:i4>
      </vt:variant>
      <vt:variant>
        <vt:i4>0</vt:i4>
      </vt:variant>
      <vt:variant>
        <vt:i4>0</vt:i4>
      </vt:variant>
      <vt:variant>
        <vt:i4>5</vt:i4>
      </vt:variant>
      <vt:variant>
        <vt:lpwstr>https://www.health.gov.au/resources/publications/hepatitis-d-surveillance-case-definition</vt:lpwstr>
      </vt:variant>
      <vt:variant>
        <vt:lpwstr/>
      </vt:variant>
      <vt:variant>
        <vt:i4>4915318</vt:i4>
      </vt:variant>
      <vt:variant>
        <vt:i4>15</vt:i4>
      </vt:variant>
      <vt:variant>
        <vt:i4>0</vt:i4>
      </vt:variant>
      <vt:variant>
        <vt:i4>5</vt:i4>
      </vt:variant>
      <vt:variant>
        <vt:lpwstr>mailto:TetFar.SOON@Health.gov.au</vt:lpwstr>
      </vt:variant>
      <vt:variant>
        <vt:lpwstr/>
      </vt:variant>
      <vt:variant>
        <vt:i4>6946897</vt:i4>
      </vt:variant>
      <vt:variant>
        <vt:i4>12</vt:i4>
      </vt:variant>
      <vt:variant>
        <vt:i4>0</vt:i4>
      </vt:variant>
      <vt:variant>
        <vt:i4>5</vt:i4>
      </vt:variant>
      <vt:variant>
        <vt:lpwstr>mailto:Angela.LUANGRATH@Health.gov.au</vt:lpwstr>
      </vt:variant>
      <vt:variant>
        <vt:lpwstr/>
      </vt:variant>
      <vt:variant>
        <vt:i4>6946897</vt:i4>
      </vt:variant>
      <vt:variant>
        <vt:i4>9</vt:i4>
      </vt:variant>
      <vt:variant>
        <vt:i4>0</vt:i4>
      </vt:variant>
      <vt:variant>
        <vt:i4>5</vt:i4>
      </vt:variant>
      <vt:variant>
        <vt:lpwstr>mailto:Angela.LUANGRATH@Health.gov.au</vt:lpwstr>
      </vt:variant>
      <vt:variant>
        <vt:lpwstr/>
      </vt:variant>
      <vt:variant>
        <vt:i4>4915318</vt:i4>
      </vt:variant>
      <vt:variant>
        <vt:i4>6</vt:i4>
      </vt:variant>
      <vt:variant>
        <vt:i4>0</vt:i4>
      </vt:variant>
      <vt:variant>
        <vt:i4>5</vt:i4>
      </vt:variant>
      <vt:variant>
        <vt:lpwstr>mailto:TetFar.SOON@Health.gov.au</vt:lpwstr>
      </vt:variant>
      <vt:variant>
        <vt:lpwstr/>
      </vt:variant>
      <vt:variant>
        <vt:i4>3080237</vt:i4>
      </vt:variant>
      <vt:variant>
        <vt:i4>3</vt:i4>
      </vt:variant>
      <vt:variant>
        <vt:i4>0</vt:i4>
      </vt:variant>
      <vt:variant>
        <vt:i4>5</vt:i4>
      </vt:variant>
      <vt:variant>
        <vt:lpwstr>https://www.journal-of-hepatology.eu/article/S0168-8278(23)00317-3/pdf</vt:lpwstr>
      </vt:variant>
      <vt:variant>
        <vt:lpwstr/>
      </vt:variant>
      <vt:variant>
        <vt:i4>6946897</vt:i4>
      </vt:variant>
      <vt:variant>
        <vt:i4>0</vt:i4>
      </vt:variant>
      <vt:variant>
        <vt:i4>0</vt:i4>
      </vt:variant>
      <vt:variant>
        <vt:i4>5</vt:i4>
      </vt:variant>
      <vt:variant>
        <vt:lpwstr>mailto:Angela.LUANGRATH@Health.gov.au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2024-06-21T03:54:00Z</dcterms:created>
  <dcterms:modified xsi:type="dcterms:W3CDTF">2024-07-01T05:51:00Z</dcterms:modified>
</cp:coreProperties>
</file>