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701A" w14:textId="56FD050B" w:rsidR="00B60939" w:rsidRPr="00E81073" w:rsidRDefault="00F61D56" w:rsidP="00200891">
      <w:pPr>
        <w:pStyle w:val="1-MainHeading"/>
      </w:pPr>
      <w:bookmarkStart w:id="0" w:name="_Toc156894662"/>
      <w:r w:rsidRPr="00E81073">
        <w:t>5.03</w:t>
      </w:r>
      <w:r w:rsidR="00223CBD" w:rsidRPr="00E81073">
        <w:tab/>
      </w:r>
      <w:r w:rsidR="0052051A" w:rsidRPr="00E81073">
        <w:t>BIME</w:t>
      </w:r>
      <w:r w:rsidR="0097057E" w:rsidRPr="00E81073">
        <w:t>KIZUMAB</w:t>
      </w:r>
      <w:r w:rsidR="00163F66" w:rsidRPr="00E81073">
        <w:t>,</w:t>
      </w:r>
      <w:r w:rsidR="00163F66" w:rsidRPr="00E81073">
        <w:br/>
      </w:r>
      <w:r w:rsidR="0097057E" w:rsidRPr="00E81073">
        <w:t>Injection 1</w:t>
      </w:r>
      <w:r w:rsidR="0052051A" w:rsidRPr="00E81073">
        <w:t>6</w:t>
      </w:r>
      <w:r w:rsidR="0097057E" w:rsidRPr="00E81073">
        <w:t xml:space="preserve">0 mg in 1 mL </w:t>
      </w:r>
      <w:r w:rsidR="00F90414" w:rsidRPr="00E81073">
        <w:t xml:space="preserve">single use </w:t>
      </w:r>
      <w:r w:rsidR="0097057E" w:rsidRPr="00E81073">
        <w:t xml:space="preserve">pre-filled </w:t>
      </w:r>
      <w:r w:rsidR="00200891" w:rsidRPr="00E81073">
        <w:t>syringe</w:t>
      </w:r>
      <w:r w:rsidR="00F90414" w:rsidRPr="00E81073">
        <w:t>,</w:t>
      </w:r>
      <w:r w:rsidR="00200891" w:rsidRPr="00E81073">
        <w:br/>
        <w:t xml:space="preserve">Injection </w:t>
      </w:r>
      <w:r w:rsidR="0097057E" w:rsidRPr="00E81073">
        <w:t>1</w:t>
      </w:r>
      <w:r w:rsidR="0052051A" w:rsidRPr="00E81073">
        <w:t>6</w:t>
      </w:r>
      <w:r w:rsidR="0097057E" w:rsidRPr="00E81073">
        <w:t xml:space="preserve">0 mg in 1 mL </w:t>
      </w:r>
      <w:r w:rsidR="00F90414" w:rsidRPr="00E81073">
        <w:t xml:space="preserve">single use </w:t>
      </w:r>
      <w:r w:rsidR="0097057E" w:rsidRPr="00E81073">
        <w:t xml:space="preserve">pre-filled </w:t>
      </w:r>
      <w:r w:rsidR="00200891" w:rsidRPr="00E81073">
        <w:t>pen</w:t>
      </w:r>
      <w:r w:rsidR="00163F66" w:rsidRPr="00E81073">
        <w:t>,</w:t>
      </w:r>
      <w:r w:rsidR="0052051A" w:rsidRPr="00E81073">
        <w:t xml:space="preserve"> </w:t>
      </w:r>
      <w:r w:rsidR="00163F66" w:rsidRPr="00E81073">
        <w:br/>
      </w:r>
      <w:r w:rsidR="0052051A" w:rsidRPr="00E81073">
        <w:t>Bimzelx</w:t>
      </w:r>
      <w:r w:rsidR="00B60939" w:rsidRPr="00E81073">
        <w:rPr>
          <w:vertAlign w:val="superscript"/>
        </w:rPr>
        <w:t>®</w:t>
      </w:r>
      <w:r w:rsidR="004A6040" w:rsidRPr="00E81073">
        <w:t>,</w:t>
      </w:r>
      <w:r w:rsidR="004A6040" w:rsidRPr="00E81073">
        <w:br/>
      </w:r>
      <w:r w:rsidR="00F90414" w:rsidRPr="00E81073">
        <w:t>U</w:t>
      </w:r>
      <w:r w:rsidR="00C21454" w:rsidRPr="00E81073">
        <w:t>CB</w:t>
      </w:r>
      <w:r w:rsidR="00F90414" w:rsidRPr="00E81073">
        <w:t xml:space="preserve"> Australia Proprietary Limited.</w:t>
      </w:r>
      <w:bookmarkEnd w:id="0"/>
    </w:p>
    <w:p w14:paraId="11C00795" w14:textId="3DFB6D23" w:rsidR="00B50DB8" w:rsidRPr="00E81073" w:rsidRDefault="00B50DB8" w:rsidP="004A6040">
      <w:pPr>
        <w:pStyle w:val="2-SectionHeading"/>
      </w:pPr>
      <w:bookmarkStart w:id="1" w:name="_Toc156894664"/>
      <w:r w:rsidRPr="00E81073">
        <w:t xml:space="preserve">Purpose of </w:t>
      </w:r>
      <w:r w:rsidR="00CD7193" w:rsidRPr="00E81073">
        <w:t>s</w:t>
      </w:r>
      <w:r w:rsidR="00BB3A45" w:rsidRPr="00E81073">
        <w:t>ubmission</w:t>
      </w:r>
      <w:bookmarkEnd w:id="1"/>
    </w:p>
    <w:p w14:paraId="33433B8E" w14:textId="17B68DC4" w:rsidR="00C37C56" w:rsidRPr="00E81073" w:rsidRDefault="00CE2C69" w:rsidP="00C37C56">
      <w:pPr>
        <w:pStyle w:val="3-BodyText"/>
      </w:pPr>
      <w:r w:rsidRPr="00E81073">
        <w:t>The Category 2 submission requested Authority Required listing</w:t>
      </w:r>
      <w:r w:rsidR="0028275B" w:rsidRPr="00E81073">
        <w:t>s</w:t>
      </w:r>
      <w:r w:rsidRPr="00E81073">
        <w:t xml:space="preserve"> for two presentations of </w:t>
      </w:r>
      <w:r w:rsidR="00055F16" w:rsidRPr="00E81073">
        <w:t>bimekizumab (</w:t>
      </w:r>
      <w:r w:rsidR="00DB4D9A" w:rsidRPr="00E81073">
        <w:t>BKZ</w:t>
      </w:r>
      <w:r w:rsidR="00055F16" w:rsidRPr="00E81073">
        <w:t>)</w:t>
      </w:r>
      <w:r w:rsidRPr="00E81073">
        <w:t xml:space="preserve"> subcutaneous injection, a 1</w:t>
      </w:r>
      <w:r w:rsidR="0028275B" w:rsidRPr="00E81073">
        <w:t>6</w:t>
      </w:r>
      <w:r w:rsidRPr="00E81073">
        <w:t>0 mg/1 mL pre-filled pen (PFP) and a 1</w:t>
      </w:r>
      <w:r w:rsidR="0028275B" w:rsidRPr="00E81073">
        <w:t>6</w:t>
      </w:r>
      <w:r w:rsidRPr="00E81073">
        <w:t xml:space="preserve">0 mg/1 mL pre-filled syringe (PFS), </w:t>
      </w:r>
      <w:r w:rsidR="0028275B" w:rsidRPr="00E81073">
        <w:t xml:space="preserve">for the treatment of </w:t>
      </w:r>
      <w:r w:rsidR="00DB4D9A" w:rsidRPr="00E81073">
        <w:t>severe active psoriatic arthritis (PsA)</w:t>
      </w:r>
      <w:r w:rsidR="00E00271" w:rsidRPr="00E81073">
        <w:t xml:space="preserve"> in adult patients without an adequate response to conventional disease modifying anti-rheumatic drugs (cDMARDs)</w:t>
      </w:r>
      <w:r w:rsidRPr="00E81073">
        <w:t>.</w:t>
      </w:r>
    </w:p>
    <w:p w14:paraId="4FE1CBDD" w14:textId="634CF3B7" w:rsidR="003F0887" w:rsidRPr="00E81073" w:rsidRDefault="00F64DE4">
      <w:pPr>
        <w:pStyle w:val="3-BodyText"/>
      </w:pPr>
      <w:r w:rsidRPr="00E81073">
        <w:t xml:space="preserve">If listed, BKZ would be </w:t>
      </w:r>
      <w:r w:rsidR="0008078D" w:rsidRPr="00E81073">
        <w:t>the twelfth</w:t>
      </w:r>
      <w:r w:rsidRPr="00E81073">
        <w:t xml:space="preserve"> </w:t>
      </w:r>
      <w:r w:rsidR="003F0887" w:rsidRPr="00E81073">
        <w:t xml:space="preserve">biologic </w:t>
      </w:r>
      <w:r w:rsidRPr="00E81073">
        <w:t xml:space="preserve">or </w:t>
      </w:r>
      <w:r w:rsidR="003F0887" w:rsidRPr="00E81073">
        <w:t>targeted synthetic disease-modifying anti-rheumatic drugs (</w:t>
      </w:r>
      <w:r w:rsidR="00A53AA7" w:rsidRPr="00E81073">
        <w:t>b</w:t>
      </w:r>
      <w:r w:rsidR="003F0887" w:rsidRPr="00E81073">
        <w:t>/ts</w:t>
      </w:r>
      <w:r w:rsidR="00A53AA7" w:rsidRPr="00E81073">
        <w:t>DMARDs</w:t>
      </w:r>
      <w:r w:rsidR="003F0887" w:rsidRPr="00E81073">
        <w:t>)</w:t>
      </w:r>
      <w:r w:rsidR="0008078D" w:rsidRPr="00E81073">
        <w:t>,</w:t>
      </w:r>
      <w:r w:rsidR="00A53AA7" w:rsidRPr="00E81073">
        <w:t xml:space="preserve"> </w:t>
      </w:r>
      <w:r w:rsidR="0008078D" w:rsidRPr="00E81073">
        <w:t xml:space="preserve">but </w:t>
      </w:r>
      <w:r w:rsidR="00E20D3F" w:rsidRPr="00E81073">
        <w:t xml:space="preserve">the </w:t>
      </w:r>
      <w:r w:rsidR="0008078D" w:rsidRPr="00E81073">
        <w:t xml:space="preserve">first interleukin (IL) 17A/F inhibitor, </w:t>
      </w:r>
      <w:r w:rsidRPr="00E81073">
        <w:t xml:space="preserve">available </w:t>
      </w:r>
      <w:r w:rsidR="00A53AA7" w:rsidRPr="00E81073">
        <w:t>on the PBS for PsA</w:t>
      </w:r>
      <w:r w:rsidRPr="00E81073">
        <w:t xml:space="preserve">. </w:t>
      </w:r>
      <w:r w:rsidR="0008078D" w:rsidRPr="00E81073">
        <w:t xml:space="preserve">The </w:t>
      </w:r>
      <w:r w:rsidR="00E20D3F" w:rsidRPr="00E81073">
        <w:t xml:space="preserve">eleven </w:t>
      </w:r>
      <w:r w:rsidR="0008078D" w:rsidRPr="00E81073">
        <w:t>b/tsDMARDs currently listed for PsA</w:t>
      </w:r>
      <w:r w:rsidRPr="00E81073">
        <w:t xml:space="preserve"> include</w:t>
      </w:r>
      <w:r w:rsidR="0008078D" w:rsidRPr="00E81073">
        <w:t xml:space="preserve"> treatments with five different mechanisms of action</w:t>
      </w:r>
      <w:r w:rsidR="003F0887" w:rsidRPr="00E81073">
        <w:t>:</w:t>
      </w:r>
    </w:p>
    <w:p w14:paraId="1862F7DC" w14:textId="647A092D" w:rsidR="003F0887" w:rsidRPr="00E81073" w:rsidRDefault="00A53AA7" w:rsidP="00751B24">
      <w:pPr>
        <w:pStyle w:val="3-BodyText"/>
        <w:numPr>
          <w:ilvl w:val="0"/>
          <w:numId w:val="31"/>
        </w:numPr>
        <w:ind w:left="1134"/>
      </w:pPr>
      <w:r w:rsidRPr="00E81073">
        <w:rPr>
          <w:rFonts w:eastAsiaTheme="minorEastAsia"/>
          <w:szCs w:val="22"/>
          <w:lang w:eastAsia="en-US"/>
        </w:rPr>
        <w:t>tumour necrosis factor-α (TNF-α)</w:t>
      </w:r>
      <w:r w:rsidR="003F0887" w:rsidRPr="00E81073">
        <w:rPr>
          <w:rFonts w:eastAsiaTheme="minorEastAsia"/>
          <w:szCs w:val="22"/>
          <w:lang w:eastAsia="en-US"/>
        </w:rPr>
        <w:t xml:space="preserve"> inhibitors:</w:t>
      </w:r>
      <w:r w:rsidRPr="00E81073">
        <w:rPr>
          <w:rFonts w:eastAsiaTheme="minorEastAsia"/>
          <w:szCs w:val="22"/>
          <w:lang w:eastAsia="en-US"/>
        </w:rPr>
        <w:t xml:space="preserve"> </w:t>
      </w:r>
      <w:r w:rsidR="003F0887" w:rsidRPr="00E81073">
        <w:rPr>
          <w:rFonts w:eastAsiaTheme="minorEastAsia"/>
          <w:szCs w:val="22"/>
          <w:lang w:eastAsia="en-US"/>
        </w:rPr>
        <w:t xml:space="preserve">adalimumab (ADA), certolizumab pegol (CZP), </w:t>
      </w:r>
      <w:r w:rsidRPr="00E81073">
        <w:rPr>
          <w:rFonts w:eastAsiaTheme="minorEastAsia"/>
          <w:szCs w:val="22"/>
          <w:lang w:eastAsia="en-US"/>
        </w:rPr>
        <w:t>etanercept</w:t>
      </w:r>
      <w:r w:rsidR="001A0742" w:rsidRPr="00E81073">
        <w:rPr>
          <w:rFonts w:eastAsiaTheme="minorEastAsia"/>
          <w:szCs w:val="22"/>
          <w:lang w:eastAsia="en-US"/>
        </w:rPr>
        <w:t xml:space="preserve"> (ETN)</w:t>
      </w:r>
      <w:r w:rsidRPr="00E81073">
        <w:rPr>
          <w:rFonts w:eastAsiaTheme="minorEastAsia"/>
          <w:szCs w:val="22"/>
          <w:lang w:eastAsia="en-US"/>
        </w:rPr>
        <w:t xml:space="preserve">, </w:t>
      </w:r>
      <w:r w:rsidR="003F0887" w:rsidRPr="00E81073">
        <w:rPr>
          <w:rFonts w:eastAsiaTheme="minorEastAsia"/>
          <w:szCs w:val="22"/>
          <w:lang w:eastAsia="en-US"/>
        </w:rPr>
        <w:t xml:space="preserve">golimumab (GOL), </w:t>
      </w:r>
      <w:r w:rsidRPr="00E81073">
        <w:rPr>
          <w:rFonts w:eastAsiaTheme="minorEastAsia"/>
          <w:szCs w:val="22"/>
          <w:lang w:eastAsia="en-US"/>
        </w:rPr>
        <w:t>infliximab</w:t>
      </w:r>
      <w:r w:rsidR="001A0742" w:rsidRPr="00E81073">
        <w:rPr>
          <w:rFonts w:eastAsiaTheme="minorEastAsia"/>
          <w:szCs w:val="22"/>
          <w:lang w:eastAsia="en-US"/>
        </w:rPr>
        <w:t xml:space="preserve"> (IFX)</w:t>
      </w:r>
      <w:r w:rsidRPr="00E81073">
        <w:rPr>
          <w:rFonts w:eastAsiaTheme="minorEastAsia"/>
          <w:szCs w:val="22"/>
          <w:lang w:eastAsia="en-US"/>
        </w:rPr>
        <w:t>;</w:t>
      </w:r>
    </w:p>
    <w:p w14:paraId="79F44B70" w14:textId="104EC88C" w:rsidR="003F0887" w:rsidRPr="00E81073" w:rsidRDefault="009336B6" w:rsidP="00751B24">
      <w:pPr>
        <w:pStyle w:val="3-BodyText"/>
        <w:numPr>
          <w:ilvl w:val="0"/>
          <w:numId w:val="31"/>
        </w:numPr>
        <w:ind w:left="1134"/>
      </w:pPr>
      <w:r w:rsidRPr="00E81073">
        <w:rPr>
          <w:rFonts w:eastAsiaTheme="minorEastAsia"/>
          <w:szCs w:val="22"/>
          <w:lang w:eastAsia="en-US"/>
        </w:rPr>
        <w:t>Interleukin (</w:t>
      </w:r>
      <w:r w:rsidR="00A53AA7" w:rsidRPr="00E81073">
        <w:rPr>
          <w:rFonts w:eastAsiaTheme="minorEastAsia"/>
          <w:szCs w:val="22"/>
          <w:lang w:eastAsia="en-US"/>
        </w:rPr>
        <w:t>IL</w:t>
      </w:r>
      <w:r w:rsidRPr="00E81073">
        <w:rPr>
          <w:rFonts w:eastAsiaTheme="minorEastAsia"/>
          <w:szCs w:val="22"/>
          <w:lang w:eastAsia="en-US"/>
        </w:rPr>
        <w:t xml:space="preserve">) </w:t>
      </w:r>
      <w:r w:rsidR="00A53AA7" w:rsidRPr="00E81073">
        <w:rPr>
          <w:rFonts w:eastAsiaTheme="minorEastAsia"/>
          <w:szCs w:val="22"/>
          <w:lang w:eastAsia="en-US"/>
        </w:rPr>
        <w:t>12</w:t>
      </w:r>
      <w:r w:rsidR="003F0887" w:rsidRPr="00E81073">
        <w:rPr>
          <w:rFonts w:eastAsiaTheme="minorEastAsia"/>
          <w:szCs w:val="22"/>
          <w:lang w:eastAsia="en-US"/>
        </w:rPr>
        <w:t>/</w:t>
      </w:r>
      <w:r w:rsidR="00A53AA7" w:rsidRPr="00E81073">
        <w:rPr>
          <w:rFonts w:eastAsiaTheme="minorEastAsia"/>
          <w:szCs w:val="22"/>
          <w:lang w:eastAsia="en-US"/>
        </w:rPr>
        <w:t>13</w:t>
      </w:r>
      <w:r w:rsidR="003F0887" w:rsidRPr="00E81073">
        <w:rPr>
          <w:rFonts w:eastAsiaTheme="minorEastAsia"/>
          <w:szCs w:val="22"/>
          <w:lang w:eastAsia="en-US"/>
        </w:rPr>
        <w:t xml:space="preserve"> inhibitor:</w:t>
      </w:r>
      <w:r w:rsidR="00A53AA7" w:rsidRPr="00E81073">
        <w:rPr>
          <w:rFonts w:eastAsiaTheme="minorEastAsia"/>
          <w:szCs w:val="22"/>
          <w:lang w:eastAsia="en-US"/>
        </w:rPr>
        <w:t xml:space="preserve"> ustekinumab</w:t>
      </w:r>
      <w:r w:rsidR="003F3703" w:rsidRPr="00E81073">
        <w:rPr>
          <w:rFonts w:eastAsiaTheme="minorEastAsia"/>
          <w:szCs w:val="22"/>
          <w:lang w:eastAsia="en-US"/>
        </w:rPr>
        <w:t xml:space="preserve"> (UST)</w:t>
      </w:r>
      <w:r w:rsidR="00A53AA7" w:rsidRPr="00E81073">
        <w:rPr>
          <w:rFonts w:eastAsiaTheme="minorEastAsia"/>
          <w:szCs w:val="22"/>
          <w:lang w:eastAsia="en-US"/>
        </w:rPr>
        <w:t>;</w:t>
      </w:r>
    </w:p>
    <w:p w14:paraId="7AD2D223" w14:textId="283F354D" w:rsidR="003F0887" w:rsidRPr="00E81073" w:rsidRDefault="00A53AA7" w:rsidP="00751B24">
      <w:pPr>
        <w:pStyle w:val="3-BodyText"/>
        <w:numPr>
          <w:ilvl w:val="0"/>
          <w:numId w:val="31"/>
        </w:numPr>
        <w:ind w:left="1134"/>
      </w:pPr>
      <w:r w:rsidRPr="00E81073">
        <w:rPr>
          <w:rFonts w:eastAsiaTheme="minorEastAsia"/>
          <w:szCs w:val="22"/>
          <w:lang w:eastAsia="en-US"/>
        </w:rPr>
        <w:t>IL</w:t>
      </w:r>
      <w:r w:rsidR="009336B6" w:rsidRPr="00E81073">
        <w:rPr>
          <w:rFonts w:eastAsiaTheme="minorEastAsia"/>
          <w:szCs w:val="22"/>
          <w:lang w:eastAsia="en-US"/>
        </w:rPr>
        <w:t xml:space="preserve"> </w:t>
      </w:r>
      <w:r w:rsidRPr="00E81073">
        <w:rPr>
          <w:rFonts w:eastAsiaTheme="minorEastAsia"/>
          <w:szCs w:val="22"/>
          <w:lang w:eastAsia="en-US"/>
        </w:rPr>
        <w:t>17A</w:t>
      </w:r>
      <w:r w:rsidR="003F0887" w:rsidRPr="00E81073">
        <w:rPr>
          <w:rFonts w:eastAsiaTheme="minorEastAsia"/>
          <w:szCs w:val="22"/>
          <w:lang w:eastAsia="en-US"/>
        </w:rPr>
        <w:t xml:space="preserve"> inhibitors:</w:t>
      </w:r>
      <w:r w:rsidRPr="00E81073">
        <w:rPr>
          <w:rFonts w:eastAsiaTheme="minorEastAsia"/>
          <w:szCs w:val="22"/>
          <w:lang w:eastAsia="en-US"/>
        </w:rPr>
        <w:t xml:space="preserve"> secukinumab</w:t>
      </w:r>
      <w:r w:rsidR="001A0742" w:rsidRPr="00E81073">
        <w:rPr>
          <w:rFonts w:eastAsiaTheme="minorEastAsia"/>
          <w:szCs w:val="22"/>
          <w:lang w:eastAsia="en-US"/>
        </w:rPr>
        <w:t xml:space="preserve"> (SEC)</w:t>
      </w:r>
      <w:r w:rsidRPr="00E81073">
        <w:rPr>
          <w:rFonts w:eastAsiaTheme="minorEastAsia"/>
          <w:szCs w:val="22"/>
          <w:lang w:eastAsia="en-US"/>
        </w:rPr>
        <w:t xml:space="preserve"> and ixekizumab (IXE);</w:t>
      </w:r>
    </w:p>
    <w:p w14:paraId="04E3B213" w14:textId="7CF96192" w:rsidR="009336B6" w:rsidRPr="00E81073" w:rsidRDefault="009336B6" w:rsidP="00751B24">
      <w:pPr>
        <w:pStyle w:val="3-BodyText"/>
        <w:numPr>
          <w:ilvl w:val="0"/>
          <w:numId w:val="31"/>
        </w:numPr>
        <w:ind w:left="1134"/>
      </w:pPr>
      <w:r w:rsidRPr="00E81073">
        <w:rPr>
          <w:rFonts w:eastAsiaTheme="minorEastAsia"/>
          <w:szCs w:val="22"/>
          <w:lang w:eastAsia="en-US"/>
        </w:rPr>
        <w:t>IL 23 inhibitor: guselkumab (GUS)</w:t>
      </w:r>
      <w:r w:rsidRPr="00E81073">
        <w:t>;</w:t>
      </w:r>
    </w:p>
    <w:p w14:paraId="0321F7E3" w14:textId="7551331F" w:rsidR="003F0887" w:rsidRPr="00E81073" w:rsidRDefault="00A53AA7" w:rsidP="00751B24">
      <w:pPr>
        <w:pStyle w:val="3-BodyText"/>
        <w:numPr>
          <w:ilvl w:val="0"/>
          <w:numId w:val="31"/>
        </w:numPr>
        <w:ind w:left="1134"/>
      </w:pPr>
      <w:r w:rsidRPr="00E81073">
        <w:rPr>
          <w:rFonts w:eastAsiaTheme="minorEastAsia"/>
          <w:szCs w:val="22"/>
          <w:lang w:eastAsia="en-US"/>
        </w:rPr>
        <w:t>Janus kinase (JAK)</w:t>
      </w:r>
      <w:r w:rsidR="003F0887" w:rsidRPr="00E81073">
        <w:rPr>
          <w:rFonts w:eastAsiaTheme="minorEastAsia"/>
          <w:szCs w:val="22"/>
          <w:lang w:eastAsia="en-US"/>
        </w:rPr>
        <w:t xml:space="preserve"> inhibitor:</w:t>
      </w:r>
      <w:r w:rsidRPr="00E81073">
        <w:rPr>
          <w:rFonts w:eastAsiaTheme="minorEastAsia"/>
          <w:szCs w:val="22"/>
          <w:lang w:eastAsia="en-US"/>
        </w:rPr>
        <w:t xml:space="preserve"> tofacitinib</w:t>
      </w:r>
      <w:r w:rsidR="001A0742" w:rsidRPr="00E81073">
        <w:rPr>
          <w:rFonts w:eastAsiaTheme="minorEastAsia"/>
          <w:szCs w:val="22"/>
          <w:lang w:eastAsia="en-US"/>
        </w:rPr>
        <w:t xml:space="preserve"> (TOF)</w:t>
      </w:r>
      <w:r w:rsidR="003F0887" w:rsidRPr="00E81073">
        <w:rPr>
          <w:rFonts w:eastAsiaTheme="minorEastAsia"/>
          <w:szCs w:val="22"/>
          <w:lang w:eastAsia="en-US"/>
        </w:rPr>
        <w:t xml:space="preserve"> and </w:t>
      </w:r>
      <w:r w:rsidR="003F0887" w:rsidRPr="00E81073">
        <w:t>upadacitinib (UPA)</w:t>
      </w:r>
      <w:r w:rsidR="009336B6" w:rsidRPr="00E81073">
        <w:rPr>
          <w:rFonts w:eastAsiaTheme="minorEastAsia"/>
          <w:szCs w:val="22"/>
          <w:lang w:eastAsia="en-US"/>
        </w:rPr>
        <w:t>.</w:t>
      </w:r>
    </w:p>
    <w:p w14:paraId="47232B7D" w14:textId="54C437CD" w:rsidR="005912B6" w:rsidRPr="00E81073" w:rsidRDefault="008F7EC1" w:rsidP="005912B6">
      <w:pPr>
        <w:pStyle w:val="3-BodyText"/>
        <w:numPr>
          <w:ilvl w:val="0"/>
          <w:numId w:val="0"/>
        </w:numPr>
        <w:ind w:left="774"/>
      </w:pPr>
      <w:r w:rsidRPr="00E81073">
        <w:t>T</w:t>
      </w:r>
      <w:r w:rsidR="005912B6" w:rsidRPr="00E81073">
        <w:t>he PBAC recommended listing of risankizumab</w:t>
      </w:r>
      <w:r w:rsidRPr="00E81073">
        <w:t xml:space="preserve"> (an IL-23 inhibitor) for the treatment of </w:t>
      </w:r>
      <w:r w:rsidR="00F61D56" w:rsidRPr="00E81073">
        <w:t xml:space="preserve">PsA </w:t>
      </w:r>
      <w:r w:rsidRPr="00E81073">
        <w:t>at the March 2022 PBAC meeting, but it was not available on the PBS at the time of the submission.</w:t>
      </w:r>
    </w:p>
    <w:p w14:paraId="7C00AD31" w14:textId="5BA8F484" w:rsidR="003F0887" w:rsidRPr="00E81073" w:rsidRDefault="009336B6" w:rsidP="00933F5E">
      <w:pPr>
        <w:pStyle w:val="3-BodyText"/>
      </w:pPr>
      <w:r w:rsidRPr="00E81073">
        <w:t>Listing was requested on a cost-minimisation basis versus IXE.</w:t>
      </w:r>
    </w:p>
    <w:p w14:paraId="3BE80172" w14:textId="3F14C1BE" w:rsidR="00CE2C69" w:rsidRPr="00E81073" w:rsidRDefault="00CE2C69" w:rsidP="00D87DA9">
      <w:pPr>
        <w:pStyle w:val="TableFigureHeading"/>
        <w:rPr>
          <w:rStyle w:val="CommentReference"/>
          <w:b/>
          <w:szCs w:val="24"/>
        </w:rPr>
      </w:pPr>
      <w:r w:rsidRPr="00E81073">
        <w:lastRenderedPageBreak/>
        <w:t xml:space="preserve">Table </w:t>
      </w:r>
      <w:r w:rsidR="006269D6">
        <w:fldChar w:fldCharType="begin" w:fldLock="1"/>
      </w:r>
      <w:r w:rsidR="006269D6">
        <w:instrText xml:space="preserve"> SEQ Table \* ARABIC </w:instrText>
      </w:r>
      <w:r w:rsidR="006269D6">
        <w:fldChar w:fldCharType="separate"/>
      </w:r>
      <w:r w:rsidR="00670F2D" w:rsidRPr="005E2177">
        <w:t>1</w:t>
      </w:r>
      <w:r w:rsidR="006269D6">
        <w:fldChar w:fldCharType="end"/>
      </w:r>
      <w:r w:rsidRPr="00E81073">
        <w:t>:</w:t>
      </w:r>
      <w:r w:rsidRPr="00E81073">
        <w:rPr>
          <w:rStyle w:val="CommentReference"/>
          <w:b/>
          <w:szCs w:val="24"/>
        </w:rPr>
        <w:t xml:space="preserve">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
        <w:tblDescription w:val="Key components of the clinical issue addressed by the submission "/>
      </w:tblPr>
      <w:tblGrid>
        <w:gridCol w:w="1271"/>
        <w:gridCol w:w="7746"/>
      </w:tblGrid>
      <w:tr w:rsidR="00CE2C69" w:rsidRPr="00E81073" w14:paraId="1AE9CD0E" w14:textId="77777777" w:rsidTr="007A4A2F">
        <w:trPr>
          <w:cantSplit/>
          <w:tblHeader/>
        </w:trPr>
        <w:tc>
          <w:tcPr>
            <w:tcW w:w="705" w:type="pct"/>
            <w:shd w:val="clear" w:color="auto" w:fill="auto"/>
          </w:tcPr>
          <w:p w14:paraId="4E8C3639" w14:textId="77777777" w:rsidR="00CE2C69" w:rsidRPr="00E81073" w:rsidRDefault="00CE2C69" w:rsidP="00D87DA9">
            <w:pPr>
              <w:pStyle w:val="In-tableHeading"/>
              <w:rPr>
                <w:szCs w:val="20"/>
                <w:lang w:val="en-AU"/>
              </w:rPr>
            </w:pPr>
            <w:r w:rsidRPr="00E81073">
              <w:rPr>
                <w:lang w:val="en-AU"/>
              </w:rPr>
              <w:t>Component</w:t>
            </w:r>
          </w:p>
        </w:tc>
        <w:tc>
          <w:tcPr>
            <w:tcW w:w="4295" w:type="pct"/>
            <w:shd w:val="clear" w:color="auto" w:fill="auto"/>
          </w:tcPr>
          <w:p w14:paraId="7409114E" w14:textId="77777777" w:rsidR="00CE2C69" w:rsidRPr="00E81073" w:rsidRDefault="00CE2C69" w:rsidP="00D87DA9">
            <w:pPr>
              <w:pStyle w:val="In-tableHeading"/>
              <w:rPr>
                <w:lang w:val="en-AU"/>
              </w:rPr>
            </w:pPr>
            <w:r w:rsidRPr="00E81073">
              <w:rPr>
                <w:lang w:val="en-AU"/>
              </w:rPr>
              <w:t>Description</w:t>
            </w:r>
          </w:p>
        </w:tc>
      </w:tr>
      <w:tr w:rsidR="00CE2C69" w:rsidRPr="00E81073" w14:paraId="3B41DC94" w14:textId="77777777" w:rsidTr="00BD7B6B">
        <w:trPr>
          <w:cantSplit/>
        </w:trPr>
        <w:tc>
          <w:tcPr>
            <w:tcW w:w="705" w:type="pct"/>
            <w:shd w:val="clear" w:color="auto" w:fill="auto"/>
          </w:tcPr>
          <w:p w14:paraId="166C6556" w14:textId="77777777" w:rsidR="00CE2C69" w:rsidRPr="00E81073" w:rsidRDefault="00CE2C69" w:rsidP="00D87DA9">
            <w:pPr>
              <w:pStyle w:val="TableText0"/>
            </w:pPr>
            <w:r w:rsidRPr="00E81073">
              <w:t>Population</w:t>
            </w:r>
          </w:p>
        </w:tc>
        <w:tc>
          <w:tcPr>
            <w:tcW w:w="4295" w:type="pct"/>
            <w:shd w:val="clear" w:color="auto" w:fill="auto"/>
            <w:vAlign w:val="center"/>
          </w:tcPr>
          <w:p w14:paraId="57784026" w14:textId="7630D8FC" w:rsidR="00CE2C69" w:rsidRPr="00E81073" w:rsidRDefault="00D728D3" w:rsidP="00D87DA9">
            <w:pPr>
              <w:pStyle w:val="TableText0"/>
              <w:rPr>
                <w:szCs w:val="20"/>
              </w:rPr>
            </w:pPr>
            <w:r w:rsidRPr="00E81073">
              <w:t>Adult patients with active severe PsA in whom an adequate response has not been achieved with at least 6 months of intensive treatment with cDMARDs</w:t>
            </w:r>
            <w:r w:rsidR="00AE11BB" w:rsidRPr="00E81073">
              <w:t>.</w:t>
            </w:r>
          </w:p>
        </w:tc>
      </w:tr>
      <w:tr w:rsidR="00CE2C69" w:rsidRPr="00E81073" w14:paraId="63ECEBA5" w14:textId="77777777" w:rsidTr="00BD7B6B">
        <w:trPr>
          <w:cantSplit/>
        </w:trPr>
        <w:tc>
          <w:tcPr>
            <w:tcW w:w="705" w:type="pct"/>
            <w:shd w:val="clear" w:color="auto" w:fill="auto"/>
          </w:tcPr>
          <w:p w14:paraId="68B7ED62" w14:textId="77777777" w:rsidR="00CE2C69" w:rsidRPr="00E81073" w:rsidRDefault="00CE2C69" w:rsidP="00D87DA9">
            <w:pPr>
              <w:pStyle w:val="TableText0"/>
            </w:pPr>
            <w:r w:rsidRPr="00E81073">
              <w:t>Intervention</w:t>
            </w:r>
          </w:p>
        </w:tc>
        <w:tc>
          <w:tcPr>
            <w:tcW w:w="4295" w:type="pct"/>
            <w:shd w:val="clear" w:color="auto" w:fill="auto"/>
          </w:tcPr>
          <w:p w14:paraId="731ABDB6" w14:textId="2CC08961" w:rsidR="00CE2C69" w:rsidRPr="00E81073" w:rsidRDefault="00D728D3" w:rsidP="00D87DA9">
            <w:pPr>
              <w:pStyle w:val="TableText0"/>
            </w:pPr>
            <w:r w:rsidRPr="00E81073">
              <w:t>BKZ 160 mg (1x 160</w:t>
            </w:r>
            <w:r w:rsidR="0094602F" w:rsidRPr="00E81073">
              <w:t xml:space="preserve"> </w:t>
            </w:r>
            <w:r w:rsidRPr="00E81073">
              <w:t>mg injection) subcutaneously every 4 weeks*</w:t>
            </w:r>
          </w:p>
        </w:tc>
      </w:tr>
      <w:tr w:rsidR="00CE2C69" w:rsidRPr="00E81073" w14:paraId="76A931EE" w14:textId="77777777" w:rsidTr="007A4A2F">
        <w:trPr>
          <w:cantSplit/>
        </w:trPr>
        <w:tc>
          <w:tcPr>
            <w:tcW w:w="705" w:type="pct"/>
            <w:shd w:val="clear" w:color="auto" w:fill="auto"/>
          </w:tcPr>
          <w:p w14:paraId="131914F3" w14:textId="77777777" w:rsidR="00CE2C69" w:rsidRPr="00E81073" w:rsidRDefault="00CE2C69" w:rsidP="00D87DA9">
            <w:pPr>
              <w:pStyle w:val="TableText0"/>
            </w:pPr>
            <w:r w:rsidRPr="00E81073">
              <w:t>Comparator</w:t>
            </w:r>
          </w:p>
        </w:tc>
        <w:tc>
          <w:tcPr>
            <w:tcW w:w="4295" w:type="pct"/>
            <w:shd w:val="clear" w:color="auto" w:fill="auto"/>
          </w:tcPr>
          <w:p w14:paraId="528941AB" w14:textId="6E97F710" w:rsidR="00CE2C69" w:rsidRPr="00E81073" w:rsidRDefault="00D728D3" w:rsidP="00D87DA9">
            <w:pPr>
              <w:pStyle w:val="TableText0"/>
            </w:pPr>
            <w:r w:rsidRPr="00E81073">
              <w:t>IXE 160 mg (2x 80 mg injections) subcutaneously at Week 0, then 80 mg every 4 weeks*</w:t>
            </w:r>
          </w:p>
        </w:tc>
      </w:tr>
      <w:tr w:rsidR="00CE2C69" w:rsidRPr="00E81073" w14:paraId="59836724" w14:textId="77777777" w:rsidTr="007A4A2F">
        <w:trPr>
          <w:cantSplit/>
        </w:trPr>
        <w:tc>
          <w:tcPr>
            <w:tcW w:w="705" w:type="pct"/>
            <w:shd w:val="clear" w:color="auto" w:fill="auto"/>
          </w:tcPr>
          <w:p w14:paraId="53ED7E7B" w14:textId="77777777" w:rsidR="00CE2C69" w:rsidRPr="00E81073" w:rsidRDefault="00CE2C69" w:rsidP="00D87DA9">
            <w:pPr>
              <w:pStyle w:val="TableText0"/>
            </w:pPr>
            <w:r w:rsidRPr="00E81073">
              <w:t>Outcomes</w:t>
            </w:r>
          </w:p>
        </w:tc>
        <w:tc>
          <w:tcPr>
            <w:tcW w:w="4295" w:type="pct"/>
            <w:shd w:val="clear" w:color="auto" w:fill="auto"/>
          </w:tcPr>
          <w:p w14:paraId="591A1ACF" w14:textId="4104E5E5" w:rsidR="00CE2C69" w:rsidRPr="00E81073" w:rsidRDefault="00D728D3" w:rsidP="00D87DA9">
            <w:pPr>
              <w:pStyle w:val="TableText0"/>
              <w:rPr>
                <w:rFonts w:eastAsia="Times New Roman" w:cs="Arial"/>
                <w:bCs w:val="0"/>
                <w:snapToGrid w:val="0"/>
                <w:szCs w:val="20"/>
              </w:rPr>
            </w:pPr>
            <w:r w:rsidRPr="00E81073">
              <w:t>ACR50, ACR20, PASI90, PASI75, HAQ-DI, safety</w:t>
            </w:r>
          </w:p>
        </w:tc>
      </w:tr>
      <w:tr w:rsidR="00CE2C69" w:rsidRPr="00E81073" w14:paraId="02997FCB" w14:textId="77777777" w:rsidTr="007A4A2F">
        <w:trPr>
          <w:cantSplit/>
        </w:trPr>
        <w:tc>
          <w:tcPr>
            <w:tcW w:w="705" w:type="pct"/>
            <w:shd w:val="clear" w:color="auto" w:fill="auto"/>
          </w:tcPr>
          <w:p w14:paraId="2118B828" w14:textId="77777777" w:rsidR="00CE2C69" w:rsidRPr="00E81073" w:rsidRDefault="00CE2C69" w:rsidP="00D87DA9">
            <w:pPr>
              <w:pStyle w:val="TableText0"/>
            </w:pPr>
            <w:r w:rsidRPr="00E81073">
              <w:t>Clinical claim</w:t>
            </w:r>
          </w:p>
        </w:tc>
        <w:tc>
          <w:tcPr>
            <w:tcW w:w="4295" w:type="pct"/>
            <w:shd w:val="clear" w:color="auto" w:fill="auto"/>
          </w:tcPr>
          <w:p w14:paraId="38146CAA" w14:textId="00F907CF" w:rsidR="00CE2C69" w:rsidRPr="00E81073" w:rsidRDefault="00D728D3" w:rsidP="00D87DA9">
            <w:pPr>
              <w:pStyle w:val="TableText0"/>
            </w:pPr>
            <w:r w:rsidRPr="00E81073">
              <w:t>In patients with severe PsA, BKZ (1x 160 mg injection every 4 weeks) is equivalent to IXE (2x 80 mg injection at Week 0, then 1x 80 mg injection every 4 weeks) in efficacy and safety.</w:t>
            </w:r>
          </w:p>
        </w:tc>
      </w:tr>
    </w:tbl>
    <w:p w14:paraId="167D1E25" w14:textId="77777777" w:rsidR="00D728D3" w:rsidRPr="00E81073" w:rsidRDefault="00D728D3" w:rsidP="00D87DA9">
      <w:pPr>
        <w:pStyle w:val="FooterTableFigure"/>
        <w:keepNext/>
      </w:pPr>
      <w:r w:rsidRPr="00E81073">
        <w:t>Source: Table 1-1, p19 of the submission.</w:t>
      </w:r>
    </w:p>
    <w:p w14:paraId="58FA2A89" w14:textId="0C187F7B" w:rsidR="00D728D3" w:rsidRPr="00E81073" w:rsidRDefault="00D728D3" w:rsidP="00D87DA9">
      <w:pPr>
        <w:pStyle w:val="FooterTableFigure"/>
        <w:keepNext/>
      </w:pPr>
      <w:r w:rsidRPr="00E81073">
        <w:t>ACR=American College of Rheumatology; ACR20/50=≥20/50% improvement in tender and swollen joint counts and ≥20/50% improvement in 3 of 5 remaining ACR core set measures; BKZ=bimekizumab; cDMARD=conventional disease modifying anti-rheumatic drugs; IXE=ixekizumab; PASI=Psoriasis Area and Severity Index; PASI75</w:t>
      </w:r>
      <w:r w:rsidR="00413F28" w:rsidRPr="00E81073">
        <w:t>/90</w:t>
      </w:r>
      <w:r w:rsidRPr="00E81073">
        <w:t>=≥75</w:t>
      </w:r>
      <w:r w:rsidR="00413F28" w:rsidRPr="00E81073">
        <w:t>/90</w:t>
      </w:r>
      <w:r w:rsidRPr="00E81073">
        <w:t>% improvement from baseline; PsA=psoriatic arthritis.</w:t>
      </w:r>
    </w:p>
    <w:p w14:paraId="1B6ADEDB" w14:textId="44D0659C" w:rsidR="00D728D3" w:rsidRPr="00E81073" w:rsidRDefault="00E235E8" w:rsidP="00E235E8">
      <w:pPr>
        <w:pStyle w:val="FooterTableFigure"/>
      </w:pPr>
      <w:r w:rsidRPr="00E81073">
        <w:t xml:space="preserve">* </w:t>
      </w:r>
      <w:r w:rsidRPr="00E81073">
        <w:tab/>
      </w:r>
      <w:r w:rsidR="00D728D3" w:rsidRPr="00E81073">
        <w:t>For patients with PsA and coexistent moderate-severe chronic plaque psoriasis (CPP), the dosing regimen for CPP is recommended</w:t>
      </w:r>
      <w:r w:rsidRPr="00E81073">
        <w:t>.</w:t>
      </w:r>
    </w:p>
    <w:p w14:paraId="2CFA0F0C" w14:textId="06F556EC" w:rsidR="00CE2C69" w:rsidRPr="00E81073" w:rsidRDefault="00CE2C69" w:rsidP="00CE2C69">
      <w:pPr>
        <w:pStyle w:val="2-SectionHeading"/>
        <w:numPr>
          <w:ilvl w:val="0"/>
          <w:numId w:val="1"/>
        </w:numPr>
      </w:pPr>
      <w:bookmarkStart w:id="2" w:name="_Toc107927619"/>
      <w:bookmarkStart w:id="3" w:name="_Toc156894665"/>
      <w:r w:rsidRPr="00E81073">
        <w:t>Background</w:t>
      </w:r>
      <w:bookmarkEnd w:id="2"/>
      <w:bookmarkEnd w:id="3"/>
    </w:p>
    <w:p w14:paraId="102018D4" w14:textId="77777777" w:rsidR="00CE2C69" w:rsidRPr="00E81073" w:rsidRDefault="00CE2C69" w:rsidP="00CE2C69">
      <w:pPr>
        <w:pStyle w:val="4-SubsectionHeading"/>
      </w:pPr>
      <w:bookmarkStart w:id="4" w:name="_Toc22897638"/>
      <w:bookmarkStart w:id="5" w:name="_Toc107927620"/>
      <w:bookmarkStart w:id="6" w:name="_Toc156894666"/>
      <w:r w:rsidRPr="00E81073">
        <w:t>Registration status</w:t>
      </w:r>
      <w:bookmarkEnd w:id="4"/>
      <w:bookmarkEnd w:id="5"/>
      <w:bookmarkEnd w:id="6"/>
    </w:p>
    <w:p w14:paraId="0CA11C0D" w14:textId="77777777" w:rsidR="00C60BB0" w:rsidRPr="00E81073" w:rsidRDefault="00D728D3" w:rsidP="00841BAF">
      <w:pPr>
        <w:pStyle w:val="3-BodyText"/>
      </w:pPr>
      <w:r w:rsidRPr="00E81073">
        <w:t>Th</w:t>
      </w:r>
      <w:r w:rsidR="00E00271" w:rsidRPr="00E81073">
        <w:t>e</w:t>
      </w:r>
      <w:r w:rsidRPr="00E81073">
        <w:t xml:space="preserve"> submission was made under the TGA and PBS Parallel Process</w:t>
      </w:r>
      <w:r w:rsidR="000F3C7E" w:rsidRPr="00E81073">
        <w:t>.</w:t>
      </w:r>
      <w:r w:rsidRPr="00E81073">
        <w:t xml:space="preserve"> </w:t>
      </w:r>
      <w:r w:rsidR="00C60BB0" w:rsidRPr="00E81073">
        <w:t xml:space="preserve">TGA status at time of PBAC consideration: not registered. The TGA Delegate’s Overview was provided during the evaluation. The Delegate was inclined to approve the registration of bimekizumab for AS. </w:t>
      </w:r>
    </w:p>
    <w:p w14:paraId="13C970F2" w14:textId="1F2C96C7" w:rsidR="000F3C7E" w:rsidRPr="00E81073" w:rsidRDefault="00190153" w:rsidP="00841BAF">
      <w:pPr>
        <w:pStyle w:val="3-BodyText"/>
      </w:pPr>
      <w:r w:rsidRPr="00E81073">
        <w:t xml:space="preserve">BKZ </w:t>
      </w:r>
      <w:r w:rsidR="007C39F5" w:rsidRPr="00E81073">
        <w:t>i</w:t>
      </w:r>
      <w:r w:rsidRPr="00E81073">
        <w:t xml:space="preserve">s TGA approved for the treatment of </w:t>
      </w:r>
      <w:r w:rsidR="000B70F8" w:rsidRPr="00E81073">
        <w:t xml:space="preserve">adult patients with </w:t>
      </w:r>
      <w:r w:rsidRPr="00E81073">
        <w:t>plaque psoriasis (March 2022)</w:t>
      </w:r>
      <w:r w:rsidR="00C56D1B" w:rsidRPr="00E81073">
        <w:t xml:space="preserve"> and </w:t>
      </w:r>
      <w:r w:rsidR="006A53E5" w:rsidRPr="00E81073">
        <w:t>currently undergoing TGA</w:t>
      </w:r>
      <w:r w:rsidR="00C56D1B" w:rsidRPr="00E81073">
        <w:t xml:space="preserve"> </w:t>
      </w:r>
      <w:r w:rsidRPr="00E81073">
        <w:t>evaluati</w:t>
      </w:r>
      <w:r w:rsidR="006A53E5" w:rsidRPr="00E81073">
        <w:t>on</w:t>
      </w:r>
      <w:r w:rsidRPr="00E81073">
        <w:t xml:space="preserve"> for three new indications</w:t>
      </w:r>
      <w:r w:rsidR="00C56D1B" w:rsidRPr="00E81073">
        <w:t xml:space="preserve"> including</w:t>
      </w:r>
      <w:r w:rsidRPr="00E81073">
        <w:t xml:space="preserve"> non-radiographic axial spondyloarthritis, ankylosing spondylitis (radiographic axial spondyloarthritis) and PsA.</w:t>
      </w:r>
      <w:r w:rsidR="00F61D56" w:rsidRPr="00E81073">
        <w:t xml:space="preserve"> </w:t>
      </w:r>
    </w:p>
    <w:p w14:paraId="53090095" w14:textId="77777777" w:rsidR="00CE2C69" w:rsidRPr="00E81073" w:rsidRDefault="00CE2C69" w:rsidP="00CE2C69">
      <w:pPr>
        <w:pStyle w:val="4-SubsectionHeading"/>
      </w:pPr>
      <w:bookmarkStart w:id="7" w:name="_Toc22897639"/>
      <w:bookmarkStart w:id="8" w:name="_Toc107927621"/>
      <w:bookmarkStart w:id="9" w:name="_Toc156894667"/>
      <w:r w:rsidRPr="00E81073">
        <w:t>Previous PBAC consideration</w:t>
      </w:r>
      <w:bookmarkEnd w:id="7"/>
      <w:bookmarkEnd w:id="8"/>
      <w:bookmarkEnd w:id="9"/>
    </w:p>
    <w:p w14:paraId="3FE6EC34" w14:textId="3C906630" w:rsidR="00CE2C69" w:rsidRPr="00E81073" w:rsidRDefault="002F4648" w:rsidP="003F3703">
      <w:pPr>
        <w:pStyle w:val="3-BodyText"/>
      </w:pPr>
      <w:r w:rsidRPr="00E81073">
        <w:t xml:space="preserve">This </w:t>
      </w:r>
      <w:r w:rsidR="007F4BB8" w:rsidRPr="00E81073">
        <w:t xml:space="preserve">was the first submission to the PBAC for BKZ for adult patients with PsA. The sponsor has </w:t>
      </w:r>
      <w:r w:rsidR="001939B9" w:rsidRPr="00E81073">
        <w:t xml:space="preserve">also </w:t>
      </w:r>
      <w:r w:rsidR="007F4BB8" w:rsidRPr="00E81073">
        <w:t xml:space="preserve">lodged separate submissions </w:t>
      </w:r>
      <w:r w:rsidR="001939B9" w:rsidRPr="00E81073">
        <w:t xml:space="preserve">to the PBAC for consideration at the March 2024 PBAC meeting, </w:t>
      </w:r>
      <w:r w:rsidR="007F4BB8" w:rsidRPr="00E81073">
        <w:t xml:space="preserve">for the treatment of non-radiographic axial spondyloarthritis and ankylosing spondylitis. BKZ is currently </w:t>
      </w:r>
      <w:r w:rsidR="001939B9" w:rsidRPr="00E81073">
        <w:t xml:space="preserve">listed on the </w:t>
      </w:r>
      <w:r w:rsidR="007F4BB8" w:rsidRPr="00E81073">
        <w:t xml:space="preserve">PBS </w:t>
      </w:r>
      <w:r w:rsidR="001939B9" w:rsidRPr="00E81073">
        <w:t>for the treatment of plaque psoriasis, following a positive recommendation by the PBAC at the March 2023 PBAC meeting.</w:t>
      </w:r>
    </w:p>
    <w:p w14:paraId="19004CBA" w14:textId="77777777" w:rsidR="00CE2C69" w:rsidRPr="00E81073" w:rsidRDefault="00CE2C69" w:rsidP="00CE2C69">
      <w:pPr>
        <w:pStyle w:val="2-SectionHeading"/>
        <w:numPr>
          <w:ilvl w:val="0"/>
          <w:numId w:val="1"/>
        </w:numPr>
      </w:pPr>
      <w:bookmarkStart w:id="10" w:name="_Toc107902078"/>
      <w:bookmarkStart w:id="11" w:name="_Toc107927622"/>
      <w:bookmarkStart w:id="12" w:name="_Toc156894668"/>
      <w:bookmarkEnd w:id="10"/>
      <w:r w:rsidRPr="00E81073">
        <w:t xml:space="preserve">Requested </w:t>
      </w:r>
      <w:proofErr w:type="gramStart"/>
      <w:r w:rsidRPr="00E81073">
        <w:t>listing</w:t>
      </w:r>
      <w:bookmarkEnd w:id="11"/>
      <w:bookmarkEnd w:id="12"/>
      <w:proofErr w:type="gramEnd"/>
    </w:p>
    <w:p w14:paraId="0B2783CB" w14:textId="290D3E7D" w:rsidR="00140431" w:rsidRPr="00E81073" w:rsidRDefault="0076264D" w:rsidP="00671E20">
      <w:pPr>
        <w:pStyle w:val="3-BodyText"/>
        <w:rPr>
          <w:i/>
          <w:iCs/>
        </w:rPr>
      </w:pPr>
      <w:r w:rsidRPr="00E81073">
        <w:t xml:space="preserve">The table </w:t>
      </w:r>
      <w:r w:rsidR="001A5186" w:rsidRPr="00E81073">
        <w:t>below</w:t>
      </w:r>
      <w:r w:rsidRPr="00E81073">
        <w:t xml:space="preserve"> presents an abbreviated version of the requested restriction for initial and continuing treatment</w:t>
      </w:r>
      <w:r w:rsidR="00671E20" w:rsidRPr="00E81073">
        <w:t xml:space="preserve">. </w:t>
      </w:r>
    </w:p>
    <w:p w14:paraId="42F92CD5" w14:textId="77777777" w:rsidR="0076264D" w:rsidRPr="00E81073" w:rsidRDefault="0076264D" w:rsidP="00140431"/>
    <w:tbl>
      <w:tblPr>
        <w:tblW w:w="5001" w:type="pct"/>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10"/>
        <w:gridCol w:w="2555"/>
        <w:gridCol w:w="993"/>
        <w:gridCol w:w="993"/>
        <w:gridCol w:w="993"/>
        <w:gridCol w:w="1085"/>
      </w:tblGrid>
      <w:tr w:rsidR="00CE2C69" w:rsidRPr="00E81073" w14:paraId="1B2BED2C" w14:textId="77777777" w:rsidTr="00140431">
        <w:trPr>
          <w:cantSplit/>
          <w:trHeight w:val="20"/>
        </w:trPr>
        <w:tc>
          <w:tcPr>
            <w:tcW w:w="2410" w:type="dxa"/>
            <w:tcBorders>
              <w:left w:val="nil"/>
              <w:right w:val="nil"/>
            </w:tcBorders>
            <w:vAlign w:val="center"/>
          </w:tcPr>
          <w:p w14:paraId="0D9F1DE5" w14:textId="77777777" w:rsidR="00CE2C69" w:rsidRPr="00E81073" w:rsidRDefault="00CE2C69" w:rsidP="002A5CC4">
            <w:pPr>
              <w:keepNext/>
              <w:rPr>
                <w:rFonts w:ascii="Arial Narrow" w:hAnsi="Arial Narrow"/>
                <w:b/>
                <w:bCs/>
                <w:sz w:val="20"/>
                <w:szCs w:val="20"/>
              </w:rPr>
            </w:pPr>
            <w:bookmarkStart w:id="13" w:name="_Hlk104809055"/>
            <w:r w:rsidRPr="00E81073">
              <w:rPr>
                <w:rFonts w:ascii="Arial Narrow" w:hAnsi="Arial Narrow"/>
                <w:b/>
                <w:bCs/>
                <w:sz w:val="20"/>
                <w:szCs w:val="20"/>
              </w:rPr>
              <w:t>MEDICINAL PRODUCT</w:t>
            </w:r>
          </w:p>
          <w:p w14:paraId="2C4A911E" w14:textId="77777777" w:rsidR="00CE2C69" w:rsidRPr="00E81073" w:rsidRDefault="00CE2C69" w:rsidP="002A5CC4">
            <w:pPr>
              <w:keepNext/>
              <w:rPr>
                <w:rFonts w:ascii="Arial Narrow" w:hAnsi="Arial Narrow"/>
                <w:b/>
                <w:sz w:val="20"/>
                <w:szCs w:val="20"/>
              </w:rPr>
            </w:pPr>
            <w:r w:rsidRPr="00E81073">
              <w:rPr>
                <w:rFonts w:ascii="Arial Narrow" w:hAnsi="Arial Narrow"/>
                <w:b/>
                <w:bCs/>
                <w:sz w:val="20"/>
                <w:szCs w:val="20"/>
              </w:rPr>
              <w:t>medicinal product pack</w:t>
            </w:r>
          </w:p>
        </w:tc>
        <w:tc>
          <w:tcPr>
            <w:tcW w:w="2555" w:type="dxa"/>
            <w:tcBorders>
              <w:left w:val="nil"/>
              <w:right w:val="nil"/>
            </w:tcBorders>
            <w:vAlign w:val="center"/>
          </w:tcPr>
          <w:p w14:paraId="43ADE4D8" w14:textId="77777777" w:rsidR="00CE2C69" w:rsidRPr="00E81073" w:rsidRDefault="00CE2C69" w:rsidP="002A5CC4">
            <w:pPr>
              <w:pStyle w:val="TableText0"/>
              <w:rPr>
                <w:b/>
                <w:bCs w:val="0"/>
                <w:szCs w:val="20"/>
              </w:rPr>
            </w:pPr>
            <w:r w:rsidRPr="00E81073">
              <w:rPr>
                <w:b/>
                <w:bCs w:val="0"/>
                <w:snapToGrid w:val="0"/>
              </w:rPr>
              <w:t xml:space="preserve">Dispensed Price for Max. Qty </w:t>
            </w:r>
          </w:p>
        </w:tc>
        <w:tc>
          <w:tcPr>
            <w:tcW w:w="993" w:type="dxa"/>
            <w:tcBorders>
              <w:left w:val="nil"/>
              <w:right w:val="nil"/>
            </w:tcBorders>
            <w:vAlign w:val="center"/>
          </w:tcPr>
          <w:p w14:paraId="01310E1C" w14:textId="77777777" w:rsidR="00CE2C69" w:rsidRPr="00E81073" w:rsidRDefault="00CE2C69" w:rsidP="002A5CC4">
            <w:pPr>
              <w:keepNext/>
              <w:jc w:val="center"/>
              <w:rPr>
                <w:rFonts w:ascii="Arial Narrow" w:hAnsi="Arial Narrow"/>
                <w:b/>
                <w:sz w:val="20"/>
                <w:szCs w:val="20"/>
              </w:rPr>
            </w:pPr>
            <w:r w:rsidRPr="00E81073">
              <w:rPr>
                <w:rFonts w:ascii="Arial Narrow" w:hAnsi="Arial Narrow"/>
                <w:b/>
                <w:sz w:val="20"/>
                <w:szCs w:val="20"/>
              </w:rPr>
              <w:t>Max. qty packs</w:t>
            </w:r>
          </w:p>
        </w:tc>
        <w:tc>
          <w:tcPr>
            <w:tcW w:w="993" w:type="dxa"/>
            <w:tcBorders>
              <w:left w:val="nil"/>
              <w:right w:val="nil"/>
            </w:tcBorders>
            <w:vAlign w:val="center"/>
          </w:tcPr>
          <w:p w14:paraId="51F70144" w14:textId="77777777" w:rsidR="00CE2C69" w:rsidRPr="00E81073" w:rsidRDefault="00CE2C69" w:rsidP="002A5CC4">
            <w:pPr>
              <w:keepNext/>
              <w:jc w:val="center"/>
              <w:rPr>
                <w:rFonts w:ascii="Arial Narrow" w:hAnsi="Arial Narrow"/>
                <w:b/>
                <w:sz w:val="20"/>
                <w:szCs w:val="20"/>
              </w:rPr>
            </w:pPr>
            <w:r w:rsidRPr="00E81073">
              <w:rPr>
                <w:rFonts w:ascii="Arial Narrow" w:hAnsi="Arial Narrow"/>
                <w:b/>
                <w:sz w:val="20"/>
                <w:szCs w:val="20"/>
              </w:rPr>
              <w:t>Max. qty units</w:t>
            </w:r>
          </w:p>
        </w:tc>
        <w:tc>
          <w:tcPr>
            <w:tcW w:w="993" w:type="dxa"/>
            <w:tcBorders>
              <w:left w:val="nil"/>
              <w:right w:val="nil"/>
            </w:tcBorders>
            <w:vAlign w:val="center"/>
          </w:tcPr>
          <w:p w14:paraId="0BF87748" w14:textId="77777777" w:rsidR="00CE2C69" w:rsidRPr="00E81073" w:rsidRDefault="00CE2C69" w:rsidP="002A5CC4">
            <w:pPr>
              <w:keepNext/>
              <w:jc w:val="center"/>
              <w:rPr>
                <w:rFonts w:ascii="Arial Narrow" w:hAnsi="Arial Narrow"/>
                <w:b/>
                <w:sz w:val="20"/>
                <w:szCs w:val="20"/>
              </w:rPr>
            </w:pPr>
            <w:r w:rsidRPr="00E81073">
              <w:rPr>
                <w:rFonts w:ascii="Arial Narrow" w:hAnsi="Arial Narrow"/>
                <w:b/>
                <w:sz w:val="20"/>
                <w:szCs w:val="20"/>
              </w:rPr>
              <w:t>№.of</w:t>
            </w:r>
          </w:p>
          <w:p w14:paraId="5604C179" w14:textId="77777777" w:rsidR="00CE2C69" w:rsidRPr="00E81073" w:rsidRDefault="00CE2C69" w:rsidP="002A5CC4">
            <w:pPr>
              <w:keepNext/>
              <w:jc w:val="center"/>
              <w:rPr>
                <w:rFonts w:ascii="Arial Narrow" w:hAnsi="Arial Narrow"/>
                <w:b/>
                <w:sz w:val="20"/>
                <w:szCs w:val="20"/>
              </w:rPr>
            </w:pPr>
            <w:r w:rsidRPr="00E81073">
              <w:rPr>
                <w:rFonts w:ascii="Arial Narrow" w:hAnsi="Arial Narrow"/>
                <w:b/>
                <w:sz w:val="20"/>
                <w:szCs w:val="20"/>
              </w:rPr>
              <w:t>Rpts</w:t>
            </w:r>
          </w:p>
        </w:tc>
        <w:tc>
          <w:tcPr>
            <w:tcW w:w="1085" w:type="dxa"/>
            <w:tcBorders>
              <w:left w:val="nil"/>
              <w:right w:val="nil"/>
            </w:tcBorders>
            <w:vAlign w:val="center"/>
          </w:tcPr>
          <w:p w14:paraId="0F7F2144" w14:textId="77777777" w:rsidR="00CE2C69" w:rsidRPr="00E81073" w:rsidRDefault="00CE2C69" w:rsidP="002A5CC4">
            <w:pPr>
              <w:keepNext/>
              <w:rPr>
                <w:rFonts w:ascii="Arial Narrow" w:hAnsi="Arial Narrow"/>
                <w:b/>
                <w:sz w:val="20"/>
                <w:szCs w:val="20"/>
              </w:rPr>
            </w:pPr>
            <w:r w:rsidRPr="00E81073">
              <w:rPr>
                <w:rFonts w:ascii="Arial Narrow" w:hAnsi="Arial Narrow"/>
                <w:b/>
                <w:sz w:val="20"/>
                <w:szCs w:val="20"/>
              </w:rPr>
              <w:t>Available brands</w:t>
            </w:r>
          </w:p>
        </w:tc>
      </w:tr>
      <w:tr w:rsidR="00D728D3" w:rsidRPr="00E81073" w14:paraId="605B0C50" w14:textId="77777777" w:rsidTr="00140431">
        <w:trPr>
          <w:cantSplit/>
          <w:trHeight w:val="20"/>
        </w:trPr>
        <w:tc>
          <w:tcPr>
            <w:tcW w:w="9029" w:type="dxa"/>
            <w:gridSpan w:val="6"/>
            <w:tcBorders>
              <w:left w:val="nil"/>
              <w:right w:val="nil"/>
            </w:tcBorders>
            <w:vAlign w:val="center"/>
          </w:tcPr>
          <w:p w14:paraId="5E78EE4E" w14:textId="2E2F74BD" w:rsidR="00D728D3" w:rsidRPr="00E81073" w:rsidRDefault="00D728D3" w:rsidP="002A5CC4">
            <w:pPr>
              <w:keepNext/>
              <w:rPr>
                <w:rFonts w:ascii="Arial Narrow" w:hAnsi="Arial Narrow"/>
                <w:sz w:val="20"/>
                <w:szCs w:val="20"/>
              </w:rPr>
            </w:pPr>
            <w:r w:rsidRPr="00E81073">
              <w:rPr>
                <w:rFonts w:ascii="Arial Narrow" w:hAnsi="Arial Narrow"/>
                <w:sz w:val="20"/>
                <w:szCs w:val="20"/>
              </w:rPr>
              <w:t>BIMEKIZUMAB</w:t>
            </w:r>
          </w:p>
        </w:tc>
      </w:tr>
      <w:bookmarkEnd w:id="13"/>
      <w:tr w:rsidR="00D728D3" w:rsidRPr="00E81073" w14:paraId="313721E6" w14:textId="77777777" w:rsidTr="00140431">
        <w:trPr>
          <w:cantSplit/>
          <w:trHeight w:val="20"/>
        </w:trPr>
        <w:tc>
          <w:tcPr>
            <w:tcW w:w="2410" w:type="dxa"/>
            <w:tcBorders>
              <w:left w:val="nil"/>
              <w:right w:val="nil"/>
            </w:tcBorders>
            <w:vAlign w:val="center"/>
          </w:tcPr>
          <w:p w14:paraId="139EF0BB" w14:textId="77777777" w:rsidR="00D728D3" w:rsidRPr="00E81073" w:rsidRDefault="00D728D3" w:rsidP="002A5CC4">
            <w:pPr>
              <w:keepNext/>
              <w:rPr>
                <w:rFonts w:ascii="Arial Narrow" w:hAnsi="Arial Narrow"/>
                <w:b/>
                <w:sz w:val="20"/>
                <w:szCs w:val="20"/>
              </w:rPr>
            </w:pPr>
            <w:r w:rsidRPr="00E81073">
              <w:rPr>
                <w:rFonts w:ascii="Arial Narrow" w:hAnsi="Arial Narrow"/>
                <w:b/>
                <w:sz w:val="20"/>
                <w:szCs w:val="20"/>
              </w:rPr>
              <w:t>[Initial treatment]</w:t>
            </w:r>
          </w:p>
          <w:p w14:paraId="2D89E878" w14:textId="5385EF41" w:rsidR="00D728D3" w:rsidRPr="00E81073" w:rsidRDefault="00D728D3" w:rsidP="002A5CC4">
            <w:pPr>
              <w:pStyle w:val="TableText0"/>
            </w:pPr>
            <w:r w:rsidRPr="00E81073">
              <w:rPr>
                <w:szCs w:val="20"/>
              </w:rPr>
              <w:t xml:space="preserve">160 mg/1mL pre-filled syringe </w:t>
            </w:r>
          </w:p>
        </w:tc>
        <w:tc>
          <w:tcPr>
            <w:tcW w:w="2555" w:type="dxa"/>
            <w:tcBorders>
              <w:left w:val="nil"/>
              <w:right w:val="nil"/>
            </w:tcBorders>
          </w:tcPr>
          <w:p w14:paraId="543868BA" w14:textId="77777777" w:rsidR="00D728D3" w:rsidRPr="00E81073" w:rsidRDefault="00D728D3" w:rsidP="002A5CC4">
            <w:pPr>
              <w:pStyle w:val="TableText0"/>
              <w:jc w:val="center"/>
            </w:pPr>
            <w:r w:rsidRPr="00E81073">
              <w:t>$3,422.13 published price</w:t>
            </w:r>
          </w:p>
          <w:p w14:paraId="1EA80AB4" w14:textId="75827584" w:rsidR="00D728D3" w:rsidRPr="00E81073" w:rsidRDefault="00D728D3" w:rsidP="002A5CC4">
            <w:pPr>
              <w:pStyle w:val="TableText0"/>
              <w:jc w:val="center"/>
            </w:pPr>
            <w:r w:rsidRPr="00E81073">
              <w:t>$TBC effective price</w:t>
            </w:r>
          </w:p>
        </w:tc>
        <w:tc>
          <w:tcPr>
            <w:tcW w:w="993" w:type="dxa"/>
            <w:tcBorders>
              <w:left w:val="nil"/>
              <w:right w:val="nil"/>
            </w:tcBorders>
            <w:vAlign w:val="center"/>
          </w:tcPr>
          <w:p w14:paraId="2FAF5D54" w14:textId="64F04277" w:rsidR="00D728D3" w:rsidRPr="00E81073" w:rsidRDefault="00D728D3" w:rsidP="002A5CC4">
            <w:pPr>
              <w:keepNext/>
              <w:jc w:val="center"/>
              <w:rPr>
                <w:rFonts w:ascii="Arial Narrow" w:hAnsi="Arial Narrow"/>
                <w:sz w:val="20"/>
              </w:rPr>
            </w:pPr>
            <w:r w:rsidRPr="00E81073">
              <w:rPr>
                <w:rFonts w:ascii="Arial Narrow" w:hAnsi="Arial Narrow"/>
                <w:sz w:val="20"/>
              </w:rPr>
              <w:t>1</w:t>
            </w:r>
          </w:p>
        </w:tc>
        <w:tc>
          <w:tcPr>
            <w:tcW w:w="993" w:type="dxa"/>
            <w:tcBorders>
              <w:left w:val="nil"/>
              <w:right w:val="nil"/>
            </w:tcBorders>
            <w:vAlign w:val="center"/>
          </w:tcPr>
          <w:p w14:paraId="759C335C" w14:textId="7032BB33" w:rsidR="00D728D3" w:rsidRPr="00E81073" w:rsidRDefault="00D728D3" w:rsidP="002A5CC4">
            <w:pPr>
              <w:keepNext/>
              <w:jc w:val="center"/>
              <w:rPr>
                <w:rFonts w:ascii="Arial Narrow" w:hAnsi="Arial Narrow"/>
                <w:sz w:val="20"/>
                <w:szCs w:val="20"/>
              </w:rPr>
            </w:pPr>
            <w:r w:rsidRPr="00E81073">
              <w:rPr>
                <w:rFonts w:ascii="Arial Narrow" w:hAnsi="Arial Narrow"/>
                <w:sz w:val="20"/>
              </w:rPr>
              <w:t>2</w:t>
            </w:r>
          </w:p>
        </w:tc>
        <w:tc>
          <w:tcPr>
            <w:tcW w:w="993" w:type="dxa"/>
            <w:tcBorders>
              <w:left w:val="nil"/>
              <w:right w:val="nil"/>
            </w:tcBorders>
            <w:vAlign w:val="center"/>
          </w:tcPr>
          <w:p w14:paraId="046B3415" w14:textId="654489E9" w:rsidR="00D728D3" w:rsidRPr="00E81073" w:rsidRDefault="00D728D3" w:rsidP="002A5CC4">
            <w:pPr>
              <w:keepNext/>
              <w:jc w:val="center"/>
              <w:rPr>
                <w:rFonts w:ascii="Arial Narrow" w:hAnsi="Arial Narrow"/>
                <w:sz w:val="20"/>
                <w:szCs w:val="20"/>
              </w:rPr>
            </w:pPr>
            <w:r w:rsidRPr="00E81073">
              <w:rPr>
                <w:rFonts w:ascii="Arial Narrow" w:hAnsi="Arial Narrow"/>
                <w:sz w:val="20"/>
              </w:rPr>
              <w:t>2</w:t>
            </w:r>
          </w:p>
        </w:tc>
        <w:tc>
          <w:tcPr>
            <w:tcW w:w="1085" w:type="dxa"/>
            <w:tcBorders>
              <w:left w:val="nil"/>
              <w:right w:val="nil"/>
            </w:tcBorders>
            <w:vAlign w:val="center"/>
          </w:tcPr>
          <w:p w14:paraId="1FB9AD39" w14:textId="116BAF8D" w:rsidR="00D728D3" w:rsidRPr="00E81073" w:rsidRDefault="00D728D3" w:rsidP="002A5CC4">
            <w:pPr>
              <w:keepNext/>
              <w:rPr>
                <w:rFonts w:ascii="Arial Narrow" w:hAnsi="Arial Narrow"/>
                <w:sz w:val="20"/>
                <w:szCs w:val="20"/>
              </w:rPr>
            </w:pPr>
            <w:r w:rsidRPr="00E81073">
              <w:rPr>
                <w:rFonts w:ascii="Arial Narrow" w:hAnsi="Arial Narrow"/>
                <w:sz w:val="20"/>
                <w:szCs w:val="20"/>
              </w:rPr>
              <w:t>Bimzelx</w:t>
            </w:r>
          </w:p>
        </w:tc>
      </w:tr>
      <w:tr w:rsidR="00D728D3" w:rsidRPr="00E81073" w14:paraId="0745AB4D" w14:textId="77777777" w:rsidTr="00140431">
        <w:trPr>
          <w:cantSplit/>
          <w:trHeight w:val="20"/>
        </w:trPr>
        <w:tc>
          <w:tcPr>
            <w:tcW w:w="2410" w:type="dxa"/>
            <w:tcBorders>
              <w:left w:val="nil"/>
              <w:right w:val="nil"/>
            </w:tcBorders>
            <w:vAlign w:val="center"/>
          </w:tcPr>
          <w:p w14:paraId="3B022BB1" w14:textId="77777777" w:rsidR="00D728D3" w:rsidRPr="00E81073" w:rsidRDefault="00D728D3" w:rsidP="002A5CC4">
            <w:pPr>
              <w:keepNext/>
              <w:rPr>
                <w:rFonts w:ascii="Arial Narrow" w:hAnsi="Arial Narrow"/>
                <w:b/>
                <w:sz w:val="20"/>
                <w:szCs w:val="20"/>
              </w:rPr>
            </w:pPr>
            <w:r w:rsidRPr="00E81073">
              <w:rPr>
                <w:rFonts w:ascii="Arial Narrow" w:hAnsi="Arial Narrow"/>
                <w:b/>
                <w:sz w:val="20"/>
                <w:szCs w:val="20"/>
              </w:rPr>
              <w:t>[Initial treatment]</w:t>
            </w:r>
          </w:p>
          <w:p w14:paraId="18C7D174" w14:textId="5D52F21A" w:rsidR="00D728D3" w:rsidRPr="00E81073" w:rsidRDefault="00D728D3" w:rsidP="002A5CC4">
            <w:pPr>
              <w:pStyle w:val="TableText0"/>
              <w:rPr>
                <w:szCs w:val="20"/>
              </w:rPr>
            </w:pPr>
            <w:r w:rsidRPr="00E81073">
              <w:rPr>
                <w:szCs w:val="20"/>
              </w:rPr>
              <w:t>160 mg/1mL pre-filled pen</w:t>
            </w:r>
          </w:p>
        </w:tc>
        <w:tc>
          <w:tcPr>
            <w:tcW w:w="2555" w:type="dxa"/>
            <w:tcBorders>
              <w:left w:val="nil"/>
              <w:right w:val="nil"/>
            </w:tcBorders>
          </w:tcPr>
          <w:p w14:paraId="7E5C7B29" w14:textId="77777777" w:rsidR="00D728D3" w:rsidRPr="00E81073" w:rsidRDefault="00D728D3" w:rsidP="002A5CC4">
            <w:pPr>
              <w:pStyle w:val="TableText0"/>
              <w:jc w:val="center"/>
            </w:pPr>
            <w:r w:rsidRPr="00E81073">
              <w:t>$3,422.13 published price</w:t>
            </w:r>
          </w:p>
          <w:p w14:paraId="582918FF" w14:textId="2F4FB9C0" w:rsidR="00D728D3" w:rsidRPr="00E81073" w:rsidRDefault="00D728D3" w:rsidP="002A5CC4">
            <w:pPr>
              <w:pStyle w:val="TableText0"/>
              <w:jc w:val="center"/>
              <w:rPr>
                <w:szCs w:val="20"/>
              </w:rPr>
            </w:pPr>
            <w:r w:rsidRPr="00E81073">
              <w:t>$TBC effective price</w:t>
            </w:r>
          </w:p>
        </w:tc>
        <w:tc>
          <w:tcPr>
            <w:tcW w:w="993" w:type="dxa"/>
            <w:tcBorders>
              <w:left w:val="nil"/>
              <w:right w:val="nil"/>
            </w:tcBorders>
            <w:vAlign w:val="center"/>
          </w:tcPr>
          <w:p w14:paraId="3BB0D5D0" w14:textId="0F8CDF5B" w:rsidR="00D728D3" w:rsidRPr="00E81073" w:rsidRDefault="00D728D3" w:rsidP="002A5CC4">
            <w:pPr>
              <w:keepNext/>
              <w:jc w:val="center"/>
              <w:rPr>
                <w:rFonts w:ascii="Arial Narrow" w:hAnsi="Arial Narrow"/>
                <w:sz w:val="20"/>
                <w:szCs w:val="20"/>
              </w:rPr>
            </w:pPr>
            <w:r w:rsidRPr="00E81073">
              <w:rPr>
                <w:rFonts w:ascii="Arial Narrow" w:hAnsi="Arial Narrow"/>
                <w:sz w:val="20"/>
              </w:rPr>
              <w:t>1</w:t>
            </w:r>
          </w:p>
        </w:tc>
        <w:tc>
          <w:tcPr>
            <w:tcW w:w="993" w:type="dxa"/>
            <w:tcBorders>
              <w:left w:val="nil"/>
              <w:right w:val="nil"/>
            </w:tcBorders>
            <w:vAlign w:val="center"/>
          </w:tcPr>
          <w:p w14:paraId="0A076AFA" w14:textId="766C4F24" w:rsidR="00D728D3" w:rsidRPr="00E81073" w:rsidRDefault="00D728D3" w:rsidP="002A5CC4">
            <w:pPr>
              <w:keepNext/>
              <w:jc w:val="center"/>
              <w:rPr>
                <w:rFonts w:ascii="Arial Narrow" w:hAnsi="Arial Narrow"/>
                <w:sz w:val="20"/>
                <w:szCs w:val="20"/>
              </w:rPr>
            </w:pPr>
            <w:r w:rsidRPr="00E81073">
              <w:rPr>
                <w:rFonts w:ascii="Arial Narrow" w:hAnsi="Arial Narrow"/>
                <w:sz w:val="20"/>
              </w:rPr>
              <w:t>2</w:t>
            </w:r>
          </w:p>
        </w:tc>
        <w:tc>
          <w:tcPr>
            <w:tcW w:w="993" w:type="dxa"/>
            <w:tcBorders>
              <w:left w:val="nil"/>
              <w:right w:val="nil"/>
            </w:tcBorders>
            <w:vAlign w:val="center"/>
          </w:tcPr>
          <w:p w14:paraId="5CDE3A13" w14:textId="0E15D46C" w:rsidR="00D728D3" w:rsidRPr="00E81073" w:rsidRDefault="00D728D3" w:rsidP="002A5CC4">
            <w:pPr>
              <w:keepNext/>
              <w:jc w:val="center"/>
              <w:rPr>
                <w:rFonts w:ascii="Arial Narrow" w:hAnsi="Arial Narrow"/>
                <w:sz w:val="20"/>
                <w:szCs w:val="20"/>
              </w:rPr>
            </w:pPr>
            <w:r w:rsidRPr="00E81073">
              <w:rPr>
                <w:rFonts w:ascii="Arial Narrow" w:hAnsi="Arial Narrow"/>
                <w:sz w:val="20"/>
              </w:rPr>
              <w:t>2</w:t>
            </w:r>
          </w:p>
        </w:tc>
        <w:tc>
          <w:tcPr>
            <w:tcW w:w="1085" w:type="dxa"/>
            <w:tcBorders>
              <w:left w:val="nil"/>
              <w:right w:val="nil"/>
            </w:tcBorders>
            <w:vAlign w:val="center"/>
          </w:tcPr>
          <w:p w14:paraId="5466CFFB" w14:textId="1A4C1E17" w:rsidR="00D728D3" w:rsidRPr="00E81073" w:rsidRDefault="00D728D3" w:rsidP="002A5CC4">
            <w:pPr>
              <w:keepNext/>
              <w:rPr>
                <w:rFonts w:ascii="Arial Narrow" w:hAnsi="Arial Narrow"/>
                <w:sz w:val="20"/>
                <w:szCs w:val="20"/>
              </w:rPr>
            </w:pPr>
            <w:r w:rsidRPr="00E81073">
              <w:rPr>
                <w:rFonts w:ascii="Arial Narrow" w:hAnsi="Arial Narrow"/>
                <w:sz w:val="20"/>
                <w:szCs w:val="20"/>
              </w:rPr>
              <w:t>Bimzelx</w:t>
            </w:r>
          </w:p>
        </w:tc>
      </w:tr>
      <w:tr w:rsidR="00D728D3" w:rsidRPr="00E81073" w14:paraId="4CF62F8A" w14:textId="77777777" w:rsidTr="00140431">
        <w:trPr>
          <w:cantSplit/>
          <w:trHeight w:val="20"/>
        </w:trPr>
        <w:tc>
          <w:tcPr>
            <w:tcW w:w="2410" w:type="dxa"/>
            <w:tcBorders>
              <w:left w:val="nil"/>
              <w:right w:val="nil"/>
            </w:tcBorders>
            <w:vAlign w:val="center"/>
          </w:tcPr>
          <w:p w14:paraId="0CD7EB5B" w14:textId="77777777" w:rsidR="00D728D3" w:rsidRPr="00E81073" w:rsidRDefault="00D728D3" w:rsidP="00AC4AE3">
            <w:pPr>
              <w:rPr>
                <w:rFonts w:ascii="Arial Narrow" w:hAnsi="Arial Narrow"/>
                <w:b/>
                <w:sz w:val="20"/>
                <w:szCs w:val="20"/>
              </w:rPr>
            </w:pPr>
            <w:r w:rsidRPr="00E81073">
              <w:rPr>
                <w:rFonts w:ascii="Arial Narrow" w:hAnsi="Arial Narrow"/>
                <w:b/>
                <w:sz w:val="20"/>
                <w:szCs w:val="20"/>
              </w:rPr>
              <w:t>[Continuing treatment]</w:t>
            </w:r>
          </w:p>
          <w:p w14:paraId="1148557B" w14:textId="526CC378" w:rsidR="00D728D3" w:rsidRPr="00E81073" w:rsidRDefault="00D728D3" w:rsidP="00AC4AE3">
            <w:pPr>
              <w:rPr>
                <w:rFonts w:ascii="Arial Narrow" w:hAnsi="Arial Narrow"/>
                <w:b/>
                <w:sz w:val="20"/>
                <w:szCs w:val="20"/>
              </w:rPr>
            </w:pPr>
            <w:r w:rsidRPr="00E81073">
              <w:rPr>
                <w:rFonts w:ascii="Arial Narrow" w:hAnsi="Arial Narrow"/>
                <w:sz w:val="20"/>
                <w:szCs w:val="20"/>
              </w:rPr>
              <w:t xml:space="preserve">160 mg/1mL pre-filled syringe </w:t>
            </w:r>
          </w:p>
        </w:tc>
        <w:tc>
          <w:tcPr>
            <w:tcW w:w="2555" w:type="dxa"/>
            <w:tcBorders>
              <w:left w:val="nil"/>
              <w:right w:val="nil"/>
            </w:tcBorders>
          </w:tcPr>
          <w:p w14:paraId="3193C263" w14:textId="77777777" w:rsidR="00D728D3" w:rsidRPr="00E81073" w:rsidRDefault="00D728D3" w:rsidP="00AC4AE3">
            <w:pPr>
              <w:pStyle w:val="TableText0"/>
              <w:keepNext w:val="0"/>
              <w:jc w:val="center"/>
            </w:pPr>
            <w:r w:rsidRPr="00E81073">
              <w:t>$3,422.13 published price</w:t>
            </w:r>
          </w:p>
          <w:p w14:paraId="1F041CF0" w14:textId="2BF2FA18" w:rsidR="00D728D3" w:rsidRPr="00E81073" w:rsidRDefault="00D728D3" w:rsidP="00AC4AE3">
            <w:pPr>
              <w:pStyle w:val="TableText0"/>
              <w:keepNext w:val="0"/>
              <w:jc w:val="center"/>
            </w:pPr>
            <w:r w:rsidRPr="00E81073">
              <w:t>$TBC effective price</w:t>
            </w:r>
          </w:p>
        </w:tc>
        <w:tc>
          <w:tcPr>
            <w:tcW w:w="993" w:type="dxa"/>
            <w:tcBorders>
              <w:left w:val="nil"/>
              <w:right w:val="nil"/>
            </w:tcBorders>
            <w:vAlign w:val="center"/>
          </w:tcPr>
          <w:p w14:paraId="7BD6E113" w14:textId="517D14FD" w:rsidR="00D728D3" w:rsidRPr="00E81073" w:rsidRDefault="00D728D3" w:rsidP="00AC4AE3">
            <w:pPr>
              <w:jc w:val="center"/>
              <w:rPr>
                <w:rFonts w:ascii="Arial Narrow" w:hAnsi="Arial Narrow"/>
                <w:sz w:val="20"/>
              </w:rPr>
            </w:pPr>
            <w:r w:rsidRPr="00E81073">
              <w:rPr>
                <w:rFonts w:ascii="Arial Narrow" w:hAnsi="Arial Narrow"/>
                <w:sz w:val="20"/>
              </w:rPr>
              <w:t>1</w:t>
            </w:r>
          </w:p>
        </w:tc>
        <w:tc>
          <w:tcPr>
            <w:tcW w:w="993" w:type="dxa"/>
            <w:tcBorders>
              <w:left w:val="nil"/>
              <w:right w:val="nil"/>
            </w:tcBorders>
            <w:vAlign w:val="center"/>
          </w:tcPr>
          <w:p w14:paraId="7D859773" w14:textId="469B1D2E" w:rsidR="00D728D3" w:rsidRPr="00E81073" w:rsidRDefault="00D728D3" w:rsidP="00AC4AE3">
            <w:pPr>
              <w:jc w:val="center"/>
              <w:rPr>
                <w:rFonts w:ascii="Arial Narrow" w:hAnsi="Arial Narrow"/>
                <w:sz w:val="20"/>
              </w:rPr>
            </w:pPr>
            <w:r w:rsidRPr="00E81073">
              <w:rPr>
                <w:rFonts w:ascii="Arial Narrow" w:hAnsi="Arial Narrow"/>
                <w:sz w:val="20"/>
              </w:rPr>
              <w:t>2</w:t>
            </w:r>
          </w:p>
        </w:tc>
        <w:tc>
          <w:tcPr>
            <w:tcW w:w="993" w:type="dxa"/>
            <w:tcBorders>
              <w:left w:val="nil"/>
              <w:right w:val="nil"/>
            </w:tcBorders>
            <w:vAlign w:val="center"/>
          </w:tcPr>
          <w:p w14:paraId="0910193B" w14:textId="47BB3D6F" w:rsidR="00D728D3" w:rsidRPr="00E81073" w:rsidRDefault="00D728D3" w:rsidP="00AC4AE3">
            <w:pPr>
              <w:jc w:val="center"/>
              <w:rPr>
                <w:rFonts w:ascii="Arial Narrow" w:hAnsi="Arial Narrow"/>
                <w:sz w:val="20"/>
              </w:rPr>
            </w:pPr>
            <w:r w:rsidRPr="00E81073">
              <w:rPr>
                <w:rFonts w:ascii="Arial Narrow" w:hAnsi="Arial Narrow"/>
                <w:sz w:val="20"/>
              </w:rPr>
              <w:t>2</w:t>
            </w:r>
          </w:p>
        </w:tc>
        <w:tc>
          <w:tcPr>
            <w:tcW w:w="1085" w:type="dxa"/>
            <w:tcBorders>
              <w:left w:val="nil"/>
              <w:right w:val="nil"/>
            </w:tcBorders>
            <w:vAlign w:val="center"/>
          </w:tcPr>
          <w:p w14:paraId="49A4A90D" w14:textId="7530AF5A" w:rsidR="00D728D3" w:rsidRPr="00E81073" w:rsidRDefault="00D728D3" w:rsidP="00AC4AE3">
            <w:pPr>
              <w:rPr>
                <w:rFonts w:ascii="Arial Narrow" w:hAnsi="Arial Narrow"/>
                <w:sz w:val="20"/>
                <w:szCs w:val="20"/>
              </w:rPr>
            </w:pPr>
            <w:r w:rsidRPr="00E81073">
              <w:rPr>
                <w:rFonts w:ascii="Arial Narrow" w:hAnsi="Arial Narrow"/>
                <w:sz w:val="20"/>
                <w:szCs w:val="20"/>
              </w:rPr>
              <w:t>Bimzelx</w:t>
            </w:r>
          </w:p>
        </w:tc>
      </w:tr>
      <w:tr w:rsidR="00D728D3" w:rsidRPr="00E81073" w14:paraId="71E7D431" w14:textId="77777777" w:rsidTr="00140431">
        <w:trPr>
          <w:cantSplit/>
          <w:trHeight w:val="20"/>
        </w:trPr>
        <w:tc>
          <w:tcPr>
            <w:tcW w:w="2410" w:type="dxa"/>
            <w:tcBorders>
              <w:left w:val="nil"/>
              <w:bottom w:val="single" w:sz="12" w:space="0" w:color="auto"/>
              <w:right w:val="nil"/>
            </w:tcBorders>
            <w:vAlign w:val="center"/>
          </w:tcPr>
          <w:p w14:paraId="67C3FC57" w14:textId="77777777" w:rsidR="00D728D3" w:rsidRPr="00E81073" w:rsidRDefault="00D728D3" w:rsidP="00AC4AE3">
            <w:pPr>
              <w:rPr>
                <w:rFonts w:ascii="Arial Narrow" w:hAnsi="Arial Narrow"/>
                <w:b/>
                <w:sz w:val="20"/>
                <w:szCs w:val="20"/>
              </w:rPr>
            </w:pPr>
            <w:r w:rsidRPr="00E81073">
              <w:rPr>
                <w:rFonts w:ascii="Arial Narrow" w:hAnsi="Arial Narrow"/>
                <w:b/>
                <w:sz w:val="20"/>
                <w:szCs w:val="20"/>
              </w:rPr>
              <w:t>[Continuing treatment]</w:t>
            </w:r>
          </w:p>
          <w:p w14:paraId="6B80560A" w14:textId="77777777" w:rsidR="00D728D3" w:rsidRPr="00E81073" w:rsidRDefault="00D728D3" w:rsidP="00AC4AE3">
            <w:pPr>
              <w:rPr>
                <w:rFonts w:ascii="Arial Narrow" w:hAnsi="Arial Narrow"/>
                <w:sz w:val="20"/>
                <w:szCs w:val="20"/>
              </w:rPr>
            </w:pPr>
            <w:r w:rsidRPr="00E81073">
              <w:rPr>
                <w:rFonts w:ascii="Arial Narrow" w:hAnsi="Arial Narrow"/>
                <w:sz w:val="20"/>
                <w:szCs w:val="20"/>
              </w:rPr>
              <w:t>160 mg/1mL pre-filled pen</w:t>
            </w:r>
          </w:p>
          <w:p w14:paraId="6A53502B" w14:textId="64B47E21" w:rsidR="002A5CC4" w:rsidRPr="00E81073" w:rsidRDefault="002A5CC4" w:rsidP="00AC4AE3">
            <w:pPr>
              <w:rPr>
                <w:rFonts w:ascii="Arial Narrow" w:hAnsi="Arial Narrow"/>
                <w:b/>
                <w:sz w:val="20"/>
                <w:szCs w:val="20"/>
              </w:rPr>
            </w:pPr>
          </w:p>
        </w:tc>
        <w:tc>
          <w:tcPr>
            <w:tcW w:w="2555" w:type="dxa"/>
            <w:tcBorders>
              <w:left w:val="nil"/>
              <w:bottom w:val="single" w:sz="12" w:space="0" w:color="auto"/>
              <w:right w:val="nil"/>
            </w:tcBorders>
          </w:tcPr>
          <w:p w14:paraId="7B57A0BC" w14:textId="77777777" w:rsidR="00D728D3" w:rsidRPr="00E81073" w:rsidRDefault="00D728D3" w:rsidP="00AC4AE3">
            <w:pPr>
              <w:pStyle w:val="TableText0"/>
              <w:keepNext w:val="0"/>
              <w:jc w:val="center"/>
            </w:pPr>
            <w:r w:rsidRPr="00E81073">
              <w:t>$3,422.13 published price</w:t>
            </w:r>
          </w:p>
          <w:p w14:paraId="19375E89" w14:textId="48AB32CA" w:rsidR="00D728D3" w:rsidRPr="00E81073" w:rsidRDefault="00D728D3" w:rsidP="00AC4AE3">
            <w:pPr>
              <w:pStyle w:val="TableText0"/>
              <w:keepNext w:val="0"/>
              <w:jc w:val="center"/>
            </w:pPr>
            <w:r w:rsidRPr="00E81073">
              <w:t>$TBC effective price</w:t>
            </w:r>
          </w:p>
        </w:tc>
        <w:tc>
          <w:tcPr>
            <w:tcW w:w="993" w:type="dxa"/>
            <w:tcBorders>
              <w:left w:val="nil"/>
              <w:bottom w:val="single" w:sz="12" w:space="0" w:color="auto"/>
              <w:right w:val="nil"/>
            </w:tcBorders>
            <w:vAlign w:val="center"/>
          </w:tcPr>
          <w:p w14:paraId="7C326A3C" w14:textId="7E27E0A4" w:rsidR="00D728D3" w:rsidRPr="00E81073" w:rsidRDefault="00D728D3" w:rsidP="00AC4AE3">
            <w:pPr>
              <w:jc w:val="center"/>
              <w:rPr>
                <w:rFonts w:ascii="Arial Narrow" w:hAnsi="Arial Narrow"/>
                <w:sz w:val="20"/>
              </w:rPr>
            </w:pPr>
            <w:r w:rsidRPr="00E81073">
              <w:rPr>
                <w:rFonts w:ascii="Arial Narrow" w:hAnsi="Arial Narrow"/>
                <w:sz w:val="20"/>
              </w:rPr>
              <w:t>1</w:t>
            </w:r>
          </w:p>
        </w:tc>
        <w:tc>
          <w:tcPr>
            <w:tcW w:w="993" w:type="dxa"/>
            <w:tcBorders>
              <w:left w:val="nil"/>
              <w:bottom w:val="single" w:sz="12" w:space="0" w:color="auto"/>
              <w:right w:val="nil"/>
            </w:tcBorders>
            <w:vAlign w:val="center"/>
          </w:tcPr>
          <w:p w14:paraId="3522700A" w14:textId="5AE1ED09" w:rsidR="00D728D3" w:rsidRPr="00E81073" w:rsidRDefault="00D728D3" w:rsidP="00AC4AE3">
            <w:pPr>
              <w:jc w:val="center"/>
              <w:rPr>
                <w:rFonts w:ascii="Arial Narrow" w:hAnsi="Arial Narrow"/>
                <w:sz w:val="20"/>
              </w:rPr>
            </w:pPr>
            <w:r w:rsidRPr="00E81073">
              <w:rPr>
                <w:rFonts w:ascii="Arial Narrow" w:hAnsi="Arial Narrow"/>
                <w:sz w:val="20"/>
              </w:rPr>
              <w:t>2</w:t>
            </w:r>
          </w:p>
        </w:tc>
        <w:tc>
          <w:tcPr>
            <w:tcW w:w="993" w:type="dxa"/>
            <w:tcBorders>
              <w:left w:val="nil"/>
              <w:bottom w:val="single" w:sz="12" w:space="0" w:color="auto"/>
              <w:right w:val="nil"/>
            </w:tcBorders>
            <w:vAlign w:val="center"/>
          </w:tcPr>
          <w:p w14:paraId="05310D5F" w14:textId="284F5D0B" w:rsidR="00D728D3" w:rsidRPr="00E81073" w:rsidRDefault="00D728D3" w:rsidP="00AC4AE3">
            <w:pPr>
              <w:jc w:val="center"/>
              <w:rPr>
                <w:rFonts w:ascii="Arial Narrow" w:hAnsi="Arial Narrow"/>
                <w:sz w:val="20"/>
              </w:rPr>
            </w:pPr>
            <w:r w:rsidRPr="00E81073">
              <w:rPr>
                <w:rFonts w:ascii="Arial Narrow" w:hAnsi="Arial Narrow"/>
                <w:sz w:val="20"/>
              </w:rPr>
              <w:t>2</w:t>
            </w:r>
          </w:p>
        </w:tc>
        <w:tc>
          <w:tcPr>
            <w:tcW w:w="1085" w:type="dxa"/>
            <w:tcBorders>
              <w:left w:val="nil"/>
              <w:bottom w:val="single" w:sz="12" w:space="0" w:color="auto"/>
              <w:right w:val="nil"/>
            </w:tcBorders>
            <w:vAlign w:val="center"/>
          </w:tcPr>
          <w:p w14:paraId="45DAB1E7" w14:textId="0AD70B45" w:rsidR="00A667E2" w:rsidRPr="00E81073" w:rsidRDefault="00D728D3" w:rsidP="00AC4AE3">
            <w:pPr>
              <w:rPr>
                <w:rFonts w:ascii="Arial Narrow" w:hAnsi="Arial Narrow"/>
                <w:sz w:val="20"/>
                <w:szCs w:val="20"/>
              </w:rPr>
            </w:pPr>
            <w:r w:rsidRPr="00E81073">
              <w:rPr>
                <w:rFonts w:ascii="Arial Narrow" w:hAnsi="Arial Narrow"/>
                <w:sz w:val="20"/>
                <w:szCs w:val="20"/>
              </w:rPr>
              <w:t>Bimzelx</w:t>
            </w:r>
          </w:p>
        </w:tc>
      </w:tr>
      <w:tr w:rsidR="00A667E2" w:rsidRPr="00E81073" w14:paraId="27A1B206" w14:textId="77777777" w:rsidTr="00140431">
        <w:trPr>
          <w:cantSplit/>
          <w:trHeight w:val="20"/>
        </w:trPr>
        <w:tc>
          <w:tcPr>
            <w:tcW w:w="9029" w:type="dxa"/>
            <w:gridSpan w:val="6"/>
            <w:vAlign w:val="center"/>
          </w:tcPr>
          <w:p w14:paraId="1FE17712" w14:textId="053F91BF" w:rsidR="00A667E2" w:rsidRPr="00E81073" w:rsidRDefault="00A667E2" w:rsidP="00AC4AE3">
            <w:pPr>
              <w:rPr>
                <w:rFonts w:ascii="Arial Narrow" w:hAnsi="Arial Narrow"/>
                <w:sz w:val="20"/>
                <w:szCs w:val="20"/>
              </w:rPr>
            </w:pPr>
            <w:r w:rsidRPr="00E81073">
              <w:rPr>
                <w:rFonts w:ascii="Arial Narrow" w:hAnsi="Arial Narrow"/>
                <w:b/>
                <w:sz w:val="20"/>
                <w:szCs w:val="20"/>
              </w:rPr>
              <w:t xml:space="preserve">Category / Program: </w:t>
            </w:r>
            <w:r w:rsidRPr="00E81073">
              <w:rPr>
                <w:rFonts w:ascii="Arial Narrow" w:hAnsi="Arial Narrow"/>
                <w:sz w:val="20"/>
                <w:szCs w:val="20"/>
              </w:rPr>
              <w:t>General Schedule</w:t>
            </w:r>
          </w:p>
        </w:tc>
      </w:tr>
      <w:tr w:rsidR="00A667E2" w:rsidRPr="00E81073" w14:paraId="36941AF3" w14:textId="77777777" w:rsidTr="00140431">
        <w:trPr>
          <w:cantSplit/>
          <w:trHeight w:val="20"/>
        </w:trPr>
        <w:tc>
          <w:tcPr>
            <w:tcW w:w="9029" w:type="dxa"/>
            <w:gridSpan w:val="6"/>
            <w:vAlign w:val="center"/>
          </w:tcPr>
          <w:p w14:paraId="0C3DB6A2" w14:textId="0E210B13" w:rsidR="00A667E2" w:rsidRPr="00E81073" w:rsidRDefault="00A667E2" w:rsidP="00AC4AE3">
            <w:pPr>
              <w:rPr>
                <w:rFonts w:ascii="Arial Narrow" w:hAnsi="Arial Narrow"/>
                <w:sz w:val="20"/>
                <w:szCs w:val="20"/>
              </w:rPr>
            </w:pPr>
            <w:r w:rsidRPr="00E81073">
              <w:rPr>
                <w:rFonts w:ascii="Arial Narrow" w:hAnsi="Arial Narrow"/>
                <w:b/>
                <w:sz w:val="20"/>
                <w:szCs w:val="20"/>
              </w:rPr>
              <w:t xml:space="preserve">Prescriber type: </w:t>
            </w:r>
            <w:r w:rsidRPr="00E81073">
              <w:rPr>
                <w:rFonts w:ascii="Arial Narrow" w:hAnsi="Arial Narrow"/>
                <w:sz w:val="20"/>
                <w:szCs w:val="20"/>
              </w:rPr>
              <w:fldChar w:fldCharType="begin" w:fldLock="1">
                <w:ffData>
                  <w:name w:val=""/>
                  <w:enabled/>
                  <w:calcOnExit w:val="0"/>
                  <w:checkBox>
                    <w:sizeAuto/>
                    <w:default w:val="1"/>
                  </w:checkBox>
                </w:ffData>
              </w:fldChar>
            </w:r>
            <w:r w:rsidRPr="00E81073">
              <w:rPr>
                <w:rFonts w:ascii="Arial Narrow" w:hAnsi="Arial Narrow"/>
                <w:sz w:val="20"/>
                <w:szCs w:val="20"/>
              </w:rPr>
              <w:instrText xml:space="preserve"> FORMCHECKBOX </w:instrText>
            </w:r>
            <w:r w:rsidR="006269D6">
              <w:rPr>
                <w:rFonts w:ascii="Arial Narrow" w:hAnsi="Arial Narrow"/>
                <w:sz w:val="20"/>
                <w:szCs w:val="20"/>
              </w:rPr>
            </w:r>
            <w:r w:rsidR="006269D6">
              <w:rPr>
                <w:rFonts w:ascii="Arial Narrow" w:hAnsi="Arial Narrow"/>
                <w:sz w:val="20"/>
                <w:szCs w:val="20"/>
              </w:rPr>
              <w:fldChar w:fldCharType="separate"/>
            </w:r>
            <w:r w:rsidRPr="00E81073">
              <w:rPr>
                <w:rFonts w:ascii="Arial Narrow" w:hAnsi="Arial Narrow"/>
                <w:sz w:val="20"/>
                <w:szCs w:val="20"/>
              </w:rPr>
              <w:fldChar w:fldCharType="end"/>
            </w:r>
            <w:r w:rsidRPr="00E81073">
              <w:rPr>
                <w:rFonts w:ascii="Arial Narrow" w:hAnsi="Arial Narrow"/>
                <w:sz w:val="20"/>
                <w:szCs w:val="20"/>
              </w:rPr>
              <w:t>Medical Practitioners</w:t>
            </w:r>
          </w:p>
        </w:tc>
      </w:tr>
      <w:tr w:rsidR="002D4C65" w:rsidRPr="00E81073" w14:paraId="32E4E30B" w14:textId="77777777" w:rsidTr="00140431">
        <w:trPr>
          <w:cantSplit/>
          <w:trHeight w:val="20"/>
        </w:trPr>
        <w:tc>
          <w:tcPr>
            <w:tcW w:w="9029" w:type="dxa"/>
            <w:gridSpan w:val="6"/>
            <w:vAlign w:val="center"/>
          </w:tcPr>
          <w:p w14:paraId="19036921" w14:textId="65EF840B" w:rsidR="002D4C65" w:rsidRPr="00E81073" w:rsidRDefault="002D4C65" w:rsidP="002D4C65">
            <w:pPr>
              <w:rPr>
                <w:rFonts w:ascii="Arial Narrow" w:hAnsi="Arial Narrow"/>
                <w:b/>
                <w:sz w:val="20"/>
                <w:szCs w:val="20"/>
              </w:rPr>
            </w:pPr>
            <w:r w:rsidRPr="00E81073">
              <w:rPr>
                <w:rFonts w:ascii="Arial Narrow" w:hAnsi="Arial Narrow"/>
                <w:b/>
                <w:sz w:val="20"/>
                <w:szCs w:val="20"/>
              </w:rPr>
              <w:t>Treatment criteria:</w:t>
            </w:r>
          </w:p>
        </w:tc>
      </w:tr>
      <w:tr w:rsidR="002D4C65" w:rsidRPr="00E81073" w14:paraId="40ADEA6F" w14:textId="77777777" w:rsidTr="00140431">
        <w:trPr>
          <w:cantSplit/>
          <w:trHeight w:val="20"/>
        </w:trPr>
        <w:tc>
          <w:tcPr>
            <w:tcW w:w="9029" w:type="dxa"/>
            <w:gridSpan w:val="6"/>
            <w:vAlign w:val="center"/>
          </w:tcPr>
          <w:p w14:paraId="60F20B71" w14:textId="30A981EC" w:rsidR="002D4C65" w:rsidRPr="00E81073" w:rsidRDefault="002D4C65" w:rsidP="002D4C65">
            <w:pPr>
              <w:rPr>
                <w:rFonts w:ascii="Arial Narrow" w:hAnsi="Arial Narrow"/>
                <w:b/>
                <w:sz w:val="20"/>
                <w:szCs w:val="20"/>
              </w:rPr>
            </w:pPr>
            <w:r w:rsidRPr="00E81073">
              <w:rPr>
                <w:rFonts w:ascii="Arial Narrow" w:hAnsi="Arial Narrow"/>
                <w:sz w:val="20"/>
                <w:szCs w:val="20"/>
              </w:rPr>
              <w:t>Must be treated by a rheumatologist; or</w:t>
            </w:r>
          </w:p>
        </w:tc>
      </w:tr>
      <w:tr w:rsidR="002D4C65" w:rsidRPr="00E81073" w14:paraId="3F14B0AE" w14:textId="77777777" w:rsidTr="00140431">
        <w:trPr>
          <w:cantSplit/>
          <w:trHeight w:val="20"/>
        </w:trPr>
        <w:tc>
          <w:tcPr>
            <w:tcW w:w="9029" w:type="dxa"/>
            <w:gridSpan w:val="6"/>
            <w:vAlign w:val="center"/>
          </w:tcPr>
          <w:p w14:paraId="16C2827D" w14:textId="71EA1219" w:rsidR="002D4C65" w:rsidRPr="00E81073" w:rsidRDefault="002D4C65" w:rsidP="002D4C65">
            <w:pPr>
              <w:rPr>
                <w:rFonts w:ascii="Arial Narrow" w:hAnsi="Arial Narrow"/>
                <w:b/>
                <w:sz w:val="20"/>
                <w:szCs w:val="20"/>
              </w:rPr>
            </w:pPr>
            <w:r w:rsidRPr="00E81073">
              <w:rPr>
                <w:rFonts w:ascii="Arial Narrow" w:hAnsi="Arial Narrow"/>
                <w:sz w:val="20"/>
                <w:szCs w:val="20"/>
              </w:rPr>
              <w:t>Must be treated by a clinical immunologist with expertise in the management of psoriatic arthritis</w:t>
            </w:r>
          </w:p>
        </w:tc>
      </w:tr>
      <w:tr w:rsidR="006D4344" w:rsidRPr="00E81073" w14:paraId="36C2FE6F" w14:textId="77777777" w:rsidTr="00140431">
        <w:trPr>
          <w:cantSplit/>
          <w:trHeight w:val="20"/>
        </w:trPr>
        <w:tc>
          <w:tcPr>
            <w:tcW w:w="9029" w:type="dxa"/>
            <w:gridSpan w:val="6"/>
            <w:vAlign w:val="center"/>
          </w:tcPr>
          <w:p w14:paraId="3BA4A7B7" w14:textId="3DD496E7" w:rsidR="006D4344" w:rsidRPr="00E81073" w:rsidRDefault="006D4344" w:rsidP="006D4344">
            <w:pPr>
              <w:rPr>
                <w:rFonts w:ascii="Arial Narrow" w:hAnsi="Arial Narrow"/>
                <w:sz w:val="20"/>
                <w:szCs w:val="20"/>
              </w:rPr>
            </w:pPr>
            <w:r w:rsidRPr="00E81073">
              <w:rPr>
                <w:rFonts w:ascii="Arial Narrow" w:hAnsi="Arial Narrow"/>
                <w:b/>
                <w:sz w:val="20"/>
                <w:szCs w:val="20"/>
              </w:rPr>
              <w:t>Population criteria:</w:t>
            </w:r>
          </w:p>
        </w:tc>
      </w:tr>
      <w:tr w:rsidR="006D4344" w:rsidRPr="00E81073" w14:paraId="3444D5B0" w14:textId="77777777" w:rsidTr="00140431">
        <w:trPr>
          <w:cantSplit/>
          <w:trHeight w:val="20"/>
        </w:trPr>
        <w:tc>
          <w:tcPr>
            <w:tcW w:w="9029" w:type="dxa"/>
            <w:gridSpan w:val="6"/>
            <w:vAlign w:val="center"/>
          </w:tcPr>
          <w:p w14:paraId="495DF31F" w14:textId="1FADF72F" w:rsidR="006D4344" w:rsidRPr="00E81073" w:rsidRDefault="006D4344" w:rsidP="006D4344">
            <w:pPr>
              <w:rPr>
                <w:rFonts w:ascii="Arial Narrow" w:hAnsi="Arial Narrow"/>
                <w:sz w:val="20"/>
                <w:szCs w:val="20"/>
              </w:rPr>
            </w:pPr>
            <w:r w:rsidRPr="00E81073">
              <w:rPr>
                <w:rFonts w:ascii="Arial Narrow" w:hAnsi="Arial Narrow"/>
                <w:sz w:val="20"/>
                <w:szCs w:val="20"/>
              </w:rPr>
              <w:t>Patient must be aged 18 years or older</w:t>
            </w:r>
          </w:p>
        </w:tc>
      </w:tr>
      <w:tr w:rsidR="006D4344" w:rsidRPr="00E81073" w14:paraId="123A6886" w14:textId="77777777" w:rsidTr="00140431">
        <w:trPr>
          <w:cantSplit/>
          <w:trHeight w:val="20"/>
        </w:trPr>
        <w:tc>
          <w:tcPr>
            <w:tcW w:w="9029" w:type="dxa"/>
            <w:gridSpan w:val="6"/>
            <w:tcBorders>
              <w:bottom w:val="single" w:sz="12" w:space="0" w:color="auto"/>
            </w:tcBorders>
            <w:vAlign w:val="center"/>
          </w:tcPr>
          <w:p w14:paraId="6BA774D8" w14:textId="5E550E49" w:rsidR="006D4344" w:rsidRPr="00E81073" w:rsidRDefault="006D4344" w:rsidP="006D4344">
            <w:pPr>
              <w:rPr>
                <w:rFonts w:ascii="Arial Narrow" w:hAnsi="Arial Narrow"/>
                <w:sz w:val="20"/>
                <w:szCs w:val="20"/>
              </w:rPr>
            </w:pPr>
            <w:r w:rsidRPr="00E81073">
              <w:rPr>
                <w:rFonts w:ascii="Arial Narrow" w:hAnsi="Arial Narrow"/>
                <w:b/>
                <w:sz w:val="20"/>
                <w:szCs w:val="20"/>
              </w:rPr>
              <w:t>Indication:</w:t>
            </w:r>
            <w:r w:rsidRPr="00E81073">
              <w:rPr>
                <w:rFonts w:ascii="Arial Narrow" w:hAnsi="Arial Narrow"/>
                <w:sz w:val="20"/>
                <w:szCs w:val="20"/>
              </w:rPr>
              <w:t xml:space="preserve"> Severe psoriatic arthritis</w:t>
            </w:r>
          </w:p>
        </w:tc>
      </w:tr>
      <w:tr w:rsidR="006D4344" w:rsidRPr="00E81073" w14:paraId="60E8602E" w14:textId="77777777" w:rsidTr="00140431">
        <w:trPr>
          <w:cantSplit/>
          <w:trHeight w:val="20"/>
        </w:trPr>
        <w:tc>
          <w:tcPr>
            <w:tcW w:w="9029" w:type="dxa"/>
            <w:gridSpan w:val="6"/>
            <w:tcBorders>
              <w:top w:val="single" w:sz="12" w:space="0" w:color="auto"/>
            </w:tcBorders>
            <w:vAlign w:val="center"/>
          </w:tcPr>
          <w:p w14:paraId="0A5102E2" w14:textId="6EF5032F" w:rsidR="006D4344" w:rsidRPr="00E81073" w:rsidRDefault="006D4344" w:rsidP="006D4344">
            <w:pPr>
              <w:rPr>
                <w:rFonts w:ascii="Arial Narrow" w:hAnsi="Arial Narrow"/>
                <w:b/>
                <w:sz w:val="20"/>
                <w:szCs w:val="20"/>
              </w:rPr>
            </w:pPr>
            <w:r w:rsidRPr="00E81073">
              <w:rPr>
                <w:rFonts w:ascii="Arial Narrow" w:hAnsi="Arial Narrow"/>
                <w:b/>
                <w:sz w:val="20"/>
                <w:szCs w:val="20"/>
              </w:rPr>
              <w:t>Treatment Phase:</w:t>
            </w:r>
            <w:r w:rsidRPr="00E81073">
              <w:rPr>
                <w:rFonts w:ascii="Arial Narrow" w:hAnsi="Arial Narrow"/>
                <w:sz w:val="20"/>
                <w:szCs w:val="20"/>
              </w:rPr>
              <w:t xml:space="preserve"> Initial </w:t>
            </w:r>
          </w:p>
        </w:tc>
      </w:tr>
      <w:tr w:rsidR="006D4344" w:rsidRPr="00E81073" w14:paraId="5B16FB15" w14:textId="77777777" w:rsidTr="00140431">
        <w:trPr>
          <w:cantSplit/>
          <w:trHeight w:val="20"/>
        </w:trPr>
        <w:tc>
          <w:tcPr>
            <w:tcW w:w="9029" w:type="dxa"/>
            <w:gridSpan w:val="6"/>
            <w:tcBorders>
              <w:top w:val="single" w:sz="4" w:space="0" w:color="auto"/>
            </w:tcBorders>
            <w:vAlign w:val="center"/>
          </w:tcPr>
          <w:p w14:paraId="406418C4" w14:textId="3D978E21" w:rsidR="006D4344" w:rsidRPr="00E81073" w:rsidRDefault="006D4344" w:rsidP="006D4344">
            <w:pPr>
              <w:rPr>
                <w:rFonts w:ascii="Arial Narrow" w:hAnsi="Arial Narrow"/>
                <w:b/>
                <w:sz w:val="20"/>
                <w:szCs w:val="20"/>
              </w:rPr>
            </w:pPr>
            <w:r w:rsidRPr="00E81073">
              <w:rPr>
                <w:rFonts w:ascii="Arial Narrow" w:hAnsi="Arial Narrow"/>
                <w:b/>
                <w:sz w:val="20"/>
                <w:szCs w:val="20"/>
              </w:rPr>
              <w:t xml:space="preserve">Restriction type: </w:t>
            </w:r>
            <w:r w:rsidRPr="00E81073">
              <w:rPr>
                <w:rFonts w:ascii="Arial Narrow" w:hAnsi="Arial Narrow"/>
                <w:sz w:val="20"/>
                <w:szCs w:val="20"/>
              </w:rPr>
              <w:fldChar w:fldCharType="begin" w:fldLock="1">
                <w:ffData>
                  <w:name w:val=""/>
                  <w:enabled/>
                  <w:calcOnExit w:val="0"/>
                  <w:checkBox>
                    <w:sizeAuto/>
                    <w:default w:val="1"/>
                  </w:checkBox>
                </w:ffData>
              </w:fldChar>
            </w:r>
            <w:r w:rsidRPr="00E81073">
              <w:rPr>
                <w:rFonts w:ascii="Arial Narrow" w:hAnsi="Arial Narrow"/>
                <w:sz w:val="20"/>
                <w:szCs w:val="20"/>
              </w:rPr>
              <w:instrText xml:space="preserve"> FORMCHECKBOX </w:instrText>
            </w:r>
            <w:r w:rsidR="006269D6">
              <w:rPr>
                <w:rFonts w:ascii="Arial Narrow" w:hAnsi="Arial Narrow"/>
                <w:sz w:val="20"/>
                <w:szCs w:val="20"/>
              </w:rPr>
            </w:r>
            <w:r w:rsidR="006269D6">
              <w:rPr>
                <w:rFonts w:ascii="Arial Narrow" w:hAnsi="Arial Narrow"/>
                <w:sz w:val="20"/>
                <w:szCs w:val="20"/>
              </w:rPr>
              <w:fldChar w:fldCharType="separate"/>
            </w:r>
            <w:r w:rsidRPr="00E81073">
              <w:rPr>
                <w:rFonts w:ascii="Arial Narrow" w:hAnsi="Arial Narrow"/>
                <w:sz w:val="20"/>
                <w:szCs w:val="20"/>
              </w:rPr>
              <w:fldChar w:fldCharType="end"/>
            </w:r>
            <w:r w:rsidRPr="00E81073">
              <w:rPr>
                <w:rFonts w:ascii="Arial Narrow" w:hAnsi="Arial Narrow"/>
                <w:sz w:val="20"/>
                <w:szCs w:val="20"/>
              </w:rPr>
              <w:t xml:space="preserve">Authority Required (in writing only via post/HPOS upload)  </w:t>
            </w:r>
          </w:p>
        </w:tc>
      </w:tr>
      <w:tr w:rsidR="006D4344" w:rsidRPr="00E81073" w14:paraId="6161FD17" w14:textId="77777777" w:rsidTr="00140431">
        <w:trPr>
          <w:cantSplit/>
          <w:trHeight w:val="20"/>
        </w:trPr>
        <w:tc>
          <w:tcPr>
            <w:tcW w:w="9029" w:type="dxa"/>
            <w:gridSpan w:val="6"/>
            <w:vAlign w:val="center"/>
          </w:tcPr>
          <w:p w14:paraId="40F06510" w14:textId="2F44E956" w:rsidR="006D4344" w:rsidRPr="00E81073" w:rsidRDefault="006D4344" w:rsidP="006D4344">
            <w:pPr>
              <w:rPr>
                <w:rFonts w:ascii="Arial Narrow" w:hAnsi="Arial Narrow"/>
                <w:sz w:val="20"/>
                <w:szCs w:val="20"/>
              </w:rPr>
            </w:pPr>
            <w:r w:rsidRPr="00E81073">
              <w:rPr>
                <w:rFonts w:ascii="Arial Narrow" w:hAnsi="Arial Narrow"/>
                <w:b/>
                <w:sz w:val="20"/>
                <w:szCs w:val="20"/>
              </w:rPr>
              <w:t xml:space="preserve">Clinical criteria: </w:t>
            </w:r>
          </w:p>
        </w:tc>
      </w:tr>
      <w:tr w:rsidR="006D4344" w:rsidRPr="00E81073" w14:paraId="2529CFF2" w14:textId="77777777" w:rsidTr="00140431">
        <w:trPr>
          <w:cantSplit/>
          <w:trHeight w:val="20"/>
        </w:trPr>
        <w:tc>
          <w:tcPr>
            <w:tcW w:w="9029" w:type="dxa"/>
            <w:gridSpan w:val="6"/>
            <w:vAlign w:val="center"/>
          </w:tcPr>
          <w:p w14:paraId="7C46048F" w14:textId="6E421E6E" w:rsidR="006D4344" w:rsidRPr="00E81073" w:rsidRDefault="006D4344" w:rsidP="006D4344">
            <w:pPr>
              <w:rPr>
                <w:rFonts w:ascii="Arial Narrow" w:hAnsi="Arial Narrow"/>
                <w:sz w:val="20"/>
                <w:szCs w:val="20"/>
              </w:rPr>
            </w:pPr>
            <w:r w:rsidRPr="00E81073">
              <w:rPr>
                <w:rFonts w:ascii="Arial Narrow" w:hAnsi="Arial Narrow"/>
                <w:sz w:val="20"/>
                <w:szCs w:val="20"/>
              </w:rPr>
              <w:t>As for that of currently PBS listed b/tsDMARDs for psoriatic arthritis (e.g. patient must have failed to achieve an adequate response to methotrexate and sulfasalazine or leflunomide)</w:t>
            </w:r>
          </w:p>
        </w:tc>
      </w:tr>
      <w:tr w:rsidR="006D4344" w:rsidRPr="00E81073" w14:paraId="6587960D" w14:textId="77777777" w:rsidTr="00140431">
        <w:trPr>
          <w:cantSplit/>
          <w:trHeight w:val="20"/>
        </w:trPr>
        <w:tc>
          <w:tcPr>
            <w:tcW w:w="9029" w:type="dxa"/>
            <w:gridSpan w:val="6"/>
            <w:vAlign w:val="center"/>
          </w:tcPr>
          <w:p w14:paraId="6C8FD913" w14:textId="32509BDE" w:rsidR="006D4344" w:rsidRPr="00E81073" w:rsidRDefault="006D4344" w:rsidP="006D4344">
            <w:pPr>
              <w:rPr>
                <w:rFonts w:ascii="Arial Narrow" w:hAnsi="Arial Narrow"/>
                <w:b/>
                <w:sz w:val="20"/>
                <w:szCs w:val="20"/>
              </w:rPr>
            </w:pPr>
            <w:r w:rsidRPr="00E81073">
              <w:rPr>
                <w:rFonts w:ascii="Arial Narrow" w:hAnsi="Arial Narrow"/>
                <w:sz w:val="20"/>
                <w:szCs w:val="20"/>
              </w:rPr>
              <w:t>Patient must not receive more than 28 weeks of treatment under this restriction</w:t>
            </w:r>
          </w:p>
        </w:tc>
      </w:tr>
      <w:tr w:rsidR="006D4344" w:rsidRPr="00E81073" w14:paraId="355FB642" w14:textId="77777777" w:rsidTr="00140431">
        <w:trPr>
          <w:cantSplit/>
          <w:trHeight w:val="20"/>
        </w:trPr>
        <w:tc>
          <w:tcPr>
            <w:tcW w:w="9029" w:type="dxa"/>
            <w:gridSpan w:val="6"/>
            <w:vAlign w:val="center"/>
          </w:tcPr>
          <w:p w14:paraId="6B22E95E" w14:textId="5ECB04E0" w:rsidR="006D4344" w:rsidRPr="00E81073" w:rsidRDefault="006D4344" w:rsidP="006D4344">
            <w:pPr>
              <w:rPr>
                <w:rFonts w:ascii="Arial Narrow" w:hAnsi="Arial Narrow"/>
                <w:b/>
                <w:sz w:val="20"/>
                <w:szCs w:val="20"/>
              </w:rPr>
            </w:pPr>
            <w:r w:rsidRPr="00E81073">
              <w:rPr>
                <w:rFonts w:ascii="Arial Narrow" w:hAnsi="Arial Narrow"/>
                <w:b/>
                <w:sz w:val="20"/>
                <w:szCs w:val="20"/>
              </w:rPr>
              <w:t>Prescribing Instructions:</w:t>
            </w:r>
          </w:p>
        </w:tc>
      </w:tr>
      <w:tr w:rsidR="006D4344" w:rsidRPr="00E81073" w14:paraId="7B7C60CF" w14:textId="77777777" w:rsidTr="00071605">
        <w:trPr>
          <w:cantSplit/>
          <w:trHeight w:val="20"/>
        </w:trPr>
        <w:tc>
          <w:tcPr>
            <w:tcW w:w="9029" w:type="dxa"/>
            <w:gridSpan w:val="6"/>
            <w:tcBorders>
              <w:bottom w:val="single" w:sz="12" w:space="0" w:color="auto"/>
            </w:tcBorders>
            <w:vAlign w:val="center"/>
          </w:tcPr>
          <w:p w14:paraId="2FB17257" w14:textId="77777777" w:rsidR="006D4344" w:rsidRPr="00E81073" w:rsidRDefault="006D4344" w:rsidP="006D4344">
            <w:pPr>
              <w:rPr>
                <w:rFonts w:ascii="Arial Narrow" w:hAnsi="Arial Narrow"/>
                <w:sz w:val="20"/>
                <w:szCs w:val="20"/>
              </w:rPr>
            </w:pPr>
            <w:r w:rsidRPr="00E81073">
              <w:rPr>
                <w:rFonts w:ascii="Arial Narrow" w:hAnsi="Arial Narrow"/>
                <w:sz w:val="20"/>
                <w:szCs w:val="20"/>
              </w:rPr>
              <w:t>The following initiation criteria indicate failure to achieve an adequate response and must be demonstrated in all patients at the time of the initial application:</w:t>
            </w:r>
          </w:p>
          <w:p w14:paraId="457C48A6" w14:textId="77777777" w:rsidR="006D4344" w:rsidRPr="00E81073" w:rsidRDefault="006D4344" w:rsidP="006D4344">
            <w:pPr>
              <w:rPr>
                <w:rFonts w:ascii="Arial Narrow" w:hAnsi="Arial Narrow"/>
                <w:sz w:val="20"/>
                <w:szCs w:val="20"/>
              </w:rPr>
            </w:pPr>
            <w:r w:rsidRPr="00E81073">
              <w:rPr>
                <w:rFonts w:ascii="Arial Narrow" w:hAnsi="Arial Narrow"/>
                <w:sz w:val="20"/>
                <w:szCs w:val="20"/>
              </w:rPr>
              <w:t>an elevated erythrocyte sedimentation rate (ESR) greater than 25 mm per hour or a C-reactive protein (CRP) level greater than 15 mg per L; and</w:t>
            </w:r>
          </w:p>
          <w:p w14:paraId="4BFBE85D" w14:textId="77777777" w:rsidR="006D4344" w:rsidRPr="00E81073" w:rsidRDefault="006D4344" w:rsidP="006D4344">
            <w:pPr>
              <w:rPr>
                <w:rFonts w:ascii="Arial Narrow" w:hAnsi="Arial Narrow"/>
                <w:sz w:val="20"/>
                <w:szCs w:val="20"/>
              </w:rPr>
            </w:pPr>
            <w:r w:rsidRPr="00E81073">
              <w:rPr>
                <w:rFonts w:ascii="Arial Narrow" w:hAnsi="Arial Narrow"/>
                <w:sz w:val="20"/>
                <w:szCs w:val="20"/>
              </w:rPr>
              <w:t>either</w:t>
            </w:r>
          </w:p>
          <w:p w14:paraId="1A0E0C62" w14:textId="77777777" w:rsidR="006D4344" w:rsidRPr="00E81073" w:rsidRDefault="006D4344" w:rsidP="006D4344">
            <w:pPr>
              <w:rPr>
                <w:rFonts w:ascii="Arial Narrow" w:hAnsi="Arial Narrow"/>
                <w:sz w:val="20"/>
                <w:szCs w:val="20"/>
              </w:rPr>
            </w:pPr>
            <w:r w:rsidRPr="00E81073">
              <w:rPr>
                <w:rFonts w:ascii="Arial Narrow" w:hAnsi="Arial Narrow"/>
                <w:sz w:val="20"/>
                <w:szCs w:val="20"/>
              </w:rPr>
              <w:t>(a) an active joint count of at least 20 active (swollen and tender) joints; or</w:t>
            </w:r>
          </w:p>
          <w:p w14:paraId="27FDC1DA" w14:textId="77777777" w:rsidR="006D4344" w:rsidRPr="00E81073" w:rsidRDefault="006D4344" w:rsidP="006D4344">
            <w:pPr>
              <w:rPr>
                <w:rFonts w:ascii="Arial Narrow" w:hAnsi="Arial Narrow"/>
                <w:sz w:val="20"/>
                <w:szCs w:val="20"/>
              </w:rPr>
            </w:pPr>
            <w:r w:rsidRPr="00E81073">
              <w:rPr>
                <w:rFonts w:ascii="Arial Narrow" w:hAnsi="Arial Narrow"/>
                <w:sz w:val="20"/>
                <w:szCs w:val="20"/>
              </w:rPr>
              <w:t>(b) at least 4 active joints from the following list of major joints:</w:t>
            </w:r>
          </w:p>
          <w:p w14:paraId="4D028F27" w14:textId="77777777" w:rsidR="006D4344" w:rsidRPr="00E81073" w:rsidRDefault="006D4344" w:rsidP="006D4344">
            <w:pPr>
              <w:rPr>
                <w:rFonts w:ascii="Arial Narrow" w:hAnsi="Arial Narrow"/>
                <w:sz w:val="20"/>
                <w:szCs w:val="20"/>
              </w:rPr>
            </w:pPr>
            <w:r w:rsidRPr="00E81073">
              <w:rPr>
                <w:rFonts w:ascii="Arial Narrow" w:hAnsi="Arial Narrow"/>
                <w:sz w:val="20"/>
                <w:szCs w:val="20"/>
              </w:rPr>
              <w:t>(i) elbow, wrist, knee and/or ankle (assessed as swollen and tender); and/or</w:t>
            </w:r>
          </w:p>
          <w:p w14:paraId="763AA587" w14:textId="77777777" w:rsidR="006D4344" w:rsidRPr="00E81073" w:rsidRDefault="006D4344" w:rsidP="006D4344">
            <w:pPr>
              <w:rPr>
                <w:rFonts w:ascii="Arial Narrow" w:hAnsi="Arial Narrow"/>
                <w:sz w:val="20"/>
                <w:szCs w:val="20"/>
              </w:rPr>
            </w:pPr>
            <w:r w:rsidRPr="00E81073">
              <w:rPr>
                <w:rFonts w:ascii="Arial Narrow" w:hAnsi="Arial Narrow"/>
                <w:sz w:val="20"/>
                <w:szCs w:val="20"/>
              </w:rPr>
              <w:t>(ii) shoulder and/or hip (assessed as pain in passive movement and restriction of passive movement, where pain and limitation of movement are due to active disease and not irreversible damage such as joint destruction or bony overgrowth).</w:t>
            </w:r>
          </w:p>
          <w:p w14:paraId="77C5D4A9" w14:textId="42ED2E7E" w:rsidR="006D4344" w:rsidRPr="00E81073" w:rsidRDefault="006D4344" w:rsidP="006D4344">
            <w:pPr>
              <w:rPr>
                <w:rFonts w:ascii="Arial Narrow" w:hAnsi="Arial Narrow"/>
                <w:b/>
                <w:sz w:val="20"/>
                <w:szCs w:val="20"/>
              </w:rPr>
            </w:pPr>
            <w:r w:rsidRPr="00E81073">
              <w:rPr>
                <w:rFonts w:ascii="Arial Narrow" w:hAnsi="Arial Narrow"/>
                <w:sz w:val="20"/>
                <w:szCs w:val="20"/>
              </w:rPr>
              <w:t>If the above requirement to demonstrate an elevated ESR or CRP cannot be met, the application must state the reasons why this criterion cannot be satisfied.</w:t>
            </w:r>
          </w:p>
        </w:tc>
      </w:tr>
      <w:tr w:rsidR="006D4344" w:rsidRPr="00E81073" w14:paraId="5B9F318B" w14:textId="77777777" w:rsidTr="00071605">
        <w:trPr>
          <w:cantSplit/>
          <w:trHeight w:val="20"/>
        </w:trPr>
        <w:tc>
          <w:tcPr>
            <w:tcW w:w="9029" w:type="dxa"/>
            <w:gridSpan w:val="6"/>
            <w:tcBorders>
              <w:top w:val="single" w:sz="12" w:space="0" w:color="auto"/>
              <w:bottom w:val="single" w:sz="4" w:space="0" w:color="auto"/>
            </w:tcBorders>
            <w:vAlign w:val="center"/>
          </w:tcPr>
          <w:p w14:paraId="5C023459" w14:textId="14FDD978" w:rsidR="006D4344" w:rsidRPr="00E81073" w:rsidRDefault="006D4344" w:rsidP="006D4344">
            <w:pPr>
              <w:rPr>
                <w:rFonts w:ascii="Arial Narrow" w:hAnsi="Arial Narrow"/>
                <w:sz w:val="20"/>
                <w:szCs w:val="20"/>
              </w:rPr>
            </w:pPr>
            <w:r w:rsidRPr="00E81073">
              <w:rPr>
                <w:rFonts w:ascii="Arial Narrow" w:hAnsi="Arial Narrow"/>
                <w:b/>
                <w:sz w:val="20"/>
                <w:szCs w:val="20"/>
              </w:rPr>
              <w:t>Treatment Phase:</w:t>
            </w:r>
            <w:r w:rsidRPr="00E81073">
              <w:rPr>
                <w:rFonts w:ascii="Arial Narrow" w:hAnsi="Arial Narrow"/>
                <w:sz w:val="20"/>
                <w:szCs w:val="20"/>
              </w:rPr>
              <w:t xml:space="preserve"> Continuing</w:t>
            </w:r>
          </w:p>
        </w:tc>
      </w:tr>
      <w:tr w:rsidR="006D4344" w:rsidRPr="00E81073" w14:paraId="6BA44F2C" w14:textId="77777777" w:rsidTr="00071605">
        <w:trPr>
          <w:cantSplit/>
          <w:trHeight w:val="20"/>
        </w:trPr>
        <w:tc>
          <w:tcPr>
            <w:tcW w:w="9029" w:type="dxa"/>
            <w:gridSpan w:val="6"/>
            <w:tcBorders>
              <w:top w:val="single" w:sz="4" w:space="0" w:color="auto"/>
              <w:bottom w:val="single" w:sz="4" w:space="0" w:color="auto"/>
            </w:tcBorders>
            <w:vAlign w:val="center"/>
          </w:tcPr>
          <w:p w14:paraId="504E6C79" w14:textId="33334189" w:rsidR="006D4344" w:rsidRPr="00E81073" w:rsidRDefault="006D4344" w:rsidP="006D4344">
            <w:pPr>
              <w:rPr>
                <w:rFonts w:ascii="Arial Narrow" w:hAnsi="Arial Narrow"/>
                <w:b/>
                <w:sz w:val="20"/>
                <w:szCs w:val="20"/>
              </w:rPr>
            </w:pPr>
            <w:r w:rsidRPr="00E81073">
              <w:rPr>
                <w:rFonts w:ascii="Arial Narrow" w:hAnsi="Arial Narrow"/>
                <w:b/>
                <w:sz w:val="20"/>
                <w:szCs w:val="20"/>
              </w:rPr>
              <w:t xml:space="preserve">Restriction type: </w:t>
            </w:r>
            <w:r w:rsidRPr="00E81073">
              <w:rPr>
                <w:rFonts w:ascii="Arial Narrow" w:hAnsi="Arial Narrow"/>
                <w:sz w:val="20"/>
                <w:szCs w:val="20"/>
              </w:rPr>
              <w:fldChar w:fldCharType="begin" w:fldLock="1">
                <w:ffData>
                  <w:name w:val=""/>
                  <w:enabled/>
                  <w:calcOnExit w:val="0"/>
                  <w:checkBox>
                    <w:sizeAuto/>
                    <w:default w:val="1"/>
                  </w:checkBox>
                </w:ffData>
              </w:fldChar>
            </w:r>
            <w:r w:rsidRPr="00E81073">
              <w:rPr>
                <w:rFonts w:ascii="Arial Narrow" w:hAnsi="Arial Narrow"/>
                <w:sz w:val="20"/>
                <w:szCs w:val="20"/>
              </w:rPr>
              <w:instrText xml:space="preserve"> FORMCHECKBOX </w:instrText>
            </w:r>
            <w:r w:rsidR="006269D6">
              <w:rPr>
                <w:rFonts w:ascii="Arial Narrow" w:hAnsi="Arial Narrow"/>
                <w:sz w:val="20"/>
                <w:szCs w:val="20"/>
              </w:rPr>
            </w:r>
            <w:r w:rsidR="006269D6">
              <w:rPr>
                <w:rFonts w:ascii="Arial Narrow" w:hAnsi="Arial Narrow"/>
                <w:sz w:val="20"/>
                <w:szCs w:val="20"/>
              </w:rPr>
              <w:fldChar w:fldCharType="separate"/>
            </w:r>
            <w:r w:rsidRPr="00E81073">
              <w:rPr>
                <w:rFonts w:ascii="Arial Narrow" w:hAnsi="Arial Narrow"/>
                <w:sz w:val="20"/>
                <w:szCs w:val="20"/>
              </w:rPr>
              <w:fldChar w:fldCharType="end"/>
            </w:r>
            <w:r w:rsidRPr="00E81073">
              <w:rPr>
                <w:rFonts w:ascii="Arial Narrow" w:hAnsi="Arial Narrow"/>
                <w:sz w:val="20"/>
                <w:szCs w:val="20"/>
              </w:rPr>
              <w:t xml:space="preserve">Authority Required (in writing only via post/HPOS upload)  </w:t>
            </w:r>
          </w:p>
        </w:tc>
      </w:tr>
      <w:tr w:rsidR="006D4344" w:rsidRPr="00E81073" w14:paraId="2FF8F7D4" w14:textId="77777777" w:rsidTr="00140431">
        <w:trPr>
          <w:cantSplit/>
          <w:trHeight w:val="20"/>
        </w:trPr>
        <w:tc>
          <w:tcPr>
            <w:tcW w:w="9029" w:type="dxa"/>
            <w:gridSpan w:val="6"/>
            <w:tcBorders>
              <w:bottom w:val="single" w:sz="4" w:space="0" w:color="auto"/>
            </w:tcBorders>
            <w:vAlign w:val="center"/>
          </w:tcPr>
          <w:p w14:paraId="55FEEDE3" w14:textId="450747BA" w:rsidR="006D4344" w:rsidRPr="00E81073" w:rsidRDefault="006D4344" w:rsidP="006D4344">
            <w:pPr>
              <w:rPr>
                <w:rFonts w:ascii="Arial Narrow" w:hAnsi="Arial Narrow"/>
                <w:sz w:val="20"/>
                <w:szCs w:val="20"/>
              </w:rPr>
            </w:pPr>
            <w:r w:rsidRPr="00E81073">
              <w:rPr>
                <w:rFonts w:ascii="Arial Narrow" w:hAnsi="Arial Narrow"/>
                <w:b/>
                <w:sz w:val="20"/>
                <w:szCs w:val="20"/>
              </w:rPr>
              <w:t xml:space="preserve">Clinical criteria: </w:t>
            </w:r>
          </w:p>
        </w:tc>
      </w:tr>
      <w:tr w:rsidR="006D4344" w:rsidRPr="00E81073" w14:paraId="74C125AB" w14:textId="77777777" w:rsidTr="00140431">
        <w:trPr>
          <w:cantSplit/>
          <w:trHeight w:val="20"/>
        </w:trPr>
        <w:tc>
          <w:tcPr>
            <w:tcW w:w="9029" w:type="dxa"/>
            <w:gridSpan w:val="6"/>
            <w:tcBorders>
              <w:bottom w:val="single" w:sz="4" w:space="0" w:color="auto"/>
            </w:tcBorders>
            <w:vAlign w:val="center"/>
          </w:tcPr>
          <w:p w14:paraId="7252FD02" w14:textId="74A997B1" w:rsidR="006D4344" w:rsidRPr="00E81073" w:rsidRDefault="006D4344" w:rsidP="006D4344">
            <w:pPr>
              <w:rPr>
                <w:rFonts w:ascii="Arial Narrow" w:hAnsi="Arial Narrow"/>
                <w:sz w:val="20"/>
                <w:szCs w:val="20"/>
              </w:rPr>
            </w:pPr>
            <w:r w:rsidRPr="00E81073">
              <w:rPr>
                <w:rFonts w:ascii="Arial Narrow" w:hAnsi="Arial Narrow"/>
                <w:sz w:val="20"/>
                <w:szCs w:val="20"/>
              </w:rPr>
              <w:t>As for that of currently PBS listed b/tsDMARDs for psoriatic arthritis (e.g. patient must have received this drug as their most recent course of PBS-subsidised treatment and must have demonstrated an adequate response to treatment)</w:t>
            </w:r>
          </w:p>
        </w:tc>
      </w:tr>
      <w:tr w:rsidR="006D4344" w:rsidRPr="00E81073" w14:paraId="27D8958E" w14:textId="77777777" w:rsidTr="00140431">
        <w:trPr>
          <w:cantSplit/>
          <w:trHeight w:val="20"/>
        </w:trPr>
        <w:tc>
          <w:tcPr>
            <w:tcW w:w="9029" w:type="dxa"/>
            <w:gridSpan w:val="6"/>
            <w:tcBorders>
              <w:bottom w:val="single" w:sz="4" w:space="0" w:color="auto"/>
            </w:tcBorders>
            <w:vAlign w:val="center"/>
          </w:tcPr>
          <w:p w14:paraId="7250FBCB" w14:textId="56CB2150" w:rsidR="006D4344" w:rsidRPr="00E81073" w:rsidRDefault="006D4344" w:rsidP="006D4344">
            <w:pPr>
              <w:rPr>
                <w:rFonts w:ascii="Arial Narrow" w:hAnsi="Arial Narrow"/>
                <w:b/>
                <w:sz w:val="20"/>
                <w:szCs w:val="20"/>
              </w:rPr>
            </w:pPr>
            <w:r w:rsidRPr="00E81073">
              <w:rPr>
                <w:rFonts w:ascii="Arial Narrow" w:hAnsi="Arial Narrow"/>
                <w:sz w:val="20"/>
                <w:szCs w:val="20"/>
              </w:rPr>
              <w:t>Patient must not receive more than 24 weeks of treatment under this restriction</w:t>
            </w:r>
          </w:p>
        </w:tc>
      </w:tr>
      <w:tr w:rsidR="006D4344" w:rsidRPr="00E81073" w14:paraId="04DD2D33" w14:textId="77777777" w:rsidTr="00140431">
        <w:trPr>
          <w:cantSplit/>
          <w:trHeight w:val="20"/>
        </w:trPr>
        <w:tc>
          <w:tcPr>
            <w:tcW w:w="9029" w:type="dxa"/>
            <w:gridSpan w:val="6"/>
            <w:vAlign w:val="center"/>
          </w:tcPr>
          <w:p w14:paraId="18A1739E" w14:textId="4371CC8C" w:rsidR="006D4344" w:rsidRPr="00E81073" w:rsidRDefault="006D4344" w:rsidP="006D4344">
            <w:pPr>
              <w:rPr>
                <w:rFonts w:ascii="Arial Narrow" w:hAnsi="Arial Narrow"/>
                <w:b/>
                <w:sz w:val="20"/>
                <w:szCs w:val="20"/>
              </w:rPr>
            </w:pPr>
            <w:r w:rsidRPr="00E81073">
              <w:rPr>
                <w:rFonts w:ascii="Arial Narrow" w:hAnsi="Arial Narrow"/>
                <w:b/>
                <w:sz w:val="20"/>
                <w:szCs w:val="20"/>
              </w:rPr>
              <w:t>Prescribing Instructions:</w:t>
            </w:r>
          </w:p>
        </w:tc>
      </w:tr>
      <w:tr w:rsidR="006D4344" w:rsidRPr="00E81073" w14:paraId="46F1E217" w14:textId="77777777" w:rsidTr="00D87DA9">
        <w:trPr>
          <w:cantSplit/>
          <w:trHeight w:val="20"/>
        </w:trPr>
        <w:tc>
          <w:tcPr>
            <w:tcW w:w="9029" w:type="dxa"/>
            <w:gridSpan w:val="6"/>
            <w:vAlign w:val="center"/>
          </w:tcPr>
          <w:p w14:paraId="707449E0" w14:textId="77777777" w:rsidR="006D4344" w:rsidRPr="00E81073" w:rsidRDefault="006D4344" w:rsidP="006D4344">
            <w:pPr>
              <w:rPr>
                <w:rFonts w:ascii="Arial Narrow" w:hAnsi="Arial Narrow" w:cs="Times New Roman"/>
                <w:sz w:val="20"/>
                <w:szCs w:val="18"/>
              </w:rPr>
            </w:pPr>
            <w:r w:rsidRPr="00E81073">
              <w:rPr>
                <w:rFonts w:ascii="Arial Narrow" w:hAnsi="Arial Narrow" w:cs="Times New Roman"/>
                <w:sz w:val="20"/>
                <w:szCs w:val="18"/>
              </w:rPr>
              <w:t>An adequate response to treatment is defined as:</w:t>
            </w:r>
          </w:p>
          <w:p w14:paraId="38431681" w14:textId="77777777" w:rsidR="006D4344" w:rsidRPr="00E81073" w:rsidRDefault="006D4344" w:rsidP="006D4344">
            <w:pPr>
              <w:rPr>
                <w:rFonts w:ascii="Arial Narrow" w:hAnsi="Arial Narrow" w:cs="Times New Roman"/>
                <w:sz w:val="20"/>
                <w:szCs w:val="18"/>
              </w:rPr>
            </w:pPr>
            <w:r w:rsidRPr="00E81073">
              <w:rPr>
                <w:rFonts w:ascii="Arial Narrow" w:hAnsi="Arial Narrow" w:cs="Times New Roman"/>
                <w:sz w:val="20"/>
                <w:szCs w:val="18"/>
              </w:rPr>
              <w:t>an erythrocyte sedimentation rate (ESR) no greater than 25 mm per hour or a C-reactive protein (CRP) level no greater than 15 mg per L or either marker reduced by at least 20% from baseline; and</w:t>
            </w:r>
          </w:p>
          <w:p w14:paraId="00C31DB9" w14:textId="77777777" w:rsidR="006D4344" w:rsidRPr="00E81073" w:rsidRDefault="006D4344" w:rsidP="006D4344">
            <w:pPr>
              <w:rPr>
                <w:rFonts w:ascii="Arial Narrow" w:hAnsi="Arial Narrow" w:cs="Times New Roman"/>
                <w:sz w:val="20"/>
                <w:szCs w:val="18"/>
              </w:rPr>
            </w:pPr>
            <w:r w:rsidRPr="00E81073">
              <w:rPr>
                <w:rFonts w:ascii="Arial Narrow" w:hAnsi="Arial Narrow" w:cs="Times New Roman"/>
                <w:sz w:val="20"/>
                <w:szCs w:val="18"/>
              </w:rPr>
              <w:t>either of the following:</w:t>
            </w:r>
          </w:p>
          <w:p w14:paraId="5857E0ED" w14:textId="77777777" w:rsidR="006D4344" w:rsidRPr="00E81073" w:rsidRDefault="006D4344" w:rsidP="006D4344">
            <w:pPr>
              <w:rPr>
                <w:rFonts w:ascii="Arial Narrow" w:hAnsi="Arial Narrow" w:cs="Times New Roman"/>
                <w:sz w:val="20"/>
                <w:szCs w:val="18"/>
              </w:rPr>
            </w:pPr>
            <w:r w:rsidRPr="00E81073">
              <w:rPr>
                <w:rFonts w:ascii="Arial Narrow" w:hAnsi="Arial Narrow" w:cs="Times New Roman"/>
                <w:sz w:val="20"/>
                <w:szCs w:val="18"/>
              </w:rPr>
              <w:t>(a) a reduction in the total active (swollen and tender) joint count by at least 50% from baseline, where baseline is at least 20 active joints; or</w:t>
            </w:r>
          </w:p>
          <w:p w14:paraId="3E5CD012" w14:textId="77777777" w:rsidR="006D4344" w:rsidRPr="00E81073" w:rsidRDefault="006D4344" w:rsidP="006D4344">
            <w:pPr>
              <w:rPr>
                <w:rFonts w:ascii="Arial Narrow" w:hAnsi="Arial Narrow" w:cs="Times New Roman"/>
                <w:sz w:val="20"/>
                <w:szCs w:val="18"/>
              </w:rPr>
            </w:pPr>
            <w:r w:rsidRPr="00E81073">
              <w:rPr>
                <w:rFonts w:ascii="Arial Narrow" w:hAnsi="Arial Narrow" w:cs="Times New Roman"/>
                <w:sz w:val="20"/>
                <w:szCs w:val="18"/>
              </w:rPr>
              <w:t>(b) a reduction in the number of the following major active joints, from at least 4, by at least 50%:</w:t>
            </w:r>
          </w:p>
          <w:p w14:paraId="09A71E08" w14:textId="77777777" w:rsidR="006D4344" w:rsidRPr="00E81073" w:rsidRDefault="006D4344" w:rsidP="006D4344">
            <w:pPr>
              <w:rPr>
                <w:rFonts w:ascii="Arial Narrow" w:hAnsi="Arial Narrow" w:cs="Times New Roman"/>
                <w:sz w:val="20"/>
                <w:szCs w:val="18"/>
              </w:rPr>
            </w:pPr>
            <w:r w:rsidRPr="00E81073">
              <w:rPr>
                <w:rFonts w:ascii="Arial Narrow" w:hAnsi="Arial Narrow" w:cs="Times New Roman"/>
                <w:sz w:val="20"/>
                <w:szCs w:val="18"/>
              </w:rPr>
              <w:t>(i) elbow, wrist, knee and/or ankle (assessed as swollen and tender); and/or</w:t>
            </w:r>
          </w:p>
          <w:p w14:paraId="6A7934F7" w14:textId="6B37C410" w:rsidR="006D4344" w:rsidRPr="00E81073" w:rsidRDefault="006D4344" w:rsidP="006D4344">
            <w:pPr>
              <w:rPr>
                <w:rFonts w:ascii="Arial Narrow" w:hAnsi="Arial Narrow"/>
                <w:sz w:val="20"/>
                <w:szCs w:val="20"/>
              </w:rPr>
            </w:pPr>
            <w:r w:rsidRPr="00E81073">
              <w:rPr>
                <w:rFonts w:ascii="Arial Narrow" w:hAnsi="Arial Narrow" w:cs="Times New Roman"/>
                <w:sz w:val="20"/>
                <w:szCs w:val="18"/>
              </w:rPr>
              <w:t>(ii) shoulder and/or hip (assessed as pain in passive movement and restriction of passive movement, where pain and limitation of movement are due to active disease and not irreversible damage such as joint destruction or bony overgrowth).</w:t>
            </w:r>
          </w:p>
        </w:tc>
      </w:tr>
    </w:tbl>
    <w:p w14:paraId="7088D52E" w14:textId="7A1D5AD4" w:rsidR="00C42D8B" w:rsidRPr="00E81073" w:rsidRDefault="00C42D8B" w:rsidP="00AE11BB">
      <w:pPr>
        <w:pStyle w:val="TableFooter"/>
      </w:pPr>
      <w:r w:rsidRPr="00E81073">
        <w:t>Source: p39, Table 1-9, p50, Table 1-10, pp51-61 of the submission.</w:t>
      </w:r>
    </w:p>
    <w:p w14:paraId="38429694" w14:textId="4A02F910" w:rsidR="00D11376" w:rsidRPr="00E81073" w:rsidRDefault="00C42D8B" w:rsidP="00AE11BB">
      <w:pPr>
        <w:pStyle w:val="TableFooter"/>
        <w:spacing w:after="120"/>
        <w:rPr>
          <w:rStyle w:val="CommentReference"/>
          <w:b w:val="0"/>
          <w:sz w:val="18"/>
          <w:szCs w:val="24"/>
        </w:rPr>
      </w:pPr>
      <w:r w:rsidRPr="00E81073">
        <w:t>b</w:t>
      </w:r>
      <w:r w:rsidR="0053782F" w:rsidRPr="00E81073">
        <w:t>/ts</w:t>
      </w:r>
      <w:r w:rsidRPr="00E81073">
        <w:t>DMARDs=</w:t>
      </w:r>
      <w:r w:rsidR="0053782F" w:rsidRPr="00E81073">
        <w:t>biological and targeted synthetic disease-modifying, anti-rheumatic drugs</w:t>
      </w:r>
      <w:r w:rsidRPr="00E81073">
        <w:t>; TBC=to be confirmed.</w:t>
      </w:r>
    </w:p>
    <w:p w14:paraId="3DCE9534" w14:textId="77777777" w:rsidR="00AE11BB" w:rsidRPr="00E81073" w:rsidRDefault="004A4226" w:rsidP="00992C9F">
      <w:pPr>
        <w:pStyle w:val="3-BodyText"/>
      </w:pPr>
      <w:r w:rsidRPr="00E81073">
        <w:t xml:space="preserve">The </w:t>
      </w:r>
      <w:r w:rsidR="00992C9F" w:rsidRPr="00E81073">
        <w:t>s</w:t>
      </w:r>
      <w:r w:rsidRPr="00E81073">
        <w:t xml:space="preserve">ponsor requested </w:t>
      </w:r>
      <w:r w:rsidR="00140431" w:rsidRPr="00E81073">
        <w:t>General Schedule, Authority Required (</w:t>
      </w:r>
      <w:r w:rsidR="006D4344" w:rsidRPr="00E81073">
        <w:t xml:space="preserve">in writing) </w:t>
      </w:r>
      <w:r w:rsidRPr="00E81073">
        <w:t>PBS listing of the BKZ 160 mg/1 mL PFP and 160 mg/1 mL PFS</w:t>
      </w:r>
      <w:r w:rsidR="006D4344" w:rsidRPr="00E81073">
        <w:t xml:space="preserve"> for initial and continuing treatment of severe active PsA</w:t>
      </w:r>
      <w:r w:rsidRPr="00E81073">
        <w:t xml:space="preserve">. </w:t>
      </w:r>
      <w:r w:rsidR="00992C9F" w:rsidRPr="00E81073">
        <w:t>The submission also requested a grandfather clause to allow patients enrolled in a planned patient familiarisation program to transition to PBS-subsidised treatment.</w:t>
      </w:r>
    </w:p>
    <w:p w14:paraId="126F3494" w14:textId="47F0D651" w:rsidR="00CE2C69" w:rsidRPr="00E81073" w:rsidRDefault="006D4344" w:rsidP="00992C9F">
      <w:pPr>
        <w:pStyle w:val="3-BodyText"/>
      </w:pPr>
      <w:r w:rsidRPr="00E81073">
        <w:t xml:space="preserve">The requested restriction </w:t>
      </w:r>
      <w:r w:rsidR="00E164D3" w:rsidRPr="00E81073">
        <w:t xml:space="preserve">was </w:t>
      </w:r>
      <w:r w:rsidR="00AE11BB" w:rsidRPr="00E81073">
        <w:t xml:space="preserve">generally </w:t>
      </w:r>
      <w:r w:rsidRPr="00E81073">
        <w:t xml:space="preserve">consistent with the PBS criteria </w:t>
      </w:r>
      <w:r w:rsidR="005F1899" w:rsidRPr="00E81073">
        <w:t>of</w:t>
      </w:r>
      <w:r w:rsidRPr="00E81073">
        <w:t xml:space="preserve"> other b/tsDMARDs</w:t>
      </w:r>
      <w:r w:rsidR="00AE11BB" w:rsidRPr="00E81073">
        <w:t>, with minor differences related to the assessment period for treatment</w:t>
      </w:r>
      <w:r w:rsidRPr="00E81073">
        <w:t xml:space="preserve">. The sponsor noted that there would </w:t>
      </w:r>
      <w:r w:rsidR="00112CAD" w:rsidRPr="00E81073">
        <w:t xml:space="preserve">also </w:t>
      </w:r>
      <w:r w:rsidRPr="00E81073">
        <w:t>be flow-on changes to the administrative notes and prescriber instructions of other b/tsDMARDs</w:t>
      </w:r>
      <w:r w:rsidR="00112CAD" w:rsidRPr="00E81073">
        <w:t>, accounting for the availability of BKZ</w:t>
      </w:r>
      <w:r w:rsidRPr="00E81073">
        <w:t>.</w:t>
      </w:r>
    </w:p>
    <w:p w14:paraId="5B481F1B" w14:textId="05ADAEF9" w:rsidR="001D2F19" w:rsidRPr="00E81073" w:rsidRDefault="002B4C3B" w:rsidP="00700988">
      <w:pPr>
        <w:pStyle w:val="3-BodyText"/>
      </w:pPr>
      <w:r w:rsidRPr="00E81073">
        <w:t xml:space="preserve">At the recommended dose </w:t>
      </w:r>
      <w:r w:rsidR="001863A4" w:rsidRPr="00E81073">
        <w:t>of BKZ</w:t>
      </w:r>
      <w:r w:rsidRPr="00E81073">
        <w:t xml:space="preserve"> </w:t>
      </w:r>
      <w:r w:rsidR="001D2F19" w:rsidRPr="00E81073">
        <w:t xml:space="preserve">for PsA </w:t>
      </w:r>
      <w:r w:rsidRPr="00E81073">
        <w:t>(160 mg every 4 weeks), t</w:t>
      </w:r>
      <w:r w:rsidR="005F1899" w:rsidRPr="00E81073">
        <w:t xml:space="preserve">he requested quantities including repeats </w:t>
      </w:r>
      <w:r w:rsidR="0076264D" w:rsidRPr="00E81073">
        <w:t xml:space="preserve">would provide </w:t>
      </w:r>
      <w:r w:rsidR="005F1899" w:rsidRPr="00E81073">
        <w:t xml:space="preserve">up to 24 weeks of initial treatment and 24 weeks of continuing treatment. </w:t>
      </w:r>
      <w:r w:rsidR="001D2F19" w:rsidRPr="00E81073">
        <w:t xml:space="preserve">For patients with </w:t>
      </w:r>
      <w:r w:rsidR="001863A4" w:rsidRPr="00E81073">
        <w:t xml:space="preserve">PsA </w:t>
      </w:r>
      <w:r w:rsidRPr="00E81073">
        <w:t xml:space="preserve">and </w:t>
      </w:r>
      <w:r w:rsidR="001D2F19" w:rsidRPr="00E81073">
        <w:t xml:space="preserve">coexisting </w:t>
      </w:r>
      <w:r w:rsidRPr="00E81073">
        <w:t>moderate</w:t>
      </w:r>
      <w:r w:rsidR="00193185" w:rsidRPr="00E81073">
        <w:t xml:space="preserve"> to </w:t>
      </w:r>
      <w:r w:rsidRPr="00E81073">
        <w:t>severe plaque psoriasis</w:t>
      </w:r>
      <w:r w:rsidR="001863A4" w:rsidRPr="00E81073">
        <w:t xml:space="preserve">, </w:t>
      </w:r>
      <w:r w:rsidR="001D2F19" w:rsidRPr="00E81073">
        <w:t xml:space="preserve">the recommended dose is the same as for plaque psoriasis </w:t>
      </w:r>
      <w:r w:rsidR="000E3CF7" w:rsidRPr="00E81073">
        <w:t>(360 mg at Weeks 0, 4, 8, 12, 16 and every 8 weeks thereafter)</w:t>
      </w:r>
      <w:r w:rsidR="00193185" w:rsidRPr="00E81073">
        <w:t xml:space="preserve"> and the same quantities would only permit 12 weeks of initial treatment and 24 weeks of continuing treatment</w:t>
      </w:r>
      <w:r w:rsidR="000E3CF7" w:rsidRPr="00E81073">
        <w:t xml:space="preserve">. </w:t>
      </w:r>
      <w:r w:rsidR="00193185" w:rsidRPr="00E81073">
        <w:t xml:space="preserve">However, the sponsor anticipates that patients with PsA and coexisting moderate to severe plaque psoriasis </w:t>
      </w:r>
      <w:r w:rsidR="001D2F19" w:rsidRPr="00E81073">
        <w:t>would access BKZ through the current PBS listing for plaque psoriasis.</w:t>
      </w:r>
      <w:r w:rsidR="00101A71" w:rsidRPr="00E81073">
        <w:t xml:space="preserve"> The PBAC had previously noted that under current PBS criteria, patients are able to swap disease categories, thus patients with PsA and more severe psoriasis can receive treatment under the psoriasis restriction (paragraph 7.6, IXE </w:t>
      </w:r>
      <w:r w:rsidR="00A503EE" w:rsidRPr="00A503EE">
        <w:t xml:space="preserve">Public Summary Document </w:t>
      </w:r>
      <w:r w:rsidR="00A503EE">
        <w:t>(</w:t>
      </w:r>
      <w:r w:rsidR="00101A71" w:rsidRPr="00E81073">
        <w:t>PSD</w:t>
      </w:r>
      <w:r w:rsidR="00A503EE">
        <w:t>)</w:t>
      </w:r>
      <w:r w:rsidR="00101A71" w:rsidRPr="00E81073">
        <w:t>, July 2018 PBAC Meeting).</w:t>
      </w:r>
      <w:r w:rsidR="003C3A30" w:rsidRPr="00E81073">
        <w:t xml:space="preserve"> However, patients with moderate psoriasis</w:t>
      </w:r>
      <w:r w:rsidR="00FA6ED7" w:rsidRPr="00E81073">
        <w:t xml:space="preserve"> </w:t>
      </w:r>
      <w:r w:rsidR="00A14CBB" w:rsidRPr="00E81073">
        <w:t xml:space="preserve">(PASI&lt;15) </w:t>
      </w:r>
      <w:r w:rsidR="00FA6ED7" w:rsidRPr="00E81073">
        <w:t xml:space="preserve">would not be eligible to receive treatment under the psoriasis restriction. </w:t>
      </w:r>
    </w:p>
    <w:p w14:paraId="177A5672" w14:textId="52996FA2" w:rsidR="001863A4" w:rsidRPr="00E81073" w:rsidRDefault="00BB5175" w:rsidP="00700988">
      <w:pPr>
        <w:pStyle w:val="3-BodyText"/>
      </w:pPr>
      <w:r w:rsidRPr="00E81073">
        <w:t xml:space="preserve">There </w:t>
      </w:r>
      <w:r w:rsidR="00E164D3" w:rsidRPr="00E81073">
        <w:t xml:space="preserve">were </w:t>
      </w:r>
      <w:proofErr w:type="gramStart"/>
      <w:r w:rsidRPr="00E81073">
        <w:t>a number of</w:t>
      </w:r>
      <w:proofErr w:type="gramEnd"/>
      <w:r w:rsidRPr="00E81073">
        <w:t xml:space="preserve"> discrepancies related to the maximum duration of the initial treatment period allowed by the requested restriction. The clinical criteria states patients must not receive more than 28 weeks of initial treatment; the administrative advice states an application for initial treatment will be limited to provide a maximum of 16 weeks of therapy; the requested quantities and repeats permit up to 24 weeks of initial treatment</w:t>
      </w:r>
      <w:r w:rsidR="003646E5" w:rsidRPr="00E81073">
        <w:t>; and the financial estimates assume a maximum of 16 weeks of initial treatment (see Estimated PBS usage &amp; financial implications)</w:t>
      </w:r>
      <w:r w:rsidRPr="00E81073">
        <w:t xml:space="preserve">. </w:t>
      </w:r>
      <w:r w:rsidR="00276980" w:rsidRPr="00E81073">
        <w:t>The Pre-Sub-Committee Response clarified that the intended initial treatment duration for bimekizumab for PsA was 16 weeks</w:t>
      </w:r>
      <w:r w:rsidR="006A3F2D" w:rsidRPr="00E81073">
        <w:t xml:space="preserve"> and the repeats should reflect this</w:t>
      </w:r>
      <w:r w:rsidR="00276980" w:rsidRPr="00E81073">
        <w:t>.</w:t>
      </w:r>
    </w:p>
    <w:p w14:paraId="01BB82E3" w14:textId="161EA9C6" w:rsidR="00D80C43" w:rsidRPr="00E81073" w:rsidRDefault="00D80C43" w:rsidP="00CE2C69">
      <w:pPr>
        <w:pStyle w:val="3-BodyText"/>
      </w:pPr>
      <w:r w:rsidRPr="00E81073">
        <w:t xml:space="preserve">The </w:t>
      </w:r>
      <w:r w:rsidR="00992C9F" w:rsidRPr="00E81073">
        <w:rPr>
          <w:rFonts w:eastAsiaTheme="minorEastAsia"/>
          <w:szCs w:val="22"/>
          <w:lang w:eastAsia="en-US"/>
        </w:rPr>
        <w:t xml:space="preserve">sponsor </w:t>
      </w:r>
      <w:r w:rsidRPr="00E81073">
        <w:rPr>
          <w:rFonts w:eastAsiaTheme="minorEastAsia"/>
          <w:szCs w:val="22"/>
          <w:lang w:eastAsia="en-US"/>
        </w:rPr>
        <w:t>requested a Special Pricing Arrangement (SPA) to be implemented</w:t>
      </w:r>
      <w:r w:rsidR="006A5C9E" w:rsidRPr="00E81073">
        <w:rPr>
          <w:rFonts w:eastAsiaTheme="minorEastAsia"/>
          <w:szCs w:val="22"/>
          <w:lang w:eastAsia="en-US"/>
        </w:rPr>
        <w:t>, that would maintain the published AEMP for BKZ (</w:t>
      </w:r>
      <w:r w:rsidR="007A4AFE" w:rsidRPr="00E81073">
        <w:t>$3,</w:t>
      </w:r>
      <w:r w:rsidR="00F32B55" w:rsidRPr="00E81073">
        <w:t xml:space="preserve">260 </w:t>
      </w:r>
      <w:r w:rsidR="007A4AFE" w:rsidRPr="00E81073">
        <w:t>per</w:t>
      </w:r>
      <w:r w:rsidR="00F32B55" w:rsidRPr="00E81073">
        <w:t xml:space="preserve"> pack</w:t>
      </w:r>
      <w:r w:rsidR="00914561" w:rsidRPr="00E81073">
        <w:t>)</w:t>
      </w:r>
      <w:r w:rsidR="00F32B55" w:rsidRPr="00E81073">
        <w:t xml:space="preserve"> consistent with </w:t>
      </w:r>
      <w:r w:rsidR="006A5C9E" w:rsidRPr="00E81073">
        <w:t xml:space="preserve">the current PBS listing for </w:t>
      </w:r>
      <w:r w:rsidR="00F32B55" w:rsidRPr="00E81073">
        <w:t>chronic plaque psoriasis</w:t>
      </w:r>
      <w:r w:rsidR="006A5C9E" w:rsidRPr="00E81073">
        <w:t xml:space="preserve"> and an effective AEMP that satisfies the </w:t>
      </w:r>
      <w:r w:rsidR="00A92429" w:rsidRPr="00E81073">
        <w:t>non-inferiority</w:t>
      </w:r>
      <w:r w:rsidR="006A5C9E" w:rsidRPr="00E81073">
        <w:t xml:space="preserve"> claim to IXE</w:t>
      </w:r>
      <w:r w:rsidR="00F32B55" w:rsidRPr="00E81073">
        <w:t>. The</w:t>
      </w:r>
      <w:r w:rsidR="006A5C9E" w:rsidRPr="00E81073">
        <w:t xml:space="preserve"> submission stated that the effective AEMP is to be confirmed (TBC) because IXE is subject to a SPA and the effective price </w:t>
      </w:r>
      <w:r w:rsidR="0076264D" w:rsidRPr="00E81073">
        <w:t>wa</w:t>
      </w:r>
      <w:r w:rsidR="006A5C9E" w:rsidRPr="00E81073">
        <w:t>s unknown to the sponsor.</w:t>
      </w:r>
    </w:p>
    <w:p w14:paraId="46E52813" w14:textId="6EE328EE" w:rsidR="00ED254B" w:rsidRPr="00D87DA9" w:rsidRDefault="00ED254B" w:rsidP="00D87DA9">
      <w:pPr>
        <w:ind w:firstLine="709"/>
        <w:rPr>
          <w:rFonts w:asciiTheme="minorHAnsi" w:hAnsiTheme="minorHAnsi"/>
          <w:i/>
        </w:rPr>
      </w:pPr>
      <w:bookmarkStart w:id="14" w:name="_Hlk76375324"/>
      <w:r w:rsidRPr="00E81073">
        <w:rPr>
          <w:rFonts w:asciiTheme="minorHAnsi" w:hAnsiTheme="minorHAnsi"/>
          <w:i/>
        </w:rPr>
        <w:t>For more detail on PBAC’s view, see section 7 PBAC outcome.</w:t>
      </w:r>
      <w:bookmarkEnd w:id="14"/>
    </w:p>
    <w:p w14:paraId="4F40C7CA" w14:textId="77777777" w:rsidR="00CE2C69" w:rsidRPr="00E81073" w:rsidRDefault="00CE2C69" w:rsidP="00CE2C69">
      <w:pPr>
        <w:pStyle w:val="2-SectionHeading"/>
        <w:numPr>
          <w:ilvl w:val="0"/>
          <w:numId w:val="1"/>
        </w:numPr>
      </w:pPr>
      <w:bookmarkStart w:id="15" w:name="_Toc107927623"/>
      <w:bookmarkStart w:id="16" w:name="_Toc156894669"/>
      <w:r w:rsidRPr="00E81073" w:rsidDel="00195452">
        <w:t>Population and disease</w:t>
      </w:r>
      <w:bookmarkEnd w:id="15"/>
      <w:bookmarkEnd w:id="16"/>
    </w:p>
    <w:p w14:paraId="4B3EB996" w14:textId="15FC7839" w:rsidR="009107A1" w:rsidRPr="00E81073" w:rsidRDefault="00DA0C47" w:rsidP="009107A1">
      <w:pPr>
        <w:pStyle w:val="3-BodyText"/>
      </w:pPr>
      <w:r w:rsidRPr="00E81073">
        <w:t>PsA is a chronic, immune-mediated, inflammatory disease mainly affecting the peripheral joints and skin, with multiple manifestations and comorbidities.</w:t>
      </w:r>
      <w:r w:rsidR="00D512BD" w:rsidRPr="00E81073">
        <w:t xml:space="preserve"> The primary pathologic sites are the entheses (the sites of bony insertion of ligaments and tendons), the axial skeleton (including the sacroiliac joints of the pelvis), the peripheral joints, and some non-articular structures (soft tissue sites rather than joints) such as the gut, skin, eye, and aortic valve.</w:t>
      </w:r>
      <w:r w:rsidR="003436F4" w:rsidRPr="00E81073">
        <w:t xml:space="preserve"> Patients experience pain, swelling, joint tenderness and joint deformity, which results in a loss of function and limited movement, impacting productivity and quality of life.</w:t>
      </w:r>
    </w:p>
    <w:p w14:paraId="7F7D7EBB" w14:textId="0911B652" w:rsidR="00D12544" w:rsidRPr="00E81073" w:rsidRDefault="00D12544" w:rsidP="003436F4">
      <w:pPr>
        <w:pStyle w:val="3-BodyText"/>
      </w:pPr>
      <w:r w:rsidRPr="00E81073">
        <w:t xml:space="preserve">The </w:t>
      </w:r>
      <w:proofErr w:type="gramStart"/>
      <w:r w:rsidRPr="00E81073">
        <w:t>ultimate goal</w:t>
      </w:r>
      <w:proofErr w:type="gramEnd"/>
      <w:r w:rsidRPr="00E81073">
        <w:t xml:space="preserve"> of treatment is to achieve the lowest possible level of disease activity in all domains, optimise functional status, improve quality of life and prevent structural damage as much as possible. </w:t>
      </w:r>
      <w:r w:rsidR="00A51876" w:rsidRPr="00E81073">
        <w:t xml:space="preserve">Australian clinical practice is </w:t>
      </w:r>
      <w:r w:rsidR="007976FE" w:rsidRPr="00E81073">
        <w:t>guided by the PBS eligibility criteria for b/tsDMARDs</w:t>
      </w:r>
      <w:r w:rsidR="00662A99" w:rsidRPr="00E81073">
        <w:t>, which</w:t>
      </w:r>
      <w:r w:rsidR="007976FE" w:rsidRPr="00E81073">
        <w:t xml:space="preserve"> </w:t>
      </w:r>
      <w:r w:rsidR="002A7847" w:rsidRPr="00E81073">
        <w:t xml:space="preserve">requires patients to have failed prior treatment with </w:t>
      </w:r>
      <w:r w:rsidR="00662A99" w:rsidRPr="00E81073">
        <w:t xml:space="preserve">cDMARDs </w:t>
      </w:r>
      <w:r w:rsidR="00F21343" w:rsidRPr="00E81073">
        <w:t xml:space="preserve">and meet other eligibility criteria </w:t>
      </w:r>
      <w:r w:rsidR="00662A99" w:rsidRPr="00E81073">
        <w:t xml:space="preserve">before becoming eligible for treatment with </w:t>
      </w:r>
      <w:r w:rsidR="001858EB" w:rsidRPr="00E81073">
        <w:t>b/tsDMARD</w:t>
      </w:r>
      <w:r w:rsidR="00662A99" w:rsidRPr="00E81073">
        <w:t xml:space="preserve">s. </w:t>
      </w:r>
      <w:r w:rsidR="00193185" w:rsidRPr="00E81073">
        <w:t xml:space="preserve">Under the requested restriction, </w:t>
      </w:r>
      <w:r w:rsidR="001858EB" w:rsidRPr="00E81073">
        <w:t>BKZ would provide patients with an alternative b/tsDMARD</w:t>
      </w:r>
      <w:r w:rsidR="00193185" w:rsidRPr="00E81073">
        <w:t xml:space="preserve"> in the current treatment pathway</w:t>
      </w:r>
      <w:r w:rsidR="001858EB" w:rsidRPr="00E81073">
        <w:t>.</w:t>
      </w:r>
    </w:p>
    <w:p w14:paraId="1D940298" w14:textId="26737915" w:rsidR="00DA7A1C" w:rsidRPr="00E81073" w:rsidRDefault="00D61CD0" w:rsidP="003436F4">
      <w:pPr>
        <w:pStyle w:val="3-BodyText"/>
      </w:pPr>
      <w:r w:rsidRPr="00E81073">
        <w:t>BKZ is a</w:t>
      </w:r>
      <w:r w:rsidR="00662A99" w:rsidRPr="00E81073">
        <w:t xml:space="preserve"> humanised monoclonal antibody that selectively inhibits both IL 17F and IL 17A</w:t>
      </w:r>
      <w:r w:rsidR="00DA7A1C" w:rsidRPr="00E81073">
        <w:t xml:space="preserve"> cytokines, which are key drivers of inflammation and bone formation in the pathogenesis of psoriatic arthritis. The recommended dose </w:t>
      </w:r>
      <w:r w:rsidR="006801AF" w:rsidRPr="00E81073">
        <w:t xml:space="preserve">of BKZ </w:t>
      </w:r>
      <w:r w:rsidR="00DA7A1C" w:rsidRPr="00E81073">
        <w:t xml:space="preserve">for PsA in the draft product information is 160 mg every </w:t>
      </w:r>
      <w:r w:rsidR="00487A6C" w:rsidRPr="00E81073">
        <w:t>4</w:t>
      </w:r>
      <w:r w:rsidR="00DA7A1C" w:rsidRPr="00E81073">
        <w:t xml:space="preserve"> weeks administered via subcutaneous injection.</w:t>
      </w:r>
      <w:r w:rsidR="001D2F19" w:rsidRPr="00E81073">
        <w:t xml:space="preserve"> For patients with PsA and coexisting moderate to severe plaque psoriasis, the recommended dose </w:t>
      </w:r>
      <w:r w:rsidR="006801AF" w:rsidRPr="00E81073">
        <w:t xml:space="preserve">of BKZ </w:t>
      </w:r>
      <w:r w:rsidR="001D2F19" w:rsidRPr="00E81073">
        <w:t>is the same as for plaque psoriasis</w:t>
      </w:r>
      <w:r w:rsidR="000E3CF7" w:rsidRPr="00E81073">
        <w:t>, 360 mg at Weeks 0, 4, 8, 12, 16 and every 8 weeks thereafter.</w:t>
      </w:r>
    </w:p>
    <w:p w14:paraId="3B68EA49" w14:textId="0D4BE672" w:rsidR="00ED254B" w:rsidRPr="00D87DA9" w:rsidRDefault="00ED254B" w:rsidP="00D87DA9">
      <w:pPr>
        <w:ind w:firstLine="709"/>
        <w:rPr>
          <w:rFonts w:asciiTheme="minorHAnsi" w:hAnsiTheme="minorHAnsi"/>
          <w:i/>
        </w:rPr>
      </w:pPr>
      <w:r w:rsidRPr="00E81073">
        <w:rPr>
          <w:rFonts w:asciiTheme="minorHAnsi" w:hAnsiTheme="minorHAnsi"/>
          <w:i/>
        </w:rPr>
        <w:t>For more detail on PBAC’s view, see section 7 PBAC outcome.</w:t>
      </w:r>
    </w:p>
    <w:p w14:paraId="74226D8E" w14:textId="77777777" w:rsidR="00CE2C69" w:rsidRPr="00E81073" w:rsidRDefault="00CE2C69" w:rsidP="00CE2C69">
      <w:pPr>
        <w:pStyle w:val="2-SectionHeading"/>
        <w:numPr>
          <w:ilvl w:val="0"/>
          <w:numId w:val="1"/>
        </w:numPr>
      </w:pPr>
      <w:bookmarkStart w:id="17" w:name="_Toc107927624"/>
      <w:bookmarkStart w:id="18" w:name="_Toc156894670"/>
      <w:r w:rsidRPr="00E81073">
        <w:t>Comparator</w:t>
      </w:r>
      <w:bookmarkEnd w:id="17"/>
      <w:bookmarkEnd w:id="18"/>
    </w:p>
    <w:p w14:paraId="1B372A41" w14:textId="7A53296B" w:rsidR="004850F9" w:rsidRPr="00E81073" w:rsidRDefault="00A43773" w:rsidP="004850F9">
      <w:pPr>
        <w:pStyle w:val="3-BodyText"/>
        <w:rPr>
          <w:iCs/>
          <w:snapToGrid/>
        </w:rPr>
      </w:pPr>
      <w:r w:rsidRPr="00E81073">
        <w:rPr>
          <w:iCs/>
          <w:snapToGrid/>
        </w:rPr>
        <w:t xml:space="preserve">The submission nominated IXE subcutaneous injection as the main comparator, </w:t>
      </w:r>
      <w:r w:rsidR="006A13D1" w:rsidRPr="00E81073">
        <w:rPr>
          <w:iCs/>
          <w:snapToGrid/>
        </w:rPr>
        <w:t xml:space="preserve">on the basis that it would be </w:t>
      </w:r>
      <w:r w:rsidRPr="00E81073">
        <w:rPr>
          <w:iCs/>
          <w:snapToGrid/>
        </w:rPr>
        <w:t xml:space="preserve">the treatment most likely to be replaced by BKZ. </w:t>
      </w:r>
      <w:r w:rsidR="000E1C82" w:rsidRPr="00E81073">
        <w:rPr>
          <w:iCs/>
          <w:snapToGrid/>
        </w:rPr>
        <w:t>IXE (an IL 17A inhibitor) has a similar mechanism of action to BKZ (an IL 17A/F inhibitor) and both treatments are administered via subcutaneous injection.</w:t>
      </w:r>
      <w:r w:rsidR="004850F9" w:rsidRPr="00E81073">
        <w:rPr>
          <w:iCs/>
          <w:snapToGrid/>
        </w:rPr>
        <w:t xml:space="preserve"> </w:t>
      </w:r>
    </w:p>
    <w:p w14:paraId="6E848B86" w14:textId="635C71D1" w:rsidR="00E61B4A" w:rsidRPr="00E81073" w:rsidRDefault="00E61B4A" w:rsidP="00E61B4A">
      <w:pPr>
        <w:pStyle w:val="3-BodyText"/>
        <w:rPr>
          <w:iCs/>
          <w:snapToGrid/>
        </w:rPr>
      </w:pPr>
      <w:r w:rsidRPr="00E81073">
        <w:rPr>
          <w:iCs/>
          <w:snapToGrid/>
        </w:rPr>
        <w:t xml:space="preserve">The submission acknowledged that the PBAC might consider that BKZ could replace any b/tsDMARDs in principle, but requested that the PBAC exclude </w:t>
      </w:r>
      <w:r w:rsidRPr="005E2177">
        <w:rPr>
          <w:iCs/>
          <w:snapToGrid/>
        </w:rPr>
        <w:t xml:space="preserve">oral (TOF, UPA) and intravenous (IFX) therapies as relevant comparators. The submission argued that patients currently </w:t>
      </w:r>
      <w:r w:rsidR="007A20AF" w:rsidRPr="005E2177">
        <w:rPr>
          <w:iCs/>
          <w:snapToGrid/>
        </w:rPr>
        <w:t>treated with an</w:t>
      </w:r>
      <w:r w:rsidRPr="005E2177">
        <w:rPr>
          <w:iCs/>
          <w:snapToGrid/>
        </w:rPr>
        <w:t xml:space="preserve"> oral </w:t>
      </w:r>
      <w:r w:rsidR="007A20AF" w:rsidRPr="005E2177">
        <w:rPr>
          <w:iCs/>
          <w:snapToGrid/>
        </w:rPr>
        <w:t>or</w:t>
      </w:r>
      <w:r w:rsidRPr="005E2177">
        <w:rPr>
          <w:iCs/>
          <w:snapToGrid/>
        </w:rPr>
        <w:t xml:space="preserve"> intravenous therap</w:t>
      </w:r>
      <w:r w:rsidR="007A20AF" w:rsidRPr="005E2177">
        <w:rPr>
          <w:iCs/>
          <w:snapToGrid/>
        </w:rPr>
        <w:t>y</w:t>
      </w:r>
      <w:r w:rsidRPr="005E2177">
        <w:rPr>
          <w:iCs/>
          <w:snapToGrid/>
        </w:rPr>
        <w:t xml:space="preserve"> have chosen not to u</w:t>
      </w:r>
      <w:r w:rsidR="007A20AF" w:rsidRPr="005E2177">
        <w:rPr>
          <w:iCs/>
          <w:snapToGrid/>
        </w:rPr>
        <w:t xml:space="preserve">se </w:t>
      </w:r>
      <w:r w:rsidRPr="005E2177">
        <w:rPr>
          <w:iCs/>
          <w:snapToGrid/>
        </w:rPr>
        <w:t>a subcutaneous therapy</w:t>
      </w:r>
      <w:r w:rsidR="00487A6C" w:rsidRPr="005E2177">
        <w:rPr>
          <w:iCs/>
          <w:snapToGrid/>
        </w:rPr>
        <w:t xml:space="preserve">, hence a new subcutaneous therapy would not substitute </w:t>
      </w:r>
      <w:r w:rsidR="00A92429" w:rsidRPr="005E2177">
        <w:rPr>
          <w:iCs/>
          <w:snapToGrid/>
        </w:rPr>
        <w:t xml:space="preserve">for an </w:t>
      </w:r>
      <w:r w:rsidR="00487A6C" w:rsidRPr="005E2177">
        <w:rPr>
          <w:iCs/>
          <w:snapToGrid/>
        </w:rPr>
        <w:t>oral or intravenous therapy</w:t>
      </w:r>
      <w:r w:rsidRPr="005E2177">
        <w:rPr>
          <w:iCs/>
          <w:snapToGrid/>
        </w:rPr>
        <w:t>.</w:t>
      </w:r>
      <w:r w:rsidR="00914561" w:rsidRPr="005E2177">
        <w:rPr>
          <w:iCs/>
          <w:snapToGrid/>
        </w:rPr>
        <w:t xml:space="preserve"> Such assumptions around mode of administration may be implausible, as PBS restrictions allow patients to try </w:t>
      </w:r>
      <w:r w:rsidR="00021031" w:rsidRPr="005E2177">
        <w:rPr>
          <w:iCs/>
          <w:snapToGrid/>
        </w:rPr>
        <w:t xml:space="preserve">three </w:t>
      </w:r>
      <w:r w:rsidR="00914561" w:rsidRPr="005E2177">
        <w:rPr>
          <w:iCs/>
          <w:snapToGrid/>
        </w:rPr>
        <w:t xml:space="preserve">b/tsDMARDs before commencing a treatment </w:t>
      </w:r>
      <w:proofErr w:type="gramStart"/>
      <w:r w:rsidR="00914561" w:rsidRPr="005E2177">
        <w:rPr>
          <w:iCs/>
          <w:snapToGrid/>
        </w:rPr>
        <w:t>break, and</w:t>
      </w:r>
      <w:proofErr w:type="gramEnd"/>
      <w:r w:rsidR="00914561" w:rsidRPr="005E2177">
        <w:rPr>
          <w:iCs/>
          <w:snapToGrid/>
        </w:rPr>
        <w:t xml:space="preserve"> is highly unlikely that patients who use an IV or oral therapy will simply cease treatment once agents with a specific manner of administration have been exhausted, rather than </w:t>
      </w:r>
      <w:r w:rsidR="00B44D5E" w:rsidRPr="005E2177">
        <w:rPr>
          <w:iCs/>
          <w:snapToGrid/>
        </w:rPr>
        <w:t>use</w:t>
      </w:r>
      <w:r w:rsidR="00914561" w:rsidRPr="005E2177">
        <w:rPr>
          <w:iCs/>
          <w:snapToGrid/>
        </w:rPr>
        <w:t xml:space="preserve"> the maximum allowable treatments in a cycle. In addition, in its most recent consideration of a b/tsDMARD for PsA, the PBAC accepted that any of the currently listed b/tsDMARDs for severe PsA could be an alternative therapy to </w:t>
      </w:r>
      <w:r w:rsidR="00B44D5E" w:rsidRPr="005E2177">
        <w:rPr>
          <w:iCs/>
          <w:snapToGrid/>
        </w:rPr>
        <w:t>risankizumab</w:t>
      </w:r>
      <w:r w:rsidR="00914561" w:rsidRPr="005E2177">
        <w:rPr>
          <w:iCs/>
          <w:snapToGrid/>
        </w:rPr>
        <w:t xml:space="preserve"> (paragraph 7.1, risankizumab PSD, March 2022 PBAC meeting)</w:t>
      </w:r>
      <w:r w:rsidR="00B44D5E" w:rsidRPr="005E2177">
        <w:rPr>
          <w:iCs/>
          <w:snapToGrid/>
        </w:rPr>
        <w:t>.</w:t>
      </w:r>
      <w:r w:rsidR="00EF6A46" w:rsidRPr="005E2177">
        <w:rPr>
          <w:iCs/>
          <w:snapToGrid/>
        </w:rPr>
        <w:t xml:space="preserve"> </w:t>
      </w:r>
      <w:r w:rsidR="006A3F2D" w:rsidRPr="005E2177">
        <w:rPr>
          <w:iCs/>
          <w:snapToGrid/>
        </w:rPr>
        <w:t xml:space="preserve">The Pre-PBAC Response argued the submission took a pragmatic approach in nominating IXE as the main comparator (as the one with the most similar mechanism of action) and reiterated the argument BKZ would likely not replace IV or oral therapies. The PBAC </w:t>
      </w:r>
      <w:r w:rsidR="006C1E9B" w:rsidRPr="005E2177">
        <w:rPr>
          <w:iCs/>
          <w:snapToGrid/>
        </w:rPr>
        <w:t>noted</w:t>
      </w:r>
      <w:r w:rsidR="006A3F2D" w:rsidRPr="005E2177">
        <w:rPr>
          <w:iCs/>
          <w:snapToGrid/>
        </w:rPr>
        <w:t xml:space="preserve"> that while a </w:t>
      </w:r>
      <w:r w:rsidR="00705F7D" w:rsidRPr="005E2177">
        <w:rPr>
          <w:iCs/>
          <w:snapToGrid/>
        </w:rPr>
        <w:t>range</w:t>
      </w:r>
      <w:r w:rsidR="006A3F2D" w:rsidRPr="005E2177">
        <w:rPr>
          <w:iCs/>
          <w:snapToGrid/>
        </w:rPr>
        <w:t xml:space="preserve"> of factors may impact th</w:t>
      </w:r>
      <w:r w:rsidR="00705F7D" w:rsidRPr="005E2177">
        <w:rPr>
          <w:iCs/>
          <w:snapToGrid/>
        </w:rPr>
        <w:t>e</w:t>
      </w:r>
      <w:r w:rsidR="006A3F2D" w:rsidRPr="005E2177">
        <w:rPr>
          <w:iCs/>
          <w:snapToGrid/>
        </w:rPr>
        <w:t xml:space="preserve"> rate at which bimekizumab replaces some agents, considered </w:t>
      </w:r>
      <w:r w:rsidR="006C1E9B" w:rsidRPr="005E2177">
        <w:rPr>
          <w:iCs/>
          <w:snapToGrid/>
        </w:rPr>
        <w:t xml:space="preserve">all PBS listed b/tsDMARDs are alternative therapies as all could be replaced. Additionally, the PBAC noted </w:t>
      </w:r>
      <w:r w:rsidR="006A3F2D" w:rsidRPr="005E2177">
        <w:rPr>
          <w:iCs/>
          <w:snapToGrid/>
        </w:rPr>
        <w:t>the PBS listings for b/tsDMARDs for PsA were line agnostic, and therefore any treatment could be chosen in any line within a treatment cycle.</w:t>
      </w:r>
    </w:p>
    <w:p w14:paraId="62650034" w14:textId="34FC3334" w:rsidR="00E14B0E" w:rsidRPr="00E81073" w:rsidRDefault="00B85DFA" w:rsidP="00776F4A">
      <w:pPr>
        <w:pStyle w:val="3-BodyText"/>
        <w:rPr>
          <w:iCs/>
          <w:snapToGrid/>
        </w:rPr>
      </w:pPr>
      <w:bookmarkStart w:id="19" w:name="_Ref162514097"/>
      <w:r w:rsidRPr="00E81073">
        <w:rPr>
          <w:iCs/>
          <w:snapToGrid/>
        </w:rPr>
        <w:t>In the context of the cost-minimisation approach taken by the submission, a further consideration for PBAC is that, under Section 101(3B) of the National Health Act 1953,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If the committee is so satisfied, it must make a statement to this effect.</w:t>
      </w:r>
      <w:r w:rsidR="001C4A64" w:rsidRPr="00E81073">
        <w:rPr>
          <w:iCs/>
          <w:snapToGrid/>
        </w:rPr>
        <w:t xml:space="preserve"> </w:t>
      </w:r>
      <w:r w:rsidR="006D6CC4" w:rsidRPr="005E2177">
        <w:rPr>
          <w:iCs/>
          <w:snapToGrid/>
        </w:rPr>
        <w:t xml:space="preserve">The </w:t>
      </w:r>
      <w:r w:rsidR="005422CC" w:rsidRPr="005E2177">
        <w:rPr>
          <w:iCs/>
          <w:snapToGrid/>
        </w:rPr>
        <w:t xml:space="preserve">submission noted that </w:t>
      </w:r>
      <w:r w:rsidR="006D6CC4" w:rsidRPr="005E2177">
        <w:rPr>
          <w:iCs/>
          <w:snapToGrid/>
        </w:rPr>
        <w:t>PBAC had previously considered some treatments (UST, SEC, CZP, GUS, UPA and TOF) as ‘lower tier’ or less effective therapies and other treatments (ETN, ADA, IFX, IXE and GOL) as ‘higher tier’ or more effective therapies.</w:t>
      </w:r>
      <w:bookmarkEnd w:id="19"/>
    </w:p>
    <w:p w14:paraId="1A58EB95" w14:textId="38732A0A" w:rsidR="008D57DE" w:rsidRPr="00E81073" w:rsidRDefault="006D6CC4" w:rsidP="00776F4A">
      <w:pPr>
        <w:pStyle w:val="3-BodyText"/>
        <w:rPr>
          <w:iCs/>
          <w:snapToGrid/>
        </w:rPr>
      </w:pPr>
      <w:r w:rsidRPr="005E2177">
        <w:rPr>
          <w:iCs/>
          <w:snapToGrid/>
        </w:rPr>
        <w:t xml:space="preserve">Based on the claim of non-inferior effectiveness versus </w:t>
      </w:r>
      <w:r w:rsidR="00B85DFA" w:rsidRPr="005E2177">
        <w:rPr>
          <w:iCs/>
          <w:snapToGrid/>
        </w:rPr>
        <w:t>IXE</w:t>
      </w:r>
      <w:r w:rsidRPr="005E2177">
        <w:rPr>
          <w:iCs/>
          <w:snapToGrid/>
        </w:rPr>
        <w:t>, the submission argued that BKZ should be considered a higher tier treatment</w:t>
      </w:r>
      <w:r w:rsidR="00E14B0E" w:rsidRPr="005E2177">
        <w:rPr>
          <w:iCs/>
          <w:snapToGrid/>
        </w:rPr>
        <w:t xml:space="preserve"> </w:t>
      </w:r>
      <w:r w:rsidR="006A13D1" w:rsidRPr="005E2177">
        <w:rPr>
          <w:iCs/>
          <w:snapToGrid/>
        </w:rPr>
        <w:t xml:space="preserve">for the purposes of </w:t>
      </w:r>
      <w:r w:rsidR="00E14B0E" w:rsidRPr="005E2177">
        <w:rPr>
          <w:iCs/>
          <w:snapToGrid/>
        </w:rPr>
        <w:t>Section 101(3B) of the National Health Act 1953</w:t>
      </w:r>
      <w:r w:rsidRPr="005E2177">
        <w:rPr>
          <w:iCs/>
          <w:snapToGrid/>
        </w:rPr>
        <w:t>.</w:t>
      </w:r>
      <w:r w:rsidR="00E14B0E" w:rsidRPr="005E2177">
        <w:rPr>
          <w:iCs/>
          <w:snapToGrid/>
        </w:rPr>
        <w:t xml:space="preserve"> The submission further </w:t>
      </w:r>
      <w:r w:rsidR="00304D88" w:rsidRPr="005E2177">
        <w:rPr>
          <w:iCs/>
          <w:snapToGrid/>
        </w:rPr>
        <w:t xml:space="preserve">requested </w:t>
      </w:r>
      <w:r w:rsidR="00E14B0E" w:rsidRPr="005E2177">
        <w:rPr>
          <w:iCs/>
          <w:snapToGrid/>
        </w:rPr>
        <w:t xml:space="preserve">that the PBAC recommend listing of BKZ at a higher price compared to </w:t>
      </w:r>
      <w:r w:rsidR="006A13D1" w:rsidRPr="005E2177">
        <w:rPr>
          <w:iCs/>
          <w:snapToGrid/>
        </w:rPr>
        <w:t xml:space="preserve">the higher tier treatments </w:t>
      </w:r>
      <w:r w:rsidR="00E14B0E" w:rsidRPr="005E2177">
        <w:rPr>
          <w:iCs/>
          <w:snapToGrid/>
        </w:rPr>
        <w:t>IFX and ADA</w:t>
      </w:r>
      <w:r w:rsidR="006A13D1" w:rsidRPr="005E2177">
        <w:rPr>
          <w:iCs/>
          <w:snapToGrid/>
        </w:rPr>
        <w:t>,</w:t>
      </w:r>
      <w:r w:rsidR="00E14B0E" w:rsidRPr="005E2177">
        <w:rPr>
          <w:iCs/>
          <w:snapToGrid/>
        </w:rPr>
        <w:t xml:space="preserve"> because IFX is not a relevant comparator (see paragraph above) and BKZ </w:t>
      </w:r>
      <w:r w:rsidR="005E6939" w:rsidRPr="005E2177">
        <w:rPr>
          <w:iCs/>
          <w:snapToGrid/>
        </w:rPr>
        <w:t>may</w:t>
      </w:r>
      <w:r w:rsidR="00E14B0E" w:rsidRPr="005E2177">
        <w:rPr>
          <w:iCs/>
          <w:snapToGrid/>
        </w:rPr>
        <w:t xml:space="preserve"> provide a significant improvement in efficacy and/or safety over ADA. </w:t>
      </w:r>
      <w:r w:rsidR="00887441" w:rsidRPr="005E2177">
        <w:rPr>
          <w:iCs/>
          <w:snapToGrid/>
        </w:rPr>
        <w:t xml:space="preserve">The submission </w:t>
      </w:r>
      <w:r w:rsidR="00B466EA" w:rsidRPr="005E2177">
        <w:rPr>
          <w:iCs/>
          <w:snapToGrid/>
        </w:rPr>
        <w:t>stated</w:t>
      </w:r>
      <w:r w:rsidR="00887441" w:rsidRPr="005E2177">
        <w:rPr>
          <w:iCs/>
          <w:snapToGrid/>
        </w:rPr>
        <w:t xml:space="preserve"> that </w:t>
      </w:r>
      <w:r w:rsidR="00654AD6" w:rsidRPr="005E2177">
        <w:rPr>
          <w:iCs/>
          <w:snapToGrid/>
        </w:rPr>
        <w:t>a direct comparison between BKZ versus ADA, although not powered to show superiority, numerically favoured</w:t>
      </w:r>
      <w:r w:rsidR="00B466EA" w:rsidRPr="005E2177">
        <w:rPr>
          <w:iCs/>
          <w:snapToGrid/>
        </w:rPr>
        <w:t xml:space="preserve"> BKZ for </w:t>
      </w:r>
      <w:r w:rsidR="005E6939" w:rsidRPr="005E2177">
        <w:rPr>
          <w:iCs/>
          <w:snapToGrid/>
        </w:rPr>
        <w:t xml:space="preserve">one </w:t>
      </w:r>
      <w:r w:rsidR="00B466EA" w:rsidRPr="005E2177">
        <w:rPr>
          <w:iCs/>
          <w:snapToGrid/>
        </w:rPr>
        <w:t>psoriasis outcome in the subpopulation of patients with PsA and coexisting plaque psoriasis.</w:t>
      </w:r>
      <w:r w:rsidR="005E6939" w:rsidRPr="005E2177">
        <w:rPr>
          <w:iCs/>
          <w:snapToGrid/>
        </w:rPr>
        <w:t xml:space="preserve"> </w:t>
      </w:r>
      <w:r w:rsidR="00EF6A46" w:rsidRPr="00E81073">
        <w:rPr>
          <w:iCs/>
          <w:snapToGrid/>
        </w:rPr>
        <w:t>T</w:t>
      </w:r>
      <w:r w:rsidR="00BD6998" w:rsidRPr="00E81073">
        <w:rPr>
          <w:iCs/>
          <w:snapToGrid/>
        </w:rPr>
        <w:t>h</w:t>
      </w:r>
      <w:r w:rsidR="00EF6A46" w:rsidRPr="00E81073">
        <w:rPr>
          <w:iCs/>
          <w:snapToGrid/>
        </w:rPr>
        <w:t>e PBAC had previously dismissed the relevance any advantage in terms of skin response for patients with PsA and coexisting plaque psoriasis under Section 101(3B), given the availability of b/tsDMARDs for patients with plaque psoriasis (paragraph 7.4, IXE PSD, July 2018 PBAC meeting).</w:t>
      </w:r>
      <w:r w:rsidR="005E6939" w:rsidRPr="00E81073">
        <w:rPr>
          <w:iCs/>
          <w:snapToGrid/>
        </w:rPr>
        <w:t xml:space="preserve"> </w:t>
      </w:r>
    </w:p>
    <w:p w14:paraId="123AF307" w14:textId="6C874234" w:rsidR="00734B1A" w:rsidRPr="005E2177" w:rsidRDefault="001C4A64" w:rsidP="00734B1A">
      <w:pPr>
        <w:pStyle w:val="3-BodyText"/>
        <w:rPr>
          <w:iCs/>
          <w:snapToGrid/>
        </w:rPr>
      </w:pPr>
      <w:r w:rsidRPr="005E2177">
        <w:t xml:space="preserve">At the July 2018 PBAC meeting, the </w:t>
      </w:r>
      <w:r w:rsidR="002F22E0" w:rsidRPr="005E2177">
        <w:t xml:space="preserve">PBAC </w:t>
      </w:r>
      <w:r w:rsidRPr="005E2177">
        <w:t>considered</w:t>
      </w:r>
      <w:r w:rsidR="002F22E0" w:rsidRPr="005E2177">
        <w:t xml:space="preserve"> that</w:t>
      </w:r>
      <w:r w:rsidRPr="005E2177">
        <w:t xml:space="preserve"> IXE was non-inferior in terms of comparative effectiveness compared to SEC, CZP, UST and ADA (i.e. three lower tier treatments and one higher tier treatment) </w:t>
      </w:r>
      <w:r w:rsidR="00232D1A" w:rsidRPr="005E2177">
        <w:t>and recommended listing against the least costly b/tsDMARD</w:t>
      </w:r>
      <w:r w:rsidR="00705F7D" w:rsidRPr="005E2177">
        <w:t>. However, t</w:t>
      </w:r>
      <w:r w:rsidR="00232D1A" w:rsidRPr="005E2177">
        <w:t xml:space="preserve">wo years </w:t>
      </w:r>
      <w:r w:rsidRPr="005E2177">
        <w:t xml:space="preserve">later </w:t>
      </w:r>
      <w:r w:rsidR="00705F7D" w:rsidRPr="005E2177">
        <w:t xml:space="preserve">the PBAC </w:t>
      </w:r>
      <w:r w:rsidRPr="005E2177">
        <w:t xml:space="preserve">advised that IXE should be treated as interchangeable with ETN, ADA, IFX, and GOL (i.e. higher tier treatments) when reviewing its’ advice on the </w:t>
      </w:r>
      <w:r w:rsidR="00D71EED" w:rsidRPr="005E2177">
        <w:t>interchangeability</w:t>
      </w:r>
      <w:r w:rsidRPr="005E2177">
        <w:t xml:space="preserve"> of TOF with other bDMARDs (</w:t>
      </w:r>
      <w:r w:rsidRPr="005E2177">
        <w:rPr>
          <w:snapToGrid/>
        </w:rPr>
        <w:t xml:space="preserve">November 2020 PBAC Outcomes – Other Matters). </w:t>
      </w:r>
      <w:r w:rsidR="008B74D4" w:rsidRPr="005E2177">
        <w:rPr>
          <w:snapToGrid/>
        </w:rPr>
        <w:t>The submission assumed</w:t>
      </w:r>
      <w:r w:rsidR="009D79AC" w:rsidRPr="005E2177">
        <w:rPr>
          <w:snapToGrid/>
        </w:rPr>
        <w:t xml:space="preserve"> this also implied superiority of IXE versus lower tier treatments.</w:t>
      </w:r>
      <w:r w:rsidR="001255CF" w:rsidRPr="005E2177">
        <w:rPr>
          <w:snapToGrid/>
        </w:rPr>
        <w:t xml:space="preserve"> </w:t>
      </w:r>
      <w:r w:rsidR="007A7C5D" w:rsidRPr="005E2177">
        <w:rPr>
          <w:snapToGrid/>
        </w:rPr>
        <w:t>T</w:t>
      </w:r>
      <w:r w:rsidR="00CC05C4" w:rsidRPr="005E2177">
        <w:rPr>
          <w:snapToGrid/>
        </w:rPr>
        <w:t>he advice provided in November 2020 (outlined in the TOF PSD from that meeting) specifically relates to interchangeability under Section 101(3BA) of the National Health Act 1953</w:t>
      </w:r>
      <w:r w:rsidR="00E81073">
        <w:rPr>
          <w:snapToGrid/>
        </w:rPr>
        <w:t xml:space="preserve">. </w:t>
      </w:r>
      <w:r w:rsidR="003A119F" w:rsidRPr="005E2177" w:rsidDel="003A119F">
        <w:rPr>
          <w:snapToGrid/>
        </w:rPr>
        <w:t xml:space="preserve"> </w:t>
      </w:r>
      <w:r w:rsidR="002362B6" w:rsidRPr="005E2177">
        <w:rPr>
          <w:snapToGrid/>
        </w:rPr>
        <w:t>T</w:t>
      </w:r>
      <w:r w:rsidR="004F42B0" w:rsidRPr="005E2177">
        <w:rPr>
          <w:snapToGrid/>
        </w:rPr>
        <w:t>he PBAC acknowledged IXE had been described as a ‘higher tier’ agent in some public summary documents following the November 2020 advice,</w:t>
      </w:r>
      <w:r w:rsidR="00C60BB0" w:rsidRPr="005E2177">
        <w:rPr>
          <w:snapToGrid/>
        </w:rPr>
        <w:t xml:space="preserve"> however noted </w:t>
      </w:r>
      <w:r w:rsidR="00E84C6B" w:rsidRPr="005E2177">
        <w:rPr>
          <w:snapToGrid/>
        </w:rPr>
        <w:t>the evidence for IXE had not supported superiority over any alternative b/tsDMARDs (paragraph 7.3, ixekizumab Public Summary Document, July 2018 PBAC)</w:t>
      </w:r>
      <w:r w:rsidR="00705F7D" w:rsidRPr="005E2177">
        <w:rPr>
          <w:snapToGrid/>
        </w:rPr>
        <w:t xml:space="preserve">. The PBAC noted </w:t>
      </w:r>
      <w:r w:rsidR="00E84C6B" w:rsidRPr="005E2177">
        <w:rPr>
          <w:snapToGrid/>
        </w:rPr>
        <w:t xml:space="preserve">some previous descriptions </w:t>
      </w:r>
      <w:r w:rsidR="00705F7D" w:rsidRPr="005E2177">
        <w:rPr>
          <w:snapToGrid/>
        </w:rPr>
        <w:t xml:space="preserve">of IXE as a ‘higher tier’ agent </w:t>
      </w:r>
      <w:r w:rsidR="00E84C6B" w:rsidRPr="005E2177">
        <w:rPr>
          <w:snapToGrid/>
        </w:rPr>
        <w:t>may be</w:t>
      </w:r>
      <w:r w:rsidR="002362B6" w:rsidRPr="005E2177">
        <w:rPr>
          <w:snapToGrid/>
        </w:rPr>
        <w:t xml:space="preserve"> incorrect</w:t>
      </w:r>
      <w:r w:rsidR="00E81073">
        <w:rPr>
          <w:snapToGrid/>
        </w:rPr>
        <w:t xml:space="preserve">. </w:t>
      </w:r>
    </w:p>
    <w:p w14:paraId="466F7CA2" w14:textId="77777777" w:rsidR="00ED254B" w:rsidRPr="00E81073" w:rsidRDefault="00ED254B" w:rsidP="00ED254B">
      <w:pPr>
        <w:ind w:firstLine="709"/>
        <w:rPr>
          <w:rFonts w:asciiTheme="minorHAnsi" w:hAnsiTheme="minorHAnsi"/>
          <w:i/>
        </w:rPr>
      </w:pPr>
      <w:r w:rsidRPr="00E81073">
        <w:rPr>
          <w:rFonts w:asciiTheme="minorHAnsi" w:hAnsiTheme="minorHAnsi"/>
          <w:i/>
        </w:rPr>
        <w:t>For more detail on PBAC’s view, see section 7 PBAC outcome.</w:t>
      </w:r>
    </w:p>
    <w:p w14:paraId="7F9C27C8" w14:textId="77777777" w:rsidR="00223D5A" w:rsidRPr="00E81073" w:rsidRDefault="00223D5A" w:rsidP="00223D5A">
      <w:pPr>
        <w:pStyle w:val="2-SectionHeading"/>
        <w:numPr>
          <w:ilvl w:val="0"/>
          <w:numId w:val="1"/>
        </w:numPr>
      </w:pPr>
      <w:bookmarkStart w:id="20" w:name="_Toc156894671"/>
      <w:bookmarkStart w:id="21" w:name="_Toc22897640"/>
      <w:r w:rsidRPr="00E81073">
        <w:t>Consideration of the evidence</w:t>
      </w:r>
      <w:bookmarkEnd w:id="20"/>
    </w:p>
    <w:p w14:paraId="5228EE3B" w14:textId="77777777" w:rsidR="00ED254B" w:rsidRPr="00E81073" w:rsidRDefault="00ED254B" w:rsidP="00437E6C">
      <w:pPr>
        <w:pStyle w:val="4-SubsectionHeading"/>
      </w:pPr>
      <w:bookmarkStart w:id="22" w:name="_Hlk76375935"/>
      <w:bookmarkStart w:id="23" w:name="_Toc156894672"/>
      <w:r w:rsidRPr="00E81073">
        <w:t>Sponsor hearing</w:t>
      </w:r>
    </w:p>
    <w:p w14:paraId="79F72D7B" w14:textId="162E727B" w:rsidR="00ED254B" w:rsidRPr="00E81073" w:rsidRDefault="00ED254B" w:rsidP="00157D55">
      <w:pPr>
        <w:widowControl w:val="0"/>
        <w:numPr>
          <w:ilvl w:val="1"/>
          <w:numId w:val="1"/>
        </w:numPr>
        <w:spacing w:after="120"/>
        <w:rPr>
          <w:rFonts w:cs="Calibri"/>
          <w:bCs/>
          <w:snapToGrid w:val="0"/>
        </w:rPr>
      </w:pPr>
      <w:r w:rsidRPr="00E81073">
        <w:rPr>
          <w:rFonts w:cs="Calibri"/>
          <w:bCs/>
          <w:snapToGrid w:val="0"/>
        </w:rPr>
        <w:t>There was no hearing for this item.</w:t>
      </w:r>
    </w:p>
    <w:p w14:paraId="71CEC612" w14:textId="77777777" w:rsidR="00ED254B" w:rsidRPr="00E81073" w:rsidRDefault="00ED254B" w:rsidP="008F71E4">
      <w:pPr>
        <w:pStyle w:val="4-SubsectionHeading"/>
      </w:pPr>
      <w:r w:rsidRPr="00E81073">
        <w:t>Consumer comments</w:t>
      </w:r>
    </w:p>
    <w:p w14:paraId="249186E5" w14:textId="300FAF89" w:rsidR="00ED254B" w:rsidRPr="00E81073" w:rsidRDefault="00ED254B" w:rsidP="00ED254B">
      <w:pPr>
        <w:widowControl w:val="0"/>
        <w:numPr>
          <w:ilvl w:val="1"/>
          <w:numId w:val="1"/>
        </w:numPr>
        <w:spacing w:after="120"/>
        <w:rPr>
          <w:rFonts w:asciiTheme="minorHAnsi" w:hAnsiTheme="minorHAnsi"/>
          <w:bCs/>
          <w:snapToGrid w:val="0"/>
        </w:rPr>
      </w:pPr>
      <w:bookmarkStart w:id="24" w:name="_Hlk76382618"/>
      <w:r w:rsidRPr="00E81073">
        <w:rPr>
          <w:rFonts w:asciiTheme="minorHAnsi" w:hAnsiTheme="minorHAnsi"/>
          <w:bCs/>
          <w:snapToGrid w:val="0"/>
        </w:rPr>
        <w:t>The PBAC noted and welcomed the input from individuals (</w:t>
      </w:r>
      <w:r w:rsidR="00837537" w:rsidRPr="00E81073">
        <w:rPr>
          <w:rFonts w:asciiTheme="minorHAnsi" w:hAnsiTheme="minorHAnsi"/>
          <w:bCs/>
          <w:snapToGrid w:val="0"/>
        </w:rPr>
        <w:t>3</w:t>
      </w:r>
      <w:r w:rsidRPr="00E81073">
        <w:rPr>
          <w:rFonts w:asciiTheme="minorHAnsi" w:hAnsiTheme="minorHAnsi"/>
          <w:bCs/>
          <w:snapToGrid w:val="0"/>
        </w:rPr>
        <w:t>), health care professionals (</w:t>
      </w:r>
      <w:r w:rsidR="00837537" w:rsidRPr="00E81073">
        <w:rPr>
          <w:rFonts w:asciiTheme="minorHAnsi" w:hAnsiTheme="minorHAnsi"/>
          <w:bCs/>
          <w:snapToGrid w:val="0"/>
        </w:rPr>
        <w:t>3</w:t>
      </w:r>
      <w:r w:rsidRPr="00E81073">
        <w:rPr>
          <w:rFonts w:asciiTheme="minorHAnsi" w:hAnsiTheme="minorHAnsi"/>
          <w:bCs/>
          <w:snapToGrid w:val="0"/>
        </w:rPr>
        <w:t>) and organisations (</w:t>
      </w:r>
      <w:r w:rsidR="00837537" w:rsidRPr="00E81073">
        <w:rPr>
          <w:rFonts w:asciiTheme="minorHAnsi" w:hAnsiTheme="minorHAnsi"/>
          <w:bCs/>
          <w:snapToGrid w:val="0"/>
        </w:rPr>
        <w:t>2</w:t>
      </w:r>
      <w:r w:rsidRPr="00E81073">
        <w:rPr>
          <w:rFonts w:asciiTheme="minorHAnsi" w:hAnsiTheme="minorHAnsi"/>
          <w:bCs/>
          <w:snapToGrid w:val="0"/>
        </w:rPr>
        <w:t>) via the Consumer Comments facility on the PBS website</w:t>
      </w:r>
      <w:r w:rsidR="00E81073">
        <w:rPr>
          <w:rFonts w:asciiTheme="minorHAnsi" w:hAnsiTheme="minorHAnsi"/>
          <w:bCs/>
          <w:snapToGrid w:val="0"/>
        </w:rPr>
        <w:t xml:space="preserve">. </w:t>
      </w:r>
      <w:r w:rsidRPr="00E81073">
        <w:rPr>
          <w:rFonts w:asciiTheme="minorHAnsi" w:hAnsiTheme="minorHAnsi"/>
          <w:bCs/>
          <w:snapToGrid w:val="0"/>
        </w:rPr>
        <w:t xml:space="preserve">The comments </w:t>
      </w:r>
      <w:r w:rsidR="00837537" w:rsidRPr="00E81073">
        <w:rPr>
          <w:rFonts w:asciiTheme="minorHAnsi" w:hAnsiTheme="minorHAnsi"/>
          <w:bCs/>
          <w:snapToGrid w:val="0"/>
        </w:rPr>
        <w:t xml:space="preserve">from individuals described bimekizumab as effective for both their joint pain and psoriasis symptoms associated with PsA, </w:t>
      </w:r>
      <w:proofErr w:type="gramStart"/>
      <w:r w:rsidR="00837537" w:rsidRPr="00E81073">
        <w:rPr>
          <w:rFonts w:asciiTheme="minorHAnsi" w:hAnsiTheme="minorHAnsi"/>
          <w:bCs/>
          <w:snapToGrid w:val="0"/>
        </w:rPr>
        <w:t>and also</w:t>
      </w:r>
      <w:proofErr w:type="gramEnd"/>
      <w:r w:rsidR="00837537" w:rsidRPr="00E81073">
        <w:rPr>
          <w:rFonts w:asciiTheme="minorHAnsi" w:hAnsiTheme="minorHAnsi"/>
          <w:bCs/>
          <w:snapToGrid w:val="0"/>
        </w:rPr>
        <w:t xml:space="preserve"> outlined the favourable side effect profile compared to other agents. The comments from health professionals described bimekizumab as being highly effective with patients experiencing a rapid response to treatment with PsA, and described the therapy as well tolerated with acceptable safety. The PBAC noted the input from CreakyJoints Australia described the need for additional treatment options for the numerous conditions for which b/tsDMARDs are listed, as different treatments work best for individual patients and more options gives patients more flexibility to find the therapy that best works for them. The PBAC also noted the input from Ankylosing Spondylitis Victoria supported the listing of bimekizumab.</w:t>
      </w:r>
    </w:p>
    <w:bookmarkEnd w:id="22"/>
    <w:bookmarkEnd w:id="24"/>
    <w:p w14:paraId="609C0765" w14:textId="71ECCC05" w:rsidR="00B60939" w:rsidRPr="00E81073" w:rsidRDefault="00B60939" w:rsidP="002E4F02">
      <w:pPr>
        <w:pStyle w:val="4-SubsectionHeading"/>
      </w:pPr>
      <w:r w:rsidRPr="00E81073">
        <w:t xml:space="preserve">Clinical </w:t>
      </w:r>
      <w:bookmarkEnd w:id="21"/>
      <w:r w:rsidR="007E7AC8" w:rsidRPr="00E81073">
        <w:t>trials</w:t>
      </w:r>
      <w:bookmarkEnd w:id="23"/>
    </w:p>
    <w:p w14:paraId="0E83BD2B" w14:textId="4F39F0B6" w:rsidR="00A55466" w:rsidRPr="00E81073" w:rsidRDefault="00A55466" w:rsidP="00D00A02">
      <w:pPr>
        <w:pStyle w:val="3-BodyText"/>
      </w:pPr>
      <w:r w:rsidRPr="00E81073">
        <w:t xml:space="preserve">The submission was based on three </w:t>
      </w:r>
      <w:r w:rsidR="000E7176" w:rsidRPr="00E81073">
        <w:t>randomised controlled trials (</w:t>
      </w:r>
      <w:r w:rsidRPr="00E81073">
        <w:t>RCTs</w:t>
      </w:r>
      <w:r w:rsidR="000E7176" w:rsidRPr="00E81073">
        <w:t>) comparing BKZ to place</w:t>
      </w:r>
      <w:r w:rsidR="001B3B00" w:rsidRPr="00E81073">
        <w:t>bo (BE ACTIVE, BE OPTIMAL, BE COMPLETE) and two RCTs comparing IXE to placebo (</w:t>
      </w:r>
      <w:r w:rsidR="00921AAF" w:rsidRPr="00E81073">
        <w:t>SPIRIT-P1, SPIRIT-P2</w:t>
      </w:r>
      <w:r w:rsidR="001B3B00" w:rsidRPr="00E81073">
        <w:t xml:space="preserve">). </w:t>
      </w:r>
      <w:r w:rsidR="0060088F" w:rsidRPr="00E81073">
        <w:t xml:space="preserve">Two of the RCTs also included ADA as an active control (BE OPTIMAL, SPIRIT-P1), but the submission did not focus on the direct comparisons between BKZ </w:t>
      </w:r>
      <w:r w:rsidR="00750D66" w:rsidRPr="00E81073">
        <w:t>and</w:t>
      </w:r>
      <w:r w:rsidR="0060088F" w:rsidRPr="00E81073">
        <w:t xml:space="preserve"> IXE versus ADA.</w:t>
      </w:r>
      <w:r w:rsidR="000E2393" w:rsidRPr="00E81073">
        <w:t xml:space="preserve"> The PBAC had previously considered evidence from SPIRIT-P1 and SPIRIT-P2, comparing IXE versus ADA and/or placebo, in the July 2018 submission for IXE.</w:t>
      </w:r>
    </w:p>
    <w:p w14:paraId="0EC0EF9E" w14:textId="601F0568" w:rsidR="00503B3C" w:rsidRPr="00E81073" w:rsidRDefault="00CB2398" w:rsidP="00D00A02">
      <w:pPr>
        <w:pStyle w:val="3-BodyText"/>
      </w:pPr>
      <w:r w:rsidRPr="00E81073">
        <w:rPr>
          <w:snapToGrid/>
        </w:rPr>
        <w:t xml:space="preserve">Details of the trials included in the submission are provided in </w:t>
      </w:r>
      <w:r w:rsidRPr="00E81073">
        <w:rPr>
          <w:snapToGrid/>
        </w:rPr>
        <w:fldChar w:fldCharType="begin" w:fldLock="1"/>
      </w:r>
      <w:r w:rsidRPr="00E81073">
        <w:rPr>
          <w:snapToGrid/>
        </w:rPr>
        <w:instrText xml:space="preserve"> REF _Ref104803956 \h  \* MERGEFORMAT </w:instrText>
      </w:r>
      <w:r w:rsidRPr="00E81073">
        <w:rPr>
          <w:snapToGrid/>
        </w:rPr>
      </w:r>
      <w:r w:rsidRPr="00E81073">
        <w:rPr>
          <w:snapToGrid/>
        </w:rPr>
        <w:fldChar w:fldCharType="separate"/>
      </w:r>
      <w:r w:rsidR="00670F2D" w:rsidRPr="00E81073">
        <w:rPr>
          <w:rFonts w:ascii="Calibri" w:hAnsi="Calibri"/>
        </w:rPr>
        <w:t>Table 2</w:t>
      </w:r>
      <w:r w:rsidRPr="00E81073">
        <w:rPr>
          <w:snapToGrid/>
        </w:rPr>
        <w:fldChar w:fldCharType="end"/>
      </w:r>
      <w:r w:rsidRPr="00E81073">
        <w:rPr>
          <w:snapToGrid/>
        </w:rPr>
        <w:t>.</w:t>
      </w:r>
    </w:p>
    <w:p w14:paraId="707F79A4" w14:textId="34AE31C7" w:rsidR="00D87E65" w:rsidRPr="00E81073" w:rsidRDefault="00696EF9" w:rsidP="002A5CC4">
      <w:pPr>
        <w:pStyle w:val="3-BodyText"/>
        <w:keepNext/>
        <w:keepLines/>
        <w:widowControl w:val="0"/>
        <w:numPr>
          <w:ilvl w:val="0"/>
          <w:numId w:val="0"/>
        </w:numPr>
        <w:spacing w:after="0"/>
        <w:rPr>
          <w:rFonts w:ascii="Arial Narrow" w:hAnsi="Arial Narrow"/>
          <w:b/>
          <w:sz w:val="20"/>
        </w:rPr>
      </w:pPr>
      <w:bookmarkStart w:id="25" w:name="_Ref104803956"/>
      <w:r w:rsidRPr="00E81073">
        <w:rPr>
          <w:rStyle w:val="CommentReference"/>
          <w:szCs w:val="24"/>
        </w:rPr>
        <w:t xml:space="preserve">Table </w:t>
      </w:r>
      <w:r w:rsidR="00816C28" w:rsidRPr="00E81073">
        <w:rPr>
          <w:rStyle w:val="CommentReference"/>
          <w:szCs w:val="24"/>
        </w:rPr>
        <w:fldChar w:fldCharType="begin" w:fldLock="1"/>
      </w:r>
      <w:r w:rsidR="00816C28" w:rsidRPr="00E81073">
        <w:rPr>
          <w:rStyle w:val="CommentReference"/>
          <w:szCs w:val="24"/>
        </w:rPr>
        <w:instrText xml:space="preserve"> SEQ Table \* ARABIC </w:instrText>
      </w:r>
      <w:r w:rsidR="00816C28" w:rsidRPr="00E81073">
        <w:rPr>
          <w:rStyle w:val="CommentReference"/>
          <w:szCs w:val="24"/>
        </w:rPr>
        <w:fldChar w:fldCharType="separate"/>
      </w:r>
      <w:r w:rsidR="00670F2D" w:rsidRPr="005E2177">
        <w:rPr>
          <w:rStyle w:val="CommentReference"/>
          <w:szCs w:val="24"/>
        </w:rPr>
        <w:t>2</w:t>
      </w:r>
      <w:r w:rsidR="00816C28" w:rsidRPr="00E81073">
        <w:rPr>
          <w:rStyle w:val="CommentReference"/>
          <w:szCs w:val="24"/>
        </w:rPr>
        <w:fldChar w:fldCharType="end"/>
      </w:r>
      <w:bookmarkEnd w:id="25"/>
      <w:r w:rsidRPr="00E81073">
        <w:rPr>
          <w:rStyle w:val="CommentReference"/>
          <w:szCs w:val="24"/>
        </w:rPr>
        <w:t>:</w:t>
      </w:r>
      <w:r w:rsidR="00BC591F" w:rsidRPr="00E81073">
        <w:rPr>
          <w:rStyle w:val="CommentReference"/>
          <w:szCs w:val="24"/>
        </w:rPr>
        <w:t xml:space="preserve"> </w:t>
      </w:r>
      <w:r w:rsidR="007E7AC8" w:rsidRPr="00E81073">
        <w:rPr>
          <w:rStyle w:val="CommentReference"/>
          <w:szCs w:val="24"/>
        </w:rPr>
        <w:t xml:space="preserve">Trials </w:t>
      </w:r>
      <w:r w:rsidR="008E0D3C" w:rsidRPr="00E81073">
        <w:rPr>
          <w:rStyle w:val="CommentReference"/>
          <w:szCs w:val="24"/>
        </w:rPr>
        <w:t xml:space="preserve">and associated reports presented in the </w:t>
      </w:r>
      <w:proofErr w:type="gramStart"/>
      <w:r w:rsidR="008E0D3C" w:rsidRPr="00E81073">
        <w:rPr>
          <w:rStyle w:val="CommentReference"/>
          <w:szCs w:val="24"/>
        </w:rPr>
        <w:t>submission</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435"/>
        <w:gridCol w:w="5459"/>
        <w:gridCol w:w="2123"/>
      </w:tblGrid>
      <w:tr w:rsidR="00D87E65" w:rsidRPr="00E81073" w14:paraId="73F0331E" w14:textId="77777777" w:rsidTr="00787AEA">
        <w:trPr>
          <w:tblHeader/>
        </w:trPr>
        <w:tc>
          <w:tcPr>
            <w:tcW w:w="796" w:type="pct"/>
            <w:vAlign w:val="center"/>
          </w:tcPr>
          <w:p w14:paraId="656A7406" w14:textId="77777777" w:rsidR="00D87E65" w:rsidRPr="005E2177" w:rsidRDefault="00D87E65" w:rsidP="002A5CC4">
            <w:pPr>
              <w:pStyle w:val="In-tableHeading"/>
              <w:keepLines/>
              <w:widowControl w:val="0"/>
              <w:rPr>
                <w:szCs w:val="20"/>
                <w:lang w:val="en-AU"/>
              </w:rPr>
            </w:pPr>
            <w:r w:rsidRPr="005E2177">
              <w:rPr>
                <w:szCs w:val="20"/>
                <w:lang w:val="en-AU"/>
              </w:rPr>
              <w:t>Trial ID</w:t>
            </w:r>
          </w:p>
        </w:tc>
        <w:tc>
          <w:tcPr>
            <w:tcW w:w="3027" w:type="pct"/>
            <w:vAlign w:val="center"/>
          </w:tcPr>
          <w:p w14:paraId="3FF1F64D" w14:textId="77777777" w:rsidR="00D87E65" w:rsidRPr="005E2177" w:rsidRDefault="00D87E65" w:rsidP="002A5CC4">
            <w:pPr>
              <w:pStyle w:val="In-tableHeading"/>
              <w:keepLines/>
              <w:widowControl w:val="0"/>
              <w:rPr>
                <w:szCs w:val="20"/>
                <w:lang w:val="en-AU"/>
              </w:rPr>
            </w:pPr>
            <w:r w:rsidRPr="005E2177">
              <w:rPr>
                <w:szCs w:val="20"/>
                <w:lang w:val="en-AU"/>
              </w:rPr>
              <w:t>Protocol title/ Publication title</w:t>
            </w:r>
          </w:p>
        </w:tc>
        <w:tc>
          <w:tcPr>
            <w:tcW w:w="1177" w:type="pct"/>
            <w:vAlign w:val="center"/>
          </w:tcPr>
          <w:p w14:paraId="4082C5EF" w14:textId="77777777" w:rsidR="00D87E65" w:rsidRPr="005E2177" w:rsidRDefault="00D87E65" w:rsidP="002A5CC4">
            <w:pPr>
              <w:pStyle w:val="In-tableHeading"/>
              <w:keepLines/>
              <w:widowControl w:val="0"/>
              <w:rPr>
                <w:szCs w:val="20"/>
                <w:lang w:val="en-AU"/>
              </w:rPr>
            </w:pPr>
            <w:r w:rsidRPr="005E2177">
              <w:rPr>
                <w:szCs w:val="20"/>
                <w:lang w:val="en-AU"/>
              </w:rPr>
              <w:t>Publication citation</w:t>
            </w:r>
          </w:p>
        </w:tc>
      </w:tr>
      <w:tr w:rsidR="00D87E65" w:rsidRPr="00E81073" w14:paraId="73FABFD0" w14:textId="77777777" w:rsidTr="00320935">
        <w:tc>
          <w:tcPr>
            <w:tcW w:w="5000" w:type="pct"/>
            <w:gridSpan w:val="3"/>
            <w:vAlign w:val="center"/>
          </w:tcPr>
          <w:p w14:paraId="60E6092C" w14:textId="77777777" w:rsidR="00D87E65" w:rsidRPr="005E2177" w:rsidRDefault="00D87E65" w:rsidP="002A5CC4">
            <w:pPr>
              <w:pStyle w:val="In-tableHeading"/>
              <w:keepLines/>
              <w:rPr>
                <w:szCs w:val="20"/>
                <w:lang w:val="en-AU"/>
              </w:rPr>
            </w:pPr>
            <w:r w:rsidRPr="005E2177">
              <w:rPr>
                <w:szCs w:val="20"/>
                <w:lang w:val="en-AU"/>
              </w:rPr>
              <w:t>BKZ vs PBO</w:t>
            </w:r>
          </w:p>
        </w:tc>
      </w:tr>
      <w:tr w:rsidR="00DD480B" w:rsidRPr="00E81073" w14:paraId="33671DE4" w14:textId="77777777" w:rsidTr="008A3AEA">
        <w:tc>
          <w:tcPr>
            <w:tcW w:w="796" w:type="pct"/>
            <w:vMerge w:val="restart"/>
            <w:vAlign w:val="center"/>
          </w:tcPr>
          <w:p w14:paraId="1A48ABE1" w14:textId="77777777" w:rsidR="00DD480B" w:rsidRPr="00E81073" w:rsidRDefault="00DD480B" w:rsidP="002A5CC4">
            <w:pPr>
              <w:pStyle w:val="TableText0"/>
              <w:keepLines/>
              <w:rPr>
                <w:szCs w:val="20"/>
              </w:rPr>
            </w:pPr>
            <w:r w:rsidRPr="00E81073">
              <w:rPr>
                <w:szCs w:val="20"/>
              </w:rPr>
              <w:t>BE ACTIVE</w:t>
            </w:r>
          </w:p>
          <w:p w14:paraId="70F6A26A" w14:textId="77777777" w:rsidR="00DD480B" w:rsidRPr="00E81073" w:rsidRDefault="00DD480B" w:rsidP="002A5CC4">
            <w:pPr>
              <w:pStyle w:val="TableText0"/>
              <w:keepLines/>
              <w:rPr>
                <w:szCs w:val="20"/>
              </w:rPr>
            </w:pPr>
            <w:r w:rsidRPr="00E81073">
              <w:rPr>
                <w:szCs w:val="20"/>
              </w:rPr>
              <w:t>NCT02969525</w:t>
            </w:r>
          </w:p>
          <w:p w14:paraId="759D7ECD" w14:textId="40C1A7E1" w:rsidR="00DD480B" w:rsidRPr="00E81073" w:rsidRDefault="00DD480B" w:rsidP="002A5CC4">
            <w:pPr>
              <w:pStyle w:val="TableText0"/>
              <w:keepLines/>
              <w:rPr>
                <w:szCs w:val="20"/>
              </w:rPr>
            </w:pPr>
            <w:r w:rsidRPr="00E81073">
              <w:rPr>
                <w:szCs w:val="20"/>
              </w:rPr>
              <w:t>EUCTR2016-001103-23-CZ</w:t>
            </w:r>
          </w:p>
        </w:tc>
        <w:tc>
          <w:tcPr>
            <w:tcW w:w="3027" w:type="pct"/>
            <w:tcBorders>
              <w:bottom w:val="nil"/>
            </w:tcBorders>
            <w:vAlign w:val="center"/>
          </w:tcPr>
          <w:p w14:paraId="36168292" w14:textId="77777777" w:rsidR="00DD480B" w:rsidRPr="00E81073" w:rsidRDefault="00DD480B" w:rsidP="002A5CC4">
            <w:pPr>
              <w:pStyle w:val="TableText0"/>
              <w:keepLines/>
              <w:rPr>
                <w:szCs w:val="20"/>
              </w:rPr>
            </w:pPr>
            <w:r w:rsidRPr="00E81073">
              <w:rPr>
                <w:szCs w:val="20"/>
              </w:rPr>
              <w:t>A Multicenter, Phase 2B, Randomized, Double-Blind, Placebo-Controlled, Parallel-Group, Dose-Ranging Study to Evaluate the Efficacy and Safety of Bimekizumab in Subjects with Active Psoriatic Arthritis</w:t>
            </w:r>
          </w:p>
        </w:tc>
        <w:tc>
          <w:tcPr>
            <w:tcW w:w="1177" w:type="pct"/>
            <w:tcBorders>
              <w:bottom w:val="nil"/>
            </w:tcBorders>
            <w:vAlign w:val="center"/>
          </w:tcPr>
          <w:p w14:paraId="189BFDDF" w14:textId="0830FCE3" w:rsidR="00DD480B" w:rsidRPr="00E81073" w:rsidRDefault="00DD480B" w:rsidP="002A5CC4">
            <w:pPr>
              <w:pStyle w:val="TableText0"/>
              <w:keepLines/>
              <w:rPr>
                <w:szCs w:val="20"/>
              </w:rPr>
            </w:pPr>
            <w:r w:rsidRPr="00E81073">
              <w:rPr>
                <w:szCs w:val="20"/>
              </w:rPr>
              <w:t>Clinical Study Report 2019</w:t>
            </w:r>
          </w:p>
        </w:tc>
      </w:tr>
      <w:tr w:rsidR="00DD480B" w:rsidRPr="00E81073" w14:paraId="2825C1A3" w14:textId="77777777" w:rsidTr="008A3AEA">
        <w:tc>
          <w:tcPr>
            <w:tcW w:w="796" w:type="pct"/>
            <w:vMerge/>
            <w:tcBorders>
              <w:bottom w:val="single" w:sz="4" w:space="0" w:color="auto"/>
            </w:tcBorders>
            <w:vAlign w:val="center"/>
          </w:tcPr>
          <w:p w14:paraId="3732B5AB" w14:textId="44415AE4" w:rsidR="00DD480B" w:rsidRPr="00E81073" w:rsidRDefault="00DD480B" w:rsidP="002A5CC4">
            <w:pPr>
              <w:pStyle w:val="TableText0"/>
              <w:keepLines/>
              <w:rPr>
                <w:szCs w:val="20"/>
              </w:rPr>
            </w:pPr>
          </w:p>
        </w:tc>
        <w:tc>
          <w:tcPr>
            <w:tcW w:w="3027" w:type="pct"/>
            <w:tcBorders>
              <w:top w:val="nil"/>
              <w:bottom w:val="single" w:sz="4" w:space="0" w:color="auto"/>
            </w:tcBorders>
            <w:vAlign w:val="center"/>
          </w:tcPr>
          <w:p w14:paraId="2F704214" w14:textId="77777777" w:rsidR="00DD480B" w:rsidRPr="00E81073" w:rsidRDefault="00DD480B" w:rsidP="002A5CC4">
            <w:pPr>
              <w:pStyle w:val="TableText0"/>
              <w:keepLines/>
              <w:rPr>
                <w:szCs w:val="20"/>
              </w:rPr>
            </w:pPr>
            <w:r w:rsidRPr="00E81073">
              <w:rPr>
                <w:szCs w:val="20"/>
              </w:rPr>
              <w:t>Ritchlin CT, Kavanaugh A, Merola JF et al. Bimekizumab in patients with active psoriatic arthritis: results from a 48-week, randomised, double-blind, placebo-controlled, dose-ranging phase 2b trial</w:t>
            </w:r>
          </w:p>
        </w:tc>
        <w:tc>
          <w:tcPr>
            <w:tcW w:w="1177" w:type="pct"/>
            <w:tcBorders>
              <w:top w:val="nil"/>
              <w:bottom w:val="single" w:sz="4" w:space="0" w:color="auto"/>
            </w:tcBorders>
            <w:vAlign w:val="center"/>
          </w:tcPr>
          <w:p w14:paraId="00A3D4C2" w14:textId="77777777" w:rsidR="00DD480B" w:rsidRPr="00E81073" w:rsidRDefault="00DD480B" w:rsidP="002A5CC4">
            <w:pPr>
              <w:pStyle w:val="TableText0"/>
              <w:keepLines/>
              <w:rPr>
                <w:szCs w:val="20"/>
              </w:rPr>
            </w:pPr>
            <w:r w:rsidRPr="00E81073">
              <w:rPr>
                <w:i/>
                <w:szCs w:val="20"/>
              </w:rPr>
              <w:t>Lancet</w:t>
            </w:r>
            <w:r w:rsidRPr="00E81073">
              <w:rPr>
                <w:szCs w:val="20"/>
              </w:rPr>
              <w:t xml:space="preserve"> 2020; 395(10222):427-440.</w:t>
            </w:r>
          </w:p>
        </w:tc>
      </w:tr>
      <w:tr w:rsidR="00DD480B" w:rsidRPr="00E81073" w14:paraId="470BED5B" w14:textId="77777777" w:rsidTr="008A3AEA">
        <w:trPr>
          <w:trHeight w:val="764"/>
        </w:trPr>
        <w:tc>
          <w:tcPr>
            <w:tcW w:w="796" w:type="pct"/>
            <w:vMerge w:val="restart"/>
            <w:vAlign w:val="center"/>
          </w:tcPr>
          <w:p w14:paraId="5AC8882C" w14:textId="77777777" w:rsidR="00DD480B" w:rsidRPr="00E81073" w:rsidRDefault="00DD480B" w:rsidP="002A5CC4">
            <w:pPr>
              <w:pStyle w:val="TableText0"/>
              <w:keepLines/>
              <w:rPr>
                <w:szCs w:val="20"/>
              </w:rPr>
            </w:pPr>
            <w:r w:rsidRPr="00E81073">
              <w:rPr>
                <w:szCs w:val="20"/>
              </w:rPr>
              <w:t>BE OPTIMAL</w:t>
            </w:r>
          </w:p>
          <w:p w14:paraId="5A1CF685" w14:textId="77777777" w:rsidR="00DD480B" w:rsidRPr="00E81073" w:rsidRDefault="00DD480B" w:rsidP="002A5CC4">
            <w:pPr>
              <w:pStyle w:val="TableText0"/>
              <w:keepLines/>
              <w:rPr>
                <w:szCs w:val="20"/>
              </w:rPr>
            </w:pPr>
            <w:r w:rsidRPr="00E81073">
              <w:rPr>
                <w:szCs w:val="20"/>
              </w:rPr>
              <w:t>NCT03895203</w:t>
            </w:r>
          </w:p>
          <w:p w14:paraId="242A33CB" w14:textId="77777777" w:rsidR="00DD480B" w:rsidRPr="00E81073" w:rsidRDefault="00DD480B" w:rsidP="002A5CC4">
            <w:pPr>
              <w:pStyle w:val="TableText0"/>
              <w:keepLines/>
              <w:rPr>
                <w:szCs w:val="20"/>
              </w:rPr>
            </w:pPr>
            <w:r w:rsidRPr="00E81073">
              <w:rPr>
                <w:szCs w:val="20"/>
              </w:rPr>
              <w:t>EUCTR2017-002322-20-CZ</w:t>
            </w:r>
          </w:p>
          <w:p w14:paraId="1F46FB76" w14:textId="0211C6AB" w:rsidR="00DD480B" w:rsidRPr="00E81073" w:rsidRDefault="00DD480B" w:rsidP="002A5CC4">
            <w:pPr>
              <w:pStyle w:val="TableText0"/>
              <w:keepLines/>
              <w:rPr>
                <w:szCs w:val="20"/>
              </w:rPr>
            </w:pPr>
            <w:r w:rsidRPr="00E81073">
              <w:rPr>
                <w:szCs w:val="20"/>
              </w:rPr>
              <w:t>JPRN-JapicCTI-194875</w:t>
            </w:r>
          </w:p>
        </w:tc>
        <w:tc>
          <w:tcPr>
            <w:tcW w:w="3027" w:type="pct"/>
            <w:tcBorders>
              <w:bottom w:val="nil"/>
            </w:tcBorders>
            <w:vAlign w:val="center"/>
          </w:tcPr>
          <w:p w14:paraId="0129AB1F" w14:textId="77777777" w:rsidR="00DD480B" w:rsidRPr="00E81073" w:rsidRDefault="00DD480B" w:rsidP="002A5CC4">
            <w:pPr>
              <w:pStyle w:val="TableText0"/>
              <w:keepLines/>
              <w:rPr>
                <w:szCs w:val="20"/>
              </w:rPr>
            </w:pPr>
            <w:r w:rsidRPr="00E81073">
              <w:rPr>
                <w:szCs w:val="20"/>
              </w:rPr>
              <w:t>A Phase 3, Multicenter, Randomized, Double-Blind, Placebo-Controlled, Active-Reference Study Evaluating the Efficacy and Safety of Bimekizumab in Study Participants with Active Psoriatic Arthritis</w:t>
            </w:r>
          </w:p>
        </w:tc>
        <w:tc>
          <w:tcPr>
            <w:tcW w:w="1177" w:type="pct"/>
            <w:tcBorders>
              <w:bottom w:val="nil"/>
            </w:tcBorders>
            <w:vAlign w:val="center"/>
          </w:tcPr>
          <w:p w14:paraId="36968227" w14:textId="392A61D1" w:rsidR="00DD480B" w:rsidRPr="00E81073" w:rsidRDefault="00DD480B" w:rsidP="002A5CC4">
            <w:pPr>
              <w:pStyle w:val="TableText0"/>
              <w:keepLines/>
              <w:rPr>
                <w:szCs w:val="20"/>
              </w:rPr>
            </w:pPr>
            <w:r w:rsidRPr="00E81073">
              <w:rPr>
                <w:szCs w:val="20"/>
              </w:rPr>
              <w:t>Clinical Study Report 2022</w:t>
            </w:r>
          </w:p>
        </w:tc>
      </w:tr>
      <w:tr w:rsidR="00DD480B" w:rsidRPr="00E81073" w14:paraId="054027D2" w14:textId="77777777" w:rsidTr="008A3AEA">
        <w:tc>
          <w:tcPr>
            <w:tcW w:w="796" w:type="pct"/>
            <w:vMerge/>
            <w:tcBorders>
              <w:bottom w:val="single" w:sz="4" w:space="0" w:color="auto"/>
            </w:tcBorders>
            <w:vAlign w:val="center"/>
          </w:tcPr>
          <w:p w14:paraId="0E2FDE00" w14:textId="606D43A2" w:rsidR="00DD480B" w:rsidRPr="00E81073" w:rsidRDefault="00DD480B" w:rsidP="002A5CC4">
            <w:pPr>
              <w:pStyle w:val="TableText0"/>
              <w:keepLines/>
              <w:rPr>
                <w:szCs w:val="20"/>
              </w:rPr>
            </w:pPr>
          </w:p>
        </w:tc>
        <w:tc>
          <w:tcPr>
            <w:tcW w:w="3027" w:type="pct"/>
            <w:tcBorders>
              <w:top w:val="nil"/>
              <w:bottom w:val="single" w:sz="4" w:space="0" w:color="auto"/>
            </w:tcBorders>
            <w:vAlign w:val="center"/>
          </w:tcPr>
          <w:p w14:paraId="5D6456A1" w14:textId="58BA820F" w:rsidR="00DD480B" w:rsidRPr="00E81073" w:rsidRDefault="00DD480B" w:rsidP="002A5CC4">
            <w:pPr>
              <w:pStyle w:val="TableText0"/>
              <w:keepLines/>
              <w:rPr>
                <w:szCs w:val="20"/>
              </w:rPr>
            </w:pPr>
            <w:r w:rsidRPr="00E81073">
              <w:rPr>
                <w:szCs w:val="20"/>
              </w:rPr>
              <w:t>McInnes IB, Asahina A, Coates LC et al</w:t>
            </w:r>
            <w:r w:rsidR="00E81073">
              <w:rPr>
                <w:szCs w:val="20"/>
              </w:rPr>
              <w:t xml:space="preserve">. </w:t>
            </w:r>
            <w:r w:rsidRPr="00E81073">
              <w:rPr>
                <w:szCs w:val="20"/>
              </w:rPr>
              <w:t>Bimekizumab in patients with psoriatic arthritis, naive to biologic treatment: a randomised, double-blind, placebo-controlled, phase 3 trial (BE OPTIMAL)</w:t>
            </w:r>
          </w:p>
        </w:tc>
        <w:tc>
          <w:tcPr>
            <w:tcW w:w="1177" w:type="pct"/>
            <w:tcBorders>
              <w:top w:val="nil"/>
              <w:bottom w:val="single" w:sz="4" w:space="0" w:color="auto"/>
            </w:tcBorders>
            <w:vAlign w:val="center"/>
          </w:tcPr>
          <w:p w14:paraId="6D5C33E7" w14:textId="77777777" w:rsidR="00DD480B" w:rsidRPr="00E81073" w:rsidRDefault="00DD480B" w:rsidP="002A5CC4">
            <w:pPr>
              <w:pStyle w:val="TableText0"/>
              <w:keepLines/>
              <w:rPr>
                <w:i/>
                <w:szCs w:val="20"/>
              </w:rPr>
            </w:pPr>
            <w:r w:rsidRPr="00E81073">
              <w:rPr>
                <w:i/>
                <w:szCs w:val="20"/>
              </w:rPr>
              <w:t xml:space="preserve">Lancet </w:t>
            </w:r>
            <w:r w:rsidRPr="00E81073">
              <w:rPr>
                <w:szCs w:val="20"/>
              </w:rPr>
              <w:t>2023; 401(10370): 25-37.</w:t>
            </w:r>
          </w:p>
        </w:tc>
      </w:tr>
      <w:tr w:rsidR="00DD480B" w:rsidRPr="00E81073" w14:paraId="010F06FC" w14:textId="77777777" w:rsidTr="008A3AEA">
        <w:tc>
          <w:tcPr>
            <w:tcW w:w="796" w:type="pct"/>
            <w:vMerge w:val="restart"/>
            <w:vAlign w:val="center"/>
          </w:tcPr>
          <w:p w14:paraId="11A73741" w14:textId="77777777" w:rsidR="00DD480B" w:rsidRPr="00E81073" w:rsidRDefault="00DD480B" w:rsidP="00AC4AE3">
            <w:pPr>
              <w:pStyle w:val="TableText0"/>
              <w:keepNext w:val="0"/>
              <w:rPr>
                <w:szCs w:val="20"/>
              </w:rPr>
            </w:pPr>
            <w:r w:rsidRPr="00E81073">
              <w:rPr>
                <w:szCs w:val="20"/>
              </w:rPr>
              <w:t>BE COMPLETE</w:t>
            </w:r>
          </w:p>
          <w:p w14:paraId="56FF7DB2" w14:textId="77777777" w:rsidR="00DD480B" w:rsidRPr="00E81073" w:rsidRDefault="00DD480B" w:rsidP="00AC4AE3">
            <w:pPr>
              <w:pStyle w:val="TableText0"/>
              <w:keepNext w:val="0"/>
              <w:rPr>
                <w:szCs w:val="20"/>
              </w:rPr>
            </w:pPr>
            <w:r w:rsidRPr="00E81073">
              <w:rPr>
                <w:szCs w:val="20"/>
              </w:rPr>
              <w:t>NCT03896581</w:t>
            </w:r>
          </w:p>
          <w:p w14:paraId="228601A3" w14:textId="77777777" w:rsidR="00DD480B" w:rsidRPr="00E81073" w:rsidRDefault="00DD480B" w:rsidP="00AC4AE3">
            <w:pPr>
              <w:pStyle w:val="TableText0"/>
              <w:keepNext w:val="0"/>
              <w:rPr>
                <w:szCs w:val="20"/>
              </w:rPr>
            </w:pPr>
            <w:r w:rsidRPr="00E81073">
              <w:rPr>
                <w:szCs w:val="20"/>
              </w:rPr>
              <w:t>EUCTR2017-002804-29-DE</w:t>
            </w:r>
          </w:p>
          <w:p w14:paraId="4E5583B9" w14:textId="09F99A3E" w:rsidR="00DD480B" w:rsidRPr="00E81073" w:rsidRDefault="00DD480B" w:rsidP="00AC4AE3">
            <w:pPr>
              <w:pStyle w:val="TableText0"/>
              <w:keepNext w:val="0"/>
              <w:rPr>
                <w:szCs w:val="20"/>
              </w:rPr>
            </w:pPr>
            <w:r w:rsidRPr="00E81073">
              <w:rPr>
                <w:szCs w:val="20"/>
              </w:rPr>
              <w:t>JPRN-JapicCTI-194876</w:t>
            </w:r>
          </w:p>
        </w:tc>
        <w:tc>
          <w:tcPr>
            <w:tcW w:w="3027" w:type="pct"/>
            <w:tcBorders>
              <w:bottom w:val="nil"/>
            </w:tcBorders>
            <w:vAlign w:val="center"/>
          </w:tcPr>
          <w:p w14:paraId="41AB4240" w14:textId="77777777" w:rsidR="00DD480B" w:rsidRPr="00E81073" w:rsidRDefault="00DD480B" w:rsidP="00AC4AE3">
            <w:pPr>
              <w:pStyle w:val="TableText0"/>
              <w:keepNext w:val="0"/>
              <w:rPr>
                <w:szCs w:val="20"/>
              </w:rPr>
            </w:pPr>
            <w:r w:rsidRPr="00E81073">
              <w:rPr>
                <w:szCs w:val="20"/>
              </w:rPr>
              <w:t>A Multicenter, Phase 3, Randomized, Double-Blind, Placebo-Controlled Study Evaluating the Efficacy and Safety of Bimekizumab in the Treatment of Subjects with Active Psoriatic Arthritis</w:t>
            </w:r>
          </w:p>
        </w:tc>
        <w:tc>
          <w:tcPr>
            <w:tcW w:w="1177" w:type="pct"/>
            <w:tcBorders>
              <w:bottom w:val="nil"/>
            </w:tcBorders>
            <w:vAlign w:val="center"/>
          </w:tcPr>
          <w:p w14:paraId="62195642" w14:textId="79C06F23" w:rsidR="00DD480B" w:rsidRPr="00E81073" w:rsidRDefault="00DD480B" w:rsidP="00AC4AE3">
            <w:pPr>
              <w:pStyle w:val="TableText0"/>
              <w:keepNext w:val="0"/>
              <w:rPr>
                <w:szCs w:val="20"/>
              </w:rPr>
            </w:pPr>
            <w:r w:rsidRPr="00E81073">
              <w:rPr>
                <w:szCs w:val="20"/>
              </w:rPr>
              <w:t>Clinical Study Report 2022</w:t>
            </w:r>
          </w:p>
        </w:tc>
      </w:tr>
      <w:tr w:rsidR="00DD480B" w:rsidRPr="00E81073" w14:paraId="17A0B18D" w14:textId="77777777" w:rsidTr="008A3AEA">
        <w:tc>
          <w:tcPr>
            <w:tcW w:w="796" w:type="pct"/>
            <w:vMerge/>
            <w:tcBorders>
              <w:bottom w:val="single" w:sz="4" w:space="0" w:color="auto"/>
            </w:tcBorders>
            <w:vAlign w:val="center"/>
          </w:tcPr>
          <w:p w14:paraId="5CD62185" w14:textId="2903CB9E" w:rsidR="00DD480B" w:rsidRPr="00E81073" w:rsidRDefault="00DD480B" w:rsidP="00AC4AE3">
            <w:pPr>
              <w:pStyle w:val="TableText0"/>
              <w:keepNext w:val="0"/>
              <w:rPr>
                <w:szCs w:val="20"/>
              </w:rPr>
            </w:pPr>
          </w:p>
        </w:tc>
        <w:tc>
          <w:tcPr>
            <w:tcW w:w="3027" w:type="pct"/>
            <w:tcBorders>
              <w:top w:val="nil"/>
              <w:bottom w:val="single" w:sz="4" w:space="0" w:color="auto"/>
            </w:tcBorders>
            <w:vAlign w:val="center"/>
          </w:tcPr>
          <w:p w14:paraId="1DD0CBD4" w14:textId="77777777" w:rsidR="00DD480B" w:rsidRPr="00E81073" w:rsidRDefault="00DD480B" w:rsidP="00AC4AE3">
            <w:pPr>
              <w:pStyle w:val="TableText0"/>
              <w:keepNext w:val="0"/>
              <w:rPr>
                <w:szCs w:val="20"/>
              </w:rPr>
            </w:pPr>
            <w:r w:rsidRPr="00E81073">
              <w:rPr>
                <w:szCs w:val="20"/>
              </w:rPr>
              <w:t>Merola JF, Landewé R, McInnes IB et al. Bimekizumab in patients with active psoriatic arthritis and previous inadequate response or intolerance to tumour necrosis factor-α inhibitors: a randomised, double-blind, placebo-controlled, phase 3 trial (BE COMPLETE)</w:t>
            </w:r>
          </w:p>
        </w:tc>
        <w:tc>
          <w:tcPr>
            <w:tcW w:w="1177" w:type="pct"/>
            <w:tcBorders>
              <w:top w:val="nil"/>
              <w:bottom w:val="single" w:sz="4" w:space="0" w:color="auto"/>
            </w:tcBorders>
            <w:vAlign w:val="center"/>
          </w:tcPr>
          <w:p w14:paraId="6E2835B1" w14:textId="77777777" w:rsidR="00DD480B" w:rsidRPr="00E81073" w:rsidRDefault="00DD480B" w:rsidP="00AC4AE3">
            <w:pPr>
              <w:pStyle w:val="TableText0"/>
              <w:keepNext w:val="0"/>
              <w:rPr>
                <w:szCs w:val="20"/>
              </w:rPr>
            </w:pPr>
            <w:r w:rsidRPr="00E81073">
              <w:rPr>
                <w:i/>
                <w:szCs w:val="20"/>
              </w:rPr>
              <w:t xml:space="preserve">Lancet </w:t>
            </w:r>
            <w:r w:rsidRPr="00E81073">
              <w:rPr>
                <w:szCs w:val="20"/>
              </w:rPr>
              <w:t>2023; 401(10370):38-48.</w:t>
            </w:r>
          </w:p>
        </w:tc>
      </w:tr>
      <w:tr w:rsidR="00D87E65" w:rsidRPr="00E81073" w14:paraId="27BEC9D0" w14:textId="77777777" w:rsidTr="00E6665E">
        <w:tc>
          <w:tcPr>
            <w:tcW w:w="5000" w:type="pct"/>
            <w:gridSpan w:val="3"/>
            <w:tcBorders>
              <w:top w:val="single" w:sz="4" w:space="0" w:color="auto"/>
              <w:bottom w:val="single" w:sz="4" w:space="0" w:color="auto"/>
            </w:tcBorders>
            <w:vAlign w:val="center"/>
          </w:tcPr>
          <w:p w14:paraId="5A8E7F84" w14:textId="77777777" w:rsidR="00D87E65" w:rsidRPr="00E81073" w:rsidRDefault="00D87E65" w:rsidP="00AC4AE3">
            <w:pPr>
              <w:pStyle w:val="TableText0"/>
              <w:keepNext w:val="0"/>
              <w:rPr>
                <w:b/>
                <w:szCs w:val="20"/>
              </w:rPr>
            </w:pPr>
            <w:r w:rsidRPr="00E81073">
              <w:rPr>
                <w:b/>
                <w:szCs w:val="20"/>
              </w:rPr>
              <w:t>IXE vs PBO</w:t>
            </w:r>
          </w:p>
        </w:tc>
      </w:tr>
      <w:tr w:rsidR="00D87E65" w:rsidRPr="00E81073" w14:paraId="17390327" w14:textId="77777777" w:rsidTr="00E6665E">
        <w:trPr>
          <w:trHeight w:val="808"/>
        </w:trPr>
        <w:tc>
          <w:tcPr>
            <w:tcW w:w="796" w:type="pct"/>
            <w:tcBorders>
              <w:top w:val="single" w:sz="4" w:space="0" w:color="auto"/>
              <w:bottom w:val="single" w:sz="4" w:space="0" w:color="auto"/>
            </w:tcBorders>
            <w:vAlign w:val="center"/>
          </w:tcPr>
          <w:p w14:paraId="2D86C13C" w14:textId="77777777" w:rsidR="001B0467" w:rsidRPr="00E81073" w:rsidRDefault="001B0467" w:rsidP="00AC4AE3">
            <w:pPr>
              <w:pStyle w:val="TableText0"/>
              <w:keepNext w:val="0"/>
              <w:rPr>
                <w:szCs w:val="20"/>
              </w:rPr>
            </w:pPr>
            <w:r w:rsidRPr="00E81073">
              <w:rPr>
                <w:szCs w:val="20"/>
              </w:rPr>
              <w:t xml:space="preserve">SPIRIT-P1 </w:t>
            </w:r>
          </w:p>
          <w:p w14:paraId="25AFD372" w14:textId="77777777" w:rsidR="001B0467" w:rsidRPr="00E81073" w:rsidRDefault="001B0467" w:rsidP="00AC4AE3">
            <w:pPr>
              <w:pStyle w:val="TableText0"/>
              <w:keepNext w:val="0"/>
              <w:rPr>
                <w:szCs w:val="20"/>
              </w:rPr>
            </w:pPr>
            <w:r w:rsidRPr="00E81073">
              <w:rPr>
                <w:szCs w:val="20"/>
              </w:rPr>
              <w:t>NCT01695239</w:t>
            </w:r>
          </w:p>
          <w:p w14:paraId="654F7C2D" w14:textId="77777777" w:rsidR="001B0467" w:rsidRPr="00E81073" w:rsidRDefault="001B0467" w:rsidP="00AC4AE3">
            <w:pPr>
              <w:pStyle w:val="TableText0"/>
              <w:keepNext w:val="0"/>
              <w:rPr>
                <w:szCs w:val="20"/>
              </w:rPr>
            </w:pPr>
            <w:r w:rsidRPr="00E81073">
              <w:rPr>
                <w:szCs w:val="20"/>
              </w:rPr>
              <w:t>JPRN-jRCT2080222087</w:t>
            </w:r>
          </w:p>
          <w:p w14:paraId="5D5108C0" w14:textId="355BBA4B" w:rsidR="00D87E65" w:rsidRPr="00E81073" w:rsidRDefault="001B0467" w:rsidP="00AC4AE3">
            <w:pPr>
              <w:pStyle w:val="TableText0"/>
              <w:keepNext w:val="0"/>
              <w:rPr>
                <w:szCs w:val="20"/>
              </w:rPr>
            </w:pPr>
            <w:r w:rsidRPr="00E81073">
              <w:rPr>
                <w:szCs w:val="20"/>
              </w:rPr>
              <w:t>EUCTR2011-002326-49-GB</w:t>
            </w:r>
          </w:p>
        </w:tc>
        <w:tc>
          <w:tcPr>
            <w:tcW w:w="3027" w:type="pct"/>
            <w:tcBorders>
              <w:top w:val="single" w:sz="4" w:space="0" w:color="auto"/>
              <w:bottom w:val="single" w:sz="4" w:space="0" w:color="auto"/>
            </w:tcBorders>
            <w:vAlign w:val="center"/>
          </w:tcPr>
          <w:p w14:paraId="08C9A5F0" w14:textId="52B0A8D6" w:rsidR="00D87E65" w:rsidRPr="00E81073" w:rsidRDefault="001B0467" w:rsidP="00AC4AE3">
            <w:pPr>
              <w:pStyle w:val="TableText0"/>
              <w:keepNext w:val="0"/>
              <w:rPr>
                <w:szCs w:val="20"/>
              </w:rPr>
            </w:pPr>
            <w:r w:rsidRPr="00E81073">
              <w:rPr>
                <w:szCs w:val="20"/>
              </w:rPr>
              <w:t>Mease PJ</w:t>
            </w:r>
            <w:r w:rsidR="003C11B3" w:rsidRPr="00E81073">
              <w:rPr>
                <w:szCs w:val="20"/>
              </w:rPr>
              <w:t>, van der Heijde D, Ritchlin CT et al. Ixekizumab, an interleukin-17A specific monoclonal antibody, for the treatment of biologic-naive patients with active psoriatic arthritis: results from the 24-week randomised, double-blind, placebo-</w:t>
            </w:r>
            <w:proofErr w:type="gramStart"/>
            <w:r w:rsidR="003C11B3" w:rsidRPr="00E81073">
              <w:rPr>
                <w:szCs w:val="20"/>
              </w:rPr>
              <w:t>controlled</w:t>
            </w:r>
            <w:proofErr w:type="gramEnd"/>
            <w:r w:rsidR="003C11B3" w:rsidRPr="00E81073">
              <w:rPr>
                <w:szCs w:val="20"/>
              </w:rPr>
              <w:t xml:space="preserve"> and active (adalimumab)-controlled period of the phase III trial SPIRIT-P1.</w:t>
            </w:r>
          </w:p>
        </w:tc>
        <w:tc>
          <w:tcPr>
            <w:tcW w:w="1177" w:type="pct"/>
            <w:tcBorders>
              <w:top w:val="single" w:sz="4" w:space="0" w:color="auto"/>
              <w:bottom w:val="single" w:sz="4" w:space="0" w:color="auto"/>
            </w:tcBorders>
            <w:vAlign w:val="center"/>
          </w:tcPr>
          <w:p w14:paraId="3AEFA927" w14:textId="39950D82" w:rsidR="00D87E65" w:rsidRPr="00E81073" w:rsidRDefault="003C11B3" w:rsidP="00AC4AE3">
            <w:pPr>
              <w:pStyle w:val="TableText0"/>
              <w:keepNext w:val="0"/>
              <w:rPr>
                <w:szCs w:val="20"/>
              </w:rPr>
            </w:pPr>
            <w:r w:rsidRPr="00E81073">
              <w:rPr>
                <w:i/>
                <w:szCs w:val="20"/>
              </w:rPr>
              <w:t xml:space="preserve">Ann Rheum Dis </w:t>
            </w:r>
            <w:r w:rsidRPr="00E81073">
              <w:rPr>
                <w:szCs w:val="20"/>
              </w:rPr>
              <w:t>2017; 76(1):79-87.</w:t>
            </w:r>
          </w:p>
        </w:tc>
      </w:tr>
      <w:tr w:rsidR="00776BDB" w:rsidRPr="00E81073" w14:paraId="33CA98E2" w14:textId="77777777" w:rsidTr="00DD480B">
        <w:tc>
          <w:tcPr>
            <w:tcW w:w="796" w:type="pct"/>
            <w:tcBorders>
              <w:top w:val="single" w:sz="4" w:space="0" w:color="auto"/>
              <w:bottom w:val="single" w:sz="4" w:space="0" w:color="auto"/>
            </w:tcBorders>
            <w:vAlign w:val="center"/>
          </w:tcPr>
          <w:p w14:paraId="35EB201E" w14:textId="77777777" w:rsidR="00776BDB" w:rsidRPr="00E81073" w:rsidRDefault="00776BDB" w:rsidP="00AC4AE3">
            <w:pPr>
              <w:pStyle w:val="TableText0"/>
              <w:keepNext w:val="0"/>
              <w:rPr>
                <w:szCs w:val="20"/>
              </w:rPr>
            </w:pPr>
            <w:r w:rsidRPr="00E81073">
              <w:rPr>
                <w:szCs w:val="20"/>
              </w:rPr>
              <w:t>SPIRIT-P2</w:t>
            </w:r>
          </w:p>
          <w:p w14:paraId="49D44A89" w14:textId="183BF944" w:rsidR="00776BDB" w:rsidRPr="00E81073" w:rsidRDefault="00776BDB" w:rsidP="00AC4AE3">
            <w:pPr>
              <w:pStyle w:val="TableText0"/>
              <w:keepNext w:val="0"/>
              <w:rPr>
                <w:szCs w:val="20"/>
              </w:rPr>
            </w:pPr>
            <w:r w:rsidRPr="00E81073">
              <w:rPr>
                <w:szCs w:val="20"/>
              </w:rPr>
              <w:t>NCT02349295</w:t>
            </w:r>
          </w:p>
        </w:tc>
        <w:tc>
          <w:tcPr>
            <w:tcW w:w="3027" w:type="pct"/>
            <w:tcBorders>
              <w:top w:val="single" w:sz="4" w:space="0" w:color="auto"/>
              <w:bottom w:val="single" w:sz="4" w:space="0" w:color="auto"/>
            </w:tcBorders>
            <w:vAlign w:val="center"/>
          </w:tcPr>
          <w:p w14:paraId="703C342C" w14:textId="71082D8B" w:rsidR="00776BDB" w:rsidRPr="00E81073" w:rsidRDefault="00776BDB" w:rsidP="00AC4AE3">
            <w:pPr>
              <w:pStyle w:val="TableText0"/>
              <w:keepNext w:val="0"/>
              <w:rPr>
                <w:szCs w:val="20"/>
              </w:rPr>
            </w:pPr>
            <w:r w:rsidRPr="00E81073">
              <w:rPr>
                <w:szCs w:val="20"/>
              </w:rPr>
              <w:t>Nash P, Kirkham B, Okada M et al. Ixekizumab for the treatment of patients with active psoriatic arthritis and an inadequate response to tumour necrosis factor inhibitors: results from the 24-week randomised, double-blind, placebo-controlled period of the SPIRIT-P2 phase 3 trial.</w:t>
            </w:r>
          </w:p>
        </w:tc>
        <w:tc>
          <w:tcPr>
            <w:tcW w:w="1177" w:type="pct"/>
            <w:tcBorders>
              <w:top w:val="single" w:sz="4" w:space="0" w:color="auto"/>
              <w:bottom w:val="single" w:sz="4" w:space="0" w:color="auto"/>
            </w:tcBorders>
            <w:vAlign w:val="center"/>
          </w:tcPr>
          <w:p w14:paraId="50AA63FC" w14:textId="3282AF74" w:rsidR="00776BDB" w:rsidRPr="00E81073" w:rsidRDefault="00776BDB" w:rsidP="00AC4AE3">
            <w:pPr>
              <w:pStyle w:val="TableText0"/>
              <w:keepNext w:val="0"/>
              <w:rPr>
                <w:szCs w:val="20"/>
              </w:rPr>
            </w:pPr>
            <w:r w:rsidRPr="00E81073">
              <w:rPr>
                <w:i/>
                <w:szCs w:val="20"/>
              </w:rPr>
              <w:t xml:space="preserve">Lancet </w:t>
            </w:r>
            <w:r w:rsidRPr="00E81073">
              <w:rPr>
                <w:szCs w:val="20"/>
              </w:rPr>
              <w:t>2017; 389(10086): 2317-2327.</w:t>
            </w:r>
          </w:p>
        </w:tc>
      </w:tr>
    </w:tbl>
    <w:p w14:paraId="7379DA95" w14:textId="696BF1C3" w:rsidR="00A30E53" w:rsidRPr="00E81073" w:rsidRDefault="00216226" w:rsidP="00A30E53">
      <w:pPr>
        <w:pStyle w:val="TableFigureFooter"/>
      </w:pPr>
      <w:r w:rsidRPr="00E81073">
        <w:t xml:space="preserve">Source: Table 2-5, pp70-72 of the submission. </w:t>
      </w:r>
    </w:p>
    <w:p w14:paraId="4C8E2477" w14:textId="46713308" w:rsidR="00A4736E" w:rsidRPr="00E81073" w:rsidRDefault="008F120A" w:rsidP="0053782F">
      <w:pPr>
        <w:pStyle w:val="3-BodyText"/>
        <w:jc w:val="left"/>
        <w:rPr>
          <w:rStyle w:val="CommentReference"/>
          <w:rFonts w:eastAsiaTheme="majorEastAsia" w:cstheme="majorBidi"/>
          <w:bCs/>
          <w:szCs w:val="24"/>
        </w:rPr>
      </w:pPr>
      <w:r w:rsidRPr="00E81073">
        <w:t>The key features of the randomised trial</w:t>
      </w:r>
      <w:r w:rsidR="007E7AC8" w:rsidRPr="00E81073">
        <w:t>s</w:t>
      </w:r>
      <w:r w:rsidRPr="00E81073">
        <w:t xml:space="preserve"> are summarised in</w:t>
      </w:r>
      <w:r w:rsidR="00D6076E" w:rsidRPr="00E81073">
        <w:t xml:space="preserve"> </w:t>
      </w:r>
      <w:r w:rsidR="00D6076E" w:rsidRPr="00E81073">
        <w:fldChar w:fldCharType="begin" w:fldLock="1"/>
      </w:r>
      <w:r w:rsidR="00D6076E" w:rsidRPr="00E81073">
        <w:instrText xml:space="preserve"> REF _Ref104804098 \h  \* MERGEFORMAT </w:instrText>
      </w:r>
      <w:r w:rsidR="00D6076E" w:rsidRPr="00E81073">
        <w:fldChar w:fldCharType="separate"/>
      </w:r>
      <w:r w:rsidR="00D02FE8" w:rsidRPr="00E81073">
        <w:t>Table 3</w:t>
      </w:r>
      <w:r w:rsidR="00D6076E" w:rsidRPr="00E81073">
        <w:fldChar w:fldCharType="end"/>
      </w:r>
      <w:r w:rsidRPr="00E81073">
        <w:t>.</w:t>
      </w:r>
      <w:bookmarkStart w:id="26" w:name="_Ref104804098"/>
    </w:p>
    <w:p w14:paraId="355E2F15" w14:textId="348E575E" w:rsidR="007F1017" w:rsidRPr="00E81073" w:rsidRDefault="00696EF9" w:rsidP="00D6076E">
      <w:pPr>
        <w:pStyle w:val="Caption"/>
        <w:rPr>
          <w:rStyle w:val="CommentReference"/>
          <w:rFonts w:eastAsiaTheme="majorEastAsia" w:cstheme="majorBidi"/>
          <w:b/>
          <w:szCs w:val="24"/>
        </w:rPr>
      </w:pPr>
      <w:r w:rsidRPr="00E81073">
        <w:rPr>
          <w:rStyle w:val="CommentReference"/>
          <w:rFonts w:eastAsiaTheme="majorEastAsia" w:cstheme="majorBidi"/>
          <w:b/>
          <w:szCs w:val="24"/>
        </w:rPr>
        <w:t xml:space="preserve">Table </w:t>
      </w:r>
      <w:r w:rsidRPr="00E81073">
        <w:rPr>
          <w:rStyle w:val="CommentReference"/>
          <w:rFonts w:eastAsiaTheme="majorEastAsia" w:cstheme="majorBidi"/>
          <w:b/>
          <w:szCs w:val="24"/>
        </w:rPr>
        <w:fldChar w:fldCharType="begin" w:fldLock="1"/>
      </w:r>
      <w:r w:rsidRPr="00E81073">
        <w:rPr>
          <w:rStyle w:val="CommentReference"/>
          <w:rFonts w:eastAsiaTheme="majorEastAsia" w:cstheme="majorBidi"/>
          <w:b/>
          <w:szCs w:val="24"/>
        </w:rPr>
        <w:instrText xml:space="preserve"> SEQ Table \* ARABIC </w:instrText>
      </w:r>
      <w:r w:rsidRPr="00E81073">
        <w:rPr>
          <w:rStyle w:val="CommentReference"/>
          <w:rFonts w:eastAsiaTheme="majorEastAsia" w:cstheme="majorBidi"/>
          <w:b/>
          <w:szCs w:val="24"/>
        </w:rPr>
        <w:fldChar w:fldCharType="separate"/>
      </w:r>
      <w:r w:rsidR="00670F2D" w:rsidRPr="005E2177">
        <w:rPr>
          <w:rStyle w:val="CommentReference"/>
          <w:rFonts w:eastAsiaTheme="majorEastAsia" w:cstheme="majorBidi"/>
          <w:b/>
          <w:szCs w:val="24"/>
        </w:rPr>
        <w:t>3</w:t>
      </w:r>
      <w:r w:rsidRPr="00E81073">
        <w:rPr>
          <w:rStyle w:val="CommentReference"/>
          <w:rFonts w:eastAsiaTheme="majorEastAsia" w:cstheme="majorBidi"/>
          <w:b/>
          <w:szCs w:val="24"/>
        </w:rPr>
        <w:fldChar w:fldCharType="end"/>
      </w:r>
      <w:bookmarkEnd w:id="26"/>
      <w:r w:rsidR="00D6076E" w:rsidRPr="00E81073">
        <w:rPr>
          <w:rStyle w:val="CommentReference"/>
          <w:rFonts w:eastAsiaTheme="majorEastAsia" w:cstheme="majorBidi"/>
          <w:b/>
          <w:szCs w:val="24"/>
        </w:rPr>
        <w:t xml:space="preserve">: </w:t>
      </w:r>
      <w:r w:rsidR="007F1017" w:rsidRPr="00E81073">
        <w:rPr>
          <w:rStyle w:val="CommentReference"/>
          <w:rFonts w:eastAsiaTheme="majorEastAsia" w:cstheme="majorBidi"/>
          <w:b/>
          <w:szCs w:val="24"/>
        </w:rPr>
        <w:t>Key features of the included evidence</w:t>
      </w:r>
    </w:p>
    <w:tbl>
      <w:tblPr>
        <w:tblW w:w="48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3: Key features of the included evidence"/>
      </w:tblPr>
      <w:tblGrid>
        <w:gridCol w:w="989"/>
        <w:gridCol w:w="568"/>
        <w:gridCol w:w="3825"/>
        <w:gridCol w:w="731"/>
        <w:gridCol w:w="1133"/>
        <w:gridCol w:w="1511"/>
        <w:gridCol w:w="9"/>
      </w:tblGrid>
      <w:tr w:rsidR="00E6665E" w:rsidRPr="00E81073" w14:paraId="0A6D562F" w14:textId="77777777" w:rsidTr="00FF4C25">
        <w:trPr>
          <w:gridAfter w:val="1"/>
          <w:wAfter w:w="5" w:type="pct"/>
          <w:cantSplit/>
          <w:tblHeader/>
        </w:trPr>
        <w:tc>
          <w:tcPr>
            <w:tcW w:w="564" w:type="pct"/>
            <w:shd w:val="clear" w:color="auto" w:fill="auto"/>
            <w:vAlign w:val="center"/>
          </w:tcPr>
          <w:p w14:paraId="0D7B3500" w14:textId="77777777" w:rsidR="00A17B2F" w:rsidRPr="005E2177" w:rsidRDefault="00A17B2F" w:rsidP="003C11B3">
            <w:pPr>
              <w:pStyle w:val="In-tableHeading"/>
              <w:rPr>
                <w:lang w:val="en-AU"/>
              </w:rPr>
            </w:pPr>
            <w:r w:rsidRPr="005E2177">
              <w:rPr>
                <w:lang w:val="en-AU"/>
              </w:rPr>
              <w:t>Trial</w:t>
            </w:r>
          </w:p>
        </w:tc>
        <w:tc>
          <w:tcPr>
            <w:tcW w:w="324" w:type="pct"/>
            <w:shd w:val="clear" w:color="auto" w:fill="auto"/>
            <w:vAlign w:val="center"/>
          </w:tcPr>
          <w:p w14:paraId="4AAD0ABB" w14:textId="77777777" w:rsidR="00A17B2F" w:rsidRPr="005E2177" w:rsidRDefault="00A17B2F" w:rsidP="003C11B3">
            <w:pPr>
              <w:pStyle w:val="In-tableHeading"/>
              <w:jc w:val="center"/>
              <w:rPr>
                <w:lang w:val="en-AU"/>
              </w:rPr>
            </w:pPr>
            <w:r w:rsidRPr="005E2177">
              <w:rPr>
                <w:lang w:val="en-AU"/>
              </w:rPr>
              <w:t>N</w:t>
            </w:r>
          </w:p>
        </w:tc>
        <w:tc>
          <w:tcPr>
            <w:tcW w:w="2182" w:type="pct"/>
            <w:shd w:val="clear" w:color="auto" w:fill="auto"/>
            <w:vAlign w:val="center"/>
          </w:tcPr>
          <w:p w14:paraId="6B817794" w14:textId="77777777" w:rsidR="00A17B2F" w:rsidRPr="005E2177" w:rsidRDefault="00A17B2F" w:rsidP="003C11B3">
            <w:pPr>
              <w:pStyle w:val="In-tableHeading"/>
              <w:jc w:val="center"/>
              <w:rPr>
                <w:lang w:val="en-AU"/>
              </w:rPr>
            </w:pPr>
            <w:r w:rsidRPr="005E2177">
              <w:rPr>
                <w:lang w:val="en-AU"/>
              </w:rPr>
              <w:t>Design/ duration</w:t>
            </w:r>
          </w:p>
        </w:tc>
        <w:tc>
          <w:tcPr>
            <w:tcW w:w="417" w:type="pct"/>
            <w:shd w:val="clear" w:color="auto" w:fill="auto"/>
            <w:vAlign w:val="center"/>
          </w:tcPr>
          <w:p w14:paraId="60D56C30" w14:textId="77777777" w:rsidR="00A17B2F" w:rsidRPr="005E2177" w:rsidRDefault="00A17B2F" w:rsidP="003C11B3">
            <w:pPr>
              <w:pStyle w:val="In-tableHeading"/>
              <w:jc w:val="center"/>
              <w:rPr>
                <w:lang w:val="en-AU"/>
              </w:rPr>
            </w:pPr>
            <w:r w:rsidRPr="005E2177">
              <w:rPr>
                <w:lang w:val="en-AU"/>
              </w:rPr>
              <w:t>Risk of bias</w:t>
            </w:r>
          </w:p>
        </w:tc>
        <w:tc>
          <w:tcPr>
            <w:tcW w:w="646" w:type="pct"/>
            <w:shd w:val="clear" w:color="auto" w:fill="auto"/>
            <w:vAlign w:val="center"/>
          </w:tcPr>
          <w:p w14:paraId="76A45E5A" w14:textId="77777777" w:rsidR="00A17B2F" w:rsidRPr="005E2177" w:rsidRDefault="00A17B2F" w:rsidP="003C11B3">
            <w:pPr>
              <w:pStyle w:val="In-tableHeading"/>
              <w:jc w:val="center"/>
              <w:rPr>
                <w:lang w:val="en-AU"/>
              </w:rPr>
            </w:pPr>
            <w:r w:rsidRPr="005E2177">
              <w:rPr>
                <w:lang w:val="en-AU"/>
              </w:rPr>
              <w:t>Patient population</w:t>
            </w:r>
          </w:p>
        </w:tc>
        <w:tc>
          <w:tcPr>
            <w:tcW w:w="862" w:type="pct"/>
            <w:shd w:val="clear" w:color="auto" w:fill="auto"/>
            <w:vAlign w:val="center"/>
          </w:tcPr>
          <w:p w14:paraId="1AC498A3" w14:textId="77777777" w:rsidR="00A17B2F" w:rsidRPr="005E2177" w:rsidRDefault="00A17B2F" w:rsidP="003C11B3">
            <w:pPr>
              <w:pStyle w:val="In-tableHeading"/>
              <w:jc w:val="center"/>
              <w:rPr>
                <w:lang w:val="en-AU"/>
              </w:rPr>
            </w:pPr>
            <w:r w:rsidRPr="005E2177">
              <w:rPr>
                <w:lang w:val="en-AU"/>
              </w:rPr>
              <w:t>Outcome(s)</w:t>
            </w:r>
          </w:p>
        </w:tc>
      </w:tr>
      <w:tr w:rsidR="00A17B2F" w:rsidRPr="00E81073" w14:paraId="72AD4C51" w14:textId="7419499F" w:rsidTr="00E6665E">
        <w:trPr>
          <w:cantSplit/>
        </w:trPr>
        <w:tc>
          <w:tcPr>
            <w:tcW w:w="5000" w:type="pct"/>
            <w:gridSpan w:val="7"/>
            <w:shd w:val="clear" w:color="auto" w:fill="auto"/>
            <w:vAlign w:val="center"/>
          </w:tcPr>
          <w:p w14:paraId="1F900219" w14:textId="68B74844" w:rsidR="00A17B2F" w:rsidRPr="005E2177" w:rsidRDefault="00A17B2F" w:rsidP="003C11B3">
            <w:pPr>
              <w:pStyle w:val="In-tableHeading"/>
              <w:rPr>
                <w:lang w:val="en-AU"/>
              </w:rPr>
            </w:pPr>
            <w:r w:rsidRPr="005E2177">
              <w:rPr>
                <w:lang w:val="en-AU"/>
              </w:rPr>
              <w:t>BKZ vs PBO</w:t>
            </w:r>
          </w:p>
        </w:tc>
      </w:tr>
      <w:tr w:rsidR="00E6665E" w:rsidRPr="00E81073" w14:paraId="4BF9C41B" w14:textId="77777777" w:rsidTr="00FF4C25">
        <w:trPr>
          <w:gridAfter w:val="1"/>
          <w:wAfter w:w="5" w:type="pct"/>
          <w:cantSplit/>
        </w:trPr>
        <w:tc>
          <w:tcPr>
            <w:tcW w:w="564" w:type="pct"/>
            <w:shd w:val="clear" w:color="auto" w:fill="auto"/>
            <w:vAlign w:val="center"/>
          </w:tcPr>
          <w:p w14:paraId="7D55A8CF" w14:textId="2A66962E" w:rsidR="00A17B2F" w:rsidRPr="005E2177" w:rsidRDefault="00A17B2F" w:rsidP="003C11B3">
            <w:pPr>
              <w:pStyle w:val="TableText0"/>
            </w:pPr>
            <w:r w:rsidRPr="005E2177">
              <w:t>BE ACTIVE</w:t>
            </w:r>
          </w:p>
        </w:tc>
        <w:tc>
          <w:tcPr>
            <w:tcW w:w="324" w:type="pct"/>
            <w:shd w:val="clear" w:color="auto" w:fill="auto"/>
            <w:vAlign w:val="center"/>
          </w:tcPr>
          <w:p w14:paraId="130063A8" w14:textId="77777777" w:rsidR="00A17B2F" w:rsidRPr="005E2177" w:rsidRDefault="00A17B2F" w:rsidP="003C11B3">
            <w:pPr>
              <w:pStyle w:val="TableText0"/>
              <w:jc w:val="center"/>
            </w:pPr>
            <w:r w:rsidRPr="005E2177">
              <w:t>206</w:t>
            </w:r>
          </w:p>
          <w:p w14:paraId="5A3A0CA7" w14:textId="66EB490F" w:rsidR="00033925" w:rsidRPr="005E2177" w:rsidRDefault="00033925" w:rsidP="003C11B3">
            <w:pPr>
              <w:pStyle w:val="TableText0"/>
              <w:jc w:val="center"/>
            </w:pPr>
            <w:r w:rsidRPr="005E2177">
              <w:t>(83</w:t>
            </w:r>
            <w:r w:rsidR="00853C81" w:rsidRPr="005E2177">
              <w:rPr>
                <w:vertAlign w:val="superscript"/>
              </w:rPr>
              <w:t>a</w:t>
            </w:r>
            <w:r w:rsidRPr="005E2177">
              <w:t>)</w:t>
            </w:r>
          </w:p>
        </w:tc>
        <w:tc>
          <w:tcPr>
            <w:tcW w:w="2182" w:type="pct"/>
            <w:shd w:val="clear" w:color="auto" w:fill="auto"/>
            <w:vAlign w:val="center"/>
          </w:tcPr>
          <w:p w14:paraId="3D69DAB6" w14:textId="211F4BDD" w:rsidR="00A17B2F" w:rsidRPr="005E2177" w:rsidRDefault="00A17B2F" w:rsidP="003C11B3">
            <w:pPr>
              <w:pStyle w:val="TableText0"/>
              <w:jc w:val="center"/>
            </w:pPr>
            <w:r w:rsidRPr="005E2177">
              <w:t xml:space="preserve">Phase IIb, </w:t>
            </w:r>
            <w:r w:rsidR="00EE0F05" w:rsidRPr="005E2177">
              <w:t xml:space="preserve">5-arm, PC, </w:t>
            </w:r>
            <w:r w:rsidRPr="005E2177">
              <w:t>MC, R, DB (12 wks)</w:t>
            </w:r>
            <w:r w:rsidR="00CC2F2F" w:rsidRPr="005E2177">
              <w:t xml:space="preserve">; </w:t>
            </w:r>
            <w:r w:rsidR="00131A09" w:rsidRPr="005E2177">
              <w:t>BKZ 16mg and PBO crossover</w:t>
            </w:r>
            <w:r w:rsidR="00CC2F2F" w:rsidRPr="005E2177">
              <w:t xml:space="preserve"> at wk12</w:t>
            </w:r>
            <w:r w:rsidR="00D45022" w:rsidRPr="005E2177">
              <w:t>;</w:t>
            </w:r>
            <w:r w:rsidR="00CC2F2F" w:rsidRPr="005E2177">
              <w:t xml:space="preserve"> </w:t>
            </w:r>
            <w:r w:rsidR="006615C7" w:rsidRPr="005E2177">
              <w:t>dose-blind from 13-48wks</w:t>
            </w:r>
            <w:r w:rsidR="00D45022" w:rsidRPr="005E2177">
              <w:t>; rescue treatment from wk16.</w:t>
            </w:r>
          </w:p>
        </w:tc>
        <w:tc>
          <w:tcPr>
            <w:tcW w:w="417" w:type="pct"/>
            <w:shd w:val="clear" w:color="auto" w:fill="auto"/>
            <w:vAlign w:val="center"/>
          </w:tcPr>
          <w:p w14:paraId="20F83E7A" w14:textId="7497AB20" w:rsidR="00A17B2F" w:rsidRPr="005E2177" w:rsidRDefault="00AA08BB" w:rsidP="003C11B3">
            <w:pPr>
              <w:pStyle w:val="TableText0"/>
              <w:jc w:val="center"/>
              <w:rPr>
                <w:i/>
              </w:rPr>
            </w:pPr>
            <w:r w:rsidRPr="005E2177">
              <w:rPr>
                <w:i/>
              </w:rPr>
              <w:t>Low</w:t>
            </w:r>
            <w:r w:rsidR="006518AE" w:rsidRPr="005E2177">
              <w:rPr>
                <w:vertAlign w:val="superscript"/>
              </w:rPr>
              <w:t>b</w:t>
            </w:r>
          </w:p>
        </w:tc>
        <w:tc>
          <w:tcPr>
            <w:tcW w:w="646" w:type="pct"/>
            <w:shd w:val="clear" w:color="auto" w:fill="auto"/>
            <w:vAlign w:val="center"/>
          </w:tcPr>
          <w:p w14:paraId="6E81A529" w14:textId="4EA7B188" w:rsidR="00A17B2F" w:rsidRPr="005E2177" w:rsidRDefault="00A17B2F" w:rsidP="003C11B3">
            <w:pPr>
              <w:pStyle w:val="TableText0"/>
              <w:jc w:val="center"/>
            </w:pPr>
            <w:r w:rsidRPr="005E2177">
              <w:t>Active PsA</w:t>
            </w:r>
            <w:r w:rsidR="00BF0874" w:rsidRPr="005E2177">
              <w:t xml:space="preserve">, </w:t>
            </w:r>
            <w:r w:rsidR="00BF0874" w:rsidRPr="00E81073">
              <w:t>TNF-α naïve &amp; experienced</w:t>
            </w:r>
          </w:p>
        </w:tc>
        <w:tc>
          <w:tcPr>
            <w:tcW w:w="862" w:type="pct"/>
            <w:shd w:val="clear" w:color="auto" w:fill="auto"/>
            <w:vAlign w:val="center"/>
          </w:tcPr>
          <w:p w14:paraId="692B4C1E" w14:textId="6C2C111A" w:rsidR="0047508B" w:rsidRPr="00E81073" w:rsidRDefault="00A17B2F" w:rsidP="003C11B3">
            <w:pPr>
              <w:pStyle w:val="TableText0"/>
              <w:jc w:val="center"/>
            </w:pPr>
            <w:r w:rsidRPr="00E81073">
              <w:t>1°: ACR50</w:t>
            </w:r>
            <w:r w:rsidR="00E121C1" w:rsidRPr="00E81073">
              <w:t xml:space="preserve"> (wk12)</w:t>
            </w:r>
            <w:r w:rsidRPr="00E81073">
              <w:t xml:space="preserve">; </w:t>
            </w:r>
          </w:p>
          <w:p w14:paraId="7EAA03BC" w14:textId="0A689510" w:rsidR="00A17B2F" w:rsidRPr="005E2177" w:rsidRDefault="00A17B2F" w:rsidP="003C11B3">
            <w:pPr>
              <w:pStyle w:val="TableText0"/>
              <w:jc w:val="center"/>
            </w:pPr>
            <w:r w:rsidRPr="00E81073">
              <w:t>2°: ACR20/70, PASI75/90</w:t>
            </w:r>
          </w:p>
        </w:tc>
      </w:tr>
      <w:tr w:rsidR="00E6665E" w:rsidRPr="00E81073" w14:paraId="38835C21" w14:textId="77777777" w:rsidTr="00FF4C25">
        <w:trPr>
          <w:gridAfter w:val="1"/>
          <w:wAfter w:w="5" w:type="pct"/>
          <w:cantSplit/>
        </w:trPr>
        <w:tc>
          <w:tcPr>
            <w:tcW w:w="564" w:type="pct"/>
            <w:shd w:val="clear" w:color="auto" w:fill="auto"/>
            <w:vAlign w:val="center"/>
          </w:tcPr>
          <w:p w14:paraId="47E52410" w14:textId="1B606DFF" w:rsidR="00A17B2F" w:rsidRPr="005E2177" w:rsidRDefault="00A17B2F" w:rsidP="003C11B3">
            <w:pPr>
              <w:pStyle w:val="TableText0"/>
            </w:pPr>
            <w:r w:rsidRPr="005E2177">
              <w:t>BE OPTIMAL</w:t>
            </w:r>
          </w:p>
        </w:tc>
        <w:tc>
          <w:tcPr>
            <w:tcW w:w="324" w:type="pct"/>
            <w:shd w:val="clear" w:color="auto" w:fill="auto"/>
            <w:vAlign w:val="center"/>
          </w:tcPr>
          <w:p w14:paraId="3CA55500" w14:textId="41D578D8" w:rsidR="00A17B2F" w:rsidRPr="005E2177" w:rsidRDefault="000C05C8" w:rsidP="003C11B3">
            <w:pPr>
              <w:pStyle w:val="TableText0"/>
              <w:jc w:val="center"/>
            </w:pPr>
            <w:r w:rsidRPr="005E2177">
              <w:t>852</w:t>
            </w:r>
          </w:p>
        </w:tc>
        <w:tc>
          <w:tcPr>
            <w:tcW w:w="2182" w:type="pct"/>
            <w:shd w:val="clear" w:color="auto" w:fill="auto"/>
            <w:vAlign w:val="center"/>
          </w:tcPr>
          <w:p w14:paraId="6FF1F806" w14:textId="48AE1209" w:rsidR="00A17B2F" w:rsidRPr="005E2177" w:rsidRDefault="00A17B2F" w:rsidP="003C11B3">
            <w:pPr>
              <w:pStyle w:val="TableText0"/>
              <w:jc w:val="center"/>
            </w:pPr>
            <w:r w:rsidRPr="005E2177">
              <w:t xml:space="preserve">Phase III, </w:t>
            </w:r>
            <w:r w:rsidR="00EE0F05" w:rsidRPr="005E2177">
              <w:t>3-arm, PC, AC</w:t>
            </w:r>
            <w:r w:rsidR="00762556" w:rsidRPr="005E2177">
              <w:t xml:space="preserve"> (ADA)</w:t>
            </w:r>
            <w:r w:rsidR="00EE0F05" w:rsidRPr="005E2177">
              <w:t xml:space="preserve">, </w:t>
            </w:r>
            <w:r w:rsidRPr="005E2177">
              <w:t>MC, R, DB</w:t>
            </w:r>
            <w:r w:rsidR="006615C7" w:rsidRPr="005E2177">
              <w:t xml:space="preserve"> (16 wks)</w:t>
            </w:r>
            <w:r w:rsidR="00CC2F2F" w:rsidRPr="005E2177">
              <w:t>; PBO crossover at wk16</w:t>
            </w:r>
            <w:r w:rsidR="00D45022" w:rsidRPr="005E2177">
              <w:t>;</w:t>
            </w:r>
            <w:r w:rsidR="00CC2F2F" w:rsidRPr="005E2177">
              <w:t xml:space="preserve"> </w:t>
            </w:r>
            <w:r w:rsidR="006615C7" w:rsidRPr="005E2177">
              <w:t>active treatment-blind from 17-53wks</w:t>
            </w:r>
            <w:r w:rsidR="00D45022" w:rsidRPr="005E2177">
              <w:t>; rescue treatment from wk16.</w:t>
            </w:r>
          </w:p>
        </w:tc>
        <w:tc>
          <w:tcPr>
            <w:tcW w:w="417" w:type="pct"/>
            <w:shd w:val="clear" w:color="auto" w:fill="auto"/>
            <w:vAlign w:val="center"/>
          </w:tcPr>
          <w:p w14:paraId="30C4F983" w14:textId="63B275DA" w:rsidR="00A17B2F" w:rsidRPr="005E2177" w:rsidRDefault="00BF0874" w:rsidP="003C11B3">
            <w:pPr>
              <w:pStyle w:val="TableText0"/>
              <w:jc w:val="center"/>
              <w:rPr>
                <w:i/>
              </w:rPr>
            </w:pPr>
            <w:r w:rsidRPr="005E2177">
              <w:rPr>
                <w:i/>
              </w:rPr>
              <w:t>Low</w:t>
            </w:r>
          </w:p>
        </w:tc>
        <w:tc>
          <w:tcPr>
            <w:tcW w:w="646" w:type="pct"/>
            <w:shd w:val="clear" w:color="auto" w:fill="auto"/>
            <w:vAlign w:val="center"/>
          </w:tcPr>
          <w:p w14:paraId="0FA4EFD5" w14:textId="16A6CFA4" w:rsidR="00A17B2F" w:rsidRPr="005E2177" w:rsidRDefault="0077521F" w:rsidP="003C11B3">
            <w:pPr>
              <w:pStyle w:val="TableText0"/>
              <w:jc w:val="center"/>
            </w:pPr>
            <w:r w:rsidRPr="005E2177">
              <w:t>Active PsA</w:t>
            </w:r>
            <w:r w:rsidR="00BF0874" w:rsidRPr="005E2177">
              <w:t>,</w:t>
            </w:r>
            <w:r w:rsidR="00BF0874" w:rsidRPr="00E81073">
              <w:t xml:space="preserve"> TNF-α naive</w:t>
            </w:r>
          </w:p>
        </w:tc>
        <w:tc>
          <w:tcPr>
            <w:tcW w:w="862" w:type="pct"/>
            <w:shd w:val="clear" w:color="auto" w:fill="auto"/>
            <w:vAlign w:val="center"/>
          </w:tcPr>
          <w:p w14:paraId="0AC4E201" w14:textId="77777777" w:rsidR="00A17B2F" w:rsidRPr="00E81073" w:rsidRDefault="00456597" w:rsidP="003C11B3">
            <w:pPr>
              <w:pStyle w:val="TableText0"/>
              <w:jc w:val="center"/>
            </w:pPr>
            <w:r w:rsidRPr="00E81073">
              <w:t>1°: ACR50</w:t>
            </w:r>
            <w:r w:rsidR="00E121C1" w:rsidRPr="00E81073">
              <w:t xml:space="preserve"> (wk16);</w:t>
            </w:r>
          </w:p>
          <w:p w14:paraId="45917EAB" w14:textId="7D4036BB" w:rsidR="00E121C1" w:rsidRPr="005E2177" w:rsidRDefault="00E121C1" w:rsidP="003C11B3">
            <w:pPr>
              <w:pStyle w:val="TableText0"/>
              <w:jc w:val="center"/>
            </w:pPr>
            <w:r w:rsidRPr="00E81073">
              <w:t xml:space="preserve">2°: </w:t>
            </w:r>
            <w:r w:rsidR="009B551C" w:rsidRPr="00E81073">
              <w:t>ACR20/70, PASI90</w:t>
            </w:r>
          </w:p>
        </w:tc>
      </w:tr>
      <w:tr w:rsidR="00E6665E" w:rsidRPr="00E81073" w14:paraId="361BEA42" w14:textId="77777777" w:rsidTr="00FF4C25">
        <w:trPr>
          <w:gridAfter w:val="1"/>
          <w:wAfter w:w="5" w:type="pct"/>
          <w:cantSplit/>
        </w:trPr>
        <w:tc>
          <w:tcPr>
            <w:tcW w:w="564" w:type="pct"/>
            <w:shd w:val="clear" w:color="auto" w:fill="auto"/>
            <w:vAlign w:val="center"/>
          </w:tcPr>
          <w:p w14:paraId="22721F8D" w14:textId="4C85C1F7" w:rsidR="00A17B2F" w:rsidRPr="005E2177" w:rsidRDefault="00A17B2F" w:rsidP="003C11B3">
            <w:pPr>
              <w:pStyle w:val="TableText0"/>
            </w:pPr>
            <w:r w:rsidRPr="005E2177">
              <w:t>BE COMPLETE</w:t>
            </w:r>
          </w:p>
        </w:tc>
        <w:tc>
          <w:tcPr>
            <w:tcW w:w="324" w:type="pct"/>
            <w:shd w:val="clear" w:color="auto" w:fill="auto"/>
            <w:vAlign w:val="center"/>
          </w:tcPr>
          <w:p w14:paraId="0F313B98" w14:textId="15CE7A47" w:rsidR="00A17B2F" w:rsidRPr="005E2177" w:rsidRDefault="000C05C8" w:rsidP="003C11B3">
            <w:pPr>
              <w:pStyle w:val="TableText0"/>
              <w:jc w:val="center"/>
            </w:pPr>
            <w:r w:rsidRPr="005E2177">
              <w:t>400</w:t>
            </w:r>
          </w:p>
        </w:tc>
        <w:tc>
          <w:tcPr>
            <w:tcW w:w="2182" w:type="pct"/>
            <w:shd w:val="clear" w:color="auto" w:fill="auto"/>
            <w:vAlign w:val="center"/>
          </w:tcPr>
          <w:p w14:paraId="052C710C" w14:textId="1592FB54" w:rsidR="00A17B2F" w:rsidRPr="005E2177" w:rsidRDefault="0071008A" w:rsidP="003C11B3">
            <w:pPr>
              <w:pStyle w:val="TableText0"/>
              <w:jc w:val="center"/>
            </w:pPr>
            <w:r w:rsidRPr="005E2177">
              <w:t xml:space="preserve">Phase III, </w:t>
            </w:r>
            <w:r w:rsidR="00EE0F05" w:rsidRPr="005E2177">
              <w:t xml:space="preserve">2-arm, PC, </w:t>
            </w:r>
            <w:r w:rsidRPr="005E2177">
              <w:t>MC, R, DB (16 wks)</w:t>
            </w:r>
            <w:r w:rsidR="00CC2F2F" w:rsidRPr="005E2177">
              <w:t>;</w:t>
            </w:r>
          </w:p>
        </w:tc>
        <w:tc>
          <w:tcPr>
            <w:tcW w:w="417" w:type="pct"/>
            <w:shd w:val="clear" w:color="auto" w:fill="auto"/>
            <w:vAlign w:val="center"/>
          </w:tcPr>
          <w:p w14:paraId="14F99B39" w14:textId="798CF012" w:rsidR="00A17B2F" w:rsidRPr="005E2177" w:rsidRDefault="00AA08BB" w:rsidP="003C11B3">
            <w:pPr>
              <w:pStyle w:val="TableText0"/>
              <w:jc w:val="center"/>
              <w:rPr>
                <w:i/>
              </w:rPr>
            </w:pPr>
            <w:r w:rsidRPr="005E2177">
              <w:rPr>
                <w:i/>
              </w:rPr>
              <w:t>Low</w:t>
            </w:r>
            <w:r w:rsidR="006518AE" w:rsidRPr="005E2177">
              <w:rPr>
                <w:vertAlign w:val="superscript"/>
              </w:rPr>
              <w:t>b</w:t>
            </w:r>
          </w:p>
        </w:tc>
        <w:tc>
          <w:tcPr>
            <w:tcW w:w="646" w:type="pct"/>
            <w:shd w:val="clear" w:color="auto" w:fill="auto"/>
            <w:vAlign w:val="center"/>
          </w:tcPr>
          <w:p w14:paraId="46C4A695" w14:textId="441D58D0" w:rsidR="00A17B2F" w:rsidRPr="005E2177" w:rsidRDefault="004E1EC4" w:rsidP="003C11B3">
            <w:pPr>
              <w:pStyle w:val="TableText0"/>
              <w:jc w:val="center"/>
            </w:pPr>
            <w:r w:rsidRPr="005E2177">
              <w:t>Active PsA</w:t>
            </w:r>
            <w:r w:rsidR="00BF0874" w:rsidRPr="005E2177">
              <w:t>,</w:t>
            </w:r>
            <w:r w:rsidR="00BF0874" w:rsidRPr="00E81073">
              <w:t xml:space="preserve"> TNF-α experienced</w:t>
            </w:r>
          </w:p>
        </w:tc>
        <w:tc>
          <w:tcPr>
            <w:tcW w:w="862" w:type="pct"/>
            <w:shd w:val="clear" w:color="auto" w:fill="auto"/>
            <w:vAlign w:val="center"/>
          </w:tcPr>
          <w:p w14:paraId="217B1886" w14:textId="4B28D7C3" w:rsidR="0047508B" w:rsidRPr="00E81073" w:rsidRDefault="0071008A" w:rsidP="003C11B3">
            <w:pPr>
              <w:pStyle w:val="TableText0"/>
              <w:jc w:val="center"/>
            </w:pPr>
            <w:r w:rsidRPr="00E81073">
              <w:t>1°: ACR50</w:t>
            </w:r>
            <w:r w:rsidR="00D45022" w:rsidRPr="00E81073">
              <w:t xml:space="preserve"> (wk16)</w:t>
            </w:r>
            <w:r w:rsidRPr="00E81073">
              <w:t xml:space="preserve">; </w:t>
            </w:r>
          </w:p>
          <w:p w14:paraId="013789E9" w14:textId="201D5CBA" w:rsidR="00A17B2F" w:rsidRPr="005E2177" w:rsidRDefault="0071008A" w:rsidP="003C11B3">
            <w:pPr>
              <w:pStyle w:val="TableText0"/>
              <w:jc w:val="center"/>
            </w:pPr>
            <w:r w:rsidRPr="00E81073">
              <w:t>2°: ACR20/70, PASI90</w:t>
            </w:r>
          </w:p>
        </w:tc>
      </w:tr>
      <w:tr w:rsidR="00A17B2F" w:rsidRPr="00E81073" w14:paraId="5AD33058" w14:textId="757E9069" w:rsidTr="00E6665E">
        <w:trPr>
          <w:cantSplit/>
        </w:trPr>
        <w:tc>
          <w:tcPr>
            <w:tcW w:w="5000" w:type="pct"/>
            <w:gridSpan w:val="7"/>
            <w:shd w:val="clear" w:color="auto" w:fill="auto"/>
            <w:vAlign w:val="center"/>
          </w:tcPr>
          <w:p w14:paraId="30A8E7D9" w14:textId="279552C2" w:rsidR="00A17B2F" w:rsidRPr="005E2177" w:rsidRDefault="00A17B2F" w:rsidP="00886AC1">
            <w:pPr>
              <w:pStyle w:val="TableText0"/>
              <w:rPr>
                <w:b/>
              </w:rPr>
            </w:pPr>
            <w:r w:rsidRPr="005E2177">
              <w:rPr>
                <w:b/>
              </w:rPr>
              <w:t>IXE vs PBO</w:t>
            </w:r>
            <w:r w:rsidR="000A5975" w:rsidRPr="005E2177">
              <w:rPr>
                <w:b/>
              </w:rPr>
              <w:t xml:space="preserve"> or ADA</w:t>
            </w:r>
          </w:p>
        </w:tc>
      </w:tr>
      <w:tr w:rsidR="00E6665E" w:rsidRPr="00E81073" w14:paraId="0A613EAD" w14:textId="77777777" w:rsidTr="00FF4C25">
        <w:trPr>
          <w:gridAfter w:val="1"/>
          <w:wAfter w:w="5" w:type="pct"/>
          <w:cantSplit/>
        </w:trPr>
        <w:tc>
          <w:tcPr>
            <w:tcW w:w="564" w:type="pct"/>
            <w:shd w:val="clear" w:color="auto" w:fill="auto"/>
            <w:vAlign w:val="center"/>
          </w:tcPr>
          <w:p w14:paraId="0AA7383D" w14:textId="573740F6" w:rsidR="00A17B2F" w:rsidRPr="005E2177" w:rsidRDefault="00A17B2F" w:rsidP="003C11B3">
            <w:pPr>
              <w:pStyle w:val="TableText0"/>
            </w:pPr>
            <w:r w:rsidRPr="005E2177">
              <w:t>SPIRIT-P1</w:t>
            </w:r>
          </w:p>
        </w:tc>
        <w:tc>
          <w:tcPr>
            <w:tcW w:w="324" w:type="pct"/>
            <w:shd w:val="clear" w:color="auto" w:fill="auto"/>
            <w:vAlign w:val="center"/>
          </w:tcPr>
          <w:p w14:paraId="0CD2AB9C" w14:textId="77777777" w:rsidR="00A17B2F" w:rsidRPr="005E2177" w:rsidRDefault="0047508B" w:rsidP="003C11B3">
            <w:pPr>
              <w:pStyle w:val="TableText0"/>
              <w:jc w:val="center"/>
            </w:pPr>
            <w:r w:rsidRPr="005E2177">
              <w:t>417</w:t>
            </w:r>
          </w:p>
          <w:p w14:paraId="4C253EEC" w14:textId="3FF8FA23" w:rsidR="00033925" w:rsidRPr="005E2177" w:rsidRDefault="00033925" w:rsidP="003C11B3">
            <w:pPr>
              <w:pStyle w:val="TableText0"/>
              <w:jc w:val="center"/>
            </w:pPr>
            <w:r w:rsidRPr="005E2177">
              <w:t>(314</w:t>
            </w:r>
            <w:r w:rsidR="006518AE" w:rsidRPr="005E2177">
              <w:rPr>
                <w:vertAlign w:val="superscript"/>
              </w:rPr>
              <w:t>c</w:t>
            </w:r>
            <w:r w:rsidRPr="005E2177">
              <w:t>)</w:t>
            </w:r>
          </w:p>
        </w:tc>
        <w:tc>
          <w:tcPr>
            <w:tcW w:w="2182" w:type="pct"/>
            <w:shd w:val="clear" w:color="auto" w:fill="auto"/>
            <w:vAlign w:val="center"/>
          </w:tcPr>
          <w:p w14:paraId="4BEBB781" w14:textId="24E79316" w:rsidR="00A17B2F" w:rsidRPr="005E2177" w:rsidRDefault="00A13B28" w:rsidP="003C11B3">
            <w:pPr>
              <w:pStyle w:val="TableText0"/>
              <w:jc w:val="center"/>
            </w:pPr>
            <w:r w:rsidRPr="005E2177">
              <w:t xml:space="preserve">Phase III, </w:t>
            </w:r>
            <w:r w:rsidR="00EE0F05" w:rsidRPr="005E2177">
              <w:t xml:space="preserve">4-arm, </w:t>
            </w:r>
            <w:r w:rsidR="00BF0874" w:rsidRPr="005E2177">
              <w:t xml:space="preserve">MC, </w:t>
            </w:r>
            <w:r w:rsidR="00EE0F05" w:rsidRPr="005E2177">
              <w:t>PC, AC</w:t>
            </w:r>
            <w:r w:rsidR="00762556" w:rsidRPr="005E2177">
              <w:t xml:space="preserve"> (ADA)</w:t>
            </w:r>
            <w:r w:rsidR="00EE0F05" w:rsidRPr="005E2177">
              <w:t xml:space="preserve">, </w:t>
            </w:r>
            <w:r w:rsidRPr="005E2177">
              <w:t>R, DB (24 wks)</w:t>
            </w:r>
            <w:r w:rsidR="00AE3A3F" w:rsidRPr="005E2177">
              <w:t>; ADA and PBO crossover or active dose escalation at wk16 if ‘non-responder’</w:t>
            </w:r>
            <w:r w:rsidR="00586C7B" w:rsidRPr="005E2177">
              <w:rPr>
                <w:vertAlign w:val="superscript"/>
              </w:rPr>
              <w:t>d</w:t>
            </w:r>
            <w:r w:rsidR="00AE3A3F" w:rsidRPr="005E2177">
              <w:t>; PBO crossover at wk24 for responders; dose-blind from 24-264wks</w:t>
            </w:r>
            <w:r w:rsidR="00D45022" w:rsidRPr="005E2177">
              <w:t>; rescue treatment from wk16.</w:t>
            </w:r>
          </w:p>
        </w:tc>
        <w:tc>
          <w:tcPr>
            <w:tcW w:w="417" w:type="pct"/>
            <w:shd w:val="clear" w:color="auto" w:fill="auto"/>
            <w:vAlign w:val="center"/>
          </w:tcPr>
          <w:p w14:paraId="2CEBAC8D" w14:textId="7AEF92EF" w:rsidR="00A17B2F" w:rsidRPr="005E2177" w:rsidRDefault="00BF0874" w:rsidP="003C11B3">
            <w:pPr>
              <w:pStyle w:val="TableText0"/>
              <w:jc w:val="center"/>
              <w:rPr>
                <w:i/>
              </w:rPr>
            </w:pPr>
            <w:r w:rsidRPr="005E2177">
              <w:rPr>
                <w:i/>
              </w:rPr>
              <w:t>Low</w:t>
            </w:r>
          </w:p>
        </w:tc>
        <w:tc>
          <w:tcPr>
            <w:tcW w:w="646" w:type="pct"/>
            <w:shd w:val="clear" w:color="auto" w:fill="auto"/>
            <w:vAlign w:val="center"/>
          </w:tcPr>
          <w:p w14:paraId="68476B25" w14:textId="1C57E536" w:rsidR="00BF0874" w:rsidRPr="005E2177" w:rsidRDefault="0047508B" w:rsidP="00BF0874">
            <w:pPr>
              <w:pStyle w:val="TableText0"/>
              <w:jc w:val="center"/>
            </w:pPr>
            <w:r w:rsidRPr="005E2177">
              <w:t>Active PsA</w:t>
            </w:r>
            <w:r w:rsidR="00BF0874" w:rsidRPr="005E2177">
              <w:t xml:space="preserve">, </w:t>
            </w:r>
            <w:r w:rsidR="00BF0874" w:rsidRPr="00E81073">
              <w:t>TNF-α naive</w:t>
            </w:r>
          </w:p>
        </w:tc>
        <w:tc>
          <w:tcPr>
            <w:tcW w:w="862" w:type="pct"/>
            <w:shd w:val="clear" w:color="auto" w:fill="auto"/>
            <w:vAlign w:val="center"/>
          </w:tcPr>
          <w:p w14:paraId="14FBEF70" w14:textId="07B84B06" w:rsidR="0047508B" w:rsidRPr="00E81073" w:rsidRDefault="0047508B" w:rsidP="003C11B3">
            <w:pPr>
              <w:pStyle w:val="TableText0"/>
              <w:jc w:val="center"/>
            </w:pPr>
            <w:r w:rsidRPr="00E81073">
              <w:t>1°: ACR20</w:t>
            </w:r>
            <w:r w:rsidR="00D45022" w:rsidRPr="00E81073">
              <w:t xml:space="preserve"> (wk24)</w:t>
            </w:r>
            <w:r w:rsidRPr="00E81073">
              <w:t xml:space="preserve">; </w:t>
            </w:r>
          </w:p>
          <w:p w14:paraId="16E6670D" w14:textId="2F8ED130" w:rsidR="00A17B2F" w:rsidRPr="005E2177" w:rsidRDefault="0047508B" w:rsidP="003C11B3">
            <w:pPr>
              <w:pStyle w:val="TableText0"/>
              <w:jc w:val="center"/>
            </w:pPr>
            <w:r w:rsidRPr="00E81073">
              <w:t>2°: ACR50/70, PASI75/90/100</w:t>
            </w:r>
          </w:p>
        </w:tc>
      </w:tr>
      <w:tr w:rsidR="00E6665E" w:rsidRPr="00E81073" w14:paraId="63B70E38" w14:textId="77777777" w:rsidTr="00FF4C25">
        <w:trPr>
          <w:gridAfter w:val="1"/>
          <w:wAfter w:w="5" w:type="pct"/>
          <w:cantSplit/>
        </w:trPr>
        <w:tc>
          <w:tcPr>
            <w:tcW w:w="564" w:type="pct"/>
            <w:shd w:val="clear" w:color="auto" w:fill="auto"/>
            <w:vAlign w:val="center"/>
          </w:tcPr>
          <w:p w14:paraId="4FAE2F17" w14:textId="31C93467" w:rsidR="00A17B2F" w:rsidRPr="005E2177" w:rsidRDefault="00A17B2F" w:rsidP="003C11B3">
            <w:pPr>
              <w:pStyle w:val="TableText0"/>
            </w:pPr>
            <w:r w:rsidRPr="005E2177">
              <w:t>SPIRIT-P2</w:t>
            </w:r>
          </w:p>
        </w:tc>
        <w:tc>
          <w:tcPr>
            <w:tcW w:w="324" w:type="pct"/>
            <w:shd w:val="clear" w:color="auto" w:fill="auto"/>
            <w:vAlign w:val="center"/>
          </w:tcPr>
          <w:p w14:paraId="4E2B71C8" w14:textId="77777777" w:rsidR="00A17B2F" w:rsidRPr="005E2177" w:rsidRDefault="00D07B7C" w:rsidP="003C11B3">
            <w:pPr>
              <w:pStyle w:val="TableText0"/>
              <w:jc w:val="center"/>
            </w:pPr>
            <w:r w:rsidRPr="005E2177">
              <w:t>363</w:t>
            </w:r>
          </w:p>
          <w:p w14:paraId="685160B1" w14:textId="2F1CD4BD" w:rsidR="00033925" w:rsidRPr="005E2177" w:rsidRDefault="00033925" w:rsidP="003C11B3">
            <w:pPr>
              <w:pStyle w:val="TableText0"/>
              <w:jc w:val="center"/>
            </w:pPr>
            <w:r w:rsidRPr="005E2177">
              <w:t>(240</w:t>
            </w:r>
            <w:r w:rsidR="006518AE" w:rsidRPr="005E2177">
              <w:rPr>
                <w:vertAlign w:val="superscript"/>
              </w:rPr>
              <w:t>c</w:t>
            </w:r>
            <w:r w:rsidRPr="005E2177">
              <w:t>)</w:t>
            </w:r>
          </w:p>
        </w:tc>
        <w:tc>
          <w:tcPr>
            <w:tcW w:w="2182" w:type="pct"/>
            <w:shd w:val="clear" w:color="auto" w:fill="auto"/>
            <w:vAlign w:val="center"/>
          </w:tcPr>
          <w:p w14:paraId="14F75041" w14:textId="6D6A3344" w:rsidR="00A17B2F" w:rsidRPr="005E2177" w:rsidRDefault="000A5975" w:rsidP="003C11B3">
            <w:pPr>
              <w:pStyle w:val="TableText0"/>
              <w:jc w:val="center"/>
            </w:pPr>
            <w:r w:rsidRPr="005E2177">
              <w:t xml:space="preserve">Phase III, </w:t>
            </w:r>
            <w:r w:rsidR="00EE0F05" w:rsidRPr="005E2177">
              <w:t xml:space="preserve">3-arm, PC, </w:t>
            </w:r>
            <w:r w:rsidRPr="005E2177">
              <w:t>MC, R, DB (24 wks)</w:t>
            </w:r>
            <w:r w:rsidR="00AE3A3F" w:rsidRPr="005E2177">
              <w:t xml:space="preserve">; </w:t>
            </w:r>
            <w:r w:rsidR="00AE3A3F" w:rsidRPr="00E81073">
              <w:t>PBO crossover at wk16 if ‘non-responder’</w:t>
            </w:r>
            <w:r w:rsidR="006518AE" w:rsidRPr="00E81073">
              <w:rPr>
                <w:vertAlign w:val="superscript"/>
              </w:rPr>
              <w:t>d</w:t>
            </w:r>
            <w:r w:rsidR="00AE3A3F" w:rsidRPr="00E81073">
              <w:rPr>
                <w:vertAlign w:val="superscript"/>
              </w:rPr>
              <w:t xml:space="preserve">; </w:t>
            </w:r>
            <w:r w:rsidR="00AE3A3F" w:rsidRPr="00E81073">
              <w:t>PBO crossover at wk24 for responders; dose-blind from 24-156wks</w:t>
            </w:r>
            <w:r w:rsidR="00D45022" w:rsidRPr="00E81073">
              <w:t xml:space="preserve">; </w:t>
            </w:r>
            <w:r w:rsidR="00D45022" w:rsidRPr="005E2177">
              <w:t>rescue treatment from wk16.</w:t>
            </w:r>
          </w:p>
        </w:tc>
        <w:tc>
          <w:tcPr>
            <w:tcW w:w="417" w:type="pct"/>
            <w:shd w:val="clear" w:color="auto" w:fill="auto"/>
            <w:vAlign w:val="center"/>
          </w:tcPr>
          <w:p w14:paraId="6ECE7AF1" w14:textId="220C4F1D" w:rsidR="00A17B2F" w:rsidRPr="005E2177" w:rsidRDefault="00BF0874" w:rsidP="003C11B3">
            <w:pPr>
              <w:pStyle w:val="TableText0"/>
              <w:jc w:val="center"/>
              <w:rPr>
                <w:i/>
              </w:rPr>
            </w:pPr>
            <w:r w:rsidRPr="005E2177">
              <w:rPr>
                <w:i/>
              </w:rPr>
              <w:t>Low</w:t>
            </w:r>
          </w:p>
        </w:tc>
        <w:tc>
          <w:tcPr>
            <w:tcW w:w="646" w:type="pct"/>
            <w:shd w:val="clear" w:color="auto" w:fill="auto"/>
            <w:vAlign w:val="center"/>
          </w:tcPr>
          <w:p w14:paraId="024F6BA3" w14:textId="73010408" w:rsidR="00A17B2F" w:rsidRPr="005E2177" w:rsidRDefault="009E5F78" w:rsidP="003C11B3">
            <w:pPr>
              <w:pStyle w:val="TableText0"/>
              <w:jc w:val="center"/>
            </w:pPr>
            <w:r w:rsidRPr="005E2177">
              <w:t>Active PsA</w:t>
            </w:r>
            <w:r w:rsidR="00BF0874" w:rsidRPr="005E2177">
              <w:t>,</w:t>
            </w:r>
            <w:r w:rsidRPr="00E81073">
              <w:t xml:space="preserve"> TNF-α experienced</w:t>
            </w:r>
          </w:p>
        </w:tc>
        <w:tc>
          <w:tcPr>
            <w:tcW w:w="862" w:type="pct"/>
            <w:shd w:val="clear" w:color="auto" w:fill="auto"/>
            <w:vAlign w:val="center"/>
          </w:tcPr>
          <w:p w14:paraId="2BFF9D7C" w14:textId="284CE52A" w:rsidR="00D07B7C" w:rsidRPr="00E81073" w:rsidRDefault="00D07B7C" w:rsidP="00D07B7C">
            <w:pPr>
              <w:pStyle w:val="TableText0"/>
              <w:jc w:val="center"/>
            </w:pPr>
            <w:r w:rsidRPr="00E81073">
              <w:t>1°: ACR20</w:t>
            </w:r>
            <w:r w:rsidR="00D45022" w:rsidRPr="00E81073">
              <w:t xml:space="preserve"> (wk24)</w:t>
            </w:r>
            <w:r w:rsidRPr="00E81073">
              <w:t xml:space="preserve">; </w:t>
            </w:r>
          </w:p>
          <w:p w14:paraId="3BE0F7E6" w14:textId="08496ADA" w:rsidR="00A17B2F" w:rsidRPr="005E2177" w:rsidRDefault="00D07B7C" w:rsidP="00D07B7C">
            <w:pPr>
              <w:pStyle w:val="TableText0"/>
              <w:jc w:val="center"/>
            </w:pPr>
            <w:r w:rsidRPr="00E81073">
              <w:t>2°: ACR50/70, PASI75/90/100</w:t>
            </w:r>
          </w:p>
        </w:tc>
      </w:tr>
    </w:tbl>
    <w:p w14:paraId="43947BE5" w14:textId="6E01669D" w:rsidR="00456597" w:rsidRPr="00E81073" w:rsidRDefault="00456597" w:rsidP="00BF331C">
      <w:pPr>
        <w:rPr>
          <w:rFonts w:ascii="Arial Narrow" w:hAnsi="Arial Narrow"/>
          <w:sz w:val="18"/>
          <w:szCs w:val="18"/>
        </w:rPr>
      </w:pPr>
      <w:r w:rsidRPr="00E81073">
        <w:rPr>
          <w:rFonts w:ascii="Arial Narrow" w:hAnsi="Arial Narrow"/>
          <w:sz w:val="18"/>
          <w:szCs w:val="18"/>
        </w:rPr>
        <w:t>Source: complied during the evaluation from the trial publications</w:t>
      </w:r>
    </w:p>
    <w:p w14:paraId="1CCA215C" w14:textId="29F5A71E" w:rsidR="00BF331C" w:rsidRPr="00E81073" w:rsidRDefault="00EE0F05" w:rsidP="00BF331C">
      <w:pPr>
        <w:rPr>
          <w:rFonts w:ascii="Arial Narrow" w:hAnsi="Arial Narrow"/>
          <w:sz w:val="18"/>
          <w:szCs w:val="18"/>
          <w:vertAlign w:val="superscript"/>
        </w:rPr>
      </w:pPr>
      <w:r w:rsidRPr="00E81073">
        <w:rPr>
          <w:rFonts w:ascii="Arial Narrow" w:hAnsi="Arial Narrow"/>
          <w:sz w:val="18"/>
          <w:szCs w:val="18"/>
        </w:rPr>
        <w:t xml:space="preserve">AC=active control; </w:t>
      </w:r>
      <w:r w:rsidR="00586C7B" w:rsidRPr="00E81073">
        <w:rPr>
          <w:rFonts w:ascii="Arial Narrow" w:hAnsi="Arial Narrow"/>
          <w:sz w:val="18"/>
          <w:szCs w:val="16"/>
        </w:rPr>
        <w:t>ACR</w:t>
      </w:r>
      <w:r w:rsidR="00413F28" w:rsidRPr="00E81073">
        <w:rPr>
          <w:rFonts w:ascii="Arial Narrow" w:hAnsi="Arial Narrow"/>
          <w:sz w:val="18"/>
          <w:szCs w:val="16"/>
        </w:rPr>
        <w:t>20/50/70</w:t>
      </w:r>
      <w:r w:rsidR="00586C7B" w:rsidRPr="00E81073">
        <w:rPr>
          <w:rFonts w:ascii="Arial Narrow" w:hAnsi="Arial Narrow"/>
          <w:sz w:val="18"/>
          <w:szCs w:val="16"/>
        </w:rPr>
        <w:t>=</w:t>
      </w:r>
      <w:r w:rsidR="00413F28" w:rsidRPr="00E81073">
        <w:rPr>
          <w:rFonts w:ascii="Arial Narrow" w:hAnsi="Arial Narrow"/>
          <w:sz w:val="18"/>
          <w:szCs w:val="16"/>
        </w:rPr>
        <w:t xml:space="preserve">≥20/50/70% improvement in tender and swollen joint counts and ≥20/50/70% improvement in 3 of 5 remaining </w:t>
      </w:r>
      <w:r w:rsidR="00586C7B" w:rsidRPr="00E81073">
        <w:rPr>
          <w:rFonts w:ascii="Arial Narrow" w:hAnsi="Arial Narrow"/>
          <w:sz w:val="18"/>
          <w:szCs w:val="16"/>
        </w:rPr>
        <w:t>American College of Rheumatology Criteria</w:t>
      </w:r>
      <w:r w:rsidR="00413F28" w:rsidRPr="00E81073">
        <w:t xml:space="preserve"> </w:t>
      </w:r>
      <w:r w:rsidR="00413F28" w:rsidRPr="00E81073">
        <w:rPr>
          <w:rFonts w:ascii="Arial Narrow" w:hAnsi="Arial Narrow"/>
          <w:sz w:val="18"/>
          <w:szCs w:val="16"/>
        </w:rPr>
        <w:t>core set measures</w:t>
      </w:r>
      <w:r w:rsidR="00586C7B" w:rsidRPr="00E81073">
        <w:rPr>
          <w:rFonts w:ascii="Arial Narrow" w:hAnsi="Arial Narrow"/>
          <w:sz w:val="18"/>
          <w:szCs w:val="16"/>
        </w:rPr>
        <w:t xml:space="preserve">; </w:t>
      </w:r>
      <w:r w:rsidR="000A5975" w:rsidRPr="00E81073">
        <w:rPr>
          <w:rFonts w:ascii="Arial Narrow" w:hAnsi="Arial Narrow"/>
          <w:sz w:val="18"/>
          <w:szCs w:val="18"/>
        </w:rPr>
        <w:t>ADA=</w:t>
      </w:r>
      <w:r w:rsidR="000A5975" w:rsidRPr="00E81073">
        <w:rPr>
          <w:rFonts w:ascii="Arial Narrow" w:hAnsi="Arial Narrow"/>
          <w:color w:val="000000" w:themeColor="text1"/>
          <w:sz w:val="18"/>
          <w:szCs w:val="16"/>
        </w:rPr>
        <w:t>adalimumab; BKZ=bimekizumab;</w:t>
      </w:r>
      <w:r w:rsidR="000A5975" w:rsidRPr="00E81073">
        <w:rPr>
          <w:rFonts w:ascii="Arial Narrow" w:hAnsi="Arial Narrow"/>
          <w:sz w:val="18"/>
          <w:szCs w:val="18"/>
        </w:rPr>
        <w:t xml:space="preserve"> </w:t>
      </w:r>
      <w:r w:rsidR="00D5123C" w:rsidRPr="00E81073">
        <w:rPr>
          <w:rFonts w:ascii="Arial Narrow" w:hAnsi="Arial Narrow"/>
          <w:sz w:val="18"/>
          <w:szCs w:val="18"/>
        </w:rPr>
        <w:t xml:space="preserve">DB=double blind; </w:t>
      </w:r>
      <w:r w:rsidR="00AE3A3F" w:rsidRPr="00E81073">
        <w:rPr>
          <w:rFonts w:ascii="Arial Narrow" w:hAnsi="Arial Narrow"/>
          <w:sz w:val="18"/>
          <w:szCs w:val="18"/>
        </w:rPr>
        <w:t xml:space="preserve">IXE=ixekizumab; </w:t>
      </w:r>
      <w:r w:rsidR="00D5123C" w:rsidRPr="00E81073">
        <w:rPr>
          <w:rFonts w:ascii="Arial Narrow" w:hAnsi="Arial Narrow"/>
          <w:sz w:val="18"/>
          <w:szCs w:val="18"/>
        </w:rPr>
        <w:t xml:space="preserve">MC=multi-centre; OL=open label; OS=overall survival; </w:t>
      </w:r>
      <w:r w:rsidR="00586C7B" w:rsidRPr="00E81073">
        <w:rPr>
          <w:rFonts w:ascii="Arial Narrow" w:hAnsi="Arial Narrow"/>
          <w:sz w:val="18"/>
          <w:szCs w:val="18"/>
        </w:rPr>
        <w:t>PASI</w:t>
      </w:r>
      <w:r w:rsidR="00413F28" w:rsidRPr="00E81073">
        <w:rPr>
          <w:rFonts w:ascii="Arial Narrow" w:hAnsi="Arial Narrow"/>
          <w:sz w:val="18"/>
          <w:szCs w:val="18"/>
        </w:rPr>
        <w:t>75/90/100</w:t>
      </w:r>
      <w:r w:rsidR="00586C7B" w:rsidRPr="00E81073">
        <w:rPr>
          <w:rFonts w:ascii="Arial Narrow" w:hAnsi="Arial Narrow"/>
          <w:sz w:val="18"/>
          <w:szCs w:val="18"/>
        </w:rPr>
        <w:t>=</w:t>
      </w:r>
      <w:r w:rsidR="00413F28" w:rsidRPr="00E81073">
        <w:rPr>
          <w:rFonts w:ascii="Arial Narrow" w:hAnsi="Arial Narrow"/>
          <w:sz w:val="18"/>
          <w:szCs w:val="18"/>
        </w:rPr>
        <w:t xml:space="preserve">75/90/100% improvement in </w:t>
      </w:r>
      <w:r w:rsidR="00586C7B" w:rsidRPr="00E81073">
        <w:rPr>
          <w:rFonts w:ascii="Arial Narrow" w:hAnsi="Arial Narrow"/>
          <w:sz w:val="18"/>
          <w:szCs w:val="18"/>
        </w:rPr>
        <w:t>Psoriasis Area and Severity Index</w:t>
      </w:r>
      <w:r w:rsidR="00413F28" w:rsidRPr="00E81073">
        <w:rPr>
          <w:rFonts w:ascii="Arial Narrow" w:hAnsi="Arial Narrow"/>
          <w:sz w:val="18"/>
          <w:szCs w:val="18"/>
        </w:rPr>
        <w:t xml:space="preserve"> from baseline</w:t>
      </w:r>
      <w:r w:rsidR="00586C7B" w:rsidRPr="00E81073">
        <w:rPr>
          <w:rFonts w:ascii="Arial Narrow" w:hAnsi="Arial Narrow"/>
          <w:sz w:val="18"/>
          <w:szCs w:val="18"/>
        </w:rPr>
        <w:t xml:space="preserve">; </w:t>
      </w:r>
      <w:r w:rsidR="000A5975" w:rsidRPr="00E81073">
        <w:rPr>
          <w:rFonts w:ascii="Arial Narrow" w:hAnsi="Arial Narrow"/>
          <w:sz w:val="18"/>
          <w:szCs w:val="18"/>
        </w:rPr>
        <w:t xml:space="preserve">PBO = placebo; </w:t>
      </w:r>
      <w:r w:rsidRPr="00E81073">
        <w:rPr>
          <w:rFonts w:ascii="Arial Narrow" w:hAnsi="Arial Narrow"/>
          <w:sz w:val="18"/>
          <w:szCs w:val="18"/>
        </w:rPr>
        <w:t xml:space="preserve">PC=placebo control; </w:t>
      </w:r>
      <w:r w:rsidR="00D5123C" w:rsidRPr="00E81073">
        <w:rPr>
          <w:rFonts w:ascii="Arial Narrow" w:hAnsi="Arial Narrow"/>
          <w:sz w:val="18"/>
          <w:szCs w:val="18"/>
        </w:rPr>
        <w:t xml:space="preserve">PFS=progression-free survival; </w:t>
      </w:r>
      <w:r w:rsidR="00586C7B" w:rsidRPr="00E81073">
        <w:rPr>
          <w:rFonts w:ascii="Arial Narrow" w:hAnsi="Arial Narrow"/>
          <w:sz w:val="18"/>
          <w:szCs w:val="18"/>
        </w:rPr>
        <w:t xml:space="preserve">PsA=psoriatic arthritis; </w:t>
      </w:r>
      <w:r w:rsidR="00D5123C" w:rsidRPr="00E81073">
        <w:rPr>
          <w:rFonts w:ascii="Arial Narrow" w:hAnsi="Arial Narrow"/>
          <w:sz w:val="18"/>
          <w:szCs w:val="18"/>
        </w:rPr>
        <w:t>R=randomised</w:t>
      </w:r>
      <w:r w:rsidR="009E5F78" w:rsidRPr="00E81073">
        <w:rPr>
          <w:rFonts w:ascii="Arial Narrow" w:hAnsi="Arial Narrow"/>
          <w:sz w:val="18"/>
          <w:szCs w:val="18"/>
        </w:rPr>
        <w:t>;</w:t>
      </w:r>
      <w:r w:rsidR="00586C7B" w:rsidRPr="00E81073">
        <w:rPr>
          <w:rFonts w:ascii="Arial Narrow" w:hAnsi="Arial Narrow"/>
          <w:sz w:val="18"/>
          <w:szCs w:val="18"/>
        </w:rPr>
        <w:t xml:space="preserve"> TNF-α=</w:t>
      </w:r>
      <w:r w:rsidR="00D87DA9" w:rsidRPr="00E81073">
        <w:rPr>
          <w:rFonts w:ascii="Arial Narrow" w:hAnsi="Arial Narrow"/>
          <w:sz w:val="18"/>
          <w:szCs w:val="18"/>
        </w:rPr>
        <w:t>tumour</w:t>
      </w:r>
      <w:r w:rsidR="00586C7B" w:rsidRPr="00E81073">
        <w:rPr>
          <w:rFonts w:ascii="Arial Narrow" w:hAnsi="Arial Narrow"/>
          <w:sz w:val="18"/>
          <w:szCs w:val="18"/>
        </w:rPr>
        <w:t xml:space="preserve"> necrosis factor alpha;</w:t>
      </w:r>
      <w:r w:rsidR="009E5F78" w:rsidRPr="00E81073">
        <w:rPr>
          <w:rFonts w:ascii="Arial Narrow" w:hAnsi="Arial Narrow"/>
          <w:sz w:val="18"/>
          <w:szCs w:val="18"/>
        </w:rPr>
        <w:t xml:space="preserve"> </w:t>
      </w:r>
      <w:r w:rsidR="009E5F78" w:rsidRPr="00E81073">
        <w:rPr>
          <w:rFonts w:ascii="Arial Narrow" w:hAnsi="Arial Narrow"/>
          <w:color w:val="000000" w:themeColor="text1"/>
          <w:sz w:val="18"/>
          <w:szCs w:val="16"/>
        </w:rPr>
        <w:t>1°=primary outcome, 2°=secondary outcomes</w:t>
      </w:r>
    </w:p>
    <w:p w14:paraId="63F8E111" w14:textId="7FBF97CA" w:rsidR="00EF7CC5" w:rsidRPr="00E81073" w:rsidRDefault="00EF7CC5" w:rsidP="00AE3A3F">
      <w:pPr>
        <w:tabs>
          <w:tab w:val="left" w:pos="142"/>
        </w:tabs>
        <w:ind w:left="135" w:hanging="135"/>
        <w:rPr>
          <w:rFonts w:ascii="Arial Narrow" w:hAnsi="Arial Narrow"/>
          <w:sz w:val="18"/>
          <w:szCs w:val="16"/>
        </w:rPr>
      </w:pPr>
      <w:r w:rsidRPr="00E81073">
        <w:rPr>
          <w:rFonts w:ascii="Arial Narrow" w:hAnsi="Arial Narrow"/>
          <w:sz w:val="18"/>
          <w:szCs w:val="16"/>
          <w:vertAlign w:val="superscript"/>
        </w:rPr>
        <w:t>a</w:t>
      </w:r>
      <w:r w:rsidRPr="00E81073">
        <w:rPr>
          <w:rFonts w:ascii="Arial Narrow" w:hAnsi="Arial Narrow"/>
          <w:sz w:val="18"/>
          <w:szCs w:val="16"/>
          <w:vertAlign w:val="superscript"/>
        </w:rPr>
        <w:tab/>
      </w:r>
      <w:r w:rsidR="00853C81" w:rsidRPr="00E81073">
        <w:rPr>
          <w:rFonts w:ascii="Arial Narrow" w:hAnsi="Arial Narrow"/>
          <w:sz w:val="18"/>
          <w:szCs w:val="16"/>
        </w:rPr>
        <w:t>excluding patients from irrelevant treatment arms, BKZ 16</w:t>
      </w:r>
      <w:r w:rsidR="00E84C6B" w:rsidRPr="00E81073">
        <w:rPr>
          <w:rFonts w:ascii="Arial Narrow" w:hAnsi="Arial Narrow"/>
          <w:sz w:val="18"/>
          <w:szCs w:val="16"/>
        </w:rPr>
        <w:t>0</w:t>
      </w:r>
      <w:r w:rsidR="00853C81" w:rsidRPr="00E81073">
        <w:rPr>
          <w:rFonts w:ascii="Arial Narrow" w:hAnsi="Arial Narrow"/>
          <w:sz w:val="18"/>
          <w:szCs w:val="16"/>
        </w:rPr>
        <w:t>mg Q4W, BKZ 320 mg Q4W, BKZ 320 mg loading then 160mg Q4W.</w:t>
      </w:r>
    </w:p>
    <w:p w14:paraId="72E50852" w14:textId="4A0DFF36" w:rsidR="006518AE" w:rsidRPr="00E81073" w:rsidRDefault="00EF7CC5" w:rsidP="00853C81">
      <w:pPr>
        <w:tabs>
          <w:tab w:val="left" w:pos="142"/>
        </w:tabs>
        <w:ind w:left="135" w:hanging="135"/>
        <w:rPr>
          <w:rFonts w:ascii="Arial Narrow" w:hAnsi="Arial Narrow"/>
          <w:sz w:val="18"/>
          <w:szCs w:val="16"/>
        </w:rPr>
      </w:pPr>
      <w:r w:rsidRPr="00E81073">
        <w:rPr>
          <w:rFonts w:ascii="Arial Narrow" w:hAnsi="Arial Narrow"/>
          <w:sz w:val="18"/>
          <w:szCs w:val="16"/>
          <w:vertAlign w:val="superscript"/>
        </w:rPr>
        <w:t>b</w:t>
      </w:r>
      <w:r w:rsidR="00AE3A3F" w:rsidRPr="00E81073">
        <w:rPr>
          <w:rFonts w:ascii="Arial Narrow" w:hAnsi="Arial Narrow"/>
          <w:sz w:val="18"/>
          <w:szCs w:val="16"/>
        </w:rPr>
        <w:tab/>
      </w:r>
      <w:r w:rsidR="00B11AF5" w:rsidRPr="00E81073">
        <w:rPr>
          <w:rFonts w:ascii="Arial Narrow" w:hAnsi="Arial Narrow"/>
          <w:sz w:val="18"/>
          <w:szCs w:val="16"/>
        </w:rPr>
        <w:t xml:space="preserve">staff preparing and administering (&amp; recording in BE COMPLETE) the investigational medicinal product </w:t>
      </w:r>
      <w:proofErr w:type="gramStart"/>
      <w:r w:rsidR="00B11AF5" w:rsidRPr="00E81073">
        <w:rPr>
          <w:rFonts w:ascii="Arial Narrow" w:hAnsi="Arial Narrow"/>
          <w:sz w:val="18"/>
          <w:szCs w:val="16"/>
        </w:rPr>
        <w:t>were</w:t>
      </w:r>
      <w:proofErr w:type="gramEnd"/>
      <w:r w:rsidR="00B11AF5" w:rsidRPr="00E81073">
        <w:rPr>
          <w:rFonts w:ascii="Arial Narrow" w:hAnsi="Arial Narrow"/>
          <w:sz w:val="18"/>
          <w:szCs w:val="16"/>
        </w:rPr>
        <w:t xml:space="preserve"> unblinded</w:t>
      </w:r>
    </w:p>
    <w:p w14:paraId="5DD5CB94" w14:textId="791ECD27" w:rsidR="00762556" w:rsidRPr="00E81073" w:rsidRDefault="006518AE" w:rsidP="00853C81">
      <w:pPr>
        <w:tabs>
          <w:tab w:val="left" w:pos="142"/>
        </w:tabs>
        <w:ind w:left="135" w:hanging="135"/>
        <w:rPr>
          <w:rFonts w:ascii="Arial Narrow" w:hAnsi="Arial Narrow"/>
          <w:sz w:val="18"/>
          <w:szCs w:val="16"/>
        </w:rPr>
      </w:pPr>
      <w:r w:rsidRPr="00E81073">
        <w:rPr>
          <w:rFonts w:ascii="Arial Narrow" w:hAnsi="Arial Narrow"/>
          <w:sz w:val="18"/>
          <w:szCs w:val="16"/>
          <w:vertAlign w:val="superscript"/>
        </w:rPr>
        <w:t>c</w:t>
      </w:r>
      <w:r w:rsidRPr="00E81073">
        <w:rPr>
          <w:rFonts w:ascii="Arial Narrow" w:hAnsi="Arial Narrow"/>
          <w:sz w:val="18"/>
          <w:szCs w:val="16"/>
        </w:rPr>
        <w:tab/>
        <w:t xml:space="preserve">excluding patients from irrelevant treatment arms, IXE 80mg Q2W </w:t>
      </w:r>
    </w:p>
    <w:p w14:paraId="26D33318" w14:textId="75CA074B" w:rsidR="00AA08BB" w:rsidRPr="00E81073" w:rsidRDefault="006518AE" w:rsidP="00FF4C25">
      <w:pPr>
        <w:tabs>
          <w:tab w:val="left" w:pos="142"/>
        </w:tabs>
        <w:spacing w:after="120"/>
        <w:ind w:left="136" w:hanging="136"/>
        <w:rPr>
          <w:rFonts w:ascii="Arial Narrow" w:hAnsi="Arial Narrow"/>
          <w:sz w:val="18"/>
          <w:szCs w:val="16"/>
        </w:rPr>
      </w:pPr>
      <w:r w:rsidRPr="00E81073">
        <w:rPr>
          <w:rFonts w:ascii="Arial Narrow" w:hAnsi="Arial Narrow"/>
          <w:sz w:val="18"/>
          <w:szCs w:val="16"/>
          <w:vertAlign w:val="superscript"/>
        </w:rPr>
        <w:t>d</w:t>
      </w:r>
      <w:r w:rsidR="003D62F1" w:rsidRPr="00E81073">
        <w:rPr>
          <w:rFonts w:ascii="Arial Narrow" w:hAnsi="Arial Narrow"/>
          <w:sz w:val="18"/>
          <w:szCs w:val="16"/>
        </w:rPr>
        <w:tab/>
      </w:r>
      <w:r w:rsidRPr="00E81073">
        <w:rPr>
          <w:rFonts w:ascii="Arial Narrow" w:hAnsi="Arial Narrow"/>
          <w:sz w:val="18"/>
          <w:szCs w:val="16"/>
        </w:rPr>
        <w:t>patients on ADA or PBO with &lt;20% improvement in swollen and tender joint count at week 16 from baseline were re-randomised to IXE 80mg q2w or q4w; In SPIRIT-P1, non-responders on IXE q4w at Wk16 commenced IXE q2w.</w:t>
      </w:r>
    </w:p>
    <w:p w14:paraId="31D0EF1F" w14:textId="0AC48760" w:rsidR="00D02FE8" w:rsidRPr="00E81073" w:rsidRDefault="00BF0874" w:rsidP="00BB5640">
      <w:pPr>
        <w:pStyle w:val="3-BodyText"/>
        <w:rPr>
          <w:iCs/>
        </w:rPr>
      </w:pPr>
      <w:proofErr w:type="gramStart"/>
      <w:r w:rsidRPr="00E81073">
        <w:rPr>
          <w:iCs/>
        </w:rPr>
        <w:t>All of</w:t>
      </w:r>
      <w:proofErr w:type="gramEnd"/>
      <w:r w:rsidRPr="00E81073">
        <w:rPr>
          <w:iCs/>
        </w:rPr>
        <w:t xml:space="preserve"> the </w:t>
      </w:r>
      <w:r w:rsidR="005C3FF2" w:rsidRPr="00E81073">
        <w:rPr>
          <w:iCs/>
        </w:rPr>
        <w:t>RCT</w:t>
      </w:r>
      <w:r w:rsidRPr="00E81073">
        <w:rPr>
          <w:iCs/>
        </w:rPr>
        <w:t>s were either Phase IIb or III, multicentre</w:t>
      </w:r>
      <w:r w:rsidR="005C3FF2" w:rsidRPr="00E81073">
        <w:rPr>
          <w:iCs/>
        </w:rPr>
        <w:t>, placebo and/or active (ADA) controlled trials with a double</w:t>
      </w:r>
      <w:r w:rsidR="00B76F03" w:rsidRPr="00E81073">
        <w:rPr>
          <w:iCs/>
        </w:rPr>
        <w:t>-</w:t>
      </w:r>
      <w:r w:rsidR="005C3FF2" w:rsidRPr="00E81073">
        <w:rPr>
          <w:iCs/>
        </w:rPr>
        <w:t xml:space="preserve">blind phase of </w:t>
      </w:r>
      <w:r w:rsidR="00B76F03" w:rsidRPr="00E81073">
        <w:rPr>
          <w:iCs/>
        </w:rPr>
        <w:t xml:space="preserve">at least </w:t>
      </w:r>
      <w:r w:rsidR="005C3FF2" w:rsidRPr="00E81073">
        <w:rPr>
          <w:iCs/>
        </w:rPr>
        <w:t>12 weeks</w:t>
      </w:r>
      <w:r w:rsidR="00D45022" w:rsidRPr="00E81073">
        <w:rPr>
          <w:iCs/>
        </w:rPr>
        <w:t xml:space="preserve"> </w:t>
      </w:r>
      <w:r w:rsidR="00436484" w:rsidRPr="00E81073">
        <w:rPr>
          <w:iCs/>
        </w:rPr>
        <w:t>and</w:t>
      </w:r>
      <w:r w:rsidR="00D45022" w:rsidRPr="00E81073">
        <w:rPr>
          <w:iCs/>
        </w:rPr>
        <w:t xml:space="preserve"> </w:t>
      </w:r>
      <w:r w:rsidR="00802A56" w:rsidRPr="00E81073">
        <w:rPr>
          <w:iCs/>
        </w:rPr>
        <w:t xml:space="preserve">only permitted </w:t>
      </w:r>
      <w:r w:rsidR="00D45022" w:rsidRPr="00E81073">
        <w:rPr>
          <w:iCs/>
        </w:rPr>
        <w:t>r</w:t>
      </w:r>
      <w:r w:rsidR="00B76F03" w:rsidRPr="00E81073">
        <w:rPr>
          <w:iCs/>
        </w:rPr>
        <w:t xml:space="preserve">escue therapy </w:t>
      </w:r>
      <w:r w:rsidR="00D45022" w:rsidRPr="00E81073">
        <w:rPr>
          <w:iCs/>
        </w:rPr>
        <w:t xml:space="preserve">after Week 16. </w:t>
      </w:r>
      <w:r w:rsidR="00B105FE" w:rsidRPr="00E81073">
        <w:rPr>
          <w:iCs/>
        </w:rPr>
        <w:t xml:space="preserve">All trials enrolled adult patients with severe active PsA </w:t>
      </w:r>
      <w:r w:rsidR="0075070F" w:rsidRPr="00E81073">
        <w:rPr>
          <w:iCs/>
        </w:rPr>
        <w:t xml:space="preserve">using </w:t>
      </w:r>
      <w:r w:rsidR="00B105FE" w:rsidRPr="00E81073">
        <w:rPr>
          <w:iCs/>
        </w:rPr>
        <w:t>similar diagnostic criteria but there were differences in the use of prior treatments</w:t>
      </w:r>
      <w:r w:rsidR="0075070F" w:rsidRPr="00E81073">
        <w:rPr>
          <w:iCs/>
        </w:rPr>
        <w:t xml:space="preserve"> at baseline</w:t>
      </w:r>
      <w:r w:rsidR="00B105FE" w:rsidRPr="00E81073">
        <w:rPr>
          <w:iCs/>
        </w:rPr>
        <w:t xml:space="preserve">. </w:t>
      </w:r>
      <w:r w:rsidR="0075070F" w:rsidRPr="00E81073">
        <w:rPr>
          <w:iCs/>
        </w:rPr>
        <w:t xml:space="preserve">Two trials only enrolled patients without prior exposure to bDMARDs (BE OPTIMAL, SPIRIT-P1), two trials only enrolled patients with an inadequate response to prior TNF-a inhibitors (BE COMPLETE, SPIRIT-P2), and one trial enrolled patients </w:t>
      </w:r>
      <w:r w:rsidR="003F000B" w:rsidRPr="00E81073">
        <w:rPr>
          <w:iCs/>
        </w:rPr>
        <w:t>with or without</w:t>
      </w:r>
      <w:r w:rsidR="0075070F" w:rsidRPr="00E81073">
        <w:rPr>
          <w:iCs/>
        </w:rPr>
        <w:t xml:space="preserve"> prior exposure to bDMARDs (BE ACTIVE).</w:t>
      </w:r>
    </w:p>
    <w:p w14:paraId="4A4FE085" w14:textId="66D1539E" w:rsidR="00B60939" w:rsidRPr="00E81073" w:rsidRDefault="00B60939" w:rsidP="00EC5836">
      <w:pPr>
        <w:pStyle w:val="4-SubsectionHeading"/>
      </w:pPr>
      <w:bookmarkStart w:id="27" w:name="_Toc22897641"/>
      <w:bookmarkStart w:id="28" w:name="_Toc156894673"/>
      <w:r w:rsidRPr="00E81073">
        <w:t>Comparative effectiveness</w:t>
      </w:r>
      <w:bookmarkEnd w:id="27"/>
      <w:bookmarkEnd w:id="28"/>
    </w:p>
    <w:p w14:paraId="11680FEB" w14:textId="524B42E2" w:rsidR="00DE4C41" w:rsidRPr="00E81073" w:rsidRDefault="00DE4C41" w:rsidP="00DE4C41">
      <w:pPr>
        <w:pStyle w:val="ListParagraph"/>
        <w:numPr>
          <w:ilvl w:val="1"/>
          <w:numId w:val="1"/>
        </w:numPr>
        <w:spacing w:after="160"/>
        <w:rPr>
          <w:iCs/>
        </w:rPr>
      </w:pPr>
      <w:r w:rsidRPr="00E81073">
        <w:rPr>
          <w:iCs/>
        </w:rPr>
        <w:t>Response to b</w:t>
      </w:r>
      <w:r w:rsidR="00E937C2" w:rsidRPr="00E81073">
        <w:rPr>
          <w:iCs/>
        </w:rPr>
        <w:t>/ts</w:t>
      </w:r>
      <w:r w:rsidRPr="00E81073">
        <w:rPr>
          <w:iCs/>
        </w:rPr>
        <w:t>DMARDs on the PBS is assessed using a combination of the American College of Rheumatology 20% and 50% improvement criteria (ACR20 and ACR50, respectively). Assessment of response to initial therapy must be made no later than 4 weeks before the end of the initial course of treatment, which corresponds to about 12 weeks for BKZ and ADA, and 16 weeks for IXE. The</w:t>
      </w:r>
      <w:r w:rsidRPr="005E2177">
        <w:rPr>
          <w:rFonts w:cs="Calibri"/>
          <w:iCs/>
          <w:snapToGrid/>
        </w:rPr>
        <w:t xml:space="preserve"> </w:t>
      </w:r>
      <w:r w:rsidRPr="00E81073">
        <w:rPr>
          <w:iCs/>
        </w:rPr>
        <w:t xml:space="preserve">PBAC had previously considered that ACR50 was more relevant than ACR20 because it better reflected the current PBS criteria for response to initial therapy, and generally considered therapeutic relativity between treatments using Week 12 data including for IXE and ADA (paragraph </w:t>
      </w:r>
      <w:r w:rsidR="0048057E" w:rsidRPr="00E81073">
        <w:rPr>
          <w:iCs/>
        </w:rPr>
        <w:t>7.5</w:t>
      </w:r>
      <w:r w:rsidRPr="00E81073">
        <w:rPr>
          <w:iCs/>
        </w:rPr>
        <w:t xml:space="preserve">, </w:t>
      </w:r>
      <w:r w:rsidR="004674E8" w:rsidRPr="00E81073">
        <w:rPr>
          <w:iCs/>
        </w:rPr>
        <w:t>UST</w:t>
      </w:r>
      <w:r w:rsidRPr="00E81073">
        <w:rPr>
          <w:iCs/>
        </w:rPr>
        <w:t xml:space="preserve"> PSD, November 2014</w:t>
      </w:r>
      <w:r w:rsidR="0048057E" w:rsidRPr="00E81073">
        <w:rPr>
          <w:iCs/>
        </w:rPr>
        <w:t>, paragraph 6.11, IXE PSD, July 2018</w:t>
      </w:r>
      <w:r w:rsidRPr="00E81073">
        <w:rPr>
          <w:iCs/>
        </w:rPr>
        <w:t>).</w:t>
      </w:r>
    </w:p>
    <w:p w14:paraId="0833DA09" w14:textId="4F9CDD8B" w:rsidR="004674E8" w:rsidRPr="00E81073" w:rsidRDefault="00DE4C41" w:rsidP="00DE4C41">
      <w:pPr>
        <w:pStyle w:val="3-BodyText"/>
        <w:rPr>
          <w:iCs/>
        </w:rPr>
      </w:pPr>
      <w:r w:rsidRPr="00E81073">
        <w:rPr>
          <w:iCs/>
        </w:rPr>
        <w:t>The submission presented indirect comparisons comparing BKZ versus IXE using placebo as common reference for ACR50 and ACR20 at Week 12 to 16, summarised in</w:t>
      </w:r>
      <w:r w:rsidR="00670F2D" w:rsidRPr="00E81073">
        <w:rPr>
          <w:iCs/>
        </w:rPr>
        <w:t xml:space="preserve"> </w:t>
      </w:r>
      <w:r w:rsidR="00670F2D" w:rsidRPr="00E81073">
        <w:rPr>
          <w:iCs/>
        </w:rPr>
        <w:fldChar w:fldCharType="begin" w:fldLock="1"/>
      </w:r>
      <w:r w:rsidR="00670F2D" w:rsidRPr="00E81073">
        <w:rPr>
          <w:iCs/>
        </w:rPr>
        <w:instrText xml:space="preserve"> REF _Ref152246436 \h </w:instrText>
      </w:r>
      <w:r w:rsidR="004F428A" w:rsidRPr="00E81073">
        <w:rPr>
          <w:iCs/>
        </w:rPr>
        <w:instrText xml:space="preserve"> \* MERGEFORMAT </w:instrText>
      </w:r>
      <w:r w:rsidR="00670F2D" w:rsidRPr="00E81073">
        <w:rPr>
          <w:iCs/>
        </w:rPr>
      </w:r>
      <w:r w:rsidR="00670F2D" w:rsidRPr="00E81073">
        <w:rPr>
          <w:iCs/>
        </w:rPr>
        <w:fldChar w:fldCharType="separate"/>
      </w:r>
      <w:r w:rsidR="00670F2D" w:rsidRPr="00E81073">
        <w:rPr>
          <w:iCs/>
        </w:rPr>
        <w:t xml:space="preserve">Table </w:t>
      </w:r>
      <w:r w:rsidR="00670F2D" w:rsidRPr="005E2177">
        <w:rPr>
          <w:iCs/>
        </w:rPr>
        <w:t>4</w:t>
      </w:r>
      <w:r w:rsidR="00670F2D" w:rsidRPr="00E81073">
        <w:rPr>
          <w:iCs/>
        </w:rPr>
        <w:fldChar w:fldCharType="end"/>
      </w:r>
      <w:r w:rsidR="00670F2D" w:rsidRPr="00E81073">
        <w:rPr>
          <w:iCs/>
        </w:rPr>
        <w:t xml:space="preserve"> and </w:t>
      </w:r>
      <w:r w:rsidR="00670F2D" w:rsidRPr="00E81073">
        <w:rPr>
          <w:iCs/>
        </w:rPr>
        <w:fldChar w:fldCharType="begin" w:fldLock="1"/>
      </w:r>
      <w:r w:rsidR="00670F2D" w:rsidRPr="00E81073">
        <w:rPr>
          <w:iCs/>
        </w:rPr>
        <w:instrText xml:space="preserve"> REF _Ref152246439 \h </w:instrText>
      </w:r>
      <w:r w:rsidR="004F428A" w:rsidRPr="00E81073">
        <w:rPr>
          <w:iCs/>
        </w:rPr>
        <w:instrText xml:space="preserve"> \* MERGEFORMAT </w:instrText>
      </w:r>
      <w:r w:rsidR="00670F2D" w:rsidRPr="00E81073">
        <w:rPr>
          <w:iCs/>
        </w:rPr>
      </w:r>
      <w:r w:rsidR="00670F2D" w:rsidRPr="00E81073">
        <w:rPr>
          <w:iCs/>
        </w:rPr>
        <w:fldChar w:fldCharType="separate"/>
      </w:r>
      <w:r w:rsidR="00670F2D" w:rsidRPr="00E81073">
        <w:rPr>
          <w:iCs/>
        </w:rPr>
        <w:t xml:space="preserve">Table </w:t>
      </w:r>
      <w:r w:rsidR="00670F2D" w:rsidRPr="005E2177">
        <w:rPr>
          <w:iCs/>
        </w:rPr>
        <w:t>5</w:t>
      </w:r>
      <w:r w:rsidR="00670F2D" w:rsidRPr="00E81073">
        <w:rPr>
          <w:iCs/>
        </w:rPr>
        <w:fldChar w:fldCharType="end"/>
      </w:r>
      <w:r w:rsidRPr="00E81073">
        <w:rPr>
          <w:iCs/>
        </w:rPr>
        <w:t xml:space="preserve"> respectively. </w:t>
      </w:r>
      <w:r w:rsidR="004674E8" w:rsidRPr="00E81073">
        <w:rPr>
          <w:iCs/>
        </w:rPr>
        <w:t>The submission presented results for the ITT population and by prior biologic treatment exposure (biologic naïve, biologic experienced).</w:t>
      </w:r>
    </w:p>
    <w:p w14:paraId="19ADD44E" w14:textId="1B8D1330" w:rsidR="00670F2D" w:rsidRPr="00E81073" w:rsidRDefault="00670F2D" w:rsidP="00670F2D">
      <w:pPr>
        <w:pStyle w:val="Caption"/>
        <w:rPr>
          <w:b w:val="0"/>
          <w:bCs w:val="0"/>
          <w:szCs w:val="20"/>
        </w:rPr>
      </w:pPr>
      <w:bookmarkStart w:id="29" w:name="_Ref152246436"/>
      <w:r w:rsidRPr="00E81073">
        <w:t xml:space="preserve">Table </w:t>
      </w:r>
      <w:r w:rsidR="006269D6">
        <w:fldChar w:fldCharType="begin" w:fldLock="1"/>
      </w:r>
      <w:r w:rsidR="006269D6">
        <w:instrText xml:space="preserve"> SEQ Table \* ARABIC </w:instrText>
      </w:r>
      <w:r w:rsidR="006269D6">
        <w:fldChar w:fldCharType="separate"/>
      </w:r>
      <w:r w:rsidRPr="005E2177">
        <w:t>4</w:t>
      </w:r>
      <w:r w:rsidR="006269D6">
        <w:fldChar w:fldCharType="end"/>
      </w:r>
      <w:bookmarkEnd w:id="29"/>
      <w:r w:rsidRPr="00E81073">
        <w:t>: ACR50 response at Week 12-16, trial results and indirect treatment comparison</w:t>
      </w:r>
    </w:p>
    <w:tbl>
      <w:tblPr>
        <w:tblStyle w:val="TableGrid"/>
        <w:tblW w:w="5000" w:type="pct"/>
        <w:tblCellMar>
          <w:left w:w="28" w:type="dxa"/>
          <w:right w:w="28" w:type="dxa"/>
        </w:tblCellMar>
        <w:tblLook w:val="04A0" w:firstRow="1" w:lastRow="0" w:firstColumn="1" w:lastColumn="0" w:noHBand="0" w:noVBand="1"/>
        <w:tblCaption w:val="Table 4: ACR50 response at Week 12-16, trial results and indirect treatment comparison"/>
      </w:tblPr>
      <w:tblGrid>
        <w:gridCol w:w="2693"/>
        <w:gridCol w:w="1064"/>
        <w:gridCol w:w="1064"/>
        <w:gridCol w:w="1399"/>
        <w:gridCol w:w="1399"/>
        <w:gridCol w:w="1398"/>
      </w:tblGrid>
      <w:tr w:rsidR="00DE4C41" w:rsidRPr="00E81073" w14:paraId="7B1147EA" w14:textId="77777777" w:rsidTr="00621EA3">
        <w:tc>
          <w:tcPr>
            <w:tcW w:w="1493" w:type="pct"/>
            <w:vAlign w:val="center"/>
          </w:tcPr>
          <w:p w14:paraId="1C75404D" w14:textId="77777777" w:rsidR="00DE4C41" w:rsidRPr="00E81073" w:rsidRDefault="00DE4C41" w:rsidP="00621EA3">
            <w:pPr>
              <w:keepNext/>
              <w:jc w:val="left"/>
              <w:rPr>
                <w:rFonts w:ascii="Arial Narrow" w:hAnsi="Arial Narrow"/>
                <w:b/>
                <w:bCs/>
                <w:sz w:val="18"/>
                <w:szCs w:val="18"/>
              </w:rPr>
            </w:pPr>
            <w:r w:rsidRPr="00E81073">
              <w:rPr>
                <w:rFonts w:ascii="Arial Narrow" w:hAnsi="Arial Narrow"/>
                <w:b/>
                <w:bCs/>
                <w:sz w:val="18"/>
                <w:szCs w:val="18"/>
              </w:rPr>
              <w:t>Trial</w:t>
            </w:r>
          </w:p>
        </w:tc>
        <w:tc>
          <w:tcPr>
            <w:tcW w:w="590" w:type="pct"/>
            <w:vAlign w:val="center"/>
          </w:tcPr>
          <w:p w14:paraId="59307D5F" w14:textId="77777777" w:rsidR="00DE4C41" w:rsidRPr="00E81073" w:rsidRDefault="00DE4C41" w:rsidP="00621EA3">
            <w:pPr>
              <w:keepNext/>
              <w:jc w:val="center"/>
              <w:rPr>
                <w:rFonts w:ascii="Arial Narrow" w:hAnsi="Arial Narrow"/>
                <w:b/>
                <w:bCs/>
                <w:sz w:val="18"/>
                <w:szCs w:val="18"/>
              </w:rPr>
            </w:pPr>
            <w:r w:rsidRPr="00E81073">
              <w:rPr>
                <w:rFonts w:ascii="Arial Narrow" w:hAnsi="Arial Narrow"/>
                <w:b/>
                <w:bCs/>
                <w:sz w:val="18"/>
                <w:szCs w:val="18"/>
              </w:rPr>
              <w:t>Drug</w:t>
            </w:r>
          </w:p>
          <w:p w14:paraId="34469694" w14:textId="77777777" w:rsidR="00DE4C41" w:rsidRPr="00E81073" w:rsidRDefault="00DE4C41" w:rsidP="00621EA3">
            <w:pPr>
              <w:keepNext/>
              <w:jc w:val="center"/>
              <w:rPr>
                <w:rFonts w:ascii="Arial Narrow" w:hAnsi="Arial Narrow"/>
                <w:b/>
                <w:bCs/>
                <w:sz w:val="18"/>
                <w:szCs w:val="18"/>
              </w:rPr>
            </w:pPr>
            <w:r w:rsidRPr="00E81073">
              <w:rPr>
                <w:rFonts w:ascii="Arial Narrow" w:hAnsi="Arial Narrow"/>
                <w:b/>
                <w:bCs/>
                <w:sz w:val="18"/>
                <w:szCs w:val="18"/>
              </w:rPr>
              <w:t>n/N (%)</w:t>
            </w:r>
          </w:p>
        </w:tc>
        <w:tc>
          <w:tcPr>
            <w:tcW w:w="590" w:type="pct"/>
            <w:vAlign w:val="center"/>
          </w:tcPr>
          <w:p w14:paraId="130B8947" w14:textId="77777777" w:rsidR="00DE4C41" w:rsidRPr="00E81073" w:rsidRDefault="00DE4C41" w:rsidP="00621EA3">
            <w:pPr>
              <w:keepNext/>
              <w:jc w:val="center"/>
              <w:rPr>
                <w:rFonts w:ascii="Arial Narrow" w:hAnsi="Arial Narrow"/>
                <w:b/>
                <w:bCs/>
                <w:sz w:val="18"/>
                <w:szCs w:val="18"/>
              </w:rPr>
            </w:pPr>
            <w:r w:rsidRPr="00E81073">
              <w:rPr>
                <w:rFonts w:ascii="Arial Narrow" w:hAnsi="Arial Narrow"/>
                <w:b/>
                <w:bCs/>
                <w:sz w:val="18"/>
                <w:szCs w:val="18"/>
              </w:rPr>
              <w:t>Control</w:t>
            </w:r>
          </w:p>
          <w:p w14:paraId="3C9E36A5" w14:textId="77777777" w:rsidR="00DE4C41" w:rsidRPr="00E81073" w:rsidRDefault="00DE4C41" w:rsidP="00621EA3">
            <w:pPr>
              <w:keepNext/>
              <w:jc w:val="center"/>
              <w:rPr>
                <w:rFonts w:ascii="Arial Narrow" w:hAnsi="Arial Narrow"/>
                <w:b/>
                <w:bCs/>
                <w:sz w:val="18"/>
                <w:szCs w:val="18"/>
              </w:rPr>
            </w:pPr>
            <w:r w:rsidRPr="00E81073">
              <w:rPr>
                <w:rFonts w:ascii="Arial Narrow" w:hAnsi="Arial Narrow"/>
                <w:b/>
                <w:bCs/>
                <w:sz w:val="18"/>
                <w:szCs w:val="18"/>
              </w:rPr>
              <w:t>n/N (%)</w:t>
            </w:r>
          </w:p>
        </w:tc>
        <w:tc>
          <w:tcPr>
            <w:tcW w:w="776" w:type="pct"/>
            <w:tcBorders>
              <w:bottom w:val="single" w:sz="4" w:space="0" w:color="auto"/>
            </w:tcBorders>
            <w:vAlign w:val="center"/>
          </w:tcPr>
          <w:p w14:paraId="1CA32738" w14:textId="77777777" w:rsidR="00DE4C41" w:rsidRPr="00E81073" w:rsidRDefault="00DE4C41" w:rsidP="00621EA3">
            <w:pPr>
              <w:keepNext/>
              <w:jc w:val="center"/>
              <w:rPr>
                <w:rFonts w:ascii="Arial Narrow" w:hAnsi="Arial Narrow"/>
                <w:b/>
                <w:bCs/>
                <w:sz w:val="18"/>
                <w:szCs w:val="18"/>
              </w:rPr>
            </w:pPr>
            <w:r w:rsidRPr="00E81073">
              <w:rPr>
                <w:rFonts w:ascii="Arial Narrow" w:hAnsi="Arial Narrow"/>
                <w:b/>
                <w:bCs/>
                <w:sz w:val="18"/>
                <w:szCs w:val="18"/>
              </w:rPr>
              <w:t>RR (95%CI)</w:t>
            </w:r>
          </w:p>
        </w:tc>
        <w:tc>
          <w:tcPr>
            <w:tcW w:w="776" w:type="pct"/>
            <w:tcBorders>
              <w:bottom w:val="single" w:sz="4" w:space="0" w:color="auto"/>
            </w:tcBorders>
            <w:vAlign w:val="center"/>
          </w:tcPr>
          <w:p w14:paraId="3A244990" w14:textId="77777777" w:rsidR="00DE4C41" w:rsidRPr="00E81073" w:rsidRDefault="00DE4C41" w:rsidP="00621EA3">
            <w:pPr>
              <w:keepNext/>
              <w:jc w:val="center"/>
              <w:rPr>
                <w:rFonts w:ascii="Arial Narrow" w:hAnsi="Arial Narrow"/>
                <w:b/>
                <w:bCs/>
                <w:sz w:val="18"/>
                <w:szCs w:val="18"/>
              </w:rPr>
            </w:pPr>
            <w:r w:rsidRPr="00E81073">
              <w:rPr>
                <w:rFonts w:ascii="Arial Narrow" w:hAnsi="Arial Narrow"/>
                <w:b/>
                <w:bCs/>
                <w:sz w:val="18"/>
                <w:szCs w:val="18"/>
              </w:rPr>
              <w:t>OR (95%CI)</w:t>
            </w:r>
          </w:p>
        </w:tc>
        <w:tc>
          <w:tcPr>
            <w:tcW w:w="775" w:type="pct"/>
            <w:tcBorders>
              <w:bottom w:val="single" w:sz="4" w:space="0" w:color="auto"/>
              <w:right w:val="single" w:sz="4" w:space="0" w:color="auto"/>
            </w:tcBorders>
            <w:vAlign w:val="center"/>
          </w:tcPr>
          <w:p w14:paraId="1D26F853" w14:textId="77777777" w:rsidR="00DE4C41" w:rsidRPr="00E81073" w:rsidRDefault="00DE4C41" w:rsidP="00621EA3">
            <w:pPr>
              <w:keepNext/>
              <w:jc w:val="center"/>
              <w:rPr>
                <w:rFonts w:ascii="Arial Narrow" w:hAnsi="Arial Narrow"/>
                <w:b/>
                <w:bCs/>
                <w:sz w:val="18"/>
                <w:szCs w:val="18"/>
              </w:rPr>
            </w:pPr>
            <w:r w:rsidRPr="00E81073">
              <w:rPr>
                <w:rFonts w:ascii="Arial Narrow" w:hAnsi="Arial Narrow"/>
                <w:b/>
                <w:bCs/>
                <w:sz w:val="18"/>
                <w:szCs w:val="18"/>
              </w:rPr>
              <w:t>RD (95%CI)</w:t>
            </w:r>
          </w:p>
        </w:tc>
      </w:tr>
      <w:tr w:rsidR="00DE4C41" w:rsidRPr="00E81073" w14:paraId="44A9A1DC" w14:textId="77777777" w:rsidTr="00621EA3">
        <w:tc>
          <w:tcPr>
            <w:tcW w:w="2673" w:type="pct"/>
            <w:gridSpan w:val="3"/>
            <w:vAlign w:val="center"/>
          </w:tcPr>
          <w:p w14:paraId="6100CBF3" w14:textId="77777777" w:rsidR="00DE4C41" w:rsidRPr="00E81073" w:rsidRDefault="00DE4C41" w:rsidP="00621EA3">
            <w:pPr>
              <w:keepNext/>
              <w:jc w:val="left"/>
              <w:rPr>
                <w:rFonts w:ascii="Arial Narrow" w:hAnsi="Arial Narrow"/>
                <w:b/>
                <w:bCs/>
                <w:sz w:val="18"/>
                <w:szCs w:val="18"/>
              </w:rPr>
            </w:pPr>
            <w:r w:rsidRPr="00E81073">
              <w:rPr>
                <w:rFonts w:ascii="Arial Narrow" w:hAnsi="Arial Narrow"/>
                <w:b/>
                <w:bCs/>
                <w:sz w:val="18"/>
                <w:szCs w:val="18"/>
              </w:rPr>
              <w:t>BKZ vs ADA</w:t>
            </w:r>
          </w:p>
        </w:tc>
        <w:tc>
          <w:tcPr>
            <w:tcW w:w="776" w:type="pct"/>
            <w:tcBorders>
              <w:bottom w:val="nil"/>
              <w:right w:val="single" w:sz="4" w:space="0" w:color="auto"/>
            </w:tcBorders>
            <w:vAlign w:val="center"/>
          </w:tcPr>
          <w:p w14:paraId="769D1180" w14:textId="77777777" w:rsidR="00DE4C41" w:rsidRPr="00E81073" w:rsidRDefault="00DE4C41" w:rsidP="00621EA3">
            <w:pPr>
              <w:keepNext/>
              <w:jc w:val="center"/>
              <w:rPr>
                <w:rFonts w:ascii="Arial Narrow" w:hAnsi="Arial Narrow"/>
                <w:bCs/>
                <w:sz w:val="18"/>
                <w:szCs w:val="18"/>
                <w:highlight w:val="yellow"/>
              </w:rPr>
            </w:pPr>
          </w:p>
        </w:tc>
        <w:tc>
          <w:tcPr>
            <w:tcW w:w="776" w:type="pct"/>
            <w:tcBorders>
              <w:left w:val="single" w:sz="4" w:space="0" w:color="auto"/>
              <w:bottom w:val="nil"/>
              <w:right w:val="single" w:sz="4" w:space="0" w:color="auto"/>
            </w:tcBorders>
            <w:vAlign w:val="center"/>
          </w:tcPr>
          <w:p w14:paraId="02B54EBE" w14:textId="77777777" w:rsidR="00DE4C41" w:rsidRPr="00E81073" w:rsidRDefault="00DE4C41" w:rsidP="00621EA3">
            <w:pPr>
              <w:keepNext/>
              <w:jc w:val="center"/>
              <w:rPr>
                <w:rFonts w:ascii="Arial Narrow" w:hAnsi="Arial Narrow"/>
                <w:bCs/>
                <w:sz w:val="18"/>
                <w:szCs w:val="18"/>
                <w:highlight w:val="yellow"/>
              </w:rPr>
            </w:pPr>
          </w:p>
        </w:tc>
        <w:tc>
          <w:tcPr>
            <w:tcW w:w="775" w:type="pct"/>
            <w:tcBorders>
              <w:left w:val="single" w:sz="4" w:space="0" w:color="auto"/>
              <w:bottom w:val="nil"/>
              <w:right w:val="single" w:sz="4" w:space="0" w:color="auto"/>
            </w:tcBorders>
            <w:vAlign w:val="center"/>
          </w:tcPr>
          <w:p w14:paraId="009A9097" w14:textId="77777777" w:rsidR="00DE4C41" w:rsidRPr="00E81073" w:rsidRDefault="00DE4C41" w:rsidP="00621EA3">
            <w:pPr>
              <w:keepNext/>
              <w:jc w:val="center"/>
              <w:rPr>
                <w:rFonts w:ascii="Arial Narrow" w:hAnsi="Arial Narrow"/>
                <w:bCs/>
                <w:sz w:val="18"/>
                <w:szCs w:val="18"/>
                <w:highlight w:val="yellow"/>
              </w:rPr>
            </w:pPr>
          </w:p>
        </w:tc>
      </w:tr>
      <w:tr w:rsidR="00DE4C41" w:rsidRPr="00E81073" w14:paraId="7C1866DF" w14:textId="77777777" w:rsidTr="00621EA3">
        <w:tc>
          <w:tcPr>
            <w:tcW w:w="1493" w:type="pct"/>
            <w:vAlign w:val="center"/>
          </w:tcPr>
          <w:p w14:paraId="3AB35DD1" w14:textId="77777777" w:rsidR="00DE4C41" w:rsidRPr="00E81073" w:rsidRDefault="00DE4C41" w:rsidP="00621EA3">
            <w:pPr>
              <w:keepNext/>
              <w:jc w:val="left"/>
              <w:rPr>
                <w:rFonts w:ascii="Arial Narrow" w:hAnsi="Arial Narrow"/>
                <w:bCs/>
                <w:sz w:val="18"/>
                <w:szCs w:val="18"/>
              </w:rPr>
            </w:pPr>
            <w:r w:rsidRPr="00E81073">
              <w:rPr>
                <w:rFonts w:ascii="Arial Narrow" w:hAnsi="Arial Narrow"/>
                <w:bCs/>
                <w:sz w:val="18"/>
                <w:szCs w:val="18"/>
              </w:rPr>
              <w:t>BE OPTIMAL, W16, ITT (bNaive)</w:t>
            </w:r>
          </w:p>
        </w:tc>
        <w:tc>
          <w:tcPr>
            <w:tcW w:w="590" w:type="pct"/>
            <w:vAlign w:val="center"/>
          </w:tcPr>
          <w:p w14:paraId="0E22ED0D" w14:textId="77777777" w:rsidR="00DE4C41" w:rsidRPr="00E81073" w:rsidRDefault="00DE4C41" w:rsidP="00621EA3">
            <w:pPr>
              <w:keepNext/>
              <w:jc w:val="center"/>
              <w:rPr>
                <w:rFonts w:ascii="Arial Narrow" w:hAnsi="Arial Narrow"/>
                <w:bCs/>
                <w:sz w:val="18"/>
                <w:szCs w:val="18"/>
              </w:rPr>
            </w:pPr>
            <w:r w:rsidRPr="00E81073">
              <w:rPr>
                <w:rFonts w:ascii="Arial Narrow" w:hAnsi="Arial Narrow"/>
                <w:bCs/>
                <w:sz w:val="18"/>
                <w:szCs w:val="18"/>
              </w:rPr>
              <w:t>189/431 (43.9)</w:t>
            </w:r>
          </w:p>
        </w:tc>
        <w:tc>
          <w:tcPr>
            <w:tcW w:w="590" w:type="pct"/>
            <w:tcBorders>
              <w:bottom w:val="single" w:sz="4" w:space="0" w:color="auto"/>
            </w:tcBorders>
            <w:vAlign w:val="center"/>
          </w:tcPr>
          <w:p w14:paraId="6CECC231" w14:textId="77777777" w:rsidR="00DE4C41" w:rsidRPr="00E81073" w:rsidRDefault="00DE4C41" w:rsidP="00621EA3">
            <w:pPr>
              <w:keepNext/>
              <w:jc w:val="center"/>
              <w:rPr>
                <w:rFonts w:ascii="Arial Narrow" w:hAnsi="Arial Narrow"/>
                <w:bCs/>
                <w:sz w:val="18"/>
                <w:szCs w:val="18"/>
              </w:rPr>
            </w:pPr>
            <w:r w:rsidRPr="00E81073">
              <w:rPr>
                <w:rFonts w:ascii="Arial Narrow" w:hAnsi="Arial Narrow"/>
                <w:bCs/>
                <w:sz w:val="18"/>
                <w:szCs w:val="18"/>
              </w:rPr>
              <w:t>64/140 (45.7)</w:t>
            </w:r>
          </w:p>
        </w:tc>
        <w:tc>
          <w:tcPr>
            <w:tcW w:w="776" w:type="pct"/>
            <w:tcBorders>
              <w:top w:val="nil"/>
              <w:bottom w:val="single" w:sz="4" w:space="0" w:color="auto"/>
              <w:right w:val="single" w:sz="4" w:space="0" w:color="auto"/>
            </w:tcBorders>
            <w:vAlign w:val="center"/>
          </w:tcPr>
          <w:p w14:paraId="51E2D407" w14:textId="74E56FFF" w:rsidR="00DE4C41" w:rsidRPr="00E81073" w:rsidRDefault="00DE4C41" w:rsidP="00621EA3">
            <w:pPr>
              <w:keepNext/>
              <w:jc w:val="center"/>
              <w:rPr>
                <w:rFonts w:ascii="Arial Narrow" w:hAnsi="Arial Narrow"/>
                <w:bCs/>
                <w:sz w:val="18"/>
                <w:szCs w:val="18"/>
              </w:rPr>
            </w:pPr>
            <w:r w:rsidRPr="00E81073">
              <w:rPr>
                <w:rFonts w:ascii="Arial Narrow" w:hAnsi="Arial Narrow"/>
                <w:bCs/>
                <w:sz w:val="18"/>
                <w:szCs w:val="18"/>
              </w:rPr>
              <w:t>0.96 (0.78,</w:t>
            </w:r>
            <w:r w:rsidR="00D80CAA" w:rsidRPr="00E81073">
              <w:rPr>
                <w:rFonts w:ascii="Arial Narrow" w:hAnsi="Arial Narrow"/>
                <w:bCs/>
                <w:sz w:val="18"/>
                <w:szCs w:val="18"/>
              </w:rPr>
              <w:t xml:space="preserve"> </w:t>
            </w:r>
            <w:r w:rsidRPr="00E81073">
              <w:rPr>
                <w:rFonts w:ascii="Arial Narrow" w:hAnsi="Arial Narrow"/>
                <w:bCs/>
                <w:sz w:val="18"/>
                <w:szCs w:val="18"/>
              </w:rPr>
              <w:t>1.18)</w:t>
            </w:r>
          </w:p>
        </w:tc>
        <w:tc>
          <w:tcPr>
            <w:tcW w:w="776" w:type="pct"/>
            <w:tcBorders>
              <w:top w:val="nil"/>
              <w:left w:val="single" w:sz="4" w:space="0" w:color="auto"/>
              <w:bottom w:val="single" w:sz="4" w:space="0" w:color="auto"/>
              <w:right w:val="single" w:sz="4" w:space="0" w:color="auto"/>
            </w:tcBorders>
            <w:vAlign w:val="center"/>
          </w:tcPr>
          <w:p w14:paraId="05ECDEB2" w14:textId="21066DF8" w:rsidR="00DE4C41" w:rsidRPr="00E81073" w:rsidRDefault="00DE4C41" w:rsidP="00621EA3">
            <w:pPr>
              <w:keepNext/>
              <w:jc w:val="center"/>
              <w:rPr>
                <w:rFonts w:ascii="Arial Narrow" w:hAnsi="Arial Narrow"/>
                <w:bCs/>
                <w:sz w:val="18"/>
                <w:szCs w:val="18"/>
                <w:highlight w:val="yellow"/>
              </w:rPr>
            </w:pPr>
            <w:r w:rsidRPr="00E81073">
              <w:rPr>
                <w:rFonts w:ascii="Arial Narrow" w:hAnsi="Arial Narrow"/>
                <w:bCs/>
                <w:sz w:val="18"/>
                <w:szCs w:val="18"/>
              </w:rPr>
              <w:t>0.93 (0.63,</w:t>
            </w:r>
            <w:r w:rsidR="00D80CAA" w:rsidRPr="00E81073">
              <w:rPr>
                <w:rFonts w:ascii="Arial Narrow" w:hAnsi="Arial Narrow"/>
                <w:bCs/>
                <w:sz w:val="18"/>
                <w:szCs w:val="18"/>
              </w:rPr>
              <w:t xml:space="preserve"> </w:t>
            </w:r>
            <w:r w:rsidRPr="00E81073">
              <w:rPr>
                <w:rFonts w:ascii="Arial Narrow" w:hAnsi="Arial Narrow"/>
                <w:bCs/>
                <w:sz w:val="18"/>
                <w:szCs w:val="18"/>
              </w:rPr>
              <w:t>1.36)</w:t>
            </w:r>
          </w:p>
        </w:tc>
        <w:tc>
          <w:tcPr>
            <w:tcW w:w="775" w:type="pct"/>
            <w:tcBorders>
              <w:top w:val="nil"/>
              <w:left w:val="single" w:sz="4" w:space="0" w:color="auto"/>
              <w:bottom w:val="single" w:sz="4" w:space="0" w:color="auto"/>
              <w:right w:val="single" w:sz="4" w:space="0" w:color="auto"/>
            </w:tcBorders>
            <w:vAlign w:val="center"/>
          </w:tcPr>
          <w:p w14:paraId="6B281772" w14:textId="21D28B03" w:rsidR="00DE4C41" w:rsidRPr="00E81073" w:rsidRDefault="00DE4C41" w:rsidP="00621EA3">
            <w:pPr>
              <w:keepNext/>
              <w:jc w:val="center"/>
              <w:rPr>
                <w:rFonts w:ascii="Arial Narrow" w:hAnsi="Arial Narrow"/>
                <w:bCs/>
                <w:sz w:val="18"/>
                <w:szCs w:val="18"/>
                <w:highlight w:val="yellow"/>
              </w:rPr>
            </w:pPr>
            <w:r w:rsidRPr="00E81073">
              <w:rPr>
                <w:rFonts w:ascii="Arial Narrow" w:hAnsi="Arial Narrow"/>
                <w:bCs/>
                <w:sz w:val="18"/>
                <w:szCs w:val="18"/>
              </w:rPr>
              <w:t>-0.02 (-0.11,</w:t>
            </w:r>
            <w:r w:rsidR="00986093" w:rsidRPr="00E81073">
              <w:rPr>
                <w:rFonts w:ascii="Arial Narrow" w:hAnsi="Arial Narrow"/>
                <w:bCs/>
                <w:sz w:val="18"/>
                <w:szCs w:val="18"/>
              </w:rPr>
              <w:t xml:space="preserve"> </w:t>
            </w:r>
            <w:r w:rsidRPr="00E81073">
              <w:rPr>
                <w:rFonts w:ascii="Arial Narrow" w:hAnsi="Arial Narrow"/>
                <w:bCs/>
                <w:sz w:val="18"/>
                <w:szCs w:val="18"/>
              </w:rPr>
              <w:t>0.08)</w:t>
            </w:r>
          </w:p>
        </w:tc>
      </w:tr>
      <w:tr w:rsidR="00DE4C41" w:rsidRPr="00E81073" w14:paraId="22136D04" w14:textId="77777777" w:rsidTr="00621EA3">
        <w:tc>
          <w:tcPr>
            <w:tcW w:w="2673" w:type="pct"/>
            <w:gridSpan w:val="3"/>
            <w:tcBorders>
              <w:bottom w:val="single" w:sz="4" w:space="0" w:color="auto"/>
            </w:tcBorders>
            <w:vAlign w:val="center"/>
          </w:tcPr>
          <w:p w14:paraId="4F2F7FF5" w14:textId="77777777" w:rsidR="00DE4C41" w:rsidRPr="00E81073" w:rsidRDefault="00DE4C41" w:rsidP="00621EA3">
            <w:pPr>
              <w:keepNext/>
              <w:jc w:val="left"/>
              <w:rPr>
                <w:rFonts w:ascii="Arial Narrow" w:hAnsi="Arial Narrow"/>
                <w:bCs/>
                <w:sz w:val="18"/>
                <w:szCs w:val="18"/>
              </w:rPr>
            </w:pPr>
            <w:r w:rsidRPr="00E81073">
              <w:rPr>
                <w:rFonts w:ascii="Arial Narrow" w:hAnsi="Arial Narrow"/>
                <w:b/>
                <w:bCs/>
                <w:sz w:val="18"/>
                <w:szCs w:val="18"/>
              </w:rPr>
              <w:t>BKZ vs PBO</w:t>
            </w:r>
          </w:p>
        </w:tc>
        <w:tc>
          <w:tcPr>
            <w:tcW w:w="776" w:type="pct"/>
            <w:tcBorders>
              <w:top w:val="nil"/>
              <w:bottom w:val="nil"/>
              <w:right w:val="single" w:sz="4" w:space="0" w:color="auto"/>
            </w:tcBorders>
            <w:vAlign w:val="center"/>
          </w:tcPr>
          <w:p w14:paraId="6C4CB916" w14:textId="77777777" w:rsidR="00DE4C41" w:rsidRPr="00E81073" w:rsidRDefault="00DE4C41" w:rsidP="00621EA3">
            <w:pPr>
              <w:keepNext/>
              <w:jc w:val="center"/>
              <w:rPr>
                <w:rFonts w:ascii="Arial Narrow" w:hAnsi="Arial Narrow"/>
                <w:bCs/>
                <w:sz w:val="18"/>
                <w:szCs w:val="18"/>
                <w:highlight w:val="yellow"/>
              </w:rPr>
            </w:pPr>
          </w:p>
        </w:tc>
        <w:tc>
          <w:tcPr>
            <w:tcW w:w="776" w:type="pct"/>
            <w:tcBorders>
              <w:top w:val="nil"/>
              <w:left w:val="single" w:sz="4" w:space="0" w:color="auto"/>
              <w:bottom w:val="nil"/>
              <w:right w:val="single" w:sz="4" w:space="0" w:color="auto"/>
            </w:tcBorders>
            <w:vAlign w:val="center"/>
          </w:tcPr>
          <w:p w14:paraId="56656E16" w14:textId="77777777" w:rsidR="00DE4C41" w:rsidRPr="00E81073" w:rsidRDefault="00DE4C41" w:rsidP="00621EA3">
            <w:pPr>
              <w:keepNext/>
              <w:jc w:val="center"/>
              <w:rPr>
                <w:rFonts w:ascii="Arial Narrow" w:hAnsi="Arial Narrow"/>
                <w:bCs/>
                <w:sz w:val="18"/>
                <w:szCs w:val="18"/>
                <w:highlight w:val="yellow"/>
              </w:rPr>
            </w:pPr>
          </w:p>
        </w:tc>
        <w:tc>
          <w:tcPr>
            <w:tcW w:w="775" w:type="pct"/>
            <w:tcBorders>
              <w:top w:val="nil"/>
              <w:left w:val="single" w:sz="4" w:space="0" w:color="auto"/>
              <w:bottom w:val="nil"/>
              <w:right w:val="single" w:sz="4" w:space="0" w:color="auto"/>
            </w:tcBorders>
            <w:vAlign w:val="center"/>
          </w:tcPr>
          <w:p w14:paraId="0C3D2DD1" w14:textId="77777777" w:rsidR="00DE4C41" w:rsidRPr="00E81073" w:rsidRDefault="00DE4C41" w:rsidP="00621EA3">
            <w:pPr>
              <w:keepNext/>
              <w:jc w:val="center"/>
              <w:rPr>
                <w:rFonts w:ascii="Arial Narrow" w:hAnsi="Arial Narrow"/>
                <w:bCs/>
                <w:sz w:val="18"/>
                <w:szCs w:val="18"/>
                <w:highlight w:val="yellow"/>
              </w:rPr>
            </w:pPr>
          </w:p>
        </w:tc>
      </w:tr>
      <w:tr w:rsidR="00DE4C41" w:rsidRPr="00E81073" w14:paraId="7F1C4CBA" w14:textId="77777777" w:rsidTr="00621EA3">
        <w:tc>
          <w:tcPr>
            <w:tcW w:w="1493" w:type="pct"/>
            <w:tcBorders>
              <w:bottom w:val="nil"/>
            </w:tcBorders>
            <w:vAlign w:val="center"/>
          </w:tcPr>
          <w:p w14:paraId="5E49EDDF" w14:textId="77777777" w:rsidR="00DE4C41" w:rsidRPr="00E81073" w:rsidRDefault="00DE4C41" w:rsidP="00621EA3">
            <w:pPr>
              <w:keepNext/>
              <w:jc w:val="left"/>
              <w:rPr>
                <w:rFonts w:ascii="Arial Narrow" w:hAnsi="Arial Narrow"/>
                <w:bCs/>
                <w:sz w:val="18"/>
                <w:szCs w:val="18"/>
              </w:rPr>
            </w:pPr>
            <w:r w:rsidRPr="00E81073">
              <w:rPr>
                <w:rFonts w:ascii="Arial Narrow" w:hAnsi="Arial Narrow"/>
                <w:bCs/>
                <w:sz w:val="18"/>
                <w:szCs w:val="18"/>
              </w:rPr>
              <w:t>BE ACTIVE, W12, ITT (bNaive+TNFe)</w:t>
            </w:r>
          </w:p>
        </w:tc>
        <w:tc>
          <w:tcPr>
            <w:tcW w:w="590" w:type="pct"/>
            <w:tcBorders>
              <w:bottom w:val="nil"/>
            </w:tcBorders>
            <w:vAlign w:val="center"/>
          </w:tcPr>
          <w:p w14:paraId="55375F6C" w14:textId="77777777" w:rsidR="00DE4C41" w:rsidRPr="00E81073" w:rsidRDefault="00DE4C41" w:rsidP="00621EA3">
            <w:pPr>
              <w:keepNext/>
              <w:jc w:val="center"/>
              <w:rPr>
                <w:rFonts w:ascii="Arial Narrow" w:hAnsi="Arial Narrow"/>
                <w:bCs/>
                <w:sz w:val="18"/>
                <w:szCs w:val="18"/>
              </w:rPr>
            </w:pPr>
            <w:r w:rsidRPr="00E81073">
              <w:rPr>
                <w:rFonts w:ascii="Arial Narrow" w:hAnsi="Arial Narrow"/>
                <w:bCs/>
                <w:sz w:val="18"/>
                <w:szCs w:val="18"/>
              </w:rPr>
              <w:t>17/41 (41.5)</w:t>
            </w:r>
          </w:p>
        </w:tc>
        <w:tc>
          <w:tcPr>
            <w:tcW w:w="590" w:type="pct"/>
            <w:tcBorders>
              <w:bottom w:val="nil"/>
            </w:tcBorders>
            <w:vAlign w:val="center"/>
          </w:tcPr>
          <w:p w14:paraId="4854A327" w14:textId="77777777" w:rsidR="00DE4C41" w:rsidRPr="00E81073" w:rsidRDefault="00DE4C41" w:rsidP="00621EA3">
            <w:pPr>
              <w:keepNext/>
              <w:jc w:val="center"/>
              <w:rPr>
                <w:rFonts w:ascii="Arial Narrow" w:hAnsi="Arial Narrow"/>
                <w:bCs/>
                <w:sz w:val="18"/>
                <w:szCs w:val="18"/>
              </w:rPr>
            </w:pPr>
            <w:r w:rsidRPr="00E81073">
              <w:rPr>
                <w:rFonts w:ascii="Arial Narrow" w:hAnsi="Arial Narrow"/>
                <w:bCs/>
                <w:sz w:val="18"/>
                <w:szCs w:val="18"/>
              </w:rPr>
              <w:t>3/42 (7.1)</w:t>
            </w:r>
          </w:p>
        </w:tc>
        <w:tc>
          <w:tcPr>
            <w:tcW w:w="776" w:type="pct"/>
            <w:tcBorders>
              <w:top w:val="nil"/>
              <w:bottom w:val="nil"/>
              <w:right w:val="single" w:sz="4" w:space="0" w:color="auto"/>
            </w:tcBorders>
            <w:vAlign w:val="center"/>
          </w:tcPr>
          <w:p w14:paraId="7203DEBD" w14:textId="225169EE" w:rsidR="00DE4C41" w:rsidRPr="00E81073" w:rsidRDefault="00DE4C41" w:rsidP="00621EA3">
            <w:pPr>
              <w:keepNext/>
              <w:jc w:val="center"/>
              <w:rPr>
                <w:rFonts w:ascii="Arial Narrow" w:hAnsi="Arial Narrow"/>
                <w:b/>
                <w:bCs/>
                <w:sz w:val="18"/>
                <w:szCs w:val="18"/>
                <w:highlight w:val="yellow"/>
              </w:rPr>
            </w:pPr>
            <w:r w:rsidRPr="00E81073">
              <w:rPr>
                <w:rFonts w:ascii="Arial Narrow" w:hAnsi="Arial Narrow"/>
                <w:b/>
                <w:bCs/>
                <w:sz w:val="18"/>
                <w:szCs w:val="18"/>
              </w:rPr>
              <w:t>5.80 (1.84,</w:t>
            </w:r>
            <w:r w:rsidR="00986093" w:rsidRPr="00E81073">
              <w:rPr>
                <w:rFonts w:ascii="Arial Narrow" w:hAnsi="Arial Narrow"/>
                <w:b/>
                <w:bCs/>
                <w:sz w:val="18"/>
                <w:szCs w:val="18"/>
              </w:rPr>
              <w:t xml:space="preserve"> </w:t>
            </w:r>
            <w:r w:rsidRPr="00E81073">
              <w:rPr>
                <w:rFonts w:ascii="Arial Narrow" w:hAnsi="Arial Narrow"/>
                <w:b/>
                <w:bCs/>
                <w:sz w:val="18"/>
                <w:szCs w:val="18"/>
              </w:rPr>
              <w:t>18.32)</w:t>
            </w:r>
          </w:p>
        </w:tc>
        <w:tc>
          <w:tcPr>
            <w:tcW w:w="776" w:type="pct"/>
            <w:tcBorders>
              <w:top w:val="nil"/>
              <w:left w:val="single" w:sz="4" w:space="0" w:color="auto"/>
              <w:bottom w:val="nil"/>
              <w:right w:val="single" w:sz="4" w:space="0" w:color="auto"/>
            </w:tcBorders>
            <w:vAlign w:val="center"/>
          </w:tcPr>
          <w:p w14:paraId="1984F51E" w14:textId="1A3012AC" w:rsidR="00DE4C41" w:rsidRPr="00E81073" w:rsidRDefault="00DE4C41" w:rsidP="00621EA3">
            <w:pPr>
              <w:keepNext/>
              <w:jc w:val="center"/>
              <w:rPr>
                <w:rFonts w:ascii="Arial Narrow" w:hAnsi="Arial Narrow"/>
                <w:b/>
                <w:bCs/>
                <w:sz w:val="18"/>
                <w:szCs w:val="18"/>
                <w:highlight w:val="yellow"/>
              </w:rPr>
            </w:pPr>
            <w:r w:rsidRPr="00E81073">
              <w:rPr>
                <w:rFonts w:ascii="Arial Narrow" w:hAnsi="Arial Narrow"/>
                <w:b/>
                <w:bCs/>
                <w:sz w:val="18"/>
                <w:szCs w:val="18"/>
              </w:rPr>
              <w:t>9.21 (2.44,</w:t>
            </w:r>
            <w:r w:rsidR="00986093" w:rsidRPr="00E81073">
              <w:rPr>
                <w:rFonts w:ascii="Arial Narrow" w:hAnsi="Arial Narrow"/>
                <w:b/>
                <w:bCs/>
                <w:sz w:val="18"/>
                <w:szCs w:val="18"/>
              </w:rPr>
              <w:t xml:space="preserve"> </w:t>
            </w:r>
            <w:r w:rsidRPr="00E81073">
              <w:rPr>
                <w:rFonts w:ascii="Arial Narrow" w:hAnsi="Arial Narrow"/>
                <w:b/>
                <w:bCs/>
                <w:sz w:val="18"/>
                <w:szCs w:val="18"/>
              </w:rPr>
              <w:t>34.77)</w:t>
            </w:r>
          </w:p>
        </w:tc>
        <w:tc>
          <w:tcPr>
            <w:tcW w:w="775" w:type="pct"/>
            <w:tcBorders>
              <w:top w:val="nil"/>
              <w:left w:val="single" w:sz="4" w:space="0" w:color="auto"/>
              <w:bottom w:val="nil"/>
              <w:right w:val="single" w:sz="4" w:space="0" w:color="auto"/>
            </w:tcBorders>
            <w:vAlign w:val="center"/>
          </w:tcPr>
          <w:p w14:paraId="1CBC4E80" w14:textId="0E823188" w:rsidR="00DE4C41" w:rsidRPr="00E81073" w:rsidRDefault="00DE4C41" w:rsidP="00621EA3">
            <w:pPr>
              <w:keepNext/>
              <w:jc w:val="center"/>
              <w:rPr>
                <w:rFonts w:ascii="Arial Narrow" w:hAnsi="Arial Narrow"/>
                <w:b/>
                <w:bCs/>
                <w:sz w:val="18"/>
                <w:szCs w:val="18"/>
                <w:highlight w:val="yellow"/>
              </w:rPr>
            </w:pPr>
            <w:r w:rsidRPr="00E81073">
              <w:rPr>
                <w:rFonts w:ascii="Arial Narrow" w:hAnsi="Arial Narrow"/>
                <w:b/>
                <w:bCs/>
                <w:sz w:val="18"/>
                <w:szCs w:val="18"/>
              </w:rPr>
              <w:t>0.34 (0.17,</w:t>
            </w:r>
            <w:r w:rsidR="00986093" w:rsidRPr="00E81073">
              <w:rPr>
                <w:rFonts w:ascii="Arial Narrow" w:hAnsi="Arial Narrow"/>
                <w:b/>
                <w:bCs/>
                <w:sz w:val="18"/>
                <w:szCs w:val="18"/>
              </w:rPr>
              <w:t xml:space="preserve"> </w:t>
            </w:r>
            <w:r w:rsidRPr="00E81073">
              <w:rPr>
                <w:rFonts w:ascii="Arial Narrow" w:hAnsi="Arial Narrow"/>
                <w:b/>
                <w:bCs/>
                <w:sz w:val="18"/>
                <w:szCs w:val="18"/>
              </w:rPr>
              <w:t>0.51)</w:t>
            </w:r>
          </w:p>
        </w:tc>
      </w:tr>
      <w:tr w:rsidR="00DE4C41" w:rsidRPr="00E81073" w14:paraId="0DD07118" w14:textId="77777777" w:rsidTr="00621EA3">
        <w:tc>
          <w:tcPr>
            <w:tcW w:w="1493" w:type="pct"/>
            <w:tcBorders>
              <w:top w:val="nil"/>
              <w:bottom w:val="nil"/>
            </w:tcBorders>
            <w:vAlign w:val="center"/>
          </w:tcPr>
          <w:p w14:paraId="7BB87FAA" w14:textId="77777777" w:rsidR="00DE4C41" w:rsidRPr="00E81073" w:rsidRDefault="00DE4C41" w:rsidP="00621EA3">
            <w:pPr>
              <w:keepNext/>
              <w:jc w:val="left"/>
              <w:rPr>
                <w:rFonts w:ascii="Arial Narrow" w:hAnsi="Arial Narrow"/>
                <w:bCs/>
                <w:sz w:val="18"/>
                <w:szCs w:val="18"/>
              </w:rPr>
            </w:pPr>
            <w:r w:rsidRPr="00E81073">
              <w:rPr>
                <w:rFonts w:ascii="Arial Narrow" w:hAnsi="Arial Narrow"/>
                <w:bCs/>
                <w:sz w:val="18"/>
                <w:szCs w:val="18"/>
              </w:rPr>
              <w:t>BE OPTIMAL, W16, ITT (bNaive)</w:t>
            </w:r>
          </w:p>
        </w:tc>
        <w:tc>
          <w:tcPr>
            <w:tcW w:w="590" w:type="pct"/>
            <w:tcBorders>
              <w:top w:val="nil"/>
              <w:bottom w:val="nil"/>
            </w:tcBorders>
            <w:vAlign w:val="center"/>
          </w:tcPr>
          <w:p w14:paraId="7006A5F3" w14:textId="77777777" w:rsidR="00DE4C41" w:rsidRPr="00E81073" w:rsidRDefault="00DE4C41" w:rsidP="00621EA3">
            <w:pPr>
              <w:keepNext/>
              <w:jc w:val="center"/>
              <w:rPr>
                <w:rFonts w:ascii="Arial Narrow" w:hAnsi="Arial Narrow"/>
                <w:bCs/>
                <w:sz w:val="18"/>
                <w:szCs w:val="18"/>
              </w:rPr>
            </w:pPr>
            <w:r w:rsidRPr="00E81073">
              <w:rPr>
                <w:rFonts w:ascii="Arial Narrow" w:hAnsi="Arial Narrow"/>
                <w:bCs/>
                <w:sz w:val="18"/>
                <w:szCs w:val="18"/>
              </w:rPr>
              <w:t>189/431 (43.9)</w:t>
            </w:r>
          </w:p>
        </w:tc>
        <w:tc>
          <w:tcPr>
            <w:tcW w:w="590" w:type="pct"/>
            <w:tcBorders>
              <w:top w:val="nil"/>
              <w:bottom w:val="nil"/>
            </w:tcBorders>
            <w:vAlign w:val="center"/>
          </w:tcPr>
          <w:p w14:paraId="4A194B98" w14:textId="77777777" w:rsidR="00DE4C41" w:rsidRPr="00E81073" w:rsidRDefault="00DE4C41" w:rsidP="00621EA3">
            <w:pPr>
              <w:keepNext/>
              <w:jc w:val="center"/>
              <w:rPr>
                <w:rFonts w:ascii="Arial Narrow" w:hAnsi="Arial Narrow"/>
                <w:bCs/>
                <w:sz w:val="18"/>
                <w:szCs w:val="18"/>
              </w:rPr>
            </w:pPr>
            <w:r w:rsidRPr="00E81073">
              <w:rPr>
                <w:rFonts w:ascii="Arial Narrow" w:hAnsi="Arial Narrow"/>
                <w:bCs/>
                <w:sz w:val="18"/>
                <w:szCs w:val="18"/>
              </w:rPr>
              <w:t>28/281 (10.0)</w:t>
            </w:r>
          </w:p>
        </w:tc>
        <w:tc>
          <w:tcPr>
            <w:tcW w:w="776" w:type="pct"/>
            <w:tcBorders>
              <w:top w:val="nil"/>
              <w:bottom w:val="nil"/>
              <w:right w:val="single" w:sz="4" w:space="0" w:color="auto"/>
            </w:tcBorders>
            <w:vAlign w:val="center"/>
          </w:tcPr>
          <w:p w14:paraId="4775EAD9" w14:textId="7CB0B660" w:rsidR="00DE4C41" w:rsidRPr="00E81073" w:rsidRDefault="00DE4C41" w:rsidP="00621EA3">
            <w:pPr>
              <w:keepNext/>
              <w:jc w:val="center"/>
              <w:rPr>
                <w:rFonts w:ascii="Arial Narrow" w:hAnsi="Arial Narrow"/>
                <w:b/>
                <w:bCs/>
                <w:sz w:val="18"/>
                <w:szCs w:val="18"/>
                <w:highlight w:val="yellow"/>
              </w:rPr>
            </w:pPr>
            <w:r w:rsidRPr="00E81073">
              <w:rPr>
                <w:rFonts w:ascii="Arial Narrow" w:hAnsi="Arial Narrow"/>
                <w:b/>
                <w:bCs/>
                <w:sz w:val="18"/>
                <w:szCs w:val="18"/>
              </w:rPr>
              <w:t>4.40 (3.05,</w:t>
            </w:r>
            <w:r w:rsidR="00986093" w:rsidRPr="00E81073">
              <w:rPr>
                <w:rFonts w:ascii="Arial Narrow" w:hAnsi="Arial Narrow"/>
                <w:b/>
                <w:bCs/>
                <w:sz w:val="18"/>
                <w:szCs w:val="18"/>
              </w:rPr>
              <w:t xml:space="preserve"> </w:t>
            </w:r>
            <w:r w:rsidRPr="00E81073">
              <w:rPr>
                <w:rFonts w:ascii="Arial Narrow" w:hAnsi="Arial Narrow"/>
                <w:b/>
                <w:bCs/>
                <w:sz w:val="18"/>
                <w:szCs w:val="18"/>
              </w:rPr>
              <w:t>6.35)</w:t>
            </w:r>
          </w:p>
        </w:tc>
        <w:tc>
          <w:tcPr>
            <w:tcW w:w="776" w:type="pct"/>
            <w:tcBorders>
              <w:top w:val="nil"/>
              <w:left w:val="single" w:sz="4" w:space="0" w:color="auto"/>
              <w:bottom w:val="nil"/>
              <w:right w:val="single" w:sz="4" w:space="0" w:color="auto"/>
            </w:tcBorders>
            <w:vAlign w:val="center"/>
          </w:tcPr>
          <w:p w14:paraId="11BF5E80" w14:textId="414918A4" w:rsidR="00DE4C41" w:rsidRPr="00E81073" w:rsidRDefault="00DE4C41" w:rsidP="00621EA3">
            <w:pPr>
              <w:keepNext/>
              <w:jc w:val="center"/>
              <w:rPr>
                <w:rFonts w:ascii="Arial Narrow" w:hAnsi="Arial Narrow"/>
                <w:b/>
                <w:bCs/>
                <w:sz w:val="18"/>
                <w:szCs w:val="18"/>
                <w:highlight w:val="yellow"/>
              </w:rPr>
            </w:pPr>
            <w:r w:rsidRPr="00E81073">
              <w:rPr>
                <w:rFonts w:ascii="Arial Narrow" w:hAnsi="Arial Narrow"/>
                <w:b/>
                <w:bCs/>
                <w:sz w:val="18"/>
                <w:szCs w:val="18"/>
              </w:rPr>
              <w:t>7.06 (4.57,</w:t>
            </w:r>
            <w:r w:rsidR="00986093" w:rsidRPr="00E81073">
              <w:rPr>
                <w:rFonts w:ascii="Arial Narrow" w:hAnsi="Arial Narrow"/>
                <w:b/>
                <w:bCs/>
                <w:sz w:val="18"/>
                <w:szCs w:val="18"/>
              </w:rPr>
              <w:t xml:space="preserve"> </w:t>
            </w:r>
            <w:r w:rsidRPr="00E81073">
              <w:rPr>
                <w:rFonts w:ascii="Arial Narrow" w:hAnsi="Arial Narrow"/>
                <w:b/>
                <w:bCs/>
                <w:sz w:val="18"/>
                <w:szCs w:val="18"/>
              </w:rPr>
              <w:t>10.89)</w:t>
            </w:r>
          </w:p>
        </w:tc>
        <w:tc>
          <w:tcPr>
            <w:tcW w:w="775" w:type="pct"/>
            <w:tcBorders>
              <w:top w:val="nil"/>
              <w:left w:val="single" w:sz="4" w:space="0" w:color="auto"/>
              <w:bottom w:val="nil"/>
              <w:right w:val="single" w:sz="4" w:space="0" w:color="auto"/>
            </w:tcBorders>
            <w:vAlign w:val="center"/>
          </w:tcPr>
          <w:p w14:paraId="75991BE7" w14:textId="33B2F8A9" w:rsidR="00DE4C41" w:rsidRPr="00E81073" w:rsidRDefault="00DE4C41" w:rsidP="00621EA3">
            <w:pPr>
              <w:keepNext/>
              <w:jc w:val="center"/>
              <w:rPr>
                <w:rFonts w:ascii="Arial Narrow" w:hAnsi="Arial Narrow"/>
                <w:b/>
                <w:bCs/>
                <w:sz w:val="18"/>
                <w:szCs w:val="18"/>
                <w:highlight w:val="yellow"/>
              </w:rPr>
            </w:pPr>
            <w:r w:rsidRPr="00E81073">
              <w:rPr>
                <w:rFonts w:ascii="Arial Narrow" w:hAnsi="Arial Narrow"/>
                <w:b/>
                <w:bCs/>
                <w:sz w:val="18"/>
                <w:szCs w:val="18"/>
              </w:rPr>
              <w:t>0.34 (0.28,</w:t>
            </w:r>
            <w:r w:rsidR="00986093" w:rsidRPr="00E81073">
              <w:rPr>
                <w:rFonts w:ascii="Arial Narrow" w:hAnsi="Arial Narrow"/>
                <w:b/>
                <w:bCs/>
                <w:sz w:val="18"/>
                <w:szCs w:val="18"/>
              </w:rPr>
              <w:t xml:space="preserve"> </w:t>
            </w:r>
            <w:r w:rsidRPr="00E81073">
              <w:rPr>
                <w:rFonts w:ascii="Arial Narrow" w:hAnsi="Arial Narrow"/>
                <w:b/>
                <w:bCs/>
                <w:sz w:val="18"/>
                <w:szCs w:val="18"/>
              </w:rPr>
              <w:t>0.40)</w:t>
            </w:r>
          </w:p>
        </w:tc>
      </w:tr>
      <w:tr w:rsidR="00DE4C41" w:rsidRPr="00E81073" w14:paraId="5E747EDF" w14:textId="77777777" w:rsidTr="00621EA3">
        <w:tc>
          <w:tcPr>
            <w:tcW w:w="1493" w:type="pct"/>
            <w:tcBorders>
              <w:top w:val="nil"/>
              <w:bottom w:val="nil"/>
            </w:tcBorders>
            <w:vAlign w:val="center"/>
          </w:tcPr>
          <w:p w14:paraId="108F6915" w14:textId="77777777" w:rsidR="00DE4C41" w:rsidRPr="00E81073" w:rsidRDefault="00DE4C41" w:rsidP="00621EA3">
            <w:pPr>
              <w:keepNext/>
              <w:jc w:val="left"/>
              <w:rPr>
                <w:rFonts w:ascii="Arial Narrow" w:hAnsi="Arial Narrow"/>
                <w:bCs/>
                <w:sz w:val="18"/>
                <w:szCs w:val="18"/>
              </w:rPr>
            </w:pPr>
            <w:r w:rsidRPr="00E81073">
              <w:rPr>
                <w:rFonts w:ascii="Arial Narrow" w:hAnsi="Arial Narrow"/>
                <w:bCs/>
                <w:sz w:val="18"/>
                <w:szCs w:val="18"/>
              </w:rPr>
              <w:t>BE COMPLETE, W16, ITT (TNFe)</w:t>
            </w:r>
          </w:p>
        </w:tc>
        <w:tc>
          <w:tcPr>
            <w:tcW w:w="590" w:type="pct"/>
            <w:tcBorders>
              <w:top w:val="nil"/>
              <w:bottom w:val="nil"/>
            </w:tcBorders>
            <w:vAlign w:val="center"/>
          </w:tcPr>
          <w:p w14:paraId="68BF096B" w14:textId="77777777" w:rsidR="00DE4C41" w:rsidRPr="00E81073" w:rsidRDefault="00DE4C41" w:rsidP="00621EA3">
            <w:pPr>
              <w:keepNext/>
              <w:jc w:val="center"/>
              <w:rPr>
                <w:rFonts w:ascii="Arial Narrow" w:hAnsi="Arial Narrow"/>
                <w:bCs/>
                <w:sz w:val="18"/>
                <w:szCs w:val="18"/>
              </w:rPr>
            </w:pPr>
            <w:r w:rsidRPr="00E81073">
              <w:rPr>
                <w:rFonts w:ascii="Arial Narrow" w:hAnsi="Arial Narrow"/>
                <w:bCs/>
                <w:sz w:val="18"/>
                <w:szCs w:val="18"/>
              </w:rPr>
              <w:t>116/267 (43.4)</w:t>
            </w:r>
          </w:p>
        </w:tc>
        <w:tc>
          <w:tcPr>
            <w:tcW w:w="590" w:type="pct"/>
            <w:tcBorders>
              <w:top w:val="nil"/>
              <w:bottom w:val="nil"/>
            </w:tcBorders>
            <w:vAlign w:val="center"/>
          </w:tcPr>
          <w:p w14:paraId="03D92FF5" w14:textId="77777777" w:rsidR="00DE4C41" w:rsidRPr="00E81073" w:rsidRDefault="00DE4C41" w:rsidP="00621EA3">
            <w:pPr>
              <w:keepNext/>
              <w:jc w:val="center"/>
              <w:rPr>
                <w:rFonts w:ascii="Arial Narrow" w:hAnsi="Arial Narrow"/>
                <w:bCs/>
                <w:sz w:val="18"/>
                <w:szCs w:val="18"/>
              </w:rPr>
            </w:pPr>
            <w:r w:rsidRPr="00E81073">
              <w:rPr>
                <w:rFonts w:ascii="Arial Narrow" w:hAnsi="Arial Narrow"/>
                <w:bCs/>
                <w:sz w:val="18"/>
                <w:szCs w:val="18"/>
              </w:rPr>
              <w:t>9/133 (6.8)</w:t>
            </w:r>
          </w:p>
        </w:tc>
        <w:tc>
          <w:tcPr>
            <w:tcW w:w="776" w:type="pct"/>
            <w:tcBorders>
              <w:top w:val="nil"/>
              <w:bottom w:val="nil"/>
              <w:right w:val="single" w:sz="4" w:space="0" w:color="auto"/>
            </w:tcBorders>
            <w:vAlign w:val="center"/>
          </w:tcPr>
          <w:p w14:paraId="3E117490" w14:textId="28598CFB" w:rsidR="00DE4C41" w:rsidRPr="00E81073" w:rsidRDefault="00DE4C41" w:rsidP="00621EA3">
            <w:pPr>
              <w:keepNext/>
              <w:jc w:val="center"/>
              <w:rPr>
                <w:rFonts w:ascii="Arial Narrow" w:hAnsi="Arial Narrow"/>
                <w:b/>
                <w:bCs/>
                <w:sz w:val="18"/>
                <w:szCs w:val="18"/>
                <w:highlight w:val="yellow"/>
              </w:rPr>
            </w:pPr>
            <w:r w:rsidRPr="00E81073">
              <w:rPr>
                <w:rFonts w:ascii="Arial Narrow" w:hAnsi="Arial Narrow"/>
                <w:b/>
                <w:bCs/>
                <w:sz w:val="18"/>
                <w:szCs w:val="18"/>
              </w:rPr>
              <w:t>6.42 (3.37,</w:t>
            </w:r>
            <w:r w:rsidR="00986093" w:rsidRPr="00E81073">
              <w:rPr>
                <w:rFonts w:ascii="Arial Narrow" w:hAnsi="Arial Narrow"/>
                <w:b/>
                <w:bCs/>
                <w:sz w:val="18"/>
                <w:szCs w:val="18"/>
              </w:rPr>
              <w:t xml:space="preserve"> </w:t>
            </w:r>
            <w:r w:rsidRPr="00E81073">
              <w:rPr>
                <w:rFonts w:ascii="Arial Narrow" w:hAnsi="Arial Narrow"/>
                <w:b/>
                <w:bCs/>
                <w:sz w:val="18"/>
                <w:szCs w:val="18"/>
              </w:rPr>
              <w:t>12.24)</w:t>
            </w:r>
          </w:p>
        </w:tc>
        <w:tc>
          <w:tcPr>
            <w:tcW w:w="776" w:type="pct"/>
            <w:tcBorders>
              <w:top w:val="nil"/>
              <w:left w:val="single" w:sz="4" w:space="0" w:color="auto"/>
              <w:bottom w:val="nil"/>
              <w:right w:val="single" w:sz="4" w:space="0" w:color="auto"/>
            </w:tcBorders>
            <w:vAlign w:val="center"/>
          </w:tcPr>
          <w:p w14:paraId="3EB198BF" w14:textId="01BAF75F" w:rsidR="00DE4C41" w:rsidRPr="00E81073" w:rsidRDefault="00DE4C41" w:rsidP="00621EA3">
            <w:pPr>
              <w:keepNext/>
              <w:jc w:val="center"/>
              <w:rPr>
                <w:rFonts w:ascii="Arial Narrow" w:hAnsi="Arial Narrow"/>
                <w:b/>
                <w:bCs/>
                <w:sz w:val="18"/>
                <w:szCs w:val="18"/>
                <w:highlight w:val="yellow"/>
              </w:rPr>
            </w:pPr>
            <w:r w:rsidRPr="00E81073">
              <w:rPr>
                <w:rFonts w:ascii="Arial Narrow" w:hAnsi="Arial Narrow"/>
                <w:b/>
                <w:bCs/>
                <w:sz w:val="18"/>
                <w:szCs w:val="18"/>
              </w:rPr>
              <w:t>10.58 (5.16,</w:t>
            </w:r>
            <w:r w:rsidR="00986093" w:rsidRPr="00E81073">
              <w:rPr>
                <w:rFonts w:ascii="Arial Narrow" w:hAnsi="Arial Narrow"/>
                <w:b/>
                <w:bCs/>
                <w:sz w:val="18"/>
                <w:szCs w:val="18"/>
              </w:rPr>
              <w:t xml:space="preserve"> </w:t>
            </w:r>
            <w:r w:rsidRPr="00E81073">
              <w:rPr>
                <w:rFonts w:ascii="Arial Narrow" w:hAnsi="Arial Narrow"/>
                <w:b/>
                <w:bCs/>
                <w:sz w:val="18"/>
                <w:szCs w:val="18"/>
              </w:rPr>
              <w:t>21.71)</w:t>
            </w:r>
          </w:p>
        </w:tc>
        <w:tc>
          <w:tcPr>
            <w:tcW w:w="775" w:type="pct"/>
            <w:tcBorders>
              <w:top w:val="nil"/>
              <w:left w:val="single" w:sz="4" w:space="0" w:color="auto"/>
              <w:bottom w:val="nil"/>
              <w:right w:val="single" w:sz="4" w:space="0" w:color="auto"/>
            </w:tcBorders>
            <w:vAlign w:val="center"/>
          </w:tcPr>
          <w:p w14:paraId="3E3DA876" w14:textId="73FA4575" w:rsidR="00DE4C41" w:rsidRPr="00E81073" w:rsidRDefault="00DE4C41" w:rsidP="00621EA3">
            <w:pPr>
              <w:keepNext/>
              <w:jc w:val="center"/>
              <w:rPr>
                <w:rFonts w:ascii="Arial Narrow" w:hAnsi="Arial Narrow"/>
                <w:b/>
                <w:bCs/>
                <w:sz w:val="18"/>
                <w:szCs w:val="18"/>
                <w:highlight w:val="yellow"/>
              </w:rPr>
            </w:pPr>
            <w:r w:rsidRPr="00E81073">
              <w:rPr>
                <w:rFonts w:ascii="Arial Narrow" w:hAnsi="Arial Narrow"/>
                <w:b/>
                <w:bCs/>
                <w:sz w:val="18"/>
                <w:szCs w:val="18"/>
              </w:rPr>
              <w:t>0.37 (0.29,</w:t>
            </w:r>
            <w:r w:rsidR="00986093" w:rsidRPr="00E81073">
              <w:rPr>
                <w:rFonts w:ascii="Arial Narrow" w:hAnsi="Arial Narrow"/>
                <w:b/>
                <w:bCs/>
                <w:sz w:val="18"/>
                <w:szCs w:val="18"/>
              </w:rPr>
              <w:t xml:space="preserve"> </w:t>
            </w:r>
            <w:r w:rsidRPr="00E81073">
              <w:rPr>
                <w:rFonts w:ascii="Arial Narrow" w:hAnsi="Arial Narrow"/>
                <w:b/>
                <w:bCs/>
                <w:sz w:val="18"/>
                <w:szCs w:val="18"/>
              </w:rPr>
              <w:t>0.44)</w:t>
            </w:r>
          </w:p>
        </w:tc>
      </w:tr>
      <w:tr w:rsidR="00DE4C41" w:rsidRPr="00E81073" w14:paraId="0F5B8D73" w14:textId="77777777" w:rsidTr="00621EA3">
        <w:tc>
          <w:tcPr>
            <w:tcW w:w="1493" w:type="pct"/>
            <w:tcBorders>
              <w:top w:val="nil"/>
              <w:bottom w:val="nil"/>
            </w:tcBorders>
            <w:vAlign w:val="center"/>
          </w:tcPr>
          <w:p w14:paraId="36342035" w14:textId="77777777" w:rsidR="00DE4C41" w:rsidRPr="00E81073" w:rsidRDefault="00DE4C41" w:rsidP="00621EA3">
            <w:pPr>
              <w:keepNext/>
              <w:jc w:val="right"/>
              <w:rPr>
                <w:rFonts w:ascii="Arial Narrow" w:hAnsi="Arial Narrow"/>
                <w:bCs/>
                <w:sz w:val="18"/>
                <w:szCs w:val="18"/>
              </w:rPr>
            </w:pPr>
            <w:r w:rsidRPr="00E81073">
              <w:rPr>
                <w:rFonts w:ascii="Arial Narrow" w:hAnsi="Arial Narrow"/>
                <w:iCs/>
                <w:sz w:val="18"/>
                <w:szCs w:val="18"/>
              </w:rPr>
              <w:t>Meta-analysis, W12-16, ITT</w:t>
            </w:r>
          </w:p>
        </w:tc>
        <w:tc>
          <w:tcPr>
            <w:tcW w:w="590" w:type="pct"/>
            <w:tcBorders>
              <w:top w:val="nil"/>
              <w:bottom w:val="nil"/>
            </w:tcBorders>
            <w:vAlign w:val="center"/>
          </w:tcPr>
          <w:p w14:paraId="08C45A03" w14:textId="252BBE4B" w:rsidR="00DE4C41" w:rsidRPr="00E81073" w:rsidRDefault="00DE4C41" w:rsidP="00621EA3">
            <w:pPr>
              <w:keepNext/>
              <w:jc w:val="center"/>
              <w:rPr>
                <w:rFonts w:ascii="Arial Narrow" w:hAnsi="Arial Narrow"/>
                <w:bCs/>
                <w:sz w:val="18"/>
                <w:szCs w:val="18"/>
              </w:rPr>
            </w:pPr>
            <w:r w:rsidRPr="00E81073">
              <w:rPr>
                <w:rFonts w:ascii="Arial Narrow" w:hAnsi="Arial Narrow"/>
                <w:bCs/>
                <w:sz w:val="18"/>
                <w:szCs w:val="18"/>
              </w:rPr>
              <w:t>322/739</w:t>
            </w:r>
            <w:r w:rsidR="00986093" w:rsidRPr="00E81073">
              <w:rPr>
                <w:rFonts w:ascii="Arial Narrow" w:hAnsi="Arial Narrow"/>
                <w:bCs/>
                <w:sz w:val="18"/>
                <w:szCs w:val="18"/>
              </w:rPr>
              <w:t xml:space="preserve"> </w:t>
            </w:r>
            <w:r w:rsidRPr="00E81073">
              <w:rPr>
                <w:rFonts w:ascii="Arial Narrow" w:hAnsi="Arial Narrow"/>
                <w:bCs/>
                <w:sz w:val="18"/>
                <w:szCs w:val="18"/>
              </w:rPr>
              <w:t>(43.6)</w:t>
            </w:r>
          </w:p>
        </w:tc>
        <w:tc>
          <w:tcPr>
            <w:tcW w:w="590" w:type="pct"/>
            <w:tcBorders>
              <w:top w:val="nil"/>
              <w:bottom w:val="nil"/>
            </w:tcBorders>
            <w:vAlign w:val="center"/>
          </w:tcPr>
          <w:p w14:paraId="6FBDE6E0" w14:textId="77777777" w:rsidR="00DE4C41" w:rsidRPr="00E81073" w:rsidRDefault="00DE4C41" w:rsidP="00621EA3">
            <w:pPr>
              <w:keepNext/>
              <w:jc w:val="center"/>
              <w:rPr>
                <w:rFonts w:ascii="Arial Narrow" w:hAnsi="Arial Narrow"/>
                <w:bCs/>
                <w:sz w:val="18"/>
                <w:szCs w:val="18"/>
              </w:rPr>
            </w:pPr>
            <w:r w:rsidRPr="00E81073">
              <w:rPr>
                <w:rFonts w:ascii="Arial Narrow" w:hAnsi="Arial Narrow"/>
                <w:bCs/>
                <w:sz w:val="18"/>
                <w:szCs w:val="18"/>
              </w:rPr>
              <w:t>40/456 (8.8)</w:t>
            </w:r>
          </w:p>
        </w:tc>
        <w:tc>
          <w:tcPr>
            <w:tcW w:w="776" w:type="pct"/>
            <w:tcBorders>
              <w:top w:val="nil"/>
              <w:bottom w:val="nil"/>
              <w:right w:val="single" w:sz="4" w:space="0" w:color="auto"/>
            </w:tcBorders>
            <w:vAlign w:val="center"/>
          </w:tcPr>
          <w:p w14:paraId="634F0BA5" w14:textId="0B00B303" w:rsidR="00DE4C41" w:rsidRPr="00E81073" w:rsidRDefault="00DE4C41" w:rsidP="00621EA3">
            <w:pPr>
              <w:keepNext/>
              <w:jc w:val="center"/>
              <w:rPr>
                <w:rFonts w:ascii="Arial Narrow" w:hAnsi="Arial Narrow"/>
                <w:b/>
                <w:bCs/>
                <w:sz w:val="18"/>
                <w:szCs w:val="18"/>
                <w:highlight w:val="yellow"/>
              </w:rPr>
            </w:pPr>
            <w:r w:rsidRPr="00E81073">
              <w:rPr>
                <w:rFonts w:ascii="Arial Narrow" w:hAnsi="Arial Narrow"/>
                <w:b/>
                <w:bCs/>
                <w:sz w:val="18"/>
                <w:szCs w:val="18"/>
              </w:rPr>
              <w:t>4.89 (3.60,</w:t>
            </w:r>
            <w:r w:rsidR="00D44132" w:rsidRPr="00E81073">
              <w:rPr>
                <w:rFonts w:ascii="Arial Narrow" w:hAnsi="Arial Narrow"/>
                <w:b/>
                <w:bCs/>
                <w:sz w:val="18"/>
                <w:szCs w:val="18"/>
              </w:rPr>
              <w:t xml:space="preserve"> </w:t>
            </w:r>
            <w:r w:rsidRPr="00E81073">
              <w:rPr>
                <w:rFonts w:ascii="Arial Narrow" w:hAnsi="Arial Narrow"/>
                <w:b/>
                <w:bCs/>
                <w:sz w:val="18"/>
                <w:szCs w:val="18"/>
              </w:rPr>
              <w:t>6.65)</w:t>
            </w:r>
          </w:p>
        </w:tc>
        <w:tc>
          <w:tcPr>
            <w:tcW w:w="776" w:type="pct"/>
            <w:tcBorders>
              <w:top w:val="nil"/>
              <w:left w:val="single" w:sz="4" w:space="0" w:color="auto"/>
              <w:bottom w:val="nil"/>
              <w:right w:val="single" w:sz="4" w:space="0" w:color="auto"/>
            </w:tcBorders>
            <w:vAlign w:val="center"/>
          </w:tcPr>
          <w:p w14:paraId="6A7EA4E9" w14:textId="17B1004F" w:rsidR="00DE4C41" w:rsidRPr="00E81073" w:rsidRDefault="00DE4C41" w:rsidP="00621EA3">
            <w:pPr>
              <w:keepNext/>
              <w:jc w:val="center"/>
              <w:rPr>
                <w:rFonts w:ascii="Arial Narrow" w:hAnsi="Arial Narrow"/>
                <w:b/>
                <w:bCs/>
                <w:sz w:val="18"/>
                <w:szCs w:val="18"/>
                <w:highlight w:val="yellow"/>
              </w:rPr>
            </w:pPr>
            <w:r w:rsidRPr="00E81073">
              <w:rPr>
                <w:rFonts w:ascii="Arial Narrow" w:hAnsi="Arial Narrow"/>
                <w:b/>
                <w:bCs/>
                <w:sz w:val="18"/>
                <w:szCs w:val="18"/>
              </w:rPr>
              <w:t>7.96 (5.56,</w:t>
            </w:r>
            <w:r w:rsidR="00D44132" w:rsidRPr="00E81073">
              <w:rPr>
                <w:rFonts w:ascii="Arial Narrow" w:hAnsi="Arial Narrow"/>
                <w:b/>
                <w:bCs/>
                <w:sz w:val="18"/>
                <w:szCs w:val="18"/>
              </w:rPr>
              <w:t xml:space="preserve"> </w:t>
            </w:r>
            <w:r w:rsidRPr="00E81073">
              <w:rPr>
                <w:rFonts w:ascii="Arial Narrow" w:hAnsi="Arial Narrow"/>
                <w:b/>
                <w:bCs/>
                <w:sz w:val="18"/>
                <w:szCs w:val="18"/>
              </w:rPr>
              <w:t>11.38)</w:t>
            </w:r>
          </w:p>
        </w:tc>
        <w:tc>
          <w:tcPr>
            <w:tcW w:w="775" w:type="pct"/>
            <w:tcBorders>
              <w:top w:val="nil"/>
              <w:left w:val="single" w:sz="4" w:space="0" w:color="auto"/>
              <w:bottom w:val="nil"/>
              <w:right w:val="single" w:sz="4" w:space="0" w:color="auto"/>
            </w:tcBorders>
            <w:vAlign w:val="center"/>
          </w:tcPr>
          <w:p w14:paraId="17897509" w14:textId="34E0307D" w:rsidR="00DE4C41" w:rsidRPr="00E81073" w:rsidRDefault="00DE4C41" w:rsidP="00621EA3">
            <w:pPr>
              <w:keepNext/>
              <w:jc w:val="center"/>
              <w:rPr>
                <w:rFonts w:ascii="Arial Narrow" w:hAnsi="Arial Narrow"/>
                <w:b/>
                <w:bCs/>
                <w:sz w:val="18"/>
                <w:szCs w:val="18"/>
                <w:highlight w:val="yellow"/>
              </w:rPr>
            </w:pPr>
            <w:r w:rsidRPr="00E81073">
              <w:rPr>
                <w:rFonts w:ascii="Arial Narrow" w:hAnsi="Arial Narrow"/>
                <w:b/>
                <w:bCs/>
                <w:sz w:val="18"/>
                <w:szCs w:val="18"/>
              </w:rPr>
              <w:t>0.35 (0.31,</w:t>
            </w:r>
            <w:r w:rsidR="00D44132" w:rsidRPr="00E81073">
              <w:rPr>
                <w:rFonts w:ascii="Arial Narrow" w:hAnsi="Arial Narrow"/>
                <w:b/>
                <w:bCs/>
                <w:sz w:val="18"/>
                <w:szCs w:val="18"/>
              </w:rPr>
              <w:t xml:space="preserve"> </w:t>
            </w:r>
            <w:r w:rsidRPr="00E81073">
              <w:rPr>
                <w:rFonts w:ascii="Arial Narrow" w:hAnsi="Arial Narrow"/>
                <w:b/>
                <w:bCs/>
                <w:sz w:val="18"/>
                <w:szCs w:val="18"/>
              </w:rPr>
              <w:t>0.39)</w:t>
            </w:r>
          </w:p>
        </w:tc>
      </w:tr>
      <w:tr w:rsidR="00DE4C41" w:rsidRPr="00E81073" w14:paraId="27720B62" w14:textId="77777777" w:rsidTr="00621EA3">
        <w:tc>
          <w:tcPr>
            <w:tcW w:w="1493" w:type="pct"/>
            <w:tcBorders>
              <w:top w:val="nil"/>
            </w:tcBorders>
            <w:vAlign w:val="center"/>
          </w:tcPr>
          <w:p w14:paraId="464E2A93" w14:textId="77777777" w:rsidR="00DE4C41" w:rsidRPr="00E81073" w:rsidRDefault="00DE4C41" w:rsidP="00621EA3">
            <w:pPr>
              <w:keepNext/>
              <w:jc w:val="right"/>
              <w:rPr>
                <w:rFonts w:ascii="Arial Narrow" w:hAnsi="Arial Narrow"/>
                <w:i/>
                <w:iCs/>
                <w:sz w:val="18"/>
                <w:szCs w:val="18"/>
              </w:rPr>
            </w:pPr>
            <w:r w:rsidRPr="00E81073">
              <w:rPr>
                <w:rFonts w:ascii="Arial Narrow" w:hAnsi="Arial Narrow"/>
                <w:i/>
                <w:iCs/>
                <w:sz w:val="18"/>
                <w:szCs w:val="18"/>
              </w:rPr>
              <w:t>Meta-analysis, W16, ITT</w:t>
            </w:r>
          </w:p>
        </w:tc>
        <w:tc>
          <w:tcPr>
            <w:tcW w:w="590" w:type="pct"/>
            <w:tcBorders>
              <w:top w:val="nil"/>
            </w:tcBorders>
            <w:vAlign w:val="center"/>
          </w:tcPr>
          <w:p w14:paraId="3FC43347" w14:textId="77777777" w:rsidR="00DE4C41" w:rsidRPr="00E81073" w:rsidRDefault="00DE4C41" w:rsidP="00621EA3">
            <w:pPr>
              <w:keepNext/>
              <w:jc w:val="center"/>
              <w:rPr>
                <w:rFonts w:ascii="Arial Narrow" w:hAnsi="Arial Narrow"/>
                <w:bCs/>
                <w:i/>
                <w:sz w:val="18"/>
                <w:szCs w:val="18"/>
              </w:rPr>
            </w:pPr>
            <w:r w:rsidRPr="00E81073">
              <w:rPr>
                <w:rFonts w:ascii="Arial Narrow" w:hAnsi="Arial Narrow"/>
                <w:bCs/>
                <w:i/>
                <w:sz w:val="18"/>
                <w:szCs w:val="18"/>
              </w:rPr>
              <w:t>305/698 (43.7)</w:t>
            </w:r>
          </w:p>
        </w:tc>
        <w:tc>
          <w:tcPr>
            <w:tcW w:w="590" w:type="pct"/>
            <w:tcBorders>
              <w:top w:val="nil"/>
              <w:bottom w:val="single" w:sz="4" w:space="0" w:color="auto"/>
            </w:tcBorders>
            <w:vAlign w:val="center"/>
          </w:tcPr>
          <w:p w14:paraId="64EFF785" w14:textId="77777777" w:rsidR="00DE4C41" w:rsidRPr="00E81073" w:rsidRDefault="00DE4C41" w:rsidP="00621EA3">
            <w:pPr>
              <w:keepNext/>
              <w:jc w:val="center"/>
              <w:rPr>
                <w:rFonts w:ascii="Arial Narrow" w:hAnsi="Arial Narrow"/>
                <w:bCs/>
                <w:i/>
                <w:sz w:val="18"/>
                <w:szCs w:val="18"/>
              </w:rPr>
            </w:pPr>
            <w:r w:rsidRPr="00E81073">
              <w:rPr>
                <w:rFonts w:ascii="Arial Narrow" w:hAnsi="Arial Narrow"/>
                <w:bCs/>
                <w:i/>
                <w:sz w:val="18"/>
                <w:szCs w:val="18"/>
              </w:rPr>
              <w:t>37/414 (8.9)</w:t>
            </w:r>
          </w:p>
        </w:tc>
        <w:tc>
          <w:tcPr>
            <w:tcW w:w="776" w:type="pct"/>
            <w:tcBorders>
              <w:top w:val="nil"/>
              <w:bottom w:val="single" w:sz="4" w:space="0" w:color="auto"/>
              <w:right w:val="single" w:sz="4" w:space="0" w:color="auto"/>
            </w:tcBorders>
            <w:vAlign w:val="center"/>
          </w:tcPr>
          <w:p w14:paraId="64F78327" w14:textId="5D4A9F57" w:rsidR="00DE4C41" w:rsidRPr="00E81073" w:rsidRDefault="00DE4C41" w:rsidP="00621EA3">
            <w:pPr>
              <w:keepNext/>
              <w:jc w:val="center"/>
              <w:rPr>
                <w:rFonts w:ascii="Arial Narrow" w:hAnsi="Arial Narrow"/>
                <w:b/>
                <w:bCs/>
                <w:i/>
                <w:sz w:val="18"/>
                <w:szCs w:val="18"/>
                <w:highlight w:val="yellow"/>
              </w:rPr>
            </w:pPr>
            <w:r w:rsidRPr="00E81073">
              <w:rPr>
                <w:rFonts w:ascii="Arial Narrow" w:hAnsi="Arial Narrow"/>
                <w:b/>
                <w:bCs/>
                <w:i/>
                <w:sz w:val="18"/>
                <w:szCs w:val="18"/>
              </w:rPr>
              <w:t>4.83 (3.50,</w:t>
            </w:r>
            <w:r w:rsidR="00D44132" w:rsidRPr="00E81073">
              <w:rPr>
                <w:rFonts w:ascii="Arial Narrow" w:hAnsi="Arial Narrow"/>
                <w:b/>
                <w:bCs/>
                <w:i/>
                <w:sz w:val="18"/>
                <w:szCs w:val="18"/>
              </w:rPr>
              <w:t xml:space="preserve"> </w:t>
            </w:r>
            <w:r w:rsidRPr="00E81073">
              <w:rPr>
                <w:rFonts w:ascii="Arial Narrow" w:hAnsi="Arial Narrow"/>
                <w:b/>
                <w:bCs/>
                <w:i/>
                <w:sz w:val="18"/>
                <w:szCs w:val="18"/>
              </w:rPr>
              <w:t>6.67)</w:t>
            </w:r>
          </w:p>
        </w:tc>
        <w:tc>
          <w:tcPr>
            <w:tcW w:w="776" w:type="pct"/>
            <w:tcBorders>
              <w:top w:val="nil"/>
              <w:left w:val="single" w:sz="4" w:space="0" w:color="auto"/>
              <w:bottom w:val="single" w:sz="4" w:space="0" w:color="auto"/>
              <w:right w:val="single" w:sz="4" w:space="0" w:color="auto"/>
            </w:tcBorders>
            <w:vAlign w:val="center"/>
          </w:tcPr>
          <w:p w14:paraId="066F6735" w14:textId="7C658274" w:rsidR="00DE4C41" w:rsidRPr="00E81073" w:rsidRDefault="00DE4C41" w:rsidP="00621EA3">
            <w:pPr>
              <w:keepNext/>
              <w:jc w:val="center"/>
              <w:rPr>
                <w:rFonts w:ascii="Arial Narrow" w:hAnsi="Arial Narrow"/>
                <w:b/>
                <w:bCs/>
                <w:i/>
                <w:sz w:val="18"/>
                <w:szCs w:val="18"/>
                <w:highlight w:val="yellow"/>
              </w:rPr>
            </w:pPr>
            <w:r w:rsidRPr="00E81073">
              <w:rPr>
                <w:rFonts w:ascii="Arial Narrow" w:hAnsi="Arial Narrow"/>
                <w:b/>
                <w:bCs/>
                <w:i/>
                <w:sz w:val="18"/>
                <w:szCs w:val="18"/>
              </w:rPr>
              <w:t>7.87 (5.42,</w:t>
            </w:r>
            <w:r w:rsidR="00D44132" w:rsidRPr="00E81073">
              <w:rPr>
                <w:rFonts w:ascii="Arial Narrow" w:hAnsi="Arial Narrow"/>
                <w:b/>
                <w:bCs/>
                <w:i/>
                <w:sz w:val="18"/>
                <w:szCs w:val="18"/>
              </w:rPr>
              <w:t xml:space="preserve"> </w:t>
            </w:r>
            <w:r w:rsidRPr="00E81073">
              <w:rPr>
                <w:rFonts w:ascii="Arial Narrow" w:hAnsi="Arial Narrow"/>
                <w:b/>
                <w:bCs/>
                <w:i/>
                <w:sz w:val="18"/>
                <w:szCs w:val="18"/>
              </w:rPr>
              <w:t>11.41)</w:t>
            </w:r>
          </w:p>
        </w:tc>
        <w:tc>
          <w:tcPr>
            <w:tcW w:w="775" w:type="pct"/>
            <w:tcBorders>
              <w:top w:val="nil"/>
              <w:left w:val="single" w:sz="4" w:space="0" w:color="auto"/>
              <w:bottom w:val="single" w:sz="4" w:space="0" w:color="auto"/>
              <w:right w:val="single" w:sz="4" w:space="0" w:color="auto"/>
            </w:tcBorders>
            <w:vAlign w:val="center"/>
          </w:tcPr>
          <w:p w14:paraId="7AD70F47" w14:textId="12CFA88C" w:rsidR="00DE4C41" w:rsidRPr="00E81073" w:rsidRDefault="00DE4C41" w:rsidP="00621EA3">
            <w:pPr>
              <w:keepNext/>
              <w:jc w:val="center"/>
              <w:rPr>
                <w:rFonts w:ascii="Arial Narrow" w:hAnsi="Arial Narrow"/>
                <w:b/>
                <w:bCs/>
                <w:i/>
                <w:sz w:val="18"/>
                <w:szCs w:val="18"/>
                <w:highlight w:val="yellow"/>
              </w:rPr>
            </w:pPr>
            <w:r w:rsidRPr="00E81073">
              <w:rPr>
                <w:rFonts w:ascii="Arial Narrow" w:hAnsi="Arial Narrow"/>
                <w:b/>
                <w:bCs/>
                <w:i/>
                <w:sz w:val="18"/>
                <w:szCs w:val="18"/>
              </w:rPr>
              <w:t>0.35 (0.30,</w:t>
            </w:r>
            <w:r w:rsidR="00D44132" w:rsidRPr="00E81073">
              <w:rPr>
                <w:rFonts w:ascii="Arial Narrow" w:hAnsi="Arial Narrow"/>
                <w:b/>
                <w:bCs/>
                <w:i/>
                <w:sz w:val="18"/>
                <w:szCs w:val="18"/>
              </w:rPr>
              <w:t xml:space="preserve"> </w:t>
            </w:r>
            <w:r w:rsidRPr="00E81073">
              <w:rPr>
                <w:rFonts w:ascii="Arial Narrow" w:hAnsi="Arial Narrow"/>
                <w:b/>
                <w:bCs/>
                <w:i/>
                <w:sz w:val="18"/>
                <w:szCs w:val="18"/>
              </w:rPr>
              <w:t>0.40)</w:t>
            </w:r>
          </w:p>
        </w:tc>
      </w:tr>
      <w:tr w:rsidR="00DE4C41" w:rsidRPr="00E81073" w14:paraId="35460095" w14:textId="77777777" w:rsidTr="00621EA3">
        <w:tc>
          <w:tcPr>
            <w:tcW w:w="2673" w:type="pct"/>
            <w:gridSpan w:val="3"/>
            <w:vAlign w:val="center"/>
          </w:tcPr>
          <w:p w14:paraId="5D2B7A5A" w14:textId="77777777" w:rsidR="00DE4C41" w:rsidRPr="00E81073" w:rsidRDefault="00DE4C41" w:rsidP="00621EA3">
            <w:pPr>
              <w:keepNext/>
              <w:jc w:val="left"/>
              <w:rPr>
                <w:rFonts w:ascii="Arial Narrow" w:hAnsi="Arial Narrow"/>
                <w:b/>
                <w:bCs/>
                <w:sz w:val="18"/>
                <w:szCs w:val="18"/>
              </w:rPr>
            </w:pPr>
            <w:r w:rsidRPr="00E81073">
              <w:rPr>
                <w:rFonts w:ascii="Arial Narrow" w:hAnsi="Arial Narrow"/>
                <w:b/>
                <w:bCs/>
                <w:sz w:val="18"/>
                <w:szCs w:val="18"/>
              </w:rPr>
              <w:t>IXE vs ADA</w:t>
            </w:r>
          </w:p>
        </w:tc>
        <w:tc>
          <w:tcPr>
            <w:tcW w:w="776" w:type="pct"/>
            <w:tcBorders>
              <w:top w:val="nil"/>
              <w:bottom w:val="nil"/>
              <w:right w:val="single" w:sz="4" w:space="0" w:color="auto"/>
            </w:tcBorders>
            <w:vAlign w:val="center"/>
          </w:tcPr>
          <w:p w14:paraId="6801C109" w14:textId="77777777" w:rsidR="00DE4C41" w:rsidRPr="00E81073" w:rsidRDefault="00DE4C41" w:rsidP="00621EA3">
            <w:pPr>
              <w:keepNext/>
              <w:jc w:val="center"/>
              <w:rPr>
                <w:rFonts w:ascii="Arial Narrow" w:hAnsi="Arial Narrow"/>
                <w:b/>
                <w:bCs/>
                <w:sz w:val="18"/>
                <w:szCs w:val="18"/>
                <w:highlight w:val="yellow"/>
              </w:rPr>
            </w:pPr>
          </w:p>
        </w:tc>
        <w:tc>
          <w:tcPr>
            <w:tcW w:w="776" w:type="pct"/>
            <w:tcBorders>
              <w:top w:val="nil"/>
              <w:left w:val="single" w:sz="4" w:space="0" w:color="auto"/>
              <w:bottom w:val="nil"/>
              <w:right w:val="single" w:sz="4" w:space="0" w:color="auto"/>
            </w:tcBorders>
            <w:vAlign w:val="center"/>
          </w:tcPr>
          <w:p w14:paraId="26575727" w14:textId="77777777" w:rsidR="00DE4C41" w:rsidRPr="00E81073" w:rsidRDefault="00DE4C41" w:rsidP="00621EA3">
            <w:pPr>
              <w:keepNext/>
              <w:jc w:val="center"/>
              <w:rPr>
                <w:rFonts w:ascii="Arial Narrow" w:hAnsi="Arial Narrow"/>
                <w:b/>
                <w:bCs/>
                <w:sz w:val="18"/>
                <w:szCs w:val="18"/>
                <w:highlight w:val="yellow"/>
              </w:rPr>
            </w:pPr>
          </w:p>
        </w:tc>
        <w:tc>
          <w:tcPr>
            <w:tcW w:w="775" w:type="pct"/>
            <w:tcBorders>
              <w:top w:val="nil"/>
              <w:left w:val="single" w:sz="4" w:space="0" w:color="auto"/>
              <w:bottom w:val="nil"/>
              <w:right w:val="single" w:sz="4" w:space="0" w:color="auto"/>
            </w:tcBorders>
            <w:vAlign w:val="center"/>
          </w:tcPr>
          <w:p w14:paraId="7FB747AF" w14:textId="77777777" w:rsidR="00DE4C41" w:rsidRPr="00E81073" w:rsidRDefault="00DE4C41" w:rsidP="00621EA3">
            <w:pPr>
              <w:keepNext/>
              <w:jc w:val="center"/>
              <w:rPr>
                <w:rFonts w:ascii="Arial Narrow" w:hAnsi="Arial Narrow"/>
                <w:b/>
                <w:bCs/>
                <w:sz w:val="18"/>
                <w:szCs w:val="18"/>
                <w:highlight w:val="yellow"/>
              </w:rPr>
            </w:pPr>
          </w:p>
        </w:tc>
      </w:tr>
      <w:tr w:rsidR="00DE4C41" w:rsidRPr="00E81073" w14:paraId="2651C710" w14:textId="77777777" w:rsidTr="00621EA3">
        <w:tc>
          <w:tcPr>
            <w:tcW w:w="1493" w:type="pct"/>
          </w:tcPr>
          <w:p w14:paraId="59911F48" w14:textId="77777777" w:rsidR="00DE4C41" w:rsidRPr="00E81073" w:rsidRDefault="00DE4C41" w:rsidP="00621EA3">
            <w:pPr>
              <w:keepNext/>
              <w:jc w:val="left"/>
              <w:rPr>
                <w:rFonts w:ascii="Arial Narrow" w:hAnsi="Arial Narrow"/>
                <w:sz w:val="18"/>
                <w:szCs w:val="18"/>
              </w:rPr>
            </w:pPr>
            <w:r w:rsidRPr="00E81073">
              <w:rPr>
                <w:rFonts w:ascii="Arial Narrow" w:hAnsi="Arial Narrow"/>
                <w:sz w:val="18"/>
                <w:szCs w:val="18"/>
              </w:rPr>
              <w:t>SPIRIT 1, W12, ITT (bNaive)</w:t>
            </w:r>
          </w:p>
        </w:tc>
        <w:tc>
          <w:tcPr>
            <w:tcW w:w="590" w:type="pct"/>
            <w:tcBorders>
              <w:top w:val="nil"/>
            </w:tcBorders>
            <w:vAlign w:val="center"/>
          </w:tcPr>
          <w:p w14:paraId="2F69EE1D" w14:textId="77777777" w:rsidR="00DE4C41" w:rsidRPr="00E81073" w:rsidRDefault="00DE4C41" w:rsidP="00621EA3">
            <w:pPr>
              <w:keepNext/>
              <w:jc w:val="center"/>
              <w:rPr>
                <w:rFonts w:ascii="Arial Narrow" w:hAnsi="Arial Narrow"/>
                <w:sz w:val="18"/>
                <w:szCs w:val="18"/>
              </w:rPr>
            </w:pPr>
            <w:r w:rsidRPr="00E81073">
              <w:rPr>
                <w:rFonts w:ascii="Arial Narrow" w:hAnsi="Arial Narrow"/>
                <w:sz w:val="18"/>
                <w:szCs w:val="18"/>
              </w:rPr>
              <w:t>36/107 (33.6)</w:t>
            </w:r>
          </w:p>
        </w:tc>
        <w:tc>
          <w:tcPr>
            <w:tcW w:w="590" w:type="pct"/>
            <w:tcBorders>
              <w:top w:val="nil"/>
            </w:tcBorders>
            <w:vAlign w:val="center"/>
          </w:tcPr>
          <w:p w14:paraId="0DE0AA07" w14:textId="77777777" w:rsidR="00DE4C41" w:rsidRPr="00E81073" w:rsidRDefault="00DE4C41" w:rsidP="00621EA3">
            <w:pPr>
              <w:keepNext/>
              <w:jc w:val="center"/>
              <w:rPr>
                <w:rFonts w:ascii="Arial Narrow" w:hAnsi="Arial Narrow"/>
                <w:sz w:val="18"/>
                <w:szCs w:val="18"/>
              </w:rPr>
            </w:pPr>
            <w:r w:rsidRPr="00E81073">
              <w:rPr>
                <w:rFonts w:ascii="Arial Narrow" w:hAnsi="Arial Narrow"/>
                <w:sz w:val="18"/>
                <w:szCs w:val="18"/>
              </w:rPr>
              <w:t>30/101 (29.7)</w:t>
            </w:r>
          </w:p>
        </w:tc>
        <w:tc>
          <w:tcPr>
            <w:tcW w:w="776" w:type="pct"/>
            <w:tcBorders>
              <w:top w:val="nil"/>
              <w:bottom w:val="single" w:sz="4" w:space="0" w:color="auto"/>
            </w:tcBorders>
            <w:vAlign w:val="center"/>
          </w:tcPr>
          <w:p w14:paraId="7EE779B3" w14:textId="6181FB52" w:rsidR="00DE4C41" w:rsidRPr="00E81073" w:rsidRDefault="00DE4C41" w:rsidP="00621EA3">
            <w:pPr>
              <w:keepNext/>
              <w:jc w:val="center"/>
              <w:rPr>
                <w:rFonts w:ascii="Arial Narrow" w:hAnsi="Arial Narrow"/>
                <w:sz w:val="18"/>
                <w:szCs w:val="18"/>
                <w:highlight w:val="yellow"/>
              </w:rPr>
            </w:pPr>
            <w:r w:rsidRPr="00E81073">
              <w:rPr>
                <w:rFonts w:ascii="Arial Narrow" w:hAnsi="Arial Narrow"/>
                <w:sz w:val="18"/>
                <w:szCs w:val="18"/>
              </w:rPr>
              <w:t>1.13 (0.76,</w:t>
            </w:r>
            <w:r w:rsidR="00D44132" w:rsidRPr="00E81073">
              <w:rPr>
                <w:rFonts w:ascii="Arial Narrow" w:hAnsi="Arial Narrow"/>
                <w:sz w:val="18"/>
                <w:szCs w:val="18"/>
              </w:rPr>
              <w:t xml:space="preserve"> </w:t>
            </w:r>
            <w:r w:rsidRPr="00E81073">
              <w:rPr>
                <w:rFonts w:ascii="Arial Narrow" w:hAnsi="Arial Narrow"/>
                <w:sz w:val="18"/>
                <w:szCs w:val="18"/>
              </w:rPr>
              <w:t>1.69)</w:t>
            </w:r>
          </w:p>
        </w:tc>
        <w:tc>
          <w:tcPr>
            <w:tcW w:w="776" w:type="pct"/>
            <w:tcBorders>
              <w:top w:val="nil"/>
              <w:bottom w:val="single" w:sz="4" w:space="0" w:color="auto"/>
            </w:tcBorders>
            <w:vAlign w:val="center"/>
          </w:tcPr>
          <w:p w14:paraId="1134B9D9" w14:textId="4381B177" w:rsidR="00DE4C41" w:rsidRPr="00E81073" w:rsidRDefault="00DE4C41" w:rsidP="00621EA3">
            <w:pPr>
              <w:keepNext/>
              <w:jc w:val="center"/>
              <w:rPr>
                <w:rFonts w:ascii="Arial Narrow" w:hAnsi="Arial Narrow"/>
                <w:sz w:val="18"/>
                <w:szCs w:val="18"/>
                <w:highlight w:val="yellow"/>
              </w:rPr>
            </w:pPr>
            <w:r w:rsidRPr="00E81073">
              <w:rPr>
                <w:rFonts w:ascii="Arial Narrow" w:hAnsi="Arial Narrow"/>
                <w:sz w:val="18"/>
                <w:szCs w:val="18"/>
              </w:rPr>
              <w:t>1.20 (0.67,</w:t>
            </w:r>
            <w:r w:rsidR="00D44132" w:rsidRPr="00E81073">
              <w:rPr>
                <w:rFonts w:ascii="Arial Narrow" w:hAnsi="Arial Narrow"/>
                <w:sz w:val="18"/>
                <w:szCs w:val="18"/>
              </w:rPr>
              <w:t xml:space="preserve"> </w:t>
            </w:r>
            <w:r w:rsidRPr="00E81073">
              <w:rPr>
                <w:rFonts w:ascii="Arial Narrow" w:hAnsi="Arial Narrow"/>
                <w:sz w:val="18"/>
                <w:szCs w:val="18"/>
              </w:rPr>
              <w:t>2.16)</w:t>
            </w:r>
          </w:p>
        </w:tc>
        <w:tc>
          <w:tcPr>
            <w:tcW w:w="775" w:type="pct"/>
            <w:tcBorders>
              <w:top w:val="nil"/>
              <w:bottom w:val="single" w:sz="4" w:space="0" w:color="auto"/>
              <w:right w:val="single" w:sz="4" w:space="0" w:color="auto"/>
            </w:tcBorders>
            <w:vAlign w:val="center"/>
          </w:tcPr>
          <w:p w14:paraId="2ECA6A03" w14:textId="52935181" w:rsidR="00DE4C41" w:rsidRPr="00E81073" w:rsidRDefault="00DE4C41" w:rsidP="00621EA3">
            <w:pPr>
              <w:keepNext/>
              <w:jc w:val="center"/>
              <w:rPr>
                <w:rFonts w:ascii="Arial Narrow" w:hAnsi="Arial Narrow"/>
                <w:sz w:val="18"/>
                <w:szCs w:val="18"/>
                <w:highlight w:val="yellow"/>
              </w:rPr>
            </w:pPr>
            <w:r w:rsidRPr="00E81073">
              <w:rPr>
                <w:rFonts w:ascii="Arial Narrow" w:hAnsi="Arial Narrow"/>
                <w:sz w:val="18"/>
                <w:szCs w:val="18"/>
              </w:rPr>
              <w:t>0.04 (-0.09,</w:t>
            </w:r>
            <w:r w:rsidR="00D44132" w:rsidRPr="00E81073">
              <w:rPr>
                <w:rFonts w:ascii="Arial Narrow" w:hAnsi="Arial Narrow"/>
                <w:sz w:val="18"/>
                <w:szCs w:val="18"/>
              </w:rPr>
              <w:t xml:space="preserve"> </w:t>
            </w:r>
            <w:r w:rsidRPr="00E81073">
              <w:rPr>
                <w:rFonts w:ascii="Arial Narrow" w:hAnsi="Arial Narrow"/>
                <w:sz w:val="18"/>
                <w:szCs w:val="18"/>
              </w:rPr>
              <w:t>0.17)</w:t>
            </w:r>
          </w:p>
        </w:tc>
      </w:tr>
      <w:tr w:rsidR="00DE4C41" w:rsidRPr="00E81073" w14:paraId="4CE1DE2A" w14:textId="77777777" w:rsidTr="00621EA3">
        <w:tc>
          <w:tcPr>
            <w:tcW w:w="2673" w:type="pct"/>
            <w:gridSpan w:val="3"/>
            <w:tcBorders>
              <w:bottom w:val="single" w:sz="4" w:space="0" w:color="auto"/>
            </w:tcBorders>
            <w:vAlign w:val="center"/>
          </w:tcPr>
          <w:p w14:paraId="2A4E7FB7" w14:textId="77777777" w:rsidR="00DE4C41" w:rsidRPr="00E81073" w:rsidRDefault="00DE4C41" w:rsidP="00621EA3">
            <w:pPr>
              <w:keepNext/>
              <w:jc w:val="left"/>
              <w:rPr>
                <w:rFonts w:ascii="Arial Narrow" w:hAnsi="Arial Narrow"/>
                <w:b/>
                <w:bCs/>
                <w:sz w:val="18"/>
                <w:szCs w:val="18"/>
                <w:highlight w:val="yellow"/>
              </w:rPr>
            </w:pPr>
            <w:r w:rsidRPr="00E81073">
              <w:rPr>
                <w:rFonts w:ascii="Arial Narrow" w:hAnsi="Arial Narrow"/>
                <w:b/>
                <w:bCs/>
                <w:sz w:val="18"/>
                <w:szCs w:val="18"/>
              </w:rPr>
              <w:t>IXE vs PBO</w:t>
            </w:r>
          </w:p>
        </w:tc>
        <w:tc>
          <w:tcPr>
            <w:tcW w:w="776" w:type="pct"/>
            <w:tcBorders>
              <w:top w:val="nil"/>
              <w:bottom w:val="nil"/>
              <w:right w:val="single" w:sz="4" w:space="0" w:color="auto"/>
            </w:tcBorders>
            <w:vAlign w:val="center"/>
          </w:tcPr>
          <w:p w14:paraId="20864D39" w14:textId="77777777" w:rsidR="00DE4C41" w:rsidRPr="00E81073" w:rsidRDefault="00DE4C41" w:rsidP="00621EA3">
            <w:pPr>
              <w:keepNext/>
              <w:jc w:val="center"/>
              <w:rPr>
                <w:rFonts w:ascii="Arial Narrow" w:hAnsi="Arial Narrow"/>
                <w:sz w:val="18"/>
                <w:szCs w:val="18"/>
                <w:highlight w:val="yellow"/>
              </w:rPr>
            </w:pPr>
          </w:p>
        </w:tc>
        <w:tc>
          <w:tcPr>
            <w:tcW w:w="776" w:type="pct"/>
            <w:tcBorders>
              <w:top w:val="nil"/>
              <w:left w:val="single" w:sz="4" w:space="0" w:color="auto"/>
              <w:bottom w:val="nil"/>
              <w:right w:val="single" w:sz="4" w:space="0" w:color="auto"/>
            </w:tcBorders>
            <w:vAlign w:val="center"/>
          </w:tcPr>
          <w:p w14:paraId="5B4D50F5" w14:textId="77777777" w:rsidR="00DE4C41" w:rsidRPr="00E81073" w:rsidRDefault="00DE4C41" w:rsidP="00621EA3">
            <w:pPr>
              <w:keepNext/>
              <w:jc w:val="center"/>
              <w:rPr>
                <w:rFonts w:ascii="Arial Narrow" w:hAnsi="Arial Narrow"/>
                <w:sz w:val="16"/>
                <w:szCs w:val="16"/>
                <w:highlight w:val="yellow"/>
              </w:rPr>
            </w:pPr>
          </w:p>
        </w:tc>
        <w:tc>
          <w:tcPr>
            <w:tcW w:w="775" w:type="pct"/>
            <w:tcBorders>
              <w:top w:val="nil"/>
              <w:left w:val="single" w:sz="4" w:space="0" w:color="auto"/>
              <w:bottom w:val="nil"/>
              <w:right w:val="single" w:sz="4" w:space="0" w:color="auto"/>
            </w:tcBorders>
            <w:vAlign w:val="center"/>
          </w:tcPr>
          <w:p w14:paraId="4027AB42" w14:textId="77777777" w:rsidR="00DE4C41" w:rsidRPr="00E81073" w:rsidRDefault="00DE4C41" w:rsidP="00621EA3">
            <w:pPr>
              <w:keepNext/>
              <w:jc w:val="center"/>
              <w:rPr>
                <w:rFonts w:ascii="Arial Narrow" w:hAnsi="Arial Narrow"/>
                <w:sz w:val="18"/>
                <w:szCs w:val="18"/>
                <w:highlight w:val="yellow"/>
              </w:rPr>
            </w:pPr>
          </w:p>
        </w:tc>
      </w:tr>
      <w:tr w:rsidR="00DE4C41" w:rsidRPr="00E81073" w14:paraId="0435F22C" w14:textId="77777777" w:rsidTr="00621EA3">
        <w:tc>
          <w:tcPr>
            <w:tcW w:w="1493" w:type="pct"/>
            <w:tcBorders>
              <w:bottom w:val="nil"/>
            </w:tcBorders>
            <w:shd w:val="clear" w:color="auto" w:fill="auto"/>
          </w:tcPr>
          <w:p w14:paraId="1014CD46" w14:textId="77777777" w:rsidR="00DE4C41" w:rsidRPr="00E81073" w:rsidRDefault="00DE4C41" w:rsidP="00621EA3">
            <w:pPr>
              <w:keepNext/>
              <w:rPr>
                <w:rFonts w:ascii="Arial Narrow" w:hAnsi="Arial Narrow"/>
                <w:sz w:val="18"/>
                <w:szCs w:val="18"/>
                <w:highlight w:val="yellow"/>
              </w:rPr>
            </w:pPr>
            <w:r w:rsidRPr="00E81073">
              <w:rPr>
                <w:rFonts w:ascii="Arial Narrow" w:hAnsi="Arial Narrow"/>
                <w:sz w:val="18"/>
                <w:szCs w:val="18"/>
              </w:rPr>
              <w:t>SPIRIT 1, W12, ITT (bNative)</w:t>
            </w:r>
          </w:p>
        </w:tc>
        <w:tc>
          <w:tcPr>
            <w:tcW w:w="590" w:type="pct"/>
            <w:tcBorders>
              <w:bottom w:val="nil"/>
            </w:tcBorders>
            <w:shd w:val="clear" w:color="auto" w:fill="auto"/>
            <w:vAlign w:val="center"/>
          </w:tcPr>
          <w:p w14:paraId="0913AC02" w14:textId="77777777" w:rsidR="00DE4C41" w:rsidRPr="00E81073" w:rsidRDefault="00DE4C41" w:rsidP="00621EA3">
            <w:pPr>
              <w:keepNext/>
              <w:jc w:val="center"/>
              <w:rPr>
                <w:rFonts w:ascii="Arial Narrow" w:hAnsi="Arial Narrow"/>
                <w:sz w:val="18"/>
                <w:szCs w:val="18"/>
                <w:highlight w:val="yellow"/>
              </w:rPr>
            </w:pPr>
            <w:r w:rsidRPr="00E81073">
              <w:rPr>
                <w:rFonts w:ascii="Arial Narrow" w:hAnsi="Arial Narrow"/>
                <w:sz w:val="18"/>
                <w:szCs w:val="18"/>
              </w:rPr>
              <w:t>36/107 (33.6)</w:t>
            </w:r>
          </w:p>
        </w:tc>
        <w:tc>
          <w:tcPr>
            <w:tcW w:w="590" w:type="pct"/>
            <w:tcBorders>
              <w:bottom w:val="nil"/>
            </w:tcBorders>
            <w:shd w:val="clear" w:color="auto" w:fill="auto"/>
            <w:vAlign w:val="center"/>
          </w:tcPr>
          <w:p w14:paraId="52BA7755" w14:textId="77777777" w:rsidR="00DE4C41" w:rsidRPr="00E81073" w:rsidRDefault="00DE4C41" w:rsidP="00621EA3">
            <w:pPr>
              <w:keepNext/>
              <w:jc w:val="center"/>
              <w:rPr>
                <w:rFonts w:ascii="Arial Narrow" w:hAnsi="Arial Narrow"/>
                <w:sz w:val="18"/>
                <w:szCs w:val="18"/>
                <w:highlight w:val="yellow"/>
              </w:rPr>
            </w:pPr>
            <w:r w:rsidRPr="00E81073">
              <w:rPr>
                <w:rFonts w:ascii="Arial Narrow" w:hAnsi="Arial Narrow"/>
                <w:sz w:val="18"/>
                <w:szCs w:val="18"/>
              </w:rPr>
              <w:t>5/106 (4.7)</w:t>
            </w:r>
          </w:p>
        </w:tc>
        <w:tc>
          <w:tcPr>
            <w:tcW w:w="776" w:type="pct"/>
            <w:tcBorders>
              <w:top w:val="nil"/>
              <w:bottom w:val="nil"/>
              <w:right w:val="single" w:sz="4" w:space="0" w:color="auto"/>
            </w:tcBorders>
            <w:shd w:val="clear" w:color="auto" w:fill="auto"/>
            <w:vAlign w:val="center"/>
          </w:tcPr>
          <w:p w14:paraId="5680D0F8" w14:textId="5BA5A05B" w:rsidR="00DE4C41" w:rsidRPr="00E81073" w:rsidRDefault="00DE4C41" w:rsidP="00621EA3">
            <w:pPr>
              <w:keepNext/>
              <w:jc w:val="center"/>
              <w:rPr>
                <w:rFonts w:ascii="Arial Narrow" w:hAnsi="Arial Narrow"/>
                <w:b/>
                <w:bCs/>
                <w:sz w:val="18"/>
                <w:szCs w:val="18"/>
                <w:highlight w:val="yellow"/>
              </w:rPr>
            </w:pPr>
            <w:r w:rsidRPr="00E81073">
              <w:rPr>
                <w:rFonts w:ascii="Arial Narrow" w:hAnsi="Arial Narrow"/>
                <w:b/>
                <w:bCs/>
                <w:sz w:val="18"/>
                <w:szCs w:val="18"/>
              </w:rPr>
              <w:t>7.13 (2.91,</w:t>
            </w:r>
            <w:r w:rsidR="00564C6E" w:rsidRPr="00E81073">
              <w:rPr>
                <w:rFonts w:ascii="Arial Narrow" w:hAnsi="Arial Narrow"/>
                <w:b/>
                <w:bCs/>
                <w:sz w:val="18"/>
                <w:szCs w:val="18"/>
              </w:rPr>
              <w:t xml:space="preserve"> </w:t>
            </w:r>
            <w:r w:rsidRPr="00E81073">
              <w:rPr>
                <w:rFonts w:ascii="Arial Narrow" w:hAnsi="Arial Narrow"/>
                <w:b/>
                <w:bCs/>
                <w:sz w:val="18"/>
                <w:szCs w:val="18"/>
              </w:rPr>
              <w:t>17.47)</w:t>
            </w:r>
          </w:p>
        </w:tc>
        <w:tc>
          <w:tcPr>
            <w:tcW w:w="776" w:type="pct"/>
            <w:tcBorders>
              <w:top w:val="nil"/>
              <w:left w:val="single" w:sz="4" w:space="0" w:color="auto"/>
              <w:bottom w:val="nil"/>
              <w:right w:val="single" w:sz="4" w:space="0" w:color="auto"/>
            </w:tcBorders>
            <w:shd w:val="clear" w:color="auto" w:fill="auto"/>
            <w:vAlign w:val="center"/>
          </w:tcPr>
          <w:p w14:paraId="26DD92D0" w14:textId="344ACE0E" w:rsidR="00DE4C41" w:rsidRPr="00E81073" w:rsidRDefault="00DE4C41" w:rsidP="00621EA3">
            <w:pPr>
              <w:keepNext/>
              <w:jc w:val="center"/>
              <w:rPr>
                <w:rFonts w:ascii="Arial Narrow" w:hAnsi="Arial Narrow"/>
                <w:b/>
                <w:bCs/>
                <w:sz w:val="18"/>
                <w:szCs w:val="18"/>
                <w:highlight w:val="yellow"/>
              </w:rPr>
            </w:pPr>
            <w:r w:rsidRPr="00E81073">
              <w:rPr>
                <w:rFonts w:ascii="Arial Narrow" w:hAnsi="Arial Narrow"/>
                <w:b/>
                <w:bCs/>
                <w:sz w:val="18"/>
                <w:szCs w:val="18"/>
              </w:rPr>
              <w:t>10.24</w:t>
            </w:r>
            <w:r w:rsidR="00564C6E" w:rsidRPr="00E81073">
              <w:rPr>
                <w:rFonts w:ascii="Arial Narrow" w:hAnsi="Arial Narrow"/>
                <w:b/>
                <w:bCs/>
                <w:sz w:val="18"/>
                <w:szCs w:val="18"/>
              </w:rPr>
              <w:t xml:space="preserve"> </w:t>
            </w:r>
            <w:r w:rsidRPr="00E81073">
              <w:rPr>
                <w:rFonts w:ascii="Arial Narrow" w:hAnsi="Arial Narrow"/>
                <w:b/>
                <w:bCs/>
                <w:sz w:val="18"/>
                <w:szCs w:val="18"/>
              </w:rPr>
              <w:t>(3.83,</w:t>
            </w:r>
            <w:r w:rsidR="00564C6E" w:rsidRPr="00E81073">
              <w:rPr>
                <w:rFonts w:ascii="Arial Narrow" w:hAnsi="Arial Narrow"/>
                <w:b/>
                <w:bCs/>
                <w:sz w:val="18"/>
                <w:szCs w:val="18"/>
              </w:rPr>
              <w:t xml:space="preserve"> </w:t>
            </w:r>
            <w:r w:rsidRPr="00E81073">
              <w:rPr>
                <w:rFonts w:ascii="Arial Narrow" w:hAnsi="Arial Narrow"/>
                <w:b/>
                <w:bCs/>
                <w:sz w:val="18"/>
                <w:szCs w:val="18"/>
              </w:rPr>
              <w:t>27.38)</w:t>
            </w:r>
          </w:p>
        </w:tc>
        <w:tc>
          <w:tcPr>
            <w:tcW w:w="775" w:type="pct"/>
            <w:tcBorders>
              <w:top w:val="nil"/>
              <w:left w:val="single" w:sz="4" w:space="0" w:color="auto"/>
              <w:bottom w:val="nil"/>
              <w:right w:val="single" w:sz="4" w:space="0" w:color="auto"/>
            </w:tcBorders>
            <w:shd w:val="clear" w:color="auto" w:fill="auto"/>
            <w:vAlign w:val="center"/>
          </w:tcPr>
          <w:p w14:paraId="1D55EB70" w14:textId="73F6C6CF" w:rsidR="00DE4C41" w:rsidRPr="00E81073" w:rsidRDefault="00DE4C41" w:rsidP="00621EA3">
            <w:pPr>
              <w:keepNext/>
              <w:jc w:val="center"/>
              <w:rPr>
                <w:rFonts w:ascii="Arial Narrow" w:hAnsi="Arial Narrow"/>
                <w:b/>
                <w:bCs/>
                <w:sz w:val="18"/>
                <w:szCs w:val="18"/>
                <w:highlight w:val="yellow"/>
              </w:rPr>
            </w:pPr>
            <w:r w:rsidRPr="00E81073">
              <w:rPr>
                <w:rFonts w:ascii="Arial Narrow" w:hAnsi="Arial Narrow"/>
                <w:b/>
                <w:bCs/>
                <w:sz w:val="18"/>
                <w:szCs w:val="18"/>
              </w:rPr>
              <w:t>0.29 (0.19,</w:t>
            </w:r>
            <w:r w:rsidR="00564C6E" w:rsidRPr="00E81073">
              <w:rPr>
                <w:rFonts w:ascii="Arial Narrow" w:hAnsi="Arial Narrow"/>
                <w:b/>
                <w:bCs/>
                <w:sz w:val="18"/>
                <w:szCs w:val="18"/>
              </w:rPr>
              <w:t xml:space="preserve"> </w:t>
            </w:r>
            <w:r w:rsidRPr="00E81073">
              <w:rPr>
                <w:rFonts w:ascii="Arial Narrow" w:hAnsi="Arial Narrow"/>
                <w:b/>
                <w:bCs/>
                <w:sz w:val="18"/>
                <w:szCs w:val="18"/>
              </w:rPr>
              <w:t>0.39)</w:t>
            </w:r>
          </w:p>
        </w:tc>
      </w:tr>
      <w:tr w:rsidR="00DE4C41" w:rsidRPr="00E81073" w14:paraId="2715CD73" w14:textId="77777777" w:rsidTr="00621EA3">
        <w:tc>
          <w:tcPr>
            <w:tcW w:w="1493" w:type="pct"/>
            <w:tcBorders>
              <w:top w:val="nil"/>
              <w:bottom w:val="nil"/>
            </w:tcBorders>
            <w:shd w:val="clear" w:color="auto" w:fill="auto"/>
          </w:tcPr>
          <w:p w14:paraId="2498243B" w14:textId="77777777" w:rsidR="00DE4C41" w:rsidRPr="00E81073" w:rsidRDefault="00DE4C41" w:rsidP="00621EA3">
            <w:pPr>
              <w:keepNext/>
              <w:rPr>
                <w:rFonts w:ascii="Arial Narrow" w:hAnsi="Arial Narrow"/>
                <w:sz w:val="18"/>
                <w:szCs w:val="18"/>
              </w:rPr>
            </w:pPr>
            <w:r w:rsidRPr="00E81073">
              <w:rPr>
                <w:rFonts w:ascii="Arial Narrow" w:hAnsi="Arial Narrow"/>
                <w:sz w:val="18"/>
                <w:szCs w:val="18"/>
              </w:rPr>
              <w:t>SPIRIT 1, W16, ITT (bNative)</w:t>
            </w:r>
          </w:p>
        </w:tc>
        <w:tc>
          <w:tcPr>
            <w:tcW w:w="590" w:type="pct"/>
            <w:tcBorders>
              <w:top w:val="nil"/>
              <w:bottom w:val="nil"/>
            </w:tcBorders>
            <w:shd w:val="clear" w:color="auto" w:fill="auto"/>
            <w:vAlign w:val="center"/>
          </w:tcPr>
          <w:p w14:paraId="7BB29F48" w14:textId="68DE9A81" w:rsidR="00DE4C41" w:rsidRPr="00E81073" w:rsidRDefault="00DE4C41" w:rsidP="00621EA3">
            <w:pPr>
              <w:keepNext/>
              <w:jc w:val="center"/>
              <w:rPr>
                <w:rFonts w:ascii="Arial Narrow" w:hAnsi="Arial Narrow"/>
                <w:sz w:val="18"/>
                <w:szCs w:val="18"/>
              </w:rPr>
            </w:pPr>
            <w:r w:rsidRPr="00E81073">
              <w:rPr>
                <w:rFonts w:ascii="Arial Narrow" w:hAnsi="Arial Narrow"/>
                <w:sz w:val="18"/>
                <w:szCs w:val="18"/>
              </w:rPr>
              <w:t>32/107 (29.9)</w:t>
            </w:r>
            <w:r w:rsidR="0079060C" w:rsidRPr="00E81073">
              <w:rPr>
                <w:rFonts w:ascii="Arial Narrow" w:hAnsi="Arial Narrow"/>
                <w:sz w:val="18"/>
                <w:szCs w:val="18"/>
              </w:rPr>
              <w:t>*</w:t>
            </w:r>
          </w:p>
        </w:tc>
        <w:tc>
          <w:tcPr>
            <w:tcW w:w="590" w:type="pct"/>
            <w:tcBorders>
              <w:top w:val="nil"/>
              <w:bottom w:val="nil"/>
            </w:tcBorders>
            <w:shd w:val="clear" w:color="auto" w:fill="auto"/>
            <w:vAlign w:val="center"/>
          </w:tcPr>
          <w:p w14:paraId="0E9581AC" w14:textId="3EDA365B" w:rsidR="00DE4C41" w:rsidRPr="00E81073" w:rsidRDefault="00DE4C41" w:rsidP="00621EA3">
            <w:pPr>
              <w:keepNext/>
              <w:jc w:val="center"/>
              <w:rPr>
                <w:rFonts w:ascii="Arial Narrow" w:hAnsi="Arial Narrow"/>
                <w:sz w:val="18"/>
                <w:szCs w:val="18"/>
              </w:rPr>
            </w:pPr>
            <w:r w:rsidRPr="00E81073">
              <w:rPr>
                <w:rFonts w:ascii="Arial Narrow" w:hAnsi="Arial Narrow"/>
                <w:sz w:val="18"/>
                <w:szCs w:val="18"/>
              </w:rPr>
              <w:t>13/106 (12.3)</w:t>
            </w:r>
            <w:r w:rsidR="0079060C" w:rsidRPr="00E81073">
              <w:rPr>
                <w:rFonts w:ascii="Arial Narrow" w:hAnsi="Arial Narrow"/>
                <w:sz w:val="18"/>
                <w:szCs w:val="18"/>
              </w:rPr>
              <w:t>*</w:t>
            </w:r>
          </w:p>
        </w:tc>
        <w:tc>
          <w:tcPr>
            <w:tcW w:w="776" w:type="pct"/>
            <w:tcBorders>
              <w:top w:val="nil"/>
              <w:bottom w:val="nil"/>
              <w:right w:val="single" w:sz="4" w:space="0" w:color="auto"/>
            </w:tcBorders>
            <w:shd w:val="clear" w:color="auto" w:fill="auto"/>
            <w:vAlign w:val="center"/>
          </w:tcPr>
          <w:p w14:paraId="189C6859" w14:textId="0424046A" w:rsidR="00DE4C41" w:rsidRPr="00E81073" w:rsidRDefault="00DE4C41" w:rsidP="00621EA3">
            <w:pPr>
              <w:keepNext/>
              <w:jc w:val="center"/>
              <w:rPr>
                <w:rFonts w:ascii="Arial Narrow" w:hAnsi="Arial Narrow"/>
                <w:b/>
                <w:bCs/>
                <w:sz w:val="18"/>
                <w:szCs w:val="18"/>
              </w:rPr>
            </w:pPr>
            <w:r w:rsidRPr="00E81073">
              <w:rPr>
                <w:rFonts w:ascii="Arial Narrow" w:hAnsi="Arial Narrow"/>
                <w:b/>
                <w:bCs/>
                <w:sz w:val="18"/>
                <w:szCs w:val="18"/>
              </w:rPr>
              <w:t>2.44 (1.36,</w:t>
            </w:r>
            <w:r w:rsidR="001F7452" w:rsidRPr="00E81073">
              <w:rPr>
                <w:rFonts w:ascii="Arial Narrow" w:hAnsi="Arial Narrow"/>
                <w:b/>
                <w:bCs/>
                <w:sz w:val="18"/>
                <w:szCs w:val="18"/>
              </w:rPr>
              <w:t xml:space="preserve"> </w:t>
            </w:r>
            <w:r w:rsidRPr="00E81073">
              <w:rPr>
                <w:rFonts w:ascii="Arial Narrow" w:hAnsi="Arial Narrow"/>
                <w:b/>
                <w:bCs/>
                <w:sz w:val="18"/>
                <w:szCs w:val="18"/>
              </w:rPr>
              <w:t>4.38)</w:t>
            </w:r>
          </w:p>
        </w:tc>
        <w:tc>
          <w:tcPr>
            <w:tcW w:w="776" w:type="pct"/>
            <w:tcBorders>
              <w:top w:val="nil"/>
              <w:left w:val="single" w:sz="4" w:space="0" w:color="auto"/>
              <w:bottom w:val="nil"/>
              <w:right w:val="single" w:sz="4" w:space="0" w:color="auto"/>
            </w:tcBorders>
            <w:shd w:val="clear" w:color="auto" w:fill="auto"/>
            <w:vAlign w:val="center"/>
          </w:tcPr>
          <w:p w14:paraId="435BCF09" w14:textId="0A2F84DE" w:rsidR="00DE4C41" w:rsidRPr="00E81073" w:rsidRDefault="00DE4C41" w:rsidP="00621EA3">
            <w:pPr>
              <w:keepNext/>
              <w:jc w:val="center"/>
              <w:rPr>
                <w:rFonts w:ascii="Arial Narrow" w:hAnsi="Arial Narrow"/>
                <w:b/>
                <w:bCs/>
                <w:sz w:val="18"/>
                <w:szCs w:val="18"/>
              </w:rPr>
            </w:pPr>
            <w:r w:rsidRPr="00E81073">
              <w:rPr>
                <w:rFonts w:ascii="Arial Narrow" w:hAnsi="Arial Narrow"/>
                <w:b/>
                <w:bCs/>
                <w:sz w:val="18"/>
                <w:szCs w:val="18"/>
              </w:rPr>
              <w:t>3.05 (1.50,</w:t>
            </w:r>
            <w:r w:rsidR="001F7452" w:rsidRPr="00E81073">
              <w:rPr>
                <w:rFonts w:ascii="Arial Narrow" w:hAnsi="Arial Narrow"/>
                <w:b/>
                <w:bCs/>
                <w:sz w:val="18"/>
                <w:szCs w:val="18"/>
              </w:rPr>
              <w:t xml:space="preserve"> </w:t>
            </w:r>
            <w:r w:rsidRPr="00E81073">
              <w:rPr>
                <w:rFonts w:ascii="Arial Narrow" w:hAnsi="Arial Narrow"/>
                <w:b/>
                <w:bCs/>
                <w:sz w:val="18"/>
                <w:szCs w:val="18"/>
              </w:rPr>
              <w:t>6.23)</w:t>
            </w:r>
          </w:p>
        </w:tc>
        <w:tc>
          <w:tcPr>
            <w:tcW w:w="775" w:type="pct"/>
            <w:tcBorders>
              <w:top w:val="nil"/>
              <w:left w:val="single" w:sz="4" w:space="0" w:color="auto"/>
              <w:bottom w:val="nil"/>
              <w:right w:val="single" w:sz="4" w:space="0" w:color="auto"/>
            </w:tcBorders>
            <w:shd w:val="clear" w:color="auto" w:fill="auto"/>
            <w:vAlign w:val="center"/>
          </w:tcPr>
          <w:p w14:paraId="342268A8" w14:textId="6098F3CA" w:rsidR="00DE4C41" w:rsidRPr="00E81073" w:rsidRDefault="00DE4C41" w:rsidP="00621EA3">
            <w:pPr>
              <w:keepNext/>
              <w:jc w:val="center"/>
              <w:rPr>
                <w:rFonts w:ascii="Arial Narrow" w:hAnsi="Arial Narrow"/>
                <w:b/>
                <w:bCs/>
                <w:sz w:val="18"/>
                <w:szCs w:val="18"/>
              </w:rPr>
            </w:pPr>
            <w:r w:rsidRPr="00E81073">
              <w:rPr>
                <w:rFonts w:ascii="Arial Narrow" w:hAnsi="Arial Narrow"/>
                <w:b/>
                <w:bCs/>
                <w:sz w:val="18"/>
                <w:szCs w:val="18"/>
              </w:rPr>
              <w:t>0.18 (0.07,</w:t>
            </w:r>
            <w:r w:rsidR="001F7452" w:rsidRPr="00E81073">
              <w:rPr>
                <w:rFonts w:ascii="Arial Narrow" w:hAnsi="Arial Narrow"/>
                <w:b/>
                <w:bCs/>
                <w:sz w:val="18"/>
                <w:szCs w:val="18"/>
              </w:rPr>
              <w:t xml:space="preserve"> </w:t>
            </w:r>
            <w:r w:rsidRPr="00E81073">
              <w:rPr>
                <w:rFonts w:ascii="Arial Narrow" w:hAnsi="Arial Narrow"/>
                <w:b/>
                <w:bCs/>
                <w:sz w:val="18"/>
                <w:szCs w:val="18"/>
              </w:rPr>
              <w:t>0.28)</w:t>
            </w:r>
          </w:p>
        </w:tc>
      </w:tr>
      <w:tr w:rsidR="00DE4C41" w:rsidRPr="00E81073" w14:paraId="5DE7214F" w14:textId="77777777" w:rsidTr="00621EA3">
        <w:tc>
          <w:tcPr>
            <w:tcW w:w="1493" w:type="pct"/>
            <w:tcBorders>
              <w:top w:val="nil"/>
              <w:bottom w:val="nil"/>
            </w:tcBorders>
            <w:shd w:val="clear" w:color="auto" w:fill="auto"/>
          </w:tcPr>
          <w:p w14:paraId="0A777525" w14:textId="77777777" w:rsidR="00DE4C41" w:rsidRPr="00E81073" w:rsidRDefault="00DE4C41" w:rsidP="00621EA3">
            <w:pPr>
              <w:keepNext/>
              <w:rPr>
                <w:rFonts w:ascii="Arial Narrow" w:hAnsi="Arial Narrow"/>
                <w:sz w:val="18"/>
                <w:szCs w:val="18"/>
              </w:rPr>
            </w:pPr>
            <w:r w:rsidRPr="00E81073">
              <w:rPr>
                <w:rFonts w:ascii="Arial Narrow" w:hAnsi="Arial Narrow"/>
                <w:sz w:val="18"/>
                <w:szCs w:val="18"/>
              </w:rPr>
              <w:t>SPIRIT 2, W12, ITT (TFNe)</w:t>
            </w:r>
          </w:p>
        </w:tc>
        <w:tc>
          <w:tcPr>
            <w:tcW w:w="590" w:type="pct"/>
            <w:tcBorders>
              <w:top w:val="nil"/>
              <w:bottom w:val="nil"/>
            </w:tcBorders>
            <w:shd w:val="clear" w:color="auto" w:fill="auto"/>
            <w:vAlign w:val="center"/>
          </w:tcPr>
          <w:p w14:paraId="23D5C10B" w14:textId="77777777" w:rsidR="00DE4C41" w:rsidRPr="00E81073" w:rsidRDefault="00DE4C41" w:rsidP="00621EA3">
            <w:pPr>
              <w:keepNext/>
              <w:jc w:val="center"/>
              <w:rPr>
                <w:rFonts w:ascii="Arial Narrow" w:hAnsi="Arial Narrow"/>
                <w:sz w:val="18"/>
                <w:szCs w:val="18"/>
              </w:rPr>
            </w:pPr>
            <w:r w:rsidRPr="00E81073">
              <w:rPr>
                <w:rFonts w:ascii="Arial Narrow" w:hAnsi="Arial Narrow"/>
                <w:sz w:val="18"/>
                <w:szCs w:val="18"/>
              </w:rPr>
              <w:t>38/122 (31.1)</w:t>
            </w:r>
          </w:p>
        </w:tc>
        <w:tc>
          <w:tcPr>
            <w:tcW w:w="590" w:type="pct"/>
            <w:tcBorders>
              <w:top w:val="nil"/>
              <w:bottom w:val="nil"/>
            </w:tcBorders>
            <w:shd w:val="clear" w:color="auto" w:fill="auto"/>
            <w:vAlign w:val="center"/>
          </w:tcPr>
          <w:p w14:paraId="5A5B8A1A" w14:textId="77777777" w:rsidR="00DE4C41" w:rsidRPr="00E81073" w:rsidRDefault="00DE4C41" w:rsidP="00621EA3">
            <w:pPr>
              <w:keepNext/>
              <w:jc w:val="center"/>
              <w:rPr>
                <w:rFonts w:ascii="Arial Narrow" w:hAnsi="Arial Narrow"/>
                <w:sz w:val="18"/>
                <w:szCs w:val="18"/>
              </w:rPr>
            </w:pPr>
            <w:r w:rsidRPr="00E81073">
              <w:rPr>
                <w:rFonts w:ascii="Arial Narrow" w:hAnsi="Arial Narrow"/>
                <w:sz w:val="18"/>
                <w:szCs w:val="18"/>
              </w:rPr>
              <w:t>4/118 (3.4)</w:t>
            </w:r>
          </w:p>
        </w:tc>
        <w:tc>
          <w:tcPr>
            <w:tcW w:w="776" w:type="pct"/>
            <w:tcBorders>
              <w:top w:val="nil"/>
              <w:bottom w:val="nil"/>
              <w:right w:val="single" w:sz="4" w:space="0" w:color="auto"/>
            </w:tcBorders>
            <w:shd w:val="clear" w:color="auto" w:fill="auto"/>
            <w:vAlign w:val="center"/>
          </w:tcPr>
          <w:p w14:paraId="04CDEFC0" w14:textId="7C05B1F3" w:rsidR="00DE4C41" w:rsidRPr="00E81073" w:rsidRDefault="00DE4C41" w:rsidP="00621EA3">
            <w:pPr>
              <w:keepNext/>
              <w:jc w:val="center"/>
              <w:rPr>
                <w:rFonts w:ascii="Arial Narrow" w:hAnsi="Arial Narrow"/>
                <w:b/>
                <w:bCs/>
                <w:sz w:val="18"/>
                <w:szCs w:val="18"/>
              </w:rPr>
            </w:pPr>
            <w:r w:rsidRPr="00E81073">
              <w:rPr>
                <w:rFonts w:ascii="Arial Narrow" w:hAnsi="Arial Narrow"/>
                <w:b/>
                <w:bCs/>
                <w:sz w:val="18"/>
                <w:szCs w:val="18"/>
              </w:rPr>
              <w:t>9.19 (3.38,</w:t>
            </w:r>
            <w:r w:rsidR="00564C6E" w:rsidRPr="00E81073">
              <w:rPr>
                <w:rFonts w:ascii="Arial Narrow" w:hAnsi="Arial Narrow"/>
                <w:b/>
                <w:bCs/>
                <w:sz w:val="18"/>
                <w:szCs w:val="18"/>
              </w:rPr>
              <w:t xml:space="preserve"> </w:t>
            </w:r>
            <w:r w:rsidRPr="00E81073">
              <w:rPr>
                <w:rFonts w:ascii="Arial Narrow" w:hAnsi="Arial Narrow"/>
                <w:b/>
                <w:bCs/>
                <w:sz w:val="18"/>
                <w:szCs w:val="18"/>
              </w:rPr>
              <w:t>24.94)</w:t>
            </w:r>
          </w:p>
        </w:tc>
        <w:tc>
          <w:tcPr>
            <w:tcW w:w="776" w:type="pct"/>
            <w:tcBorders>
              <w:top w:val="nil"/>
              <w:left w:val="single" w:sz="4" w:space="0" w:color="auto"/>
              <w:bottom w:val="nil"/>
              <w:right w:val="single" w:sz="4" w:space="0" w:color="auto"/>
            </w:tcBorders>
            <w:shd w:val="clear" w:color="auto" w:fill="auto"/>
            <w:vAlign w:val="center"/>
          </w:tcPr>
          <w:p w14:paraId="6B73463B" w14:textId="1ED28682" w:rsidR="00DE4C41" w:rsidRPr="00E81073" w:rsidRDefault="00DE4C41" w:rsidP="00621EA3">
            <w:pPr>
              <w:keepNext/>
              <w:jc w:val="center"/>
              <w:rPr>
                <w:rFonts w:ascii="Arial Narrow" w:hAnsi="Arial Narrow"/>
                <w:b/>
                <w:bCs/>
                <w:sz w:val="18"/>
                <w:szCs w:val="18"/>
              </w:rPr>
            </w:pPr>
            <w:r w:rsidRPr="00E81073">
              <w:rPr>
                <w:rFonts w:ascii="Arial Narrow" w:hAnsi="Arial Narrow"/>
                <w:b/>
                <w:bCs/>
                <w:sz w:val="18"/>
                <w:szCs w:val="18"/>
              </w:rPr>
              <w:t>12.89</w:t>
            </w:r>
            <w:r w:rsidR="00564C6E" w:rsidRPr="00E81073">
              <w:rPr>
                <w:rFonts w:ascii="Arial Narrow" w:hAnsi="Arial Narrow"/>
                <w:b/>
                <w:bCs/>
                <w:sz w:val="18"/>
                <w:szCs w:val="18"/>
              </w:rPr>
              <w:t xml:space="preserve"> </w:t>
            </w:r>
            <w:r w:rsidRPr="00E81073">
              <w:rPr>
                <w:rFonts w:ascii="Arial Narrow" w:hAnsi="Arial Narrow"/>
                <w:b/>
                <w:bCs/>
                <w:sz w:val="18"/>
                <w:szCs w:val="18"/>
              </w:rPr>
              <w:t>(4.43,</w:t>
            </w:r>
            <w:r w:rsidR="00564C6E" w:rsidRPr="00E81073">
              <w:rPr>
                <w:rFonts w:ascii="Arial Narrow" w:hAnsi="Arial Narrow"/>
                <w:b/>
                <w:bCs/>
                <w:sz w:val="18"/>
                <w:szCs w:val="18"/>
              </w:rPr>
              <w:t xml:space="preserve"> </w:t>
            </w:r>
            <w:r w:rsidRPr="00E81073">
              <w:rPr>
                <w:rFonts w:ascii="Arial Narrow" w:hAnsi="Arial Narrow"/>
                <w:b/>
                <w:bCs/>
                <w:sz w:val="18"/>
                <w:szCs w:val="18"/>
              </w:rPr>
              <w:t>37.52)</w:t>
            </w:r>
          </w:p>
        </w:tc>
        <w:tc>
          <w:tcPr>
            <w:tcW w:w="775" w:type="pct"/>
            <w:tcBorders>
              <w:top w:val="nil"/>
              <w:left w:val="single" w:sz="4" w:space="0" w:color="auto"/>
              <w:bottom w:val="nil"/>
              <w:right w:val="single" w:sz="4" w:space="0" w:color="auto"/>
            </w:tcBorders>
            <w:shd w:val="clear" w:color="auto" w:fill="auto"/>
            <w:vAlign w:val="center"/>
          </w:tcPr>
          <w:p w14:paraId="405A2917" w14:textId="5D35E4F1" w:rsidR="00DE4C41" w:rsidRPr="00E81073" w:rsidRDefault="00DE4C41" w:rsidP="00621EA3">
            <w:pPr>
              <w:keepNext/>
              <w:jc w:val="center"/>
              <w:rPr>
                <w:rFonts w:ascii="Arial Narrow" w:hAnsi="Arial Narrow"/>
                <w:b/>
                <w:bCs/>
                <w:sz w:val="18"/>
                <w:szCs w:val="18"/>
              </w:rPr>
            </w:pPr>
            <w:r w:rsidRPr="00E81073">
              <w:rPr>
                <w:rFonts w:ascii="Arial Narrow" w:hAnsi="Arial Narrow"/>
                <w:b/>
                <w:bCs/>
                <w:sz w:val="18"/>
                <w:szCs w:val="18"/>
              </w:rPr>
              <w:t>0.28 (0.19,</w:t>
            </w:r>
            <w:r w:rsidR="00564C6E" w:rsidRPr="00E81073">
              <w:rPr>
                <w:rFonts w:ascii="Arial Narrow" w:hAnsi="Arial Narrow"/>
                <w:b/>
                <w:bCs/>
                <w:sz w:val="18"/>
                <w:szCs w:val="18"/>
              </w:rPr>
              <w:t xml:space="preserve"> </w:t>
            </w:r>
            <w:r w:rsidRPr="00E81073">
              <w:rPr>
                <w:rFonts w:ascii="Arial Narrow" w:hAnsi="Arial Narrow"/>
                <w:b/>
                <w:bCs/>
                <w:sz w:val="18"/>
                <w:szCs w:val="18"/>
              </w:rPr>
              <w:t>0.37)</w:t>
            </w:r>
          </w:p>
        </w:tc>
      </w:tr>
      <w:tr w:rsidR="00DE4C41" w:rsidRPr="00E81073" w14:paraId="4660DAB3" w14:textId="77777777" w:rsidTr="00621EA3">
        <w:tc>
          <w:tcPr>
            <w:tcW w:w="1493" w:type="pct"/>
            <w:tcBorders>
              <w:top w:val="nil"/>
              <w:bottom w:val="nil"/>
            </w:tcBorders>
            <w:shd w:val="clear" w:color="auto" w:fill="auto"/>
          </w:tcPr>
          <w:p w14:paraId="06F5B842" w14:textId="77777777" w:rsidR="00DE4C41" w:rsidRPr="00E81073" w:rsidRDefault="00DE4C41" w:rsidP="00621EA3">
            <w:pPr>
              <w:keepNext/>
              <w:rPr>
                <w:rFonts w:ascii="Arial Narrow" w:hAnsi="Arial Narrow"/>
                <w:sz w:val="18"/>
                <w:szCs w:val="18"/>
              </w:rPr>
            </w:pPr>
            <w:r w:rsidRPr="00E81073">
              <w:rPr>
                <w:rFonts w:ascii="Arial Narrow" w:hAnsi="Arial Narrow"/>
                <w:sz w:val="18"/>
                <w:szCs w:val="18"/>
              </w:rPr>
              <w:t>SPIRIT 2, W16, ITT (TFNe)</w:t>
            </w:r>
          </w:p>
        </w:tc>
        <w:tc>
          <w:tcPr>
            <w:tcW w:w="590" w:type="pct"/>
            <w:tcBorders>
              <w:top w:val="nil"/>
              <w:bottom w:val="nil"/>
            </w:tcBorders>
            <w:shd w:val="clear" w:color="auto" w:fill="auto"/>
            <w:vAlign w:val="center"/>
          </w:tcPr>
          <w:p w14:paraId="1BAA6650" w14:textId="2106A89B" w:rsidR="00DE4C41" w:rsidRPr="00E81073" w:rsidRDefault="00DE4C41" w:rsidP="00621EA3">
            <w:pPr>
              <w:keepNext/>
              <w:jc w:val="center"/>
              <w:rPr>
                <w:rFonts w:ascii="Arial Narrow" w:hAnsi="Arial Narrow"/>
                <w:sz w:val="18"/>
                <w:szCs w:val="18"/>
              </w:rPr>
            </w:pPr>
            <w:r w:rsidRPr="00E81073">
              <w:rPr>
                <w:rFonts w:ascii="Arial Narrow" w:hAnsi="Arial Narrow"/>
                <w:sz w:val="18"/>
                <w:szCs w:val="18"/>
              </w:rPr>
              <w:t>39/122 (32.0)</w:t>
            </w:r>
            <w:r w:rsidR="0079060C" w:rsidRPr="00E81073">
              <w:rPr>
                <w:rFonts w:ascii="Arial Narrow" w:hAnsi="Arial Narrow"/>
                <w:sz w:val="18"/>
                <w:szCs w:val="18"/>
              </w:rPr>
              <w:t>*</w:t>
            </w:r>
          </w:p>
        </w:tc>
        <w:tc>
          <w:tcPr>
            <w:tcW w:w="590" w:type="pct"/>
            <w:tcBorders>
              <w:top w:val="nil"/>
              <w:bottom w:val="nil"/>
            </w:tcBorders>
            <w:shd w:val="clear" w:color="auto" w:fill="auto"/>
            <w:vAlign w:val="center"/>
          </w:tcPr>
          <w:p w14:paraId="7323D696" w14:textId="546425B0" w:rsidR="00DE4C41" w:rsidRPr="00E81073" w:rsidRDefault="00DE4C41" w:rsidP="00621EA3">
            <w:pPr>
              <w:keepNext/>
              <w:jc w:val="center"/>
              <w:rPr>
                <w:rFonts w:ascii="Arial Narrow" w:hAnsi="Arial Narrow"/>
                <w:sz w:val="18"/>
                <w:szCs w:val="18"/>
              </w:rPr>
            </w:pPr>
            <w:r w:rsidRPr="00E81073">
              <w:rPr>
                <w:rFonts w:ascii="Arial Narrow" w:hAnsi="Arial Narrow"/>
                <w:sz w:val="18"/>
                <w:szCs w:val="18"/>
              </w:rPr>
              <w:t>7/118 (5.9)</w:t>
            </w:r>
            <w:r w:rsidR="0079060C" w:rsidRPr="00E81073">
              <w:rPr>
                <w:rFonts w:ascii="Arial Narrow" w:hAnsi="Arial Narrow"/>
                <w:sz w:val="18"/>
                <w:szCs w:val="18"/>
              </w:rPr>
              <w:t>*</w:t>
            </w:r>
          </w:p>
        </w:tc>
        <w:tc>
          <w:tcPr>
            <w:tcW w:w="776" w:type="pct"/>
            <w:tcBorders>
              <w:top w:val="nil"/>
              <w:bottom w:val="nil"/>
              <w:right w:val="single" w:sz="4" w:space="0" w:color="auto"/>
            </w:tcBorders>
            <w:shd w:val="clear" w:color="auto" w:fill="auto"/>
            <w:vAlign w:val="center"/>
          </w:tcPr>
          <w:p w14:paraId="40EC3C4B" w14:textId="0CBB2FC3" w:rsidR="00DE4C41" w:rsidRPr="00E81073" w:rsidRDefault="00DE4C41" w:rsidP="00621EA3">
            <w:pPr>
              <w:keepNext/>
              <w:jc w:val="center"/>
              <w:rPr>
                <w:rFonts w:ascii="Arial Narrow" w:hAnsi="Arial Narrow"/>
                <w:b/>
                <w:bCs/>
                <w:sz w:val="18"/>
                <w:szCs w:val="18"/>
              </w:rPr>
            </w:pPr>
            <w:r w:rsidRPr="00E81073">
              <w:rPr>
                <w:rFonts w:ascii="Arial Narrow" w:hAnsi="Arial Narrow"/>
                <w:b/>
                <w:bCs/>
                <w:sz w:val="18"/>
                <w:szCs w:val="18"/>
              </w:rPr>
              <w:t>5.39 (2.51,</w:t>
            </w:r>
            <w:r w:rsidR="001F7452" w:rsidRPr="00E81073">
              <w:rPr>
                <w:rFonts w:ascii="Arial Narrow" w:hAnsi="Arial Narrow"/>
                <w:b/>
                <w:bCs/>
                <w:sz w:val="18"/>
                <w:szCs w:val="18"/>
              </w:rPr>
              <w:t xml:space="preserve"> </w:t>
            </w:r>
            <w:r w:rsidRPr="00E81073">
              <w:rPr>
                <w:rFonts w:ascii="Arial Narrow" w:hAnsi="Arial Narrow"/>
                <w:b/>
                <w:bCs/>
                <w:sz w:val="18"/>
                <w:szCs w:val="18"/>
              </w:rPr>
              <w:t>11.57)</w:t>
            </w:r>
          </w:p>
        </w:tc>
        <w:tc>
          <w:tcPr>
            <w:tcW w:w="776" w:type="pct"/>
            <w:tcBorders>
              <w:top w:val="nil"/>
              <w:left w:val="single" w:sz="4" w:space="0" w:color="auto"/>
              <w:bottom w:val="nil"/>
              <w:right w:val="single" w:sz="4" w:space="0" w:color="auto"/>
            </w:tcBorders>
            <w:shd w:val="clear" w:color="auto" w:fill="auto"/>
            <w:vAlign w:val="center"/>
          </w:tcPr>
          <w:p w14:paraId="41D1D034" w14:textId="5C0901DA" w:rsidR="00DE4C41" w:rsidRPr="00E81073" w:rsidRDefault="00DE4C41" w:rsidP="00621EA3">
            <w:pPr>
              <w:keepNext/>
              <w:jc w:val="center"/>
              <w:rPr>
                <w:rFonts w:ascii="Arial Narrow" w:hAnsi="Arial Narrow"/>
                <w:b/>
                <w:bCs/>
                <w:sz w:val="18"/>
                <w:szCs w:val="18"/>
              </w:rPr>
            </w:pPr>
            <w:r w:rsidRPr="00E81073">
              <w:rPr>
                <w:rFonts w:ascii="Arial Narrow" w:hAnsi="Arial Narrow"/>
                <w:b/>
                <w:bCs/>
                <w:sz w:val="18"/>
                <w:szCs w:val="18"/>
              </w:rPr>
              <w:t>7.45 (3.17,</w:t>
            </w:r>
            <w:r w:rsidR="001F7452" w:rsidRPr="00E81073">
              <w:rPr>
                <w:rFonts w:ascii="Arial Narrow" w:hAnsi="Arial Narrow"/>
                <w:b/>
                <w:bCs/>
                <w:sz w:val="18"/>
                <w:szCs w:val="18"/>
              </w:rPr>
              <w:t xml:space="preserve"> </w:t>
            </w:r>
            <w:r w:rsidRPr="00E81073">
              <w:rPr>
                <w:rFonts w:ascii="Arial Narrow" w:hAnsi="Arial Narrow"/>
                <w:b/>
                <w:bCs/>
                <w:sz w:val="18"/>
                <w:szCs w:val="18"/>
              </w:rPr>
              <w:t>17.49)</w:t>
            </w:r>
          </w:p>
        </w:tc>
        <w:tc>
          <w:tcPr>
            <w:tcW w:w="775" w:type="pct"/>
            <w:tcBorders>
              <w:top w:val="nil"/>
              <w:left w:val="single" w:sz="4" w:space="0" w:color="auto"/>
              <w:bottom w:val="nil"/>
              <w:right w:val="single" w:sz="4" w:space="0" w:color="auto"/>
            </w:tcBorders>
            <w:shd w:val="clear" w:color="auto" w:fill="auto"/>
            <w:vAlign w:val="center"/>
          </w:tcPr>
          <w:p w14:paraId="292D3542" w14:textId="66CD864A" w:rsidR="00DE4C41" w:rsidRPr="00E81073" w:rsidRDefault="00DE4C41" w:rsidP="00621EA3">
            <w:pPr>
              <w:keepNext/>
              <w:jc w:val="center"/>
              <w:rPr>
                <w:rFonts w:ascii="Arial Narrow" w:hAnsi="Arial Narrow"/>
                <w:b/>
                <w:bCs/>
                <w:sz w:val="18"/>
                <w:szCs w:val="18"/>
              </w:rPr>
            </w:pPr>
            <w:r w:rsidRPr="00E81073">
              <w:rPr>
                <w:rFonts w:ascii="Arial Narrow" w:hAnsi="Arial Narrow"/>
                <w:b/>
                <w:bCs/>
                <w:sz w:val="18"/>
                <w:szCs w:val="18"/>
              </w:rPr>
              <w:t>0.26 (0.17,</w:t>
            </w:r>
            <w:r w:rsidR="001F7452" w:rsidRPr="00E81073">
              <w:rPr>
                <w:rFonts w:ascii="Arial Narrow" w:hAnsi="Arial Narrow"/>
                <w:b/>
                <w:bCs/>
                <w:sz w:val="18"/>
                <w:szCs w:val="18"/>
              </w:rPr>
              <w:t xml:space="preserve"> </w:t>
            </w:r>
            <w:r w:rsidRPr="00E81073">
              <w:rPr>
                <w:rFonts w:ascii="Arial Narrow" w:hAnsi="Arial Narrow"/>
                <w:b/>
                <w:bCs/>
                <w:sz w:val="18"/>
                <w:szCs w:val="18"/>
              </w:rPr>
              <w:t>0.35)</w:t>
            </w:r>
          </w:p>
        </w:tc>
      </w:tr>
      <w:tr w:rsidR="00DE4C41" w:rsidRPr="00E81073" w14:paraId="1C83FE9E" w14:textId="77777777" w:rsidTr="00621EA3">
        <w:tc>
          <w:tcPr>
            <w:tcW w:w="1493" w:type="pct"/>
            <w:tcBorders>
              <w:top w:val="nil"/>
              <w:bottom w:val="nil"/>
            </w:tcBorders>
            <w:shd w:val="clear" w:color="auto" w:fill="auto"/>
            <w:vAlign w:val="center"/>
          </w:tcPr>
          <w:p w14:paraId="0CB2E7F0" w14:textId="77777777" w:rsidR="00DE4C41" w:rsidRPr="00E81073" w:rsidRDefault="00DE4C41" w:rsidP="00621EA3">
            <w:pPr>
              <w:keepNext/>
              <w:jc w:val="right"/>
              <w:rPr>
                <w:rFonts w:ascii="Arial Narrow" w:hAnsi="Arial Narrow"/>
                <w:sz w:val="18"/>
                <w:szCs w:val="18"/>
              </w:rPr>
            </w:pPr>
            <w:r w:rsidRPr="00E81073">
              <w:rPr>
                <w:rFonts w:ascii="Arial Narrow" w:hAnsi="Arial Narrow"/>
                <w:iCs/>
                <w:sz w:val="18"/>
                <w:szCs w:val="18"/>
              </w:rPr>
              <w:t>Meta-analysis, W12, ITT</w:t>
            </w:r>
          </w:p>
        </w:tc>
        <w:tc>
          <w:tcPr>
            <w:tcW w:w="590" w:type="pct"/>
            <w:tcBorders>
              <w:top w:val="nil"/>
              <w:bottom w:val="nil"/>
            </w:tcBorders>
            <w:shd w:val="clear" w:color="auto" w:fill="auto"/>
            <w:vAlign w:val="center"/>
          </w:tcPr>
          <w:p w14:paraId="46788CAC" w14:textId="77777777" w:rsidR="00DE4C41" w:rsidRPr="00E81073" w:rsidRDefault="00DE4C41" w:rsidP="00621EA3">
            <w:pPr>
              <w:keepNext/>
              <w:jc w:val="center"/>
              <w:rPr>
                <w:rFonts w:ascii="Arial Narrow" w:hAnsi="Arial Narrow"/>
                <w:sz w:val="18"/>
                <w:szCs w:val="18"/>
              </w:rPr>
            </w:pPr>
            <w:r w:rsidRPr="00E81073">
              <w:rPr>
                <w:rFonts w:ascii="Arial Narrow" w:hAnsi="Arial Narrow"/>
                <w:sz w:val="18"/>
                <w:szCs w:val="18"/>
              </w:rPr>
              <w:t>74/229 (32.3)</w:t>
            </w:r>
          </w:p>
        </w:tc>
        <w:tc>
          <w:tcPr>
            <w:tcW w:w="590" w:type="pct"/>
            <w:tcBorders>
              <w:top w:val="nil"/>
              <w:bottom w:val="nil"/>
            </w:tcBorders>
            <w:shd w:val="clear" w:color="auto" w:fill="auto"/>
            <w:vAlign w:val="center"/>
          </w:tcPr>
          <w:p w14:paraId="19B97BF4" w14:textId="77777777" w:rsidR="00DE4C41" w:rsidRPr="00E81073" w:rsidRDefault="00DE4C41" w:rsidP="00621EA3">
            <w:pPr>
              <w:keepNext/>
              <w:jc w:val="center"/>
              <w:rPr>
                <w:rFonts w:ascii="Arial Narrow" w:hAnsi="Arial Narrow"/>
                <w:sz w:val="18"/>
                <w:szCs w:val="18"/>
              </w:rPr>
            </w:pPr>
            <w:r w:rsidRPr="00E81073">
              <w:rPr>
                <w:rFonts w:ascii="Arial Narrow" w:hAnsi="Arial Narrow"/>
                <w:sz w:val="18"/>
                <w:szCs w:val="18"/>
              </w:rPr>
              <w:t>9/224 (4.0)</w:t>
            </w:r>
          </w:p>
        </w:tc>
        <w:tc>
          <w:tcPr>
            <w:tcW w:w="776" w:type="pct"/>
            <w:tcBorders>
              <w:top w:val="nil"/>
              <w:bottom w:val="nil"/>
              <w:right w:val="single" w:sz="4" w:space="0" w:color="auto"/>
            </w:tcBorders>
            <w:shd w:val="clear" w:color="auto" w:fill="auto"/>
            <w:vAlign w:val="center"/>
          </w:tcPr>
          <w:p w14:paraId="7BD4EE78" w14:textId="0188B0E4" w:rsidR="00DE4C41" w:rsidRPr="00E81073" w:rsidRDefault="00DE4C41" w:rsidP="00621EA3">
            <w:pPr>
              <w:keepNext/>
              <w:jc w:val="center"/>
              <w:rPr>
                <w:rFonts w:ascii="Arial Narrow" w:hAnsi="Arial Narrow"/>
                <w:b/>
                <w:bCs/>
                <w:sz w:val="18"/>
                <w:szCs w:val="18"/>
              </w:rPr>
            </w:pPr>
            <w:r w:rsidRPr="00E81073">
              <w:rPr>
                <w:rFonts w:ascii="Arial Narrow" w:hAnsi="Arial Narrow"/>
                <w:b/>
                <w:bCs/>
                <w:sz w:val="18"/>
                <w:szCs w:val="18"/>
              </w:rPr>
              <w:t>7.99 (4.10,</w:t>
            </w:r>
            <w:r w:rsidR="00564C6E" w:rsidRPr="00E81073">
              <w:rPr>
                <w:rFonts w:ascii="Arial Narrow" w:hAnsi="Arial Narrow"/>
                <w:b/>
                <w:bCs/>
                <w:sz w:val="18"/>
                <w:szCs w:val="18"/>
              </w:rPr>
              <w:t xml:space="preserve"> </w:t>
            </w:r>
            <w:r w:rsidRPr="00E81073">
              <w:rPr>
                <w:rFonts w:ascii="Arial Narrow" w:hAnsi="Arial Narrow"/>
                <w:b/>
                <w:bCs/>
                <w:sz w:val="18"/>
                <w:szCs w:val="18"/>
              </w:rPr>
              <w:t>15.56)</w:t>
            </w:r>
          </w:p>
        </w:tc>
        <w:tc>
          <w:tcPr>
            <w:tcW w:w="776" w:type="pct"/>
            <w:tcBorders>
              <w:top w:val="nil"/>
              <w:left w:val="single" w:sz="4" w:space="0" w:color="auto"/>
              <w:bottom w:val="nil"/>
              <w:right w:val="single" w:sz="4" w:space="0" w:color="auto"/>
            </w:tcBorders>
            <w:shd w:val="clear" w:color="auto" w:fill="auto"/>
            <w:vAlign w:val="center"/>
          </w:tcPr>
          <w:p w14:paraId="32CD5F97" w14:textId="0D7EFC66" w:rsidR="00DE4C41" w:rsidRPr="00E81073" w:rsidRDefault="00DE4C41" w:rsidP="00621EA3">
            <w:pPr>
              <w:keepNext/>
              <w:jc w:val="center"/>
              <w:rPr>
                <w:rFonts w:ascii="Arial Narrow" w:hAnsi="Arial Narrow"/>
                <w:b/>
                <w:bCs/>
                <w:sz w:val="18"/>
                <w:szCs w:val="18"/>
              </w:rPr>
            </w:pPr>
            <w:r w:rsidRPr="00E81073">
              <w:rPr>
                <w:rFonts w:ascii="Arial Narrow" w:hAnsi="Arial Narrow"/>
                <w:b/>
                <w:bCs/>
                <w:sz w:val="18"/>
                <w:szCs w:val="18"/>
              </w:rPr>
              <w:t>11.38 (5.52,</w:t>
            </w:r>
            <w:r w:rsidR="00564C6E" w:rsidRPr="00E81073">
              <w:rPr>
                <w:rFonts w:ascii="Arial Narrow" w:hAnsi="Arial Narrow"/>
                <w:b/>
                <w:bCs/>
                <w:sz w:val="18"/>
                <w:szCs w:val="18"/>
              </w:rPr>
              <w:t xml:space="preserve"> </w:t>
            </w:r>
            <w:r w:rsidRPr="00E81073">
              <w:rPr>
                <w:rFonts w:ascii="Arial Narrow" w:hAnsi="Arial Narrow"/>
                <w:b/>
                <w:bCs/>
                <w:sz w:val="18"/>
                <w:szCs w:val="18"/>
              </w:rPr>
              <w:t>23.47)</w:t>
            </w:r>
          </w:p>
        </w:tc>
        <w:tc>
          <w:tcPr>
            <w:tcW w:w="775" w:type="pct"/>
            <w:tcBorders>
              <w:top w:val="nil"/>
              <w:left w:val="single" w:sz="4" w:space="0" w:color="auto"/>
              <w:bottom w:val="nil"/>
              <w:right w:val="single" w:sz="4" w:space="0" w:color="auto"/>
            </w:tcBorders>
            <w:shd w:val="clear" w:color="auto" w:fill="auto"/>
            <w:vAlign w:val="center"/>
          </w:tcPr>
          <w:p w14:paraId="0BD8F036" w14:textId="779CCC96" w:rsidR="00DE4C41" w:rsidRPr="00E81073" w:rsidRDefault="00DE4C41" w:rsidP="00621EA3">
            <w:pPr>
              <w:keepNext/>
              <w:jc w:val="center"/>
              <w:rPr>
                <w:rFonts w:ascii="Arial Narrow" w:hAnsi="Arial Narrow"/>
                <w:b/>
                <w:bCs/>
                <w:sz w:val="18"/>
                <w:szCs w:val="18"/>
              </w:rPr>
            </w:pPr>
            <w:r w:rsidRPr="00E81073">
              <w:rPr>
                <w:rFonts w:ascii="Arial Narrow" w:hAnsi="Arial Narrow"/>
                <w:b/>
                <w:bCs/>
                <w:sz w:val="18"/>
                <w:szCs w:val="18"/>
              </w:rPr>
              <w:t>0.28 (0.22,</w:t>
            </w:r>
            <w:r w:rsidR="00564C6E" w:rsidRPr="00E81073">
              <w:rPr>
                <w:rFonts w:ascii="Arial Narrow" w:hAnsi="Arial Narrow"/>
                <w:b/>
                <w:bCs/>
                <w:sz w:val="18"/>
                <w:szCs w:val="18"/>
              </w:rPr>
              <w:t xml:space="preserve"> </w:t>
            </w:r>
            <w:r w:rsidRPr="00E81073">
              <w:rPr>
                <w:rFonts w:ascii="Arial Narrow" w:hAnsi="Arial Narrow"/>
                <w:b/>
                <w:bCs/>
                <w:sz w:val="18"/>
                <w:szCs w:val="18"/>
              </w:rPr>
              <w:t>0.35)</w:t>
            </w:r>
          </w:p>
        </w:tc>
      </w:tr>
      <w:tr w:rsidR="00DE4C41" w:rsidRPr="00E81073" w14:paraId="1720EDC3" w14:textId="77777777" w:rsidTr="00621EA3">
        <w:tc>
          <w:tcPr>
            <w:tcW w:w="1493" w:type="pct"/>
            <w:tcBorders>
              <w:top w:val="nil"/>
            </w:tcBorders>
            <w:shd w:val="clear" w:color="auto" w:fill="auto"/>
            <w:vAlign w:val="center"/>
          </w:tcPr>
          <w:p w14:paraId="0ECBB351" w14:textId="77777777" w:rsidR="00DE4C41" w:rsidRPr="00E81073" w:rsidRDefault="00DE4C41" w:rsidP="00621EA3">
            <w:pPr>
              <w:keepNext/>
              <w:jc w:val="right"/>
              <w:rPr>
                <w:rFonts w:ascii="Arial Narrow" w:hAnsi="Arial Narrow"/>
                <w:sz w:val="18"/>
                <w:szCs w:val="18"/>
              </w:rPr>
            </w:pPr>
            <w:r w:rsidRPr="00E81073">
              <w:rPr>
                <w:rFonts w:ascii="Arial Narrow" w:hAnsi="Arial Narrow"/>
                <w:iCs/>
                <w:sz w:val="18"/>
                <w:szCs w:val="18"/>
              </w:rPr>
              <w:t>Meta-analysis, W16, ITT</w:t>
            </w:r>
          </w:p>
        </w:tc>
        <w:tc>
          <w:tcPr>
            <w:tcW w:w="590" w:type="pct"/>
            <w:tcBorders>
              <w:top w:val="nil"/>
            </w:tcBorders>
            <w:shd w:val="clear" w:color="auto" w:fill="auto"/>
            <w:vAlign w:val="center"/>
          </w:tcPr>
          <w:p w14:paraId="37AADB94" w14:textId="77777777" w:rsidR="00DE4C41" w:rsidRPr="00E81073" w:rsidRDefault="00DE4C41" w:rsidP="00621EA3">
            <w:pPr>
              <w:keepNext/>
              <w:jc w:val="center"/>
              <w:rPr>
                <w:rFonts w:ascii="Arial Narrow" w:hAnsi="Arial Narrow"/>
                <w:sz w:val="18"/>
                <w:szCs w:val="18"/>
              </w:rPr>
            </w:pPr>
            <w:r w:rsidRPr="00E81073">
              <w:rPr>
                <w:rFonts w:ascii="Arial Narrow" w:hAnsi="Arial Narrow"/>
                <w:sz w:val="18"/>
                <w:szCs w:val="18"/>
              </w:rPr>
              <w:t>71/229 (31.0)</w:t>
            </w:r>
          </w:p>
        </w:tc>
        <w:tc>
          <w:tcPr>
            <w:tcW w:w="590" w:type="pct"/>
            <w:tcBorders>
              <w:top w:val="nil"/>
            </w:tcBorders>
            <w:shd w:val="clear" w:color="auto" w:fill="auto"/>
            <w:vAlign w:val="center"/>
          </w:tcPr>
          <w:p w14:paraId="30B69C9A" w14:textId="77777777" w:rsidR="00DE4C41" w:rsidRPr="00E81073" w:rsidRDefault="00DE4C41" w:rsidP="00621EA3">
            <w:pPr>
              <w:keepNext/>
              <w:jc w:val="center"/>
              <w:rPr>
                <w:rFonts w:ascii="Arial Narrow" w:hAnsi="Arial Narrow"/>
                <w:i/>
                <w:sz w:val="18"/>
                <w:szCs w:val="18"/>
              </w:rPr>
            </w:pPr>
            <w:r w:rsidRPr="00E81073">
              <w:rPr>
                <w:rFonts w:ascii="Arial Narrow" w:hAnsi="Arial Narrow"/>
                <w:sz w:val="18"/>
                <w:szCs w:val="18"/>
              </w:rPr>
              <w:t>20/224 (8.9)</w:t>
            </w:r>
          </w:p>
        </w:tc>
        <w:tc>
          <w:tcPr>
            <w:tcW w:w="776" w:type="pct"/>
            <w:tcBorders>
              <w:top w:val="nil"/>
              <w:bottom w:val="nil"/>
              <w:right w:val="single" w:sz="4" w:space="0" w:color="auto"/>
            </w:tcBorders>
            <w:shd w:val="clear" w:color="auto" w:fill="auto"/>
            <w:vAlign w:val="center"/>
          </w:tcPr>
          <w:p w14:paraId="68A27FA2" w14:textId="74CA0F4D" w:rsidR="00DE4C41" w:rsidRPr="00E81073" w:rsidRDefault="00DE4C41" w:rsidP="00621EA3">
            <w:pPr>
              <w:keepNext/>
              <w:jc w:val="center"/>
              <w:rPr>
                <w:rFonts w:ascii="Arial Narrow" w:hAnsi="Arial Narrow"/>
                <w:b/>
                <w:bCs/>
                <w:sz w:val="18"/>
                <w:szCs w:val="18"/>
              </w:rPr>
            </w:pPr>
            <w:r w:rsidRPr="00E81073">
              <w:rPr>
                <w:rFonts w:ascii="Arial Narrow" w:hAnsi="Arial Narrow"/>
                <w:b/>
                <w:bCs/>
                <w:sz w:val="18"/>
                <w:szCs w:val="18"/>
              </w:rPr>
              <w:t>3.49 (1.59,</w:t>
            </w:r>
            <w:r w:rsidR="001F7452" w:rsidRPr="00E81073">
              <w:rPr>
                <w:rFonts w:ascii="Arial Narrow" w:hAnsi="Arial Narrow"/>
                <w:b/>
                <w:bCs/>
                <w:sz w:val="18"/>
                <w:szCs w:val="18"/>
              </w:rPr>
              <w:t xml:space="preserve"> </w:t>
            </w:r>
            <w:r w:rsidRPr="00E81073">
              <w:rPr>
                <w:rFonts w:ascii="Arial Narrow" w:hAnsi="Arial Narrow"/>
                <w:b/>
                <w:bCs/>
                <w:sz w:val="18"/>
                <w:szCs w:val="18"/>
              </w:rPr>
              <w:t>7.64)</w:t>
            </w:r>
          </w:p>
        </w:tc>
        <w:tc>
          <w:tcPr>
            <w:tcW w:w="776" w:type="pct"/>
            <w:tcBorders>
              <w:top w:val="nil"/>
              <w:left w:val="single" w:sz="4" w:space="0" w:color="auto"/>
              <w:bottom w:val="nil"/>
              <w:right w:val="single" w:sz="4" w:space="0" w:color="auto"/>
            </w:tcBorders>
            <w:shd w:val="clear" w:color="auto" w:fill="auto"/>
            <w:vAlign w:val="center"/>
          </w:tcPr>
          <w:p w14:paraId="3D0752D4" w14:textId="36905D62" w:rsidR="00DE4C41" w:rsidRPr="00E81073" w:rsidRDefault="00DE4C41" w:rsidP="00621EA3">
            <w:pPr>
              <w:keepNext/>
              <w:jc w:val="center"/>
              <w:rPr>
                <w:rFonts w:ascii="Arial Narrow" w:hAnsi="Arial Narrow"/>
                <w:b/>
                <w:bCs/>
                <w:sz w:val="18"/>
                <w:szCs w:val="18"/>
              </w:rPr>
            </w:pPr>
            <w:r w:rsidRPr="00E81073">
              <w:rPr>
                <w:rFonts w:ascii="Arial Narrow" w:hAnsi="Arial Narrow"/>
                <w:b/>
                <w:bCs/>
                <w:sz w:val="18"/>
                <w:szCs w:val="18"/>
              </w:rPr>
              <w:t>4.62 (1.92,</w:t>
            </w:r>
            <w:r w:rsidR="001F7452" w:rsidRPr="00E81073">
              <w:rPr>
                <w:rFonts w:ascii="Arial Narrow" w:hAnsi="Arial Narrow"/>
                <w:b/>
                <w:bCs/>
                <w:sz w:val="18"/>
                <w:szCs w:val="18"/>
              </w:rPr>
              <w:t xml:space="preserve"> </w:t>
            </w:r>
            <w:r w:rsidRPr="00E81073">
              <w:rPr>
                <w:rFonts w:ascii="Arial Narrow" w:hAnsi="Arial Narrow"/>
                <w:b/>
                <w:bCs/>
                <w:sz w:val="18"/>
                <w:szCs w:val="18"/>
              </w:rPr>
              <w:t>11.09)</w:t>
            </w:r>
          </w:p>
        </w:tc>
        <w:tc>
          <w:tcPr>
            <w:tcW w:w="775" w:type="pct"/>
            <w:tcBorders>
              <w:top w:val="nil"/>
              <w:left w:val="single" w:sz="4" w:space="0" w:color="auto"/>
              <w:bottom w:val="nil"/>
              <w:right w:val="single" w:sz="4" w:space="0" w:color="auto"/>
            </w:tcBorders>
            <w:shd w:val="clear" w:color="auto" w:fill="auto"/>
            <w:vAlign w:val="center"/>
          </w:tcPr>
          <w:p w14:paraId="5D0154D9" w14:textId="75A5B306" w:rsidR="00DE4C41" w:rsidRPr="00E81073" w:rsidRDefault="00DE4C41" w:rsidP="00621EA3">
            <w:pPr>
              <w:keepNext/>
              <w:jc w:val="center"/>
              <w:rPr>
                <w:rFonts w:ascii="Arial Narrow" w:hAnsi="Arial Narrow"/>
                <w:b/>
                <w:bCs/>
                <w:sz w:val="18"/>
                <w:szCs w:val="18"/>
              </w:rPr>
            </w:pPr>
            <w:r w:rsidRPr="00E81073">
              <w:rPr>
                <w:rFonts w:ascii="Arial Narrow" w:hAnsi="Arial Narrow"/>
                <w:b/>
                <w:bCs/>
                <w:sz w:val="18"/>
                <w:szCs w:val="18"/>
              </w:rPr>
              <w:t>0.22 (0.14,</w:t>
            </w:r>
            <w:r w:rsidR="001F7452" w:rsidRPr="00E81073">
              <w:rPr>
                <w:rFonts w:ascii="Arial Narrow" w:hAnsi="Arial Narrow"/>
                <w:b/>
                <w:bCs/>
                <w:sz w:val="18"/>
                <w:szCs w:val="18"/>
              </w:rPr>
              <w:t xml:space="preserve"> </w:t>
            </w:r>
            <w:r w:rsidRPr="00E81073">
              <w:rPr>
                <w:rFonts w:ascii="Arial Narrow" w:hAnsi="Arial Narrow"/>
                <w:b/>
                <w:bCs/>
                <w:sz w:val="18"/>
                <w:szCs w:val="18"/>
              </w:rPr>
              <w:t>0.30)</w:t>
            </w:r>
          </w:p>
        </w:tc>
      </w:tr>
      <w:tr w:rsidR="00DE4C41" w:rsidRPr="00E81073" w14:paraId="054AD7DC" w14:textId="77777777" w:rsidTr="00D80CAA">
        <w:tc>
          <w:tcPr>
            <w:tcW w:w="2673" w:type="pct"/>
            <w:gridSpan w:val="3"/>
            <w:tcBorders>
              <w:bottom w:val="single" w:sz="4" w:space="0" w:color="auto"/>
            </w:tcBorders>
            <w:shd w:val="clear" w:color="auto" w:fill="auto"/>
            <w:vAlign w:val="center"/>
          </w:tcPr>
          <w:p w14:paraId="654E1F04" w14:textId="77777777" w:rsidR="00DE4C41" w:rsidRPr="00E81073" w:rsidRDefault="00DE4C41" w:rsidP="00621EA3">
            <w:pPr>
              <w:keepNext/>
              <w:jc w:val="left"/>
              <w:rPr>
                <w:rFonts w:ascii="Arial Narrow" w:hAnsi="Arial Narrow"/>
                <w:b/>
                <w:bCs/>
                <w:sz w:val="18"/>
                <w:szCs w:val="18"/>
              </w:rPr>
            </w:pPr>
            <w:r w:rsidRPr="00E81073">
              <w:rPr>
                <w:rFonts w:ascii="Arial Narrow" w:hAnsi="Arial Narrow"/>
                <w:b/>
                <w:bCs/>
                <w:sz w:val="18"/>
                <w:szCs w:val="18"/>
              </w:rPr>
              <w:t>Indirect comparisons, ITT</w:t>
            </w:r>
          </w:p>
        </w:tc>
        <w:tc>
          <w:tcPr>
            <w:tcW w:w="776" w:type="pct"/>
            <w:tcBorders>
              <w:top w:val="single" w:sz="4" w:space="0" w:color="auto"/>
              <w:bottom w:val="nil"/>
              <w:right w:val="single" w:sz="4" w:space="0" w:color="auto"/>
            </w:tcBorders>
            <w:vAlign w:val="center"/>
          </w:tcPr>
          <w:p w14:paraId="0108B9BE" w14:textId="77777777" w:rsidR="00DE4C41" w:rsidRPr="00E81073" w:rsidRDefault="00DE4C41" w:rsidP="00621EA3">
            <w:pPr>
              <w:keepNext/>
              <w:jc w:val="center"/>
              <w:rPr>
                <w:rFonts w:ascii="Arial Narrow" w:hAnsi="Arial Narrow"/>
                <w:sz w:val="18"/>
                <w:szCs w:val="18"/>
              </w:rPr>
            </w:pPr>
          </w:p>
        </w:tc>
        <w:tc>
          <w:tcPr>
            <w:tcW w:w="776" w:type="pct"/>
            <w:tcBorders>
              <w:top w:val="single" w:sz="4" w:space="0" w:color="auto"/>
              <w:left w:val="single" w:sz="4" w:space="0" w:color="auto"/>
              <w:bottom w:val="nil"/>
              <w:right w:val="single" w:sz="4" w:space="0" w:color="auto"/>
            </w:tcBorders>
            <w:vAlign w:val="center"/>
          </w:tcPr>
          <w:p w14:paraId="46CA66F8" w14:textId="77777777" w:rsidR="00DE4C41" w:rsidRPr="00E81073" w:rsidRDefault="00DE4C41" w:rsidP="00621EA3">
            <w:pPr>
              <w:keepNext/>
              <w:jc w:val="center"/>
              <w:rPr>
                <w:rFonts w:ascii="Arial Narrow" w:hAnsi="Arial Narrow"/>
                <w:sz w:val="18"/>
                <w:szCs w:val="18"/>
              </w:rPr>
            </w:pPr>
          </w:p>
        </w:tc>
        <w:tc>
          <w:tcPr>
            <w:tcW w:w="775" w:type="pct"/>
            <w:tcBorders>
              <w:top w:val="single" w:sz="4" w:space="0" w:color="auto"/>
              <w:left w:val="single" w:sz="4" w:space="0" w:color="auto"/>
              <w:bottom w:val="nil"/>
              <w:right w:val="single" w:sz="4" w:space="0" w:color="auto"/>
            </w:tcBorders>
            <w:vAlign w:val="center"/>
          </w:tcPr>
          <w:p w14:paraId="5DDD13BB" w14:textId="77777777" w:rsidR="00DE4C41" w:rsidRPr="00E81073" w:rsidRDefault="00DE4C41" w:rsidP="00621EA3">
            <w:pPr>
              <w:keepNext/>
              <w:jc w:val="center"/>
              <w:rPr>
                <w:rFonts w:ascii="Arial Narrow" w:hAnsi="Arial Narrow"/>
                <w:sz w:val="18"/>
                <w:szCs w:val="18"/>
              </w:rPr>
            </w:pPr>
          </w:p>
        </w:tc>
      </w:tr>
      <w:tr w:rsidR="00DE4C41" w:rsidRPr="00E81073" w14:paraId="0936F8FB" w14:textId="77777777" w:rsidTr="00D80CAA">
        <w:tc>
          <w:tcPr>
            <w:tcW w:w="2673" w:type="pct"/>
            <w:gridSpan w:val="3"/>
            <w:tcBorders>
              <w:bottom w:val="nil"/>
            </w:tcBorders>
            <w:shd w:val="clear" w:color="auto" w:fill="auto"/>
            <w:vAlign w:val="center"/>
          </w:tcPr>
          <w:p w14:paraId="2347CE1E" w14:textId="77777777" w:rsidR="00DE4C41" w:rsidRPr="00E81073" w:rsidRDefault="00DE4C41" w:rsidP="00621EA3">
            <w:pPr>
              <w:keepNext/>
              <w:jc w:val="left"/>
              <w:rPr>
                <w:rFonts w:ascii="Arial Narrow" w:hAnsi="Arial Narrow"/>
                <w:i/>
                <w:iCs/>
                <w:sz w:val="18"/>
                <w:szCs w:val="18"/>
              </w:rPr>
            </w:pPr>
            <w:r w:rsidRPr="00E81073">
              <w:rPr>
                <w:rFonts w:ascii="Arial Narrow" w:hAnsi="Arial Narrow"/>
                <w:sz w:val="18"/>
                <w:szCs w:val="18"/>
              </w:rPr>
              <w:t>BKZ (W12-16 meta-analysis) v IXE (W12 meta-analysis), via PBO</w:t>
            </w:r>
          </w:p>
        </w:tc>
        <w:tc>
          <w:tcPr>
            <w:tcW w:w="776" w:type="pct"/>
            <w:tcBorders>
              <w:top w:val="nil"/>
              <w:bottom w:val="nil"/>
              <w:right w:val="single" w:sz="4" w:space="0" w:color="auto"/>
            </w:tcBorders>
            <w:vAlign w:val="center"/>
          </w:tcPr>
          <w:p w14:paraId="14BB1B69" w14:textId="4D3B2F53" w:rsidR="00DE4C41" w:rsidRPr="00E81073" w:rsidRDefault="00DE4C41" w:rsidP="00621EA3">
            <w:pPr>
              <w:keepNext/>
              <w:jc w:val="center"/>
              <w:rPr>
                <w:rFonts w:ascii="Arial Narrow" w:hAnsi="Arial Narrow"/>
                <w:iCs/>
                <w:sz w:val="18"/>
                <w:szCs w:val="18"/>
              </w:rPr>
            </w:pPr>
            <w:r w:rsidRPr="00E81073">
              <w:rPr>
                <w:rFonts w:ascii="Arial Narrow" w:hAnsi="Arial Narrow"/>
                <w:iCs/>
                <w:sz w:val="18"/>
                <w:szCs w:val="18"/>
              </w:rPr>
              <w:t>0.61 (0.29,</w:t>
            </w:r>
            <w:r w:rsidR="00D80CAA" w:rsidRPr="00E81073">
              <w:rPr>
                <w:rFonts w:ascii="Arial Narrow" w:hAnsi="Arial Narrow"/>
                <w:iCs/>
                <w:sz w:val="18"/>
                <w:szCs w:val="18"/>
              </w:rPr>
              <w:t xml:space="preserve"> </w:t>
            </w:r>
            <w:r w:rsidRPr="00E81073">
              <w:rPr>
                <w:rFonts w:ascii="Arial Narrow" w:hAnsi="Arial Narrow"/>
                <w:iCs/>
                <w:sz w:val="18"/>
                <w:szCs w:val="18"/>
              </w:rPr>
              <w:t>1.28)</w:t>
            </w:r>
          </w:p>
        </w:tc>
        <w:tc>
          <w:tcPr>
            <w:tcW w:w="776" w:type="pct"/>
            <w:tcBorders>
              <w:top w:val="nil"/>
              <w:left w:val="single" w:sz="4" w:space="0" w:color="auto"/>
              <w:bottom w:val="nil"/>
              <w:right w:val="single" w:sz="4" w:space="0" w:color="auto"/>
            </w:tcBorders>
            <w:vAlign w:val="center"/>
          </w:tcPr>
          <w:p w14:paraId="69173BB2" w14:textId="0BDD4E7C" w:rsidR="00DE4C41" w:rsidRPr="00E81073" w:rsidRDefault="00DE4C41" w:rsidP="00621EA3">
            <w:pPr>
              <w:keepNext/>
              <w:jc w:val="center"/>
              <w:rPr>
                <w:rFonts w:ascii="Arial Narrow" w:hAnsi="Arial Narrow"/>
                <w:iCs/>
                <w:sz w:val="18"/>
                <w:szCs w:val="18"/>
              </w:rPr>
            </w:pPr>
            <w:r w:rsidRPr="00E81073">
              <w:rPr>
                <w:rFonts w:ascii="Arial Narrow" w:hAnsi="Arial Narrow"/>
                <w:iCs/>
                <w:sz w:val="18"/>
                <w:szCs w:val="18"/>
              </w:rPr>
              <w:t>0.70 (0.31,</w:t>
            </w:r>
            <w:r w:rsidR="00207589" w:rsidRPr="00E81073">
              <w:rPr>
                <w:rFonts w:ascii="Arial Narrow" w:hAnsi="Arial Narrow"/>
                <w:iCs/>
                <w:sz w:val="18"/>
                <w:szCs w:val="18"/>
              </w:rPr>
              <w:t xml:space="preserve"> </w:t>
            </w:r>
            <w:r w:rsidRPr="00E81073">
              <w:rPr>
                <w:rFonts w:ascii="Arial Narrow" w:hAnsi="Arial Narrow"/>
                <w:iCs/>
                <w:sz w:val="18"/>
                <w:szCs w:val="18"/>
              </w:rPr>
              <w:t>1.57)</w:t>
            </w:r>
          </w:p>
        </w:tc>
        <w:tc>
          <w:tcPr>
            <w:tcW w:w="775" w:type="pct"/>
            <w:tcBorders>
              <w:top w:val="nil"/>
              <w:left w:val="single" w:sz="4" w:space="0" w:color="auto"/>
              <w:bottom w:val="nil"/>
              <w:right w:val="single" w:sz="4" w:space="0" w:color="auto"/>
            </w:tcBorders>
            <w:vAlign w:val="center"/>
          </w:tcPr>
          <w:p w14:paraId="3B5A107A" w14:textId="313C0CDC" w:rsidR="00DE4C41" w:rsidRPr="00E81073" w:rsidRDefault="00DE4C41" w:rsidP="00621EA3">
            <w:pPr>
              <w:keepNext/>
              <w:jc w:val="center"/>
              <w:rPr>
                <w:rFonts w:ascii="Arial Narrow" w:hAnsi="Arial Narrow"/>
                <w:iCs/>
                <w:sz w:val="18"/>
                <w:szCs w:val="18"/>
              </w:rPr>
            </w:pPr>
            <w:r w:rsidRPr="00E81073">
              <w:rPr>
                <w:rFonts w:ascii="Arial Narrow" w:hAnsi="Arial Narrow"/>
                <w:iCs/>
                <w:sz w:val="18"/>
                <w:szCs w:val="18"/>
              </w:rPr>
              <w:t>0.07 (-0.0</w:t>
            </w:r>
            <w:r w:rsidR="007E7236" w:rsidRPr="00E81073">
              <w:rPr>
                <w:rFonts w:ascii="Arial Narrow" w:hAnsi="Arial Narrow"/>
                <w:i/>
                <w:iCs/>
                <w:sz w:val="18"/>
                <w:szCs w:val="18"/>
              </w:rPr>
              <w:t>1</w:t>
            </w:r>
            <w:r w:rsidRPr="00E81073">
              <w:rPr>
                <w:rFonts w:ascii="Arial Narrow" w:hAnsi="Arial Narrow"/>
                <w:iCs/>
                <w:sz w:val="18"/>
                <w:szCs w:val="18"/>
              </w:rPr>
              <w:t>,</w:t>
            </w:r>
            <w:r w:rsidR="007E7236" w:rsidRPr="00E81073">
              <w:rPr>
                <w:rFonts w:ascii="Arial Narrow" w:hAnsi="Arial Narrow"/>
                <w:iCs/>
                <w:sz w:val="18"/>
                <w:szCs w:val="18"/>
              </w:rPr>
              <w:t xml:space="preserve"> </w:t>
            </w:r>
            <w:r w:rsidRPr="00E81073">
              <w:rPr>
                <w:rFonts w:ascii="Arial Narrow" w:hAnsi="Arial Narrow"/>
                <w:iCs/>
                <w:sz w:val="18"/>
                <w:szCs w:val="18"/>
              </w:rPr>
              <w:t>0.1</w:t>
            </w:r>
            <w:r w:rsidR="007E7236" w:rsidRPr="00E81073">
              <w:rPr>
                <w:rFonts w:ascii="Arial Narrow" w:hAnsi="Arial Narrow"/>
                <w:i/>
                <w:iCs/>
                <w:sz w:val="18"/>
                <w:szCs w:val="18"/>
              </w:rPr>
              <w:t>5</w:t>
            </w:r>
            <w:r w:rsidRPr="00E81073">
              <w:rPr>
                <w:rFonts w:ascii="Arial Narrow" w:hAnsi="Arial Narrow"/>
                <w:iCs/>
                <w:sz w:val="18"/>
                <w:szCs w:val="18"/>
              </w:rPr>
              <w:t>)</w:t>
            </w:r>
          </w:p>
        </w:tc>
      </w:tr>
      <w:tr w:rsidR="00DE4C41" w:rsidRPr="00E81073" w14:paraId="7C480972" w14:textId="77777777" w:rsidTr="00D80CAA">
        <w:tc>
          <w:tcPr>
            <w:tcW w:w="2673" w:type="pct"/>
            <w:gridSpan w:val="3"/>
            <w:tcBorders>
              <w:top w:val="nil"/>
              <w:bottom w:val="nil"/>
            </w:tcBorders>
            <w:shd w:val="clear" w:color="auto" w:fill="auto"/>
            <w:vAlign w:val="center"/>
          </w:tcPr>
          <w:p w14:paraId="1CFA74CD" w14:textId="77777777" w:rsidR="00DE4C41" w:rsidRPr="00E81073" w:rsidRDefault="00DE4C41" w:rsidP="00621EA3">
            <w:pPr>
              <w:keepNext/>
              <w:jc w:val="left"/>
              <w:rPr>
                <w:rFonts w:ascii="Arial Narrow" w:hAnsi="Arial Narrow"/>
                <w:i/>
                <w:iCs/>
                <w:sz w:val="18"/>
                <w:szCs w:val="18"/>
              </w:rPr>
            </w:pPr>
            <w:r w:rsidRPr="00E81073">
              <w:rPr>
                <w:rFonts w:ascii="Arial Narrow" w:hAnsi="Arial Narrow"/>
                <w:sz w:val="18"/>
                <w:szCs w:val="18"/>
              </w:rPr>
              <w:t>BKZ (W12-16 meta-analysis) v IXE (W16 meta-analysis), via PBO</w:t>
            </w:r>
          </w:p>
        </w:tc>
        <w:tc>
          <w:tcPr>
            <w:tcW w:w="776" w:type="pct"/>
            <w:tcBorders>
              <w:top w:val="nil"/>
              <w:bottom w:val="nil"/>
              <w:right w:val="single" w:sz="4" w:space="0" w:color="auto"/>
            </w:tcBorders>
            <w:vAlign w:val="center"/>
          </w:tcPr>
          <w:p w14:paraId="4F5F981D" w14:textId="0418475E" w:rsidR="00DE4C41" w:rsidRPr="00E81073" w:rsidRDefault="00DE4C41" w:rsidP="00D80CAA">
            <w:pPr>
              <w:keepNext/>
              <w:jc w:val="center"/>
              <w:rPr>
                <w:rFonts w:ascii="Arial Narrow" w:hAnsi="Arial Narrow"/>
                <w:iCs/>
                <w:sz w:val="18"/>
                <w:szCs w:val="18"/>
              </w:rPr>
            </w:pPr>
            <w:r w:rsidRPr="00E81073">
              <w:rPr>
                <w:rFonts w:ascii="Arial Narrow" w:hAnsi="Arial Narrow"/>
                <w:iCs/>
                <w:sz w:val="18"/>
                <w:szCs w:val="18"/>
              </w:rPr>
              <w:t>1.40 (0.60,</w:t>
            </w:r>
            <w:r w:rsidR="00D80CAA" w:rsidRPr="00E81073">
              <w:rPr>
                <w:rFonts w:ascii="Arial Narrow" w:hAnsi="Arial Narrow"/>
                <w:iCs/>
                <w:sz w:val="18"/>
                <w:szCs w:val="18"/>
              </w:rPr>
              <w:t xml:space="preserve"> </w:t>
            </w:r>
            <w:r w:rsidRPr="00E81073">
              <w:rPr>
                <w:rFonts w:ascii="Arial Narrow" w:hAnsi="Arial Narrow"/>
                <w:iCs/>
                <w:sz w:val="18"/>
                <w:szCs w:val="18"/>
              </w:rPr>
              <w:t>3.25)</w:t>
            </w:r>
          </w:p>
        </w:tc>
        <w:tc>
          <w:tcPr>
            <w:tcW w:w="776" w:type="pct"/>
            <w:tcBorders>
              <w:top w:val="nil"/>
              <w:left w:val="single" w:sz="4" w:space="0" w:color="auto"/>
              <w:bottom w:val="nil"/>
              <w:right w:val="single" w:sz="4" w:space="0" w:color="auto"/>
            </w:tcBorders>
            <w:vAlign w:val="center"/>
          </w:tcPr>
          <w:p w14:paraId="215B80DB" w14:textId="7EF972AF" w:rsidR="00DE4C41" w:rsidRPr="00E81073" w:rsidRDefault="00DE4C41" w:rsidP="00621EA3">
            <w:pPr>
              <w:keepNext/>
              <w:jc w:val="center"/>
              <w:rPr>
                <w:rFonts w:ascii="Arial Narrow" w:hAnsi="Arial Narrow"/>
                <w:iCs/>
                <w:sz w:val="18"/>
                <w:szCs w:val="18"/>
              </w:rPr>
            </w:pPr>
            <w:r w:rsidRPr="00E81073">
              <w:rPr>
                <w:rFonts w:ascii="Arial Narrow" w:hAnsi="Arial Narrow"/>
                <w:iCs/>
                <w:sz w:val="18"/>
                <w:szCs w:val="18"/>
              </w:rPr>
              <w:t>1.72 (0.67,</w:t>
            </w:r>
            <w:r w:rsidR="00207589" w:rsidRPr="00E81073">
              <w:rPr>
                <w:rFonts w:ascii="Arial Narrow" w:hAnsi="Arial Narrow"/>
                <w:iCs/>
                <w:sz w:val="18"/>
                <w:szCs w:val="18"/>
              </w:rPr>
              <w:t xml:space="preserve"> </w:t>
            </w:r>
            <w:r w:rsidRPr="00E81073">
              <w:rPr>
                <w:rFonts w:ascii="Arial Narrow" w:hAnsi="Arial Narrow"/>
                <w:iCs/>
                <w:sz w:val="18"/>
                <w:szCs w:val="18"/>
              </w:rPr>
              <w:t>4.44)</w:t>
            </w:r>
          </w:p>
        </w:tc>
        <w:tc>
          <w:tcPr>
            <w:tcW w:w="775" w:type="pct"/>
            <w:tcBorders>
              <w:top w:val="nil"/>
              <w:left w:val="single" w:sz="4" w:space="0" w:color="auto"/>
              <w:bottom w:val="nil"/>
              <w:right w:val="single" w:sz="4" w:space="0" w:color="auto"/>
            </w:tcBorders>
            <w:vAlign w:val="center"/>
          </w:tcPr>
          <w:p w14:paraId="4E6B0FC0" w14:textId="67C62584" w:rsidR="00DE4C41" w:rsidRPr="00E81073" w:rsidRDefault="00DE4C41" w:rsidP="00621EA3">
            <w:pPr>
              <w:keepNext/>
              <w:jc w:val="center"/>
              <w:rPr>
                <w:rFonts w:ascii="Arial Narrow" w:hAnsi="Arial Narrow"/>
                <w:b/>
                <w:iCs/>
                <w:sz w:val="18"/>
                <w:szCs w:val="18"/>
              </w:rPr>
            </w:pPr>
            <w:r w:rsidRPr="00E81073">
              <w:rPr>
                <w:rFonts w:ascii="Arial Narrow" w:hAnsi="Arial Narrow"/>
                <w:b/>
                <w:iCs/>
                <w:sz w:val="18"/>
                <w:szCs w:val="18"/>
              </w:rPr>
              <w:t>0.13 (0.04,</w:t>
            </w:r>
            <w:r w:rsidR="007E7236" w:rsidRPr="00E81073">
              <w:rPr>
                <w:rFonts w:ascii="Arial Narrow" w:hAnsi="Arial Narrow"/>
                <w:b/>
                <w:iCs/>
                <w:sz w:val="18"/>
                <w:szCs w:val="18"/>
              </w:rPr>
              <w:t xml:space="preserve"> </w:t>
            </w:r>
            <w:r w:rsidRPr="00E81073">
              <w:rPr>
                <w:rFonts w:ascii="Arial Narrow" w:hAnsi="Arial Narrow"/>
                <w:b/>
                <w:iCs/>
                <w:sz w:val="18"/>
                <w:szCs w:val="18"/>
              </w:rPr>
              <w:t>0.22)</w:t>
            </w:r>
          </w:p>
        </w:tc>
      </w:tr>
      <w:tr w:rsidR="00DE4C41" w:rsidRPr="00E81073" w14:paraId="40E8961A" w14:textId="77777777" w:rsidTr="00D80CAA">
        <w:tc>
          <w:tcPr>
            <w:tcW w:w="2673" w:type="pct"/>
            <w:gridSpan w:val="3"/>
            <w:tcBorders>
              <w:top w:val="nil"/>
              <w:bottom w:val="nil"/>
            </w:tcBorders>
            <w:shd w:val="clear" w:color="auto" w:fill="auto"/>
            <w:vAlign w:val="center"/>
          </w:tcPr>
          <w:p w14:paraId="729F4C4D" w14:textId="77777777" w:rsidR="00DE4C41" w:rsidRPr="00E81073" w:rsidRDefault="00DE4C41" w:rsidP="00621EA3">
            <w:pPr>
              <w:keepNext/>
              <w:jc w:val="left"/>
              <w:rPr>
                <w:rFonts w:ascii="Arial Narrow" w:hAnsi="Arial Narrow"/>
                <w:i/>
                <w:sz w:val="18"/>
                <w:szCs w:val="18"/>
              </w:rPr>
            </w:pPr>
            <w:r w:rsidRPr="00E81073">
              <w:rPr>
                <w:rFonts w:ascii="Arial Narrow" w:hAnsi="Arial Narrow"/>
                <w:i/>
                <w:sz w:val="18"/>
                <w:szCs w:val="18"/>
              </w:rPr>
              <w:t>BKZ (W16 meta-analysis) v IXE (W16 meta-analysis), via PBO</w:t>
            </w:r>
          </w:p>
        </w:tc>
        <w:tc>
          <w:tcPr>
            <w:tcW w:w="776" w:type="pct"/>
            <w:tcBorders>
              <w:top w:val="nil"/>
              <w:bottom w:val="nil"/>
              <w:right w:val="single" w:sz="4" w:space="0" w:color="auto"/>
            </w:tcBorders>
            <w:vAlign w:val="center"/>
          </w:tcPr>
          <w:p w14:paraId="643F29C5" w14:textId="3D33FF26" w:rsidR="00DE4C41" w:rsidRPr="00E81073" w:rsidRDefault="00DE4C41" w:rsidP="00621EA3">
            <w:pPr>
              <w:keepNext/>
              <w:jc w:val="center"/>
              <w:rPr>
                <w:rFonts w:ascii="Arial Narrow" w:hAnsi="Arial Narrow"/>
                <w:i/>
                <w:iCs/>
                <w:sz w:val="18"/>
                <w:szCs w:val="18"/>
              </w:rPr>
            </w:pPr>
            <w:r w:rsidRPr="00E81073">
              <w:rPr>
                <w:rFonts w:ascii="Arial Narrow" w:hAnsi="Arial Narrow"/>
                <w:i/>
                <w:iCs/>
                <w:sz w:val="18"/>
                <w:szCs w:val="18"/>
              </w:rPr>
              <w:t>1.38 (0.59,</w:t>
            </w:r>
            <w:r w:rsidR="00D80CAA" w:rsidRPr="00E81073">
              <w:rPr>
                <w:rFonts w:ascii="Arial Narrow" w:hAnsi="Arial Narrow"/>
                <w:i/>
                <w:iCs/>
                <w:sz w:val="18"/>
                <w:szCs w:val="18"/>
              </w:rPr>
              <w:t xml:space="preserve"> </w:t>
            </w:r>
            <w:r w:rsidRPr="00E81073">
              <w:rPr>
                <w:rFonts w:ascii="Arial Narrow" w:hAnsi="Arial Narrow"/>
                <w:i/>
                <w:iCs/>
                <w:sz w:val="18"/>
                <w:szCs w:val="18"/>
              </w:rPr>
              <w:t>3.23)</w:t>
            </w:r>
          </w:p>
        </w:tc>
        <w:tc>
          <w:tcPr>
            <w:tcW w:w="776" w:type="pct"/>
            <w:tcBorders>
              <w:top w:val="nil"/>
              <w:left w:val="single" w:sz="4" w:space="0" w:color="auto"/>
              <w:bottom w:val="nil"/>
              <w:right w:val="single" w:sz="4" w:space="0" w:color="auto"/>
            </w:tcBorders>
            <w:vAlign w:val="center"/>
          </w:tcPr>
          <w:p w14:paraId="663257E3" w14:textId="7F2C6B03" w:rsidR="00DE4C41" w:rsidRPr="00E81073" w:rsidRDefault="00DE4C41" w:rsidP="00621EA3">
            <w:pPr>
              <w:keepNext/>
              <w:jc w:val="center"/>
              <w:rPr>
                <w:rFonts w:ascii="Arial Narrow" w:hAnsi="Arial Narrow"/>
                <w:i/>
                <w:iCs/>
                <w:sz w:val="18"/>
                <w:szCs w:val="18"/>
              </w:rPr>
            </w:pPr>
            <w:r w:rsidRPr="00E81073">
              <w:rPr>
                <w:rFonts w:ascii="Arial Narrow" w:hAnsi="Arial Narrow"/>
                <w:i/>
                <w:iCs/>
                <w:sz w:val="18"/>
                <w:szCs w:val="18"/>
              </w:rPr>
              <w:t>1.70 (0.66,</w:t>
            </w:r>
            <w:r w:rsidR="00207589" w:rsidRPr="00E81073">
              <w:rPr>
                <w:rFonts w:ascii="Arial Narrow" w:hAnsi="Arial Narrow"/>
                <w:i/>
                <w:iCs/>
                <w:sz w:val="18"/>
                <w:szCs w:val="18"/>
              </w:rPr>
              <w:t xml:space="preserve"> </w:t>
            </w:r>
            <w:r w:rsidRPr="00E81073">
              <w:rPr>
                <w:rFonts w:ascii="Arial Narrow" w:hAnsi="Arial Narrow"/>
                <w:i/>
                <w:iCs/>
                <w:sz w:val="18"/>
                <w:szCs w:val="18"/>
              </w:rPr>
              <w:t>4.42)</w:t>
            </w:r>
          </w:p>
        </w:tc>
        <w:tc>
          <w:tcPr>
            <w:tcW w:w="775" w:type="pct"/>
            <w:tcBorders>
              <w:top w:val="nil"/>
              <w:left w:val="single" w:sz="4" w:space="0" w:color="auto"/>
              <w:bottom w:val="nil"/>
              <w:right w:val="single" w:sz="4" w:space="0" w:color="auto"/>
            </w:tcBorders>
            <w:vAlign w:val="center"/>
          </w:tcPr>
          <w:p w14:paraId="346279D4" w14:textId="1394A9F0" w:rsidR="00DE4C41" w:rsidRPr="00E81073" w:rsidRDefault="00DE4C41" w:rsidP="00621EA3">
            <w:pPr>
              <w:keepNext/>
              <w:jc w:val="center"/>
              <w:rPr>
                <w:rFonts w:ascii="Arial Narrow" w:hAnsi="Arial Narrow"/>
                <w:b/>
                <w:i/>
                <w:iCs/>
                <w:sz w:val="18"/>
                <w:szCs w:val="18"/>
              </w:rPr>
            </w:pPr>
            <w:r w:rsidRPr="00E81073">
              <w:rPr>
                <w:rFonts w:ascii="Arial Narrow" w:hAnsi="Arial Narrow"/>
                <w:b/>
                <w:i/>
                <w:iCs/>
                <w:sz w:val="18"/>
                <w:szCs w:val="18"/>
              </w:rPr>
              <w:t>0.13 (0.04,</w:t>
            </w:r>
            <w:r w:rsidR="00E10EF1" w:rsidRPr="00E81073">
              <w:rPr>
                <w:rFonts w:ascii="Arial Narrow" w:hAnsi="Arial Narrow"/>
                <w:b/>
                <w:i/>
                <w:iCs/>
                <w:sz w:val="18"/>
                <w:szCs w:val="18"/>
              </w:rPr>
              <w:t xml:space="preserve"> </w:t>
            </w:r>
            <w:r w:rsidRPr="00E81073">
              <w:rPr>
                <w:rFonts w:ascii="Arial Narrow" w:hAnsi="Arial Narrow"/>
                <w:b/>
                <w:i/>
                <w:iCs/>
                <w:sz w:val="18"/>
                <w:szCs w:val="18"/>
              </w:rPr>
              <w:t>0.22)</w:t>
            </w:r>
          </w:p>
        </w:tc>
      </w:tr>
      <w:tr w:rsidR="00DE4C41" w:rsidRPr="00E81073" w14:paraId="571781F1" w14:textId="77777777" w:rsidTr="00D80CAA">
        <w:tc>
          <w:tcPr>
            <w:tcW w:w="2673" w:type="pct"/>
            <w:gridSpan w:val="3"/>
            <w:tcBorders>
              <w:top w:val="nil"/>
              <w:bottom w:val="nil"/>
            </w:tcBorders>
            <w:shd w:val="clear" w:color="auto" w:fill="auto"/>
            <w:vAlign w:val="center"/>
          </w:tcPr>
          <w:p w14:paraId="35D3465A" w14:textId="225BF47F" w:rsidR="00DE4C41" w:rsidRPr="00E81073" w:rsidRDefault="00DE4C41" w:rsidP="00621EA3">
            <w:pPr>
              <w:keepNext/>
              <w:jc w:val="left"/>
              <w:rPr>
                <w:rFonts w:ascii="Arial Narrow" w:hAnsi="Arial Narrow"/>
                <w:i/>
                <w:sz w:val="18"/>
                <w:szCs w:val="18"/>
              </w:rPr>
            </w:pPr>
            <w:r w:rsidRPr="00E81073">
              <w:rPr>
                <w:rFonts w:ascii="Arial Narrow" w:hAnsi="Arial Narrow"/>
                <w:i/>
                <w:sz w:val="18"/>
                <w:szCs w:val="18"/>
              </w:rPr>
              <w:t xml:space="preserve">BKZ (W16 </w:t>
            </w:r>
            <w:r w:rsidR="00207589" w:rsidRPr="00E81073">
              <w:rPr>
                <w:rFonts w:ascii="Arial Narrow" w:hAnsi="Arial Narrow"/>
                <w:i/>
                <w:sz w:val="18"/>
                <w:szCs w:val="18"/>
              </w:rPr>
              <w:t xml:space="preserve">BE </w:t>
            </w:r>
            <w:r w:rsidRPr="00E81073">
              <w:rPr>
                <w:rFonts w:ascii="Arial Narrow" w:hAnsi="Arial Narrow"/>
                <w:i/>
                <w:sz w:val="18"/>
                <w:szCs w:val="18"/>
              </w:rPr>
              <w:t>OP</w:t>
            </w:r>
            <w:r w:rsidR="00207589" w:rsidRPr="00E81073">
              <w:rPr>
                <w:rFonts w:ascii="Arial Narrow" w:hAnsi="Arial Narrow"/>
                <w:i/>
                <w:sz w:val="18"/>
                <w:szCs w:val="18"/>
              </w:rPr>
              <w:t>T</w:t>
            </w:r>
            <w:r w:rsidRPr="00E81073">
              <w:rPr>
                <w:rFonts w:ascii="Arial Narrow" w:hAnsi="Arial Narrow"/>
                <w:i/>
                <w:sz w:val="18"/>
                <w:szCs w:val="18"/>
              </w:rPr>
              <w:t>IMAL) v IXE (W12 SPIRIT 1), via ADA</w:t>
            </w:r>
          </w:p>
        </w:tc>
        <w:tc>
          <w:tcPr>
            <w:tcW w:w="776" w:type="pct"/>
            <w:tcBorders>
              <w:top w:val="nil"/>
              <w:bottom w:val="nil"/>
              <w:right w:val="single" w:sz="4" w:space="0" w:color="auto"/>
            </w:tcBorders>
            <w:vAlign w:val="center"/>
          </w:tcPr>
          <w:p w14:paraId="053EBB8C" w14:textId="0FEB341E" w:rsidR="00DE4C41" w:rsidRPr="00E81073" w:rsidRDefault="00DE4C41" w:rsidP="00621EA3">
            <w:pPr>
              <w:keepNext/>
              <w:jc w:val="center"/>
              <w:rPr>
                <w:rFonts w:ascii="Arial Narrow" w:hAnsi="Arial Narrow"/>
                <w:i/>
                <w:iCs/>
                <w:sz w:val="18"/>
                <w:szCs w:val="18"/>
              </w:rPr>
            </w:pPr>
            <w:r w:rsidRPr="00E81073">
              <w:rPr>
                <w:rFonts w:ascii="Arial Narrow" w:hAnsi="Arial Narrow"/>
                <w:i/>
                <w:iCs/>
                <w:sz w:val="18"/>
                <w:szCs w:val="18"/>
              </w:rPr>
              <w:t>0.85 (0.54,</w:t>
            </w:r>
            <w:r w:rsidR="00D80CAA" w:rsidRPr="00E81073">
              <w:rPr>
                <w:rFonts w:ascii="Arial Narrow" w:hAnsi="Arial Narrow"/>
                <w:i/>
                <w:iCs/>
                <w:sz w:val="18"/>
                <w:szCs w:val="18"/>
              </w:rPr>
              <w:t xml:space="preserve"> </w:t>
            </w:r>
            <w:r w:rsidRPr="00E81073">
              <w:rPr>
                <w:rFonts w:ascii="Arial Narrow" w:hAnsi="Arial Narrow"/>
                <w:i/>
                <w:iCs/>
                <w:sz w:val="18"/>
                <w:szCs w:val="18"/>
              </w:rPr>
              <w:t>1.33)</w:t>
            </w:r>
          </w:p>
        </w:tc>
        <w:tc>
          <w:tcPr>
            <w:tcW w:w="776" w:type="pct"/>
            <w:tcBorders>
              <w:top w:val="nil"/>
              <w:left w:val="single" w:sz="4" w:space="0" w:color="auto"/>
              <w:bottom w:val="nil"/>
              <w:right w:val="single" w:sz="4" w:space="0" w:color="auto"/>
            </w:tcBorders>
            <w:vAlign w:val="center"/>
          </w:tcPr>
          <w:p w14:paraId="52AD9CF6" w14:textId="400EC114" w:rsidR="00DE4C41" w:rsidRPr="00E81073" w:rsidRDefault="00DE4C41" w:rsidP="00621EA3">
            <w:pPr>
              <w:keepNext/>
              <w:jc w:val="center"/>
              <w:rPr>
                <w:rFonts w:ascii="Arial Narrow" w:hAnsi="Arial Narrow"/>
                <w:i/>
                <w:iCs/>
                <w:sz w:val="18"/>
                <w:szCs w:val="18"/>
              </w:rPr>
            </w:pPr>
            <w:r w:rsidRPr="00E81073">
              <w:rPr>
                <w:rFonts w:ascii="Arial Narrow" w:hAnsi="Arial Narrow"/>
                <w:i/>
                <w:iCs/>
                <w:sz w:val="18"/>
                <w:szCs w:val="18"/>
              </w:rPr>
              <w:t>0.78 (0.3</w:t>
            </w:r>
            <w:r w:rsidR="00207589" w:rsidRPr="00E81073">
              <w:rPr>
                <w:rFonts w:ascii="Arial Narrow" w:hAnsi="Arial Narrow"/>
                <w:i/>
                <w:iCs/>
                <w:sz w:val="18"/>
                <w:szCs w:val="18"/>
              </w:rPr>
              <w:t>9</w:t>
            </w:r>
            <w:r w:rsidRPr="00E81073">
              <w:rPr>
                <w:rFonts w:ascii="Arial Narrow" w:hAnsi="Arial Narrow"/>
                <w:i/>
                <w:iCs/>
                <w:sz w:val="18"/>
                <w:szCs w:val="18"/>
              </w:rPr>
              <w:t>,</w:t>
            </w:r>
            <w:r w:rsidR="00207589" w:rsidRPr="00E81073">
              <w:rPr>
                <w:rFonts w:ascii="Arial Narrow" w:hAnsi="Arial Narrow"/>
                <w:i/>
                <w:iCs/>
                <w:sz w:val="18"/>
                <w:szCs w:val="18"/>
              </w:rPr>
              <w:t xml:space="preserve"> </w:t>
            </w:r>
            <w:r w:rsidRPr="00E81073">
              <w:rPr>
                <w:rFonts w:ascii="Arial Narrow" w:hAnsi="Arial Narrow"/>
                <w:i/>
                <w:iCs/>
                <w:sz w:val="18"/>
                <w:szCs w:val="18"/>
              </w:rPr>
              <w:t>1.56)</w:t>
            </w:r>
          </w:p>
        </w:tc>
        <w:tc>
          <w:tcPr>
            <w:tcW w:w="775" w:type="pct"/>
            <w:tcBorders>
              <w:top w:val="nil"/>
              <w:left w:val="single" w:sz="4" w:space="0" w:color="auto"/>
              <w:bottom w:val="nil"/>
              <w:right w:val="single" w:sz="4" w:space="0" w:color="auto"/>
            </w:tcBorders>
            <w:vAlign w:val="center"/>
          </w:tcPr>
          <w:p w14:paraId="696B5E8F" w14:textId="494822D8" w:rsidR="00DE4C41" w:rsidRPr="00E81073" w:rsidRDefault="00DE4C41" w:rsidP="00621EA3">
            <w:pPr>
              <w:keepNext/>
              <w:jc w:val="center"/>
              <w:rPr>
                <w:rFonts w:ascii="Arial Narrow" w:hAnsi="Arial Narrow"/>
                <w:i/>
                <w:iCs/>
                <w:sz w:val="18"/>
                <w:szCs w:val="18"/>
              </w:rPr>
            </w:pPr>
            <w:r w:rsidRPr="00E81073">
              <w:rPr>
                <w:rFonts w:ascii="Arial Narrow" w:hAnsi="Arial Narrow"/>
                <w:i/>
                <w:iCs/>
                <w:sz w:val="18"/>
                <w:szCs w:val="18"/>
              </w:rPr>
              <w:t>-0.06 (-0.22,</w:t>
            </w:r>
            <w:r w:rsidR="00E10EF1" w:rsidRPr="00E81073">
              <w:rPr>
                <w:rFonts w:ascii="Arial Narrow" w:hAnsi="Arial Narrow"/>
                <w:i/>
                <w:iCs/>
                <w:sz w:val="18"/>
                <w:szCs w:val="18"/>
              </w:rPr>
              <w:t xml:space="preserve"> </w:t>
            </w:r>
            <w:r w:rsidRPr="00E81073">
              <w:rPr>
                <w:rFonts w:ascii="Arial Narrow" w:hAnsi="Arial Narrow"/>
                <w:i/>
                <w:iCs/>
                <w:sz w:val="18"/>
                <w:szCs w:val="18"/>
              </w:rPr>
              <w:t>0.10)</w:t>
            </w:r>
          </w:p>
        </w:tc>
      </w:tr>
      <w:tr w:rsidR="00DE4C41" w:rsidRPr="00E81073" w14:paraId="2F6D3ED9" w14:textId="77777777" w:rsidTr="00621EA3">
        <w:tc>
          <w:tcPr>
            <w:tcW w:w="2673" w:type="pct"/>
            <w:gridSpan w:val="3"/>
            <w:tcBorders>
              <w:bottom w:val="single" w:sz="4" w:space="0" w:color="auto"/>
            </w:tcBorders>
            <w:vAlign w:val="center"/>
          </w:tcPr>
          <w:p w14:paraId="3BE0ED44" w14:textId="77777777" w:rsidR="00DE4C41" w:rsidRPr="00E81073" w:rsidRDefault="00DE4C41" w:rsidP="00621EA3">
            <w:pPr>
              <w:keepNext/>
              <w:jc w:val="left"/>
              <w:rPr>
                <w:rFonts w:ascii="Arial Narrow" w:hAnsi="Arial Narrow"/>
                <w:i/>
                <w:iCs/>
                <w:sz w:val="18"/>
                <w:szCs w:val="18"/>
              </w:rPr>
            </w:pPr>
            <w:r w:rsidRPr="00E81073">
              <w:rPr>
                <w:rFonts w:ascii="Arial Narrow" w:hAnsi="Arial Narrow"/>
                <w:b/>
                <w:bCs/>
                <w:sz w:val="18"/>
                <w:szCs w:val="18"/>
              </w:rPr>
              <w:t>Indirect comparisons, bNaive</w:t>
            </w:r>
          </w:p>
        </w:tc>
        <w:tc>
          <w:tcPr>
            <w:tcW w:w="776" w:type="pct"/>
            <w:tcBorders>
              <w:top w:val="single" w:sz="4" w:space="0" w:color="auto"/>
              <w:bottom w:val="nil"/>
              <w:right w:val="single" w:sz="4" w:space="0" w:color="auto"/>
            </w:tcBorders>
            <w:vAlign w:val="center"/>
          </w:tcPr>
          <w:p w14:paraId="3EFB2710" w14:textId="77777777" w:rsidR="00DE4C41" w:rsidRPr="00E81073" w:rsidRDefault="00DE4C41" w:rsidP="00621EA3">
            <w:pPr>
              <w:keepNext/>
              <w:jc w:val="center"/>
              <w:rPr>
                <w:rFonts w:ascii="Arial Narrow" w:hAnsi="Arial Narrow"/>
                <w:iCs/>
                <w:sz w:val="18"/>
                <w:szCs w:val="18"/>
              </w:rPr>
            </w:pPr>
          </w:p>
        </w:tc>
        <w:tc>
          <w:tcPr>
            <w:tcW w:w="776" w:type="pct"/>
            <w:tcBorders>
              <w:top w:val="single" w:sz="4" w:space="0" w:color="auto"/>
              <w:left w:val="single" w:sz="4" w:space="0" w:color="auto"/>
              <w:bottom w:val="nil"/>
              <w:right w:val="single" w:sz="4" w:space="0" w:color="auto"/>
            </w:tcBorders>
            <w:vAlign w:val="center"/>
          </w:tcPr>
          <w:p w14:paraId="44167717" w14:textId="77777777" w:rsidR="00DE4C41" w:rsidRPr="00E81073" w:rsidRDefault="00DE4C41" w:rsidP="00621EA3">
            <w:pPr>
              <w:keepNext/>
              <w:jc w:val="center"/>
              <w:rPr>
                <w:rFonts w:ascii="Arial Narrow" w:hAnsi="Arial Narrow"/>
                <w:iCs/>
                <w:sz w:val="18"/>
                <w:szCs w:val="18"/>
              </w:rPr>
            </w:pPr>
          </w:p>
        </w:tc>
        <w:tc>
          <w:tcPr>
            <w:tcW w:w="775" w:type="pct"/>
            <w:tcBorders>
              <w:top w:val="single" w:sz="4" w:space="0" w:color="auto"/>
              <w:left w:val="single" w:sz="4" w:space="0" w:color="auto"/>
              <w:bottom w:val="nil"/>
              <w:right w:val="single" w:sz="4" w:space="0" w:color="auto"/>
            </w:tcBorders>
            <w:vAlign w:val="center"/>
          </w:tcPr>
          <w:p w14:paraId="2CE384E0" w14:textId="77777777" w:rsidR="00DE4C41" w:rsidRPr="00E81073" w:rsidRDefault="00DE4C41" w:rsidP="00621EA3">
            <w:pPr>
              <w:keepNext/>
              <w:jc w:val="center"/>
              <w:rPr>
                <w:rFonts w:ascii="Arial Narrow" w:hAnsi="Arial Narrow"/>
                <w:iCs/>
                <w:sz w:val="18"/>
                <w:szCs w:val="18"/>
              </w:rPr>
            </w:pPr>
          </w:p>
        </w:tc>
      </w:tr>
      <w:tr w:rsidR="00DE4C41" w:rsidRPr="00E81073" w14:paraId="195A9758" w14:textId="77777777" w:rsidTr="00621EA3">
        <w:tc>
          <w:tcPr>
            <w:tcW w:w="2673" w:type="pct"/>
            <w:gridSpan w:val="3"/>
            <w:tcBorders>
              <w:bottom w:val="nil"/>
            </w:tcBorders>
            <w:vAlign w:val="center"/>
          </w:tcPr>
          <w:p w14:paraId="0D10CA86" w14:textId="77777777" w:rsidR="00DE4C41" w:rsidRPr="00E81073" w:rsidRDefault="00DE4C41" w:rsidP="00621EA3">
            <w:pPr>
              <w:keepNext/>
              <w:jc w:val="left"/>
              <w:rPr>
                <w:rFonts w:ascii="Arial Narrow" w:hAnsi="Arial Narrow"/>
                <w:i/>
                <w:iCs/>
                <w:sz w:val="18"/>
                <w:szCs w:val="18"/>
              </w:rPr>
            </w:pPr>
            <w:r w:rsidRPr="00E81073">
              <w:rPr>
                <w:rFonts w:ascii="Arial Narrow" w:hAnsi="Arial Narrow"/>
                <w:sz w:val="18"/>
                <w:szCs w:val="18"/>
              </w:rPr>
              <w:t>BKZ (W16 BE OPTIMAL) v IXE (W12 SPIRIT 1), via PBO</w:t>
            </w:r>
          </w:p>
        </w:tc>
        <w:tc>
          <w:tcPr>
            <w:tcW w:w="776" w:type="pct"/>
            <w:tcBorders>
              <w:top w:val="nil"/>
              <w:bottom w:val="nil"/>
              <w:right w:val="single" w:sz="4" w:space="0" w:color="auto"/>
            </w:tcBorders>
            <w:vAlign w:val="center"/>
          </w:tcPr>
          <w:p w14:paraId="5836394A" w14:textId="1DD884ED" w:rsidR="00DE4C41" w:rsidRPr="00E81073" w:rsidRDefault="00DE4C41" w:rsidP="00621EA3">
            <w:pPr>
              <w:keepNext/>
              <w:jc w:val="center"/>
              <w:rPr>
                <w:rFonts w:ascii="Arial Narrow" w:hAnsi="Arial Narrow"/>
                <w:iCs/>
                <w:sz w:val="18"/>
                <w:szCs w:val="18"/>
              </w:rPr>
            </w:pPr>
            <w:r w:rsidRPr="00E81073">
              <w:rPr>
                <w:rFonts w:ascii="Arial Narrow" w:hAnsi="Arial Narrow"/>
                <w:iCs/>
                <w:sz w:val="18"/>
                <w:szCs w:val="18"/>
              </w:rPr>
              <w:t>0.62 (0.23,</w:t>
            </w:r>
            <w:r w:rsidR="00D80CAA" w:rsidRPr="00E81073">
              <w:rPr>
                <w:rFonts w:ascii="Arial Narrow" w:hAnsi="Arial Narrow"/>
                <w:iCs/>
                <w:sz w:val="18"/>
                <w:szCs w:val="18"/>
              </w:rPr>
              <w:t xml:space="preserve"> </w:t>
            </w:r>
            <w:r w:rsidRPr="00E81073">
              <w:rPr>
                <w:rFonts w:ascii="Arial Narrow" w:hAnsi="Arial Narrow"/>
                <w:iCs/>
                <w:sz w:val="18"/>
                <w:szCs w:val="18"/>
              </w:rPr>
              <w:t>1.63)</w:t>
            </w:r>
          </w:p>
        </w:tc>
        <w:tc>
          <w:tcPr>
            <w:tcW w:w="776" w:type="pct"/>
            <w:tcBorders>
              <w:top w:val="nil"/>
              <w:left w:val="single" w:sz="4" w:space="0" w:color="auto"/>
              <w:bottom w:val="nil"/>
              <w:right w:val="single" w:sz="4" w:space="0" w:color="auto"/>
            </w:tcBorders>
            <w:vAlign w:val="center"/>
          </w:tcPr>
          <w:p w14:paraId="3340B815" w14:textId="0F9B17D7" w:rsidR="00DE4C41" w:rsidRPr="00E81073" w:rsidRDefault="00DE4C41" w:rsidP="00621EA3">
            <w:pPr>
              <w:keepNext/>
              <w:jc w:val="center"/>
              <w:rPr>
                <w:rFonts w:ascii="Arial Narrow" w:hAnsi="Arial Narrow"/>
                <w:iCs/>
                <w:sz w:val="18"/>
                <w:szCs w:val="18"/>
              </w:rPr>
            </w:pPr>
            <w:r w:rsidRPr="00E81073">
              <w:rPr>
                <w:rFonts w:ascii="Arial Narrow" w:hAnsi="Arial Narrow"/>
                <w:iCs/>
                <w:sz w:val="18"/>
                <w:szCs w:val="18"/>
              </w:rPr>
              <w:t>0.69 (0.24,</w:t>
            </w:r>
            <w:r w:rsidR="009B3C27" w:rsidRPr="00E81073">
              <w:rPr>
                <w:rFonts w:ascii="Arial Narrow" w:hAnsi="Arial Narrow"/>
                <w:iCs/>
                <w:sz w:val="18"/>
                <w:szCs w:val="18"/>
              </w:rPr>
              <w:t xml:space="preserve"> </w:t>
            </w:r>
            <w:r w:rsidRPr="00E81073">
              <w:rPr>
                <w:rFonts w:ascii="Arial Narrow" w:hAnsi="Arial Narrow"/>
                <w:iCs/>
                <w:sz w:val="18"/>
                <w:szCs w:val="18"/>
              </w:rPr>
              <w:t>2.02)</w:t>
            </w:r>
          </w:p>
        </w:tc>
        <w:tc>
          <w:tcPr>
            <w:tcW w:w="775" w:type="pct"/>
            <w:tcBorders>
              <w:top w:val="nil"/>
              <w:left w:val="single" w:sz="4" w:space="0" w:color="auto"/>
              <w:bottom w:val="nil"/>
              <w:right w:val="single" w:sz="4" w:space="0" w:color="auto"/>
            </w:tcBorders>
            <w:vAlign w:val="center"/>
          </w:tcPr>
          <w:p w14:paraId="54E2BC31" w14:textId="3EFCB009" w:rsidR="00DE4C41" w:rsidRPr="00E81073" w:rsidRDefault="00DE4C41" w:rsidP="00621EA3">
            <w:pPr>
              <w:keepNext/>
              <w:jc w:val="center"/>
              <w:rPr>
                <w:rFonts w:ascii="Arial Narrow" w:hAnsi="Arial Narrow"/>
                <w:iCs/>
                <w:sz w:val="18"/>
                <w:szCs w:val="18"/>
              </w:rPr>
            </w:pPr>
            <w:r w:rsidRPr="00E81073">
              <w:rPr>
                <w:rFonts w:ascii="Arial Narrow" w:hAnsi="Arial Narrow"/>
                <w:iCs/>
                <w:sz w:val="18"/>
                <w:szCs w:val="18"/>
              </w:rPr>
              <w:t>0.05 (-0.07,</w:t>
            </w:r>
            <w:r w:rsidR="00E10EF1" w:rsidRPr="00E81073">
              <w:rPr>
                <w:rFonts w:ascii="Arial Narrow" w:hAnsi="Arial Narrow"/>
                <w:iCs/>
                <w:sz w:val="18"/>
                <w:szCs w:val="18"/>
              </w:rPr>
              <w:t xml:space="preserve"> </w:t>
            </w:r>
            <w:r w:rsidRPr="00E81073">
              <w:rPr>
                <w:rFonts w:ascii="Arial Narrow" w:hAnsi="Arial Narrow"/>
                <w:iCs/>
                <w:sz w:val="18"/>
                <w:szCs w:val="18"/>
              </w:rPr>
              <w:t>0.17)</w:t>
            </w:r>
          </w:p>
        </w:tc>
      </w:tr>
      <w:tr w:rsidR="00DE4C41" w:rsidRPr="00E81073" w14:paraId="54E25ABE" w14:textId="77777777" w:rsidTr="00621EA3">
        <w:tc>
          <w:tcPr>
            <w:tcW w:w="2673" w:type="pct"/>
            <w:gridSpan w:val="3"/>
            <w:tcBorders>
              <w:top w:val="nil"/>
              <w:bottom w:val="nil"/>
            </w:tcBorders>
            <w:vAlign w:val="center"/>
          </w:tcPr>
          <w:p w14:paraId="436CC1E4" w14:textId="77777777" w:rsidR="00DE4C41" w:rsidRPr="00E81073" w:rsidRDefault="00DE4C41" w:rsidP="00621EA3">
            <w:pPr>
              <w:keepNext/>
              <w:jc w:val="left"/>
              <w:rPr>
                <w:rFonts w:ascii="Arial Narrow" w:hAnsi="Arial Narrow"/>
                <w:i/>
                <w:iCs/>
                <w:sz w:val="18"/>
                <w:szCs w:val="18"/>
              </w:rPr>
            </w:pPr>
            <w:r w:rsidRPr="00E81073">
              <w:rPr>
                <w:rFonts w:ascii="Arial Narrow" w:hAnsi="Arial Narrow"/>
                <w:sz w:val="18"/>
                <w:szCs w:val="18"/>
              </w:rPr>
              <w:t>BKZ (W16 BE OPTIMAL) v IXE (W16 SPIRIT 1), via PBO</w:t>
            </w:r>
          </w:p>
        </w:tc>
        <w:tc>
          <w:tcPr>
            <w:tcW w:w="776" w:type="pct"/>
            <w:tcBorders>
              <w:top w:val="nil"/>
              <w:bottom w:val="nil"/>
              <w:right w:val="single" w:sz="4" w:space="0" w:color="auto"/>
            </w:tcBorders>
            <w:vAlign w:val="center"/>
          </w:tcPr>
          <w:p w14:paraId="3E572723" w14:textId="16704A12" w:rsidR="00DE4C41" w:rsidRPr="00E81073" w:rsidRDefault="00DE4C41" w:rsidP="00621EA3">
            <w:pPr>
              <w:keepNext/>
              <w:jc w:val="center"/>
              <w:rPr>
                <w:rFonts w:ascii="Arial Narrow" w:hAnsi="Arial Narrow"/>
                <w:sz w:val="18"/>
                <w:szCs w:val="18"/>
              </w:rPr>
            </w:pPr>
            <w:r w:rsidRPr="00E81073">
              <w:rPr>
                <w:rFonts w:ascii="Arial Narrow" w:hAnsi="Arial Narrow"/>
                <w:iCs/>
                <w:sz w:val="18"/>
                <w:szCs w:val="18"/>
              </w:rPr>
              <w:t>1.80 (0.90,</w:t>
            </w:r>
            <w:r w:rsidR="00D80CAA" w:rsidRPr="00E81073">
              <w:rPr>
                <w:rFonts w:ascii="Arial Narrow" w:hAnsi="Arial Narrow"/>
                <w:iCs/>
                <w:sz w:val="18"/>
                <w:szCs w:val="18"/>
              </w:rPr>
              <w:t xml:space="preserve"> </w:t>
            </w:r>
            <w:r w:rsidRPr="00E81073">
              <w:rPr>
                <w:rFonts w:ascii="Arial Narrow" w:hAnsi="Arial Narrow"/>
                <w:iCs/>
                <w:sz w:val="18"/>
                <w:szCs w:val="18"/>
              </w:rPr>
              <w:t>3.60)</w:t>
            </w:r>
          </w:p>
        </w:tc>
        <w:tc>
          <w:tcPr>
            <w:tcW w:w="776" w:type="pct"/>
            <w:tcBorders>
              <w:top w:val="nil"/>
              <w:left w:val="single" w:sz="4" w:space="0" w:color="auto"/>
              <w:bottom w:val="nil"/>
              <w:right w:val="single" w:sz="4" w:space="0" w:color="auto"/>
            </w:tcBorders>
            <w:vAlign w:val="center"/>
          </w:tcPr>
          <w:p w14:paraId="3085455A" w14:textId="0F7E0F26" w:rsidR="00DE4C41" w:rsidRPr="00E81073" w:rsidRDefault="00DE4C41" w:rsidP="00621EA3">
            <w:pPr>
              <w:keepNext/>
              <w:jc w:val="center"/>
              <w:rPr>
                <w:rFonts w:ascii="Arial Narrow" w:hAnsi="Arial Narrow"/>
                <w:b/>
                <w:sz w:val="18"/>
                <w:szCs w:val="18"/>
              </w:rPr>
            </w:pPr>
            <w:r w:rsidRPr="00E81073">
              <w:rPr>
                <w:rFonts w:ascii="Arial Narrow" w:hAnsi="Arial Narrow"/>
                <w:b/>
                <w:sz w:val="18"/>
                <w:szCs w:val="18"/>
              </w:rPr>
              <w:t>2.3</w:t>
            </w:r>
            <w:r w:rsidR="009B3C27" w:rsidRPr="00E81073">
              <w:rPr>
                <w:rFonts w:ascii="Arial Narrow" w:hAnsi="Arial Narrow"/>
                <w:b/>
                <w:i/>
                <w:sz w:val="18"/>
                <w:szCs w:val="18"/>
              </w:rPr>
              <w:t>2</w:t>
            </w:r>
            <w:r w:rsidRPr="00E81073">
              <w:rPr>
                <w:rFonts w:ascii="Arial Narrow" w:hAnsi="Arial Narrow"/>
                <w:b/>
                <w:sz w:val="18"/>
                <w:szCs w:val="18"/>
              </w:rPr>
              <w:t xml:space="preserve"> (1.01,5.33)</w:t>
            </w:r>
          </w:p>
        </w:tc>
        <w:tc>
          <w:tcPr>
            <w:tcW w:w="775" w:type="pct"/>
            <w:tcBorders>
              <w:top w:val="nil"/>
              <w:left w:val="single" w:sz="4" w:space="0" w:color="auto"/>
              <w:bottom w:val="nil"/>
              <w:right w:val="single" w:sz="4" w:space="0" w:color="auto"/>
            </w:tcBorders>
            <w:vAlign w:val="center"/>
          </w:tcPr>
          <w:p w14:paraId="03C26D28" w14:textId="7D528DC5" w:rsidR="00DE4C41" w:rsidRPr="00E81073" w:rsidRDefault="00DE4C41" w:rsidP="00621EA3">
            <w:pPr>
              <w:keepNext/>
              <w:jc w:val="center"/>
              <w:rPr>
                <w:rFonts w:ascii="Arial Narrow" w:hAnsi="Arial Narrow"/>
                <w:b/>
                <w:sz w:val="18"/>
                <w:szCs w:val="18"/>
              </w:rPr>
            </w:pPr>
            <w:r w:rsidRPr="00E81073">
              <w:rPr>
                <w:rFonts w:ascii="Arial Narrow" w:hAnsi="Arial Narrow"/>
                <w:b/>
                <w:sz w:val="18"/>
                <w:szCs w:val="18"/>
              </w:rPr>
              <w:t>0.16 (0.0</w:t>
            </w:r>
            <w:r w:rsidR="00E10EF1" w:rsidRPr="00E81073">
              <w:rPr>
                <w:rFonts w:ascii="Arial Narrow" w:hAnsi="Arial Narrow"/>
                <w:b/>
                <w:i/>
                <w:sz w:val="18"/>
                <w:szCs w:val="18"/>
              </w:rPr>
              <w:t>4</w:t>
            </w:r>
            <w:r w:rsidRPr="00E81073">
              <w:rPr>
                <w:rFonts w:ascii="Arial Narrow" w:hAnsi="Arial Narrow"/>
                <w:b/>
                <w:sz w:val="18"/>
                <w:szCs w:val="18"/>
              </w:rPr>
              <w:t>,</w:t>
            </w:r>
            <w:r w:rsidR="00E10EF1" w:rsidRPr="00E81073">
              <w:rPr>
                <w:rFonts w:ascii="Arial Narrow" w:hAnsi="Arial Narrow"/>
                <w:b/>
                <w:sz w:val="18"/>
                <w:szCs w:val="18"/>
              </w:rPr>
              <w:t xml:space="preserve"> </w:t>
            </w:r>
            <w:r w:rsidRPr="00E81073">
              <w:rPr>
                <w:rFonts w:ascii="Arial Narrow" w:hAnsi="Arial Narrow"/>
                <w:b/>
                <w:sz w:val="18"/>
                <w:szCs w:val="18"/>
              </w:rPr>
              <w:t>0.2</w:t>
            </w:r>
            <w:r w:rsidR="00E10EF1" w:rsidRPr="00E81073">
              <w:rPr>
                <w:rFonts w:ascii="Arial Narrow" w:hAnsi="Arial Narrow"/>
                <w:b/>
                <w:i/>
                <w:sz w:val="18"/>
                <w:szCs w:val="18"/>
              </w:rPr>
              <w:t>8</w:t>
            </w:r>
            <w:r w:rsidRPr="00E81073">
              <w:rPr>
                <w:rFonts w:ascii="Arial Narrow" w:hAnsi="Arial Narrow"/>
                <w:b/>
                <w:sz w:val="18"/>
                <w:szCs w:val="18"/>
              </w:rPr>
              <w:t>)</w:t>
            </w:r>
          </w:p>
        </w:tc>
      </w:tr>
      <w:tr w:rsidR="00DE4C41" w:rsidRPr="00E81073" w14:paraId="032FD737" w14:textId="77777777" w:rsidTr="00621EA3">
        <w:tc>
          <w:tcPr>
            <w:tcW w:w="2673" w:type="pct"/>
            <w:gridSpan w:val="3"/>
            <w:tcBorders>
              <w:top w:val="nil"/>
            </w:tcBorders>
            <w:vAlign w:val="center"/>
          </w:tcPr>
          <w:p w14:paraId="0AC0023E" w14:textId="77777777" w:rsidR="00DE4C41" w:rsidRPr="00E81073" w:rsidRDefault="00DE4C41" w:rsidP="00621EA3">
            <w:pPr>
              <w:keepNext/>
              <w:jc w:val="left"/>
              <w:rPr>
                <w:rFonts w:ascii="Arial Narrow" w:hAnsi="Arial Narrow"/>
                <w:i/>
                <w:iCs/>
                <w:sz w:val="18"/>
                <w:szCs w:val="18"/>
              </w:rPr>
            </w:pPr>
            <w:r w:rsidRPr="00E81073">
              <w:rPr>
                <w:rFonts w:ascii="Arial Narrow" w:hAnsi="Arial Narrow"/>
                <w:i/>
                <w:sz w:val="18"/>
                <w:szCs w:val="18"/>
              </w:rPr>
              <w:t>BKZ (W16 BE OPTIMAL) v IXE (W12 SPIRIT 1), via ADA</w:t>
            </w:r>
          </w:p>
        </w:tc>
        <w:tc>
          <w:tcPr>
            <w:tcW w:w="776" w:type="pct"/>
            <w:tcBorders>
              <w:top w:val="nil"/>
              <w:bottom w:val="single" w:sz="4" w:space="0" w:color="auto"/>
              <w:right w:val="single" w:sz="4" w:space="0" w:color="auto"/>
            </w:tcBorders>
            <w:vAlign w:val="center"/>
          </w:tcPr>
          <w:p w14:paraId="0322C87D" w14:textId="441BC408" w:rsidR="00DE4C41" w:rsidRPr="00E81073" w:rsidRDefault="00DE4C41" w:rsidP="00621EA3">
            <w:pPr>
              <w:keepNext/>
              <w:jc w:val="center"/>
              <w:rPr>
                <w:rFonts w:ascii="Arial Narrow" w:hAnsi="Arial Narrow"/>
                <w:i/>
                <w:sz w:val="18"/>
                <w:szCs w:val="18"/>
              </w:rPr>
            </w:pPr>
            <w:r w:rsidRPr="00E81073">
              <w:rPr>
                <w:rFonts w:ascii="Arial Narrow" w:hAnsi="Arial Narrow"/>
                <w:i/>
                <w:iCs/>
                <w:sz w:val="18"/>
                <w:szCs w:val="18"/>
              </w:rPr>
              <w:t>0.85 (0.54,</w:t>
            </w:r>
            <w:r w:rsidR="001F7452" w:rsidRPr="00E81073">
              <w:rPr>
                <w:rFonts w:ascii="Arial Narrow" w:hAnsi="Arial Narrow"/>
                <w:i/>
                <w:iCs/>
                <w:sz w:val="18"/>
                <w:szCs w:val="18"/>
              </w:rPr>
              <w:t xml:space="preserve"> </w:t>
            </w:r>
            <w:r w:rsidRPr="00E81073">
              <w:rPr>
                <w:rFonts w:ascii="Arial Narrow" w:hAnsi="Arial Narrow"/>
                <w:i/>
                <w:iCs/>
                <w:sz w:val="18"/>
                <w:szCs w:val="18"/>
              </w:rPr>
              <w:t>1.33)</w:t>
            </w:r>
          </w:p>
        </w:tc>
        <w:tc>
          <w:tcPr>
            <w:tcW w:w="776" w:type="pct"/>
            <w:tcBorders>
              <w:top w:val="nil"/>
              <w:left w:val="single" w:sz="4" w:space="0" w:color="auto"/>
              <w:bottom w:val="single" w:sz="4" w:space="0" w:color="auto"/>
              <w:right w:val="single" w:sz="4" w:space="0" w:color="auto"/>
            </w:tcBorders>
            <w:vAlign w:val="center"/>
          </w:tcPr>
          <w:p w14:paraId="68720D38" w14:textId="65C5025B" w:rsidR="00DE4C41" w:rsidRPr="00E81073" w:rsidRDefault="00DE4C41" w:rsidP="00621EA3">
            <w:pPr>
              <w:keepNext/>
              <w:jc w:val="center"/>
              <w:rPr>
                <w:rFonts w:ascii="Arial Narrow" w:hAnsi="Arial Narrow"/>
                <w:i/>
                <w:sz w:val="18"/>
                <w:szCs w:val="18"/>
              </w:rPr>
            </w:pPr>
            <w:r w:rsidRPr="00E81073">
              <w:rPr>
                <w:rFonts w:ascii="Arial Narrow" w:hAnsi="Arial Narrow"/>
                <w:i/>
                <w:iCs/>
                <w:sz w:val="18"/>
                <w:szCs w:val="18"/>
              </w:rPr>
              <w:t>0.78 (0.3</w:t>
            </w:r>
            <w:r w:rsidR="009B3C27" w:rsidRPr="00E81073">
              <w:rPr>
                <w:rFonts w:ascii="Arial Narrow" w:hAnsi="Arial Narrow"/>
                <w:i/>
                <w:iCs/>
                <w:sz w:val="18"/>
                <w:szCs w:val="18"/>
              </w:rPr>
              <w:t>9</w:t>
            </w:r>
            <w:r w:rsidRPr="00E81073">
              <w:rPr>
                <w:rFonts w:ascii="Arial Narrow" w:hAnsi="Arial Narrow"/>
                <w:i/>
                <w:iCs/>
                <w:sz w:val="18"/>
                <w:szCs w:val="18"/>
              </w:rPr>
              <w:t>,</w:t>
            </w:r>
            <w:r w:rsidR="009B3C27" w:rsidRPr="00E81073">
              <w:rPr>
                <w:rFonts w:ascii="Arial Narrow" w:hAnsi="Arial Narrow"/>
                <w:i/>
                <w:iCs/>
                <w:sz w:val="18"/>
                <w:szCs w:val="18"/>
              </w:rPr>
              <w:t xml:space="preserve"> </w:t>
            </w:r>
            <w:r w:rsidRPr="00E81073">
              <w:rPr>
                <w:rFonts w:ascii="Arial Narrow" w:hAnsi="Arial Narrow"/>
                <w:i/>
                <w:iCs/>
                <w:sz w:val="18"/>
                <w:szCs w:val="18"/>
              </w:rPr>
              <w:t>1.56)</w:t>
            </w:r>
          </w:p>
        </w:tc>
        <w:tc>
          <w:tcPr>
            <w:tcW w:w="775" w:type="pct"/>
            <w:tcBorders>
              <w:top w:val="nil"/>
              <w:left w:val="single" w:sz="4" w:space="0" w:color="auto"/>
              <w:bottom w:val="single" w:sz="4" w:space="0" w:color="auto"/>
              <w:right w:val="single" w:sz="4" w:space="0" w:color="auto"/>
            </w:tcBorders>
            <w:vAlign w:val="center"/>
          </w:tcPr>
          <w:p w14:paraId="7A7204D2" w14:textId="0FF8DE9E" w:rsidR="00DE4C41" w:rsidRPr="00E81073" w:rsidRDefault="00DE4C41" w:rsidP="00621EA3">
            <w:pPr>
              <w:keepNext/>
              <w:jc w:val="center"/>
              <w:rPr>
                <w:rFonts w:ascii="Arial Narrow" w:hAnsi="Arial Narrow"/>
                <w:bCs/>
                <w:i/>
                <w:sz w:val="18"/>
                <w:szCs w:val="18"/>
              </w:rPr>
            </w:pPr>
            <w:r w:rsidRPr="00E81073">
              <w:rPr>
                <w:rFonts w:ascii="Arial Narrow" w:hAnsi="Arial Narrow"/>
                <w:bCs/>
                <w:i/>
                <w:sz w:val="18"/>
                <w:szCs w:val="18"/>
              </w:rPr>
              <w:t>-0.06 (-0.22,</w:t>
            </w:r>
            <w:r w:rsidR="00E10EF1" w:rsidRPr="00E81073">
              <w:rPr>
                <w:rFonts w:ascii="Arial Narrow" w:hAnsi="Arial Narrow"/>
                <w:bCs/>
                <w:i/>
                <w:sz w:val="18"/>
                <w:szCs w:val="18"/>
              </w:rPr>
              <w:t xml:space="preserve"> </w:t>
            </w:r>
            <w:r w:rsidRPr="00E81073">
              <w:rPr>
                <w:rFonts w:ascii="Arial Narrow" w:hAnsi="Arial Narrow"/>
                <w:bCs/>
                <w:i/>
                <w:sz w:val="18"/>
                <w:szCs w:val="18"/>
              </w:rPr>
              <w:t>0.10)</w:t>
            </w:r>
          </w:p>
        </w:tc>
      </w:tr>
      <w:tr w:rsidR="00DE4C41" w:rsidRPr="00E81073" w14:paraId="31AA081A" w14:textId="77777777" w:rsidTr="00621EA3">
        <w:tc>
          <w:tcPr>
            <w:tcW w:w="2673" w:type="pct"/>
            <w:gridSpan w:val="3"/>
            <w:tcBorders>
              <w:bottom w:val="single" w:sz="4" w:space="0" w:color="auto"/>
            </w:tcBorders>
            <w:vAlign w:val="center"/>
          </w:tcPr>
          <w:p w14:paraId="5D60143F" w14:textId="77777777" w:rsidR="00DE4C41" w:rsidRPr="00E81073" w:rsidRDefault="00DE4C41" w:rsidP="00621EA3">
            <w:pPr>
              <w:keepNext/>
              <w:jc w:val="left"/>
              <w:rPr>
                <w:rFonts w:ascii="Arial Narrow" w:hAnsi="Arial Narrow"/>
                <w:i/>
                <w:iCs/>
                <w:sz w:val="18"/>
                <w:szCs w:val="18"/>
              </w:rPr>
            </w:pPr>
            <w:r w:rsidRPr="00E81073">
              <w:rPr>
                <w:rFonts w:ascii="Arial Narrow" w:hAnsi="Arial Narrow"/>
                <w:b/>
                <w:bCs/>
                <w:sz w:val="18"/>
                <w:szCs w:val="18"/>
              </w:rPr>
              <w:t>Indirect comparisons, TNFe</w:t>
            </w:r>
          </w:p>
        </w:tc>
        <w:tc>
          <w:tcPr>
            <w:tcW w:w="776" w:type="pct"/>
            <w:tcBorders>
              <w:top w:val="single" w:sz="4" w:space="0" w:color="auto"/>
              <w:bottom w:val="nil"/>
              <w:right w:val="single" w:sz="4" w:space="0" w:color="auto"/>
            </w:tcBorders>
            <w:vAlign w:val="center"/>
          </w:tcPr>
          <w:p w14:paraId="49F5A8BA" w14:textId="77777777" w:rsidR="00DE4C41" w:rsidRPr="00E81073" w:rsidRDefault="00DE4C41" w:rsidP="00621EA3">
            <w:pPr>
              <w:keepNext/>
              <w:jc w:val="center"/>
              <w:rPr>
                <w:rFonts w:ascii="Arial Narrow" w:hAnsi="Arial Narrow"/>
                <w:sz w:val="18"/>
                <w:szCs w:val="18"/>
              </w:rPr>
            </w:pPr>
          </w:p>
        </w:tc>
        <w:tc>
          <w:tcPr>
            <w:tcW w:w="776" w:type="pct"/>
            <w:tcBorders>
              <w:top w:val="single" w:sz="4" w:space="0" w:color="auto"/>
              <w:left w:val="single" w:sz="4" w:space="0" w:color="auto"/>
              <w:bottom w:val="nil"/>
              <w:right w:val="single" w:sz="4" w:space="0" w:color="auto"/>
            </w:tcBorders>
            <w:vAlign w:val="center"/>
          </w:tcPr>
          <w:p w14:paraId="7056D15E" w14:textId="77777777" w:rsidR="00DE4C41" w:rsidRPr="00E81073" w:rsidRDefault="00DE4C41" w:rsidP="00621EA3">
            <w:pPr>
              <w:keepNext/>
              <w:jc w:val="center"/>
              <w:rPr>
                <w:rFonts w:ascii="Arial Narrow" w:hAnsi="Arial Narrow"/>
                <w:sz w:val="18"/>
                <w:szCs w:val="18"/>
              </w:rPr>
            </w:pPr>
          </w:p>
        </w:tc>
        <w:tc>
          <w:tcPr>
            <w:tcW w:w="775" w:type="pct"/>
            <w:tcBorders>
              <w:top w:val="single" w:sz="4" w:space="0" w:color="auto"/>
              <w:left w:val="single" w:sz="4" w:space="0" w:color="auto"/>
              <w:bottom w:val="nil"/>
              <w:right w:val="single" w:sz="4" w:space="0" w:color="auto"/>
            </w:tcBorders>
            <w:vAlign w:val="center"/>
          </w:tcPr>
          <w:p w14:paraId="4DAAEF45" w14:textId="77777777" w:rsidR="00DE4C41" w:rsidRPr="00E81073" w:rsidRDefault="00DE4C41" w:rsidP="00621EA3">
            <w:pPr>
              <w:keepNext/>
              <w:jc w:val="center"/>
              <w:rPr>
                <w:rFonts w:ascii="Arial Narrow" w:hAnsi="Arial Narrow"/>
                <w:sz w:val="18"/>
                <w:szCs w:val="18"/>
              </w:rPr>
            </w:pPr>
          </w:p>
        </w:tc>
      </w:tr>
      <w:tr w:rsidR="00DE4C41" w:rsidRPr="00E81073" w14:paraId="18AE95A0" w14:textId="77777777" w:rsidTr="00621EA3">
        <w:tc>
          <w:tcPr>
            <w:tcW w:w="2673" w:type="pct"/>
            <w:gridSpan w:val="3"/>
            <w:tcBorders>
              <w:bottom w:val="nil"/>
            </w:tcBorders>
            <w:vAlign w:val="center"/>
          </w:tcPr>
          <w:p w14:paraId="6305A5B6" w14:textId="77777777" w:rsidR="00DE4C41" w:rsidRPr="00E81073" w:rsidRDefault="00DE4C41" w:rsidP="00621EA3">
            <w:pPr>
              <w:keepNext/>
              <w:jc w:val="left"/>
              <w:rPr>
                <w:rFonts w:ascii="Arial Narrow" w:hAnsi="Arial Narrow"/>
                <w:i/>
                <w:iCs/>
                <w:sz w:val="18"/>
                <w:szCs w:val="18"/>
              </w:rPr>
            </w:pPr>
            <w:r w:rsidRPr="00E81073">
              <w:rPr>
                <w:rFonts w:ascii="Arial Narrow" w:hAnsi="Arial Narrow"/>
                <w:sz w:val="18"/>
                <w:szCs w:val="18"/>
              </w:rPr>
              <w:t>BKZ (W16 BE COMPLETE) v IXE (W12 SPIRIT 2), via PBO</w:t>
            </w:r>
          </w:p>
        </w:tc>
        <w:tc>
          <w:tcPr>
            <w:tcW w:w="776" w:type="pct"/>
            <w:tcBorders>
              <w:top w:val="nil"/>
              <w:bottom w:val="nil"/>
              <w:right w:val="single" w:sz="4" w:space="0" w:color="auto"/>
            </w:tcBorders>
            <w:vAlign w:val="center"/>
          </w:tcPr>
          <w:p w14:paraId="6AB30FE8" w14:textId="508EAE22" w:rsidR="00DE4C41" w:rsidRPr="00E81073" w:rsidRDefault="00DE4C41" w:rsidP="00621EA3">
            <w:pPr>
              <w:keepNext/>
              <w:jc w:val="center"/>
              <w:rPr>
                <w:rFonts w:ascii="Arial Narrow" w:hAnsi="Arial Narrow"/>
                <w:sz w:val="18"/>
                <w:szCs w:val="18"/>
              </w:rPr>
            </w:pPr>
            <w:r w:rsidRPr="00E81073">
              <w:rPr>
                <w:rFonts w:ascii="Arial Narrow" w:hAnsi="Arial Narrow"/>
                <w:sz w:val="18"/>
                <w:szCs w:val="18"/>
              </w:rPr>
              <w:t>0.70 (0.21,</w:t>
            </w:r>
            <w:r w:rsidR="001F7452" w:rsidRPr="00E81073">
              <w:rPr>
                <w:rFonts w:ascii="Arial Narrow" w:hAnsi="Arial Narrow"/>
                <w:sz w:val="18"/>
                <w:szCs w:val="18"/>
              </w:rPr>
              <w:t xml:space="preserve"> </w:t>
            </w:r>
            <w:r w:rsidRPr="00E81073">
              <w:rPr>
                <w:rFonts w:ascii="Arial Narrow" w:hAnsi="Arial Narrow"/>
                <w:sz w:val="18"/>
                <w:szCs w:val="18"/>
              </w:rPr>
              <w:t>2.30)</w:t>
            </w:r>
          </w:p>
        </w:tc>
        <w:tc>
          <w:tcPr>
            <w:tcW w:w="776" w:type="pct"/>
            <w:tcBorders>
              <w:top w:val="nil"/>
              <w:left w:val="single" w:sz="4" w:space="0" w:color="auto"/>
              <w:bottom w:val="nil"/>
              <w:right w:val="single" w:sz="4" w:space="0" w:color="auto"/>
            </w:tcBorders>
            <w:vAlign w:val="center"/>
          </w:tcPr>
          <w:p w14:paraId="72761A7C" w14:textId="4B193BD9" w:rsidR="00DE4C41" w:rsidRPr="00E81073" w:rsidRDefault="00DE4C41" w:rsidP="00621EA3">
            <w:pPr>
              <w:keepNext/>
              <w:jc w:val="center"/>
              <w:rPr>
                <w:rFonts w:ascii="Arial Narrow" w:hAnsi="Arial Narrow"/>
                <w:sz w:val="18"/>
                <w:szCs w:val="18"/>
              </w:rPr>
            </w:pPr>
            <w:r w:rsidRPr="00E81073">
              <w:rPr>
                <w:rFonts w:ascii="Arial Narrow" w:hAnsi="Arial Narrow"/>
                <w:sz w:val="18"/>
                <w:szCs w:val="18"/>
              </w:rPr>
              <w:t>0.82 (0.23,</w:t>
            </w:r>
            <w:r w:rsidR="009B3C27" w:rsidRPr="00E81073">
              <w:rPr>
                <w:rFonts w:ascii="Arial Narrow" w:hAnsi="Arial Narrow"/>
                <w:sz w:val="18"/>
                <w:szCs w:val="18"/>
              </w:rPr>
              <w:t xml:space="preserve"> </w:t>
            </w:r>
            <w:r w:rsidRPr="00E81073">
              <w:rPr>
                <w:rFonts w:ascii="Arial Narrow" w:hAnsi="Arial Narrow"/>
                <w:sz w:val="18"/>
                <w:szCs w:val="18"/>
              </w:rPr>
              <w:t>2.97)</w:t>
            </w:r>
          </w:p>
        </w:tc>
        <w:tc>
          <w:tcPr>
            <w:tcW w:w="775" w:type="pct"/>
            <w:tcBorders>
              <w:top w:val="nil"/>
              <w:left w:val="single" w:sz="4" w:space="0" w:color="auto"/>
              <w:bottom w:val="nil"/>
              <w:right w:val="single" w:sz="4" w:space="0" w:color="auto"/>
            </w:tcBorders>
            <w:vAlign w:val="center"/>
          </w:tcPr>
          <w:p w14:paraId="37E2F3C5" w14:textId="47D7E65C" w:rsidR="00DE4C41" w:rsidRPr="00E81073" w:rsidRDefault="00DE4C41" w:rsidP="00621EA3">
            <w:pPr>
              <w:keepNext/>
              <w:jc w:val="center"/>
              <w:rPr>
                <w:rFonts w:ascii="Arial Narrow" w:hAnsi="Arial Narrow"/>
                <w:sz w:val="18"/>
                <w:szCs w:val="18"/>
              </w:rPr>
            </w:pPr>
            <w:r w:rsidRPr="00E81073">
              <w:rPr>
                <w:rFonts w:ascii="Arial Narrow" w:hAnsi="Arial Narrow"/>
                <w:sz w:val="18"/>
                <w:szCs w:val="18"/>
              </w:rPr>
              <w:t>0.09 (-0.03,</w:t>
            </w:r>
            <w:r w:rsidR="00632D2D" w:rsidRPr="00E81073">
              <w:rPr>
                <w:rFonts w:ascii="Arial Narrow" w:hAnsi="Arial Narrow"/>
                <w:sz w:val="18"/>
                <w:szCs w:val="18"/>
              </w:rPr>
              <w:t xml:space="preserve"> </w:t>
            </w:r>
            <w:r w:rsidRPr="00E81073">
              <w:rPr>
                <w:rFonts w:ascii="Arial Narrow" w:hAnsi="Arial Narrow"/>
                <w:sz w:val="18"/>
                <w:szCs w:val="18"/>
              </w:rPr>
              <w:t>0.21)</w:t>
            </w:r>
          </w:p>
        </w:tc>
      </w:tr>
      <w:tr w:rsidR="00DE4C41" w:rsidRPr="00E81073" w14:paraId="10BC4223" w14:textId="77777777" w:rsidTr="00621EA3">
        <w:tc>
          <w:tcPr>
            <w:tcW w:w="2673" w:type="pct"/>
            <w:gridSpan w:val="3"/>
            <w:tcBorders>
              <w:top w:val="nil"/>
            </w:tcBorders>
            <w:vAlign w:val="center"/>
          </w:tcPr>
          <w:p w14:paraId="7CAED26B" w14:textId="77777777" w:rsidR="00DE4C41" w:rsidRPr="00E81073" w:rsidRDefault="00DE4C41" w:rsidP="00621EA3">
            <w:pPr>
              <w:keepNext/>
              <w:jc w:val="left"/>
              <w:rPr>
                <w:rFonts w:ascii="Arial Narrow" w:hAnsi="Arial Narrow"/>
                <w:i/>
                <w:iCs/>
                <w:sz w:val="18"/>
                <w:szCs w:val="18"/>
              </w:rPr>
            </w:pPr>
            <w:r w:rsidRPr="00E81073">
              <w:rPr>
                <w:rFonts w:ascii="Arial Narrow" w:hAnsi="Arial Narrow"/>
                <w:sz w:val="18"/>
                <w:szCs w:val="18"/>
              </w:rPr>
              <w:t>BKZ (W16 BE COMPLETE) v IXE (W16 SPIRIT 2), via PBO</w:t>
            </w:r>
          </w:p>
        </w:tc>
        <w:tc>
          <w:tcPr>
            <w:tcW w:w="776" w:type="pct"/>
            <w:tcBorders>
              <w:top w:val="nil"/>
              <w:bottom w:val="single" w:sz="4" w:space="0" w:color="auto"/>
              <w:right w:val="single" w:sz="4" w:space="0" w:color="auto"/>
            </w:tcBorders>
            <w:vAlign w:val="center"/>
          </w:tcPr>
          <w:p w14:paraId="59CB5505" w14:textId="65ACFE85" w:rsidR="00DE4C41" w:rsidRPr="00E81073" w:rsidRDefault="00DE4C41" w:rsidP="00621EA3">
            <w:pPr>
              <w:keepNext/>
              <w:jc w:val="center"/>
              <w:rPr>
                <w:rFonts w:ascii="Arial Narrow" w:hAnsi="Arial Narrow"/>
                <w:sz w:val="18"/>
                <w:szCs w:val="18"/>
              </w:rPr>
            </w:pPr>
            <w:r w:rsidRPr="00E81073">
              <w:rPr>
                <w:rFonts w:ascii="Arial Narrow" w:hAnsi="Arial Narrow"/>
                <w:sz w:val="18"/>
                <w:szCs w:val="18"/>
              </w:rPr>
              <w:t>1.19 (</w:t>
            </w:r>
            <w:r w:rsidRPr="00E81073">
              <w:rPr>
                <w:rFonts w:ascii="Arial Narrow" w:hAnsi="Arial Narrow"/>
                <w:i/>
                <w:sz w:val="18"/>
                <w:szCs w:val="18"/>
              </w:rPr>
              <w:t>0.</w:t>
            </w:r>
            <w:r w:rsidR="001F7452" w:rsidRPr="00E81073">
              <w:rPr>
                <w:rFonts w:ascii="Arial Narrow" w:hAnsi="Arial Narrow"/>
                <w:i/>
                <w:sz w:val="18"/>
                <w:szCs w:val="18"/>
              </w:rPr>
              <w:t>44</w:t>
            </w:r>
            <w:r w:rsidRPr="00E81073">
              <w:rPr>
                <w:rFonts w:ascii="Arial Narrow" w:hAnsi="Arial Narrow"/>
                <w:sz w:val="18"/>
                <w:szCs w:val="18"/>
              </w:rPr>
              <w:t>,</w:t>
            </w:r>
            <w:r w:rsidR="001F7452" w:rsidRPr="00E81073">
              <w:rPr>
                <w:rFonts w:ascii="Arial Narrow" w:hAnsi="Arial Narrow"/>
                <w:sz w:val="18"/>
                <w:szCs w:val="18"/>
              </w:rPr>
              <w:t xml:space="preserve"> </w:t>
            </w:r>
            <w:r w:rsidRPr="00E81073">
              <w:rPr>
                <w:rFonts w:ascii="Arial Narrow" w:hAnsi="Arial Narrow"/>
                <w:sz w:val="18"/>
                <w:szCs w:val="18"/>
              </w:rPr>
              <w:t>3.24)</w:t>
            </w:r>
          </w:p>
        </w:tc>
        <w:tc>
          <w:tcPr>
            <w:tcW w:w="776" w:type="pct"/>
            <w:tcBorders>
              <w:top w:val="nil"/>
              <w:left w:val="single" w:sz="4" w:space="0" w:color="auto"/>
              <w:bottom w:val="single" w:sz="4" w:space="0" w:color="auto"/>
              <w:right w:val="single" w:sz="4" w:space="0" w:color="auto"/>
            </w:tcBorders>
            <w:vAlign w:val="center"/>
          </w:tcPr>
          <w:p w14:paraId="68898E49" w14:textId="2219CDD3" w:rsidR="00DE4C41" w:rsidRPr="00E81073" w:rsidRDefault="00DE4C41" w:rsidP="00621EA3">
            <w:pPr>
              <w:keepNext/>
              <w:jc w:val="center"/>
              <w:rPr>
                <w:rFonts w:ascii="Arial Narrow" w:hAnsi="Arial Narrow"/>
                <w:sz w:val="18"/>
                <w:szCs w:val="18"/>
              </w:rPr>
            </w:pPr>
            <w:r w:rsidRPr="00E81073">
              <w:rPr>
                <w:rFonts w:ascii="Arial Narrow" w:hAnsi="Arial Narrow"/>
                <w:sz w:val="18"/>
                <w:szCs w:val="18"/>
              </w:rPr>
              <w:t>1.42 (0.47,</w:t>
            </w:r>
            <w:r w:rsidR="009B3C27" w:rsidRPr="00E81073">
              <w:rPr>
                <w:rFonts w:ascii="Arial Narrow" w:hAnsi="Arial Narrow"/>
                <w:sz w:val="18"/>
                <w:szCs w:val="18"/>
              </w:rPr>
              <w:t xml:space="preserve"> </w:t>
            </w:r>
            <w:r w:rsidRPr="00E81073">
              <w:rPr>
                <w:rFonts w:ascii="Arial Narrow" w:hAnsi="Arial Narrow"/>
                <w:sz w:val="18"/>
                <w:szCs w:val="18"/>
              </w:rPr>
              <w:t>4.34)</w:t>
            </w:r>
          </w:p>
        </w:tc>
        <w:tc>
          <w:tcPr>
            <w:tcW w:w="775" w:type="pct"/>
            <w:tcBorders>
              <w:top w:val="nil"/>
              <w:left w:val="single" w:sz="4" w:space="0" w:color="auto"/>
              <w:bottom w:val="single" w:sz="4" w:space="0" w:color="auto"/>
              <w:right w:val="single" w:sz="4" w:space="0" w:color="auto"/>
            </w:tcBorders>
            <w:vAlign w:val="center"/>
          </w:tcPr>
          <w:p w14:paraId="00246ED3" w14:textId="40AD324F" w:rsidR="00DE4C41" w:rsidRPr="00E81073" w:rsidRDefault="00DE4C41" w:rsidP="00621EA3">
            <w:pPr>
              <w:keepNext/>
              <w:jc w:val="center"/>
              <w:rPr>
                <w:rFonts w:ascii="Arial Narrow" w:hAnsi="Arial Narrow"/>
                <w:sz w:val="18"/>
                <w:szCs w:val="18"/>
              </w:rPr>
            </w:pPr>
            <w:r w:rsidRPr="00E81073">
              <w:rPr>
                <w:rFonts w:ascii="Arial Narrow" w:hAnsi="Arial Narrow"/>
                <w:sz w:val="18"/>
                <w:szCs w:val="18"/>
              </w:rPr>
              <w:t>0.11 (-0.01,</w:t>
            </w:r>
            <w:r w:rsidR="00632D2D" w:rsidRPr="00E81073">
              <w:rPr>
                <w:rFonts w:ascii="Arial Narrow" w:hAnsi="Arial Narrow"/>
                <w:sz w:val="18"/>
                <w:szCs w:val="18"/>
              </w:rPr>
              <w:t xml:space="preserve"> </w:t>
            </w:r>
            <w:r w:rsidRPr="00E81073">
              <w:rPr>
                <w:rFonts w:ascii="Arial Narrow" w:hAnsi="Arial Narrow"/>
                <w:sz w:val="18"/>
                <w:szCs w:val="18"/>
              </w:rPr>
              <w:t>0.23)</w:t>
            </w:r>
          </w:p>
        </w:tc>
      </w:tr>
    </w:tbl>
    <w:p w14:paraId="2141F603" w14:textId="77777777" w:rsidR="00DE4C41" w:rsidRPr="00E81073" w:rsidRDefault="00DE4C41" w:rsidP="00DE4C41">
      <w:pPr>
        <w:pStyle w:val="TableFigureFooter"/>
        <w:spacing w:after="0"/>
        <w:rPr>
          <w:rStyle w:val="CommentReference"/>
          <w:b w:val="0"/>
          <w:bCs/>
          <w:sz w:val="18"/>
          <w:szCs w:val="18"/>
        </w:rPr>
      </w:pPr>
      <w:r w:rsidRPr="00E81073">
        <w:rPr>
          <w:rStyle w:val="CommentReference"/>
          <w:b w:val="0"/>
          <w:bCs/>
          <w:i/>
          <w:iCs/>
          <w:sz w:val="18"/>
          <w:szCs w:val="18"/>
        </w:rPr>
        <w:t>Italics</w:t>
      </w:r>
      <w:r w:rsidRPr="00E81073">
        <w:rPr>
          <w:rStyle w:val="CommentReference"/>
          <w:b w:val="0"/>
          <w:bCs/>
          <w:sz w:val="18"/>
          <w:szCs w:val="18"/>
        </w:rPr>
        <w:t xml:space="preserve"> indicate results extracted, </w:t>
      </w:r>
      <w:proofErr w:type="gramStart"/>
      <w:r w:rsidRPr="00E81073">
        <w:rPr>
          <w:rStyle w:val="CommentReference"/>
          <w:b w:val="0"/>
          <w:bCs/>
          <w:sz w:val="18"/>
          <w:szCs w:val="18"/>
        </w:rPr>
        <w:t>estimated</w:t>
      </w:r>
      <w:proofErr w:type="gramEnd"/>
      <w:r w:rsidRPr="00E81073">
        <w:rPr>
          <w:rStyle w:val="CommentReference"/>
          <w:b w:val="0"/>
          <w:bCs/>
          <w:sz w:val="18"/>
          <w:szCs w:val="18"/>
        </w:rPr>
        <w:t xml:space="preserve"> or corrected during the evaluation.</w:t>
      </w:r>
    </w:p>
    <w:p w14:paraId="7A8782E5" w14:textId="77777777" w:rsidR="00DE4C41" w:rsidRPr="00E81073" w:rsidRDefault="00DE4C41" w:rsidP="00DE4C41">
      <w:pPr>
        <w:rPr>
          <w:rFonts w:ascii="Arial Narrow" w:hAnsi="Arial Narrow"/>
          <w:sz w:val="18"/>
          <w:szCs w:val="16"/>
        </w:rPr>
      </w:pPr>
      <w:r w:rsidRPr="00E81073">
        <w:rPr>
          <w:rFonts w:ascii="Arial Narrow" w:hAnsi="Arial Narrow"/>
          <w:sz w:val="18"/>
          <w:szCs w:val="16"/>
        </w:rPr>
        <w:t>Source: Table 2.25, 2.31, 2.61 and 2.65, pp109,123,153,173 of the submission; Figures 2.41,2.46,2.47, pp154,158,159 of the submission</w:t>
      </w:r>
    </w:p>
    <w:p w14:paraId="3BB58B3F" w14:textId="6EE9A33A" w:rsidR="00DE4C41" w:rsidRPr="00E81073" w:rsidRDefault="00413F28" w:rsidP="00DE4C41">
      <w:pPr>
        <w:rPr>
          <w:rFonts w:ascii="Arial Narrow" w:hAnsi="Arial Narrow"/>
          <w:color w:val="000000" w:themeColor="text1"/>
          <w:sz w:val="18"/>
          <w:szCs w:val="16"/>
        </w:rPr>
      </w:pPr>
      <w:r w:rsidRPr="00E81073">
        <w:rPr>
          <w:rFonts w:ascii="Arial Narrow" w:hAnsi="Arial Narrow"/>
          <w:sz w:val="18"/>
          <w:szCs w:val="16"/>
        </w:rPr>
        <w:t>ACR50=≥50% improvement in tender and swollen joint counts and ≥50% improvement in 3 of 5 remaining American College of Rheumatology Criteria</w:t>
      </w:r>
      <w:r w:rsidRPr="00E81073">
        <w:t xml:space="preserve"> </w:t>
      </w:r>
      <w:r w:rsidRPr="00E81073">
        <w:rPr>
          <w:rFonts w:ascii="Arial Narrow" w:hAnsi="Arial Narrow"/>
          <w:sz w:val="18"/>
          <w:szCs w:val="16"/>
        </w:rPr>
        <w:t xml:space="preserve">core set measures; </w:t>
      </w:r>
      <w:r w:rsidR="00670F2D" w:rsidRPr="00E81073">
        <w:rPr>
          <w:rFonts w:ascii="Arial Narrow" w:hAnsi="Arial Narrow"/>
          <w:color w:val="000000" w:themeColor="text1"/>
          <w:sz w:val="18"/>
          <w:szCs w:val="16"/>
        </w:rPr>
        <w:t xml:space="preserve">ADA=adalimumab; BKZ=bimekizumab; </w:t>
      </w:r>
      <w:r w:rsidR="00670F2D" w:rsidRPr="00E81073">
        <w:rPr>
          <w:rFonts w:ascii="Arial Narrow" w:hAnsi="Arial Narrow"/>
          <w:sz w:val="18"/>
          <w:szCs w:val="16"/>
        </w:rPr>
        <w:t xml:space="preserve">bNaive=biologic naive; CI=confidence interval; ITT=intention-to-treat; </w:t>
      </w:r>
      <w:r w:rsidR="00670F2D" w:rsidRPr="00E81073">
        <w:rPr>
          <w:rFonts w:ascii="Arial Narrow" w:hAnsi="Arial Narrow"/>
          <w:color w:val="000000" w:themeColor="text1"/>
          <w:sz w:val="18"/>
          <w:szCs w:val="16"/>
        </w:rPr>
        <w:t xml:space="preserve">IXE=ixekizumab; </w:t>
      </w:r>
      <w:r w:rsidR="00670F2D" w:rsidRPr="00E81073">
        <w:rPr>
          <w:rFonts w:ascii="Arial Narrow" w:hAnsi="Arial Narrow"/>
          <w:sz w:val="18"/>
          <w:szCs w:val="16"/>
        </w:rPr>
        <w:t>OR=odds ratio;</w:t>
      </w:r>
      <w:r w:rsidR="00670F2D" w:rsidRPr="00E81073">
        <w:rPr>
          <w:rFonts w:ascii="Arial Narrow" w:hAnsi="Arial Narrow"/>
          <w:color w:val="000000" w:themeColor="text1"/>
          <w:sz w:val="18"/>
          <w:szCs w:val="16"/>
        </w:rPr>
        <w:t xml:space="preserve"> PBO=placebo; </w:t>
      </w:r>
      <w:r w:rsidR="00670F2D" w:rsidRPr="00E81073">
        <w:rPr>
          <w:rFonts w:ascii="Arial Narrow" w:hAnsi="Arial Narrow"/>
          <w:sz w:val="18"/>
          <w:szCs w:val="16"/>
        </w:rPr>
        <w:t>RD=risk difference; RR=risk ratio; TNFe=</w:t>
      </w:r>
      <w:r w:rsidR="00586C7B" w:rsidRPr="00E81073">
        <w:rPr>
          <w:rFonts w:ascii="Arial Narrow" w:hAnsi="Arial Narrow"/>
          <w:sz w:val="18"/>
          <w:szCs w:val="16"/>
        </w:rPr>
        <w:t>tumor necrosis factor</w:t>
      </w:r>
      <w:r w:rsidR="00670F2D" w:rsidRPr="00E81073">
        <w:rPr>
          <w:rFonts w:ascii="Arial Narrow" w:hAnsi="Arial Narrow"/>
          <w:sz w:val="18"/>
          <w:szCs w:val="16"/>
        </w:rPr>
        <w:t xml:space="preserve"> inhibitor experienced</w:t>
      </w:r>
      <w:r w:rsidR="00DE4C41" w:rsidRPr="00E81073">
        <w:rPr>
          <w:rFonts w:ascii="Arial Narrow" w:hAnsi="Arial Narrow"/>
          <w:color w:val="000000" w:themeColor="text1"/>
          <w:sz w:val="18"/>
          <w:szCs w:val="16"/>
        </w:rPr>
        <w:t xml:space="preserve"> </w:t>
      </w:r>
    </w:p>
    <w:p w14:paraId="3FAD3863" w14:textId="77777777" w:rsidR="0028081E" w:rsidRDefault="0079060C" w:rsidP="0028081E">
      <w:pPr>
        <w:rPr>
          <w:rFonts w:ascii="Arial Narrow" w:hAnsi="Arial Narrow"/>
          <w:color w:val="000000" w:themeColor="text1"/>
          <w:sz w:val="18"/>
          <w:szCs w:val="16"/>
        </w:rPr>
      </w:pPr>
      <w:r w:rsidRPr="00E81073">
        <w:rPr>
          <w:rFonts w:ascii="Arial Narrow" w:hAnsi="Arial Narrow"/>
          <w:color w:val="000000" w:themeColor="text1"/>
          <w:sz w:val="18"/>
          <w:szCs w:val="16"/>
        </w:rPr>
        <w:t>*</w:t>
      </w:r>
      <w:r w:rsidRPr="00E81073">
        <w:rPr>
          <w:rFonts w:ascii="Arial Narrow" w:hAnsi="Arial Narrow"/>
          <w:color w:val="000000" w:themeColor="text1"/>
          <w:sz w:val="18"/>
          <w:szCs w:val="16"/>
        </w:rPr>
        <w:tab/>
        <w:t>Unable to confirm exact results from Figure 1B, Mease 2017 (SPIRIT 1) and Figure 2B, Nash 2017 (SPIRIT 2)</w:t>
      </w:r>
      <w:bookmarkStart w:id="30" w:name="_Ref152246439"/>
    </w:p>
    <w:p w14:paraId="02B15523" w14:textId="3F65CE6E" w:rsidR="00670F2D" w:rsidRPr="0028081E" w:rsidRDefault="00670F2D" w:rsidP="0028081E">
      <w:pPr>
        <w:keepNext/>
        <w:rPr>
          <w:rFonts w:ascii="Arial Narrow" w:hAnsi="Arial Narrow"/>
          <w:b/>
          <w:bCs/>
          <w:sz w:val="20"/>
          <w:szCs w:val="18"/>
        </w:rPr>
      </w:pPr>
      <w:r w:rsidRPr="0028081E">
        <w:rPr>
          <w:rFonts w:ascii="Arial Narrow" w:hAnsi="Arial Narrow"/>
          <w:b/>
          <w:bCs/>
          <w:sz w:val="20"/>
          <w:szCs w:val="18"/>
        </w:rPr>
        <w:t xml:space="preserve">Table </w:t>
      </w:r>
      <w:r w:rsidR="006269D6" w:rsidRPr="0028081E">
        <w:rPr>
          <w:rFonts w:ascii="Arial Narrow" w:hAnsi="Arial Narrow"/>
          <w:b/>
          <w:bCs/>
          <w:sz w:val="20"/>
          <w:szCs w:val="18"/>
        </w:rPr>
        <w:fldChar w:fldCharType="begin" w:fldLock="1"/>
      </w:r>
      <w:r w:rsidR="006269D6" w:rsidRPr="0028081E">
        <w:rPr>
          <w:rFonts w:ascii="Arial Narrow" w:hAnsi="Arial Narrow"/>
          <w:b/>
          <w:bCs/>
          <w:sz w:val="20"/>
          <w:szCs w:val="18"/>
        </w:rPr>
        <w:instrText xml:space="preserve"> SEQ Table \* ARABIC </w:instrText>
      </w:r>
      <w:r w:rsidR="006269D6" w:rsidRPr="0028081E">
        <w:rPr>
          <w:rFonts w:ascii="Arial Narrow" w:hAnsi="Arial Narrow"/>
          <w:b/>
          <w:bCs/>
          <w:sz w:val="20"/>
          <w:szCs w:val="18"/>
        </w:rPr>
        <w:fldChar w:fldCharType="separate"/>
      </w:r>
      <w:r w:rsidRPr="0028081E">
        <w:rPr>
          <w:rFonts w:ascii="Arial Narrow" w:hAnsi="Arial Narrow"/>
          <w:b/>
          <w:bCs/>
          <w:sz w:val="20"/>
          <w:szCs w:val="18"/>
        </w:rPr>
        <w:t>5</w:t>
      </w:r>
      <w:r w:rsidR="006269D6" w:rsidRPr="0028081E">
        <w:rPr>
          <w:rFonts w:ascii="Arial Narrow" w:hAnsi="Arial Narrow"/>
          <w:b/>
          <w:bCs/>
          <w:sz w:val="20"/>
          <w:szCs w:val="18"/>
        </w:rPr>
        <w:fldChar w:fldCharType="end"/>
      </w:r>
      <w:bookmarkEnd w:id="30"/>
      <w:r w:rsidRPr="0028081E">
        <w:rPr>
          <w:rFonts w:ascii="Arial Narrow" w:hAnsi="Arial Narrow"/>
          <w:b/>
          <w:bCs/>
          <w:sz w:val="20"/>
          <w:szCs w:val="18"/>
        </w:rPr>
        <w:t>: ACR20 response at Week 12-16, trial results and indirect treatment comparison</w:t>
      </w:r>
    </w:p>
    <w:tbl>
      <w:tblPr>
        <w:tblStyle w:val="TableGrid"/>
        <w:tblW w:w="5000" w:type="pct"/>
        <w:tblCellMar>
          <w:left w:w="28" w:type="dxa"/>
          <w:right w:w="28" w:type="dxa"/>
        </w:tblCellMar>
        <w:tblLook w:val="04A0" w:firstRow="1" w:lastRow="0" w:firstColumn="1" w:lastColumn="0" w:noHBand="0" w:noVBand="1"/>
        <w:tblCaption w:val="Table 5: ACR20 response at Week 12-16, trial results and indirect treatment comparison"/>
      </w:tblPr>
      <w:tblGrid>
        <w:gridCol w:w="2693"/>
        <w:gridCol w:w="1062"/>
        <w:gridCol w:w="1066"/>
        <w:gridCol w:w="1399"/>
        <w:gridCol w:w="1399"/>
        <w:gridCol w:w="1398"/>
      </w:tblGrid>
      <w:tr w:rsidR="00DE4C41" w:rsidRPr="00E81073" w14:paraId="2172A14E" w14:textId="77777777" w:rsidTr="00621EA3">
        <w:tc>
          <w:tcPr>
            <w:tcW w:w="1493" w:type="pct"/>
            <w:shd w:val="clear" w:color="auto" w:fill="auto"/>
            <w:vAlign w:val="center"/>
          </w:tcPr>
          <w:p w14:paraId="5D8CA60E" w14:textId="77777777" w:rsidR="00DE4C41" w:rsidRPr="00E81073" w:rsidRDefault="00DE4C41" w:rsidP="0028081E">
            <w:pPr>
              <w:keepNext/>
              <w:jc w:val="left"/>
              <w:rPr>
                <w:rFonts w:ascii="Arial Narrow" w:hAnsi="Arial Narrow"/>
                <w:b/>
                <w:bCs/>
                <w:sz w:val="18"/>
                <w:szCs w:val="18"/>
              </w:rPr>
            </w:pPr>
            <w:r w:rsidRPr="00E81073">
              <w:rPr>
                <w:rFonts w:ascii="Arial Narrow" w:hAnsi="Arial Narrow"/>
                <w:b/>
                <w:bCs/>
                <w:sz w:val="18"/>
                <w:szCs w:val="18"/>
              </w:rPr>
              <w:t>Trial</w:t>
            </w:r>
          </w:p>
        </w:tc>
        <w:tc>
          <w:tcPr>
            <w:tcW w:w="589" w:type="pct"/>
            <w:shd w:val="clear" w:color="auto" w:fill="auto"/>
            <w:vAlign w:val="center"/>
          </w:tcPr>
          <w:p w14:paraId="77CB609E" w14:textId="77777777" w:rsidR="00DE4C41" w:rsidRPr="00E81073" w:rsidRDefault="00DE4C41" w:rsidP="0028081E">
            <w:pPr>
              <w:keepNext/>
              <w:jc w:val="center"/>
              <w:rPr>
                <w:rFonts w:ascii="Arial Narrow" w:hAnsi="Arial Narrow"/>
                <w:b/>
                <w:bCs/>
                <w:sz w:val="18"/>
                <w:szCs w:val="18"/>
              </w:rPr>
            </w:pPr>
            <w:r w:rsidRPr="00E81073">
              <w:rPr>
                <w:rFonts w:ascii="Arial Narrow" w:hAnsi="Arial Narrow"/>
                <w:b/>
                <w:bCs/>
                <w:sz w:val="18"/>
                <w:szCs w:val="18"/>
              </w:rPr>
              <w:t>Drug</w:t>
            </w:r>
          </w:p>
          <w:p w14:paraId="50467F10" w14:textId="77777777" w:rsidR="00DE4C41" w:rsidRPr="00E81073" w:rsidRDefault="00DE4C41" w:rsidP="0028081E">
            <w:pPr>
              <w:keepNext/>
              <w:jc w:val="center"/>
              <w:rPr>
                <w:rFonts w:ascii="Arial Narrow" w:hAnsi="Arial Narrow"/>
                <w:b/>
                <w:bCs/>
                <w:sz w:val="18"/>
                <w:szCs w:val="18"/>
              </w:rPr>
            </w:pPr>
            <w:r w:rsidRPr="00E81073">
              <w:rPr>
                <w:rFonts w:ascii="Arial Narrow" w:hAnsi="Arial Narrow"/>
                <w:b/>
                <w:bCs/>
                <w:sz w:val="18"/>
                <w:szCs w:val="18"/>
              </w:rPr>
              <w:t>n/N (%)</w:t>
            </w:r>
          </w:p>
        </w:tc>
        <w:tc>
          <w:tcPr>
            <w:tcW w:w="590" w:type="pct"/>
            <w:shd w:val="clear" w:color="auto" w:fill="auto"/>
            <w:vAlign w:val="center"/>
          </w:tcPr>
          <w:p w14:paraId="3B8577C8" w14:textId="77777777" w:rsidR="00DE4C41" w:rsidRPr="00E81073" w:rsidRDefault="00DE4C41" w:rsidP="0028081E">
            <w:pPr>
              <w:keepNext/>
              <w:jc w:val="center"/>
              <w:rPr>
                <w:rFonts w:ascii="Arial Narrow" w:hAnsi="Arial Narrow"/>
                <w:b/>
                <w:bCs/>
                <w:sz w:val="18"/>
                <w:szCs w:val="18"/>
              </w:rPr>
            </w:pPr>
            <w:r w:rsidRPr="00E81073">
              <w:rPr>
                <w:rFonts w:ascii="Arial Narrow" w:hAnsi="Arial Narrow"/>
                <w:b/>
                <w:bCs/>
                <w:sz w:val="18"/>
                <w:szCs w:val="18"/>
              </w:rPr>
              <w:t>Control</w:t>
            </w:r>
          </w:p>
          <w:p w14:paraId="0A510DE0" w14:textId="77777777" w:rsidR="00DE4C41" w:rsidRPr="00E81073" w:rsidRDefault="00DE4C41" w:rsidP="0028081E">
            <w:pPr>
              <w:keepNext/>
              <w:jc w:val="center"/>
              <w:rPr>
                <w:rFonts w:ascii="Arial Narrow" w:hAnsi="Arial Narrow"/>
                <w:b/>
                <w:bCs/>
                <w:sz w:val="18"/>
                <w:szCs w:val="18"/>
              </w:rPr>
            </w:pPr>
            <w:r w:rsidRPr="00E81073">
              <w:rPr>
                <w:rFonts w:ascii="Arial Narrow" w:hAnsi="Arial Narrow"/>
                <w:b/>
                <w:bCs/>
                <w:sz w:val="18"/>
                <w:szCs w:val="18"/>
              </w:rPr>
              <w:t>n/N (%)</w:t>
            </w:r>
          </w:p>
        </w:tc>
        <w:tc>
          <w:tcPr>
            <w:tcW w:w="776" w:type="pct"/>
            <w:tcBorders>
              <w:bottom w:val="single" w:sz="4" w:space="0" w:color="auto"/>
            </w:tcBorders>
            <w:shd w:val="clear" w:color="auto" w:fill="auto"/>
            <w:vAlign w:val="center"/>
          </w:tcPr>
          <w:p w14:paraId="628DF229" w14:textId="77777777" w:rsidR="00DE4C41" w:rsidRPr="00E81073" w:rsidRDefault="00DE4C41" w:rsidP="0028081E">
            <w:pPr>
              <w:keepNext/>
              <w:jc w:val="center"/>
              <w:rPr>
                <w:rFonts w:ascii="Arial Narrow" w:hAnsi="Arial Narrow"/>
                <w:b/>
                <w:bCs/>
                <w:sz w:val="18"/>
                <w:szCs w:val="18"/>
              </w:rPr>
            </w:pPr>
            <w:r w:rsidRPr="00E81073">
              <w:rPr>
                <w:rFonts w:ascii="Arial Narrow" w:hAnsi="Arial Narrow"/>
                <w:b/>
                <w:bCs/>
                <w:sz w:val="18"/>
                <w:szCs w:val="18"/>
              </w:rPr>
              <w:t>RR (95%CI)</w:t>
            </w:r>
          </w:p>
        </w:tc>
        <w:tc>
          <w:tcPr>
            <w:tcW w:w="776" w:type="pct"/>
            <w:tcBorders>
              <w:bottom w:val="single" w:sz="4" w:space="0" w:color="auto"/>
            </w:tcBorders>
            <w:shd w:val="clear" w:color="auto" w:fill="auto"/>
            <w:vAlign w:val="center"/>
          </w:tcPr>
          <w:p w14:paraId="7A8FFA0A" w14:textId="77777777" w:rsidR="00DE4C41" w:rsidRPr="00E81073" w:rsidRDefault="00DE4C41" w:rsidP="0028081E">
            <w:pPr>
              <w:keepNext/>
              <w:jc w:val="center"/>
              <w:rPr>
                <w:rFonts w:ascii="Arial Narrow" w:hAnsi="Arial Narrow"/>
                <w:b/>
                <w:bCs/>
                <w:sz w:val="18"/>
                <w:szCs w:val="18"/>
              </w:rPr>
            </w:pPr>
            <w:r w:rsidRPr="00E81073">
              <w:rPr>
                <w:rFonts w:ascii="Arial Narrow" w:hAnsi="Arial Narrow"/>
                <w:b/>
                <w:bCs/>
                <w:sz w:val="18"/>
                <w:szCs w:val="18"/>
              </w:rPr>
              <w:t>OR (95%CI)</w:t>
            </w:r>
          </w:p>
        </w:tc>
        <w:tc>
          <w:tcPr>
            <w:tcW w:w="776" w:type="pct"/>
            <w:tcBorders>
              <w:bottom w:val="single" w:sz="4" w:space="0" w:color="auto"/>
              <w:right w:val="single" w:sz="4" w:space="0" w:color="auto"/>
            </w:tcBorders>
            <w:shd w:val="clear" w:color="auto" w:fill="auto"/>
            <w:vAlign w:val="center"/>
          </w:tcPr>
          <w:p w14:paraId="00784819" w14:textId="77777777" w:rsidR="00DE4C41" w:rsidRPr="00E81073" w:rsidRDefault="00DE4C41" w:rsidP="0028081E">
            <w:pPr>
              <w:keepNext/>
              <w:jc w:val="center"/>
              <w:rPr>
                <w:rFonts w:ascii="Arial Narrow" w:hAnsi="Arial Narrow"/>
                <w:b/>
                <w:bCs/>
                <w:sz w:val="18"/>
                <w:szCs w:val="18"/>
              </w:rPr>
            </w:pPr>
            <w:r w:rsidRPr="00E81073">
              <w:rPr>
                <w:rFonts w:ascii="Arial Narrow" w:hAnsi="Arial Narrow"/>
                <w:b/>
                <w:bCs/>
                <w:sz w:val="18"/>
                <w:szCs w:val="18"/>
              </w:rPr>
              <w:t>RD (95%CI)</w:t>
            </w:r>
          </w:p>
        </w:tc>
      </w:tr>
      <w:tr w:rsidR="00DE4C41" w:rsidRPr="00E81073" w14:paraId="3F80E10B" w14:textId="77777777" w:rsidTr="00621EA3">
        <w:tc>
          <w:tcPr>
            <w:tcW w:w="2673" w:type="pct"/>
            <w:gridSpan w:val="3"/>
            <w:shd w:val="clear" w:color="auto" w:fill="auto"/>
            <w:vAlign w:val="center"/>
          </w:tcPr>
          <w:p w14:paraId="45A2E5FC" w14:textId="77777777" w:rsidR="00DE4C41" w:rsidRPr="00E81073" w:rsidRDefault="00DE4C41" w:rsidP="0028081E">
            <w:pPr>
              <w:keepNext/>
              <w:jc w:val="left"/>
              <w:rPr>
                <w:rFonts w:ascii="Arial Narrow" w:hAnsi="Arial Narrow"/>
                <w:b/>
                <w:bCs/>
                <w:i/>
                <w:sz w:val="18"/>
                <w:szCs w:val="18"/>
              </w:rPr>
            </w:pPr>
            <w:r w:rsidRPr="00E81073">
              <w:rPr>
                <w:rFonts w:ascii="Arial Narrow" w:hAnsi="Arial Narrow"/>
                <w:b/>
                <w:bCs/>
                <w:i/>
                <w:sz w:val="18"/>
                <w:szCs w:val="18"/>
              </w:rPr>
              <w:t>BKZ vs ADA</w:t>
            </w:r>
          </w:p>
        </w:tc>
        <w:tc>
          <w:tcPr>
            <w:tcW w:w="776" w:type="pct"/>
            <w:tcBorders>
              <w:bottom w:val="nil"/>
              <w:right w:val="single" w:sz="4" w:space="0" w:color="auto"/>
            </w:tcBorders>
            <w:shd w:val="clear" w:color="auto" w:fill="auto"/>
            <w:vAlign w:val="center"/>
          </w:tcPr>
          <w:p w14:paraId="155DBFD1" w14:textId="77777777" w:rsidR="00DE4C41" w:rsidRPr="00E81073" w:rsidRDefault="00DE4C41" w:rsidP="0028081E">
            <w:pPr>
              <w:keepNext/>
              <w:jc w:val="center"/>
              <w:rPr>
                <w:rFonts w:ascii="Arial Narrow" w:hAnsi="Arial Narrow"/>
                <w:bCs/>
                <w:i/>
                <w:sz w:val="18"/>
                <w:szCs w:val="18"/>
                <w:highlight w:val="yellow"/>
              </w:rPr>
            </w:pPr>
          </w:p>
        </w:tc>
        <w:tc>
          <w:tcPr>
            <w:tcW w:w="776" w:type="pct"/>
            <w:tcBorders>
              <w:left w:val="single" w:sz="4" w:space="0" w:color="auto"/>
              <w:bottom w:val="nil"/>
              <w:right w:val="single" w:sz="4" w:space="0" w:color="auto"/>
            </w:tcBorders>
            <w:shd w:val="clear" w:color="auto" w:fill="auto"/>
            <w:vAlign w:val="center"/>
          </w:tcPr>
          <w:p w14:paraId="489466D4" w14:textId="77777777" w:rsidR="00DE4C41" w:rsidRPr="00E81073" w:rsidRDefault="00DE4C41" w:rsidP="0028081E">
            <w:pPr>
              <w:keepNext/>
              <w:jc w:val="center"/>
              <w:rPr>
                <w:rFonts w:ascii="Arial Narrow" w:hAnsi="Arial Narrow"/>
                <w:bCs/>
                <w:i/>
                <w:sz w:val="18"/>
                <w:szCs w:val="18"/>
                <w:highlight w:val="yellow"/>
              </w:rPr>
            </w:pPr>
          </w:p>
        </w:tc>
        <w:tc>
          <w:tcPr>
            <w:tcW w:w="776" w:type="pct"/>
            <w:tcBorders>
              <w:left w:val="single" w:sz="4" w:space="0" w:color="auto"/>
              <w:bottom w:val="nil"/>
              <w:right w:val="single" w:sz="4" w:space="0" w:color="auto"/>
            </w:tcBorders>
            <w:shd w:val="clear" w:color="auto" w:fill="auto"/>
            <w:vAlign w:val="center"/>
          </w:tcPr>
          <w:p w14:paraId="0039ABCF" w14:textId="77777777" w:rsidR="00DE4C41" w:rsidRPr="00E81073" w:rsidRDefault="00DE4C41" w:rsidP="0028081E">
            <w:pPr>
              <w:keepNext/>
              <w:jc w:val="center"/>
              <w:rPr>
                <w:rFonts w:ascii="Arial Narrow" w:hAnsi="Arial Narrow"/>
                <w:bCs/>
                <w:i/>
                <w:sz w:val="18"/>
                <w:szCs w:val="18"/>
                <w:highlight w:val="yellow"/>
              </w:rPr>
            </w:pPr>
          </w:p>
        </w:tc>
      </w:tr>
      <w:tr w:rsidR="00DE4C41" w:rsidRPr="00E81073" w14:paraId="54362F39" w14:textId="77777777" w:rsidTr="00621EA3">
        <w:tc>
          <w:tcPr>
            <w:tcW w:w="1493" w:type="pct"/>
            <w:shd w:val="clear" w:color="auto" w:fill="auto"/>
            <w:vAlign w:val="center"/>
          </w:tcPr>
          <w:p w14:paraId="4E46295B" w14:textId="77777777" w:rsidR="00DE4C41" w:rsidRPr="00E81073" w:rsidRDefault="00DE4C41" w:rsidP="0028081E">
            <w:pPr>
              <w:keepNext/>
              <w:jc w:val="left"/>
              <w:rPr>
                <w:rFonts w:ascii="Arial Narrow" w:hAnsi="Arial Narrow"/>
                <w:bCs/>
                <w:i/>
                <w:sz w:val="18"/>
                <w:szCs w:val="18"/>
              </w:rPr>
            </w:pPr>
            <w:r w:rsidRPr="00E81073">
              <w:rPr>
                <w:rFonts w:ascii="Arial Narrow" w:hAnsi="Arial Narrow"/>
                <w:bCs/>
                <w:i/>
                <w:sz w:val="18"/>
                <w:szCs w:val="18"/>
              </w:rPr>
              <w:t>BE OPTIMAL, W16, ITT (bNaive)</w:t>
            </w:r>
          </w:p>
        </w:tc>
        <w:tc>
          <w:tcPr>
            <w:tcW w:w="589" w:type="pct"/>
            <w:shd w:val="clear" w:color="auto" w:fill="auto"/>
            <w:vAlign w:val="center"/>
          </w:tcPr>
          <w:p w14:paraId="74AD5F6C" w14:textId="77777777" w:rsidR="00DE4C41" w:rsidRPr="00E81073" w:rsidRDefault="00DE4C41" w:rsidP="0028081E">
            <w:pPr>
              <w:keepNext/>
              <w:jc w:val="center"/>
              <w:rPr>
                <w:rFonts w:ascii="Arial Narrow" w:hAnsi="Arial Narrow"/>
                <w:bCs/>
                <w:i/>
                <w:sz w:val="18"/>
                <w:szCs w:val="18"/>
              </w:rPr>
            </w:pPr>
            <w:r w:rsidRPr="00E81073">
              <w:rPr>
                <w:rFonts w:ascii="Arial Narrow" w:hAnsi="Arial Narrow"/>
                <w:bCs/>
                <w:i/>
                <w:sz w:val="18"/>
                <w:szCs w:val="18"/>
              </w:rPr>
              <w:t>268/431 (62.2)</w:t>
            </w:r>
          </w:p>
        </w:tc>
        <w:tc>
          <w:tcPr>
            <w:tcW w:w="590" w:type="pct"/>
            <w:shd w:val="clear" w:color="auto" w:fill="auto"/>
            <w:vAlign w:val="center"/>
          </w:tcPr>
          <w:p w14:paraId="3A32AA7F" w14:textId="77777777" w:rsidR="00DE4C41" w:rsidRPr="00E81073" w:rsidRDefault="00DE4C41" w:rsidP="0028081E">
            <w:pPr>
              <w:keepNext/>
              <w:jc w:val="center"/>
              <w:rPr>
                <w:rFonts w:ascii="Arial Narrow" w:hAnsi="Arial Narrow"/>
                <w:bCs/>
                <w:i/>
                <w:sz w:val="18"/>
                <w:szCs w:val="18"/>
              </w:rPr>
            </w:pPr>
            <w:r w:rsidRPr="00E81073">
              <w:rPr>
                <w:rFonts w:ascii="Arial Narrow" w:hAnsi="Arial Narrow"/>
                <w:bCs/>
                <w:i/>
                <w:sz w:val="18"/>
                <w:szCs w:val="18"/>
              </w:rPr>
              <w:t>96/140 (68.6)</w:t>
            </w:r>
          </w:p>
        </w:tc>
        <w:tc>
          <w:tcPr>
            <w:tcW w:w="776" w:type="pct"/>
            <w:tcBorders>
              <w:top w:val="nil"/>
              <w:bottom w:val="single" w:sz="4" w:space="0" w:color="auto"/>
            </w:tcBorders>
            <w:shd w:val="clear" w:color="auto" w:fill="auto"/>
            <w:vAlign w:val="center"/>
          </w:tcPr>
          <w:p w14:paraId="44C39225" w14:textId="58E5D638" w:rsidR="00DE4C41" w:rsidRPr="00E81073" w:rsidRDefault="00DE4C41" w:rsidP="0028081E">
            <w:pPr>
              <w:keepNext/>
              <w:jc w:val="center"/>
              <w:rPr>
                <w:rFonts w:ascii="Arial Narrow" w:hAnsi="Arial Narrow"/>
                <w:bCs/>
                <w:i/>
                <w:sz w:val="18"/>
                <w:szCs w:val="18"/>
                <w:highlight w:val="yellow"/>
              </w:rPr>
            </w:pPr>
            <w:r w:rsidRPr="00E81073">
              <w:rPr>
                <w:rFonts w:ascii="Arial Narrow" w:hAnsi="Arial Narrow"/>
                <w:bCs/>
                <w:i/>
                <w:sz w:val="18"/>
                <w:szCs w:val="18"/>
              </w:rPr>
              <w:t>0.91 (0.79,</w:t>
            </w:r>
            <w:r w:rsidR="00592245" w:rsidRPr="00E81073">
              <w:rPr>
                <w:rFonts w:ascii="Arial Narrow" w:hAnsi="Arial Narrow"/>
                <w:bCs/>
                <w:i/>
                <w:sz w:val="18"/>
                <w:szCs w:val="18"/>
              </w:rPr>
              <w:t xml:space="preserve"> </w:t>
            </w:r>
            <w:r w:rsidRPr="00E81073">
              <w:rPr>
                <w:rFonts w:ascii="Arial Narrow" w:hAnsi="Arial Narrow"/>
                <w:bCs/>
                <w:i/>
                <w:sz w:val="18"/>
                <w:szCs w:val="18"/>
              </w:rPr>
              <w:t>1.04)</w:t>
            </w:r>
          </w:p>
        </w:tc>
        <w:tc>
          <w:tcPr>
            <w:tcW w:w="776" w:type="pct"/>
            <w:tcBorders>
              <w:top w:val="nil"/>
              <w:bottom w:val="single" w:sz="4" w:space="0" w:color="auto"/>
            </w:tcBorders>
            <w:shd w:val="clear" w:color="auto" w:fill="auto"/>
            <w:vAlign w:val="center"/>
          </w:tcPr>
          <w:p w14:paraId="1DCA5E46" w14:textId="6DD67F7D" w:rsidR="00DE4C41" w:rsidRPr="00E81073" w:rsidRDefault="00DE4C41" w:rsidP="0028081E">
            <w:pPr>
              <w:keepNext/>
              <w:jc w:val="center"/>
              <w:rPr>
                <w:rFonts w:ascii="Arial Narrow" w:hAnsi="Arial Narrow"/>
                <w:bCs/>
                <w:i/>
                <w:sz w:val="18"/>
                <w:szCs w:val="18"/>
                <w:highlight w:val="yellow"/>
              </w:rPr>
            </w:pPr>
            <w:r w:rsidRPr="00E81073">
              <w:rPr>
                <w:rFonts w:ascii="Arial Narrow" w:hAnsi="Arial Narrow"/>
                <w:bCs/>
                <w:i/>
                <w:sz w:val="18"/>
                <w:szCs w:val="18"/>
              </w:rPr>
              <w:t>0.75 (0.50,</w:t>
            </w:r>
            <w:r w:rsidR="00592245" w:rsidRPr="00E81073">
              <w:rPr>
                <w:rFonts w:ascii="Arial Narrow" w:hAnsi="Arial Narrow"/>
                <w:bCs/>
                <w:i/>
                <w:sz w:val="18"/>
                <w:szCs w:val="18"/>
              </w:rPr>
              <w:t xml:space="preserve"> </w:t>
            </w:r>
            <w:r w:rsidRPr="00E81073">
              <w:rPr>
                <w:rFonts w:ascii="Arial Narrow" w:hAnsi="Arial Narrow"/>
                <w:bCs/>
                <w:i/>
                <w:sz w:val="18"/>
                <w:szCs w:val="18"/>
              </w:rPr>
              <w:t>1.13)</w:t>
            </w:r>
          </w:p>
        </w:tc>
        <w:tc>
          <w:tcPr>
            <w:tcW w:w="776" w:type="pct"/>
            <w:tcBorders>
              <w:top w:val="nil"/>
              <w:bottom w:val="single" w:sz="4" w:space="0" w:color="auto"/>
              <w:right w:val="single" w:sz="4" w:space="0" w:color="auto"/>
            </w:tcBorders>
            <w:shd w:val="clear" w:color="auto" w:fill="auto"/>
            <w:vAlign w:val="center"/>
          </w:tcPr>
          <w:p w14:paraId="778F6C2F" w14:textId="04580D45" w:rsidR="00DE4C41" w:rsidRPr="00E81073" w:rsidRDefault="00DE4C41" w:rsidP="0028081E">
            <w:pPr>
              <w:keepNext/>
              <w:jc w:val="center"/>
              <w:rPr>
                <w:rFonts w:ascii="Arial Narrow" w:hAnsi="Arial Narrow"/>
                <w:bCs/>
                <w:i/>
                <w:sz w:val="18"/>
                <w:szCs w:val="18"/>
                <w:highlight w:val="yellow"/>
              </w:rPr>
            </w:pPr>
            <w:r w:rsidRPr="00E81073">
              <w:rPr>
                <w:rFonts w:ascii="Arial Narrow" w:hAnsi="Arial Narrow"/>
                <w:bCs/>
                <w:i/>
                <w:sz w:val="18"/>
                <w:szCs w:val="18"/>
              </w:rPr>
              <w:t>-0.06 (-0.15,</w:t>
            </w:r>
            <w:r w:rsidR="00592245" w:rsidRPr="00E81073">
              <w:rPr>
                <w:rFonts w:ascii="Arial Narrow" w:hAnsi="Arial Narrow"/>
                <w:bCs/>
                <w:i/>
                <w:sz w:val="18"/>
                <w:szCs w:val="18"/>
              </w:rPr>
              <w:t xml:space="preserve"> </w:t>
            </w:r>
            <w:r w:rsidRPr="00E81073">
              <w:rPr>
                <w:rFonts w:ascii="Arial Narrow" w:hAnsi="Arial Narrow"/>
                <w:bCs/>
                <w:i/>
                <w:sz w:val="18"/>
                <w:szCs w:val="18"/>
              </w:rPr>
              <w:t>0.03)</w:t>
            </w:r>
          </w:p>
        </w:tc>
      </w:tr>
      <w:tr w:rsidR="00DE4C41" w:rsidRPr="00E81073" w14:paraId="6E3DDF81" w14:textId="77777777" w:rsidTr="00621EA3">
        <w:tc>
          <w:tcPr>
            <w:tcW w:w="2673" w:type="pct"/>
            <w:gridSpan w:val="3"/>
            <w:tcBorders>
              <w:bottom w:val="single" w:sz="4" w:space="0" w:color="auto"/>
            </w:tcBorders>
            <w:shd w:val="clear" w:color="auto" w:fill="auto"/>
            <w:vAlign w:val="center"/>
          </w:tcPr>
          <w:p w14:paraId="3DBE8A21" w14:textId="77777777" w:rsidR="00DE4C41" w:rsidRPr="00E81073" w:rsidRDefault="00DE4C41" w:rsidP="0028081E">
            <w:pPr>
              <w:keepNext/>
              <w:jc w:val="left"/>
              <w:rPr>
                <w:rFonts w:ascii="Arial Narrow" w:hAnsi="Arial Narrow"/>
                <w:b/>
                <w:bCs/>
                <w:sz w:val="18"/>
                <w:szCs w:val="18"/>
                <w:highlight w:val="yellow"/>
              </w:rPr>
            </w:pPr>
            <w:r w:rsidRPr="00E81073">
              <w:rPr>
                <w:rFonts w:ascii="Arial Narrow" w:hAnsi="Arial Narrow"/>
                <w:b/>
                <w:bCs/>
                <w:sz w:val="18"/>
                <w:szCs w:val="18"/>
              </w:rPr>
              <w:t>BKZ vs PBO</w:t>
            </w:r>
          </w:p>
        </w:tc>
        <w:tc>
          <w:tcPr>
            <w:tcW w:w="776" w:type="pct"/>
            <w:tcBorders>
              <w:bottom w:val="single" w:sz="4" w:space="0" w:color="auto"/>
              <w:right w:val="nil"/>
            </w:tcBorders>
            <w:shd w:val="clear" w:color="auto" w:fill="auto"/>
            <w:vAlign w:val="center"/>
          </w:tcPr>
          <w:p w14:paraId="51C5E775" w14:textId="77777777" w:rsidR="00DE4C41" w:rsidRPr="00E81073" w:rsidRDefault="00DE4C41" w:rsidP="0028081E">
            <w:pPr>
              <w:keepNext/>
              <w:jc w:val="center"/>
              <w:rPr>
                <w:rFonts w:ascii="Arial Narrow" w:hAnsi="Arial Narrow"/>
                <w:bCs/>
                <w:sz w:val="18"/>
                <w:szCs w:val="18"/>
                <w:highlight w:val="yellow"/>
              </w:rPr>
            </w:pPr>
          </w:p>
        </w:tc>
        <w:tc>
          <w:tcPr>
            <w:tcW w:w="776" w:type="pct"/>
            <w:tcBorders>
              <w:left w:val="nil"/>
              <w:bottom w:val="single" w:sz="4" w:space="0" w:color="auto"/>
              <w:right w:val="nil"/>
            </w:tcBorders>
            <w:shd w:val="clear" w:color="auto" w:fill="auto"/>
            <w:vAlign w:val="center"/>
          </w:tcPr>
          <w:p w14:paraId="304D5AAE" w14:textId="77777777" w:rsidR="00DE4C41" w:rsidRPr="00E81073" w:rsidRDefault="00DE4C41" w:rsidP="0028081E">
            <w:pPr>
              <w:keepNext/>
              <w:jc w:val="center"/>
              <w:rPr>
                <w:rFonts w:ascii="Arial Narrow" w:hAnsi="Arial Narrow"/>
                <w:bCs/>
                <w:sz w:val="18"/>
                <w:szCs w:val="18"/>
                <w:highlight w:val="yellow"/>
              </w:rPr>
            </w:pPr>
          </w:p>
        </w:tc>
        <w:tc>
          <w:tcPr>
            <w:tcW w:w="776" w:type="pct"/>
            <w:tcBorders>
              <w:left w:val="nil"/>
              <w:bottom w:val="single" w:sz="4" w:space="0" w:color="auto"/>
              <w:right w:val="single" w:sz="4" w:space="0" w:color="auto"/>
            </w:tcBorders>
            <w:shd w:val="clear" w:color="auto" w:fill="auto"/>
            <w:vAlign w:val="center"/>
          </w:tcPr>
          <w:p w14:paraId="229CA39F" w14:textId="77777777" w:rsidR="00DE4C41" w:rsidRPr="00E81073" w:rsidRDefault="00DE4C41" w:rsidP="0028081E">
            <w:pPr>
              <w:keepNext/>
              <w:jc w:val="center"/>
              <w:rPr>
                <w:rFonts w:ascii="Arial Narrow" w:hAnsi="Arial Narrow"/>
                <w:bCs/>
                <w:sz w:val="18"/>
                <w:szCs w:val="18"/>
                <w:highlight w:val="yellow"/>
              </w:rPr>
            </w:pPr>
          </w:p>
        </w:tc>
      </w:tr>
      <w:tr w:rsidR="00DE4C41" w:rsidRPr="00E81073" w14:paraId="16320B15" w14:textId="77777777" w:rsidTr="00621EA3">
        <w:tc>
          <w:tcPr>
            <w:tcW w:w="1493" w:type="pct"/>
            <w:tcBorders>
              <w:bottom w:val="nil"/>
            </w:tcBorders>
            <w:shd w:val="clear" w:color="auto" w:fill="auto"/>
            <w:vAlign w:val="center"/>
          </w:tcPr>
          <w:p w14:paraId="56B44269" w14:textId="77777777" w:rsidR="00DE4C41" w:rsidRPr="00E81073" w:rsidRDefault="00DE4C41" w:rsidP="0028081E">
            <w:pPr>
              <w:keepNext/>
              <w:jc w:val="left"/>
              <w:rPr>
                <w:rFonts w:ascii="Arial Narrow" w:hAnsi="Arial Narrow"/>
                <w:bCs/>
                <w:sz w:val="18"/>
                <w:szCs w:val="18"/>
              </w:rPr>
            </w:pPr>
            <w:r w:rsidRPr="00E81073">
              <w:rPr>
                <w:rFonts w:ascii="Arial Narrow" w:hAnsi="Arial Narrow"/>
                <w:bCs/>
                <w:sz w:val="18"/>
                <w:szCs w:val="18"/>
              </w:rPr>
              <w:t>BE ACTIVE, W12, ITT (bNaive+TNFe)</w:t>
            </w:r>
          </w:p>
        </w:tc>
        <w:tc>
          <w:tcPr>
            <w:tcW w:w="589" w:type="pct"/>
            <w:tcBorders>
              <w:bottom w:val="nil"/>
            </w:tcBorders>
            <w:shd w:val="clear" w:color="auto" w:fill="auto"/>
            <w:vAlign w:val="center"/>
          </w:tcPr>
          <w:p w14:paraId="5C649B5F" w14:textId="77777777" w:rsidR="00DE4C41" w:rsidRPr="00E81073" w:rsidRDefault="00DE4C41" w:rsidP="0028081E">
            <w:pPr>
              <w:keepNext/>
              <w:jc w:val="center"/>
              <w:rPr>
                <w:rFonts w:ascii="Arial Narrow" w:hAnsi="Arial Narrow"/>
                <w:bCs/>
                <w:sz w:val="18"/>
                <w:szCs w:val="18"/>
              </w:rPr>
            </w:pPr>
            <w:r w:rsidRPr="00E81073">
              <w:rPr>
                <w:rFonts w:ascii="Arial Narrow" w:hAnsi="Arial Narrow"/>
                <w:bCs/>
                <w:sz w:val="18"/>
                <w:szCs w:val="18"/>
              </w:rPr>
              <w:t>30/41 (73.2)</w:t>
            </w:r>
          </w:p>
        </w:tc>
        <w:tc>
          <w:tcPr>
            <w:tcW w:w="590" w:type="pct"/>
            <w:tcBorders>
              <w:bottom w:val="nil"/>
            </w:tcBorders>
            <w:shd w:val="clear" w:color="auto" w:fill="auto"/>
            <w:vAlign w:val="center"/>
          </w:tcPr>
          <w:p w14:paraId="1AA97490" w14:textId="77777777" w:rsidR="00DE4C41" w:rsidRPr="00E81073" w:rsidRDefault="00DE4C41" w:rsidP="0028081E">
            <w:pPr>
              <w:keepNext/>
              <w:jc w:val="center"/>
              <w:rPr>
                <w:rFonts w:ascii="Arial Narrow" w:hAnsi="Arial Narrow"/>
                <w:bCs/>
                <w:sz w:val="18"/>
                <w:szCs w:val="18"/>
              </w:rPr>
            </w:pPr>
            <w:r w:rsidRPr="00E81073">
              <w:rPr>
                <w:rFonts w:ascii="Arial Narrow" w:hAnsi="Arial Narrow"/>
                <w:bCs/>
                <w:sz w:val="18"/>
                <w:szCs w:val="18"/>
              </w:rPr>
              <w:t>8/42 (19.0)</w:t>
            </w:r>
          </w:p>
        </w:tc>
        <w:tc>
          <w:tcPr>
            <w:tcW w:w="776" w:type="pct"/>
            <w:tcBorders>
              <w:bottom w:val="nil"/>
            </w:tcBorders>
            <w:shd w:val="clear" w:color="auto" w:fill="auto"/>
            <w:vAlign w:val="center"/>
          </w:tcPr>
          <w:p w14:paraId="71E9851C" w14:textId="505E6642" w:rsidR="00DE4C41" w:rsidRPr="00E81073" w:rsidRDefault="00DE4C41" w:rsidP="0028081E">
            <w:pPr>
              <w:keepNext/>
              <w:jc w:val="center"/>
              <w:rPr>
                <w:rFonts w:ascii="Arial Narrow" w:hAnsi="Arial Narrow"/>
                <w:b/>
                <w:bCs/>
                <w:sz w:val="18"/>
                <w:szCs w:val="18"/>
                <w:highlight w:val="yellow"/>
              </w:rPr>
            </w:pPr>
            <w:r w:rsidRPr="00E81073">
              <w:rPr>
                <w:rFonts w:ascii="Arial Narrow" w:hAnsi="Arial Narrow"/>
                <w:b/>
                <w:bCs/>
                <w:sz w:val="18"/>
                <w:szCs w:val="18"/>
              </w:rPr>
              <w:t>3.84 (2.00,</w:t>
            </w:r>
            <w:r w:rsidR="00B409E2" w:rsidRPr="00E81073">
              <w:rPr>
                <w:rFonts w:ascii="Arial Narrow" w:hAnsi="Arial Narrow"/>
                <w:b/>
                <w:bCs/>
                <w:sz w:val="18"/>
                <w:szCs w:val="18"/>
              </w:rPr>
              <w:t xml:space="preserve"> </w:t>
            </w:r>
            <w:r w:rsidRPr="00E81073">
              <w:rPr>
                <w:rFonts w:ascii="Arial Narrow" w:hAnsi="Arial Narrow"/>
                <w:b/>
                <w:bCs/>
                <w:sz w:val="18"/>
                <w:szCs w:val="18"/>
              </w:rPr>
              <w:t>7.36)</w:t>
            </w:r>
          </w:p>
        </w:tc>
        <w:tc>
          <w:tcPr>
            <w:tcW w:w="776" w:type="pct"/>
            <w:tcBorders>
              <w:bottom w:val="nil"/>
            </w:tcBorders>
            <w:shd w:val="clear" w:color="auto" w:fill="auto"/>
            <w:vAlign w:val="center"/>
          </w:tcPr>
          <w:p w14:paraId="26A48A58" w14:textId="4F6F9B15" w:rsidR="00DE4C41" w:rsidRPr="00E81073" w:rsidRDefault="00DE4C41" w:rsidP="0028081E">
            <w:pPr>
              <w:keepNext/>
              <w:jc w:val="center"/>
              <w:rPr>
                <w:rFonts w:ascii="Arial Narrow" w:hAnsi="Arial Narrow"/>
                <w:b/>
                <w:bCs/>
                <w:sz w:val="18"/>
                <w:szCs w:val="18"/>
                <w:highlight w:val="yellow"/>
              </w:rPr>
            </w:pPr>
            <w:r w:rsidRPr="00E81073">
              <w:rPr>
                <w:rFonts w:ascii="Arial Narrow" w:hAnsi="Arial Narrow"/>
                <w:b/>
                <w:bCs/>
                <w:sz w:val="18"/>
                <w:szCs w:val="18"/>
              </w:rPr>
              <w:t>11.59 (4.12,</w:t>
            </w:r>
            <w:r w:rsidR="00B409E2" w:rsidRPr="00E81073">
              <w:rPr>
                <w:rFonts w:ascii="Arial Narrow" w:hAnsi="Arial Narrow"/>
                <w:b/>
                <w:bCs/>
                <w:sz w:val="18"/>
                <w:szCs w:val="18"/>
              </w:rPr>
              <w:t xml:space="preserve"> </w:t>
            </w:r>
            <w:r w:rsidRPr="00E81073">
              <w:rPr>
                <w:rFonts w:ascii="Arial Narrow" w:hAnsi="Arial Narrow"/>
                <w:b/>
                <w:bCs/>
                <w:sz w:val="18"/>
                <w:szCs w:val="18"/>
              </w:rPr>
              <w:t>32.62)</w:t>
            </w:r>
          </w:p>
        </w:tc>
        <w:tc>
          <w:tcPr>
            <w:tcW w:w="776" w:type="pct"/>
            <w:tcBorders>
              <w:bottom w:val="nil"/>
              <w:right w:val="single" w:sz="4" w:space="0" w:color="auto"/>
            </w:tcBorders>
            <w:shd w:val="clear" w:color="auto" w:fill="auto"/>
            <w:vAlign w:val="center"/>
          </w:tcPr>
          <w:p w14:paraId="115C1F86" w14:textId="3324DD86" w:rsidR="00DE4C41" w:rsidRPr="00E81073" w:rsidRDefault="00DE4C41" w:rsidP="0028081E">
            <w:pPr>
              <w:keepNext/>
              <w:jc w:val="center"/>
              <w:rPr>
                <w:rFonts w:ascii="Arial Narrow" w:hAnsi="Arial Narrow"/>
                <w:b/>
                <w:bCs/>
                <w:sz w:val="18"/>
                <w:szCs w:val="18"/>
                <w:highlight w:val="yellow"/>
              </w:rPr>
            </w:pPr>
            <w:r w:rsidRPr="00E81073">
              <w:rPr>
                <w:rFonts w:ascii="Arial Narrow" w:hAnsi="Arial Narrow"/>
                <w:b/>
                <w:bCs/>
                <w:sz w:val="18"/>
                <w:szCs w:val="18"/>
              </w:rPr>
              <w:t>0.54 (0.36,</w:t>
            </w:r>
            <w:r w:rsidR="00B409E2" w:rsidRPr="00E81073">
              <w:rPr>
                <w:rFonts w:ascii="Arial Narrow" w:hAnsi="Arial Narrow"/>
                <w:b/>
                <w:bCs/>
                <w:sz w:val="18"/>
                <w:szCs w:val="18"/>
              </w:rPr>
              <w:t xml:space="preserve"> </w:t>
            </w:r>
            <w:r w:rsidRPr="00E81073">
              <w:rPr>
                <w:rFonts w:ascii="Arial Narrow" w:hAnsi="Arial Narrow"/>
                <w:b/>
                <w:bCs/>
                <w:sz w:val="18"/>
                <w:szCs w:val="18"/>
              </w:rPr>
              <w:t>0.72)</w:t>
            </w:r>
          </w:p>
        </w:tc>
      </w:tr>
      <w:tr w:rsidR="00DE4C41" w:rsidRPr="00E81073" w14:paraId="2AF9968C" w14:textId="77777777" w:rsidTr="00621EA3">
        <w:tc>
          <w:tcPr>
            <w:tcW w:w="1493" w:type="pct"/>
            <w:tcBorders>
              <w:top w:val="nil"/>
              <w:bottom w:val="nil"/>
            </w:tcBorders>
            <w:shd w:val="clear" w:color="auto" w:fill="auto"/>
            <w:vAlign w:val="center"/>
          </w:tcPr>
          <w:p w14:paraId="18DFEF56" w14:textId="77777777" w:rsidR="00DE4C41" w:rsidRPr="00E81073" w:rsidRDefault="00DE4C41" w:rsidP="0028081E">
            <w:pPr>
              <w:keepNext/>
              <w:jc w:val="left"/>
              <w:rPr>
                <w:rFonts w:ascii="Arial Narrow" w:hAnsi="Arial Narrow"/>
                <w:bCs/>
                <w:sz w:val="18"/>
                <w:szCs w:val="18"/>
              </w:rPr>
            </w:pPr>
            <w:r w:rsidRPr="00E81073">
              <w:rPr>
                <w:rFonts w:ascii="Arial Narrow" w:hAnsi="Arial Narrow"/>
                <w:bCs/>
                <w:sz w:val="18"/>
                <w:szCs w:val="18"/>
              </w:rPr>
              <w:t>BE OPTIMAL, W16, ITT (bNaive)</w:t>
            </w:r>
          </w:p>
        </w:tc>
        <w:tc>
          <w:tcPr>
            <w:tcW w:w="589" w:type="pct"/>
            <w:tcBorders>
              <w:top w:val="nil"/>
              <w:bottom w:val="nil"/>
            </w:tcBorders>
            <w:shd w:val="clear" w:color="auto" w:fill="auto"/>
            <w:vAlign w:val="center"/>
          </w:tcPr>
          <w:p w14:paraId="61ED6D63" w14:textId="77777777" w:rsidR="00DE4C41" w:rsidRPr="00E81073" w:rsidRDefault="00DE4C41" w:rsidP="0028081E">
            <w:pPr>
              <w:keepNext/>
              <w:jc w:val="center"/>
              <w:rPr>
                <w:rFonts w:ascii="Arial Narrow" w:hAnsi="Arial Narrow"/>
                <w:bCs/>
                <w:sz w:val="18"/>
                <w:szCs w:val="18"/>
              </w:rPr>
            </w:pPr>
            <w:r w:rsidRPr="00E81073">
              <w:rPr>
                <w:rFonts w:ascii="Arial Narrow" w:hAnsi="Arial Narrow"/>
                <w:bCs/>
                <w:sz w:val="18"/>
                <w:szCs w:val="18"/>
              </w:rPr>
              <w:t>268/431 (62.2)</w:t>
            </w:r>
          </w:p>
        </w:tc>
        <w:tc>
          <w:tcPr>
            <w:tcW w:w="590" w:type="pct"/>
            <w:tcBorders>
              <w:top w:val="nil"/>
              <w:bottom w:val="nil"/>
            </w:tcBorders>
            <w:shd w:val="clear" w:color="auto" w:fill="auto"/>
            <w:vAlign w:val="center"/>
          </w:tcPr>
          <w:p w14:paraId="6C8A632D" w14:textId="77777777" w:rsidR="00DE4C41" w:rsidRPr="00E81073" w:rsidRDefault="00DE4C41" w:rsidP="0028081E">
            <w:pPr>
              <w:keepNext/>
              <w:jc w:val="center"/>
              <w:rPr>
                <w:rFonts w:ascii="Arial Narrow" w:hAnsi="Arial Narrow"/>
                <w:bCs/>
                <w:sz w:val="18"/>
                <w:szCs w:val="18"/>
              </w:rPr>
            </w:pPr>
            <w:r w:rsidRPr="00E81073">
              <w:rPr>
                <w:rFonts w:ascii="Arial Narrow" w:hAnsi="Arial Narrow"/>
                <w:bCs/>
                <w:sz w:val="18"/>
                <w:szCs w:val="18"/>
              </w:rPr>
              <w:t>67/281 (23.8)</w:t>
            </w:r>
          </w:p>
        </w:tc>
        <w:tc>
          <w:tcPr>
            <w:tcW w:w="776" w:type="pct"/>
            <w:tcBorders>
              <w:top w:val="nil"/>
              <w:bottom w:val="nil"/>
            </w:tcBorders>
            <w:shd w:val="clear" w:color="auto" w:fill="auto"/>
            <w:vAlign w:val="center"/>
          </w:tcPr>
          <w:p w14:paraId="140BAAFD" w14:textId="5085DD20" w:rsidR="00DE4C41" w:rsidRPr="00E81073" w:rsidRDefault="00DE4C41" w:rsidP="0028081E">
            <w:pPr>
              <w:keepNext/>
              <w:jc w:val="center"/>
              <w:rPr>
                <w:rFonts w:ascii="Arial Narrow" w:hAnsi="Arial Narrow"/>
                <w:b/>
                <w:bCs/>
                <w:sz w:val="18"/>
                <w:szCs w:val="18"/>
                <w:highlight w:val="yellow"/>
              </w:rPr>
            </w:pPr>
            <w:r w:rsidRPr="00E81073">
              <w:rPr>
                <w:rFonts w:ascii="Arial Narrow" w:hAnsi="Arial Narrow"/>
                <w:b/>
                <w:bCs/>
                <w:sz w:val="18"/>
                <w:szCs w:val="18"/>
              </w:rPr>
              <w:t>2.61 (2.09,</w:t>
            </w:r>
            <w:r w:rsidR="00B409E2" w:rsidRPr="00E81073">
              <w:rPr>
                <w:rFonts w:ascii="Arial Narrow" w:hAnsi="Arial Narrow"/>
                <w:b/>
                <w:bCs/>
                <w:sz w:val="18"/>
                <w:szCs w:val="18"/>
              </w:rPr>
              <w:t xml:space="preserve"> </w:t>
            </w:r>
            <w:r w:rsidRPr="00E81073">
              <w:rPr>
                <w:rFonts w:ascii="Arial Narrow" w:hAnsi="Arial Narrow"/>
                <w:b/>
                <w:bCs/>
                <w:sz w:val="18"/>
                <w:szCs w:val="18"/>
              </w:rPr>
              <w:t>3.25)</w:t>
            </w:r>
          </w:p>
        </w:tc>
        <w:tc>
          <w:tcPr>
            <w:tcW w:w="776" w:type="pct"/>
            <w:tcBorders>
              <w:top w:val="nil"/>
              <w:bottom w:val="nil"/>
            </w:tcBorders>
            <w:shd w:val="clear" w:color="auto" w:fill="auto"/>
            <w:vAlign w:val="center"/>
          </w:tcPr>
          <w:p w14:paraId="1EAB6648" w14:textId="079D639A" w:rsidR="00DE4C41" w:rsidRPr="00E81073" w:rsidRDefault="00DE4C41" w:rsidP="0028081E">
            <w:pPr>
              <w:keepNext/>
              <w:jc w:val="center"/>
              <w:rPr>
                <w:rFonts w:ascii="Arial Narrow" w:hAnsi="Arial Narrow"/>
                <w:b/>
                <w:bCs/>
                <w:sz w:val="18"/>
                <w:szCs w:val="18"/>
                <w:highlight w:val="yellow"/>
              </w:rPr>
            </w:pPr>
            <w:r w:rsidRPr="00E81073">
              <w:rPr>
                <w:rFonts w:ascii="Arial Narrow" w:hAnsi="Arial Narrow"/>
                <w:b/>
                <w:bCs/>
                <w:sz w:val="18"/>
                <w:szCs w:val="18"/>
              </w:rPr>
              <w:t>5.25 (3.75,</w:t>
            </w:r>
            <w:r w:rsidR="00B409E2" w:rsidRPr="00E81073">
              <w:rPr>
                <w:rFonts w:ascii="Arial Narrow" w:hAnsi="Arial Narrow"/>
                <w:b/>
                <w:bCs/>
                <w:sz w:val="18"/>
                <w:szCs w:val="18"/>
              </w:rPr>
              <w:t xml:space="preserve"> </w:t>
            </w:r>
            <w:r w:rsidRPr="00E81073">
              <w:rPr>
                <w:rFonts w:ascii="Arial Narrow" w:hAnsi="Arial Narrow"/>
                <w:b/>
                <w:bCs/>
                <w:sz w:val="18"/>
                <w:szCs w:val="18"/>
              </w:rPr>
              <w:t>7.35)</w:t>
            </w:r>
          </w:p>
        </w:tc>
        <w:tc>
          <w:tcPr>
            <w:tcW w:w="776" w:type="pct"/>
            <w:tcBorders>
              <w:top w:val="nil"/>
              <w:bottom w:val="nil"/>
              <w:right w:val="single" w:sz="4" w:space="0" w:color="auto"/>
            </w:tcBorders>
            <w:shd w:val="clear" w:color="auto" w:fill="auto"/>
            <w:vAlign w:val="center"/>
          </w:tcPr>
          <w:p w14:paraId="307F9EBD" w14:textId="285321A4" w:rsidR="00DE4C41" w:rsidRPr="00E81073" w:rsidRDefault="00DE4C41" w:rsidP="0028081E">
            <w:pPr>
              <w:keepNext/>
              <w:jc w:val="center"/>
              <w:rPr>
                <w:rFonts w:ascii="Arial Narrow" w:hAnsi="Arial Narrow"/>
                <w:b/>
                <w:bCs/>
                <w:sz w:val="18"/>
                <w:szCs w:val="18"/>
                <w:highlight w:val="yellow"/>
              </w:rPr>
            </w:pPr>
            <w:r w:rsidRPr="00E81073">
              <w:rPr>
                <w:rFonts w:ascii="Arial Narrow" w:hAnsi="Arial Narrow"/>
                <w:b/>
                <w:bCs/>
                <w:sz w:val="18"/>
                <w:szCs w:val="18"/>
              </w:rPr>
              <w:t>0.38 (0.32,</w:t>
            </w:r>
            <w:r w:rsidR="00B409E2" w:rsidRPr="00E81073">
              <w:rPr>
                <w:rFonts w:ascii="Arial Narrow" w:hAnsi="Arial Narrow"/>
                <w:b/>
                <w:bCs/>
                <w:sz w:val="18"/>
                <w:szCs w:val="18"/>
              </w:rPr>
              <w:t xml:space="preserve"> </w:t>
            </w:r>
            <w:r w:rsidRPr="00E81073">
              <w:rPr>
                <w:rFonts w:ascii="Arial Narrow" w:hAnsi="Arial Narrow"/>
                <w:b/>
                <w:bCs/>
                <w:sz w:val="18"/>
                <w:szCs w:val="18"/>
              </w:rPr>
              <w:t>0.45)</w:t>
            </w:r>
          </w:p>
        </w:tc>
      </w:tr>
      <w:tr w:rsidR="00DE4C41" w:rsidRPr="00E81073" w14:paraId="79ED2BC0" w14:textId="77777777" w:rsidTr="00621EA3">
        <w:tc>
          <w:tcPr>
            <w:tcW w:w="1493" w:type="pct"/>
            <w:tcBorders>
              <w:top w:val="nil"/>
              <w:bottom w:val="nil"/>
            </w:tcBorders>
            <w:shd w:val="clear" w:color="auto" w:fill="auto"/>
            <w:vAlign w:val="center"/>
          </w:tcPr>
          <w:p w14:paraId="44114330" w14:textId="77777777" w:rsidR="00DE4C41" w:rsidRPr="00E81073" w:rsidRDefault="00DE4C41" w:rsidP="0028081E">
            <w:pPr>
              <w:keepNext/>
              <w:jc w:val="left"/>
              <w:rPr>
                <w:rFonts w:ascii="Arial Narrow" w:hAnsi="Arial Narrow"/>
                <w:bCs/>
                <w:sz w:val="18"/>
                <w:szCs w:val="18"/>
              </w:rPr>
            </w:pPr>
            <w:r w:rsidRPr="00E81073">
              <w:rPr>
                <w:rFonts w:ascii="Arial Narrow" w:hAnsi="Arial Narrow"/>
                <w:bCs/>
                <w:sz w:val="18"/>
                <w:szCs w:val="18"/>
              </w:rPr>
              <w:t>BE COMPLETE, W16, ITT (TNFe)</w:t>
            </w:r>
          </w:p>
        </w:tc>
        <w:tc>
          <w:tcPr>
            <w:tcW w:w="589" w:type="pct"/>
            <w:tcBorders>
              <w:top w:val="nil"/>
              <w:bottom w:val="nil"/>
            </w:tcBorders>
            <w:shd w:val="clear" w:color="auto" w:fill="auto"/>
            <w:vAlign w:val="center"/>
          </w:tcPr>
          <w:p w14:paraId="654B6978" w14:textId="77777777" w:rsidR="00DE4C41" w:rsidRPr="00E81073" w:rsidRDefault="00DE4C41" w:rsidP="0028081E">
            <w:pPr>
              <w:keepNext/>
              <w:jc w:val="center"/>
              <w:rPr>
                <w:rFonts w:ascii="Arial Narrow" w:hAnsi="Arial Narrow"/>
                <w:bCs/>
                <w:sz w:val="18"/>
                <w:szCs w:val="18"/>
              </w:rPr>
            </w:pPr>
            <w:r w:rsidRPr="00E81073">
              <w:rPr>
                <w:rFonts w:ascii="Arial Narrow" w:hAnsi="Arial Narrow"/>
                <w:bCs/>
                <w:sz w:val="18"/>
                <w:szCs w:val="18"/>
              </w:rPr>
              <w:t>179/267 (67.0)</w:t>
            </w:r>
          </w:p>
        </w:tc>
        <w:tc>
          <w:tcPr>
            <w:tcW w:w="590" w:type="pct"/>
            <w:tcBorders>
              <w:top w:val="nil"/>
              <w:bottom w:val="nil"/>
            </w:tcBorders>
            <w:shd w:val="clear" w:color="auto" w:fill="auto"/>
            <w:vAlign w:val="center"/>
          </w:tcPr>
          <w:p w14:paraId="191A030D" w14:textId="77777777" w:rsidR="00DE4C41" w:rsidRPr="00E81073" w:rsidRDefault="00DE4C41" w:rsidP="0028081E">
            <w:pPr>
              <w:keepNext/>
              <w:jc w:val="center"/>
              <w:rPr>
                <w:rFonts w:ascii="Arial Narrow" w:hAnsi="Arial Narrow"/>
                <w:bCs/>
                <w:sz w:val="18"/>
                <w:szCs w:val="18"/>
              </w:rPr>
            </w:pPr>
            <w:r w:rsidRPr="00E81073">
              <w:rPr>
                <w:rFonts w:ascii="Arial Narrow" w:hAnsi="Arial Narrow"/>
                <w:bCs/>
                <w:sz w:val="18"/>
                <w:szCs w:val="18"/>
              </w:rPr>
              <w:t>21/133 (15.8)</w:t>
            </w:r>
          </w:p>
        </w:tc>
        <w:tc>
          <w:tcPr>
            <w:tcW w:w="776" w:type="pct"/>
            <w:tcBorders>
              <w:top w:val="nil"/>
              <w:bottom w:val="nil"/>
            </w:tcBorders>
            <w:shd w:val="clear" w:color="auto" w:fill="auto"/>
            <w:vAlign w:val="center"/>
          </w:tcPr>
          <w:p w14:paraId="15F3D720" w14:textId="3A80E4B9" w:rsidR="00DE4C41" w:rsidRPr="00E81073" w:rsidRDefault="00DE4C41" w:rsidP="0028081E">
            <w:pPr>
              <w:keepNext/>
              <w:jc w:val="center"/>
              <w:rPr>
                <w:rFonts w:ascii="Arial Narrow" w:hAnsi="Arial Narrow"/>
                <w:b/>
                <w:bCs/>
                <w:sz w:val="18"/>
                <w:szCs w:val="18"/>
                <w:highlight w:val="yellow"/>
              </w:rPr>
            </w:pPr>
            <w:r w:rsidRPr="00E81073">
              <w:rPr>
                <w:rFonts w:ascii="Arial Narrow" w:hAnsi="Arial Narrow"/>
                <w:b/>
                <w:bCs/>
                <w:sz w:val="18"/>
                <w:szCs w:val="18"/>
              </w:rPr>
              <w:t>4.25 (2.84,</w:t>
            </w:r>
            <w:r w:rsidR="00B409E2" w:rsidRPr="00E81073">
              <w:rPr>
                <w:rFonts w:ascii="Arial Narrow" w:hAnsi="Arial Narrow"/>
                <w:b/>
                <w:bCs/>
                <w:sz w:val="18"/>
                <w:szCs w:val="18"/>
              </w:rPr>
              <w:t xml:space="preserve"> </w:t>
            </w:r>
            <w:r w:rsidRPr="00E81073">
              <w:rPr>
                <w:rFonts w:ascii="Arial Narrow" w:hAnsi="Arial Narrow"/>
                <w:b/>
                <w:bCs/>
                <w:sz w:val="18"/>
                <w:szCs w:val="18"/>
              </w:rPr>
              <w:t>6.34)</w:t>
            </w:r>
          </w:p>
        </w:tc>
        <w:tc>
          <w:tcPr>
            <w:tcW w:w="776" w:type="pct"/>
            <w:tcBorders>
              <w:top w:val="nil"/>
              <w:bottom w:val="nil"/>
            </w:tcBorders>
            <w:shd w:val="clear" w:color="auto" w:fill="auto"/>
            <w:vAlign w:val="center"/>
          </w:tcPr>
          <w:p w14:paraId="4690B274" w14:textId="3C02BECC" w:rsidR="00DE4C41" w:rsidRPr="00E81073" w:rsidRDefault="00DE4C41" w:rsidP="0028081E">
            <w:pPr>
              <w:keepNext/>
              <w:jc w:val="center"/>
              <w:rPr>
                <w:rFonts w:ascii="Arial Narrow" w:hAnsi="Arial Narrow"/>
                <w:b/>
                <w:bCs/>
                <w:sz w:val="18"/>
                <w:szCs w:val="18"/>
                <w:highlight w:val="yellow"/>
              </w:rPr>
            </w:pPr>
            <w:r w:rsidRPr="00E81073">
              <w:rPr>
                <w:rFonts w:ascii="Arial Narrow" w:hAnsi="Arial Narrow"/>
                <w:b/>
                <w:bCs/>
                <w:sz w:val="18"/>
                <w:szCs w:val="18"/>
              </w:rPr>
              <w:t>10.85 (6.38,</w:t>
            </w:r>
            <w:r w:rsidR="00B409E2" w:rsidRPr="00E81073">
              <w:rPr>
                <w:rFonts w:ascii="Arial Narrow" w:hAnsi="Arial Narrow"/>
                <w:b/>
                <w:bCs/>
                <w:sz w:val="18"/>
                <w:szCs w:val="18"/>
              </w:rPr>
              <w:t xml:space="preserve"> </w:t>
            </w:r>
            <w:r w:rsidRPr="00E81073">
              <w:rPr>
                <w:rFonts w:ascii="Arial Narrow" w:hAnsi="Arial Narrow"/>
                <w:b/>
                <w:bCs/>
                <w:sz w:val="18"/>
                <w:szCs w:val="18"/>
              </w:rPr>
              <w:t>18.46)</w:t>
            </w:r>
          </w:p>
        </w:tc>
        <w:tc>
          <w:tcPr>
            <w:tcW w:w="776" w:type="pct"/>
            <w:tcBorders>
              <w:top w:val="nil"/>
              <w:bottom w:val="nil"/>
              <w:right w:val="single" w:sz="4" w:space="0" w:color="auto"/>
            </w:tcBorders>
            <w:shd w:val="clear" w:color="auto" w:fill="auto"/>
            <w:vAlign w:val="center"/>
          </w:tcPr>
          <w:p w14:paraId="381ADF16" w14:textId="183E60C1" w:rsidR="00DE4C41" w:rsidRPr="00E81073" w:rsidRDefault="00DE4C41" w:rsidP="0028081E">
            <w:pPr>
              <w:keepNext/>
              <w:jc w:val="center"/>
              <w:rPr>
                <w:rFonts w:ascii="Arial Narrow" w:hAnsi="Arial Narrow"/>
                <w:b/>
                <w:bCs/>
                <w:sz w:val="18"/>
                <w:szCs w:val="18"/>
                <w:highlight w:val="yellow"/>
              </w:rPr>
            </w:pPr>
            <w:r w:rsidRPr="00E81073">
              <w:rPr>
                <w:rFonts w:ascii="Arial Narrow" w:hAnsi="Arial Narrow"/>
                <w:b/>
                <w:bCs/>
                <w:sz w:val="18"/>
                <w:szCs w:val="18"/>
              </w:rPr>
              <w:t>0.51 (0.43,</w:t>
            </w:r>
            <w:r w:rsidR="00B409E2" w:rsidRPr="00E81073">
              <w:rPr>
                <w:rFonts w:ascii="Arial Narrow" w:hAnsi="Arial Narrow"/>
                <w:b/>
                <w:bCs/>
                <w:sz w:val="18"/>
                <w:szCs w:val="18"/>
              </w:rPr>
              <w:t xml:space="preserve"> </w:t>
            </w:r>
            <w:r w:rsidRPr="00E81073">
              <w:rPr>
                <w:rFonts w:ascii="Arial Narrow" w:hAnsi="Arial Narrow"/>
                <w:b/>
                <w:bCs/>
                <w:sz w:val="18"/>
                <w:szCs w:val="18"/>
              </w:rPr>
              <w:t>0.60)</w:t>
            </w:r>
          </w:p>
        </w:tc>
      </w:tr>
      <w:tr w:rsidR="00DE4C41" w:rsidRPr="00E81073" w14:paraId="4947DCC9" w14:textId="77777777" w:rsidTr="00621EA3">
        <w:tc>
          <w:tcPr>
            <w:tcW w:w="1493" w:type="pct"/>
            <w:tcBorders>
              <w:top w:val="nil"/>
              <w:bottom w:val="nil"/>
            </w:tcBorders>
            <w:shd w:val="clear" w:color="auto" w:fill="auto"/>
            <w:vAlign w:val="center"/>
          </w:tcPr>
          <w:p w14:paraId="1AB46002" w14:textId="77777777" w:rsidR="00DE4C41" w:rsidRPr="00E81073" w:rsidRDefault="00DE4C41" w:rsidP="0028081E">
            <w:pPr>
              <w:keepNext/>
              <w:jc w:val="right"/>
              <w:rPr>
                <w:rFonts w:ascii="Arial Narrow" w:hAnsi="Arial Narrow"/>
                <w:bCs/>
                <w:sz w:val="18"/>
                <w:szCs w:val="18"/>
              </w:rPr>
            </w:pPr>
            <w:r w:rsidRPr="00E81073">
              <w:rPr>
                <w:rFonts w:ascii="Arial Narrow" w:hAnsi="Arial Narrow"/>
                <w:iCs/>
                <w:sz w:val="18"/>
                <w:szCs w:val="18"/>
              </w:rPr>
              <w:t>Meta-analysis, W12-16, ITT</w:t>
            </w:r>
          </w:p>
        </w:tc>
        <w:tc>
          <w:tcPr>
            <w:tcW w:w="589" w:type="pct"/>
            <w:tcBorders>
              <w:top w:val="nil"/>
              <w:bottom w:val="nil"/>
            </w:tcBorders>
            <w:shd w:val="clear" w:color="auto" w:fill="auto"/>
            <w:vAlign w:val="center"/>
          </w:tcPr>
          <w:p w14:paraId="14D3FEED" w14:textId="77777777" w:rsidR="00DE4C41" w:rsidRPr="00E81073" w:rsidRDefault="00DE4C41" w:rsidP="0028081E">
            <w:pPr>
              <w:keepNext/>
              <w:jc w:val="center"/>
              <w:rPr>
                <w:rFonts w:ascii="Arial Narrow" w:hAnsi="Arial Narrow"/>
                <w:bCs/>
                <w:sz w:val="18"/>
                <w:szCs w:val="18"/>
              </w:rPr>
            </w:pPr>
            <w:r w:rsidRPr="00E81073">
              <w:rPr>
                <w:rFonts w:ascii="Arial Narrow" w:hAnsi="Arial Narrow"/>
                <w:bCs/>
                <w:sz w:val="18"/>
                <w:szCs w:val="18"/>
              </w:rPr>
              <w:t>477/739 (64.5)</w:t>
            </w:r>
          </w:p>
        </w:tc>
        <w:tc>
          <w:tcPr>
            <w:tcW w:w="590" w:type="pct"/>
            <w:tcBorders>
              <w:top w:val="nil"/>
              <w:bottom w:val="nil"/>
            </w:tcBorders>
            <w:shd w:val="clear" w:color="auto" w:fill="auto"/>
            <w:vAlign w:val="center"/>
          </w:tcPr>
          <w:p w14:paraId="23E7878A" w14:textId="77777777" w:rsidR="00DE4C41" w:rsidRPr="00E81073" w:rsidRDefault="00DE4C41" w:rsidP="0028081E">
            <w:pPr>
              <w:keepNext/>
              <w:jc w:val="center"/>
              <w:rPr>
                <w:rFonts w:ascii="Arial Narrow" w:hAnsi="Arial Narrow"/>
                <w:bCs/>
                <w:sz w:val="18"/>
                <w:szCs w:val="18"/>
              </w:rPr>
            </w:pPr>
            <w:r w:rsidRPr="00E81073">
              <w:rPr>
                <w:rFonts w:ascii="Arial Narrow" w:hAnsi="Arial Narrow"/>
                <w:bCs/>
                <w:sz w:val="18"/>
                <w:szCs w:val="18"/>
              </w:rPr>
              <w:t>96/456 (21.1)</w:t>
            </w:r>
          </w:p>
        </w:tc>
        <w:tc>
          <w:tcPr>
            <w:tcW w:w="776" w:type="pct"/>
            <w:tcBorders>
              <w:top w:val="nil"/>
              <w:bottom w:val="nil"/>
            </w:tcBorders>
            <w:shd w:val="clear" w:color="auto" w:fill="auto"/>
            <w:vAlign w:val="center"/>
          </w:tcPr>
          <w:p w14:paraId="044790E1" w14:textId="7DD36DB6" w:rsidR="00DE4C41" w:rsidRPr="00E81073" w:rsidRDefault="00DE4C41" w:rsidP="0028081E">
            <w:pPr>
              <w:keepNext/>
              <w:jc w:val="center"/>
              <w:rPr>
                <w:rFonts w:ascii="Arial Narrow" w:hAnsi="Arial Narrow"/>
                <w:b/>
                <w:bCs/>
                <w:sz w:val="18"/>
                <w:szCs w:val="18"/>
                <w:highlight w:val="yellow"/>
              </w:rPr>
            </w:pPr>
            <w:r w:rsidRPr="00E81073">
              <w:rPr>
                <w:rFonts w:ascii="Arial Narrow" w:hAnsi="Arial Narrow"/>
                <w:b/>
                <w:bCs/>
                <w:sz w:val="18"/>
                <w:szCs w:val="18"/>
              </w:rPr>
              <w:t>3.32 (2.31,</w:t>
            </w:r>
            <w:r w:rsidR="00B409E2" w:rsidRPr="00E81073">
              <w:rPr>
                <w:rFonts w:ascii="Arial Narrow" w:hAnsi="Arial Narrow"/>
                <w:b/>
                <w:bCs/>
                <w:sz w:val="18"/>
                <w:szCs w:val="18"/>
              </w:rPr>
              <w:t xml:space="preserve"> </w:t>
            </w:r>
            <w:r w:rsidRPr="00E81073">
              <w:rPr>
                <w:rFonts w:ascii="Arial Narrow" w:hAnsi="Arial Narrow"/>
                <w:b/>
                <w:bCs/>
                <w:sz w:val="18"/>
                <w:szCs w:val="18"/>
              </w:rPr>
              <w:t>4.77)</w:t>
            </w:r>
          </w:p>
        </w:tc>
        <w:tc>
          <w:tcPr>
            <w:tcW w:w="776" w:type="pct"/>
            <w:tcBorders>
              <w:top w:val="nil"/>
              <w:bottom w:val="nil"/>
            </w:tcBorders>
            <w:shd w:val="clear" w:color="auto" w:fill="auto"/>
            <w:vAlign w:val="center"/>
          </w:tcPr>
          <w:p w14:paraId="488DAFC0" w14:textId="4101CB43" w:rsidR="00DE4C41" w:rsidRPr="00E81073" w:rsidRDefault="00DE4C41" w:rsidP="0028081E">
            <w:pPr>
              <w:keepNext/>
              <w:jc w:val="center"/>
              <w:rPr>
                <w:rFonts w:ascii="Arial Narrow" w:hAnsi="Arial Narrow"/>
                <w:b/>
                <w:bCs/>
                <w:sz w:val="18"/>
                <w:szCs w:val="18"/>
                <w:highlight w:val="yellow"/>
              </w:rPr>
            </w:pPr>
            <w:r w:rsidRPr="00E81073">
              <w:rPr>
                <w:rFonts w:ascii="Arial Narrow" w:hAnsi="Arial Narrow"/>
                <w:b/>
                <w:bCs/>
                <w:sz w:val="18"/>
                <w:szCs w:val="18"/>
              </w:rPr>
              <w:t>7.98 (4.45,</w:t>
            </w:r>
            <w:r w:rsidR="00592245" w:rsidRPr="00E81073">
              <w:rPr>
                <w:rFonts w:ascii="Arial Narrow" w:hAnsi="Arial Narrow"/>
                <w:b/>
                <w:bCs/>
                <w:sz w:val="18"/>
                <w:szCs w:val="18"/>
              </w:rPr>
              <w:t xml:space="preserve"> </w:t>
            </w:r>
            <w:r w:rsidRPr="00E81073">
              <w:rPr>
                <w:rFonts w:ascii="Arial Narrow" w:hAnsi="Arial Narrow"/>
                <w:b/>
                <w:bCs/>
                <w:sz w:val="18"/>
                <w:szCs w:val="18"/>
              </w:rPr>
              <w:t>14.32)</w:t>
            </w:r>
          </w:p>
        </w:tc>
        <w:tc>
          <w:tcPr>
            <w:tcW w:w="776" w:type="pct"/>
            <w:tcBorders>
              <w:top w:val="nil"/>
              <w:bottom w:val="nil"/>
              <w:right w:val="single" w:sz="4" w:space="0" w:color="auto"/>
            </w:tcBorders>
            <w:shd w:val="clear" w:color="auto" w:fill="auto"/>
            <w:vAlign w:val="center"/>
          </w:tcPr>
          <w:p w14:paraId="7E9C3270" w14:textId="2C128D3A" w:rsidR="00DE4C41" w:rsidRPr="00E81073" w:rsidRDefault="00DE4C41" w:rsidP="0028081E">
            <w:pPr>
              <w:keepNext/>
              <w:jc w:val="center"/>
              <w:rPr>
                <w:rFonts w:ascii="Arial Narrow" w:hAnsi="Arial Narrow"/>
                <w:b/>
                <w:bCs/>
                <w:sz w:val="18"/>
                <w:szCs w:val="18"/>
                <w:highlight w:val="yellow"/>
              </w:rPr>
            </w:pPr>
            <w:r w:rsidRPr="00E81073">
              <w:rPr>
                <w:rFonts w:ascii="Arial Narrow" w:hAnsi="Arial Narrow"/>
                <w:b/>
                <w:bCs/>
                <w:sz w:val="18"/>
                <w:szCs w:val="18"/>
              </w:rPr>
              <w:t>0.46 (0.36,</w:t>
            </w:r>
            <w:r w:rsidR="00B409E2" w:rsidRPr="00E81073">
              <w:rPr>
                <w:rFonts w:ascii="Arial Narrow" w:hAnsi="Arial Narrow"/>
                <w:b/>
                <w:bCs/>
                <w:sz w:val="18"/>
                <w:szCs w:val="18"/>
              </w:rPr>
              <w:t xml:space="preserve"> </w:t>
            </w:r>
            <w:r w:rsidRPr="00E81073">
              <w:rPr>
                <w:rFonts w:ascii="Arial Narrow" w:hAnsi="Arial Narrow"/>
                <w:b/>
                <w:bCs/>
                <w:sz w:val="18"/>
                <w:szCs w:val="18"/>
              </w:rPr>
              <w:t>0.57)</w:t>
            </w:r>
          </w:p>
        </w:tc>
      </w:tr>
      <w:tr w:rsidR="00DE4C41" w:rsidRPr="00E81073" w14:paraId="07BE11AB" w14:textId="77777777" w:rsidTr="00621EA3">
        <w:tc>
          <w:tcPr>
            <w:tcW w:w="1493" w:type="pct"/>
            <w:tcBorders>
              <w:top w:val="nil"/>
            </w:tcBorders>
            <w:shd w:val="clear" w:color="auto" w:fill="auto"/>
            <w:vAlign w:val="center"/>
          </w:tcPr>
          <w:p w14:paraId="64EDECA6" w14:textId="77777777" w:rsidR="00DE4C41" w:rsidRPr="00E81073" w:rsidRDefault="00DE4C41" w:rsidP="0028081E">
            <w:pPr>
              <w:keepNext/>
              <w:jc w:val="right"/>
              <w:rPr>
                <w:rFonts w:ascii="Arial Narrow" w:hAnsi="Arial Narrow"/>
                <w:bCs/>
                <w:i/>
                <w:sz w:val="18"/>
                <w:szCs w:val="18"/>
              </w:rPr>
            </w:pPr>
            <w:r w:rsidRPr="00E81073">
              <w:rPr>
                <w:rFonts w:ascii="Arial Narrow" w:hAnsi="Arial Narrow"/>
                <w:i/>
                <w:iCs/>
                <w:sz w:val="18"/>
                <w:szCs w:val="18"/>
              </w:rPr>
              <w:t>Meta-analysis, W16, ITT</w:t>
            </w:r>
          </w:p>
        </w:tc>
        <w:tc>
          <w:tcPr>
            <w:tcW w:w="589" w:type="pct"/>
            <w:tcBorders>
              <w:top w:val="nil"/>
            </w:tcBorders>
            <w:shd w:val="clear" w:color="auto" w:fill="auto"/>
            <w:vAlign w:val="center"/>
          </w:tcPr>
          <w:p w14:paraId="169C9026" w14:textId="77777777" w:rsidR="00DE4C41" w:rsidRPr="00E81073" w:rsidRDefault="00DE4C41" w:rsidP="0028081E">
            <w:pPr>
              <w:keepNext/>
              <w:jc w:val="center"/>
              <w:rPr>
                <w:rFonts w:ascii="Arial Narrow" w:hAnsi="Arial Narrow"/>
                <w:bCs/>
                <w:i/>
                <w:sz w:val="18"/>
                <w:szCs w:val="18"/>
              </w:rPr>
            </w:pPr>
            <w:r w:rsidRPr="00E81073">
              <w:rPr>
                <w:rFonts w:ascii="Arial Narrow" w:hAnsi="Arial Narrow"/>
                <w:bCs/>
                <w:i/>
                <w:sz w:val="18"/>
                <w:szCs w:val="18"/>
              </w:rPr>
              <w:t>447/698 (64.0)</w:t>
            </w:r>
          </w:p>
        </w:tc>
        <w:tc>
          <w:tcPr>
            <w:tcW w:w="590" w:type="pct"/>
            <w:tcBorders>
              <w:top w:val="nil"/>
            </w:tcBorders>
            <w:shd w:val="clear" w:color="auto" w:fill="auto"/>
            <w:vAlign w:val="center"/>
          </w:tcPr>
          <w:p w14:paraId="0F52AE3E" w14:textId="77777777" w:rsidR="00DE4C41" w:rsidRPr="00E81073" w:rsidRDefault="00DE4C41" w:rsidP="0028081E">
            <w:pPr>
              <w:keepNext/>
              <w:jc w:val="center"/>
              <w:rPr>
                <w:rFonts w:ascii="Arial Narrow" w:hAnsi="Arial Narrow"/>
                <w:bCs/>
                <w:i/>
                <w:sz w:val="18"/>
                <w:szCs w:val="18"/>
              </w:rPr>
            </w:pPr>
            <w:r w:rsidRPr="00E81073">
              <w:rPr>
                <w:rFonts w:ascii="Arial Narrow" w:hAnsi="Arial Narrow"/>
                <w:bCs/>
                <w:i/>
                <w:sz w:val="18"/>
                <w:szCs w:val="18"/>
              </w:rPr>
              <w:t>88/414 (21.3)</w:t>
            </w:r>
          </w:p>
        </w:tc>
        <w:tc>
          <w:tcPr>
            <w:tcW w:w="776" w:type="pct"/>
            <w:tcBorders>
              <w:top w:val="nil"/>
              <w:bottom w:val="single" w:sz="4" w:space="0" w:color="auto"/>
            </w:tcBorders>
            <w:shd w:val="clear" w:color="auto" w:fill="auto"/>
            <w:vAlign w:val="center"/>
          </w:tcPr>
          <w:p w14:paraId="71F328FB" w14:textId="04792DCD" w:rsidR="00DE4C41" w:rsidRPr="00E81073" w:rsidRDefault="00DE4C41" w:rsidP="0028081E">
            <w:pPr>
              <w:keepNext/>
              <w:jc w:val="center"/>
              <w:rPr>
                <w:rFonts w:ascii="Arial Narrow" w:hAnsi="Arial Narrow"/>
                <w:b/>
                <w:bCs/>
                <w:i/>
                <w:sz w:val="18"/>
                <w:szCs w:val="18"/>
                <w:highlight w:val="yellow"/>
              </w:rPr>
            </w:pPr>
            <w:r w:rsidRPr="00E81073">
              <w:rPr>
                <w:rFonts w:ascii="Arial Narrow" w:hAnsi="Arial Narrow"/>
                <w:b/>
                <w:bCs/>
                <w:i/>
                <w:sz w:val="18"/>
                <w:szCs w:val="18"/>
              </w:rPr>
              <w:t>3.23 (2.00,</w:t>
            </w:r>
            <w:r w:rsidR="00B409E2" w:rsidRPr="00E81073">
              <w:rPr>
                <w:rFonts w:ascii="Arial Narrow" w:hAnsi="Arial Narrow"/>
                <w:b/>
                <w:bCs/>
                <w:i/>
                <w:sz w:val="18"/>
                <w:szCs w:val="18"/>
              </w:rPr>
              <w:t xml:space="preserve"> </w:t>
            </w:r>
            <w:r w:rsidRPr="00E81073">
              <w:rPr>
                <w:rFonts w:ascii="Arial Narrow" w:hAnsi="Arial Narrow"/>
                <w:b/>
                <w:bCs/>
                <w:i/>
                <w:sz w:val="18"/>
                <w:szCs w:val="18"/>
              </w:rPr>
              <w:t>5.23)</w:t>
            </w:r>
          </w:p>
        </w:tc>
        <w:tc>
          <w:tcPr>
            <w:tcW w:w="776" w:type="pct"/>
            <w:tcBorders>
              <w:top w:val="nil"/>
              <w:bottom w:val="single" w:sz="4" w:space="0" w:color="auto"/>
            </w:tcBorders>
            <w:shd w:val="clear" w:color="auto" w:fill="auto"/>
            <w:vAlign w:val="center"/>
          </w:tcPr>
          <w:p w14:paraId="187828AF" w14:textId="1F7FCA1B" w:rsidR="00DE4C41" w:rsidRPr="00E81073" w:rsidRDefault="00DE4C41" w:rsidP="0028081E">
            <w:pPr>
              <w:keepNext/>
              <w:jc w:val="center"/>
              <w:rPr>
                <w:rFonts w:ascii="Arial Narrow" w:hAnsi="Arial Narrow"/>
                <w:b/>
                <w:bCs/>
                <w:i/>
                <w:sz w:val="18"/>
                <w:szCs w:val="18"/>
                <w:highlight w:val="yellow"/>
              </w:rPr>
            </w:pPr>
            <w:r w:rsidRPr="00E81073">
              <w:rPr>
                <w:rFonts w:ascii="Arial Narrow" w:hAnsi="Arial Narrow"/>
                <w:b/>
                <w:bCs/>
                <w:i/>
                <w:sz w:val="18"/>
                <w:szCs w:val="18"/>
              </w:rPr>
              <w:t>7.32 (3.60,</w:t>
            </w:r>
            <w:r w:rsidR="00B409E2" w:rsidRPr="00E81073">
              <w:rPr>
                <w:rFonts w:ascii="Arial Narrow" w:hAnsi="Arial Narrow"/>
                <w:b/>
                <w:bCs/>
                <w:i/>
                <w:sz w:val="18"/>
                <w:szCs w:val="18"/>
              </w:rPr>
              <w:t xml:space="preserve"> </w:t>
            </w:r>
            <w:r w:rsidRPr="00E81073">
              <w:rPr>
                <w:rFonts w:ascii="Arial Narrow" w:hAnsi="Arial Narrow"/>
                <w:b/>
                <w:bCs/>
                <w:i/>
                <w:sz w:val="18"/>
                <w:szCs w:val="18"/>
              </w:rPr>
              <w:t>14.88)</w:t>
            </w:r>
          </w:p>
        </w:tc>
        <w:tc>
          <w:tcPr>
            <w:tcW w:w="776" w:type="pct"/>
            <w:tcBorders>
              <w:top w:val="nil"/>
              <w:bottom w:val="single" w:sz="4" w:space="0" w:color="auto"/>
              <w:right w:val="single" w:sz="4" w:space="0" w:color="auto"/>
            </w:tcBorders>
            <w:shd w:val="clear" w:color="auto" w:fill="auto"/>
            <w:vAlign w:val="center"/>
          </w:tcPr>
          <w:p w14:paraId="54BD9305" w14:textId="37DEC998" w:rsidR="00DE4C41" w:rsidRPr="00E81073" w:rsidRDefault="00DE4C41" w:rsidP="0028081E">
            <w:pPr>
              <w:keepNext/>
              <w:jc w:val="center"/>
              <w:rPr>
                <w:rFonts w:ascii="Arial Narrow" w:hAnsi="Arial Narrow"/>
                <w:b/>
                <w:bCs/>
                <w:i/>
                <w:sz w:val="18"/>
                <w:szCs w:val="18"/>
                <w:highlight w:val="yellow"/>
              </w:rPr>
            </w:pPr>
            <w:r w:rsidRPr="00E81073">
              <w:rPr>
                <w:rFonts w:ascii="Arial Narrow" w:hAnsi="Arial Narrow"/>
                <w:b/>
                <w:bCs/>
                <w:i/>
                <w:sz w:val="18"/>
                <w:szCs w:val="18"/>
              </w:rPr>
              <w:t>0.45 (0.32,</w:t>
            </w:r>
            <w:r w:rsidR="00B409E2" w:rsidRPr="00E81073">
              <w:rPr>
                <w:rFonts w:ascii="Arial Narrow" w:hAnsi="Arial Narrow"/>
                <w:b/>
                <w:bCs/>
                <w:i/>
                <w:sz w:val="18"/>
                <w:szCs w:val="18"/>
              </w:rPr>
              <w:t xml:space="preserve"> </w:t>
            </w:r>
            <w:r w:rsidRPr="00E81073">
              <w:rPr>
                <w:rFonts w:ascii="Arial Narrow" w:hAnsi="Arial Narrow"/>
                <w:b/>
                <w:bCs/>
                <w:i/>
                <w:sz w:val="18"/>
                <w:szCs w:val="18"/>
              </w:rPr>
              <w:t>0.57)</w:t>
            </w:r>
          </w:p>
        </w:tc>
      </w:tr>
      <w:tr w:rsidR="00DE4C41" w:rsidRPr="00E81073" w14:paraId="5D9B444C" w14:textId="77777777" w:rsidTr="00621EA3">
        <w:tc>
          <w:tcPr>
            <w:tcW w:w="2673" w:type="pct"/>
            <w:gridSpan w:val="3"/>
            <w:shd w:val="clear" w:color="auto" w:fill="auto"/>
            <w:vAlign w:val="center"/>
          </w:tcPr>
          <w:p w14:paraId="21B88159" w14:textId="77777777" w:rsidR="00DE4C41" w:rsidRPr="00E81073" w:rsidRDefault="00DE4C41" w:rsidP="0028081E">
            <w:pPr>
              <w:keepNext/>
              <w:jc w:val="left"/>
              <w:rPr>
                <w:rFonts w:ascii="Arial Narrow" w:hAnsi="Arial Narrow"/>
                <w:i/>
                <w:sz w:val="18"/>
                <w:szCs w:val="18"/>
                <w:highlight w:val="yellow"/>
              </w:rPr>
            </w:pPr>
            <w:r w:rsidRPr="00E81073">
              <w:rPr>
                <w:rFonts w:ascii="Arial Narrow" w:hAnsi="Arial Narrow"/>
                <w:b/>
                <w:bCs/>
                <w:i/>
                <w:sz w:val="18"/>
                <w:szCs w:val="18"/>
              </w:rPr>
              <w:t>IXE vs ADA</w:t>
            </w:r>
          </w:p>
        </w:tc>
        <w:tc>
          <w:tcPr>
            <w:tcW w:w="776" w:type="pct"/>
            <w:tcBorders>
              <w:bottom w:val="nil"/>
            </w:tcBorders>
            <w:shd w:val="clear" w:color="auto" w:fill="auto"/>
            <w:vAlign w:val="center"/>
          </w:tcPr>
          <w:p w14:paraId="3E46FDF6" w14:textId="77777777" w:rsidR="00DE4C41" w:rsidRPr="00E81073" w:rsidRDefault="00DE4C41" w:rsidP="0028081E">
            <w:pPr>
              <w:keepNext/>
              <w:jc w:val="center"/>
              <w:rPr>
                <w:rFonts w:ascii="Arial Narrow" w:hAnsi="Arial Narrow"/>
                <w:i/>
                <w:sz w:val="18"/>
                <w:szCs w:val="18"/>
                <w:highlight w:val="yellow"/>
              </w:rPr>
            </w:pPr>
          </w:p>
        </w:tc>
        <w:tc>
          <w:tcPr>
            <w:tcW w:w="776" w:type="pct"/>
            <w:tcBorders>
              <w:bottom w:val="nil"/>
            </w:tcBorders>
            <w:shd w:val="clear" w:color="auto" w:fill="auto"/>
            <w:vAlign w:val="center"/>
          </w:tcPr>
          <w:p w14:paraId="44899CE9" w14:textId="77777777" w:rsidR="00DE4C41" w:rsidRPr="00E81073" w:rsidRDefault="00DE4C41" w:rsidP="0028081E">
            <w:pPr>
              <w:keepNext/>
              <w:jc w:val="center"/>
              <w:rPr>
                <w:rFonts w:ascii="Arial Narrow" w:hAnsi="Arial Narrow"/>
                <w:i/>
                <w:sz w:val="18"/>
                <w:szCs w:val="18"/>
                <w:highlight w:val="yellow"/>
              </w:rPr>
            </w:pPr>
          </w:p>
        </w:tc>
        <w:tc>
          <w:tcPr>
            <w:tcW w:w="776" w:type="pct"/>
            <w:tcBorders>
              <w:bottom w:val="nil"/>
              <w:right w:val="single" w:sz="4" w:space="0" w:color="auto"/>
            </w:tcBorders>
            <w:shd w:val="clear" w:color="auto" w:fill="auto"/>
            <w:vAlign w:val="center"/>
          </w:tcPr>
          <w:p w14:paraId="6E55689D" w14:textId="77777777" w:rsidR="00DE4C41" w:rsidRPr="00E81073" w:rsidRDefault="00DE4C41" w:rsidP="0028081E">
            <w:pPr>
              <w:keepNext/>
              <w:jc w:val="center"/>
              <w:rPr>
                <w:rFonts w:ascii="Arial Narrow" w:hAnsi="Arial Narrow"/>
                <w:i/>
                <w:sz w:val="18"/>
                <w:szCs w:val="18"/>
                <w:highlight w:val="yellow"/>
              </w:rPr>
            </w:pPr>
          </w:p>
        </w:tc>
      </w:tr>
      <w:tr w:rsidR="00DE4C41" w:rsidRPr="00E81073" w14:paraId="04C5B8CC" w14:textId="77777777" w:rsidTr="00621EA3">
        <w:tc>
          <w:tcPr>
            <w:tcW w:w="1493" w:type="pct"/>
            <w:shd w:val="clear" w:color="auto" w:fill="auto"/>
          </w:tcPr>
          <w:p w14:paraId="2897FBCA" w14:textId="77777777" w:rsidR="00DE4C41" w:rsidRPr="00E81073" w:rsidRDefault="00DE4C41" w:rsidP="0028081E">
            <w:pPr>
              <w:keepNext/>
              <w:jc w:val="left"/>
              <w:rPr>
                <w:rFonts w:ascii="Arial Narrow" w:hAnsi="Arial Narrow"/>
                <w:i/>
                <w:sz w:val="18"/>
                <w:szCs w:val="18"/>
              </w:rPr>
            </w:pPr>
            <w:r w:rsidRPr="00E81073">
              <w:rPr>
                <w:rFonts w:ascii="Arial Narrow" w:hAnsi="Arial Narrow"/>
                <w:i/>
                <w:sz w:val="18"/>
                <w:szCs w:val="18"/>
              </w:rPr>
              <w:t>SPIRIT 1, W12 ITT (bNaive)</w:t>
            </w:r>
          </w:p>
        </w:tc>
        <w:tc>
          <w:tcPr>
            <w:tcW w:w="589" w:type="pct"/>
            <w:shd w:val="clear" w:color="auto" w:fill="auto"/>
            <w:vAlign w:val="center"/>
          </w:tcPr>
          <w:p w14:paraId="69A3489A" w14:textId="77777777" w:rsidR="00DE4C41" w:rsidRPr="00E81073" w:rsidRDefault="00DE4C41" w:rsidP="0028081E">
            <w:pPr>
              <w:keepNext/>
              <w:jc w:val="center"/>
              <w:rPr>
                <w:rFonts w:ascii="Arial Narrow" w:hAnsi="Arial Narrow"/>
                <w:i/>
                <w:sz w:val="18"/>
                <w:szCs w:val="18"/>
              </w:rPr>
            </w:pPr>
            <w:r w:rsidRPr="00E81073">
              <w:rPr>
                <w:rFonts w:ascii="Arial Narrow" w:hAnsi="Arial Narrow"/>
                <w:i/>
                <w:sz w:val="18"/>
                <w:szCs w:val="18"/>
              </w:rPr>
              <w:t>61/107 (57.0)</w:t>
            </w:r>
          </w:p>
        </w:tc>
        <w:tc>
          <w:tcPr>
            <w:tcW w:w="590" w:type="pct"/>
            <w:shd w:val="clear" w:color="auto" w:fill="auto"/>
            <w:vAlign w:val="center"/>
          </w:tcPr>
          <w:p w14:paraId="38251C14" w14:textId="77777777" w:rsidR="00DE4C41" w:rsidRPr="00E81073" w:rsidRDefault="00DE4C41" w:rsidP="0028081E">
            <w:pPr>
              <w:keepNext/>
              <w:jc w:val="center"/>
              <w:rPr>
                <w:rFonts w:ascii="Arial Narrow" w:hAnsi="Arial Narrow"/>
                <w:i/>
                <w:sz w:val="18"/>
                <w:szCs w:val="18"/>
              </w:rPr>
            </w:pPr>
            <w:r w:rsidRPr="00E81073">
              <w:rPr>
                <w:rFonts w:ascii="Arial Narrow" w:hAnsi="Arial Narrow"/>
                <w:i/>
                <w:sz w:val="18"/>
                <w:szCs w:val="18"/>
              </w:rPr>
              <w:t>52/101 (51.5)</w:t>
            </w:r>
          </w:p>
        </w:tc>
        <w:tc>
          <w:tcPr>
            <w:tcW w:w="776" w:type="pct"/>
            <w:tcBorders>
              <w:top w:val="nil"/>
              <w:bottom w:val="single" w:sz="4" w:space="0" w:color="auto"/>
            </w:tcBorders>
            <w:shd w:val="clear" w:color="auto" w:fill="auto"/>
            <w:vAlign w:val="center"/>
          </w:tcPr>
          <w:p w14:paraId="02B306D5" w14:textId="107F3BE4" w:rsidR="00DE4C41" w:rsidRPr="00E81073" w:rsidRDefault="00DE4C41" w:rsidP="0028081E">
            <w:pPr>
              <w:keepNext/>
              <w:jc w:val="center"/>
              <w:rPr>
                <w:rFonts w:ascii="Arial Narrow" w:hAnsi="Arial Narrow"/>
                <w:i/>
                <w:sz w:val="18"/>
                <w:szCs w:val="18"/>
                <w:highlight w:val="yellow"/>
              </w:rPr>
            </w:pPr>
            <w:r w:rsidRPr="00E81073">
              <w:rPr>
                <w:rFonts w:ascii="Arial Narrow" w:hAnsi="Arial Narrow"/>
                <w:i/>
                <w:sz w:val="18"/>
                <w:szCs w:val="18"/>
              </w:rPr>
              <w:t>1.11 (0.86,</w:t>
            </w:r>
            <w:r w:rsidR="00B409E2" w:rsidRPr="00E81073">
              <w:rPr>
                <w:rFonts w:ascii="Arial Narrow" w:hAnsi="Arial Narrow"/>
                <w:i/>
                <w:sz w:val="18"/>
                <w:szCs w:val="18"/>
              </w:rPr>
              <w:t xml:space="preserve"> </w:t>
            </w:r>
            <w:r w:rsidRPr="00E81073">
              <w:rPr>
                <w:rFonts w:ascii="Arial Narrow" w:hAnsi="Arial Narrow"/>
                <w:i/>
                <w:sz w:val="18"/>
                <w:szCs w:val="18"/>
              </w:rPr>
              <w:t>1.42)</w:t>
            </w:r>
          </w:p>
        </w:tc>
        <w:tc>
          <w:tcPr>
            <w:tcW w:w="776" w:type="pct"/>
            <w:tcBorders>
              <w:top w:val="nil"/>
              <w:bottom w:val="single" w:sz="4" w:space="0" w:color="auto"/>
            </w:tcBorders>
            <w:shd w:val="clear" w:color="auto" w:fill="auto"/>
            <w:vAlign w:val="center"/>
          </w:tcPr>
          <w:p w14:paraId="2919CB82" w14:textId="78E8A7EE" w:rsidR="00DE4C41" w:rsidRPr="00E81073" w:rsidRDefault="00DE4C41" w:rsidP="0028081E">
            <w:pPr>
              <w:keepNext/>
              <w:jc w:val="center"/>
              <w:rPr>
                <w:rFonts w:ascii="Arial Narrow" w:hAnsi="Arial Narrow"/>
                <w:i/>
                <w:sz w:val="18"/>
                <w:szCs w:val="18"/>
                <w:highlight w:val="yellow"/>
              </w:rPr>
            </w:pPr>
            <w:r w:rsidRPr="00E81073">
              <w:rPr>
                <w:rFonts w:ascii="Arial Narrow" w:hAnsi="Arial Narrow"/>
                <w:i/>
                <w:sz w:val="18"/>
                <w:szCs w:val="18"/>
              </w:rPr>
              <w:t>1.25 (0.72,</w:t>
            </w:r>
            <w:r w:rsidR="00B409E2" w:rsidRPr="00E81073">
              <w:rPr>
                <w:rFonts w:ascii="Arial Narrow" w:hAnsi="Arial Narrow"/>
                <w:i/>
                <w:sz w:val="18"/>
                <w:szCs w:val="18"/>
              </w:rPr>
              <w:t xml:space="preserve"> </w:t>
            </w:r>
            <w:r w:rsidRPr="00E81073">
              <w:rPr>
                <w:rFonts w:ascii="Arial Narrow" w:hAnsi="Arial Narrow"/>
                <w:i/>
                <w:sz w:val="18"/>
                <w:szCs w:val="18"/>
              </w:rPr>
              <w:t>2.16)</w:t>
            </w:r>
          </w:p>
        </w:tc>
        <w:tc>
          <w:tcPr>
            <w:tcW w:w="776" w:type="pct"/>
            <w:tcBorders>
              <w:top w:val="nil"/>
              <w:bottom w:val="single" w:sz="4" w:space="0" w:color="auto"/>
              <w:right w:val="single" w:sz="4" w:space="0" w:color="auto"/>
            </w:tcBorders>
            <w:shd w:val="clear" w:color="auto" w:fill="auto"/>
            <w:vAlign w:val="center"/>
          </w:tcPr>
          <w:p w14:paraId="5DA1018F" w14:textId="7C2958FD" w:rsidR="00DE4C41" w:rsidRPr="00E81073" w:rsidRDefault="00DE4C41" w:rsidP="0028081E">
            <w:pPr>
              <w:keepNext/>
              <w:jc w:val="center"/>
              <w:rPr>
                <w:rFonts w:ascii="Arial Narrow" w:hAnsi="Arial Narrow"/>
                <w:i/>
                <w:sz w:val="18"/>
                <w:szCs w:val="18"/>
                <w:highlight w:val="yellow"/>
              </w:rPr>
            </w:pPr>
            <w:r w:rsidRPr="00E81073">
              <w:rPr>
                <w:rFonts w:ascii="Arial Narrow" w:hAnsi="Arial Narrow"/>
                <w:i/>
                <w:sz w:val="18"/>
                <w:szCs w:val="18"/>
              </w:rPr>
              <w:t>0.06 (-0.08,</w:t>
            </w:r>
            <w:r w:rsidR="00B409E2" w:rsidRPr="00E81073">
              <w:rPr>
                <w:rFonts w:ascii="Arial Narrow" w:hAnsi="Arial Narrow"/>
                <w:i/>
                <w:sz w:val="18"/>
                <w:szCs w:val="18"/>
              </w:rPr>
              <w:t xml:space="preserve"> </w:t>
            </w:r>
            <w:r w:rsidRPr="00E81073">
              <w:rPr>
                <w:rFonts w:ascii="Arial Narrow" w:hAnsi="Arial Narrow"/>
                <w:i/>
                <w:sz w:val="18"/>
                <w:szCs w:val="18"/>
              </w:rPr>
              <w:t>0.19)</w:t>
            </w:r>
          </w:p>
        </w:tc>
      </w:tr>
      <w:tr w:rsidR="00DE4C41" w:rsidRPr="00E81073" w14:paraId="3B4DA408" w14:textId="77777777" w:rsidTr="00621EA3">
        <w:tc>
          <w:tcPr>
            <w:tcW w:w="2673" w:type="pct"/>
            <w:gridSpan w:val="3"/>
            <w:tcBorders>
              <w:bottom w:val="single" w:sz="4" w:space="0" w:color="auto"/>
            </w:tcBorders>
            <w:shd w:val="clear" w:color="auto" w:fill="auto"/>
            <w:vAlign w:val="center"/>
          </w:tcPr>
          <w:p w14:paraId="304F2887" w14:textId="77777777" w:rsidR="00DE4C41" w:rsidRPr="00E81073" w:rsidRDefault="00DE4C41" w:rsidP="0028081E">
            <w:pPr>
              <w:keepNext/>
              <w:jc w:val="left"/>
              <w:rPr>
                <w:rFonts w:ascii="Arial Narrow" w:hAnsi="Arial Narrow"/>
                <w:b/>
                <w:bCs/>
                <w:sz w:val="18"/>
                <w:szCs w:val="18"/>
              </w:rPr>
            </w:pPr>
            <w:r w:rsidRPr="00E81073">
              <w:rPr>
                <w:rFonts w:ascii="Arial Narrow" w:hAnsi="Arial Narrow"/>
                <w:b/>
                <w:bCs/>
                <w:sz w:val="18"/>
                <w:szCs w:val="18"/>
              </w:rPr>
              <w:t>IXE vs PBO</w:t>
            </w:r>
          </w:p>
        </w:tc>
        <w:tc>
          <w:tcPr>
            <w:tcW w:w="776" w:type="pct"/>
            <w:tcBorders>
              <w:top w:val="nil"/>
              <w:bottom w:val="nil"/>
              <w:right w:val="single" w:sz="4" w:space="0" w:color="auto"/>
            </w:tcBorders>
            <w:shd w:val="clear" w:color="auto" w:fill="auto"/>
            <w:vAlign w:val="center"/>
          </w:tcPr>
          <w:p w14:paraId="67D28248" w14:textId="77777777" w:rsidR="00DE4C41" w:rsidRPr="00E81073" w:rsidRDefault="00DE4C41" w:rsidP="0028081E">
            <w:pPr>
              <w:keepNext/>
              <w:jc w:val="center"/>
              <w:rPr>
                <w:rFonts w:ascii="Arial Narrow" w:hAnsi="Arial Narrow"/>
                <w:sz w:val="18"/>
                <w:szCs w:val="18"/>
                <w:highlight w:val="yellow"/>
              </w:rPr>
            </w:pPr>
          </w:p>
        </w:tc>
        <w:tc>
          <w:tcPr>
            <w:tcW w:w="776" w:type="pct"/>
            <w:tcBorders>
              <w:top w:val="nil"/>
              <w:left w:val="single" w:sz="4" w:space="0" w:color="auto"/>
              <w:bottom w:val="nil"/>
              <w:right w:val="single" w:sz="4" w:space="0" w:color="auto"/>
            </w:tcBorders>
            <w:shd w:val="clear" w:color="auto" w:fill="auto"/>
            <w:vAlign w:val="center"/>
          </w:tcPr>
          <w:p w14:paraId="11DCE9B0" w14:textId="77777777" w:rsidR="00DE4C41" w:rsidRPr="00E81073" w:rsidRDefault="00DE4C41" w:rsidP="0028081E">
            <w:pPr>
              <w:keepNext/>
              <w:jc w:val="center"/>
              <w:rPr>
                <w:rFonts w:ascii="Arial Narrow" w:hAnsi="Arial Narrow"/>
                <w:sz w:val="16"/>
                <w:szCs w:val="16"/>
                <w:highlight w:val="yellow"/>
              </w:rPr>
            </w:pPr>
          </w:p>
        </w:tc>
        <w:tc>
          <w:tcPr>
            <w:tcW w:w="776" w:type="pct"/>
            <w:tcBorders>
              <w:top w:val="nil"/>
              <w:left w:val="single" w:sz="4" w:space="0" w:color="auto"/>
              <w:bottom w:val="nil"/>
              <w:right w:val="single" w:sz="4" w:space="0" w:color="auto"/>
            </w:tcBorders>
            <w:shd w:val="clear" w:color="auto" w:fill="auto"/>
            <w:vAlign w:val="center"/>
          </w:tcPr>
          <w:p w14:paraId="62FDBD22" w14:textId="77777777" w:rsidR="00DE4C41" w:rsidRPr="00E81073" w:rsidRDefault="00DE4C41" w:rsidP="0028081E">
            <w:pPr>
              <w:keepNext/>
              <w:jc w:val="center"/>
              <w:rPr>
                <w:rFonts w:ascii="Arial Narrow" w:hAnsi="Arial Narrow"/>
                <w:sz w:val="18"/>
                <w:szCs w:val="18"/>
                <w:highlight w:val="yellow"/>
              </w:rPr>
            </w:pPr>
          </w:p>
        </w:tc>
      </w:tr>
      <w:tr w:rsidR="00DE4C41" w:rsidRPr="00E81073" w14:paraId="34EBBC5A" w14:textId="77777777" w:rsidTr="00621EA3">
        <w:tc>
          <w:tcPr>
            <w:tcW w:w="1493" w:type="pct"/>
            <w:tcBorders>
              <w:bottom w:val="nil"/>
            </w:tcBorders>
            <w:shd w:val="clear" w:color="auto" w:fill="auto"/>
          </w:tcPr>
          <w:p w14:paraId="2C9AA937" w14:textId="77777777" w:rsidR="00DE4C41" w:rsidRPr="00E81073" w:rsidRDefault="00DE4C41" w:rsidP="0028081E">
            <w:pPr>
              <w:keepNext/>
              <w:rPr>
                <w:rFonts w:ascii="Arial Narrow" w:hAnsi="Arial Narrow"/>
                <w:sz w:val="18"/>
                <w:szCs w:val="18"/>
              </w:rPr>
            </w:pPr>
            <w:r w:rsidRPr="00E81073">
              <w:rPr>
                <w:rFonts w:ascii="Arial Narrow" w:hAnsi="Arial Narrow"/>
                <w:sz w:val="18"/>
                <w:szCs w:val="18"/>
              </w:rPr>
              <w:t>SPIRIT 1, W12 ITT (bNaive)</w:t>
            </w:r>
          </w:p>
        </w:tc>
        <w:tc>
          <w:tcPr>
            <w:tcW w:w="589" w:type="pct"/>
            <w:tcBorders>
              <w:bottom w:val="nil"/>
            </w:tcBorders>
            <w:shd w:val="clear" w:color="auto" w:fill="auto"/>
            <w:vAlign w:val="center"/>
          </w:tcPr>
          <w:p w14:paraId="445A6272" w14:textId="77777777" w:rsidR="00DE4C41" w:rsidRPr="00E81073" w:rsidRDefault="00DE4C41" w:rsidP="0028081E">
            <w:pPr>
              <w:keepNext/>
              <w:jc w:val="center"/>
              <w:rPr>
                <w:rFonts w:ascii="Arial Narrow" w:hAnsi="Arial Narrow"/>
                <w:sz w:val="18"/>
                <w:szCs w:val="18"/>
                <w:highlight w:val="yellow"/>
              </w:rPr>
            </w:pPr>
            <w:r w:rsidRPr="00E81073">
              <w:rPr>
                <w:rFonts w:ascii="Arial Narrow" w:hAnsi="Arial Narrow"/>
                <w:sz w:val="18"/>
                <w:szCs w:val="18"/>
              </w:rPr>
              <w:t>61/107 (57.0)</w:t>
            </w:r>
          </w:p>
        </w:tc>
        <w:tc>
          <w:tcPr>
            <w:tcW w:w="590" w:type="pct"/>
            <w:tcBorders>
              <w:bottom w:val="nil"/>
            </w:tcBorders>
            <w:shd w:val="clear" w:color="auto" w:fill="auto"/>
            <w:vAlign w:val="center"/>
          </w:tcPr>
          <w:p w14:paraId="5A7F837B" w14:textId="77777777" w:rsidR="00DE4C41" w:rsidRPr="00E81073" w:rsidRDefault="00DE4C41" w:rsidP="0028081E">
            <w:pPr>
              <w:keepNext/>
              <w:jc w:val="center"/>
              <w:rPr>
                <w:rFonts w:ascii="Arial Narrow" w:hAnsi="Arial Narrow"/>
                <w:sz w:val="18"/>
                <w:szCs w:val="18"/>
                <w:highlight w:val="yellow"/>
              </w:rPr>
            </w:pPr>
            <w:r w:rsidRPr="00E81073">
              <w:rPr>
                <w:rFonts w:ascii="Arial Narrow" w:hAnsi="Arial Narrow"/>
                <w:sz w:val="18"/>
                <w:szCs w:val="18"/>
              </w:rPr>
              <w:t>33/106 (31.1)</w:t>
            </w:r>
          </w:p>
        </w:tc>
        <w:tc>
          <w:tcPr>
            <w:tcW w:w="776" w:type="pct"/>
            <w:tcBorders>
              <w:top w:val="nil"/>
              <w:bottom w:val="nil"/>
              <w:right w:val="single" w:sz="4" w:space="0" w:color="auto"/>
            </w:tcBorders>
            <w:shd w:val="clear" w:color="auto" w:fill="auto"/>
            <w:vAlign w:val="center"/>
          </w:tcPr>
          <w:p w14:paraId="68E3FE3E" w14:textId="2376DEB9" w:rsidR="00DE4C41" w:rsidRPr="00E81073" w:rsidRDefault="00DE4C41" w:rsidP="0028081E">
            <w:pPr>
              <w:keepNext/>
              <w:jc w:val="center"/>
              <w:rPr>
                <w:rFonts w:ascii="Arial Narrow" w:hAnsi="Arial Narrow"/>
                <w:b/>
                <w:bCs/>
                <w:sz w:val="18"/>
                <w:szCs w:val="18"/>
                <w:highlight w:val="yellow"/>
              </w:rPr>
            </w:pPr>
            <w:r w:rsidRPr="00E81073">
              <w:rPr>
                <w:rFonts w:ascii="Arial Narrow" w:hAnsi="Arial Narrow"/>
                <w:b/>
                <w:bCs/>
                <w:sz w:val="18"/>
                <w:szCs w:val="18"/>
              </w:rPr>
              <w:t>1.83 (1.32,</w:t>
            </w:r>
            <w:r w:rsidR="00B409E2" w:rsidRPr="00E81073">
              <w:rPr>
                <w:rFonts w:ascii="Arial Narrow" w:hAnsi="Arial Narrow"/>
                <w:b/>
                <w:bCs/>
                <w:sz w:val="18"/>
                <w:szCs w:val="18"/>
              </w:rPr>
              <w:t xml:space="preserve"> </w:t>
            </w:r>
            <w:r w:rsidRPr="00E81073">
              <w:rPr>
                <w:rFonts w:ascii="Arial Narrow" w:hAnsi="Arial Narrow"/>
                <w:b/>
                <w:bCs/>
                <w:sz w:val="18"/>
                <w:szCs w:val="18"/>
              </w:rPr>
              <w:t>2.54)</w:t>
            </w:r>
          </w:p>
        </w:tc>
        <w:tc>
          <w:tcPr>
            <w:tcW w:w="776" w:type="pct"/>
            <w:tcBorders>
              <w:top w:val="nil"/>
              <w:left w:val="single" w:sz="4" w:space="0" w:color="auto"/>
              <w:bottom w:val="nil"/>
              <w:right w:val="single" w:sz="4" w:space="0" w:color="auto"/>
            </w:tcBorders>
            <w:shd w:val="clear" w:color="auto" w:fill="auto"/>
            <w:vAlign w:val="center"/>
          </w:tcPr>
          <w:p w14:paraId="0D9D7455" w14:textId="5947E6D5" w:rsidR="00DE4C41" w:rsidRPr="00E81073" w:rsidRDefault="00DE4C41" w:rsidP="0028081E">
            <w:pPr>
              <w:keepNext/>
              <w:jc w:val="center"/>
              <w:rPr>
                <w:rFonts w:ascii="Arial Narrow" w:hAnsi="Arial Narrow"/>
                <w:b/>
                <w:bCs/>
                <w:sz w:val="18"/>
                <w:szCs w:val="18"/>
                <w:highlight w:val="yellow"/>
              </w:rPr>
            </w:pPr>
            <w:r w:rsidRPr="00E81073">
              <w:rPr>
                <w:rFonts w:ascii="Arial Narrow" w:hAnsi="Arial Narrow"/>
                <w:b/>
                <w:bCs/>
                <w:sz w:val="18"/>
                <w:szCs w:val="18"/>
              </w:rPr>
              <w:t>2.93 (1.67,</w:t>
            </w:r>
            <w:r w:rsidR="00B409E2" w:rsidRPr="00E81073">
              <w:rPr>
                <w:rFonts w:ascii="Arial Narrow" w:hAnsi="Arial Narrow"/>
                <w:b/>
                <w:bCs/>
                <w:sz w:val="18"/>
                <w:szCs w:val="18"/>
              </w:rPr>
              <w:t xml:space="preserve"> </w:t>
            </w:r>
            <w:r w:rsidRPr="00E81073">
              <w:rPr>
                <w:rFonts w:ascii="Arial Narrow" w:hAnsi="Arial Narrow"/>
                <w:b/>
                <w:bCs/>
                <w:sz w:val="18"/>
                <w:szCs w:val="18"/>
              </w:rPr>
              <w:t>5.14)</w:t>
            </w:r>
          </w:p>
        </w:tc>
        <w:tc>
          <w:tcPr>
            <w:tcW w:w="776" w:type="pct"/>
            <w:tcBorders>
              <w:top w:val="nil"/>
              <w:left w:val="single" w:sz="4" w:space="0" w:color="auto"/>
              <w:bottom w:val="nil"/>
              <w:right w:val="single" w:sz="4" w:space="0" w:color="auto"/>
            </w:tcBorders>
            <w:shd w:val="clear" w:color="auto" w:fill="auto"/>
            <w:vAlign w:val="center"/>
          </w:tcPr>
          <w:p w14:paraId="6C849241" w14:textId="77D71223" w:rsidR="00DE4C41" w:rsidRPr="00E81073" w:rsidRDefault="00DE4C41" w:rsidP="0028081E">
            <w:pPr>
              <w:keepNext/>
              <w:jc w:val="center"/>
              <w:rPr>
                <w:rFonts w:ascii="Arial Narrow" w:hAnsi="Arial Narrow"/>
                <w:b/>
                <w:bCs/>
                <w:sz w:val="18"/>
                <w:szCs w:val="18"/>
                <w:highlight w:val="yellow"/>
              </w:rPr>
            </w:pPr>
            <w:r w:rsidRPr="00E81073">
              <w:rPr>
                <w:rFonts w:ascii="Arial Narrow" w:hAnsi="Arial Narrow"/>
                <w:b/>
                <w:bCs/>
                <w:sz w:val="18"/>
                <w:szCs w:val="18"/>
              </w:rPr>
              <w:t>0.26 (0.13,</w:t>
            </w:r>
            <w:r w:rsidR="00006BB3" w:rsidRPr="00E81073">
              <w:rPr>
                <w:rFonts w:ascii="Arial Narrow" w:hAnsi="Arial Narrow"/>
                <w:b/>
                <w:bCs/>
                <w:sz w:val="18"/>
                <w:szCs w:val="18"/>
              </w:rPr>
              <w:t xml:space="preserve"> </w:t>
            </w:r>
            <w:r w:rsidRPr="00E81073">
              <w:rPr>
                <w:rFonts w:ascii="Arial Narrow" w:hAnsi="Arial Narrow"/>
                <w:b/>
                <w:bCs/>
                <w:sz w:val="18"/>
                <w:szCs w:val="18"/>
              </w:rPr>
              <w:t>0.39)</w:t>
            </w:r>
          </w:p>
        </w:tc>
      </w:tr>
      <w:tr w:rsidR="00DE4C41" w:rsidRPr="00E81073" w14:paraId="6F3C379F" w14:textId="77777777" w:rsidTr="00621EA3">
        <w:tc>
          <w:tcPr>
            <w:tcW w:w="1493" w:type="pct"/>
            <w:tcBorders>
              <w:top w:val="nil"/>
              <w:bottom w:val="nil"/>
            </w:tcBorders>
            <w:shd w:val="clear" w:color="auto" w:fill="auto"/>
          </w:tcPr>
          <w:p w14:paraId="52A5A289" w14:textId="77777777" w:rsidR="00DE4C41" w:rsidRPr="00E81073" w:rsidRDefault="00DE4C41" w:rsidP="0028081E">
            <w:pPr>
              <w:keepNext/>
              <w:rPr>
                <w:rFonts w:ascii="Arial Narrow" w:hAnsi="Arial Narrow"/>
                <w:sz w:val="18"/>
                <w:szCs w:val="18"/>
                <w:highlight w:val="yellow"/>
              </w:rPr>
            </w:pPr>
            <w:r w:rsidRPr="00E81073">
              <w:rPr>
                <w:rFonts w:ascii="Arial Narrow" w:hAnsi="Arial Narrow"/>
                <w:sz w:val="18"/>
                <w:szCs w:val="18"/>
              </w:rPr>
              <w:t>SPIRIT 2, W12 ITT (TNFe)</w:t>
            </w:r>
          </w:p>
        </w:tc>
        <w:tc>
          <w:tcPr>
            <w:tcW w:w="589" w:type="pct"/>
            <w:tcBorders>
              <w:top w:val="nil"/>
              <w:bottom w:val="nil"/>
            </w:tcBorders>
            <w:shd w:val="clear" w:color="auto" w:fill="auto"/>
            <w:vAlign w:val="center"/>
          </w:tcPr>
          <w:p w14:paraId="37593371" w14:textId="77777777" w:rsidR="00DE4C41" w:rsidRPr="00E81073" w:rsidRDefault="00DE4C41" w:rsidP="0028081E">
            <w:pPr>
              <w:keepNext/>
              <w:jc w:val="center"/>
              <w:rPr>
                <w:rFonts w:ascii="Arial Narrow" w:hAnsi="Arial Narrow"/>
                <w:sz w:val="18"/>
                <w:szCs w:val="18"/>
                <w:highlight w:val="yellow"/>
              </w:rPr>
            </w:pPr>
            <w:r w:rsidRPr="00E81073">
              <w:rPr>
                <w:rFonts w:ascii="Arial Narrow" w:hAnsi="Arial Narrow"/>
                <w:sz w:val="18"/>
                <w:szCs w:val="18"/>
              </w:rPr>
              <w:t>61/122 (50.0)</w:t>
            </w:r>
          </w:p>
        </w:tc>
        <w:tc>
          <w:tcPr>
            <w:tcW w:w="590" w:type="pct"/>
            <w:tcBorders>
              <w:top w:val="nil"/>
              <w:bottom w:val="nil"/>
            </w:tcBorders>
            <w:shd w:val="clear" w:color="auto" w:fill="auto"/>
            <w:vAlign w:val="center"/>
          </w:tcPr>
          <w:p w14:paraId="74174F70" w14:textId="77777777" w:rsidR="00DE4C41" w:rsidRPr="00E81073" w:rsidRDefault="00DE4C41" w:rsidP="0028081E">
            <w:pPr>
              <w:keepNext/>
              <w:jc w:val="center"/>
              <w:rPr>
                <w:rFonts w:ascii="Arial Narrow" w:hAnsi="Arial Narrow"/>
                <w:sz w:val="18"/>
                <w:szCs w:val="18"/>
                <w:highlight w:val="yellow"/>
              </w:rPr>
            </w:pPr>
            <w:r w:rsidRPr="00E81073">
              <w:rPr>
                <w:rFonts w:ascii="Arial Narrow" w:hAnsi="Arial Narrow"/>
                <w:sz w:val="18"/>
                <w:szCs w:val="18"/>
              </w:rPr>
              <w:t>26/118 (22.0)</w:t>
            </w:r>
          </w:p>
        </w:tc>
        <w:tc>
          <w:tcPr>
            <w:tcW w:w="776" w:type="pct"/>
            <w:tcBorders>
              <w:top w:val="nil"/>
              <w:bottom w:val="nil"/>
              <w:right w:val="single" w:sz="4" w:space="0" w:color="auto"/>
            </w:tcBorders>
            <w:shd w:val="clear" w:color="auto" w:fill="auto"/>
            <w:vAlign w:val="center"/>
          </w:tcPr>
          <w:p w14:paraId="3D4F7047" w14:textId="224B3407" w:rsidR="00DE4C41" w:rsidRPr="00E81073" w:rsidRDefault="00DE4C41" w:rsidP="0028081E">
            <w:pPr>
              <w:keepNext/>
              <w:jc w:val="center"/>
              <w:rPr>
                <w:rFonts w:ascii="Arial Narrow" w:hAnsi="Arial Narrow"/>
                <w:b/>
                <w:bCs/>
                <w:sz w:val="18"/>
                <w:szCs w:val="18"/>
                <w:highlight w:val="yellow"/>
              </w:rPr>
            </w:pPr>
            <w:r w:rsidRPr="00E81073">
              <w:rPr>
                <w:rFonts w:ascii="Arial Narrow" w:hAnsi="Arial Narrow"/>
                <w:b/>
                <w:bCs/>
                <w:sz w:val="18"/>
                <w:szCs w:val="18"/>
              </w:rPr>
              <w:t>2.27 (1.55,</w:t>
            </w:r>
            <w:r w:rsidR="00B409E2" w:rsidRPr="00E81073">
              <w:rPr>
                <w:rFonts w:ascii="Arial Narrow" w:hAnsi="Arial Narrow"/>
                <w:b/>
                <w:bCs/>
                <w:sz w:val="18"/>
                <w:szCs w:val="18"/>
              </w:rPr>
              <w:t xml:space="preserve"> </w:t>
            </w:r>
            <w:r w:rsidRPr="00E81073">
              <w:rPr>
                <w:rFonts w:ascii="Arial Narrow" w:hAnsi="Arial Narrow"/>
                <w:b/>
                <w:bCs/>
                <w:sz w:val="18"/>
                <w:szCs w:val="18"/>
              </w:rPr>
              <w:t>3.33)</w:t>
            </w:r>
          </w:p>
        </w:tc>
        <w:tc>
          <w:tcPr>
            <w:tcW w:w="776" w:type="pct"/>
            <w:tcBorders>
              <w:top w:val="nil"/>
              <w:left w:val="single" w:sz="4" w:space="0" w:color="auto"/>
              <w:bottom w:val="nil"/>
              <w:right w:val="single" w:sz="4" w:space="0" w:color="auto"/>
            </w:tcBorders>
            <w:shd w:val="clear" w:color="auto" w:fill="auto"/>
            <w:vAlign w:val="center"/>
          </w:tcPr>
          <w:p w14:paraId="2B931F8C" w14:textId="366F5C36" w:rsidR="00DE4C41" w:rsidRPr="00E81073" w:rsidRDefault="00DE4C41" w:rsidP="0028081E">
            <w:pPr>
              <w:keepNext/>
              <w:jc w:val="center"/>
              <w:rPr>
                <w:rFonts w:ascii="Arial Narrow" w:hAnsi="Arial Narrow"/>
                <w:b/>
                <w:bCs/>
                <w:sz w:val="18"/>
                <w:szCs w:val="18"/>
                <w:highlight w:val="yellow"/>
              </w:rPr>
            </w:pPr>
            <w:r w:rsidRPr="00E81073">
              <w:rPr>
                <w:rFonts w:ascii="Arial Narrow" w:hAnsi="Arial Narrow"/>
                <w:b/>
                <w:bCs/>
                <w:sz w:val="18"/>
                <w:szCs w:val="18"/>
              </w:rPr>
              <w:t>3.54 (2.02,</w:t>
            </w:r>
            <w:r w:rsidR="00B409E2" w:rsidRPr="00E81073">
              <w:rPr>
                <w:rFonts w:ascii="Arial Narrow" w:hAnsi="Arial Narrow"/>
                <w:b/>
                <w:bCs/>
                <w:sz w:val="18"/>
                <w:szCs w:val="18"/>
              </w:rPr>
              <w:t xml:space="preserve"> </w:t>
            </w:r>
            <w:r w:rsidRPr="00E81073">
              <w:rPr>
                <w:rFonts w:ascii="Arial Narrow" w:hAnsi="Arial Narrow"/>
                <w:b/>
                <w:bCs/>
                <w:sz w:val="18"/>
                <w:szCs w:val="18"/>
              </w:rPr>
              <w:t>6.20)</w:t>
            </w:r>
          </w:p>
        </w:tc>
        <w:tc>
          <w:tcPr>
            <w:tcW w:w="776" w:type="pct"/>
            <w:tcBorders>
              <w:top w:val="nil"/>
              <w:left w:val="single" w:sz="4" w:space="0" w:color="auto"/>
              <w:bottom w:val="nil"/>
              <w:right w:val="single" w:sz="4" w:space="0" w:color="auto"/>
            </w:tcBorders>
            <w:shd w:val="clear" w:color="auto" w:fill="auto"/>
            <w:vAlign w:val="center"/>
          </w:tcPr>
          <w:p w14:paraId="462E09D6" w14:textId="7E21BB3F" w:rsidR="00DE4C41" w:rsidRPr="00E81073" w:rsidRDefault="00DE4C41" w:rsidP="0028081E">
            <w:pPr>
              <w:keepNext/>
              <w:jc w:val="center"/>
              <w:rPr>
                <w:rFonts w:ascii="Arial Narrow" w:hAnsi="Arial Narrow"/>
                <w:b/>
                <w:bCs/>
                <w:sz w:val="18"/>
                <w:szCs w:val="18"/>
                <w:highlight w:val="yellow"/>
              </w:rPr>
            </w:pPr>
            <w:r w:rsidRPr="00E81073">
              <w:rPr>
                <w:rFonts w:ascii="Arial Narrow" w:hAnsi="Arial Narrow"/>
                <w:b/>
                <w:bCs/>
                <w:sz w:val="18"/>
                <w:szCs w:val="18"/>
              </w:rPr>
              <w:t>0.28 (0.16,</w:t>
            </w:r>
            <w:r w:rsidR="00B409E2" w:rsidRPr="00E81073">
              <w:rPr>
                <w:rFonts w:ascii="Arial Narrow" w:hAnsi="Arial Narrow"/>
                <w:b/>
                <w:bCs/>
                <w:sz w:val="18"/>
                <w:szCs w:val="18"/>
              </w:rPr>
              <w:t xml:space="preserve"> </w:t>
            </w:r>
            <w:r w:rsidRPr="00E81073">
              <w:rPr>
                <w:rFonts w:ascii="Arial Narrow" w:hAnsi="Arial Narrow"/>
                <w:b/>
                <w:bCs/>
                <w:sz w:val="18"/>
                <w:szCs w:val="18"/>
              </w:rPr>
              <w:t>0.40)</w:t>
            </w:r>
          </w:p>
        </w:tc>
      </w:tr>
      <w:tr w:rsidR="00DE4C41" w:rsidRPr="00E81073" w14:paraId="4AC35AA4" w14:textId="77777777" w:rsidTr="00621EA3">
        <w:tc>
          <w:tcPr>
            <w:tcW w:w="1493" w:type="pct"/>
            <w:tcBorders>
              <w:top w:val="nil"/>
            </w:tcBorders>
            <w:shd w:val="clear" w:color="auto" w:fill="auto"/>
            <w:vAlign w:val="center"/>
          </w:tcPr>
          <w:p w14:paraId="742EC9A4" w14:textId="77777777" w:rsidR="00DE4C41" w:rsidRPr="00E81073" w:rsidRDefault="00DE4C41" w:rsidP="0028081E">
            <w:pPr>
              <w:keepNext/>
              <w:jc w:val="right"/>
              <w:rPr>
                <w:rFonts w:ascii="Arial Narrow" w:hAnsi="Arial Narrow"/>
                <w:sz w:val="18"/>
                <w:szCs w:val="18"/>
              </w:rPr>
            </w:pPr>
            <w:r w:rsidRPr="00E81073">
              <w:rPr>
                <w:rFonts w:ascii="Arial Narrow" w:hAnsi="Arial Narrow"/>
                <w:sz w:val="18"/>
                <w:szCs w:val="18"/>
              </w:rPr>
              <w:t>Meta-analysis, W12, ITT</w:t>
            </w:r>
          </w:p>
        </w:tc>
        <w:tc>
          <w:tcPr>
            <w:tcW w:w="589" w:type="pct"/>
            <w:tcBorders>
              <w:top w:val="nil"/>
            </w:tcBorders>
            <w:shd w:val="clear" w:color="auto" w:fill="auto"/>
            <w:vAlign w:val="center"/>
          </w:tcPr>
          <w:p w14:paraId="41FA9496" w14:textId="77777777" w:rsidR="00DE4C41" w:rsidRPr="00E81073" w:rsidRDefault="00DE4C41" w:rsidP="0028081E">
            <w:pPr>
              <w:keepNext/>
              <w:jc w:val="center"/>
              <w:rPr>
                <w:rFonts w:ascii="Arial Narrow" w:hAnsi="Arial Narrow"/>
                <w:sz w:val="18"/>
                <w:szCs w:val="18"/>
              </w:rPr>
            </w:pPr>
            <w:r w:rsidRPr="00E81073">
              <w:rPr>
                <w:rFonts w:ascii="Arial Narrow" w:hAnsi="Arial Narrow"/>
                <w:sz w:val="18"/>
                <w:szCs w:val="18"/>
              </w:rPr>
              <w:t>122/229 (53.3)</w:t>
            </w:r>
          </w:p>
        </w:tc>
        <w:tc>
          <w:tcPr>
            <w:tcW w:w="590" w:type="pct"/>
            <w:tcBorders>
              <w:top w:val="nil"/>
            </w:tcBorders>
            <w:shd w:val="clear" w:color="auto" w:fill="auto"/>
            <w:vAlign w:val="center"/>
          </w:tcPr>
          <w:p w14:paraId="452309A5" w14:textId="77777777" w:rsidR="00DE4C41" w:rsidRPr="00E81073" w:rsidRDefault="00DE4C41" w:rsidP="0028081E">
            <w:pPr>
              <w:keepNext/>
              <w:jc w:val="center"/>
              <w:rPr>
                <w:rFonts w:ascii="Arial Narrow" w:hAnsi="Arial Narrow"/>
                <w:sz w:val="18"/>
                <w:szCs w:val="18"/>
              </w:rPr>
            </w:pPr>
            <w:r w:rsidRPr="00E81073">
              <w:rPr>
                <w:rFonts w:ascii="Arial Narrow" w:hAnsi="Arial Narrow"/>
                <w:sz w:val="18"/>
                <w:szCs w:val="18"/>
              </w:rPr>
              <w:t>59/224 (26.3)</w:t>
            </w:r>
          </w:p>
        </w:tc>
        <w:tc>
          <w:tcPr>
            <w:tcW w:w="776" w:type="pct"/>
            <w:tcBorders>
              <w:top w:val="nil"/>
              <w:bottom w:val="single" w:sz="4" w:space="0" w:color="auto"/>
              <w:right w:val="single" w:sz="4" w:space="0" w:color="auto"/>
            </w:tcBorders>
            <w:shd w:val="clear" w:color="auto" w:fill="auto"/>
            <w:vAlign w:val="center"/>
          </w:tcPr>
          <w:p w14:paraId="6C35DFE5" w14:textId="3A17BBB2" w:rsidR="00DE4C41" w:rsidRPr="00E81073" w:rsidRDefault="00DE4C41" w:rsidP="0028081E">
            <w:pPr>
              <w:keepNext/>
              <w:jc w:val="center"/>
              <w:rPr>
                <w:rFonts w:ascii="Arial Narrow" w:hAnsi="Arial Narrow"/>
                <w:b/>
                <w:bCs/>
                <w:sz w:val="18"/>
                <w:szCs w:val="18"/>
                <w:highlight w:val="yellow"/>
              </w:rPr>
            </w:pPr>
            <w:r w:rsidRPr="00E81073">
              <w:rPr>
                <w:rFonts w:ascii="Arial Narrow" w:hAnsi="Arial Narrow"/>
                <w:b/>
                <w:bCs/>
                <w:sz w:val="18"/>
                <w:szCs w:val="18"/>
              </w:rPr>
              <w:t>2.00 (1.56,</w:t>
            </w:r>
            <w:r w:rsidR="00B409E2" w:rsidRPr="00E81073">
              <w:rPr>
                <w:rFonts w:ascii="Arial Narrow" w:hAnsi="Arial Narrow"/>
                <w:b/>
                <w:bCs/>
                <w:sz w:val="18"/>
                <w:szCs w:val="18"/>
              </w:rPr>
              <w:t xml:space="preserve"> </w:t>
            </w:r>
            <w:r w:rsidRPr="00E81073">
              <w:rPr>
                <w:rFonts w:ascii="Arial Narrow" w:hAnsi="Arial Narrow"/>
                <w:b/>
                <w:bCs/>
                <w:sz w:val="18"/>
                <w:szCs w:val="18"/>
              </w:rPr>
              <w:t>2.57)</w:t>
            </w:r>
          </w:p>
        </w:tc>
        <w:tc>
          <w:tcPr>
            <w:tcW w:w="776" w:type="pct"/>
            <w:tcBorders>
              <w:top w:val="nil"/>
              <w:left w:val="single" w:sz="4" w:space="0" w:color="auto"/>
              <w:bottom w:val="single" w:sz="4" w:space="0" w:color="auto"/>
              <w:right w:val="single" w:sz="4" w:space="0" w:color="auto"/>
            </w:tcBorders>
            <w:shd w:val="clear" w:color="auto" w:fill="auto"/>
            <w:vAlign w:val="center"/>
          </w:tcPr>
          <w:p w14:paraId="69DB560A" w14:textId="69314D7F" w:rsidR="00DE4C41" w:rsidRPr="00E81073" w:rsidRDefault="00DE4C41" w:rsidP="0028081E">
            <w:pPr>
              <w:keepNext/>
              <w:jc w:val="center"/>
              <w:rPr>
                <w:rFonts w:ascii="Arial Narrow" w:hAnsi="Arial Narrow"/>
                <w:b/>
                <w:bCs/>
                <w:sz w:val="18"/>
                <w:szCs w:val="18"/>
                <w:highlight w:val="yellow"/>
              </w:rPr>
            </w:pPr>
            <w:r w:rsidRPr="00E81073">
              <w:rPr>
                <w:rFonts w:ascii="Arial Narrow" w:hAnsi="Arial Narrow"/>
                <w:b/>
                <w:bCs/>
                <w:sz w:val="18"/>
                <w:szCs w:val="18"/>
              </w:rPr>
              <w:t>3.22 (2.17,</w:t>
            </w:r>
            <w:r w:rsidR="00B409E2" w:rsidRPr="00E81073">
              <w:rPr>
                <w:rFonts w:ascii="Arial Narrow" w:hAnsi="Arial Narrow"/>
                <w:b/>
                <w:bCs/>
                <w:sz w:val="18"/>
                <w:szCs w:val="18"/>
              </w:rPr>
              <w:t xml:space="preserve"> </w:t>
            </w:r>
            <w:r w:rsidRPr="00E81073">
              <w:rPr>
                <w:rFonts w:ascii="Arial Narrow" w:hAnsi="Arial Narrow"/>
                <w:b/>
                <w:bCs/>
                <w:sz w:val="18"/>
                <w:szCs w:val="18"/>
              </w:rPr>
              <w:t>4.79)</w:t>
            </w:r>
          </w:p>
        </w:tc>
        <w:tc>
          <w:tcPr>
            <w:tcW w:w="776" w:type="pct"/>
            <w:tcBorders>
              <w:top w:val="nil"/>
              <w:left w:val="single" w:sz="4" w:space="0" w:color="auto"/>
              <w:bottom w:val="single" w:sz="4" w:space="0" w:color="auto"/>
              <w:right w:val="single" w:sz="4" w:space="0" w:color="auto"/>
            </w:tcBorders>
            <w:shd w:val="clear" w:color="auto" w:fill="auto"/>
            <w:vAlign w:val="center"/>
          </w:tcPr>
          <w:p w14:paraId="1E80B598" w14:textId="6F1957C5" w:rsidR="00DE4C41" w:rsidRPr="00E81073" w:rsidRDefault="00DE4C41" w:rsidP="0028081E">
            <w:pPr>
              <w:keepNext/>
              <w:jc w:val="center"/>
              <w:rPr>
                <w:rFonts w:ascii="Arial Narrow" w:hAnsi="Arial Narrow"/>
                <w:b/>
                <w:bCs/>
                <w:sz w:val="18"/>
                <w:szCs w:val="18"/>
                <w:highlight w:val="yellow"/>
              </w:rPr>
            </w:pPr>
            <w:r w:rsidRPr="00E81073">
              <w:rPr>
                <w:rFonts w:ascii="Arial Narrow" w:hAnsi="Arial Narrow"/>
                <w:b/>
                <w:bCs/>
                <w:sz w:val="18"/>
                <w:szCs w:val="18"/>
              </w:rPr>
              <w:t>0.27 (0.18,</w:t>
            </w:r>
            <w:r w:rsidR="00B409E2" w:rsidRPr="00E81073">
              <w:rPr>
                <w:rFonts w:ascii="Arial Narrow" w:hAnsi="Arial Narrow"/>
                <w:b/>
                <w:bCs/>
                <w:sz w:val="18"/>
                <w:szCs w:val="18"/>
              </w:rPr>
              <w:t xml:space="preserve"> </w:t>
            </w:r>
            <w:r w:rsidRPr="00E81073">
              <w:rPr>
                <w:rFonts w:ascii="Arial Narrow" w:hAnsi="Arial Narrow"/>
                <w:b/>
                <w:bCs/>
                <w:sz w:val="18"/>
                <w:szCs w:val="18"/>
              </w:rPr>
              <w:t>0.36)</w:t>
            </w:r>
          </w:p>
        </w:tc>
      </w:tr>
      <w:tr w:rsidR="00DE4C41" w:rsidRPr="00E81073" w14:paraId="05E6E128" w14:textId="77777777" w:rsidTr="00621EA3">
        <w:tc>
          <w:tcPr>
            <w:tcW w:w="2673" w:type="pct"/>
            <w:gridSpan w:val="3"/>
            <w:tcBorders>
              <w:bottom w:val="single" w:sz="4" w:space="0" w:color="auto"/>
            </w:tcBorders>
            <w:shd w:val="clear" w:color="auto" w:fill="auto"/>
            <w:vAlign w:val="center"/>
          </w:tcPr>
          <w:p w14:paraId="437917ED" w14:textId="77777777" w:rsidR="00DE4C41" w:rsidRPr="00E81073" w:rsidRDefault="00DE4C41" w:rsidP="0028081E">
            <w:pPr>
              <w:keepNext/>
              <w:jc w:val="left"/>
              <w:rPr>
                <w:rFonts w:ascii="Arial Narrow" w:hAnsi="Arial Narrow"/>
                <w:b/>
                <w:bCs/>
                <w:sz w:val="18"/>
                <w:szCs w:val="18"/>
              </w:rPr>
            </w:pPr>
            <w:r w:rsidRPr="00E81073">
              <w:rPr>
                <w:rFonts w:ascii="Arial Narrow" w:hAnsi="Arial Narrow"/>
                <w:b/>
                <w:bCs/>
                <w:sz w:val="18"/>
                <w:szCs w:val="18"/>
              </w:rPr>
              <w:t>Indirect comparisons, ITT</w:t>
            </w:r>
          </w:p>
        </w:tc>
        <w:tc>
          <w:tcPr>
            <w:tcW w:w="776" w:type="pct"/>
            <w:tcBorders>
              <w:top w:val="single" w:sz="4" w:space="0" w:color="auto"/>
              <w:bottom w:val="nil"/>
              <w:right w:val="single" w:sz="4" w:space="0" w:color="auto"/>
            </w:tcBorders>
            <w:shd w:val="clear" w:color="auto" w:fill="auto"/>
            <w:vAlign w:val="center"/>
          </w:tcPr>
          <w:p w14:paraId="1797AA7A" w14:textId="77777777" w:rsidR="00DE4C41" w:rsidRPr="00E81073" w:rsidRDefault="00DE4C41" w:rsidP="0028081E">
            <w:pPr>
              <w:keepNext/>
              <w:jc w:val="center"/>
              <w:rPr>
                <w:rFonts w:ascii="Arial Narrow" w:hAnsi="Arial Narrow"/>
                <w:sz w:val="18"/>
                <w:szCs w:val="18"/>
                <w:highlight w:val="yellow"/>
              </w:rPr>
            </w:pPr>
          </w:p>
        </w:tc>
        <w:tc>
          <w:tcPr>
            <w:tcW w:w="776" w:type="pct"/>
            <w:tcBorders>
              <w:top w:val="single" w:sz="4" w:space="0" w:color="auto"/>
              <w:left w:val="single" w:sz="4" w:space="0" w:color="auto"/>
              <w:bottom w:val="nil"/>
              <w:right w:val="single" w:sz="4" w:space="0" w:color="auto"/>
            </w:tcBorders>
            <w:shd w:val="clear" w:color="auto" w:fill="auto"/>
            <w:vAlign w:val="center"/>
          </w:tcPr>
          <w:p w14:paraId="3073D9D2" w14:textId="77777777" w:rsidR="00DE4C41" w:rsidRPr="00E81073" w:rsidRDefault="00DE4C41" w:rsidP="0028081E">
            <w:pPr>
              <w:keepNext/>
              <w:jc w:val="center"/>
              <w:rPr>
                <w:rFonts w:ascii="Arial Narrow" w:hAnsi="Arial Narrow"/>
                <w:sz w:val="18"/>
                <w:szCs w:val="18"/>
                <w:highlight w:val="yellow"/>
              </w:rPr>
            </w:pPr>
          </w:p>
        </w:tc>
        <w:tc>
          <w:tcPr>
            <w:tcW w:w="776" w:type="pct"/>
            <w:tcBorders>
              <w:top w:val="single" w:sz="4" w:space="0" w:color="auto"/>
              <w:left w:val="single" w:sz="4" w:space="0" w:color="auto"/>
              <w:bottom w:val="nil"/>
              <w:right w:val="single" w:sz="4" w:space="0" w:color="auto"/>
            </w:tcBorders>
            <w:shd w:val="clear" w:color="auto" w:fill="auto"/>
            <w:vAlign w:val="center"/>
          </w:tcPr>
          <w:p w14:paraId="67781C69" w14:textId="77777777" w:rsidR="00DE4C41" w:rsidRPr="00E81073" w:rsidRDefault="00DE4C41" w:rsidP="0028081E">
            <w:pPr>
              <w:keepNext/>
              <w:jc w:val="center"/>
              <w:rPr>
                <w:rFonts w:ascii="Arial Narrow" w:hAnsi="Arial Narrow"/>
                <w:sz w:val="18"/>
                <w:szCs w:val="18"/>
                <w:highlight w:val="yellow"/>
              </w:rPr>
            </w:pPr>
          </w:p>
        </w:tc>
      </w:tr>
      <w:tr w:rsidR="00DE4C41" w:rsidRPr="00E81073" w14:paraId="45E75461" w14:textId="77777777" w:rsidTr="00621EA3">
        <w:tc>
          <w:tcPr>
            <w:tcW w:w="2673" w:type="pct"/>
            <w:gridSpan w:val="3"/>
            <w:tcBorders>
              <w:bottom w:val="nil"/>
            </w:tcBorders>
            <w:shd w:val="clear" w:color="auto" w:fill="auto"/>
            <w:vAlign w:val="center"/>
          </w:tcPr>
          <w:p w14:paraId="05587C6C" w14:textId="77777777" w:rsidR="00DE4C41" w:rsidRPr="00E81073" w:rsidRDefault="00DE4C41" w:rsidP="0028081E">
            <w:pPr>
              <w:keepNext/>
              <w:jc w:val="left"/>
              <w:rPr>
                <w:rFonts w:ascii="Arial Narrow" w:hAnsi="Arial Narrow"/>
                <w:i/>
                <w:iCs/>
                <w:sz w:val="18"/>
                <w:szCs w:val="18"/>
              </w:rPr>
            </w:pPr>
            <w:r w:rsidRPr="00E81073">
              <w:rPr>
                <w:rFonts w:ascii="Arial Narrow" w:hAnsi="Arial Narrow"/>
                <w:sz w:val="18"/>
                <w:szCs w:val="18"/>
              </w:rPr>
              <w:t>BKZ (W12-16 meta-analysis) v IXE (W12 meta-analysis), via PBO</w:t>
            </w:r>
          </w:p>
        </w:tc>
        <w:tc>
          <w:tcPr>
            <w:tcW w:w="776" w:type="pct"/>
            <w:tcBorders>
              <w:top w:val="nil"/>
              <w:bottom w:val="nil"/>
              <w:right w:val="single" w:sz="4" w:space="0" w:color="auto"/>
            </w:tcBorders>
            <w:shd w:val="clear" w:color="auto" w:fill="auto"/>
            <w:vAlign w:val="center"/>
          </w:tcPr>
          <w:p w14:paraId="2EA9FA40" w14:textId="3443BD2C" w:rsidR="00DE4C41" w:rsidRPr="00E81073" w:rsidRDefault="00DE4C41" w:rsidP="0028081E">
            <w:pPr>
              <w:keepNext/>
              <w:jc w:val="center"/>
              <w:rPr>
                <w:rFonts w:ascii="Arial Narrow" w:hAnsi="Arial Narrow"/>
                <w:b/>
                <w:iCs/>
                <w:sz w:val="18"/>
                <w:szCs w:val="18"/>
                <w:highlight w:val="yellow"/>
              </w:rPr>
            </w:pPr>
            <w:r w:rsidRPr="00E81073">
              <w:rPr>
                <w:rFonts w:ascii="Arial Narrow" w:hAnsi="Arial Narrow"/>
                <w:b/>
                <w:iCs/>
                <w:sz w:val="18"/>
                <w:szCs w:val="18"/>
              </w:rPr>
              <w:t>1.66 (1.07,</w:t>
            </w:r>
            <w:r w:rsidR="001F7452" w:rsidRPr="00E81073">
              <w:rPr>
                <w:rFonts w:ascii="Arial Narrow" w:hAnsi="Arial Narrow"/>
                <w:b/>
                <w:iCs/>
                <w:sz w:val="18"/>
                <w:szCs w:val="18"/>
              </w:rPr>
              <w:t xml:space="preserve"> </w:t>
            </w:r>
            <w:r w:rsidRPr="00E81073">
              <w:rPr>
                <w:rFonts w:ascii="Arial Narrow" w:hAnsi="Arial Narrow"/>
                <w:b/>
                <w:iCs/>
                <w:sz w:val="18"/>
                <w:szCs w:val="18"/>
              </w:rPr>
              <w:t>2.58)</w:t>
            </w:r>
          </w:p>
        </w:tc>
        <w:tc>
          <w:tcPr>
            <w:tcW w:w="776" w:type="pct"/>
            <w:tcBorders>
              <w:top w:val="nil"/>
              <w:left w:val="single" w:sz="4" w:space="0" w:color="auto"/>
              <w:bottom w:val="nil"/>
              <w:right w:val="single" w:sz="4" w:space="0" w:color="auto"/>
            </w:tcBorders>
            <w:shd w:val="clear" w:color="auto" w:fill="auto"/>
            <w:vAlign w:val="center"/>
          </w:tcPr>
          <w:p w14:paraId="49F239DF" w14:textId="7DF1B3D7" w:rsidR="00DE4C41" w:rsidRPr="00E81073" w:rsidRDefault="00DE4C41" w:rsidP="0028081E">
            <w:pPr>
              <w:keepNext/>
              <w:jc w:val="center"/>
              <w:rPr>
                <w:rFonts w:ascii="Arial Narrow" w:hAnsi="Arial Narrow"/>
                <w:b/>
                <w:iCs/>
                <w:sz w:val="18"/>
                <w:szCs w:val="18"/>
                <w:highlight w:val="yellow"/>
              </w:rPr>
            </w:pPr>
            <w:r w:rsidRPr="00E81073">
              <w:rPr>
                <w:rFonts w:ascii="Arial Narrow" w:hAnsi="Arial Narrow"/>
                <w:b/>
                <w:iCs/>
                <w:sz w:val="18"/>
                <w:szCs w:val="18"/>
              </w:rPr>
              <w:t>2.48 (1.22,</w:t>
            </w:r>
            <w:r w:rsidR="00F037F9" w:rsidRPr="00E81073">
              <w:rPr>
                <w:rFonts w:ascii="Arial Narrow" w:hAnsi="Arial Narrow"/>
                <w:b/>
                <w:iCs/>
                <w:sz w:val="18"/>
                <w:szCs w:val="18"/>
              </w:rPr>
              <w:t xml:space="preserve"> </w:t>
            </w:r>
            <w:r w:rsidRPr="00E81073">
              <w:rPr>
                <w:rFonts w:ascii="Arial Narrow" w:hAnsi="Arial Narrow"/>
                <w:b/>
                <w:iCs/>
                <w:sz w:val="18"/>
                <w:szCs w:val="18"/>
              </w:rPr>
              <w:t>5.02)</w:t>
            </w:r>
          </w:p>
        </w:tc>
        <w:tc>
          <w:tcPr>
            <w:tcW w:w="776" w:type="pct"/>
            <w:tcBorders>
              <w:top w:val="nil"/>
              <w:left w:val="single" w:sz="4" w:space="0" w:color="auto"/>
              <w:bottom w:val="nil"/>
              <w:right w:val="single" w:sz="4" w:space="0" w:color="auto"/>
            </w:tcBorders>
            <w:shd w:val="clear" w:color="auto" w:fill="auto"/>
            <w:vAlign w:val="center"/>
          </w:tcPr>
          <w:p w14:paraId="6CA30AEF" w14:textId="11B459D4" w:rsidR="00DE4C41" w:rsidRPr="00E81073" w:rsidRDefault="00DE4C41" w:rsidP="0028081E">
            <w:pPr>
              <w:keepNext/>
              <w:jc w:val="center"/>
              <w:rPr>
                <w:rFonts w:ascii="Arial Narrow" w:hAnsi="Arial Narrow"/>
                <w:b/>
                <w:iCs/>
                <w:sz w:val="18"/>
                <w:szCs w:val="18"/>
                <w:highlight w:val="yellow"/>
              </w:rPr>
            </w:pPr>
            <w:r w:rsidRPr="00E81073">
              <w:rPr>
                <w:rFonts w:ascii="Arial Narrow" w:hAnsi="Arial Narrow"/>
                <w:b/>
                <w:iCs/>
                <w:sz w:val="18"/>
                <w:szCs w:val="18"/>
              </w:rPr>
              <w:t>0.19 (0.05,</w:t>
            </w:r>
            <w:r w:rsidR="00006BB3" w:rsidRPr="00E81073">
              <w:rPr>
                <w:rFonts w:ascii="Arial Narrow" w:hAnsi="Arial Narrow"/>
                <w:b/>
                <w:iCs/>
                <w:sz w:val="18"/>
                <w:szCs w:val="18"/>
              </w:rPr>
              <w:t xml:space="preserve"> </w:t>
            </w:r>
            <w:r w:rsidRPr="00E81073">
              <w:rPr>
                <w:rFonts w:ascii="Arial Narrow" w:hAnsi="Arial Narrow"/>
                <w:b/>
                <w:iCs/>
                <w:sz w:val="18"/>
                <w:szCs w:val="18"/>
              </w:rPr>
              <w:t>0.33)</w:t>
            </w:r>
          </w:p>
        </w:tc>
      </w:tr>
      <w:tr w:rsidR="00DE4C41" w:rsidRPr="00E81073" w14:paraId="64BD607D" w14:textId="77777777" w:rsidTr="00621EA3">
        <w:tc>
          <w:tcPr>
            <w:tcW w:w="2673" w:type="pct"/>
            <w:gridSpan w:val="3"/>
            <w:tcBorders>
              <w:top w:val="nil"/>
              <w:bottom w:val="nil"/>
            </w:tcBorders>
            <w:shd w:val="clear" w:color="auto" w:fill="auto"/>
            <w:vAlign w:val="center"/>
          </w:tcPr>
          <w:p w14:paraId="569CFA42" w14:textId="77777777" w:rsidR="00DE4C41" w:rsidRPr="00E81073" w:rsidRDefault="00DE4C41" w:rsidP="0028081E">
            <w:pPr>
              <w:keepNext/>
              <w:jc w:val="left"/>
              <w:rPr>
                <w:rFonts w:ascii="Arial Narrow" w:hAnsi="Arial Narrow"/>
                <w:i/>
                <w:iCs/>
                <w:sz w:val="18"/>
                <w:szCs w:val="18"/>
              </w:rPr>
            </w:pPr>
            <w:r w:rsidRPr="00E81073">
              <w:rPr>
                <w:rFonts w:ascii="Arial Narrow" w:hAnsi="Arial Narrow"/>
                <w:i/>
                <w:sz w:val="18"/>
                <w:szCs w:val="18"/>
              </w:rPr>
              <w:t>BKZ (W16 meta-analysis) v IXE (W12 meta-analysis), via PBO</w:t>
            </w:r>
          </w:p>
        </w:tc>
        <w:tc>
          <w:tcPr>
            <w:tcW w:w="776" w:type="pct"/>
            <w:tcBorders>
              <w:top w:val="nil"/>
              <w:bottom w:val="nil"/>
              <w:right w:val="single" w:sz="4" w:space="0" w:color="auto"/>
            </w:tcBorders>
            <w:shd w:val="clear" w:color="auto" w:fill="auto"/>
            <w:vAlign w:val="center"/>
          </w:tcPr>
          <w:p w14:paraId="5F399AD4" w14:textId="26533EC9" w:rsidR="00DE4C41" w:rsidRPr="00E81073" w:rsidRDefault="00DE4C41" w:rsidP="0028081E">
            <w:pPr>
              <w:keepNext/>
              <w:jc w:val="center"/>
              <w:rPr>
                <w:rFonts w:ascii="Arial Narrow" w:hAnsi="Arial Narrow"/>
                <w:i/>
                <w:iCs/>
                <w:sz w:val="18"/>
                <w:szCs w:val="18"/>
                <w:highlight w:val="yellow"/>
              </w:rPr>
            </w:pPr>
            <w:r w:rsidRPr="00E81073">
              <w:rPr>
                <w:rFonts w:ascii="Arial Narrow" w:hAnsi="Arial Narrow"/>
                <w:i/>
                <w:iCs/>
                <w:sz w:val="18"/>
                <w:szCs w:val="18"/>
              </w:rPr>
              <w:t>1.62 (0.94,</w:t>
            </w:r>
            <w:r w:rsidR="009C43E7" w:rsidRPr="00E81073">
              <w:rPr>
                <w:rFonts w:ascii="Arial Narrow" w:hAnsi="Arial Narrow"/>
                <w:i/>
                <w:iCs/>
                <w:sz w:val="18"/>
                <w:szCs w:val="18"/>
              </w:rPr>
              <w:t xml:space="preserve"> </w:t>
            </w:r>
            <w:r w:rsidRPr="00E81073">
              <w:rPr>
                <w:rFonts w:ascii="Arial Narrow" w:hAnsi="Arial Narrow"/>
                <w:i/>
                <w:iCs/>
                <w:sz w:val="18"/>
                <w:szCs w:val="18"/>
              </w:rPr>
              <w:t>2.78)</w:t>
            </w:r>
          </w:p>
        </w:tc>
        <w:tc>
          <w:tcPr>
            <w:tcW w:w="776" w:type="pct"/>
            <w:tcBorders>
              <w:top w:val="nil"/>
              <w:left w:val="single" w:sz="4" w:space="0" w:color="auto"/>
              <w:bottom w:val="nil"/>
              <w:right w:val="single" w:sz="4" w:space="0" w:color="auto"/>
            </w:tcBorders>
            <w:shd w:val="clear" w:color="auto" w:fill="auto"/>
            <w:vAlign w:val="center"/>
          </w:tcPr>
          <w:p w14:paraId="3FF5A396" w14:textId="39E6A1FD" w:rsidR="00DE4C41" w:rsidRPr="00E81073" w:rsidRDefault="00DE4C41" w:rsidP="0028081E">
            <w:pPr>
              <w:keepNext/>
              <w:jc w:val="center"/>
              <w:rPr>
                <w:rFonts w:ascii="Arial Narrow" w:hAnsi="Arial Narrow"/>
                <w:b/>
                <w:i/>
                <w:iCs/>
                <w:sz w:val="18"/>
                <w:szCs w:val="18"/>
                <w:highlight w:val="yellow"/>
              </w:rPr>
            </w:pPr>
            <w:r w:rsidRPr="00E81073">
              <w:rPr>
                <w:rFonts w:ascii="Arial Narrow" w:hAnsi="Arial Narrow"/>
                <w:b/>
                <w:i/>
                <w:iCs/>
                <w:sz w:val="18"/>
                <w:szCs w:val="18"/>
              </w:rPr>
              <w:t>2.27 (1.01,</w:t>
            </w:r>
            <w:r w:rsidR="00F037F9" w:rsidRPr="00E81073">
              <w:rPr>
                <w:rFonts w:ascii="Arial Narrow" w:hAnsi="Arial Narrow"/>
                <w:b/>
                <w:i/>
                <w:iCs/>
                <w:sz w:val="18"/>
                <w:szCs w:val="18"/>
              </w:rPr>
              <w:t xml:space="preserve"> </w:t>
            </w:r>
            <w:r w:rsidRPr="00E81073">
              <w:rPr>
                <w:rFonts w:ascii="Arial Narrow" w:hAnsi="Arial Narrow"/>
                <w:b/>
                <w:i/>
                <w:iCs/>
                <w:sz w:val="18"/>
                <w:szCs w:val="18"/>
              </w:rPr>
              <w:t>5.12)</w:t>
            </w:r>
          </w:p>
        </w:tc>
        <w:tc>
          <w:tcPr>
            <w:tcW w:w="776" w:type="pct"/>
            <w:tcBorders>
              <w:top w:val="nil"/>
              <w:left w:val="single" w:sz="4" w:space="0" w:color="auto"/>
              <w:bottom w:val="nil"/>
              <w:right w:val="single" w:sz="4" w:space="0" w:color="auto"/>
            </w:tcBorders>
            <w:shd w:val="clear" w:color="auto" w:fill="auto"/>
            <w:vAlign w:val="center"/>
          </w:tcPr>
          <w:p w14:paraId="4D9192E6" w14:textId="261E70E6" w:rsidR="00DE4C41" w:rsidRPr="00E81073" w:rsidRDefault="00DE4C41" w:rsidP="0028081E">
            <w:pPr>
              <w:keepNext/>
              <w:jc w:val="center"/>
              <w:rPr>
                <w:rFonts w:ascii="Arial Narrow" w:hAnsi="Arial Narrow"/>
                <w:b/>
                <w:i/>
                <w:iCs/>
                <w:sz w:val="18"/>
                <w:szCs w:val="18"/>
                <w:highlight w:val="yellow"/>
              </w:rPr>
            </w:pPr>
            <w:r w:rsidRPr="00E81073">
              <w:rPr>
                <w:rFonts w:ascii="Arial Narrow" w:hAnsi="Arial Narrow"/>
                <w:b/>
                <w:i/>
                <w:iCs/>
                <w:sz w:val="18"/>
                <w:szCs w:val="18"/>
              </w:rPr>
              <w:t>0.18 (0.03,</w:t>
            </w:r>
            <w:r w:rsidR="00006BB3" w:rsidRPr="00E81073">
              <w:rPr>
                <w:rFonts w:ascii="Arial Narrow" w:hAnsi="Arial Narrow"/>
                <w:b/>
                <w:i/>
                <w:iCs/>
                <w:sz w:val="18"/>
                <w:szCs w:val="18"/>
              </w:rPr>
              <w:t xml:space="preserve"> </w:t>
            </w:r>
            <w:r w:rsidRPr="00E81073">
              <w:rPr>
                <w:rFonts w:ascii="Arial Narrow" w:hAnsi="Arial Narrow"/>
                <w:b/>
                <w:i/>
                <w:iCs/>
                <w:sz w:val="18"/>
                <w:szCs w:val="18"/>
              </w:rPr>
              <w:t>0.33)</w:t>
            </w:r>
          </w:p>
        </w:tc>
      </w:tr>
      <w:tr w:rsidR="00DE4C41" w:rsidRPr="00E81073" w14:paraId="2E978326" w14:textId="77777777" w:rsidTr="00621EA3">
        <w:tc>
          <w:tcPr>
            <w:tcW w:w="2673" w:type="pct"/>
            <w:gridSpan w:val="3"/>
            <w:tcBorders>
              <w:top w:val="nil"/>
            </w:tcBorders>
            <w:shd w:val="clear" w:color="auto" w:fill="auto"/>
            <w:vAlign w:val="center"/>
          </w:tcPr>
          <w:p w14:paraId="502B7A92" w14:textId="1A9BD1CF" w:rsidR="00DE4C41" w:rsidRPr="00E81073" w:rsidRDefault="00DE4C41" w:rsidP="0028081E">
            <w:pPr>
              <w:keepNext/>
              <w:jc w:val="left"/>
              <w:rPr>
                <w:rFonts w:ascii="Arial Narrow" w:hAnsi="Arial Narrow"/>
                <w:i/>
                <w:iCs/>
                <w:sz w:val="18"/>
                <w:szCs w:val="18"/>
              </w:rPr>
            </w:pPr>
            <w:r w:rsidRPr="00E81073">
              <w:rPr>
                <w:rFonts w:ascii="Arial Narrow" w:hAnsi="Arial Narrow"/>
                <w:i/>
                <w:sz w:val="18"/>
                <w:szCs w:val="18"/>
              </w:rPr>
              <w:t xml:space="preserve">BKZ (W16 </w:t>
            </w:r>
            <w:r w:rsidR="009C43E7" w:rsidRPr="00E81073">
              <w:rPr>
                <w:rFonts w:ascii="Arial Narrow" w:hAnsi="Arial Narrow"/>
                <w:i/>
                <w:sz w:val="18"/>
                <w:szCs w:val="18"/>
              </w:rPr>
              <w:t xml:space="preserve">BE </w:t>
            </w:r>
            <w:r w:rsidRPr="00E81073">
              <w:rPr>
                <w:rFonts w:ascii="Arial Narrow" w:hAnsi="Arial Narrow"/>
                <w:i/>
                <w:sz w:val="18"/>
                <w:szCs w:val="18"/>
              </w:rPr>
              <w:t>OP</w:t>
            </w:r>
            <w:r w:rsidR="009C43E7" w:rsidRPr="00E81073">
              <w:rPr>
                <w:rFonts w:ascii="Arial Narrow" w:hAnsi="Arial Narrow"/>
                <w:i/>
                <w:sz w:val="18"/>
                <w:szCs w:val="18"/>
              </w:rPr>
              <w:t>T</w:t>
            </w:r>
            <w:r w:rsidRPr="00E81073">
              <w:rPr>
                <w:rFonts w:ascii="Arial Narrow" w:hAnsi="Arial Narrow"/>
                <w:i/>
                <w:sz w:val="18"/>
                <w:szCs w:val="18"/>
              </w:rPr>
              <w:t>IMAL) v IXE (W12 SPIRIT 1), via ADA</w:t>
            </w:r>
          </w:p>
        </w:tc>
        <w:tc>
          <w:tcPr>
            <w:tcW w:w="776" w:type="pct"/>
            <w:tcBorders>
              <w:top w:val="nil"/>
              <w:bottom w:val="single" w:sz="4" w:space="0" w:color="auto"/>
              <w:right w:val="single" w:sz="4" w:space="0" w:color="auto"/>
            </w:tcBorders>
            <w:shd w:val="clear" w:color="auto" w:fill="auto"/>
            <w:vAlign w:val="center"/>
          </w:tcPr>
          <w:p w14:paraId="2F0A00BE" w14:textId="66CCA4A0" w:rsidR="00DE4C41" w:rsidRPr="00E81073" w:rsidRDefault="00DE4C41" w:rsidP="0028081E">
            <w:pPr>
              <w:keepNext/>
              <w:jc w:val="center"/>
              <w:rPr>
                <w:rFonts w:ascii="Arial Narrow" w:hAnsi="Arial Narrow"/>
                <w:i/>
                <w:iCs/>
                <w:sz w:val="18"/>
                <w:szCs w:val="18"/>
                <w:highlight w:val="yellow"/>
              </w:rPr>
            </w:pPr>
            <w:r w:rsidRPr="00E81073">
              <w:rPr>
                <w:rFonts w:ascii="Arial Narrow" w:hAnsi="Arial Narrow"/>
                <w:i/>
                <w:iCs/>
                <w:sz w:val="18"/>
                <w:szCs w:val="18"/>
              </w:rPr>
              <w:t>0.82 (0.62,</w:t>
            </w:r>
            <w:r w:rsidR="009C43E7" w:rsidRPr="00E81073">
              <w:rPr>
                <w:rFonts w:ascii="Arial Narrow" w:hAnsi="Arial Narrow"/>
                <w:i/>
                <w:iCs/>
                <w:sz w:val="18"/>
                <w:szCs w:val="18"/>
              </w:rPr>
              <w:t xml:space="preserve"> </w:t>
            </w:r>
            <w:r w:rsidRPr="00E81073">
              <w:rPr>
                <w:rFonts w:ascii="Arial Narrow" w:hAnsi="Arial Narrow"/>
                <w:i/>
                <w:iCs/>
                <w:sz w:val="18"/>
                <w:szCs w:val="18"/>
              </w:rPr>
              <w:t>1.09)</w:t>
            </w:r>
          </w:p>
        </w:tc>
        <w:tc>
          <w:tcPr>
            <w:tcW w:w="776" w:type="pct"/>
            <w:tcBorders>
              <w:top w:val="nil"/>
              <w:left w:val="single" w:sz="4" w:space="0" w:color="auto"/>
              <w:bottom w:val="single" w:sz="4" w:space="0" w:color="auto"/>
              <w:right w:val="single" w:sz="4" w:space="0" w:color="auto"/>
            </w:tcBorders>
            <w:shd w:val="clear" w:color="auto" w:fill="auto"/>
            <w:vAlign w:val="center"/>
          </w:tcPr>
          <w:p w14:paraId="2DCB3A5D" w14:textId="5FE12C38" w:rsidR="00DE4C41" w:rsidRPr="00E81073" w:rsidRDefault="00DE4C41" w:rsidP="0028081E">
            <w:pPr>
              <w:keepNext/>
              <w:jc w:val="center"/>
              <w:rPr>
                <w:rFonts w:ascii="Arial Narrow" w:hAnsi="Arial Narrow"/>
                <w:i/>
                <w:iCs/>
                <w:sz w:val="18"/>
                <w:szCs w:val="18"/>
                <w:highlight w:val="yellow"/>
              </w:rPr>
            </w:pPr>
            <w:r w:rsidRPr="00E81073">
              <w:rPr>
                <w:rFonts w:ascii="Arial Narrow" w:hAnsi="Arial Narrow"/>
                <w:i/>
                <w:iCs/>
                <w:sz w:val="18"/>
                <w:szCs w:val="18"/>
              </w:rPr>
              <w:t>0.60 (0.30,</w:t>
            </w:r>
            <w:r w:rsidR="00F037F9" w:rsidRPr="00E81073">
              <w:rPr>
                <w:rFonts w:ascii="Arial Narrow" w:hAnsi="Arial Narrow"/>
                <w:i/>
                <w:iCs/>
                <w:sz w:val="18"/>
                <w:szCs w:val="18"/>
              </w:rPr>
              <w:t xml:space="preserve"> </w:t>
            </w:r>
            <w:r w:rsidRPr="00E81073">
              <w:rPr>
                <w:rFonts w:ascii="Arial Narrow" w:hAnsi="Arial Narrow"/>
                <w:i/>
                <w:iCs/>
                <w:sz w:val="18"/>
                <w:szCs w:val="18"/>
              </w:rPr>
              <w:t>1.19)</w:t>
            </w:r>
          </w:p>
        </w:tc>
        <w:tc>
          <w:tcPr>
            <w:tcW w:w="776" w:type="pct"/>
            <w:tcBorders>
              <w:top w:val="nil"/>
              <w:left w:val="single" w:sz="4" w:space="0" w:color="auto"/>
              <w:bottom w:val="single" w:sz="4" w:space="0" w:color="auto"/>
              <w:right w:val="single" w:sz="4" w:space="0" w:color="auto"/>
            </w:tcBorders>
            <w:shd w:val="clear" w:color="auto" w:fill="auto"/>
            <w:vAlign w:val="center"/>
          </w:tcPr>
          <w:p w14:paraId="688AC43F" w14:textId="10DFBAD5" w:rsidR="00DE4C41" w:rsidRPr="00E81073" w:rsidRDefault="00DE4C41" w:rsidP="0028081E">
            <w:pPr>
              <w:keepNext/>
              <w:jc w:val="center"/>
              <w:rPr>
                <w:rFonts w:ascii="Arial Narrow" w:hAnsi="Arial Narrow"/>
                <w:i/>
                <w:iCs/>
                <w:sz w:val="18"/>
                <w:szCs w:val="18"/>
                <w:highlight w:val="yellow"/>
              </w:rPr>
            </w:pPr>
            <w:r w:rsidRPr="00E81073">
              <w:rPr>
                <w:rFonts w:ascii="Arial Narrow" w:hAnsi="Arial Narrow"/>
                <w:i/>
                <w:iCs/>
                <w:sz w:val="18"/>
                <w:szCs w:val="18"/>
              </w:rPr>
              <w:t>-0.12 (-0.28,</w:t>
            </w:r>
            <w:r w:rsidR="00006BB3" w:rsidRPr="00E81073">
              <w:rPr>
                <w:rFonts w:ascii="Arial Narrow" w:hAnsi="Arial Narrow"/>
                <w:i/>
                <w:iCs/>
                <w:sz w:val="18"/>
                <w:szCs w:val="18"/>
              </w:rPr>
              <w:t xml:space="preserve"> </w:t>
            </w:r>
            <w:r w:rsidRPr="00E81073">
              <w:rPr>
                <w:rFonts w:ascii="Arial Narrow" w:hAnsi="Arial Narrow"/>
                <w:i/>
                <w:iCs/>
                <w:sz w:val="18"/>
                <w:szCs w:val="18"/>
              </w:rPr>
              <w:t>0.04)</w:t>
            </w:r>
          </w:p>
        </w:tc>
      </w:tr>
      <w:tr w:rsidR="00DE4C41" w:rsidRPr="00E81073" w14:paraId="4CAA4AAE" w14:textId="77777777" w:rsidTr="00621EA3">
        <w:tc>
          <w:tcPr>
            <w:tcW w:w="2673" w:type="pct"/>
            <w:gridSpan w:val="3"/>
            <w:tcBorders>
              <w:bottom w:val="single" w:sz="4" w:space="0" w:color="auto"/>
            </w:tcBorders>
            <w:shd w:val="clear" w:color="auto" w:fill="auto"/>
            <w:vAlign w:val="center"/>
          </w:tcPr>
          <w:p w14:paraId="058F0F9E" w14:textId="77777777" w:rsidR="00DE4C41" w:rsidRPr="00E81073" w:rsidRDefault="00DE4C41" w:rsidP="0028081E">
            <w:pPr>
              <w:keepNext/>
              <w:jc w:val="left"/>
              <w:rPr>
                <w:rFonts w:ascii="Arial Narrow" w:hAnsi="Arial Narrow"/>
                <w:sz w:val="18"/>
                <w:szCs w:val="18"/>
              </w:rPr>
            </w:pPr>
            <w:r w:rsidRPr="00E81073">
              <w:rPr>
                <w:rFonts w:ascii="Arial Narrow" w:hAnsi="Arial Narrow"/>
                <w:b/>
                <w:bCs/>
                <w:sz w:val="18"/>
                <w:szCs w:val="18"/>
              </w:rPr>
              <w:t>Indirect comparisons, bNaive</w:t>
            </w:r>
          </w:p>
        </w:tc>
        <w:tc>
          <w:tcPr>
            <w:tcW w:w="776" w:type="pct"/>
            <w:tcBorders>
              <w:top w:val="single" w:sz="4" w:space="0" w:color="auto"/>
              <w:bottom w:val="nil"/>
              <w:right w:val="single" w:sz="4" w:space="0" w:color="auto"/>
            </w:tcBorders>
            <w:shd w:val="clear" w:color="auto" w:fill="auto"/>
            <w:vAlign w:val="center"/>
          </w:tcPr>
          <w:p w14:paraId="5C56C676" w14:textId="77777777" w:rsidR="00DE4C41" w:rsidRPr="00E81073" w:rsidRDefault="00DE4C41" w:rsidP="0028081E">
            <w:pPr>
              <w:keepNext/>
              <w:jc w:val="center"/>
              <w:rPr>
                <w:rFonts w:ascii="Arial Narrow" w:hAnsi="Arial Narrow"/>
                <w:sz w:val="18"/>
                <w:szCs w:val="18"/>
                <w:highlight w:val="yellow"/>
              </w:rPr>
            </w:pPr>
          </w:p>
        </w:tc>
        <w:tc>
          <w:tcPr>
            <w:tcW w:w="776" w:type="pct"/>
            <w:tcBorders>
              <w:top w:val="single" w:sz="4" w:space="0" w:color="auto"/>
              <w:left w:val="single" w:sz="4" w:space="0" w:color="auto"/>
              <w:bottom w:val="nil"/>
              <w:right w:val="single" w:sz="4" w:space="0" w:color="auto"/>
            </w:tcBorders>
            <w:shd w:val="clear" w:color="auto" w:fill="auto"/>
            <w:vAlign w:val="center"/>
          </w:tcPr>
          <w:p w14:paraId="08088133" w14:textId="77777777" w:rsidR="00DE4C41" w:rsidRPr="00E81073" w:rsidRDefault="00DE4C41" w:rsidP="0028081E">
            <w:pPr>
              <w:keepNext/>
              <w:jc w:val="center"/>
              <w:rPr>
                <w:rFonts w:ascii="Arial Narrow" w:hAnsi="Arial Narrow"/>
                <w:sz w:val="18"/>
                <w:szCs w:val="18"/>
                <w:highlight w:val="yellow"/>
              </w:rPr>
            </w:pPr>
          </w:p>
        </w:tc>
        <w:tc>
          <w:tcPr>
            <w:tcW w:w="776" w:type="pct"/>
            <w:tcBorders>
              <w:top w:val="single" w:sz="4" w:space="0" w:color="auto"/>
              <w:left w:val="single" w:sz="4" w:space="0" w:color="auto"/>
              <w:bottom w:val="nil"/>
              <w:right w:val="single" w:sz="4" w:space="0" w:color="auto"/>
            </w:tcBorders>
            <w:shd w:val="clear" w:color="auto" w:fill="auto"/>
            <w:vAlign w:val="center"/>
          </w:tcPr>
          <w:p w14:paraId="49513D52" w14:textId="77777777" w:rsidR="00DE4C41" w:rsidRPr="00E81073" w:rsidRDefault="00DE4C41" w:rsidP="0028081E">
            <w:pPr>
              <w:keepNext/>
              <w:jc w:val="center"/>
              <w:rPr>
                <w:rFonts w:ascii="Arial Narrow" w:hAnsi="Arial Narrow"/>
                <w:sz w:val="18"/>
                <w:szCs w:val="18"/>
                <w:highlight w:val="yellow"/>
              </w:rPr>
            </w:pPr>
          </w:p>
        </w:tc>
      </w:tr>
      <w:tr w:rsidR="00DE4C41" w:rsidRPr="00E81073" w14:paraId="0356567E" w14:textId="77777777" w:rsidTr="00621EA3">
        <w:tc>
          <w:tcPr>
            <w:tcW w:w="2673" w:type="pct"/>
            <w:gridSpan w:val="3"/>
            <w:tcBorders>
              <w:bottom w:val="nil"/>
            </w:tcBorders>
            <w:shd w:val="clear" w:color="auto" w:fill="auto"/>
            <w:vAlign w:val="center"/>
          </w:tcPr>
          <w:p w14:paraId="3BFFD186" w14:textId="77777777" w:rsidR="00DE4C41" w:rsidRPr="00E81073" w:rsidRDefault="00DE4C41" w:rsidP="0028081E">
            <w:pPr>
              <w:keepNext/>
              <w:jc w:val="left"/>
              <w:rPr>
                <w:rFonts w:ascii="Arial Narrow" w:hAnsi="Arial Narrow"/>
                <w:sz w:val="18"/>
                <w:szCs w:val="18"/>
              </w:rPr>
            </w:pPr>
            <w:r w:rsidRPr="00E81073">
              <w:rPr>
                <w:rFonts w:ascii="Arial Narrow" w:hAnsi="Arial Narrow"/>
                <w:sz w:val="18"/>
                <w:szCs w:val="18"/>
              </w:rPr>
              <w:t>BKZ (W16 BE OPTIMAL) v IXE (W12 SPIRIT 1), via PBO</w:t>
            </w:r>
          </w:p>
        </w:tc>
        <w:tc>
          <w:tcPr>
            <w:tcW w:w="776" w:type="pct"/>
            <w:tcBorders>
              <w:top w:val="nil"/>
              <w:bottom w:val="nil"/>
              <w:right w:val="single" w:sz="4" w:space="0" w:color="auto"/>
            </w:tcBorders>
            <w:shd w:val="clear" w:color="auto" w:fill="auto"/>
            <w:vAlign w:val="center"/>
          </w:tcPr>
          <w:p w14:paraId="6015D320" w14:textId="53D47154" w:rsidR="00DE4C41" w:rsidRPr="00E81073" w:rsidRDefault="00DE4C41" w:rsidP="0028081E">
            <w:pPr>
              <w:keepNext/>
              <w:jc w:val="center"/>
              <w:rPr>
                <w:rFonts w:ascii="Arial Narrow" w:hAnsi="Arial Narrow"/>
                <w:sz w:val="18"/>
                <w:szCs w:val="18"/>
              </w:rPr>
            </w:pPr>
            <w:r w:rsidRPr="00E81073">
              <w:rPr>
                <w:rFonts w:ascii="Arial Narrow" w:hAnsi="Arial Narrow"/>
                <w:sz w:val="18"/>
                <w:szCs w:val="18"/>
              </w:rPr>
              <w:t>1.43 (0.96,</w:t>
            </w:r>
            <w:r w:rsidR="009C43E7" w:rsidRPr="00E81073">
              <w:rPr>
                <w:rFonts w:ascii="Arial Narrow" w:hAnsi="Arial Narrow"/>
                <w:sz w:val="18"/>
                <w:szCs w:val="18"/>
              </w:rPr>
              <w:t xml:space="preserve"> </w:t>
            </w:r>
            <w:r w:rsidRPr="00E81073">
              <w:rPr>
                <w:rFonts w:ascii="Arial Narrow" w:hAnsi="Arial Narrow"/>
                <w:sz w:val="18"/>
                <w:szCs w:val="18"/>
              </w:rPr>
              <w:t>2.12)</w:t>
            </w:r>
          </w:p>
        </w:tc>
        <w:tc>
          <w:tcPr>
            <w:tcW w:w="776" w:type="pct"/>
            <w:tcBorders>
              <w:top w:val="nil"/>
              <w:left w:val="single" w:sz="4" w:space="0" w:color="auto"/>
              <w:bottom w:val="nil"/>
              <w:right w:val="single" w:sz="4" w:space="0" w:color="auto"/>
            </w:tcBorders>
            <w:shd w:val="clear" w:color="auto" w:fill="auto"/>
            <w:vAlign w:val="center"/>
          </w:tcPr>
          <w:p w14:paraId="40515D79" w14:textId="10744798" w:rsidR="00DE4C41" w:rsidRPr="00E81073" w:rsidRDefault="00DE4C41" w:rsidP="0028081E">
            <w:pPr>
              <w:keepNext/>
              <w:jc w:val="center"/>
              <w:rPr>
                <w:rFonts w:ascii="Arial Narrow" w:hAnsi="Arial Narrow"/>
                <w:sz w:val="18"/>
                <w:szCs w:val="18"/>
                <w:highlight w:val="yellow"/>
              </w:rPr>
            </w:pPr>
            <w:r w:rsidRPr="00E81073">
              <w:rPr>
                <w:rFonts w:ascii="Arial Narrow" w:hAnsi="Arial Narrow"/>
                <w:sz w:val="18"/>
                <w:szCs w:val="18"/>
              </w:rPr>
              <w:t>1.79 (0.93,</w:t>
            </w:r>
            <w:r w:rsidR="007D4526" w:rsidRPr="00E81073">
              <w:rPr>
                <w:rFonts w:ascii="Arial Narrow" w:hAnsi="Arial Narrow"/>
                <w:sz w:val="18"/>
                <w:szCs w:val="18"/>
              </w:rPr>
              <w:t xml:space="preserve"> </w:t>
            </w:r>
            <w:r w:rsidRPr="00E81073">
              <w:rPr>
                <w:rFonts w:ascii="Arial Narrow" w:hAnsi="Arial Narrow"/>
                <w:sz w:val="18"/>
                <w:szCs w:val="18"/>
              </w:rPr>
              <w:t>3.45)</w:t>
            </w:r>
          </w:p>
        </w:tc>
        <w:tc>
          <w:tcPr>
            <w:tcW w:w="776" w:type="pct"/>
            <w:tcBorders>
              <w:top w:val="nil"/>
              <w:left w:val="single" w:sz="4" w:space="0" w:color="auto"/>
              <w:bottom w:val="nil"/>
              <w:right w:val="single" w:sz="4" w:space="0" w:color="auto"/>
            </w:tcBorders>
            <w:shd w:val="clear" w:color="auto" w:fill="auto"/>
            <w:vAlign w:val="center"/>
          </w:tcPr>
          <w:p w14:paraId="0C7BC58C" w14:textId="720F496E" w:rsidR="00DE4C41" w:rsidRPr="00E81073" w:rsidRDefault="00DE4C41" w:rsidP="0028081E">
            <w:pPr>
              <w:keepNext/>
              <w:jc w:val="center"/>
              <w:rPr>
                <w:rFonts w:ascii="Arial Narrow" w:hAnsi="Arial Narrow"/>
                <w:sz w:val="18"/>
                <w:szCs w:val="18"/>
                <w:highlight w:val="yellow"/>
              </w:rPr>
            </w:pPr>
            <w:r w:rsidRPr="00E81073">
              <w:rPr>
                <w:rFonts w:ascii="Arial Narrow" w:hAnsi="Arial Narrow"/>
                <w:sz w:val="18"/>
                <w:szCs w:val="18"/>
              </w:rPr>
              <w:t>0.12 (-0.03,</w:t>
            </w:r>
            <w:r w:rsidR="00006BB3" w:rsidRPr="00E81073">
              <w:rPr>
                <w:rFonts w:ascii="Arial Narrow" w:hAnsi="Arial Narrow"/>
                <w:sz w:val="18"/>
                <w:szCs w:val="18"/>
              </w:rPr>
              <w:t xml:space="preserve"> </w:t>
            </w:r>
            <w:r w:rsidRPr="00E81073">
              <w:rPr>
                <w:rFonts w:ascii="Arial Narrow" w:hAnsi="Arial Narrow"/>
                <w:sz w:val="18"/>
                <w:szCs w:val="18"/>
              </w:rPr>
              <w:t>0.27)</w:t>
            </w:r>
          </w:p>
        </w:tc>
      </w:tr>
      <w:tr w:rsidR="00DE4C41" w:rsidRPr="00E81073" w14:paraId="109A81B7" w14:textId="77777777" w:rsidTr="00621EA3">
        <w:tc>
          <w:tcPr>
            <w:tcW w:w="2673" w:type="pct"/>
            <w:gridSpan w:val="3"/>
            <w:tcBorders>
              <w:top w:val="nil"/>
            </w:tcBorders>
            <w:shd w:val="clear" w:color="auto" w:fill="auto"/>
            <w:vAlign w:val="center"/>
          </w:tcPr>
          <w:p w14:paraId="2240CFF4" w14:textId="77777777" w:rsidR="00DE4C41" w:rsidRPr="00E81073" w:rsidRDefault="00DE4C41" w:rsidP="0028081E">
            <w:pPr>
              <w:keepNext/>
              <w:jc w:val="left"/>
              <w:rPr>
                <w:rFonts w:ascii="Arial Narrow" w:hAnsi="Arial Narrow"/>
                <w:i/>
                <w:iCs/>
                <w:sz w:val="18"/>
                <w:szCs w:val="18"/>
              </w:rPr>
            </w:pPr>
            <w:r w:rsidRPr="00E81073">
              <w:rPr>
                <w:rFonts w:ascii="Arial Narrow" w:hAnsi="Arial Narrow"/>
                <w:i/>
                <w:sz w:val="18"/>
                <w:szCs w:val="18"/>
              </w:rPr>
              <w:t>BKZ (W16 BE OPTIMAL) v IXE (W12 SPIRIT 1), via ADA</w:t>
            </w:r>
          </w:p>
        </w:tc>
        <w:tc>
          <w:tcPr>
            <w:tcW w:w="776" w:type="pct"/>
            <w:tcBorders>
              <w:top w:val="nil"/>
              <w:bottom w:val="single" w:sz="4" w:space="0" w:color="auto"/>
              <w:right w:val="single" w:sz="4" w:space="0" w:color="auto"/>
            </w:tcBorders>
            <w:shd w:val="clear" w:color="auto" w:fill="auto"/>
            <w:vAlign w:val="center"/>
          </w:tcPr>
          <w:p w14:paraId="2B76959D" w14:textId="180C903D" w:rsidR="00DE4C41" w:rsidRPr="00E81073" w:rsidRDefault="00DE4C41" w:rsidP="0028081E">
            <w:pPr>
              <w:keepNext/>
              <w:bidi/>
              <w:jc w:val="center"/>
              <w:rPr>
                <w:rFonts w:ascii="Arial Narrow" w:hAnsi="Arial Narrow"/>
                <w:sz w:val="18"/>
                <w:szCs w:val="18"/>
              </w:rPr>
            </w:pPr>
            <w:r w:rsidRPr="00E81073">
              <w:rPr>
                <w:rFonts w:ascii="Arial Narrow" w:hAnsi="Arial Narrow"/>
                <w:i/>
                <w:iCs/>
                <w:sz w:val="18"/>
                <w:szCs w:val="18"/>
              </w:rPr>
              <w:t>0.82 (0.62,</w:t>
            </w:r>
            <w:r w:rsidR="009C43E7" w:rsidRPr="00E81073">
              <w:rPr>
                <w:rFonts w:ascii="Arial Narrow" w:hAnsi="Arial Narrow"/>
                <w:i/>
                <w:iCs/>
                <w:sz w:val="18"/>
                <w:szCs w:val="18"/>
              </w:rPr>
              <w:t xml:space="preserve"> </w:t>
            </w:r>
            <w:r w:rsidRPr="00E81073">
              <w:rPr>
                <w:rFonts w:ascii="Arial Narrow" w:hAnsi="Arial Narrow"/>
                <w:i/>
                <w:iCs/>
                <w:sz w:val="18"/>
                <w:szCs w:val="18"/>
              </w:rPr>
              <w:t>1.09)</w:t>
            </w:r>
          </w:p>
        </w:tc>
        <w:tc>
          <w:tcPr>
            <w:tcW w:w="776" w:type="pct"/>
            <w:tcBorders>
              <w:top w:val="nil"/>
              <w:left w:val="single" w:sz="4" w:space="0" w:color="auto"/>
              <w:bottom w:val="single" w:sz="4" w:space="0" w:color="auto"/>
              <w:right w:val="single" w:sz="4" w:space="0" w:color="auto"/>
            </w:tcBorders>
            <w:shd w:val="clear" w:color="auto" w:fill="auto"/>
            <w:vAlign w:val="center"/>
          </w:tcPr>
          <w:p w14:paraId="7F5676EE" w14:textId="57EB3B94" w:rsidR="00DE4C41" w:rsidRPr="00E81073" w:rsidRDefault="00DE4C41" w:rsidP="0028081E">
            <w:pPr>
              <w:keepNext/>
              <w:jc w:val="center"/>
              <w:rPr>
                <w:rFonts w:ascii="Arial Narrow" w:hAnsi="Arial Narrow"/>
                <w:sz w:val="18"/>
                <w:szCs w:val="18"/>
                <w:highlight w:val="yellow"/>
              </w:rPr>
            </w:pPr>
            <w:r w:rsidRPr="00E81073">
              <w:rPr>
                <w:rFonts w:ascii="Arial Narrow" w:hAnsi="Arial Narrow"/>
                <w:i/>
                <w:iCs/>
                <w:sz w:val="18"/>
                <w:szCs w:val="18"/>
              </w:rPr>
              <w:t>0.60 (0.30,</w:t>
            </w:r>
            <w:r w:rsidR="007D4526" w:rsidRPr="00E81073">
              <w:rPr>
                <w:rFonts w:ascii="Arial Narrow" w:hAnsi="Arial Narrow"/>
                <w:i/>
                <w:iCs/>
                <w:sz w:val="18"/>
                <w:szCs w:val="18"/>
              </w:rPr>
              <w:t xml:space="preserve"> </w:t>
            </w:r>
            <w:r w:rsidRPr="00E81073">
              <w:rPr>
                <w:rFonts w:ascii="Arial Narrow" w:hAnsi="Arial Narrow"/>
                <w:i/>
                <w:iCs/>
                <w:sz w:val="18"/>
                <w:szCs w:val="18"/>
              </w:rPr>
              <w:t>1.19)</w:t>
            </w:r>
          </w:p>
        </w:tc>
        <w:tc>
          <w:tcPr>
            <w:tcW w:w="776" w:type="pct"/>
            <w:tcBorders>
              <w:top w:val="nil"/>
              <w:left w:val="single" w:sz="4" w:space="0" w:color="auto"/>
              <w:bottom w:val="single" w:sz="4" w:space="0" w:color="auto"/>
              <w:right w:val="single" w:sz="4" w:space="0" w:color="auto"/>
            </w:tcBorders>
            <w:shd w:val="clear" w:color="auto" w:fill="auto"/>
            <w:vAlign w:val="center"/>
          </w:tcPr>
          <w:p w14:paraId="331D92EE" w14:textId="4F80E8D0" w:rsidR="00DE4C41" w:rsidRPr="00E81073" w:rsidRDefault="00DE4C41" w:rsidP="0028081E">
            <w:pPr>
              <w:keepNext/>
              <w:jc w:val="center"/>
              <w:rPr>
                <w:rFonts w:ascii="Arial Narrow" w:hAnsi="Arial Narrow"/>
                <w:sz w:val="18"/>
                <w:szCs w:val="18"/>
                <w:highlight w:val="yellow"/>
              </w:rPr>
            </w:pPr>
            <w:r w:rsidRPr="00E81073">
              <w:rPr>
                <w:rFonts w:ascii="Arial Narrow" w:hAnsi="Arial Narrow"/>
                <w:sz w:val="18"/>
                <w:szCs w:val="18"/>
              </w:rPr>
              <w:t>-0.12 (-0.28,</w:t>
            </w:r>
            <w:r w:rsidR="00006BB3" w:rsidRPr="00E81073">
              <w:rPr>
                <w:rFonts w:ascii="Arial Narrow" w:hAnsi="Arial Narrow"/>
                <w:sz w:val="18"/>
                <w:szCs w:val="18"/>
              </w:rPr>
              <w:t xml:space="preserve"> </w:t>
            </w:r>
            <w:r w:rsidRPr="00E81073">
              <w:rPr>
                <w:rFonts w:ascii="Arial Narrow" w:hAnsi="Arial Narrow"/>
                <w:sz w:val="18"/>
                <w:szCs w:val="18"/>
              </w:rPr>
              <w:t>0.04)</w:t>
            </w:r>
          </w:p>
        </w:tc>
      </w:tr>
      <w:tr w:rsidR="00DE4C41" w:rsidRPr="00E81073" w14:paraId="7F2C5601" w14:textId="77777777" w:rsidTr="00621EA3">
        <w:tc>
          <w:tcPr>
            <w:tcW w:w="2673" w:type="pct"/>
            <w:gridSpan w:val="3"/>
            <w:shd w:val="clear" w:color="auto" w:fill="auto"/>
            <w:vAlign w:val="center"/>
          </w:tcPr>
          <w:p w14:paraId="126F0760" w14:textId="77777777" w:rsidR="00DE4C41" w:rsidRPr="00E81073" w:rsidRDefault="00DE4C41" w:rsidP="0028081E">
            <w:pPr>
              <w:keepNext/>
              <w:jc w:val="left"/>
              <w:rPr>
                <w:rFonts w:ascii="Arial Narrow" w:hAnsi="Arial Narrow"/>
                <w:i/>
                <w:iCs/>
                <w:sz w:val="18"/>
                <w:szCs w:val="18"/>
              </w:rPr>
            </w:pPr>
            <w:r w:rsidRPr="00E81073">
              <w:rPr>
                <w:rFonts w:ascii="Arial Narrow" w:hAnsi="Arial Narrow"/>
                <w:b/>
                <w:bCs/>
                <w:sz w:val="18"/>
                <w:szCs w:val="18"/>
              </w:rPr>
              <w:t>Indirect comparisons, TNFe</w:t>
            </w:r>
          </w:p>
        </w:tc>
        <w:tc>
          <w:tcPr>
            <w:tcW w:w="776" w:type="pct"/>
            <w:tcBorders>
              <w:top w:val="single" w:sz="4" w:space="0" w:color="auto"/>
              <w:bottom w:val="nil"/>
              <w:right w:val="single" w:sz="4" w:space="0" w:color="auto"/>
            </w:tcBorders>
            <w:shd w:val="clear" w:color="auto" w:fill="auto"/>
            <w:vAlign w:val="center"/>
          </w:tcPr>
          <w:p w14:paraId="487AA2B3" w14:textId="77777777" w:rsidR="00DE4C41" w:rsidRPr="00E81073" w:rsidRDefault="00DE4C41" w:rsidP="0028081E">
            <w:pPr>
              <w:keepNext/>
              <w:jc w:val="center"/>
              <w:rPr>
                <w:rFonts w:ascii="Arial Narrow" w:hAnsi="Arial Narrow"/>
                <w:sz w:val="18"/>
                <w:szCs w:val="18"/>
              </w:rPr>
            </w:pPr>
          </w:p>
        </w:tc>
        <w:tc>
          <w:tcPr>
            <w:tcW w:w="776" w:type="pct"/>
            <w:tcBorders>
              <w:top w:val="single" w:sz="4" w:space="0" w:color="auto"/>
              <w:left w:val="single" w:sz="4" w:space="0" w:color="auto"/>
              <w:bottom w:val="nil"/>
              <w:right w:val="single" w:sz="4" w:space="0" w:color="auto"/>
            </w:tcBorders>
            <w:shd w:val="clear" w:color="auto" w:fill="auto"/>
            <w:vAlign w:val="center"/>
          </w:tcPr>
          <w:p w14:paraId="23C0890B" w14:textId="77777777" w:rsidR="00DE4C41" w:rsidRPr="00E81073" w:rsidRDefault="00DE4C41" w:rsidP="0028081E">
            <w:pPr>
              <w:keepNext/>
              <w:jc w:val="center"/>
              <w:rPr>
                <w:rFonts w:ascii="Arial Narrow" w:hAnsi="Arial Narrow"/>
                <w:sz w:val="18"/>
                <w:szCs w:val="18"/>
                <w:highlight w:val="yellow"/>
              </w:rPr>
            </w:pPr>
          </w:p>
        </w:tc>
        <w:tc>
          <w:tcPr>
            <w:tcW w:w="776" w:type="pct"/>
            <w:tcBorders>
              <w:top w:val="single" w:sz="4" w:space="0" w:color="auto"/>
              <w:left w:val="single" w:sz="4" w:space="0" w:color="auto"/>
              <w:bottom w:val="nil"/>
              <w:right w:val="single" w:sz="4" w:space="0" w:color="auto"/>
            </w:tcBorders>
            <w:shd w:val="clear" w:color="auto" w:fill="auto"/>
            <w:vAlign w:val="center"/>
          </w:tcPr>
          <w:p w14:paraId="2C562092" w14:textId="77777777" w:rsidR="00DE4C41" w:rsidRPr="00E81073" w:rsidRDefault="00DE4C41" w:rsidP="0028081E">
            <w:pPr>
              <w:keepNext/>
              <w:jc w:val="center"/>
              <w:rPr>
                <w:rFonts w:ascii="Arial Narrow" w:hAnsi="Arial Narrow"/>
                <w:sz w:val="18"/>
                <w:szCs w:val="18"/>
                <w:highlight w:val="yellow"/>
              </w:rPr>
            </w:pPr>
          </w:p>
        </w:tc>
      </w:tr>
      <w:tr w:rsidR="00DE4C41" w:rsidRPr="00E81073" w14:paraId="336CA697" w14:textId="77777777" w:rsidTr="00621EA3">
        <w:tc>
          <w:tcPr>
            <w:tcW w:w="2673" w:type="pct"/>
            <w:gridSpan w:val="3"/>
            <w:shd w:val="clear" w:color="auto" w:fill="auto"/>
            <w:vAlign w:val="center"/>
          </w:tcPr>
          <w:p w14:paraId="62EC63D1" w14:textId="77777777" w:rsidR="00DE4C41" w:rsidRPr="00E81073" w:rsidRDefault="00DE4C41" w:rsidP="0028081E">
            <w:pPr>
              <w:keepNext/>
              <w:jc w:val="left"/>
              <w:rPr>
                <w:rFonts w:ascii="Arial Narrow" w:hAnsi="Arial Narrow"/>
                <w:i/>
                <w:iCs/>
                <w:sz w:val="18"/>
                <w:szCs w:val="18"/>
              </w:rPr>
            </w:pPr>
            <w:r w:rsidRPr="00E81073">
              <w:rPr>
                <w:rFonts w:ascii="Arial Narrow" w:hAnsi="Arial Narrow"/>
                <w:sz w:val="18"/>
                <w:szCs w:val="18"/>
              </w:rPr>
              <w:t>BKZ (W16 BE COMPLETE) v IXE (W12 SPIRIT 2), via PBO</w:t>
            </w:r>
          </w:p>
        </w:tc>
        <w:tc>
          <w:tcPr>
            <w:tcW w:w="776" w:type="pct"/>
            <w:tcBorders>
              <w:top w:val="nil"/>
              <w:bottom w:val="single" w:sz="4" w:space="0" w:color="auto"/>
              <w:right w:val="single" w:sz="4" w:space="0" w:color="auto"/>
            </w:tcBorders>
            <w:shd w:val="clear" w:color="auto" w:fill="auto"/>
            <w:vAlign w:val="center"/>
          </w:tcPr>
          <w:p w14:paraId="21BE21B8" w14:textId="33DE091E" w:rsidR="00DE4C41" w:rsidRPr="00E81073" w:rsidRDefault="00DE4C41" w:rsidP="0028081E">
            <w:pPr>
              <w:keepNext/>
              <w:jc w:val="center"/>
              <w:rPr>
                <w:rFonts w:ascii="Arial Narrow" w:hAnsi="Arial Narrow"/>
                <w:b/>
                <w:sz w:val="18"/>
                <w:szCs w:val="18"/>
              </w:rPr>
            </w:pPr>
            <w:r w:rsidRPr="00E81073">
              <w:rPr>
                <w:rFonts w:ascii="Arial Narrow" w:hAnsi="Arial Narrow"/>
                <w:b/>
                <w:sz w:val="18"/>
                <w:szCs w:val="18"/>
              </w:rPr>
              <w:t>1.87 (1.08,</w:t>
            </w:r>
            <w:r w:rsidR="009C43E7" w:rsidRPr="00E81073">
              <w:rPr>
                <w:rFonts w:ascii="Arial Narrow" w:hAnsi="Arial Narrow"/>
                <w:b/>
                <w:sz w:val="18"/>
                <w:szCs w:val="18"/>
              </w:rPr>
              <w:t xml:space="preserve"> </w:t>
            </w:r>
            <w:r w:rsidRPr="00E81073">
              <w:rPr>
                <w:rFonts w:ascii="Arial Narrow" w:hAnsi="Arial Narrow"/>
                <w:b/>
                <w:sz w:val="18"/>
                <w:szCs w:val="18"/>
              </w:rPr>
              <w:t>3.26)</w:t>
            </w:r>
          </w:p>
        </w:tc>
        <w:tc>
          <w:tcPr>
            <w:tcW w:w="776" w:type="pct"/>
            <w:tcBorders>
              <w:top w:val="nil"/>
              <w:left w:val="single" w:sz="4" w:space="0" w:color="auto"/>
              <w:bottom w:val="single" w:sz="4" w:space="0" w:color="auto"/>
              <w:right w:val="single" w:sz="4" w:space="0" w:color="auto"/>
            </w:tcBorders>
            <w:shd w:val="clear" w:color="auto" w:fill="auto"/>
            <w:vAlign w:val="center"/>
          </w:tcPr>
          <w:p w14:paraId="16204CB0" w14:textId="68B05CDA" w:rsidR="00DE4C41" w:rsidRPr="00E81073" w:rsidRDefault="00DE4C41" w:rsidP="0028081E">
            <w:pPr>
              <w:keepNext/>
              <w:jc w:val="center"/>
              <w:rPr>
                <w:rFonts w:ascii="Arial Narrow" w:hAnsi="Arial Narrow"/>
                <w:b/>
                <w:sz w:val="18"/>
                <w:szCs w:val="18"/>
                <w:highlight w:val="yellow"/>
              </w:rPr>
            </w:pPr>
            <w:r w:rsidRPr="00E81073">
              <w:rPr>
                <w:rFonts w:ascii="Arial Narrow" w:hAnsi="Arial Narrow"/>
                <w:b/>
                <w:sz w:val="18"/>
                <w:szCs w:val="18"/>
              </w:rPr>
              <w:t>3.0</w:t>
            </w:r>
            <w:r w:rsidR="007D4526" w:rsidRPr="00E81073">
              <w:rPr>
                <w:rFonts w:ascii="Arial Narrow" w:hAnsi="Arial Narrow"/>
                <w:b/>
                <w:i/>
                <w:sz w:val="18"/>
                <w:szCs w:val="18"/>
              </w:rPr>
              <w:t>7</w:t>
            </w:r>
            <w:r w:rsidRPr="00E81073">
              <w:rPr>
                <w:rFonts w:ascii="Arial Narrow" w:hAnsi="Arial Narrow"/>
                <w:b/>
                <w:sz w:val="18"/>
                <w:szCs w:val="18"/>
              </w:rPr>
              <w:t xml:space="preserve"> (1.42,</w:t>
            </w:r>
            <w:r w:rsidR="007D4526" w:rsidRPr="00E81073">
              <w:rPr>
                <w:rFonts w:ascii="Arial Narrow" w:hAnsi="Arial Narrow"/>
                <w:b/>
                <w:sz w:val="18"/>
                <w:szCs w:val="18"/>
              </w:rPr>
              <w:t xml:space="preserve"> </w:t>
            </w:r>
            <w:r w:rsidRPr="00E81073">
              <w:rPr>
                <w:rFonts w:ascii="Arial Narrow" w:hAnsi="Arial Narrow"/>
                <w:b/>
                <w:sz w:val="18"/>
                <w:szCs w:val="18"/>
              </w:rPr>
              <w:t>6.64)</w:t>
            </w:r>
          </w:p>
        </w:tc>
        <w:tc>
          <w:tcPr>
            <w:tcW w:w="776" w:type="pct"/>
            <w:tcBorders>
              <w:top w:val="nil"/>
              <w:left w:val="single" w:sz="4" w:space="0" w:color="auto"/>
              <w:bottom w:val="single" w:sz="4" w:space="0" w:color="auto"/>
              <w:right w:val="single" w:sz="4" w:space="0" w:color="auto"/>
            </w:tcBorders>
            <w:shd w:val="clear" w:color="auto" w:fill="auto"/>
            <w:vAlign w:val="center"/>
          </w:tcPr>
          <w:p w14:paraId="702AC24B" w14:textId="1F70441D" w:rsidR="00DE4C41" w:rsidRPr="00E81073" w:rsidRDefault="00DE4C41" w:rsidP="0028081E">
            <w:pPr>
              <w:keepNext/>
              <w:jc w:val="center"/>
              <w:rPr>
                <w:rFonts w:ascii="Arial Narrow" w:hAnsi="Arial Narrow"/>
                <w:b/>
                <w:sz w:val="18"/>
                <w:szCs w:val="18"/>
              </w:rPr>
            </w:pPr>
            <w:r w:rsidRPr="00E81073">
              <w:rPr>
                <w:rFonts w:ascii="Arial Narrow" w:hAnsi="Arial Narrow"/>
                <w:b/>
                <w:sz w:val="18"/>
                <w:szCs w:val="18"/>
              </w:rPr>
              <w:t>0.23 (0.08,</w:t>
            </w:r>
            <w:r w:rsidR="00006BB3" w:rsidRPr="00E81073">
              <w:rPr>
                <w:rFonts w:ascii="Arial Narrow" w:hAnsi="Arial Narrow"/>
                <w:b/>
                <w:sz w:val="18"/>
                <w:szCs w:val="18"/>
              </w:rPr>
              <w:t xml:space="preserve"> </w:t>
            </w:r>
            <w:r w:rsidRPr="00E81073">
              <w:rPr>
                <w:rFonts w:ascii="Arial Narrow" w:hAnsi="Arial Narrow"/>
                <w:b/>
                <w:sz w:val="18"/>
                <w:szCs w:val="18"/>
              </w:rPr>
              <w:t>0.38)</w:t>
            </w:r>
          </w:p>
        </w:tc>
      </w:tr>
    </w:tbl>
    <w:p w14:paraId="6A3FC5B2" w14:textId="77777777" w:rsidR="00DE4C41" w:rsidRPr="00E81073" w:rsidRDefault="00DE4C41" w:rsidP="0028081E">
      <w:pPr>
        <w:pStyle w:val="TableFigureFooter"/>
        <w:keepNext/>
        <w:spacing w:after="0"/>
        <w:rPr>
          <w:rStyle w:val="CommentReference"/>
          <w:b w:val="0"/>
          <w:bCs/>
          <w:sz w:val="18"/>
          <w:szCs w:val="18"/>
        </w:rPr>
      </w:pPr>
      <w:r w:rsidRPr="00E81073">
        <w:rPr>
          <w:rStyle w:val="CommentReference"/>
          <w:b w:val="0"/>
          <w:bCs/>
          <w:i/>
          <w:iCs/>
          <w:sz w:val="18"/>
          <w:szCs w:val="18"/>
        </w:rPr>
        <w:t>Italics</w:t>
      </w:r>
      <w:r w:rsidRPr="00E81073">
        <w:rPr>
          <w:rStyle w:val="CommentReference"/>
          <w:b w:val="0"/>
          <w:bCs/>
          <w:sz w:val="18"/>
          <w:szCs w:val="18"/>
        </w:rPr>
        <w:t xml:space="preserve"> indicate results extracted, </w:t>
      </w:r>
      <w:proofErr w:type="gramStart"/>
      <w:r w:rsidRPr="00E81073">
        <w:rPr>
          <w:rStyle w:val="CommentReference"/>
          <w:b w:val="0"/>
          <w:bCs/>
          <w:sz w:val="18"/>
          <w:szCs w:val="18"/>
        </w:rPr>
        <w:t>estimated</w:t>
      </w:r>
      <w:proofErr w:type="gramEnd"/>
      <w:r w:rsidRPr="00E81073">
        <w:rPr>
          <w:rStyle w:val="CommentReference"/>
          <w:b w:val="0"/>
          <w:bCs/>
          <w:sz w:val="18"/>
          <w:szCs w:val="18"/>
        </w:rPr>
        <w:t xml:space="preserve"> or corrected during the evaluation.</w:t>
      </w:r>
    </w:p>
    <w:p w14:paraId="2B902B83" w14:textId="77777777" w:rsidR="00DE4C41" w:rsidRPr="00E81073" w:rsidRDefault="00DE4C41" w:rsidP="0028081E">
      <w:pPr>
        <w:keepNext/>
        <w:rPr>
          <w:rFonts w:ascii="Arial Narrow" w:hAnsi="Arial Narrow"/>
          <w:sz w:val="18"/>
          <w:szCs w:val="16"/>
        </w:rPr>
      </w:pPr>
      <w:r w:rsidRPr="00E81073">
        <w:rPr>
          <w:rFonts w:ascii="Arial Narrow" w:hAnsi="Arial Narrow"/>
          <w:sz w:val="18"/>
          <w:szCs w:val="16"/>
        </w:rPr>
        <w:t>Source: Tables 2.27, 2.32, 2.61 and 2.65, pp113,126,153 of the submission; Figures 2.42 and 2.48, pp155, 160 of the submission;</w:t>
      </w:r>
    </w:p>
    <w:p w14:paraId="54E1FF01" w14:textId="4D1DD9D7" w:rsidR="00DE4C41" w:rsidRPr="00E81073" w:rsidRDefault="00413F28" w:rsidP="0028081E">
      <w:pPr>
        <w:keepNext/>
        <w:spacing w:after="120"/>
        <w:rPr>
          <w:rFonts w:ascii="Arial Narrow" w:hAnsi="Arial Narrow"/>
          <w:color w:val="000000" w:themeColor="text1"/>
          <w:sz w:val="18"/>
          <w:szCs w:val="16"/>
        </w:rPr>
      </w:pPr>
      <w:r w:rsidRPr="00E81073">
        <w:rPr>
          <w:rFonts w:ascii="Arial Narrow" w:hAnsi="Arial Narrow"/>
          <w:sz w:val="18"/>
          <w:szCs w:val="16"/>
        </w:rPr>
        <w:t>ACR20=≥20% improvement in tender and swollen joint counts and ≥20% improvement in 3 of 5 remaining American College of Rheumatology Criteria</w:t>
      </w:r>
      <w:r w:rsidRPr="00E81073">
        <w:t xml:space="preserve"> </w:t>
      </w:r>
      <w:r w:rsidRPr="00E81073">
        <w:rPr>
          <w:rFonts w:ascii="Arial Narrow" w:hAnsi="Arial Narrow"/>
          <w:sz w:val="18"/>
          <w:szCs w:val="16"/>
        </w:rPr>
        <w:t>core set measures;</w:t>
      </w:r>
      <w:r w:rsidR="00DE4C41" w:rsidRPr="00E81073">
        <w:rPr>
          <w:rFonts w:ascii="Arial Narrow" w:hAnsi="Arial Narrow"/>
          <w:sz w:val="18"/>
          <w:szCs w:val="16"/>
        </w:rPr>
        <w:t xml:space="preserve"> </w:t>
      </w:r>
      <w:r w:rsidR="00DE4C41" w:rsidRPr="00E81073">
        <w:rPr>
          <w:rFonts w:ascii="Arial Narrow" w:hAnsi="Arial Narrow"/>
          <w:color w:val="000000" w:themeColor="text1"/>
          <w:sz w:val="18"/>
          <w:szCs w:val="16"/>
        </w:rPr>
        <w:t>AD</w:t>
      </w:r>
      <w:r w:rsidR="00670F2D" w:rsidRPr="00E81073">
        <w:rPr>
          <w:rFonts w:ascii="Arial Narrow" w:hAnsi="Arial Narrow"/>
          <w:color w:val="000000" w:themeColor="text1"/>
          <w:sz w:val="18"/>
          <w:szCs w:val="16"/>
        </w:rPr>
        <w:t>A</w:t>
      </w:r>
      <w:r w:rsidR="00DE4C41" w:rsidRPr="00E81073">
        <w:rPr>
          <w:rFonts w:ascii="Arial Narrow" w:hAnsi="Arial Narrow"/>
          <w:color w:val="000000" w:themeColor="text1"/>
          <w:sz w:val="18"/>
          <w:szCs w:val="16"/>
        </w:rPr>
        <w:t xml:space="preserve">=adalimumab; </w:t>
      </w:r>
      <w:r w:rsidR="00670F2D" w:rsidRPr="00E81073">
        <w:rPr>
          <w:rFonts w:ascii="Arial Narrow" w:hAnsi="Arial Narrow"/>
          <w:color w:val="000000" w:themeColor="text1"/>
          <w:sz w:val="18"/>
          <w:szCs w:val="16"/>
        </w:rPr>
        <w:t xml:space="preserve">BKZ=bimekizumab; </w:t>
      </w:r>
      <w:r w:rsidR="00670F2D" w:rsidRPr="00E81073">
        <w:rPr>
          <w:rFonts w:ascii="Arial Narrow" w:hAnsi="Arial Narrow"/>
          <w:sz w:val="18"/>
          <w:szCs w:val="16"/>
        </w:rPr>
        <w:t xml:space="preserve">bNaive=biologic naive; CI=confidence interval; ITT=intention-to-treat; </w:t>
      </w:r>
      <w:r w:rsidR="00DE4C41" w:rsidRPr="00E81073">
        <w:rPr>
          <w:rFonts w:ascii="Arial Narrow" w:hAnsi="Arial Narrow"/>
          <w:color w:val="000000" w:themeColor="text1"/>
          <w:sz w:val="18"/>
          <w:szCs w:val="16"/>
        </w:rPr>
        <w:t xml:space="preserve">IXE=ixekizumab; </w:t>
      </w:r>
      <w:r w:rsidR="00670F2D" w:rsidRPr="00E81073">
        <w:rPr>
          <w:rFonts w:ascii="Arial Narrow" w:hAnsi="Arial Narrow"/>
          <w:sz w:val="18"/>
          <w:szCs w:val="16"/>
        </w:rPr>
        <w:t>OR=odds ratio;</w:t>
      </w:r>
      <w:r w:rsidR="00670F2D" w:rsidRPr="00E81073">
        <w:rPr>
          <w:rFonts w:ascii="Arial Narrow" w:hAnsi="Arial Narrow"/>
          <w:color w:val="000000" w:themeColor="text1"/>
          <w:sz w:val="18"/>
          <w:szCs w:val="16"/>
        </w:rPr>
        <w:t xml:space="preserve"> </w:t>
      </w:r>
      <w:r w:rsidR="00DE4C41" w:rsidRPr="00E81073">
        <w:rPr>
          <w:rFonts w:ascii="Arial Narrow" w:hAnsi="Arial Narrow"/>
          <w:color w:val="000000" w:themeColor="text1"/>
          <w:sz w:val="18"/>
          <w:szCs w:val="16"/>
        </w:rPr>
        <w:t xml:space="preserve">PBO=placebo; </w:t>
      </w:r>
      <w:r w:rsidR="00670F2D" w:rsidRPr="00E81073">
        <w:rPr>
          <w:rFonts w:ascii="Arial Narrow" w:hAnsi="Arial Narrow"/>
          <w:sz w:val="18"/>
          <w:szCs w:val="16"/>
        </w:rPr>
        <w:t>RD=risk difference; RR=risk ratio; TNFe=TNF inhibitor experienced</w:t>
      </w:r>
    </w:p>
    <w:p w14:paraId="008FC466" w14:textId="1AA27B75" w:rsidR="004674E8" w:rsidRPr="00E81073" w:rsidRDefault="004674E8" w:rsidP="004674E8">
      <w:pPr>
        <w:pStyle w:val="3-BodyText"/>
        <w:rPr>
          <w:iCs/>
        </w:rPr>
      </w:pPr>
      <w:r w:rsidRPr="00E81073">
        <w:rPr>
          <w:iCs/>
        </w:rPr>
        <w:t>The submission nominated a non-inferiority margin of 0.29 for ACR50 and 0.46 for ACR20 using the relative risk statistic, where non-inferiority was concluded if the lower bound of the 95% CI was larger than the nominated margin. The PBAC ha</w:t>
      </w:r>
      <w:r w:rsidR="00FC436C" w:rsidRPr="00E81073">
        <w:rPr>
          <w:iCs/>
        </w:rPr>
        <w:t>d</w:t>
      </w:r>
      <w:r w:rsidRPr="00E81073">
        <w:rPr>
          <w:iCs/>
        </w:rPr>
        <w:t xml:space="preserve"> considered the same non-inferiority margins in past decisions (paragraph 6.14, IXE PSD, July 2018; paragraph 6.9, TOF PSD, November 2018; paragraph 6.11, UPA PSD, March 2021).</w:t>
      </w:r>
    </w:p>
    <w:p w14:paraId="1E451F43" w14:textId="45094B86" w:rsidR="00DE4C41" w:rsidRPr="00E81073" w:rsidRDefault="00DE4C41" w:rsidP="00DE4C41">
      <w:pPr>
        <w:pStyle w:val="3-BodyText"/>
        <w:rPr>
          <w:iCs/>
        </w:rPr>
      </w:pPr>
      <w:r w:rsidRPr="00E81073">
        <w:rPr>
          <w:iCs/>
        </w:rPr>
        <w:t>The trial results demonstrated that BKZ and IXE were both more effective than placebo in terms of ACR50 and ACR20 response rates at Week 12 to 16, irrespective of prior biologic exposure. The</w:t>
      </w:r>
      <w:r w:rsidR="00F04FE7" w:rsidRPr="00E81073">
        <w:rPr>
          <w:iCs/>
        </w:rPr>
        <w:t xml:space="preserve"> evaluation considered</w:t>
      </w:r>
      <w:r w:rsidRPr="00E81073">
        <w:rPr>
          <w:iCs/>
        </w:rPr>
        <w:t xml:space="preserve"> results of the indirect treatment comparison indicated that BKZ was generally at least non-inferior to IXE in terms of ACR50 and ACR20. </w:t>
      </w:r>
      <w:bookmarkStart w:id="31" w:name="_Hlk162335186"/>
      <w:r w:rsidRPr="00E81073">
        <w:rPr>
          <w:iCs/>
        </w:rPr>
        <w:t xml:space="preserve">In terms of ACR50 response, there were no statistically significant differences between BKZ and IXE, and the indirect comparisons met the nominated non-inferiority margin in the ITT population. </w:t>
      </w:r>
      <w:bookmarkEnd w:id="31"/>
      <w:r w:rsidRPr="00E81073">
        <w:rPr>
          <w:iCs/>
        </w:rPr>
        <w:t>In terms of ACR20 response, the indirect comparison statistically favoured BKZ in the ITT population and TNF experienced subgroup and showed no significant difference between BKZ and IXE in the biologic naïve subgroup.</w:t>
      </w:r>
    </w:p>
    <w:p w14:paraId="5CCD059C" w14:textId="221B4AE8" w:rsidR="00DE4C41" w:rsidRPr="00E81073" w:rsidRDefault="00DE4C41" w:rsidP="00DE4C41">
      <w:pPr>
        <w:pStyle w:val="3-BodyText"/>
        <w:rPr>
          <w:rFonts w:ascii="Calibri" w:hAnsi="Calibri"/>
          <w:iCs/>
          <w:snapToGrid/>
        </w:rPr>
      </w:pPr>
      <w:r w:rsidRPr="00E81073">
        <w:rPr>
          <w:iCs/>
        </w:rPr>
        <w:t xml:space="preserve">For completeness, ACR50 and ACR20 response rates at Week 12 to 16 for the direct comparisons, between BKZ versus ADA in BE OPTIMAL and between IXE versus ADA in SPIRIT-1, were extracted and presented in the tables above. Although neither BE OPTIMAL or SPIRIT-1 were powered to show non-inferiority, </w:t>
      </w:r>
      <w:proofErr w:type="gramStart"/>
      <w:r w:rsidRPr="00E81073">
        <w:rPr>
          <w:iCs/>
        </w:rPr>
        <w:t>equivalence</w:t>
      </w:r>
      <w:proofErr w:type="gramEnd"/>
      <w:r w:rsidRPr="00E81073">
        <w:rPr>
          <w:iCs/>
        </w:rPr>
        <w:t xml:space="preserve"> or superiority between BKZ or IXE versus ADA, the</w:t>
      </w:r>
      <w:r w:rsidR="00F04FE7" w:rsidRPr="00E81073">
        <w:rPr>
          <w:iCs/>
        </w:rPr>
        <w:t xml:space="preserve"> evaluation considered the</w:t>
      </w:r>
      <w:r w:rsidRPr="00E81073">
        <w:rPr>
          <w:iCs/>
        </w:rPr>
        <w:t xml:space="preserve"> results showed ACR50 and ACR20 response rates for ADA were similar to BKZ and IXE.</w:t>
      </w:r>
    </w:p>
    <w:p w14:paraId="405D1B52" w14:textId="55CCF0FD" w:rsidR="00DE4C41" w:rsidRPr="00E81073" w:rsidRDefault="00DE4C41" w:rsidP="00225FD1">
      <w:pPr>
        <w:pStyle w:val="3-BodyText"/>
        <w:rPr>
          <w:iCs/>
        </w:rPr>
      </w:pPr>
      <w:r w:rsidRPr="00E81073">
        <w:rPr>
          <w:iCs/>
        </w:rPr>
        <w:t>The submission presented indirect treatment comparisons between BKZ versus IXE across other outcomes at Week 12 to 16 including PASI90</w:t>
      </w:r>
      <w:r w:rsidR="00D70516" w:rsidRPr="00E81073">
        <w:rPr>
          <w:iCs/>
        </w:rPr>
        <w:t xml:space="preserve"> and </w:t>
      </w:r>
      <w:r w:rsidRPr="00E81073">
        <w:rPr>
          <w:iCs/>
        </w:rPr>
        <w:t>PASI75</w:t>
      </w:r>
      <w:r w:rsidR="00D36515" w:rsidRPr="00E81073">
        <w:rPr>
          <w:iCs/>
        </w:rPr>
        <w:t>.</w:t>
      </w:r>
      <w:r w:rsidRPr="00E81073">
        <w:rPr>
          <w:iCs/>
        </w:rPr>
        <w:t xml:space="preserve"> </w:t>
      </w:r>
      <w:r w:rsidR="007913DD" w:rsidRPr="00E81073">
        <w:rPr>
          <w:iCs/>
        </w:rPr>
        <w:t>The submission considered the PASI90 and PASI75 outcomes important because they are highly relevant to patients with skin manifestation of the disease. The results generally showed no statistically significant differences between BKZ and IXE using placebo as the common comparator, but statistically favoured IXE in terms of PASI 75 using ADA as the common comparator. The submission noted that the direct comparison between BKZ versus ADA in BE OPTIMAL statistically favoured BKZ in terms of PASI 90</w:t>
      </w:r>
      <w:r w:rsidR="00CA0ABC" w:rsidRPr="00E81073">
        <w:rPr>
          <w:iCs/>
        </w:rPr>
        <w:t xml:space="preserve"> but </w:t>
      </w:r>
      <w:r w:rsidR="00D427EA" w:rsidRPr="00E81073">
        <w:rPr>
          <w:iCs/>
        </w:rPr>
        <w:t xml:space="preserve">there was no difference between the two treatments </w:t>
      </w:r>
      <w:r w:rsidR="00CA0ABC" w:rsidRPr="00E81073">
        <w:rPr>
          <w:iCs/>
        </w:rPr>
        <w:t>in terms of PASI 75</w:t>
      </w:r>
      <w:r w:rsidR="007913DD" w:rsidRPr="00E81073">
        <w:rPr>
          <w:iCs/>
        </w:rPr>
        <w:t>.</w:t>
      </w:r>
      <w:r w:rsidR="00791F44" w:rsidRPr="00E81073">
        <w:rPr>
          <w:iCs/>
        </w:rPr>
        <w:t xml:space="preserve"> The Pre-PBAC Response argued these results are clinically relevant in this patient population as both skin and joint manifestations are the predominant clinical features of PsA, and that in many cases psoriasis symptoms emerge before arthritis symptoms in PsA. The Response also noted the results of a recent switching study showed 67% of patients who had not responded to ADA (in terms of PASI 90 outcomes) achieved response after switching to BKZ</w:t>
      </w:r>
      <w:r w:rsidR="00791F44" w:rsidRPr="00E81073">
        <w:rPr>
          <w:rStyle w:val="FootnoteReference"/>
          <w:iCs/>
        </w:rPr>
        <w:footnoteReference w:id="1"/>
      </w:r>
      <w:r w:rsidR="00791F44" w:rsidRPr="00E81073">
        <w:rPr>
          <w:iCs/>
        </w:rPr>
        <w:t>. The PBAC considered the available evidence overall did not support a conclusion there is a clinically meaningful difference between BKZ and IXE outcomes in terms of skin outcomes</w:t>
      </w:r>
      <w:r w:rsidR="00E84C6B" w:rsidRPr="00E81073">
        <w:rPr>
          <w:iCs/>
        </w:rPr>
        <w:t xml:space="preserve">. </w:t>
      </w:r>
      <w:r w:rsidR="00791F44" w:rsidRPr="00E81073">
        <w:rPr>
          <w:iCs/>
        </w:rPr>
        <w:t xml:space="preserve">Furthermore, the PBAC considered </w:t>
      </w:r>
      <w:r w:rsidR="00837537" w:rsidRPr="00E81073">
        <w:rPr>
          <w:iCs/>
        </w:rPr>
        <w:t>that as the listings for b/tsDMARDs in PsA were line agnostic, it was not reasonable to make claim of superiority based on when a therapy may be used within a treatment cycle under the current design of these listings.</w:t>
      </w:r>
    </w:p>
    <w:p w14:paraId="4EEDF6F9" w14:textId="4FEBF9BB" w:rsidR="00DE4C41" w:rsidRPr="00E81073" w:rsidRDefault="00670F2D" w:rsidP="00225FD1">
      <w:pPr>
        <w:pStyle w:val="3-BodyText"/>
        <w:rPr>
          <w:iCs/>
        </w:rPr>
      </w:pPr>
      <w:r w:rsidRPr="00E81073">
        <w:rPr>
          <w:iCs/>
        </w:rPr>
        <w:fldChar w:fldCharType="begin" w:fldLock="1"/>
      </w:r>
      <w:r w:rsidRPr="00E81073">
        <w:rPr>
          <w:iCs/>
        </w:rPr>
        <w:instrText xml:space="preserve"> REF _Ref152246486 \h </w:instrText>
      </w:r>
      <w:r w:rsidR="004F428A" w:rsidRPr="00E81073">
        <w:rPr>
          <w:iCs/>
        </w:rPr>
        <w:instrText xml:space="preserve"> \* MERGEFORMAT </w:instrText>
      </w:r>
      <w:r w:rsidRPr="00E81073">
        <w:rPr>
          <w:iCs/>
        </w:rPr>
      </w:r>
      <w:r w:rsidRPr="00E81073">
        <w:rPr>
          <w:iCs/>
        </w:rPr>
        <w:fldChar w:fldCharType="separate"/>
      </w:r>
      <w:r w:rsidRPr="00E81073">
        <w:rPr>
          <w:iCs/>
        </w:rPr>
        <w:t xml:space="preserve">Figure </w:t>
      </w:r>
      <w:r w:rsidRPr="005E2177">
        <w:rPr>
          <w:iCs/>
        </w:rPr>
        <w:t>1</w:t>
      </w:r>
      <w:r w:rsidRPr="00E81073">
        <w:rPr>
          <w:iCs/>
        </w:rPr>
        <w:fldChar w:fldCharType="end"/>
      </w:r>
      <w:r w:rsidRPr="00E81073">
        <w:rPr>
          <w:iCs/>
        </w:rPr>
        <w:t xml:space="preserve"> </w:t>
      </w:r>
      <w:r w:rsidR="00DE4C41" w:rsidRPr="00E81073">
        <w:rPr>
          <w:iCs/>
        </w:rPr>
        <w:t xml:space="preserve">presents ACR50 and ACR20 response rates over the trial periods in BE ACTIVE (48 weeks) and BE OPTIMAL (52 weeks). The results illustrate response rates for BKZ plateau at approximately Week 16 and are generally maintained over the longer term. </w:t>
      </w:r>
      <w:r w:rsidR="00F768CC" w:rsidRPr="00E81073">
        <w:rPr>
          <w:iCs/>
        </w:rPr>
        <w:t xml:space="preserve">The results of BE OPTIMAL also illustrate that response rates with BKZ are </w:t>
      </w:r>
      <w:proofErr w:type="gramStart"/>
      <w:r w:rsidR="00F768CC" w:rsidRPr="00E81073">
        <w:rPr>
          <w:iCs/>
        </w:rPr>
        <w:t>similar to</w:t>
      </w:r>
      <w:proofErr w:type="gramEnd"/>
      <w:r w:rsidR="00F768CC" w:rsidRPr="00E81073">
        <w:rPr>
          <w:iCs/>
        </w:rPr>
        <w:t xml:space="preserve"> response rates with ADA at Week 52.</w:t>
      </w:r>
    </w:p>
    <w:p w14:paraId="1A2894A9" w14:textId="0D40189E" w:rsidR="00DE4C41" w:rsidRPr="00E81073" w:rsidRDefault="00670F2D" w:rsidP="00225FD1">
      <w:pPr>
        <w:pStyle w:val="Caption"/>
        <w:rPr>
          <w:b w:val="0"/>
          <w:szCs w:val="20"/>
        </w:rPr>
      </w:pPr>
      <w:bookmarkStart w:id="32" w:name="_Ref152246486"/>
      <w:r w:rsidRPr="00E81073">
        <w:t xml:space="preserve">Figure </w:t>
      </w:r>
      <w:r w:rsidR="006269D6">
        <w:fldChar w:fldCharType="begin" w:fldLock="1"/>
      </w:r>
      <w:r w:rsidR="006269D6">
        <w:instrText xml:space="preserve"> SEQ Figure \* ARABIC </w:instrText>
      </w:r>
      <w:r w:rsidR="006269D6">
        <w:fldChar w:fldCharType="separate"/>
      </w:r>
      <w:r w:rsidRPr="005E2177">
        <w:t>1</w:t>
      </w:r>
      <w:r w:rsidR="006269D6">
        <w:fldChar w:fldCharType="end"/>
      </w:r>
      <w:bookmarkEnd w:id="32"/>
      <w:r w:rsidRPr="00E81073">
        <w:t>: ACR50 and ACR20 response rates over time, bimekizumab trials</w:t>
      </w:r>
      <w:r w:rsidR="00DE4C41" w:rsidRPr="00E81073">
        <w:rPr>
          <w:b w:val="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Caption w:val="Figure 1: ACR50 and ACR20 response rates over time, bimekizumab trials "/>
      </w:tblPr>
      <w:tblGrid>
        <w:gridCol w:w="4503"/>
        <w:gridCol w:w="4499"/>
      </w:tblGrid>
      <w:tr w:rsidR="00DE4C41" w:rsidRPr="00E81073" w14:paraId="0A46F68B" w14:textId="77777777" w:rsidTr="00621EA3">
        <w:trPr>
          <w:trHeight w:val="186"/>
        </w:trPr>
        <w:tc>
          <w:tcPr>
            <w:tcW w:w="4503" w:type="dxa"/>
            <w:vAlign w:val="center"/>
          </w:tcPr>
          <w:p w14:paraId="21DBE7F2" w14:textId="77777777" w:rsidR="00DE4C41" w:rsidRPr="00E81073" w:rsidRDefault="00DE4C41" w:rsidP="00621EA3">
            <w:pPr>
              <w:keepNext/>
              <w:jc w:val="center"/>
              <w:rPr>
                <w:rFonts w:ascii="Arial Narrow" w:hAnsi="Arial Narrow"/>
                <w:b/>
                <w:sz w:val="20"/>
                <w:szCs w:val="20"/>
              </w:rPr>
            </w:pPr>
            <w:r w:rsidRPr="00E81073">
              <w:rPr>
                <w:rFonts w:ascii="Arial Narrow" w:hAnsi="Arial Narrow"/>
                <w:b/>
                <w:sz w:val="20"/>
                <w:szCs w:val="20"/>
              </w:rPr>
              <w:t xml:space="preserve"> [A] ACR50</w:t>
            </w:r>
          </w:p>
        </w:tc>
        <w:tc>
          <w:tcPr>
            <w:tcW w:w="4499" w:type="dxa"/>
            <w:vAlign w:val="center"/>
          </w:tcPr>
          <w:p w14:paraId="0C5DEC82" w14:textId="77777777" w:rsidR="00DE4C41" w:rsidRPr="00E81073" w:rsidRDefault="00DE4C41" w:rsidP="00621EA3">
            <w:pPr>
              <w:keepNext/>
              <w:jc w:val="center"/>
              <w:rPr>
                <w:rFonts w:ascii="Arial Narrow" w:hAnsi="Arial Narrow"/>
                <w:b/>
                <w:sz w:val="20"/>
                <w:szCs w:val="20"/>
              </w:rPr>
            </w:pPr>
            <w:r w:rsidRPr="00E81073">
              <w:rPr>
                <w:rFonts w:ascii="Arial Narrow" w:hAnsi="Arial Narrow"/>
                <w:b/>
                <w:sz w:val="20"/>
                <w:szCs w:val="20"/>
              </w:rPr>
              <w:t>[B] ACR20</w:t>
            </w:r>
          </w:p>
        </w:tc>
      </w:tr>
      <w:tr w:rsidR="00DE4C41" w:rsidRPr="00E81073" w14:paraId="5C61F127" w14:textId="77777777" w:rsidTr="00621EA3">
        <w:trPr>
          <w:trHeight w:val="175"/>
        </w:trPr>
        <w:tc>
          <w:tcPr>
            <w:tcW w:w="4503" w:type="dxa"/>
          </w:tcPr>
          <w:p w14:paraId="5F6CF8A1" w14:textId="77777777" w:rsidR="00DE4C41" w:rsidRPr="00E81073" w:rsidRDefault="00DE4C41" w:rsidP="00621EA3">
            <w:pPr>
              <w:keepNext/>
              <w:rPr>
                <w:rFonts w:ascii="Arial Narrow" w:hAnsi="Arial Narrow"/>
                <w:sz w:val="20"/>
                <w:szCs w:val="20"/>
              </w:rPr>
            </w:pPr>
            <w:r w:rsidRPr="00E81073">
              <w:rPr>
                <w:rFonts w:ascii="Arial Narrow" w:hAnsi="Arial Narrow"/>
                <w:sz w:val="20"/>
                <w:szCs w:val="20"/>
              </w:rPr>
              <w:t>[A.1] BE ACTIVE</w:t>
            </w:r>
          </w:p>
        </w:tc>
        <w:tc>
          <w:tcPr>
            <w:tcW w:w="4499" w:type="dxa"/>
          </w:tcPr>
          <w:p w14:paraId="728B12ED" w14:textId="77777777" w:rsidR="00DE4C41" w:rsidRPr="00E81073" w:rsidRDefault="00DE4C41" w:rsidP="00621EA3">
            <w:pPr>
              <w:keepNext/>
              <w:rPr>
                <w:rFonts w:ascii="Arial Narrow" w:hAnsi="Arial Narrow"/>
                <w:sz w:val="20"/>
                <w:szCs w:val="20"/>
              </w:rPr>
            </w:pPr>
            <w:r w:rsidRPr="00E81073">
              <w:rPr>
                <w:rFonts w:ascii="Arial Narrow" w:hAnsi="Arial Narrow"/>
                <w:sz w:val="20"/>
                <w:szCs w:val="20"/>
              </w:rPr>
              <w:t>[B.1] BE ACTIVE</w:t>
            </w:r>
          </w:p>
        </w:tc>
      </w:tr>
      <w:tr w:rsidR="00DE4C41" w:rsidRPr="00E81073" w14:paraId="7E51A001" w14:textId="77777777" w:rsidTr="00621EA3">
        <w:trPr>
          <w:trHeight w:val="2745"/>
        </w:trPr>
        <w:tc>
          <w:tcPr>
            <w:tcW w:w="4503" w:type="dxa"/>
          </w:tcPr>
          <w:p w14:paraId="346D441A" w14:textId="77777777" w:rsidR="00DE4C41" w:rsidRPr="00E81073" w:rsidRDefault="00DE4C41" w:rsidP="00621EA3">
            <w:pPr>
              <w:keepNext/>
              <w:rPr>
                <w:rFonts w:ascii="Arial Narrow" w:hAnsi="Arial Narrow"/>
                <w:sz w:val="20"/>
                <w:szCs w:val="20"/>
              </w:rPr>
            </w:pPr>
            <w:r w:rsidRPr="005E2177">
              <w:rPr>
                <w:rFonts w:ascii="Arial Narrow" w:hAnsi="Arial Narrow"/>
                <w:noProof/>
                <w:sz w:val="20"/>
                <w:szCs w:val="20"/>
              </w:rPr>
              <w:drawing>
                <wp:inline distT="0" distB="0" distL="0" distR="0" wp14:anchorId="5114AD13" wp14:editId="21408E37">
                  <wp:extent cx="2824240" cy="2113472"/>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345" cy="2138245"/>
                          </a:xfrm>
                          <a:prstGeom prst="rect">
                            <a:avLst/>
                          </a:prstGeom>
                          <a:noFill/>
                        </pic:spPr>
                      </pic:pic>
                    </a:graphicData>
                  </a:graphic>
                </wp:inline>
              </w:drawing>
            </w:r>
          </w:p>
        </w:tc>
        <w:tc>
          <w:tcPr>
            <w:tcW w:w="4499" w:type="dxa"/>
          </w:tcPr>
          <w:p w14:paraId="5EDA789A" w14:textId="77777777" w:rsidR="00DE4C41" w:rsidRPr="00E81073" w:rsidRDefault="00DE4C41" w:rsidP="00621EA3">
            <w:pPr>
              <w:keepNext/>
              <w:rPr>
                <w:rFonts w:ascii="Arial Narrow" w:hAnsi="Arial Narrow"/>
                <w:sz w:val="20"/>
                <w:szCs w:val="20"/>
              </w:rPr>
            </w:pPr>
            <w:r w:rsidRPr="005E2177">
              <w:rPr>
                <w:noProof/>
              </w:rPr>
              <w:drawing>
                <wp:inline distT="0" distB="0" distL="0" distR="0" wp14:anchorId="449CA56D" wp14:editId="48833172">
                  <wp:extent cx="2810694" cy="2156603"/>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62528" name=""/>
                          <pic:cNvPicPr/>
                        </pic:nvPicPr>
                        <pic:blipFill>
                          <a:blip r:embed="rId9" cstate="print"/>
                          <a:stretch>
                            <a:fillRect/>
                          </a:stretch>
                        </pic:blipFill>
                        <pic:spPr>
                          <a:xfrm>
                            <a:off x="0" y="0"/>
                            <a:ext cx="2836977" cy="2176769"/>
                          </a:xfrm>
                          <a:prstGeom prst="rect">
                            <a:avLst/>
                          </a:prstGeom>
                        </pic:spPr>
                      </pic:pic>
                    </a:graphicData>
                  </a:graphic>
                </wp:inline>
              </w:drawing>
            </w:r>
          </w:p>
        </w:tc>
      </w:tr>
      <w:tr w:rsidR="00DE4C41" w:rsidRPr="00E81073" w14:paraId="314A877F" w14:textId="77777777" w:rsidTr="00621EA3">
        <w:trPr>
          <w:trHeight w:val="186"/>
        </w:trPr>
        <w:tc>
          <w:tcPr>
            <w:tcW w:w="4503" w:type="dxa"/>
          </w:tcPr>
          <w:p w14:paraId="1C74546E" w14:textId="77777777" w:rsidR="00DE4C41" w:rsidRPr="00E81073" w:rsidRDefault="00DE4C41" w:rsidP="00621EA3">
            <w:pPr>
              <w:keepNext/>
              <w:rPr>
                <w:rFonts w:ascii="Arial Narrow" w:hAnsi="Arial Narrow"/>
                <w:sz w:val="20"/>
                <w:szCs w:val="20"/>
              </w:rPr>
            </w:pPr>
            <w:r w:rsidRPr="00E81073">
              <w:rPr>
                <w:rFonts w:ascii="Arial Narrow" w:hAnsi="Arial Narrow"/>
                <w:sz w:val="20"/>
                <w:szCs w:val="20"/>
              </w:rPr>
              <w:t>[A.2] BE OPTIMAL</w:t>
            </w:r>
          </w:p>
        </w:tc>
        <w:tc>
          <w:tcPr>
            <w:tcW w:w="4499" w:type="dxa"/>
          </w:tcPr>
          <w:p w14:paraId="35D7C26C" w14:textId="77777777" w:rsidR="00DE4C41" w:rsidRPr="00E81073" w:rsidRDefault="00DE4C41" w:rsidP="00621EA3">
            <w:pPr>
              <w:keepNext/>
              <w:rPr>
                <w:rFonts w:ascii="Arial Narrow" w:hAnsi="Arial Narrow"/>
                <w:sz w:val="20"/>
                <w:szCs w:val="20"/>
              </w:rPr>
            </w:pPr>
            <w:r w:rsidRPr="00E81073">
              <w:rPr>
                <w:rFonts w:ascii="Arial Narrow" w:hAnsi="Arial Narrow"/>
                <w:sz w:val="20"/>
                <w:szCs w:val="20"/>
              </w:rPr>
              <w:t>[B.2] BE OPTIMAL</w:t>
            </w:r>
          </w:p>
        </w:tc>
      </w:tr>
      <w:tr w:rsidR="00DE4C41" w:rsidRPr="00E81073" w14:paraId="32481EF0" w14:textId="77777777" w:rsidTr="00621EA3">
        <w:trPr>
          <w:trHeight w:val="1537"/>
        </w:trPr>
        <w:tc>
          <w:tcPr>
            <w:tcW w:w="4503" w:type="dxa"/>
          </w:tcPr>
          <w:p w14:paraId="133CD9F2" w14:textId="77777777" w:rsidR="00DE4C41" w:rsidRPr="00E81073" w:rsidRDefault="00DE4C41" w:rsidP="00621EA3">
            <w:pPr>
              <w:keepNext/>
              <w:rPr>
                <w:rFonts w:ascii="Arial Narrow" w:hAnsi="Arial Narrow"/>
                <w:sz w:val="20"/>
                <w:szCs w:val="20"/>
              </w:rPr>
            </w:pPr>
            <w:r w:rsidRPr="005E2177">
              <w:rPr>
                <w:noProof/>
              </w:rPr>
              <w:drawing>
                <wp:inline distT="0" distB="0" distL="0" distR="0" wp14:anchorId="6C0CBD00" wp14:editId="3FBB99FE">
                  <wp:extent cx="2812211" cy="1209735"/>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184960" name=""/>
                          <pic:cNvPicPr/>
                        </pic:nvPicPr>
                        <pic:blipFill>
                          <a:blip r:embed="rId10" cstate="print"/>
                          <a:stretch>
                            <a:fillRect/>
                          </a:stretch>
                        </pic:blipFill>
                        <pic:spPr>
                          <a:xfrm>
                            <a:off x="0" y="0"/>
                            <a:ext cx="2846299" cy="1224399"/>
                          </a:xfrm>
                          <a:prstGeom prst="rect">
                            <a:avLst/>
                          </a:prstGeom>
                        </pic:spPr>
                      </pic:pic>
                    </a:graphicData>
                  </a:graphic>
                </wp:inline>
              </w:drawing>
            </w:r>
          </w:p>
        </w:tc>
        <w:tc>
          <w:tcPr>
            <w:tcW w:w="4499" w:type="dxa"/>
          </w:tcPr>
          <w:p w14:paraId="2081E558" w14:textId="77777777" w:rsidR="00DE4C41" w:rsidRPr="00E81073" w:rsidRDefault="00DE4C41" w:rsidP="00621EA3">
            <w:pPr>
              <w:keepNext/>
              <w:rPr>
                <w:rFonts w:ascii="Arial Narrow" w:hAnsi="Arial Narrow"/>
                <w:sz w:val="20"/>
                <w:szCs w:val="20"/>
              </w:rPr>
            </w:pPr>
            <w:r w:rsidRPr="005E2177">
              <w:rPr>
                <w:noProof/>
              </w:rPr>
              <w:drawing>
                <wp:inline distT="0" distB="0" distL="0" distR="0" wp14:anchorId="1B0F7BD1" wp14:editId="3C0DD2E6">
                  <wp:extent cx="2777705" cy="1208725"/>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166893" name=""/>
                          <pic:cNvPicPr/>
                        </pic:nvPicPr>
                        <pic:blipFill>
                          <a:blip r:embed="rId11" cstate="print"/>
                          <a:stretch>
                            <a:fillRect/>
                          </a:stretch>
                        </pic:blipFill>
                        <pic:spPr>
                          <a:xfrm>
                            <a:off x="0" y="0"/>
                            <a:ext cx="2817042" cy="1225843"/>
                          </a:xfrm>
                          <a:prstGeom prst="rect">
                            <a:avLst/>
                          </a:prstGeom>
                        </pic:spPr>
                      </pic:pic>
                    </a:graphicData>
                  </a:graphic>
                </wp:inline>
              </w:drawing>
            </w:r>
          </w:p>
        </w:tc>
      </w:tr>
    </w:tbl>
    <w:p w14:paraId="528EC77E" w14:textId="77777777" w:rsidR="00FF4C25" w:rsidRPr="00E81073" w:rsidRDefault="00DE4C41" w:rsidP="00FF4C25">
      <w:pPr>
        <w:rPr>
          <w:rFonts w:ascii="Arial Narrow" w:hAnsi="Arial Narrow"/>
          <w:sz w:val="18"/>
          <w:szCs w:val="18"/>
        </w:rPr>
      </w:pPr>
      <w:r w:rsidRPr="00E81073">
        <w:rPr>
          <w:rFonts w:ascii="Arial Narrow" w:hAnsi="Arial Narrow"/>
          <w:sz w:val="18"/>
          <w:szCs w:val="18"/>
        </w:rPr>
        <w:t xml:space="preserve">Source: Figures 2.11, 2.12, 2.15, and 2.16, pp112, 113, 115, 116 of the submission </w:t>
      </w:r>
    </w:p>
    <w:p w14:paraId="2C908126" w14:textId="03C29F25" w:rsidR="00FF4C25" w:rsidRPr="00E81073" w:rsidRDefault="00413F28" w:rsidP="00DE4C41">
      <w:pPr>
        <w:spacing w:after="120"/>
        <w:rPr>
          <w:rFonts w:ascii="Arial Narrow" w:hAnsi="Arial Narrow"/>
          <w:sz w:val="18"/>
          <w:szCs w:val="18"/>
        </w:rPr>
      </w:pPr>
      <w:r w:rsidRPr="00E81073">
        <w:rPr>
          <w:rFonts w:ascii="Arial Narrow" w:hAnsi="Arial Narrow"/>
          <w:sz w:val="18"/>
          <w:szCs w:val="16"/>
        </w:rPr>
        <w:t>ACR20/50=≥20/50% improvement in tender and swollen joint counts and ≥20/50% improvement in 3 of 5 remaining American College of Rheumatology Criteria core set measures</w:t>
      </w:r>
    </w:p>
    <w:p w14:paraId="1452C351" w14:textId="0D19F1B0" w:rsidR="00B60939" w:rsidRPr="00E81073" w:rsidRDefault="00B60939" w:rsidP="00D86231">
      <w:pPr>
        <w:pStyle w:val="4-SubsectionHeading"/>
      </w:pPr>
      <w:bookmarkStart w:id="33" w:name="_Toc22897642"/>
      <w:bookmarkStart w:id="34" w:name="_Toc156894674"/>
      <w:r w:rsidRPr="00E81073">
        <w:t>Comparative harms</w:t>
      </w:r>
      <w:bookmarkEnd w:id="33"/>
      <w:bookmarkEnd w:id="34"/>
    </w:p>
    <w:bookmarkStart w:id="35" w:name="_Ref141961009"/>
    <w:p w14:paraId="44EEA7A4" w14:textId="6C6841A7" w:rsidR="005747DF" w:rsidRPr="00E81073" w:rsidRDefault="00670F2D" w:rsidP="005747DF">
      <w:pPr>
        <w:pStyle w:val="3-BodyText"/>
      </w:pPr>
      <w:r w:rsidRPr="00E81073">
        <w:rPr>
          <w:snapToGrid/>
        </w:rPr>
        <w:fldChar w:fldCharType="begin" w:fldLock="1"/>
      </w:r>
      <w:r w:rsidRPr="00E81073">
        <w:rPr>
          <w:snapToGrid/>
        </w:rPr>
        <w:instrText xml:space="preserve"> REF _Ref152246539 \h </w:instrText>
      </w:r>
      <w:r w:rsidRPr="00E81073">
        <w:rPr>
          <w:snapToGrid/>
        </w:rPr>
      </w:r>
      <w:r w:rsidRPr="00E81073">
        <w:rPr>
          <w:snapToGrid/>
        </w:rPr>
        <w:fldChar w:fldCharType="separate"/>
      </w:r>
      <w:r w:rsidRPr="00E81073">
        <w:t xml:space="preserve">Table </w:t>
      </w:r>
      <w:r w:rsidRPr="005E2177">
        <w:t>6</w:t>
      </w:r>
      <w:r w:rsidRPr="00E81073">
        <w:rPr>
          <w:snapToGrid/>
        </w:rPr>
        <w:fldChar w:fldCharType="end"/>
      </w:r>
      <w:r w:rsidRPr="00E81073">
        <w:rPr>
          <w:snapToGrid/>
        </w:rPr>
        <w:t xml:space="preserve"> </w:t>
      </w:r>
      <w:r w:rsidR="005747DF" w:rsidRPr="00E81073">
        <w:rPr>
          <w:snapToGrid/>
        </w:rPr>
        <w:t xml:space="preserve">summarises </w:t>
      </w:r>
      <w:r w:rsidR="005764F2" w:rsidRPr="00E81073">
        <w:rPr>
          <w:snapToGrid/>
        </w:rPr>
        <w:t xml:space="preserve">treatment emergent </w:t>
      </w:r>
      <w:r w:rsidR="005747DF" w:rsidRPr="00E81073">
        <w:rPr>
          <w:snapToGrid/>
        </w:rPr>
        <w:t>adverse events (</w:t>
      </w:r>
      <w:r w:rsidR="005764F2" w:rsidRPr="00E81073">
        <w:rPr>
          <w:snapToGrid/>
        </w:rPr>
        <w:t>TE</w:t>
      </w:r>
      <w:r w:rsidR="005747DF" w:rsidRPr="00E81073">
        <w:rPr>
          <w:snapToGrid/>
        </w:rPr>
        <w:t>AEs)</w:t>
      </w:r>
      <w:r w:rsidR="005764F2" w:rsidRPr="00E81073">
        <w:rPr>
          <w:snapToGrid/>
        </w:rPr>
        <w:t xml:space="preserve"> from the </w:t>
      </w:r>
      <w:r w:rsidR="004674E8" w:rsidRPr="00E81073">
        <w:rPr>
          <w:snapToGrid/>
        </w:rPr>
        <w:t>double-blind</w:t>
      </w:r>
      <w:r w:rsidR="005764F2" w:rsidRPr="00E81073">
        <w:rPr>
          <w:snapToGrid/>
        </w:rPr>
        <w:t xml:space="preserve"> phase of </w:t>
      </w:r>
      <w:r w:rsidR="005764F2" w:rsidRPr="00E81073">
        <w:t>BE ACTIVE, BE COMPLETE and BE OPTIMAL</w:t>
      </w:r>
      <w:r w:rsidR="00834C22" w:rsidRPr="00E81073">
        <w:rPr>
          <w:snapToGrid/>
        </w:rPr>
        <w:t xml:space="preserve">. </w:t>
      </w:r>
      <w:r w:rsidR="00834C22" w:rsidRPr="00E81073">
        <w:t xml:space="preserve">Overall, the most frequently reported AEs with </w:t>
      </w:r>
      <w:r w:rsidR="009646D5" w:rsidRPr="00E81073">
        <w:t>BKZ</w:t>
      </w:r>
      <w:r w:rsidR="00834C22" w:rsidRPr="00E81073">
        <w:t xml:space="preserve"> included</w:t>
      </w:r>
      <w:r w:rsidR="009646D5" w:rsidRPr="00E81073">
        <w:t xml:space="preserve"> nasopharyngitis, upper respiratory tract infection</w:t>
      </w:r>
      <w:r w:rsidR="00834C22" w:rsidRPr="00E81073">
        <w:t>,</w:t>
      </w:r>
      <w:r w:rsidR="005764F2" w:rsidRPr="00E81073">
        <w:t xml:space="preserve"> and oral candidiasis</w:t>
      </w:r>
      <w:r w:rsidR="00834C22" w:rsidRPr="00E81073">
        <w:t xml:space="preserve"> which are consistent with the known safety profile of </w:t>
      </w:r>
      <w:r w:rsidR="009646D5" w:rsidRPr="00E81073">
        <w:t>BKZ</w:t>
      </w:r>
      <w:r w:rsidR="00834C22" w:rsidRPr="00E81073">
        <w:t>.</w:t>
      </w:r>
      <w:r w:rsidR="0069167B" w:rsidRPr="00E81073">
        <w:rPr>
          <w:snapToGrid/>
        </w:rPr>
        <w:t xml:space="preserve"> The safety outcomes reported in the trials were consistent with the known safety profile of BKZ</w:t>
      </w:r>
      <w:r w:rsidR="00670860" w:rsidRPr="00E81073">
        <w:rPr>
          <w:snapToGrid/>
        </w:rPr>
        <w:t>.</w:t>
      </w:r>
    </w:p>
    <w:p w14:paraId="08A8AE41" w14:textId="3605F93F" w:rsidR="00670F2D" w:rsidRPr="00E81073" w:rsidRDefault="00670F2D" w:rsidP="00D87DA9">
      <w:pPr>
        <w:pStyle w:val="Caption"/>
      </w:pPr>
      <w:bookmarkStart w:id="36" w:name="_Ref152246539"/>
      <w:bookmarkEnd w:id="35"/>
      <w:r w:rsidRPr="00E81073">
        <w:t xml:space="preserve">Table </w:t>
      </w:r>
      <w:r w:rsidR="006269D6">
        <w:fldChar w:fldCharType="begin" w:fldLock="1"/>
      </w:r>
      <w:r w:rsidR="006269D6">
        <w:instrText xml:space="preserve"> SEQ Table \* ARABIC </w:instrText>
      </w:r>
      <w:r w:rsidR="006269D6">
        <w:fldChar w:fldCharType="separate"/>
      </w:r>
      <w:r w:rsidRPr="005E2177">
        <w:t>6</w:t>
      </w:r>
      <w:r w:rsidR="006269D6">
        <w:fldChar w:fldCharType="end"/>
      </w:r>
      <w:bookmarkEnd w:id="36"/>
      <w:r w:rsidRPr="00E81073">
        <w:t>: Safety outcomes at Week 12-16, bimekizumab trials (double blind phase)</w:t>
      </w: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6: Safety outcomes at Week 12-16, bimekizumab trials (double blind phase)"/>
      </w:tblPr>
      <w:tblGrid>
        <w:gridCol w:w="1779"/>
        <w:gridCol w:w="1464"/>
        <w:gridCol w:w="1253"/>
        <w:gridCol w:w="1639"/>
        <w:gridCol w:w="1445"/>
        <w:gridCol w:w="1437"/>
      </w:tblGrid>
      <w:tr w:rsidR="005A255E" w:rsidRPr="00E81073" w14:paraId="1FBF91F5" w14:textId="77777777" w:rsidTr="0056068F">
        <w:trPr>
          <w:cantSplit/>
          <w:trHeight w:val="64"/>
          <w:tblHeader/>
        </w:trPr>
        <w:tc>
          <w:tcPr>
            <w:tcW w:w="986" w:type="pct"/>
            <w:shd w:val="clear" w:color="auto" w:fill="auto"/>
            <w:vAlign w:val="center"/>
          </w:tcPr>
          <w:p w14:paraId="2F59E3E0" w14:textId="77777777" w:rsidR="005A255E" w:rsidRPr="005E2177" w:rsidRDefault="005A255E" w:rsidP="00D87DA9">
            <w:pPr>
              <w:pStyle w:val="TableLeft"/>
              <w:keepNext/>
              <w:rPr>
                <w:rFonts w:ascii="Arial Narrow" w:hAnsi="Arial Narrow"/>
                <w:b/>
                <w:lang w:val="en-AU"/>
              </w:rPr>
            </w:pPr>
            <w:r w:rsidRPr="00E81073">
              <w:rPr>
                <w:rFonts w:ascii="Arial Narrow" w:hAnsi="Arial Narrow"/>
                <w:b/>
              </w:rPr>
              <w:t>Outcomes</w:t>
            </w:r>
          </w:p>
        </w:tc>
        <w:tc>
          <w:tcPr>
            <w:tcW w:w="812" w:type="pct"/>
            <w:shd w:val="clear" w:color="auto" w:fill="auto"/>
            <w:vAlign w:val="center"/>
          </w:tcPr>
          <w:p w14:paraId="2687D6FA" w14:textId="77777777" w:rsidR="005A255E" w:rsidRPr="005E2177" w:rsidRDefault="005A255E" w:rsidP="00D87DA9">
            <w:pPr>
              <w:pStyle w:val="TableCentre"/>
              <w:keepNext/>
              <w:rPr>
                <w:rFonts w:ascii="Arial Narrow" w:hAnsi="Arial Narrow"/>
                <w:b/>
                <w:bCs/>
                <w:lang w:val="en-AU"/>
              </w:rPr>
            </w:pPr>
            <w:r w:rsidRPr="00E81073">
              <w:rPr>
                <w:rFonts w:ascii="Arial Narrow" w:hAnsi="Arial Narrow"/>
                <w:b/>
                <w:bCs/>
              </w:rPr>
              <w:t>Drug n/N (%)</w:t>
            </w:r>
          </w:p>
        </w:tc>
        <w:tc>
          <w:tcPr>
            <w:tcW w:w="695" w:type="pct"/>
            <w:shd w:val="clear" w:color="auto" w:fill="auto"/>
            <w:vAlign w:val="center"/>
          </w:tcPr>
          <w:p w14:paraId="444EFD0D" w14:textId="77777777" w:rsidR="005A255E" w:rsidRPr="005E2177" w:rsidRDefault="005A255E" w:rsidP="00D87DA9">
            <w:pPr>
              <w:pStyle w:val="TableCentre"/>
              <w:keepNext/>
              <w:rPr>
                <w:rFonts w:ascii="Arial Narrow" w:hAnsi="Arial Narrow"/>
                <w:b/>
                <w:bCs/>
                <w:lang w:val="en-AU"/>
              </w:rPr>
            </w:pPr>
            <w:r w:rsidRPr="00E81073">
              <w:rPr>
                <w:rFonts w:ascii="Arial Narrow" w:hAnsi="Arial Narrow"/>
                <w:b/>
                <w:bCs/>
              </w:rPr>
              <w:t>Control n/N (%)</w:t>
            </w:r>
          </w:p>
        </w:tc>
        <w:tc>
          <w:tcPr>
            <w:tcW w:w="909" w:type="pct"/>
            <w:vAlign w:val="center"/>
          </w:tcPr>
          <w:p w14:paraId="254EB976" w14:textId="77777777" w:rsidR="005A255E" w:rsidRPr="005E2177" w:rsidRDefault="005A255E" w:rsidP="00D87DA9">
            <w:pPr>
              <w:pStyle w:val="TableCentre"/>
              <w:keepNext/>
              <w:rPr>
                <w:rFonts w:ascii="Arial Narrow" w:hAnsi="Arial Narrow"/>
                <w:b/>
                <w:bCs/>
                <w:lang w:val="en-AU"/>
              </w:rPr>
            </w:pPr>
            <w:r w:rsidRPr="00E81073">
              <w:rPr>
                <w:rFonts w:ascii="Arial Narrow" w:hAnsi="Arial Narrow"/>
                <w:b/>
                <w:bCs/>
                <w:szCs w:val="18"/>
              </w:rPr>
              <w:t>RR (95%CI)</w:t>
            </w:r>
          </w:p>
        </w:tc>
        <w:tc>
          <w:tcPr>
            <w:tcW w:w="801" w:type="pct"/>
            <w:vAlign w:val="center"/>
          </w:tcPr>
          <w:p w14:paraId="582DA042" w14:textId="77777777" w:rsidR="005A255E" w:rsidRPr="005E2177" w:rsidRDefault="005A255E" w:rsidP="00D87DA9">
            <w:pPr>
              <w:pStyle w:val="TableCentre"/>
              <w:keepNext/>
              <w:rPr>
                <w:rFonts w:ascii="Arial Narrow" w:hAnsi="Arial Narrow"/>
                <w:b/>
                <w:bCs/>
                <w:lang w:val="en-AU"/>
              </w:rPr>
            </w:pPr>
            <w:r w:rsidRPr="00E81073">
              <w:rPr>
                <w:rFonts w:ascii="Arial Narrow" w:hAnsi="Arial Narrow"/>
                <w:b/>
                <w:bCs/>
                <w:szCs w:val="18"/>
              </w:rPr>
              <w:t>OR (95%CI)</w:t>
            </w:r>
          </w:p>
        </w:tc>
        <w:tc>
          <w:tcPr>
            <w:tcW w:w="797" w:type="pct"/>
            <w:vAlign w:val="center"/>
          </w:tcPr>
          <w:p w14:paraId="6969ED40" w14:textId="77777777" w:rsidR="005A255E" w:rsidRPr="005E2177" w:rsidRDefault="005A255E" w:rsidP="00D87DA9">
            <w:pPr>
              <w:pStyle w:val="TableCentre"/>
              <w:keepNext/>
              <w:rPr>
                <w:rFonts w:ascii="Arial Narrow" w:hAnsi="Arial Narrow"/>
                <w:b/>
                <w:bCs/>
                <w:lang w:val="en-AU"/>
              </w:rPr>
            </w:pPr>
            <w:r w:rsidRPr="00E81073">
              <w:rPr>
                <w:rFonts w:ascii="Arial Narrow" w:hAnsi="Arial Narrow"/>
                <w:b/>
                <w:bCs/>
                <w:szCs w:val="18"/>
              </w:rPr>
              <w:t>RD (95%CI)</w:t>
            </w:r>
          </w:p>
        </w:tc>
      </w:tr>
      <w:tr w:rsidR="005A255E" w:rsidRPr="00E81073" w14:paraId="61356273" w14:textId="77777777" w:rsidTr="00621EA3">
        <w:trPr>
          <w:cantSplit/>
        </w:trPr>
        <w:tc>
          <w:tcPr>
            <w:tcW w:w="5000" w:type="pct"/>
            <w:gridSpan w:val="6"/>
            <w:tcBorders>
              <w:bottom w:val="single" w:sz="4" w:space="0" w:color="auto"/>
            </w:tcBorders>
            <w:shd w:val="clear" w:color="auto" w:fill="auto"/>
            <w:vAlign w:val="center"/>
          </w:tcPr>
          <w:p w14:paraId="134F3873" w14:textId="77777777" w:rsidR="005A255E" w:rsidRPr="005E2177" w:rsidRDefault="005A255E" w:rsidP="00D87DA9">
            <w:pPr>
              <w:pStyle w:val="TableCentre"/>
              <w:keepNext/>
              <w:jc w:val="left"/>
              <w:rPr>
                <w:rFonts w:ascii="Arial Narrow" w:hAnsi="Arial Narrow"/>
                <w:color w:val="7F7F7F" w:themeColor="text1" w:themeTint="80"/>
                <w:lang w:val="en-AU"/>
              </w:rPr>
            </w:pPr>
            <w:r w:rsidRPr="00E81073">
              <w:rPr>
                <w:rFonts w:ascii="Arial Narrow" w:hAnsi="Arial Narrow"/>
                <w:b/>
                <w:bCs/>
                <w:szCs w:val="18"/>
              </w:rPr>
              <w:t>BKZ vs ADA</w:t>
            </w:r>
          </w:p>
        </w:tc>
      </w:tr>
      <w:tr w:rsidR="005A255E" w:rsidRPr="00E81073" w14:paraId="3D0927B2" w14:textId="77777777" w:rsidTr="0056068F">
        <w:trPr>
          <w:cantSplit/>
        </w:trPr>
        <w:tc>
          <w:tcPr>
            <w:tcW w:w="986" w:type="pct"/>
            <w:tcBorders>
              <w:bottom w:val="nil"/>
            </w:tcBorders>
            <w:shd w:val="clear" w:color="auto" w:fill="auto"/>
          </w:tcPr>
          <w:p w14:paraId="580ECB57" w14:textId="77777777" w:rsidR="005A255E" w:rsidRPr="005E2177" w:rsidRDefault="005A255E" w:rsidP="00D87DA9">
            <w:pPr>
              <w:pStyle w:val="TableLeft"/>
              <w:keepNext/>
              <w:rPr>
                <w:rFonts w:ascii="Arial Narrow" w:hAnsi="Arial Narrow"/>
                <w:b/>
                <w:lang w:val="en-AU"/>
              </w:rPr>
            </w:pPr>
            <w:r w:rsidRPr="00E81073">
              <w:rPr>
                <w:rFonts w:ascii="Arial Narrow" w:hAnsi="Arial Narrow"/>
                <w:b/>
              </w:rPr>
              <w:t>Any TEAEs</w:t>
            </w:r>
          </w:p>
        </w:tc>
        <w:tc>
          <w:tcPr>
            <w:tcW w:w="812" w:type="pct"/>
            <w:tcBorders>
              <w:bottom w:val="nil"/>
            </w:tcBorders>
            <w:shd w:val="clear" w:color="auto" w:fill="auto"/>
          </w:tcPr>
          <w:p w14:paraId="4A9BA238" w14:textId="77777777" w:rsidR="005A255E" w:rsidRPr="005E2177" w:rsidRDefault="005A255E" w:rsidP="00D87DA9">
            <w:pPr>
              <w:pStyle w:val="TableCentre"/>
              <w:keepNext/>
              <w:rPr>
                <w:rFonts w:ascii="Arial Narrow" w:hAnsi="Arial Narrow"/>
                <w:highlight w:val="yellow"/>
                <w:lang w:val="en-AU"/>
              </w:rPr>
            </w:pPr>
          </w:p>
        </w:tc>
        <w:tc>
          <w:tcPr>
            <w:tcW w:w="695" w:type="pct"/>
            <w:tcBorders>
              <w:bottom w:val="nil"/>
            </w:tcBorders>
            <w:shd w:val="clear" w:color="auto" w:fill="auto"/>
          </w:tcPr>
          <w:p w14:paraId="4FAB2179" w14:textId="77777777" w:rsidR="005A255E" w:rsidRPr="005E2177" w:rsidRDefault="005A255E" w:rsidP="00D87DA9">
            <w:pPr>
              <w:pStyle w:val="TableCentre"/>
              <w:keepNext/>
              <w:rPr>
                <w:rFonts w:ascii="Arial Narrow" w:hAnsi="Arial Narrow"/>
                <w:highlight w:val="yellow"/>
                <w:lang w:val="en-AU"/>
              </w:rPr>
            </w:pPr>
          </w:p>
        </w:tc>
        <w:tc>
          <w:tcPr>
            <w:tcW w:w="909" w:type="pct"/>
            <w:tcBorders>
              <w:bottom w:val="nil"/>
            </w:tcBorders>
          </w:tcPr>
          <w:p w14:paraId="733004B5" w14:textId="77777777" w:rsidR="005A255E" w:rsidRPr="005E2177" w:rsidRDefault="005A255E" w:rsidP="00D87DA9">
            <w:pPr>
              <w:pStyle w:val="TableCentre"/>
              <w:keepNext/>
              <w:rPr>
                <w:rFonts w:ascii="Arial Narrow" w:hAnsi="Arial Narrow"/>
                <w:highlight w:val="yellow"/>
                <w:lang w:val="en-AU"/>
              </w:rPr>
            </w:pPr>
          </w:p>
        </w:tc>
        <w:tc>
          <w:tcPr>
            <w:tcW w:w="801" w:type="pct"/>
            <w:tcBorders>
              <w:bottom w:val="nil"/>
            </w:tcBorders>
          </w:tcPr>
          <w:p w14:paraId="14318739" w14:textId="77777777" w:rsidR="005A255E" w:rsidRPr="005E2177" w:rsidRDefault="005A255E" w:rsidP="00D87DA9">
            <w:pPr>
              <w:pStyle w:val="TableCentre"/>
              <w:keepNext/>
              <w:rPr>
                <w:rFonts w:ascii="Arial Narrow" w:hAnsi="Arial Narrow"/>
                <w:highlight w:val="yellow"/>
                <w:lang w:val="en-AU"/>
              </w:rPr>
            </w:pPr>
          </w:p>
        </w:tc>
        <w:tc>
          <w:tcPr>
            <w:tcW w:w="797" w:type="pct"/>
            <w:tcBorders>
              <w:bottom w:val="nil"/>
            </w:tcBorders>
          </w:tcPr>
          <w:p w14:paraId="4B1D45BC" w14:textId="77777777" w:rsidR="005A255E" w:rsidRPr="005E2177" w:rsidRDefault="005A255E" w:rsidP="00D87DA9">
            <w:pPr>
              <w:pStyle w:val="TableCentre"/>
              <w:keepNext/>
              <w:rPr>
                <w:rFonts w:ascii="Arial Narrow" w:hAnsi="Arial Narrow"/>
                <w:highlight w:val="yellow"/>
                <w:lang w:val="en-AU"/>
              </w:rPr>
            </w:pPr>
          </w:p>
        </w:tc>
      </w:tr>
      <w:tr w:rsidR="005A255E" w:rsidRPr="00E81073" w14:paraId="22DB2849" w14:textId="77777777" w:rsidTr="0056068F">
        <w:trPr>
          <w:cantSplit/>
        </w:trPr>
        <w:tc>
          <w:tcPr>
            <w:tcW w:w="986" w:type="pct"/>
            <w:tcBorders>
              <w:top w:val="nil"/>
              <w:bottom w:val="single" w:sz="4" w:space="0" w:color="auto"/>
            </w:tcBorders>
            <w:shd w:val="clear" w:color="auto" w:fill="auto"/>
          </w:tcPr>
          <w:p w14:paraId="2344AECF" w14:textId="77777777" w:rsidR="005A255E" w:rsidRPr="005E2177" w:rsidRDefault="005A255E" w:rsidP="00D87DA9">
            <w:pPr>
              <w:pStyle w:val="TableLeft"/>
              <w:keepNext/>
              <w:rPr>
                <w:rFonts w:ascii="Arial Narrow" w:hAnsi="Arial Narrow"/>
                <w:b/>
                <w:lang w:val="en-AU"/>
              </w:rPr>
            </w:pPr>
            <w:r w:rsidRPr="00E81073">
              <w:rPr>
                <w:rFonts w:ascii="Arial Narrow" w:hAnsi="Arial Narrow"/>
              </w:rPr>
              <w:t>BE OPTIMAL, W16</w:t>
            </w:r>
          </w:p>
        </w:tc>
        <w:tc>
          <w:tcPr>
            <w:tcW w:w="812" w:type="pct"/>
            <w:tcBorders>
              <w:top w:val="nil"/>
              <w:bottom w:val="single" w:sz="4" w:space="0" w:color="auto"/>
            </w:tcBorders>
            <w:shd w:val="clear" w:color="auto" w:fill="auto"/>
          </w:tcPr>
          <w:p w14:paraId="1CF2F831" w14:textId="5416D00F" w:rsidR="005A255E" w:rsidRPr="005E2177" w:rsidRDefault="005A255E" w:rsidP="00D87DA9">
            <w:pPr>
              <w:pStyle w:val="TableCentre"/>
              <w:keepNext/>
              <w:rPr>
                <w:rFonts w:ascii="Arial Narrow" w:hAnsi="Arial Narrow"/>
                <w:highlight w:val="yellow"/>
                <w:lang w:val="en-AU"/>
              </w:rPr>
            </w:pPr>
            <w:r w:rsidRPr="00E81073">
              <w:rPr>
                <w:rFonts w:ascii="Arial Narrow" w:hAnsi="Arial Narrow"/>
              </w:rPr>
              <w:t>257</w:t>
            </w:r>
            <w:r w:rsidR="00BA0F65" w:rsidRPr="00E81073">
              <w:rPr>
                <w:rFonts w:ascii="Arial Narrow" w:hAnsi="Arial Narrow"/>
              </w:rPr>
              <w:t>*</w:t>
            </w:r>
            <w:r w:rsidRPr="00E81073">
              <w:rPr>
                <w:rFonts w:ascii="Arial Narrow" w:hAnsi="Arial Narrow"/>
              </w:rPr>
              <w:t>/431 (59.6)</w:t>
            </w:r>
          </w:p>
        </w:tc>
        <w:tc>
          <w:tcPr>
            <w:tcW w:w="695" w:type="pct"/>
            <w:tcBorders>
              <w:top w:val="nil"/>
              <w:bottom w:val="single" w:sz="4" w:space="0" w:color="auto"/>
            </w:tcBorders>
            <w:shd w:val="clear" w:color="auto" w:fill="auto"/>
          </w:tcPr>
          <w:p w14:paraId="30284419" w14:textId="77777777" w:rsidR="005A255E" w:rsidRPr="005E2177" w:rsidRDefault="005A255E" w:rsidP="00D87DA9">
            <w:pPr>
              <w:pStyle w:val="TableCentre"/>
              <w:keepNext/>
              <w:rPr>
                <w:rFonts w:ascii="Arial Narrow" w:hAnsi="Arial Narrow"/>
                <w:lang w:val="en-AU"/>
              </w:rPr>
            </w:pPr>
            <w:r w:rsidRPr="00E81073">
              <w:rPr>
                <w:rFonts w:ascii="Arial Narrow" w:hAnsi="Arial Narrow"/>
              </w:rPr>
              <w:t>83/140 (59.3)</w:t>
            </w:r>
          </w:p>
        </w:tc>
        <w:tc>
          <w:tcPr>
            <w:tcW w:w="909" w:type="pct"/>
            <w:tcBorders>
              <w:top w:val="nil"/>
              <w:bottom w:val="single" w:sz="4" w:space="0" w:color="auto"/>
            </w:tcBorders>
          </w:tcPr>
          <w:p w14:paraId="13C933D3" w14:textId="0D7E4043" w:rsidR="005A255E" w:rsidRPr="005E2177" w:rsidRDefault="001A6873" w:rsidP="00D87DA9">
            <w:pPr>
              <w:pStyle w:val="TableCentre"/>
              <w:keepNext/>
              <w:rPr>
                <w:rFonts w:ascii="Arial Narrow" w:hAnsi="Arial Narrow"/>
                <w:highlight w:val="yellow"/>
                <w:lang w:val="en-AU"/>
              </w:rPr>
            </w:pPr>
            <w:r w:rsidRPr="00E81073">
              <w:rPr>
                <w:rFonts w:ascii="Arial Narrow" w:hAnsi="Arial Narrow"/>
              </w:rPr>
              <w:t>1.01 (0.86, 1.18)</w:t>
            </w:r>
          </w:p>
        </w:tc>
        <w:tc>
          <w:tcPr>
            <w:tcW w:w="801" w:type="pct"/>
            <w:tcBorders>
              <w:top w:val="nil"/>
              <w:bottom w:val="single" w:sz="4" w:space="0" w:color="auto"/>
            </w:tcBorders>
          </w:tcPr>
          <w:p w14:paraId="28D5D6BB" w14:textId="2C8EFBCD" w:rsidR="005A255E" w:rsidRPr="005E2177" w:rsidRDefault="001A6873" w:rsidP="00D87DA9">
            <w:pPr>
              <w:pStyle w:val="TableCentre"/>
              <w:keepNext/>
              <w:rPr>
                <w:rFonts w:ascii="Arial Narrow" w:hAnsi="Arial Narrow"/>
                <w:highlight w:val="yellow"/>
                <w:lang w:val="en-AU"/>
              </w:rPr>
            </w:pPr>
            <w:r w:rsidRPr="00E81073">
              <w:rPr>
                <w:rFonts w:ascii="Arial Narrow" w:hAnsi="Arial Narrow"/>
              </w:rPr>
              <w:t>1.01 (0.69, 1.50)</w:t>
            </w:r>
          </w:p>
        </w:tc>
        <w:tc>
          <w:tcPr>
            <w:tcW w:w="797" w:type="pct"/>
            <w:tcBorders>
              <w:top w:val="nil"/>
              <w:bottom w:val="single" w:sz="4" w:space="0" w:color="auto"/>
            </w:tcBorders>
          </w:tcPr>
          <w:p w14:paraId="2E9B9CCD" w14:textId="3A491262" w:rsidR="005A255E" w:rsidRPr="005E2177" w:rsidRDefault="008A3AEA" w:rsidP="00D87DA9">
            <w:pPr>
              <w:pStyle w:val="TableCentre"/>
              <w:keepNext/>
              <w:rPr>
                <w:rFonts w:ascii="Arial Narrow" w:hAnsi="Arial Narrow"/>
                <w:highlight w:val="yellow"/>
                <w:lang w:val="en-AU"/>
              </w:rPr>
            </w:pPr>
            <w:r w:rsidRPr="00E81073">
              <w:rPr>
                <w:rFonts w:ascii="Arial Narrow" w:hAnsi="Arial Narrow"/>
              </w:rPr>
              <w:t>0.00 (-0.09,</w:t>
            </w:r>
            <w:r w:rsidR="00B409E2" w:rsidRPr="00E81073">
              <w:rPr>
                <w:rFonts w:ascii="Arial Narrow" w:hAnsi="Arial Narrow"/>
              </w:rPr>
              <w:t xml:space="preserve"> </w:t>
            </w:r>
            <w:r w:rsidRPr="00E81073">
              <w:rPr>
                <w:rFonts w:ascii="Arial Narrow" w:hAnsi="Arial Narrow"/>
              </w:rPr>
              <w:t>0.10)</w:t>
            </w:r>
          </w:p>
        </w:tc>
      </w:tr>
      <w:tr w:rsidR="005A255E" w:rsidRPr="00E81073" w14:paraId="28BF02FC" w14:textId="77777777" w:rsidTr="0056068F">
        <w:trPr>
          <w:cantSplit/>
        </w:trPr>
        <w:tc>
          <w:tcPr>
            <w:tcW w:w="986" w:type="pct"/>
            <w:tcBorders>
              <w:bottom w:val="nil"/>
            </w:tcBorders>
            <w:shd w:val="clear" w:color="auto" w:fill="auto"/>
          </w:tcPr>
          <w:p w14:paraId="4CA53AC1" w14:textId="77777777" w:rsidR="005A255E" w:rsidRPr="005E2177" w:rsidRDefault="005A255E" w:rsidP="00D87DA9">
            <w:pPr>
              <w:pStyle w:val="TableLeft"/>
              <w:keepNext/>
              <w:rPr>
                <w:rFonts w:ascii="Arial Narrow" w:hAnsi="Arial Narrow"/>
                <w:b/>
                <w:lang w:val="en-AU"/>
              </w:rPr>
            </w:pPr>
            <w:r w:rsidRPr="00E81073">
              <w:rPr>
                <w:rFonts w:ascii="Arial Narrow" w:hAnsi="Arial Narrow"/>
                <w:b/>
              </w:rPr>
              <w:t>Serious TEAEs</w:t>
            </w:r>
          </w:p>
        </w:tc>
        <w:tc>
          <w:tcPr>
            <w:tcW w:w="812" w:type="pct"/>
            <w:tcBorders>
              <w:bottom w:val="nil"/>
            </w:tcBorders>
            <w:shd w:val="clear" w:color="auto" w:fill="auto"/>
          </w:tcPr>
          <w:p w14:paraId="79CBEDD4" w14:textId="77777777" w:rsidR="005A255E" w:rsidRPr="005E2177" w:rsidRDefault="005A255E" w:rsidP="00D87DA9">
            <w:pPr>
              <w:pStyle w:val="TableCentre"/>
              <w:keepNext/>
              <w:rPr>
                <w:rFonts w:ascii="Arial Narrow" w:hAnsi="Arial Narrow"/>
                <w:highlight w:val="yellow"/>
                <w:lang w:val="en-AU"/>
              </w:rPr>
            </w:pPr>
          </w:p>
        </w:tc>
        <w:tc>
          <w:tcPr>
            <w:tcW w:w="695" w:type="pct"/>
            <w:tcBorders>
              <w:bottom w:val="nil"/>
            </w:tcBorders>
            <w:shd w:val="clear" w:color="auto" w:fill="auto"/>
          </w:tcPr>
          <w:p w14:paraId="1F6FD78D" w14:textId="77777777" w:rsidR="005A255E" w:rsidRPr="005E2177" w:rsidRDefault="005A255E" w:rsidP="00D87DA9">
            <w:pPr>
              <w:pStyle w:val="TableCentre"/>
              <w:keepNext/>
              <w:rPr>
                <w:rFonts w:ascii="Arial Narrow" w:hAnsi="Arial Narrow"/>
                <w:lang w:val="en-AU"/>
              </w:rPr>
            </w:pPr>
          </w:p>
        </w:tc>
        <w:tc>
          <w:tcPr>
            <w:tcW w:w="909" w:type="pct"/>
            <w:tcBorders>
              <w:bottom w:val="nil"/>
            </w:tcBorders>
          </w:tcPr>
          <w:p w14:paraId="20AD07AD" w14:textId="77777777" w:rsidR="005A255E" w:rsidRPr="005E2177" w:rsidRDefault="005A255E" w:rsidP="00D87DA9">
            <w:pPr>
              <w:pStyle w:val="TableCentre"/>
              <w:keepNext/>
              <w:rPr>
                <w:rFonts w:ascii="Arial Narrow" w:hAnsi="Arial Narrow"/>
                <w:highlight w:val="yellow"/>
                <w:lang w:val="en-AU"/>
              </w:rPr>
            </w:pPr>
          </w:p>
        </w:tc>
        <w:tc>
          <w:tcPr>
            <w:tcW w:w="801" w:type="pct"/>
            <w:tcBorders>
              <w:bottom w:val="nil"/>
            </w:tcBorders>
          </w:tcPr>
          <w:p w14:paraId="290C4E51" w14:textId="77777777" w:rsidR="005A255E" w:rsidRPr="005E2177" w:rsidRDefault="005A255E" w:rsidP="00D87DA9">
            <w:pPr>
              <w:pStyle w:val="TableCentre"/>
              <w:keepNext/>
              <w:rPr>
                <w:rFonts w:ascii="Arial Narrow" w:hAnsi="Arial Narrow"/>
                <w:highlight w:val="yellow"/>
                <w:lang w:val="en-AU"/>
              </w:rPr>
            </w:pPr>
          </w:p>
        </w:tc>
        <w:tc>
          <w:tcPr>
            <w:tcW w:w="797" w:type="pct"/>
            <w:tcBorders>
              <w:bottom w:val="nil"/>
            </w:tcBorders>
          </w:tcPr>
          <w:p w14:paraId="5825446E" w14:textId="19928EAC" w:rsidR="005A255E" w:rsidRPr="005E2177" w:rsidRDefault="005A255E" w:rsidP="00D87DA9">
            <w:pPr>
              <w:pStyle w:val="TableCentre"/>
              <w:keepNext/>
              <w:rPr>
                <w:rFonts w:ascii="Arial Narrow" w:hAnsi="Arial Narrow"/>
                <w:highlight w:val="yellow"/>
                <w:lang w:val="en-AU"/>
              </w:rPr>
            </w:pPr>
          </w:p>
        </w:tc>
      </w:tr>
      <w:tr w:rsidR="005A255E" w:rsidRPr="00E81073" w14:paraId="35DC166C" w14:textId="77777777" w:rsidTr="0056068F">
        <w:trPr>
          <w:cantSplit/>
        </w:trPr>
        <w:tc>
          <w:tcPr>
            <w:tcW w:w="986" w:type="pct"/>
            <w:tcBorders>
              <w:top w:val="nil"/>
              <w:bottom w:val="single" w:sz="4" w:space="0" w:color="auto"/>
            </w:tcBorders>
            <w:shd w:val="clear" w:color="auto" w:fill="auto"/>
          </w:tcPr>
          <w:p w14:paraId="42E23AEA" w14:textId="77777777" w:rsidR="005A255E" w:rsidRPr="005E2177" w:rsidRDefault="005A255E" w:rsidP="00D87DA9">
            <w:pPr>
              <w:pStyle w:val="TableLeft"/>
              <w:keepNext/>
              <w:rPr>
                <w:rFonts w:ascii="Arial Narrow" w:hAnsi="Arial Narrow"/>
                <w:b/>
                <w:lang w:val="en-AU"/>
              </w:rPr>
            </w:pPr>
            <w:r w:rsidRPr="00E81073">
              <w:rPr>
                <w:rFonts w:ascii="Arial Narrow" w:hAnsi="Arial Narrow"/>
              </w:rPr>
              <w:t>BE OPTIMAL, W16</w:t>
            </w:r>
          </w:p>
        </w:tc>
        <w:tc>
          <w:tcPr>
            <w:tcW w:w="812" w:type="pct"/>
            <w:tcBorders>
              <w:top w:val="nil"/>
              <w:bottom w:val="single" w:sz="4" w:space="0" w:color="auto"/>
            </w:tcBorders>
            <w:shd w:val="clear" w:color="auto" w:fill="auto"/>
          </w:tcPr>
          <w:p w14:paraId="7BFAF3C7" w14:textId="1BCA6B91" w:rsidR="005A255E" w:rsidRPr="005E2177" w:rsidRDefault="005A255E" w:rsidP="00D87DA9">
            <w:pPr>
              <w:pStyle w:val="TableCentre"/>
              <w:keepNext/>
              <w:rPr>
                <w:rFonts w:ascii="Arial Narrow" w:hAnsi="Arial Narrow"/>
                <w:highlight w:val="yellow"/>
                <w:lang w:val="en-AU"/>
              </w:rPr>
            </w:pPr>
            <w:r w:rsidRPr="00E81073">
              <w:rPr>
                <w:rFonts w:ascii="Arial Narrow" w:hAnsi="Arial Narrow"/>
              </w:rPr>
              <w:t>8</w:t>
            </w:r>
            <w:r w:rsidR="009B654B" w:rsidRPr="00E81073">
              <w:rPr>
                <w:rFonts w:ascii="Arial Narrow" w:hAnsi="Arial Narrow"/>
              </w:rPr>
              <w:t>^</w:t>
            </w:r>
            <w:r w:rsidRPr="00E81073">
              <w:rPr>
                <w:rFonts w:ascii="Arial Narrow" w:hAnsi="Arial Narrow"/>
              </w:rPr>
              <w:t>/431 (1.9)</w:t>
            </w:r>
          </w:p>
        </w:tc>
        <w:tc>
          <w:tcPr>
            <w:tcW w:w="695" w:type="pct"/>
            <w:tcBorders>
              <w:top w:val="nil"/>
              <w:bottom w:val="single" w:sz="4" w:space="0" w:color="auto"/>
            </w:tcBorders>
            <w:shd w:val="clear" w:color="auto" w:fill="auto"/>
          </w:tcPr>
          <w:p w14:paraId="65671226" w14:textId="77777777" w:rsidR="005A255E" w:rsidRPr="005E2177" w:rsidRDefault="005A255E" w:rsidP="00D87DA9">
            <w:pPr>
              <w:pStyle w:val="TableCentre"/>
              <w:keepNext/>
              <w:rPr>
                <w:rFonts w:ascii="Arial Narrow" w:hAnsi="Arial Narrow"/>
                <w:highlight w:val="yellow"/>
                <w:lang w:val="en-AU"/>
              </w:rPr>
            </w:pPr>
            <w:r w:rsidRPr="00E81073">
              <w:rPr>
                <w:rFonts w:ascii="Arial Narrow" w:hAnsi="Arial Narrow"/>
              </w:rPr>
              <w:t>2/140 (1.4)</w:t>
            </w:r>
          </w:p>
        </w:tc>
        <w:tc>
          <w:tcPr>
            <w:tcW w:w="909" w:type="pct"/>
            <w:tcBorders>
              <w:top w:val="nil"/>
              <w:bottom w:val="single" w:sz="4" w:space="0" w:color="auto"/>
            </w:tcBorders>
          </w:tcPr>
          <w:p w14:paraId="3E303B8F" w14:textId="1ADBEA2F" w:rsidR="005A255E" w:rsidRPr="005E2177" w:rsidRDefault="001A6873" w:rsidP="00D87DA9">
            <w:pPr>
              <w:pStyle w:val="TableCentre"/>
              <w:keepNext/>
              <w:rPr>
                <w:rFonts w:ascii="Arial Narrow" w:hAnsi="Arial Narrow"/>
                <w:highlight w:val="yellow"/>
                <w:lang w:val="en-AU"/>
              </w:rPr>
            </w:pPr>
            <w:r w:rsidRPr="00E81073">
              <w:rPr>
                <w:rFonts w:ascii="Arial Narrow" w:hAnsi="Arial Narrow"/>
              </w:rPr>
              <w:t>1.30 (0.28, 6.05)</w:t>
            </w:r>
          </w:p>
        </w:tc>
        <w:tc>
          <w:tcPr>
            <w:tcW w:w="801" w:type="pct"/>
            <w:tcBorders>
              <w:top w:val="nil"/>
              <w:bottom w:val="single" w:sz="4" w:space="0" w:color="auto"/>
            </w:tcBorders>
          </w:tcPr>
          <w:p w14:paraId="5B69AB2C" w14:textId="6E02409A" w:rsidR="005A255E" w:rsidRPr="005E2177" w:rsidRDefault="001A6873" w:rsidP="00D87DA9">
            <w:pPr>
              <w:pStyle w:val="TableCentre"/>
              <w:keepNext/>
              <w:rPr>
                <w:rFonts w:ascii="Arial Narrow" w:hAnsi="Arial Narrow"/>
                <w:highlight w:val="yellow"/>
                <w:lang w:val="en-AU"/>
              </w:rPr>
            </w:pPr>
            <w:r w:rsidRPr="00E81073">
              <w:rPr>
                <w:rFonts w:ascii="Arial Narrow" w:hAnsi="Arial Narrow"/>
              </w:rPr>
              <w:t>1.30 (0.27, 6.22)</w:t>
            </w:r>
          </w:p>
        </w:tc>
        <w:tc>
          <w:tcPr>
            <w:tcW w:w="797" w:type="pct"/>
            <w:tcBorders>
              <w:top w:val="nil"/>
              <w:bottom w:val="single" w:sz="4" w:space="0" w:color="auto"/>
            </w:tcBorders>
          </w:tcPr>
          <w:p w14:paraId="7FD8A919" w14:textId="6293AC8D" w:rsidR="005A255E" w:rsidRPr="005E2177" w:rsidRDefault="001A6873" w:rsidP="00D87DA9">
            <w:pPr>
              <w:pStyle w:val="TableCentre"/>
              <w:keepNext/>
              <w:rPr>
                <w:rFonts w:ascii="Arial Narrow" w:hAnsi="Arial Narrow"/>
                <w:highlight w:val="yellow"/>
                <w:lang w:val="en-AU"/>
              </w:rPr>
            </w:pPr>
            <w:r w:rsidRPr="00E81073">
              <w:rPr>
                <w:rFonts w:ascii="Arial Narrow" w:hAnsi="Arial Narrow"/>
              </w:rPr>
              <w:t>0.00 (</w:t>
            </w:r>
            <w:r w:rsidR="008A3AEA" w:rsidRPr="00E81073">
              <w:rPr>
                <w:rFonts w:ascii="Arial Narrow" w:hAnsi="Arial Narrow"/>
              </w:rPr>
              <w:t>-0.02</w:t>
            </w:r>
            <w:r w:rsidRPr="00E81073">
              <w:rPr>
                <w:rFonts w:ascii="Arial Narrow" w:hAnsi="Arial Narrow"/>
              </w:rPr>
              <w:t>,</w:t>
            </w:r>
            <w:r w:rsidR="008A3AEA" w:rsidRPr="00E81073">
              <w:rPr>
                <w:rFonts w:ascii="Arial Narrow" w:hAnsi="Arial Narrow"/>
              </w:rPr>
              <w:t xml:space="preserve"> </w:t>
            </w:r>
            <w:r w:rsidRPr="00E81073">
              <w:rPr>
                <w:rFonts w:ascii="Arial Narrow" w:hAnsi="Arial Narrow"/>
              </w:rPr>
              <w:t>0.03)</w:t>
            </w:r>
          </w:p>
        </w:tc>
      </w:tr>
      <w:tr w:rsidR="005A255E" w:rsidRPr="00E81073" w14:paraId="44D38822" w14:textId="77777777" w:rsidTr="0056068F">
        <w:trPr>
          <w:cantSplit/>
        </w:trPr>
        <w:tc>
          <w:tcPr>
            <w:tcW w:w="986" w:type="pct"/>
            <w:tcBorders>
              <w:bottom w:val="nil"/>
            </w:tcBorders>
            <w:shd w:val="clear" w:color="auto" w:fill="auto"/>
          </w:tcPr>
          <w:p w14:paraId="57550E44" w14:textId="77777777" w:rsidR="005A255E" w:rsidRPr="005E2177" w:rsidRDefault="005A255E" w:rsidP="00D87DA9">
            <w:pPr>
              <w:pStyle w:val="TableLeft"/>
              <w:keepNext/>
              <w:rPr>
                <w:rFonts w:ascii="Arial Narrow" w:hAnsi="Arial Narrow"/>
                <w:b/>
                <w:lang w:val="en-AU"/>
              </w:rPr>
            </w:pPr>
            <w:r w:rsidRPr="00E81073">
              <w:rPr>
                <w:rFonts w:ascii="Arial Narrow" w:hAnsi="Arial Narrow"/>
                <w:b/>
              </w:rPr>
              <w:t>Disc. due to TEAEs</w:t>
            </w:r>
          </w:p>
        </w:tc>
        <w:tc>
          <w:tcPr>
            <w:tcW w:w="812" w:type="pct"/>
            <w:tcBorders>
              <w:bottom w:val="nil"/>
            </w:tcBorders>
            <w:shd w:val="clear" w:color="auto" w:fill="auto"/>
          </w:tcPr>
          <w:p w14:paraId="75112928" w14:textId="77777777" w:rsidR="005A255E" w:rsidRPr="005E2177" w:rsidRDefault="005A255E" w:rsidP="00D87DA9">
            <w:pPr>
              <w:pStyle w:val="TableCentre"/>
              <w:keepNext/>
              <w:rPr>
                <w:rFonts w:ascii="Arial Narrow" w:hAnsi="Arial Narrow"/>
                <w:highlight w:val="yellow"/>
                <w:lang w:val="en-AU"/>
              </w:rPr>
            </w:pPr>
          </w:p>
        </w:tc>
        <w:tc>
          <w:tcPr>
            <w:tcW w:w="695" w:type="pct"/>
            <w:tcBorders>
              <w:bottom w:val="nil"/>
            </w:tcBorders>
            <w:shd w:val="clear" w:color="auto" w:fill="auto"/>
          </w:tcPr>
          <w:p w14:paraId="2E64D74C" w14:textId="77777777" w:rsidR="005A255E" w:rsidRPr="005E2177" w:rsidRDefault="005A255E" w:rsidP="00D87DA9">
            <w:pPr>
              <w:pStyle w:val="TableCentre"/>
              <w:keepNext/>
              <w:rPr>
                <w:rFonts w:ascii="Arial Narrow" w:hAnsi="Arial Narrow"/>
                <w:highlight w:val="yellow"/>
                <w:lang w:val="en-AU"/>
              </w:rPr>
            </w:pPr>
          </w:p>
        </w:tc>
        <w:tc>
          <w:tcPr>
            <w:tcW w:w="909" w:type="pct"/>
            <w:tcBorders>
              <w:bottom w:val="nil"/>
            </w:tcBorders>
          </w:tcPr>
          <w:p w14:paraId="6DA44A82" w14:textId="77777777" w:rsidR="005A255E" w:rsidRPr="005E2177" w:rsidRDefault="005A255E" w:rsidP="00D87DA9">
            <w:pPr>
              <w:pStyle w:val="TableCentre"/>
              <w:keepNext/>
              <w:rPr>
                <w:rFonts w:ascii="Arial Narrow" w:hAnsi="Arial Narrow"/>
                <w:highlight w:val="yellow"/>
                <w:lang w:val="en-AU"/>
              </w:rPr>
            </w:pPr>
          </w:p>
        </w:tc>
        <w:tc>
          <w:tcPr>
            <w:tcW w:w="801" w:type="pct"/>
            <w:tcBorders>
              <w:bottom w:val="nil"/>
            </w:tcBorders>
          </w:tcPr>
          <w:p w14:paraId="52CB5D81" w14:textId="77777777" w:rsidR="005A255E" w:rsidRPr="005E2177" w:rsidRDefault="005A255E" w:rsidP="00D87DA9">
            <w:pPr>
              <w:pStyle w:val="TableCentre"/>
              <w:keepNext/>
              <w:rPr>
                <w:rFonts w:ascii="Arial Narrow" w:hAnsi="Arial Narrow"/>
                <w:highlight w:val="yellow"/>
                <w:lang w:val="en-AU"/>
              </w:rPr>
            </w:pPr>
          </w:p>
        </w:tc>
        <w:tc>
          <w:tcPr>
            <w:tcW w:w="797" w:type="pct"/>
            <w:tcBorders>
              <w:bottom w:val="nil"/>
            </w:tcBorders>
          </w:tcPr>
          <w:p w14:paraId="5ECEF680" w14:textId="77777777" w:rsidR="005A255E" w:rsidRPr="005E2177" w:rsidRDefault="005A255E" w:rsidP="00D87DA9">
            <w:pPr>
              <w:pStyle w:val="TableCentre"/>
              <w:keepNext/>
              <w:rPr>
                <w:rFonts w:ascii="Arial Narrow" w:hAnsi="Arial Narrow"/>
                <w:highlight w:val="yellow"/>
                <w:lang w:val="en-AU"/>
              </w:rPr>
            </w:pPr>
          </w:p>
        </w:tc>
      </w:tr>
      <w:tr w:rsidR="005A255E" w:rsidRPr="00E81073" w14:paraId="077E3E1D" w14:textId="77777777" w:rsidTr="0056068F">
        <w:trPr>
          <w:cantSplit/>
        </w:trPr>
        <w:tc>
          <w:tcPr>
            <w:tcW w:w="986" w:type="pct"/>
            <w:tcBorders>
              <w:top w:val="nil"/>
            </w:tcBorders>
            <w:shd w:val="clear" w:color="auto" w:fill="auto"/>
          </w:tcPr>
          <w:p w14:paraId="021A4EF5" w14:textId="77777777" w:rsidR="005A255E" w:rsidRPr="005E2177" w:rsidRDefault="005A255E" w:rsidP="00D87DA9">
            <w:pPr>
              <w:pStyle w:val="TableLeft"/>
              <w:keepNext/>
              <w:rPr>
                <w:rFonts w:ascii="Arial Narrow" w:hAnsi="Arial Narrow"/>
                <w:b/>
                <w:lang w:val="en-AU"/>
              </w:rPr>
            </w:pPr>
            <w:r w:rsidRPr="00E81073">
              <w:rPr>
                <w:rFonts w:ascii="Arial Narrow" w:hAnsi="Arial Narrow"/>
              </w:rPr>
              <w:t>BE OPTIMAL, W16</w:t>
            </w:r>
          </w:p>
        </w:tc>
        <w:tc>
          <w:tcPr>
            <w:tcW w:w="812" w:type="pct"/>
            <w:tcBorders>
              <w:top w:val="nil"/>
            </w:tcBorders>
            <w:shd w:val="clear" w:color="auto" w:fill="auto"/>
          </w:tcPr>
          <w:p w14:paraId="4653AEDF" w14:textId="77777777" w:rsidR="005A255E" w:rsidRPr="005E2177" w:rsidRDefault="005A255E" w:rsidP="00D87DA9">
            <w:pPr>
              <w:pStyle w:val="TableCentre"/>
              <w:keepNext/>
              <w:rPr>
                <w:rFonts w:ascii="Arial Narrow" w:hAnsi="Arial Narrow"/>
                <w:highlight w:val="yellow"/>
                <w:lang w:val="en-AU"/>
              </w:rPr>
            </w:pPr>
            <w:r w:rsidRPr="00E81073">
              <w:rPr>
                <w:rFonts w:ascii="Arial Narrow" w:hAnsi="Arial Narrow"/>
              </w:rPr>
              <w:t>8/431 (1.9)</w:t>
            </w:r>
          </w:p>
        </w:tc>
        <w:tc>
          <w:tcPr>
            <w:tcW w:w="695" w:type="pct"/>
            <w:tcBorders>
              <w:top w:val="nil"/>
            </w:tcBorders>
            <w:shd w:val="clear" w:color="auto" w:fill="auto"/>
          </w:tcPr>
          <w:p w14:paraId="13687EC1" w14:textId="77777777" w:rsidR="005A255E" w:rsidRPr="005E2177" w:rsidRDefault="005A255E" w:rsidP="00D87DA9">
            <w:pPr>
              <w:pStyle w:val="TableCentre"/>
              <w:keepNext/>
              <w:rPr>
                <w:rFonts w:ascii="Arial Narrow" w:hAnsi="Arial Narrow"/>
                <w:highlight w:val="yellow"/>
                <w:lang w:val="en-AU"/>
              </w:rPr>
            </w:pPr>
            <w:r w:rsidRPr="00E81073">
              <w:rPr>
                <w:rFonts w:ascii="Arial Narrow" w:hAnsi="Arial Narrow"/>
              </w:rPr>
              <w:t>3/140 (2.1)</w:t>
            </w:r>
          </w:p>
        </w:tc>
        <w:tc>
          <w:tcPr>
            <w:tcW w:w="909" w:type="pct"/>
            <w:tcBorders>
              <w:top w:val="nil"/>
            </w:tcBorders>
          </w:tcPr>
          <w:p w14:paraId="2AD35F26" w14:textId="781C625D" w:rsidR="005A255E" w:rsidRPr="005E2177" w:rsidRDefault="001A6873" w:rsidP="00D87DA9">
            <w:pPr>
              <w:pStyle w:val="TableCentre"/>
              <w:keepNext/>
              <w:rPr>
                <w:rFonts w:ascii="Arial Narrow" w:hAnsi="Arial Narrow"/>
                <w:highlight w:val="yellow"/>
                <w:lang w:val="en-AU"/>
              </w:rPr>
            </w:pPr>
            <w:r w:rsidRPr="00E81073">
              <w:rPr>
                <w:rFonts w:ascii="Arial Narrow" w:hAnsi="Arial Narrow"/>
              </w:rPr>
              <w:t>0.87 (0.23, 3.22)</w:t>
            </w:r>
          </w:p>
        </w:tc>
        <w:tc>
          <w:tcPr>
            <w:tcW w:w="801" w:type="pct"/>
            <w:tcBorders>
              <w:top w:val="nil"/>
            </w:tcBorders>
          </w:tcPr>
          <w:p w14:paraId="09F5EEA7" w14:textId="11F9DB12" w:rsidR="005A255E" w:rsidRPr="005E2177" w:rsidRDefault="001A6873" w:rsidP="00D87DA9">
            <w:pPr>
              <w:pStyle w:val="TableCentre"/>
              <w:keepNext/>
              <w:rPr>
                <w:rFonts w:ascii="Arial Narrow" w:hAnsi="Arial Narrow"/>
                <w:highlight w:val="yellow"/>
                <w:lang w:val="en-AU"/>
              </w:rPr>
            </w:pPr>
            <w:r w:rsidRPr="00E81073">
              <w:rPr>
                <w:rFonts w:ascii="Arial Narrow" w:hAnsi="Arial Narrow"/>
              </w:rPr>
              <w:t>0.86 (0.23, 3.30)</w:t>
            </w:r>
          </w:p>
        </w:tc>
        <w:tc>
          <w:tcPr>
            <w:tcW w:w="797" w:type="pct"/>
            <w:tcBorders>
              <w:top w:val="nil"/>
            </w:tcBorders>
          </w:tcPr>
          <w:p w14:paraId="3AD138D6" w14:textId="1ECFE60F" w:rsidR="005A255E" w:rsidRPr="005E2177" w:rsidRDefault="001A6873" w:rsidP="00D87DA9">
            <w:pPr>
              <w:pStyle w:val="TableCentre"/>
              <w:keepNext/>
              <w:rPr>
                <w:rFonts w:ascii="Arial Narrow" w:hAnsi="Arial Narrow"/>
                <w:highlight w:val="yellow"/>
                <w:lang w:val="en-AU"/>
              </w:rPr>
            </w:pPr>
            <w:r w:rsidRPr="00E81073">
              <w:rPr>
                <w:rFonts w:ascii="Arial Narrow" w:hAnsi="Arial Narrow"/>
              </w:rPr>
              <w:t>-0.00 (-0.03, 0.02)</w:t>
            </w:r>
          </w:p>
        </w:tc>
      </w:tr>
      <w:tr w:rsidR="005A255E" w:rsidRPr="00E81073" w14:paraId="52F36BD8" w14:textId="77777777" w:rsidTr="00621EA3">
        <w:trPr>
          <w:cantSplit/>
        </w:trPr>
        <w:tc>
          <w:tcPr>
            <w:tcW w:w="5000" w:type="pct"/>
            <w:gridSpan w:val="6"/>
            <w:tcBorders>
              <w:bottom w:val="single" w:sz="4" w:space="0" w:color="auto"/>
            </w:tcBorders>
            <w:shd w:val="clear" w:color="auto" w:fill="auto"/>
            <w:vAlign w:val="center"/>
          </w:tcPr>
          <w:p w14:paraId="1121A63F" w14:textId="77777777" w:rsidR="005A255E" w:rsidRPr="005E2177" w:rsidRDefault="005A255E" w:rsidP="00D87DA9">
            <w:pPr>
              <w:pStyle w:val="TableCentre"/>
              <w:keepNext/>
              <w:jc w:val="left"/>
              <w:rPr>
                <w:rFonts w:ascii="Arial Narrow" w:hAnsi="Arial Narrow"/>
                <w:lang w:val="en-AU"/>
              </w:rPr>
            </w:pPr>
            <w:r w:rsidRPr="00E81073">
              <w:rPr>
                <w:rFonts w:ascii="Arial Narrow" w:hAnsi="Arial Narrow"/>
                <w:b/>
                <w:bCs/>
                <w:szCs w:val="18"/>
              </w:rPr>
              <w:t>BKZ vs PBO</w:t>
            </w:r>
          </w:p>
        </w:tc>
      </w:tr>
      <w:tr w:rsidR="005A255E" w:rsidRPr="00E81073" w14:paraId="595F7DB9" w14:textId="77777777" w:rsidTr="0056068F">
        <w:trPr>
          <w:cantSplit/>
        </w:trPr>
        <w:tc>
          <w:tcPr>
            <w:tcW w:w="986" w:type="pct"/>
            <w:tcBorders>
              <w:bottom w:val="nil"/>
            </w:tcBorders>
            <w:shd w:val="clear" w:color="auto" w:fill="auto"/>
          </w:tcPr>
          <w:p w14:paraId="5F7D16B5" w14:textId="77777777" w:rsidR="005A255E" w:rsidRPr="005E2177" w:rsidRDefault="005A255E" w:rsidP="00D87DA9">
            <w:pPr>
              <w:pStyle w:val="TableLeft"/>
              <w:keepNext/>
              <w:rPr>
                <w:rFonts w:ascii="Arial Narrow" w:hAnsi="Arial Narrow"/>
                <w:b/>
                <w:lang w:val="en-AU"/>
              </w:rPr>
            </w:pPr>
            <w:r w:rsidRPr="00E81073">
              <w:rPr>
                <w:rFonts w:ascii="Arial Narrow" w:hAnsi="Arial Narrow"/>
                <w:b/>
              </w:rPr>
              <w:t>Any TEAEs</w:t>
            </w:r>
          </w:p>
        </w:tc>
        <w:tc>
          <w:tcPr>
            <w:tcW w:w="812" w:type="pct"/>
            <w:tcBorders>
              <w:bottom w:val="nil"/>
            </w:tcBorders>
            <w:shd w:val="clear" w:color="auto" w:fill="auto"/>
          </w:tcPr>
          <w:p w14:paraId="5CDD0467" w14:textId="77777777" w:rsidR="005A255E" w:rsidRPr="005E2177" w:rsidRDefault="005A255E" w:rsidP="00D87DA9">
            <w:pPr>
              <w:pStyle w:val="TableCentre"/>
              <w:keepNext/>
              <w:rPr>
                <w:rFonts w:ascii="Arial Narrow" w:hAnsi="Arial Narrow"/>
                <w:lang w:val="en-AU"/>
              </w:rPr>
            </w:pPr>
          </w:p>
        </w:tc>
        <w:tc>
          <w:tcPr>
            <w:tcW w:w="695" w:type="pct"/>
            <w:tcBorders>
              <w:bottom w:val="nil"/>
            </w:tcBorders>
            <w:shd w:val="clear" w:color="auto" w:fill="auto"/>
          </w:tcPr>
          <w:p w14:paraId="25FEDDC7" w14:textId="77777777" w:rsidR="005A255E" w:rsidRPr="005E2177" w:rsidRDefault="005A255E" w:rsidP="00D87DA9">
            <w:pPr>
              <w:pStyle w:val="TableCentre"/>
              <w:keepNext/>
              <w:rPr>
                <w:rFonts w:ascii="Arial Narrow" w:hAnsi="Arial Narrow"/>
                <w:lang w:val="en-AU"/>
              </w:rPr>
            </w:pPr>
          </w:p>
        </w:tc>
        <w:tc>
          <w:tcPr>
            <w:tcW w:w="909" w:type="pct"/>
            <w:tcBorders>
              <w:bottom w:val="nil"/>
            </w:tcBorders>
          </w:tcPr>
          <w:p w14:paraId="3D8EE685" w14:textId="77777777" w:rsidR="005A255E" w:rsidRPr="005E2177" w:rsidRDefault="005A255E" w:rsidP="00D87DA9">
            <w:pPr>
              <w:pStyle w:val="TableCentre"/>
              <w:keepNext/>
              <w:rPr>
                <w:rFonts w:ascii="Arial Narrow" w:hAnsi="Arial Narrow"/>
                <w:lang w:val="en-AU"/>
              </w:rPr>
            </w:pPr>
          </w:p>
        </w:tc>
        <w:tc>
          <w:tcPr>
            <w:tcW w:w="801" w:type="pct"/>
            <w:tcBorders>
              <w:bottom w:val="nil"/>
            </w:tcBorders>
          </w:tcPr>
          <w:p w14:paraId="2E2E643E" w14:textId="77777777" w:rsidR="005A255E" w:rsidRPr="005E2177" w:rsidRDefault="005A255E" w:rsidP="00D87DA9">
            <w:pPr>
              <w:pStyle w:val="TableCentre"/>
              <w:keepNext/>
              <w:rPr>
                <w:rFonts w:ascii="Arial Narrow" w:hAnsi="Arial Narrow"/>
                <w:lang w:val="en-AU"/>
              </w:rPr>
            </w:pPr>
          </w:p>
        </w:tc>
        <w:tc>
          <w:tcPr>
            <w:tcW w:w="797" w:type="pct"/>
            <w:tcBorders>
              <w:bottom w:val="nil"/>
            </w:tcBorders>
          </w:tcPr>
          <w:p w14:paraId="44C875E4" w14:textId="77777777" w:rsidR="005A255E" w:rsidRPr="005E2177" w:rsidRDefault="005A255E" w:rsidP="00D87DA9">
            <w:pPr>
              <w:pStyle w:val="TableCentre"/>
              <w:keepNext/>
              <w:rPr>
                <w:rFonts w:ascii="Arial Narrow" w:hAnsi="Arial Narrow"/>
                <w:lang w:val="en-AU"/>
              </w:rPr>
            </w:pPr>
          </w:p>
        </w:tc>
      </w:tr>
      <w:tr w:rsidR="005A255E" w:rsidRPr="00E81073" w14:paraId="53A0EFFD" w14:textId="77777777" w:rsidTr="0056068F">
        <w:trPr>
          <w:cantSplit/>
        </w:trPr>
        <w:tc>
          <w:tcPr>
            <w:tcW w:w="986" w:type="pct"/>
            <w:tcBorders>
              <w:top w:val="nil"/>
              <w:bottom w:val="nil"/>
            </w:tcBorders>
            <w:shd w:val="clear" w:color="auto" w:fill="auto"/>
          </w:tcPr>
          <w:p w14:paraId="3F671080" w14:textId="77777777" w:rsidR="005A255E" w:rsidRPr="005E2177" w:rsidRDefault="005A255E" w:rsidP="00D87DA9">
            <w:pPr>
              <w:pStyle w:val="TableLeft"/>
              <w:keepNext/>
              <w:rPr>
                <w:rFonts w:ascii="Arial Narrow" w:hAnsi="Arial Narrow"/>
                <w:lang w:val="en-AU"/>
              </w:rPr>
            </w:pPr>
            <w:r w:rsidRPr="00E81073">
              <w:rPr>
                <w:rFonts w:ascii="Arial Narrow" w:hAnsi="Arial Narrow"/>
              </w:rPr>
              <w:t>BE ACTIVE, W12</w:t>
            </w:r>
          </w:p>
        </w:tc>
        <w:tc>
          <w:tcPr>
            <w:tcW w:w="812" w:type="pct"/>
            <w:tcBorders>
              <w:top w:val="nil"/>
              <w:bottom w:val="nil"/>
            </w:tcBorders>
            <w:shd w:val="clear" w:color="auto" w:fill="auto"/>
          </w:tcPr>
          <w:p w14:paraId="6FF0E6B9" w14:textId="77777777" w:rsidR="005A255E" w:rsidRPr="005E2177" w:rsidRDefault="005A255E" w:rsidP="00D87DA9">
            <w:pPr>
              <w:pStyle w:val="TableCentre"/>
              <w:keepNext/>
              <w:rPr>
                <w:rFonts w:ascii="Arial Narrow" w:hAnsi="Arial Narrow"/>
                <w:lang w:val="en-AU"/>
              </w:rPr>
            </w:pPr>
            <w:r w:rsidRPr="00E81073">
              <w:rPr>
                <w:rFonts w:ascii="Arial Narrow" w:hAnsi="Arial Narrow"/>
              </w:rPr>
              <w:t>19/43 (44.2)</w:t>
            </w:r>
          </w:p>
        </w:tc>
        <w:tc>
          <w:tcPr>
            <w:tcW w:w="695" w:type="pct"/>
            <w:tcBorders>
              <w:top w:val="nil"/>
              <w:bottom w:val="nil"/>
            </w:tcBorders>
            <w:shd w:val="clear" w:color="auto" w:fill="auto"/>
          </w:tcPr>
          <w:p w14:paraId="07D03A73" w14:textId="77777777" w:rsidR="005A255E" w:rsidRPr="005E2177" w:rsidRDefault="005A255E" w:rsidP="00D87DA9">
            <w:pPr>
              <w:pStyle w:val="TableCentre"/>
              <w:keepNext/>
              <w:rPr>
                <w:rFonts w:ascii="Arial Narrow" w:hAnsi="Arial Narrow"/>
                <w:lang w:val="en-AU"/>
              </w:rPr>
            </w:pPr>
            <w:r w:rsidRPr="00E81073">
              <w:rPr>
                <w:rFonts w:ascii="Arial Narrow" w:hAnsi="Arial Narrow"/>
              </w:rPr>
              <w:t>24/42 (57.1)</w:t>
            </w:r>
          </w:p>
        </w:tc>
        <w:tc>
          <w:tcPr>
            <w:tcW w:w="909" w:type="pct"/>
            <w:tcBorders>
              <w:top w:val="nil"/>
              <w:bottom w:val="nil"/>
            </w:tcBorders>
          </w:tcPr>
          <w:p w14:paraId="5A5F0F57" w14:textId="22393350" w:rsidR="005A255E" w:rsidRPr="005E2177" w:rsidRDefault="001A6873" w:rsidP="00D87DA9">
            <w:pPr>
              <w:pStyle w:val="TableCentre"/>
              <w:keepNext/>
              <w:rPr>
                <w:rFonts w:ascii="Arial Narrow" w:hAnsi="Arial Narrow"/>
                <w:lang w:val="en-AU"/>
              </w:rPr>
            </w:pPr>
            <w:r w:rsidRPr="00E81073">
              <w:rPr>
                <w:rFonts w:ascii="Arial Narrow" w:hAnsi="Arial Narrow"/>
              </w:rPr>
              <w:t>0.77 (0.51, 1.18)</w:t>
            </w:r>
          </w:p>
        </w:tc>
        <w:tc>
          <w:tcPr>
            <w:tcW w:w="801" w:type="pct"/>
            <w:tcBorders>
              <w:top w:val="nil"/>
              <w:bottom w:val="nil"/>
            </w:tcBorders>
          </w:tcPr>
          <w:p w14:paraId="0BDC53FA" w14:textId="3B3F25F5" w:rsidR="005A255E" w:rsidRPr="005E2177" w:rsidRDefault="001A6873" w:rsidP="00D87DA9">
            <w:pPr>
              <w:pStyle w:val="TableCentre"/>
              <w:keepNext/>
              <w:rPr>
                <w:rFonts w:ascii="Arial Narrow" w:hAnsi="Arial Narrow"/>
                <w:lang w:val="en-AU"/>
              </w:rPr>
            </w:pPr>
            <w:r w:rsidRPr="00E81073">
              <w:rPr>
                <w:rFonts w:ascii="Arial Narrow" w:hAnsi="Arial Narrow"/>
              </w:rPr>
              <w:t>0.59 (0.25, 1.40)</w:t>
            </w:r>
          </w:p>
        </w:tc>
        <w:tc>
          <w:tcPr>
            <w:tcW w:w="797" w:type="pct"/>
            <w:tcBorders>
              <w:top w:val="nil"/>
              <w:bottom w:val="nil"/>
            </w:tcBorders>
          </w:tcPr>
          <w:p w14:paraId="1E8E495B" w14:textId="31D3A781" w:rsidR="005A255E" w:rsidRPr="005E2177" w:rsidRDefault="001A6873" w:rsidP="00D87DA9">
            <w:pPr>
              <w:pStyle w:val="TableCentre"/>
              <w:keepNext/>
              <w:rPr>
                <w:rFonts w:ascii="Arial Narrow" w:hAnsi="Arial Narrow"/>
                <w:lang w:val="en-AU"/>
              </w:rPr>
            </w:pPr>
            <w:r w:rsidRPr="00E81073">
              <w:rPr>
                <w:rFonts w:ascii="Arial Narrow" w:hAnsi="Arial Narrow"/>
              </w:rPr>
              <w:t>-0.13 (-0.34,</w:t>
            </w:r>
            <w:r w:rsidR="00CF0613" w:rsidRPr="00E81073">
              <w:rPr>
                <w:rFonts w:ascii="Arial Narrow" w:hAnsi="Arial Narrow"/>
              </w:rPr>
              <w:t xml:space="preserve"> </w:t>
            </w:r>
            <w:r w:rsidRPr="00E81073">
              <w:rPr>
                <w:rFonts w:ascii="Arial Narrow" w:hAnsi="Arial Narrow"/>
              </w:rPr>
              <w:t>0.08)</w:t>
            </w:r>
          </w:p>
        </w:tc>
      </w:tr>
      <w:tr w:rsidR="005A255E" w:rsidRPr="00E81073" w14:paraId="1B18DEA7" w14:textId="77777777" w:rsidTr="0056068F">
        <w:trPr>
          <w:cantSplit/>
        </w:trPr>
        <w:tc>
          <w:tcPr>
            <w:tcW w:w="986" w:type="pct"/>
            <w:tcBorders>
              <w:top w:val="nil"/>
              <w:bottom w:val="nil"/>
            </w:tcBorders>
            <w:shd w:val="clear" w:color="auto" w:fill="auto"/>
          </w:tcPr>
          <w:p w14:paraId="6023A522" w14:textId="77777777" w:rsidR="005A255E" w:rsidRPr="005E2177" w:rsidRDefault="005A255E" w:rsidP="00D87DA9">
            <w:pPr>
              <w:pStyle w:val="TableLeft"/>
              <w:keepNext/>
              <w:rPr>
                <w:rFonts w:ascii="Arial Narrow" w:hAnsi="Arial Narrow"/>
                <w:highlight w:val="yellow"/>
                <w:lang w:val="en-AU"/>
              </w:rPr>
            </w:pPr>
            <w:r w:rsidRPr="00E81073">
              <w:rPr>
                <w:rFonts w:ascii="Arial Narrow" w:hAnsi="Arial Narrow"/>
              </w:rPr>
              <w:t>BE OPTIMAL, W16</w:t>
            </w:r>
          </w:p>
        </w:tc>
        <w:tc>
          <w:tcPr>
            <w:tcW w:w="812" w:type="pct"/>
            <w:tcBorders>
              <w:top w:val="nil"/>
              <w:bottom w:val="nil"/>
            </w:tcBorders>
            <w:shd w:val="clear" w:color="auto" w:fill="auto"/>
          </w:tcPr>
          <w:p w14:paraId="5282FC97" w14:textId="539B99F3" w:rsidR="005A255E" w:rsidRPr="005E2177" w:rsidRDefault="005A255E" w:rsidP="00D87DA9">
            <w:pPr>
              <w:pStyle w:val="TableCentre"/>
              <w:keepNext/>
              <w:rPr>
                <w:rFonts w:ascii="Arial Narrow" w:hAnsi="Arial Narrow"/>
                <w:highlight w:val="yellow"/>
                <w:lang w:val="en-AU"/>
              </w:rPr>
            </w:pPr>
            <w:r w:rsidRPr="00E81073">
              <w:rPr>
                <w:rFonts w:ascii="Arial Narrow" w:hAnsi="Arial Narrow"/>
              </w:rPr>
              <w:t>257</w:t>
            </w:r>
            <w:r w:rsidR="00BA0F65" w:rsidRPr="00E81073">
              <w:rPr>
                <w:rFonts w:ascii="Arial Narrow" w:hAnsi="Arial Narrow"/>
              </w:rPr>
              <w:t>*</w:t>
            </w:r>
            <w:r w:rsidRPr="00E81073">
              <w:rPr>
                <w:rFonts w:ascii="Arial Narrow" w:hAnsi="Arial Narrow"/>
              </w:rPr>
              <w:t>/431 (59.6)</w:t>
            </w:r>
          </w:p>
        </w:tc>
        <w:tc>
          <w:tcPr>
            <w:tcW w:w="695" w:type="pct"/>
            <w:tcBorders>
              <w:top w:val="nil"/>
              <w:bottom w:val="nil"/>
            </w:tcBorders>
            <w:shd w:val="clear" w:color="auto" w:fill="auto"/>
          </w:tcPr>
          <w:p w14:paraId="062114A3" w14:textId="77777777" w:rsidR="005A255E" w:rsidRPr="005E2177" w:rsidRDefault="005A255E" w:rsidP="00D87DA9">
            <w:pPr>
              <w:pStyle w:val="TableCentre"/>
              <w:keepNext/>
              <w:rPr>
                <w:rFonts w:ascii="Arial Narrow" w:hAnsi="Arial Narrow"/>
                <w:highlight w:val="yellow"/>
                <w:lang w:val="en-AU"/>
              </w:rPr>
            </w:pPr>
            <w:r w:rsidRPr="00E81073">
              <w:rPr>
                <w:rFonts w:ascii="Arial Narrow" w:hAnsi="Arial Narrow"/>
              </w:rPr>
              <w:t>139/281 (49.5)</w:t>
            </w:r>
          </w:p>
        </w:tc>
        <w:tc>
          <w:tcPr>
            <w:tcW w:w="909" w:type="pct"/>
            <w:tcBorders>
              <w:top w:val="nil"/>
              <w:bottom w:val="nil"/>
            </w:tcBorders>
          </w:tcPr>
          <w:p w14:paraId="3E215448" w14:textId="6AFBC0B1" w:rsidR="005A255E" w:rsidRPr="005E2177" w:rsidRDefault="001A6873" w:rsidP="00D87DA9">
            <w:pPr>
              <w:pStyle w:val="TableCentre"/>
              <w:keepNext/>
              <w:rPr>
                <w:rFonts w:ascii="Arial Narrow" w:hAnsi="Arial Narrow"/>
                <w:lang w:val="en-AU"/>
              </w:rPr>
            </w:pPr>
            <w:r w:rsidRPr="00E81073">
              <w:rPr>
                <w:rFonts w:ascii="Arial Narrow" w:hAnsi="Arial Narrow"/>
              </w:rPr>
              <w:t>1.21 (1.05, 1.39)</w:t>
            </w:r>
          </w:p>
        </w:tc>
        <w:tc>
          <w:tcPr>
            <w:tcW w:w="801" w:type="pct"/>
            <w:tcBorders>
              <w:top w:val="nil"/>
              <w:bottom w:val="nil"/>
            </w:tcBorders>
          </w:tcPr>
          <w:p w14:paraId="1FAB284C" w14:textId="0B66F80B" w:rsidR="005A255E" w:rsidRPr="005E2177" w:rsidRDefault="001A6873" w:rsidP="00D87DA9">
            <w:pPr>
              <w:pStyle w:val="TableCentre"/>
              <w:keepNext/>
              <w:rPr>
                <w:rFonts w:ascii="Arial Narrow" w:hAnsi="Arial Narrow"/>
                <w:lang w:val="en-AU"/>
              </w:rPr>
            </w:pPr>
            <w:r w:rsidRPr="00E81073">
              <w:rPr>
                <w:rFonts w:ascii="Arial Narrow" w:hAnsi="Arial Narrow"/>
              </w:rPr>
              <w:t>1.51 (1.11, 2.04)</w:t>
            </w:r>
          </w:p>
        </w:tc>
        <w:tc>
          <w:tcPr>
            <w:tcW w:w="797" w:type="pct"/>
            <w:tcBorders>
              <w:top w:val="nil"/>
              <w:bottom w:val="nil"/>
            </w:tcBorders>
          </w:tcPr>
          <w:p w14:paraId="0435B2CC" w14:textId="49A8C512" w:rsidR="005A255E" w:rsidRPr="005E2177" w:rsidRDefault="001A6873" w:rsidP="00D87DA9">
            <w:pPr>
              <w:pStyle w:val="TableCentre"/>
              <w:keepNext/>
              <w:rPr>
                <w:rFonts w:ascii="Arial Narrow" w:hAnsi="Arial Narrow"/>
                <w:lang w:val="en-AU"/>
              </w:rPr>
            </w:pPr>
            <w:r w:rsidRPr="00E81073">
              <w:rPr>
                <w:rFonts w:ascii="Arial Narrow" w:hAnsi="Arial Narrow"/>
              </w:rPr>
              <w:t>0.10 (0.03, 0.18)</w:t>
            </w:r>
          </w:p>
        </w:tc>
      </w:tr>
      <w:tr w:rsidR="005A255E" w:rsidRPr="00E81073" w14:paraId="405ADFFB" w14:textId="77777777" w:rsidTr="0056068F">
        <w:trPr>
          <w:cantSplit/>
        </w:trPr>
        <w:tc>
          <w:tcPr>
            <w:tcW w:w="986" w:type="pct"/>
            <w:tcBorders>
              <w:top w:val="nil"/>
              <w:bottom w:val="nil"/>
            </w:tcBorders>
            <w:shd w:val="clear" w:color="auto" w:fill="auto"/>
          </w:tcPr>
          <w:p w14:paraId="24227C65" w14:textId="77777777" w:rsidR="005A255E" w:rsidRPr="005E2177" w:rsidRDefault="005A255E" w:rsidP="00D87DA9">
            <w:pPr>
              <w:pStyle w:val="TableLeft"/>
              <w:keepNext/>
              <w:rPr>
                <w:rFonts w:ascii="Arial Narrow" w:hAnsi="Arial Narrow"/>
                <w:highlight w:val="yellow"/>
                <w:lang w:val="en-AU"/>
              </w:rPr>
            </w:pPr>
            <w:r w:rsidRPr="00E81073">
              <w:rPr>
                <w:rFonts w:ascii="Arial Narrow" w:hAnsi="Arial Narrow"/>
              </w:rPr>
              <w:t>BE COMPLETE, W16</w:t>
            </w:r>
          </w:p>
        </w:tc>
        <w:tc>
          <w:tcPr>
            <w:tcW w:w="812" w:type="pct"/>
            <w:tcBorders>
              <w:top w:val="nil"/>
              <w:bottom w:val="nil"/>
            </w:tcBorders>
            <w:shd w:val="clear" w:color="auto" w:fill="auto"/>
          </w:tcPr>
          <w:p w14:paraId="5A0AEC5B" w14:textId="77777777" w:rsidR="005A255E" w:rsidRPr="005E2177" w:rsidRDefault="005A255E" w:rsidP="00D87DA9">
            <w:pPr>
              <w:pStyle w:val="TableCentre"/>
              <w:keepNext/>
              <w:rPr>
                <w:rFonts w:ascii="Arial Narrow" w:hAnsi="Arial Narrow"/>
                <w:highlight w:val="yellow"/>
                <w:lang w:val="en-AU"/>
              </w:rPr>
            </w:pPr>
            <w:r w:rsidRPr="00E81073">
              <w:rPr>
                <w:rFonts w:ascii="Arial Narrow" w:hAnsi="Arial Narrow"/>
              </w:rPr>
              <w:t>108/267 (40.4)</w:t>
            </w:r>
          </w:p>
        </w:tc>
        <w:tc>
          <w:tcPr>
            <w:tcW w:w="695" w:type="pct"/>
            <w:tcBorders>
              <w:top w:val="nil"/>
              <w:bottom w:val="nil"/>
            </w:tcBorders>
            <w:shd w:val="clear" w:color="auto" w:fill="auto"/>
          </w:tcPr>
          <w:p w14:paraId="701A4BB4" w14:textId="77777777" w:rsidR="005A255E" w:rsidRPr="005E2177" w:rsidRDefault="005A255E" w:rsidP="00D87DA9">
            <w:pPr>
              <w:pStyle w:val="TableCentre"/>
              <w:keepNext/>
              <w:rPr>
                <w:rFonts w:ascii="Arial Narrow" w:hAnsi="Arial Narrow"/>
                <w:highlight w:val="yellow"/>
                <w:lang w:val="en-AU"/>
              </w:rPr>
            </w:pPr>
            <w:r w:rsidRPr="00E81073">
              <w:rPr>
                <w:rFonts w:ascii="Arial Narrow" w:hAnsi="Arial Narrow"/>
              </w:rPr>
              <w:t>44/132 (33.3)</w:t>
            </w:r>
          </w:p>
        </w:tc>
        <w:tc>
          <w:tcPr>
            <w:tcW w:w="909" w:type="pct"/>
            <w:tcBorders>
              <w:top w:val="nil"/>
              <w:bottom w:val="nil"/>
            </w:tcBorders>
          </w:tcPr>
          <w:p w14:paraId="3BD720C4" w14:textId="5A12AAEF" w:rsidR="005A255E" w:rsidRPr="005E2177" w:rsidRDefault="001A6873" w:rsidP="00D87DA9">
            <w:pPr>
              <w:pStyle w:val="TableCentre"/>
              <w:keepNext/>
              <w:rPr>
                <w:rFonts w:ascii="Arial Narrow" w:hAnsi="Arial Narrow"/>
                <w:lang w:val="en-AU"/>
              </w:rPr>
            </w:pPr>
            <w:r w:rsidRPr="00E81073">
              <w:rPr>
                <w:rFonts w:ascii="Arial Narrow" w:hAnsi="Arial Narrow"/>
              </w:rPr>
              <w:t>1.21 (0.92, 1.61)</w:t>
            </w:r>
          </w:p>
        </w:tc>
        <w:tc>
          <w:tcPr>
            <w:tcW w:w="801" w:type="pct"/>
            <w:tcBorders>
              <w:top w:val="nil"/>
              <w:bottom w:val="nil"/>
            </w:tcBorders>
          </w:tcPr>
          <w:p w14:paraId="4710DA17" w14:textId="14659D85" w:rsidR="005A255E" w:rsidRPr="005E2177" w:rsidRDefault="001A6873" w:rsidP="00D87DA9">
            <w:pPr>
              <w:pStyle w:val="TableCentre"/>
              <w:keepNext/>
              <w:rPr>
                <w:rFonts w:ascii="Arial Narrow" w:hAnsi="Arial Narrow"/>
                <w:lang w:val="en-AU"/>
              </w:rPr>
            </w:pPr>
            <w:r w:rsidRPr="00E81073">
              <w:rPr>
                <w:rFonts w:ascii="Arial Narrow" w:hAnsi="Arial Narrow"/>
              </w:rPr>
              <w:t>1.36 (0.88, 2.10)</w:t>
            </w:r>
          </w:p>
        </w:tc>
        <w:tc>
          <w:tcPr>
            <w:tcW w:w="797" w:type="pct"/>
            <w:tcBorders>
              <w:top w:val="nil"/>
              <w:bottom w:val="nil"/>
            </w:tcBorders>
          </w:tcPr>
          <w:p w14:paraId="6C8B8ADB" w14:textId="4FFC6758" w:rsidR="005A255E" w:rsidRPr="005E2177" w:rsidRDefault="001A6873" w:rsidP="00D87DA9">
            <w:pPr>
              <w:pStyle w:val="TableCentre"/>
              <w:keepNext/>
              <w:rPr>
                <w:rFonts w:ascii="Arial Narrow" w:hAnsi="Arial Narrow"/>
                <w:lang w:val="en-AU"/>
              </w:rPr>
            </w:pPr>
            <w:r w:rsidRPr="00E81073">
              <w:rPr>
                <w:rFonts w:ascii="Arial Narrow" w:hAnsi="Arial Narrow"/>
              </w:rPr>
              <w:t>0.07 (-0.03, 0.17)</w:t>
            </w:r>
          </w:p>
        </w:tc>
      </w:tr>
      <w:tr w:rsidR="005A255E" w:rsidRPr="00E81073" w14:paraId="7297C4CC" w14:textId="77777777" w:rsidTr="0056068F">
        <w:trPr>
          <w:cantSplit/>
        </w:trPr>
        <w:tc>
          <w:tcPr>
            <w:tcW w:w="986" w:type="pct"/>
            <w:tcBorders>
              <w:top w:val="nil"/>
              <w:bottom w:val="nil"/>
            </w:tcBorders>
            <w:shd w:val="clear" w:color="auto" w:fill="auto"/>
            <w:vAlign w:val="center"/>
          </w:tcPr>
          <w:p w14:paraId="794F73BA" w14:textId="6D85C226" w:rsidR="005A255E" w:rsidRPr="005E2177" w:rsidRDefault="005A255E" w:rsidP="00D87DA9">
            <w:pPr>
              <w:pStyle w:val="TableLeft"/>
              <w:keepNext/>
              <w:jc w:val="right"/>
              <w:rPr>
                <w:rFonts w:ascii="Arial Narrow" w:hAnsi="Arial Narrow"/>
                <w:lang w:val="en-AU"/>
              </w:rPr>
            </w:pPr>
            <w:r w:rsidRPr="00E81073">
              <w:rPr>
                <w:rFonts w:ascii="Arial Narrow" w:hAnsi="Arial Narrow"/>
                <w:iCs/>
                <w:szCs w:val="18"/>
              </w:rPr>
              <w:t>Meta-analysis</w:t>
            </w:r>
            <w:r w:rsidR="00120EFB" w:rsidRPr="00E81073">
              <w:rPr>
                <w:rFonts w:ascii="Arial Narrow" w:hAnsi="Arial Narrow"/>
                <w:iCs/>
                <w:szCs w:val="18"/>
              </w:rPr>
              <w:t xml:space="preserve"> </w:t>
            </w:r>
          </w:p>
        </w:tc>
        <w:tc>
          <w:tcPr>
            <w:tcW w:w="812" w:type="pct"/>
            <w:tcBorders>
              <w:top w:val="nil"/>
              <w:bottom w:val="nil"/>
            </w:tcBorders>
            <w:shd w:val="clear" w:color="auto" w:fill="auto"/>
          </w:tcPr>
          <w:p w14:paraId="781794B6" w14:textId="604B50B4" w:rsidR="005A255E" w:rsidRPr="005E2177" w:rsidRDefault="001A6873" w:rsidP="00D87DA9">
            <w:pPr>
              <w:pStyle w:val="TableCentre"/>
              <w:keepNext/>
              <w:rPr>
                <w:rFonts w:ascii="Arial Narrow" w:hAnsi="Arial Narrow"/>
                <w:lang w:val="en-AU"/>
              </w:rPr>
            </w:pPr>
            <w:r w:rsidRPr="00E81073">
              <w:rPr>
                <w:rFonts w:ascii="Arial Narrow" w:hAnsi="Arial Narrow"/>
              </w:rPr>
              <w:t>384/741 (</w:t>
            </w:r>
            <w:r w:rsidR="00CF0613" w:rsidRPr="00E81073">
              <w:rPr>
                <w:rFonts w:ascii="Arial Narrow" w:hAnsi="Arial Narrow"/>
              </w:rPr>
              <w:t>51.8</w:t>
            </w:r>
            <w:r w:rsidRPr="00E81073">
              <w:rPr>
                <w:rFonts w:ascii="Arial Narrow" w:hAnsi="Arial Narrow"/>
              </w:rPr>
              <w:t>)</w:t>
            </w:r>
          </w:p>
        </w:tc>
        <w:tc>
          <w:tcPr>
            <w:tcW w:w="695" w:type="pct"/>
            <w:tcBorders>
              <w:top w:val="nil"/>
              <w:bottom w:val="nil"/>
            </w:tcBorders>
            <w:shd w:val="clear" w:color="auto" w:fill="auto"/>
          </w:tcPr>
          <w:p w14:paraId="3BB10AEB" w14:textId="7F81A722" w:rsidR="005A255E" w:rsidRPr="005E2177" w:rsidRDefault="001A6873" w:rsidP="00D87DA9">
            <w:pPr>
              <w:pStyle w:val="TableCentre"/>
              <w:keepNext/>
              <w:rPr>
                <w:rFonts w:ascii="Arial Narrow" w:hAnsi="Arial Narrow"/>
                <w:lang w:val="en-AU"/>
              </w:rPr>
            </w:pPr>
            <w:r w:rsidRPr="00E81073">
              <w:rPr>
                <w:rFonts w:ascii="Arial Narrow" w:hAnsi="Arial Narrow"/>
              </w:rPr>
              <w:t>207/455 (</w:t>
            </w:r>
            <w:r w:rsidR="00CF0613" w:rsidRPr="00E81073">
              <w:rPr>
                <w:rFonts w:ascii="Arial Narrow" w:hAnsi="Arial Narrow"/>
              </w:rPr>
              <w:t>45.5</w:t>
            </w:r>
            <w:r w:rsidRPr="00E81073">
              <w:rPr>
                <w:rFonts w:ascii="Arial Narrow" w:hAnsi="Arial Narrow"/>
              </w:rPr>
              <w:t>)</w:t>
            </w:r>
          </w:p>
        </w:tc>
        <w:tc>
          <w:tcPr>
            <w:tcW w:w="909" w:type="pct"/>
            <w:tcBorders>
              <w:top w:val="nil"/>
              <w:bottom w:val="nil"/>
            </w:tcBorders>
          </w:tcPr>
          <w:p w14:paraId="11FCBC81" w14:textId="28A4C90D" w:rsidR="005A255E" w:rsidRPr="005E2177" w:rsidRDefault="001A6873" w:rsidP="00D87DA9">
            <w:pPr>
              <w:pStyle w:val="TableCentre"/>
              <w:keepNext/>
              <w:rPr>
                <w:rFonts w:ascii="Arial Narrow" w:hAnsi="Arial Narrow"/>
                <w:lang w:val="en-AU"/>
              </w:rPr>
            </w:pPr>
            <w:r w:rsidRPr="00E81073">
              <w:rPr>
                <w:rFonts w:ascii="Arial Narrow" w:hAnsi="Arial Narrow"/>
              </w:rPr>
              <w:t>1.12 (0.90, 1.38)</w:t>
            </w:r>
          </w:p>
        </w:tc>
        <w:tc>
          <w:tcPr>
            <w:tcW w:w="801" w:type="pct"/>
            <w:tcBorders>
              <w:top w:val="nil"/>
              <w:bottom w:val="nil"/>
            </w:tcBorders>
          </w:tcPr>
          <w:p w14:paraId="27D86041" w14:textId="2DCB8171" w:rsidR="005A255E" w:rsidRPr="005E2177" w:rsidRDefault="001A6873" w:rsidP="00D87DA9">
            <w:pPr>
              <w:pStyle w:val="TableCentre"/>
              <w:keepNext/>
              <w:rPr>
                <w:rFonts w:ascii="Arial Narrow" w:hAnsi="Arial Narrow"/>
                <w:lang w:val="en-AU"/>
              </w:rPr>
            </w:pPr>
            <w:r w:rsidRPr="00E81073">
              <w:rPr>
                <w:rFonts w:ascii="Arial Narrow" w:hAnsi="Arial Narrow"/>
              </w:rPr>
              <w:t>1.25 (0.85, 1.85)</w:t>
            </w:r>
          </w:p>
        </w:tc>
        <w:tc>
          <w:tcPr>
            <w:tcW w:w="797" w:type="pct"/>
            <w:tcBorders>
              <w:top w:val="nil"/>
              <w:bottom w:val="nil"/>
            </w:tcBorders>
          </w:tcPr>
          <w:p w14:paraId="32F16AB7" w14:textId="144AAD85" w:rsidR="005A255E" w:rsidRPr="005E2177" w:rsidRDefault="001A6873" w:rsidP="00D87DA9">
            <w:pPr>
              <w:pStyle w:val="TableCentre"/>
              <w:keepNext/>
              <w:rPr>
                <w:rFonts w:ascii="Arial Narrow" w:hAnsi="Arial Narrow"/>
                <w:lang w:val="en-AU"/>
              </w:rPr>
            </w:pPr>
            <w:r w:rsidRPr="00E81073">
              <w:rPr>
                <w:rFonts w:ascii="Arial Narrow" w:hAnsi="Arial Narrow"/>
              </w:rPr>
              <w:t>0.05 (-0.04, 0.15)</w:t>
            </w:r>
          </w:p>
        </w:tc>
      </w:tr>
      <w:tr w:rsidR="005A255E" w:rsidRPr="00E81073" w14:paraId="64E254D2" w14:textId="77777777" w:rsidTr="0056068F">
        <w:trPr>
          <w:cantSplit/>
        </w:trPr>
        <w:tc>
          <w:tcPr>
            <w:tcW w:w="986" w:type="pct"/>
            <w:tcBorders>
              <w:bottom w:val="nil"/>
            </w:tcBorders>
            <w:shd w:val="clear" w:color="auto" w:fill="auto"/>
          </w:tcPr>
          <w:p w14:paraId="4365A98A" w14:textId="77777777" w:rsidR="005A255E" w:rsidRPr="005E2177" w:rsidRDefault="005A255E" w:rsidP="00D87DA9">
            <w:pPr>
              <w:pStyle w:val="TableLeft"/>
              <w:keepNext/>
              <w:rPr>
                <w:rFonts w:ascii="Arial Narrow" w:hAnsi="Arial Narrow"/>
                <w:b/>
                <w:highlight w:val="yellow"/>
                <w:lang w:val="en-AU"/>
              </w:rPr>
            </w:pPr>
            <w:r w:rsidRPr="00E81073">
              <w:rPr>
                <w:rFonts w:ascii="Arial Narrow" w:hAnsi="Arial Narrow"/>
                <w:b/>
              </w:rPr>
              <w:t>Serious TEAEs</w:t>
            </w:r>
          </w:p>
        </w:tc>
        <w:tc>
          <w:tcPr>
            <w:tcW w:w="812" w:type="pct"/>
            <w:tcBorders>
              <w:bottom w:val="nil"/>
            </w:tcBorders>
            <w:shd w:val="clear" w:color="auto" w:fill="auto"/>
          </w:tcPr>
          <w:p w14:paraId="2E25EE79" w14:textId="77777777" w:rsidR="005A255E" w:rsidRPr="005E2177" w:rsidRDefault="005A255E" w:rsidP="00D87DA9">
            <w:pPr>
              <w:pStyle w:val="TableCentre"/>
              <w:keepNext/>
              <w:rPr>
                <w:rFonts w:ascii="Arial Narrow" w:hAnsi="Arial Narrow"/>
                <w:highlight w:val="yellow"/>
                <w:lang w:val="en-AU"/>
              </w:rPr>
            </w:pPr>
          </w:p>
        </w:tc>
        <w:tc>
          <w:tcPr>
            <w:tcW w:w="695" w:type="pct"/>
            <w:tcBorders>
              <w:bottom w:val="nil"/>
            </w:tcBorders>
            <w:shd w:val="clear" w:color="auto" w:fill="auto"/>
          </w:tcPr>
          <w:p w14:paraId="003A5B8C" w14:textId="77777777" w:rsidR="005A255E" w:rsidRPr="005E2177" w:rsidRDefault="005A255E" w:rsidP="00D87DA9">
            <w:pPr>
              <w:pStyle w:val="TableCentre"/>
              <w:keepNext/>
              <w:rPr>
                <w:rFonts w:ascii="Arial Narrow" w:hAnsi="Arial Narrow"/>
                <w:highlight w:val="yellow"/>
                <w:lang w:val="en-AU"/>
              </w:rPr>
            </w:pPr>
          </w:p>
        </w:tc>
        <w:tc>
          <w:tcPr>
            <w:tcW w:w="909" w:type="pct"/>
            <w:tcBorders>
              <w:bottom w:val="nil"/>
            </w:tcBorders>
          </w:tcPr>
          <w:p w14:paraId="59D6B731" w14:textId="77777777" w:rsidR="005A255E" w:rsidRPr="005E2177" w:rsidRDefault="005A255E" w:rsidP="00D87DA9">
            <w:pPr>
              <w:pStyle w:val="TableCentre"/>
              <w:keepNext/>
              <w:rPr>
                <w:rFonts w:ascii="Arial Narrow" w:hAnsi="Arial Narrow"/>
                <w:highlight w:val="yellow"/>
                <w:lang w:val="en-AU"/>
              </w:rPr>
            </w:pPr>
          </w:p>
        </w:tc>
        <w:tc>
          <w:tcPr>
            <w:tcW w:w="801" w:type="pct"/>
            <w:tcBorders>
              <w:bottom w:val="nil"/>
            </w:tcBorders>
          </w:tcPr>
          <w:p w14:paraId="1D3EA886" w14:textId="77777777" w:rsidR="005A255E" w:rsidRPr="005E2177" w:rsidRDefault="005A255E" w:rsidP="00D87DA9">
            <w:pPr>
              <w:pStyle w:val="TableCentre"/>
              <w:keepNext/>
              <w:rPr>
                <w:rFonts w:ascii="Arial Narrow" w:hAnsi="Arial Narrow"/>
                <w:highlight w:val="yellow"/>
                <w:lang w:val="en-AU"/>
              </w:rPr>
            </w:pPr>
          </w:p>
        </w:tc>
        <w:tc>
          <w:tcPr>
            <w:tcW w:w="797" w:type="pct"/>
            <w:tcBorders>
              <w:bottom w:val="nil"/>
            </w:tcBorders>
          </w:tcPr>
          <w:p w14:paraId="07D3D6C1" w14:textId="77777777" w:rsidR="005A255E" w:rsidRPr="005E2177" w:rsidRDefault="005A255E" w:rsidP="00D87DA9">
            <w:pPr>
              <w:pStyle w:val="TableCentre"/>
              <w:keepNext/>
              <w:rPr>
                <w:rFonts w:ascii="Arial Narrow" w:hAnsi="Arial Narrow"/>
                <w:highlight w:val="yellow"/>
                <w:lang w:val="en-AU"/>
              </w:rPr>
            </w:pPr>
          </w:p>
        </w:tc>
      </w:tr>
      <w:tr w:rsidR="005A255E" w:rsidRPr="00E81073" w14:paraId="27B96BCB" w14:textId="77777777" w:rsidTr="0056068F">
        <w:trPr>
          <w:cantSplit/>
        </w:trPr>
        <w:tc>
          <w:tcPr>
            <w:tcW w:w="986" w:type="pct"/>
            <w:tcBorders>
              <w:top w:val="nil"/>
              <w:bottom w:val="nil"/>
            </w:tcBorders>
            <w:shd w:val="clear" w:color="auto" w:fill="auto"/>
          </w:tcPr>
          <w:p w14:paraId="59DCEAA8" w14:textId="77777777" w:rsidR="005A255E" w:rsidRPr="005E2177" w:rsidRDefault="005A255E" w:rsidP="00D87DA9">
            <w:pPr>
              <w:pStyle w:val="TableLeft"/>
              <w:keepNext/>
              <w:rPr>
                <w:rFonts w:ascii="Arial Narrow" w:hAnsi="Arial Narrow"/>
                <w:highlight w:val="yellow"/>
                <w:lang w:val="en-AU"/>
              </w:rPr>
            </w:pPr>
            <w:r w:rsidRPr="00E81073">
              <w:rPr>
                <w:rFonts w:ascii="Arial Narrow" w:hAnsi="Arial Narrow"/>
              </w:rPr>
              <w:t>BE ACTIVE, W12</w:t>
            </w:r>
          </w:p>
        </w:tc>
        <w:tc>
          <w:tcPr>
            <w:tcW w:w="812" w:type="pct"/>
            <w:tcBorders>
              <w:top w:val="nil"/>
              <w:bottom w:val="nil"/>
            </w:tcBorders>
            <w:shd w:val="clear" w:color="auto" w:fill="auto"/>
          </w:tcPr>
          <w:p w14:paraId="0B231E3A" w14:textId="77777777" w:rsidR="005A255E" w:rsidRPr="005E2177" w:rsidRDefault="005A255E" w:rsidP="00D87DA9">
            <w:pPr>
              <w:pStyle w:val="TableCentre"/>
              <w:keepNext/>
              <w:rPr>
                <w:rFonts w:ascii="Arial Narrow" w:hAnsi="Arial Narrow"/>
                <w:highlight w:val="yellow"/>
                <w:lang w:val="en-AU"/>
              </w:rPr>
            </w:pPr>
            <w:r w:rsidRPr="00E81073">
              <w:rPr>
                <w:rFonts w:ascii="Arial Narrow" w:hAnsi="Arial Narrow"/>
              </w:rPr>
              <w:t>1/43 (2.3)</w:t>
            </w:r>
          </w:p>
        </w:tc>
        <w:tc>
          <w:tcPr>
            <w:tcW w:w="695" w:type="pct"/>
            <w:tcBorders>
              <w:top w:val="nil"/>
              <w:bottom w:val="nil"/>
            </w:tcBorders>
            <w:shd w:val="clear" w:color="auto" w:fill="auto"/>
          </w:tcPr>
          <w:p w14:paraId="5D4B5FD3" w14:textId="77777777" w:rsidR="005A255E" w:rsidRPr="005E2177" w:rsidRDefault="005A255E" w:rsidP="00D87DA9">
            <w:pPr>
              <w:pStyle w:val="TableCentre"/>
              <w:keepNext/>
              <w:rPr>
                <w:rFonts w:ascii="Arial Narrow" w:hAnsi="Arial Narrow"/>
                <w:highlight w:val="yellow"/>
                <w:lang w:val="en-AU"/>
              </w:rPr>
            </w:pPr>
            <w:r w:rsidRPr="00E81073">
              <w:rPr>
                <w:rFonts w:ascii="Arial Narrow" w:hAnsi="Arial Narrow"/>
              </w:rPr>
              <w:t>1/42 (2.4)</w:t>
            </w:r>
          </w:p>
        </w:tc>
        <w:tc>
          <w:tcPr>
            <w:tcW w:w="909" w:type="pct"/>
            <w:tcBorders>
              <w:top w:val="nil"/>
              <w:bottom w:val="nil"/>
            </w:tcBorders>
          </w:tcPr>
          <w:p w14:paraId="2FA809CE" w14:textId="46AFDB41" w:rsidR="005A255E" w:rsidRPr="005E2177" w:rsidRDefault="00CF0613" w:rsidP="00D87DA9">
            <w:pPr>
              <w:pStyle w:val="TableCentre"/>
              <w:keepNext/>
              <w:rPr>
                <w:rFonts w:ascii="Arial Narrow" w:hAnsi="Arial Narrow"/>
                <w:lang w:val="en-AU"/>
              </w:rPr>
            </w:pPr>
            <w:r w:rsidRPr="00E81073">
              <w:rPr>
                <w:rFonts w:ascii="Arial Narrow" w:hAnsi="Arial Narrow"/>
              </w:rPr>
              <w:t>0.98 (0.06, 15.11)</w:t>
            </w:r>
          </w:p>
        </w:tc>
        <w:tc>
          <w:tcPr>
            <w:tcW w:w="801" w:type="pct"/>
            <w:tcBorders>
              <w:top w:val="nil"/>
              <w:bottom w:val="nil"/>
            </w:tcBorders>
          </w:tcPr>
          <w:p w14:paraId="5C8CE9BE" w14:textId="1AC23AE0" w:rsidR="005A255E" w:rsidRPr="005E2177" w:rsidRDefault="00CF0613" w:rsidP="00D87DA9">
            <w:pPr>
              <w:pStyle w:val="TableCentre"/>
              <w:keepNext/>
              <w:rPr>
                <w:rFonts w:ascii="Arial Narrow" w:hAnsi="Arial Narrow"/>
                <w:lang w:val="en-AU"/>
              </w:rPr>
            </w:pPr>
            <w:r w:rsidRPr="00E81073">
              <w:rPr>
                <w:rFonts w:ascii="Arial Narrow" w:hAnsi="Arial Narrow"/>
              </w:rPr>
              <w:t>0.98 (0.06, 16.13)</w:t>
            </w:r>
          </w:p>
        </w:tc>
        <w:tc>
          <w:tcPr>
            <w:tcW w:w="797" w:type="pct"/>
            <w:tcBorders>
              <w:top w:val="nil"/>
              <w:bottom w:val="nil"/>
            </w:tcBorders>
          </w:tcPr>
          <w:p w14:paraId="24F009EC" w14:textId="68971216" w:rsidR="005A255E" w:rsidRPr="005E2177" w:rsidRDefault="00CF0613" w:rsidP="00D87DA9">
            <w:pPr>
              <w:pStyle w:val="TableCentre"/>
              <w:keepNext/>
              <w:rPr>
                <w:rFonts w:ascii="Arial Narrow" w:hAnsi="Arial Narrow"/>
                <w:lang w:val="en-AU"/>
              </w:rPr>
            </w:pPr>
            <w:r w:rsidRPr="00E81073">
              <w:rPr>
                <w:rFonts w:ascii="Arial Narrow" w:hAnsi="Arial Narrow"/>
              </w:rPr>
              <w:t>-0.00 (-0.07, 0.06)</w:t>
            </w:r>
          </w:p>
        </w:tc>
      </w:tr>
      <w:tr w:rsidR="005A255E" w:rsidRPr="00E81073" w14:paraId="006173B2" w14:textId="77777777" w:rsidTr="0056068F">
        <w:trPr>
          <w:cantSplit/>
        </w:trPr>
        <w:tc>
          <w:tcPr>
            <w:tcW w:w="986" w:type="pct"/>
            <w:tcBorders>
              <w:top w:val="nil"/>
              <w:bottom w:val="nil"/>
            </w:tcBorders>
            <w:shd w:val="clear" w:color="auto" w:fill="auto"/>
          </w:tcPr>
          <w:p w14:paraId="0F69020C" w14:textId="77777777" w:rsidR="005A255E" w:rsidRPr="005E2177" w:rsidRDefault="005A255E" w:rsidP="00D87DA9">
            <w:pPr>
              <w:pStyle w:val="TableLeft"/>
              <w:keepNext/>
              <w:rPr>
                <w:rFonts w:ascii="Arial Narrow" w:hAnsi="Arial Narrow"/>
                <w:lang w:val="en-AU"/>
              </w:rPr>
            </w:pPr>
            <w:r w:rsidRPr="00E81073">
              <w:rPr>
                <w:rFonts w:ascii="Arial Narrow" w:hAnsi="Arial Narrow"/>
              </w:rPr>
              <w:t>BE OPTIMAL, W16</w:t>
            </w:r>
          </w:p>
        </w:tc>
        <w:tc>
          <w:tcPr>
            <w:tcW w:w="812" w:type="pct"/>
            <w:tcBorders>
              <w:top w:val="nil"/>
              <w:bottom w:val="nil"/>
            </w:tcBorders>
            <w:shd w:val="clear" w:color="auto" w:fill="auto"/>
          </w:tcPr>
          <w:p w14:paraId="4A803BC8" w14:textId="3DEA33DB" w:rsidR="005A255E" w:rsidRPr="005E2177" w:rsidRDefault="005A255E" w:rsidP="00D87DA9">
            <w:pPr>
              <w:pStyle w:val="TableCentre"/>
              <w:keepNext/>
              <w:rPr>
                <w:rFonts w:ascii="Arial Narrow" w:hAnsi="Arial Narrow"/>
                <w:lang w:val="en-AU"/>
              </w:rPr>
            </w:pPr>
            <w:r w:rsidRPr="00E81073">
              <w:rPr>
                <w:rFonts w:ascii="Arial Narrow" w:hAnsi="Arial Narrow"/>
              </w:rPr>
              <w:t>8</w:t>
            </w:r>
            <w:r w:rsidR="009B654B" w:rsidRPr="00E81073">
              <w:rPr>
                <w:rFonts w:ascii="Arial Narrow" w:hAnsi="Arial Narrow"/>
              </w:rPr>
              <w:t>^</w:t>
            </w:r>
            <w:r w:rsidRPr="00E81073">
              <w:rPr>
                <w:rFonts w:ascii="Arial Narrow" w:hAnsi="Arial Narrow"/>
              </w:rPr>
              <w:t>/431 (1.9)</w:t>
            </w:r>
          </w:p>
        </w:tc>
        <w:tc>
          <w:tcPr>
            <w:tcW w:w="695" w:type="pct"/>
            <w:tcBorders>
              <w:top w:val="nil"/>
              <w:bottom w:val="nil"/>
            </w:tcBorders>
            <w:shd w:val="clear" w:color="auto" w:fill="auto"/>
          </w:tcPr>
          <w:p w14:paraId="3482550D" w14:textId="77777777" w:rsidR="005A255E" w:rsidRPr="005E2177" w:rsidRDefault="005A255E" w:rsidP="00D87DA9">
            <w:pPr>
              <w:pStyle w:val="TableCentre"/>
              <w:keepNext/>
              <w:rPr>
                <w:rFonts w:ascii="Arial Narrow" w:hAnsi="Arial Narrow"/>
                <w:lang w:val="en-AU"/>
              </w:rPr>
            </w:pPr>
            <w:r w:rsidRPr="00E81073">
              <w:rPr>
                <w:rFonts w:ascii="Arial Narrow" w:hAnsi="Arial Narrow"/>
              </w:rPr>
              <w:t>3/281 (1.1)</w:t>
            </w:r>
          </w:p>
        </w:tc>
        <w:tc>
          <w:tcPr>
            <w:tcW w:w="909" w:type="pct"/>
            <w:tcBorders>
              <w:top w:val="nil"/>
              <w:bottom w:val="nil"/>
            </w:tcBorders>
          </w:tcPr>
          <w:p w14:paraId="0705B50F" w14:textId="0B42CD84" w:rsidR="005A255E" w:rsidRPr="005E2177" w:rsidRDefault="00CF0613" w:rsidP="00D87DA9">
            <w:pPr>
              <w:pStyle w:val="TableCentre"/>
              <w:keepNext/>
              <w:rPr>
                <w:rFonts w:ascii="Arial Narrow" w:hAnsi="Arial Narrow"/>
                <w:lang w:val="en-AU"/>
              </w:rPr>
            </w:pPr>
            <w:r w:rsidRPr="00E81073">
              <w:rPr>
                <w:rFonts w:ascii="Arial Narrow" w:hAnsi="Arial Narrow"/>
              </w:rPr>
              <w:t>1.74 (0.47, 6.50)</w:t>
            </w:r>
          </w:p>
        </w:tc>
        <w:tc>
          <w:tcPr>
            <w:tcW w:w="801" w:type="pct"/>
            <w:tcBorders>
              <w:top w:val="nil"/>
              <w:bottom w:val="nil"/>
            </w:tcBorders>
          </w:tcPr>
          <w:p w14:paraId="00FFB20E" w14:textId="3675DF18" w:rsidR="005A255E" w:rsidRPr="005E2177" w:rsidRDefault="00CF0613" w:rsidP="00D87DA9">
            <w:pPr>
              <w:pStyle w:val="TableCentre"/>
              <w:keepNext/>
              <w:rPr>
                <w:rFonts w:ascii="Arial Narrow" w:hAnsi="Arial Narrow"/>
                <w:lang w:val="en-AU"/>
              </w:rPr>
            </w:pPr>
            <w:r w:rsidRPr="00E81073">
              <w:rPr>
                <w:rFonts w:ascii="Arial Narrow" w:hAnsi="Arial Narrow"/>
              </w:rPr>
              <w:t>1.75 (0.46, 6.66)</w:t>
            </w:r>
          </w:p>
        </w:tc>
        <w:tc>
          <w:tcPr>
            <w:tcW w:w="797" w:type="pct"/>
            <w:tcBorders>
              <w:top w:val="nil"/>
              <w:bottom w:val="nil"/>
            </w:tcBorders>
          </w:tcPr>
          <w:p w14:paraId="6C5E8000" w14:textId="12479875" w:rsidR="005A255E" w:rsidRPr="005E2177" w:rsidRDefault="00CF0613" w:rsidP="00D87DA9">
            <w:pPr>
              <w:pStyle w:val="TableCentre"/>
              <w:keepNext/>
              <w:rPr>
                <w:rFonts w:ascii="Arial Narrow" w:hAnsi="Arial Narrow"/>
                <w:lang w:val="en-AU"/>
              </w:rPr>
            </w:pPr>
            <w:r w:rsidRPr="00E81073">
              <w:rPr>
                <w:rFonts w:ascii="Arial Narrow" w:hAnsi="Arial Narrow"/>
              </w:rPr>
              <w:t>0.01 (-0.01, 0.03)</w:t>
            </w:r>
          </w:p>
        </w:tc>
      </w:tr>
      <w:tr w:rsidR="005A255E" w:rsidRPr="00E81073" w14:paraId="72630E25" w14:textId="77777777" w:rsidTr="0056068F">
        <w:trPr>
          <w:cantSplit/>
        </w:trPr>
        <w:tc>
          <w:tcPr>
            <w:tcW w:w="986" w:type="pct"/>
            <w:tcBorders>
              <w:top w:val="nil"/>
              <w:bottom w:val="nil"/>
            </w:tcBorders>
            <w:shd w:val="clear" w:color="auto" w:fill="auto"/>
          </w:tcPr>
          <w:p w14:paraId="35A01DB3" w14:textId="77777777" w:rsidR="005A255E" w:rsidRPr="005E2177" w:rsidRDefault="005A255E" w:rsidP="00D87DA9">
            <w:pPr>
              <w:pStyle w:val="TableLeft"/>
              <w:keepNext/>
              <w:rPr>
                <w:rFonts w:ascii="Arial Narrow" w:hAnsi="Arial Narrow"/>
                <w:highlight w:val="yellow"/>
                <w:lang w:val="en-AU"/>
              </w:rPr>
            </w:pPr>
            <w:r w:rsidRPr="00E81073">
              <w:rPr>
                <w:rFonts w:ascii="Arial Narrow" w:hAnsi="Arial Narrow"/>
              </w:rPr>
              <w:t>BE COMPLETE, W16</w:t>
            </w:r>
          </w:p>
        </w:tc>
        <w:tc>
          <w:tcPr>
            <w:tcW w:w="812" w:type="pct"/>
            <w:tcBorders>
              <w:top w:val="nil"/>
              <w:bottom w:val="nil"/>
            </w:tcBorders>
            <w:shd w:val="clear" w:color="auto" w:fill="auto"/>
          </w:tcPr>
          <w:p w14:paraId="5AA0320C" w14:textId="77777777" w:rsidR="005A255E" w:rsidRPr="005E2177" w:rsidRDefault="005A255E" w:rsidP="00D87DA9">
            <w:pPr>
              <w:pStyle w:val="TableCentre"/>
              <w:keepNext/>
              <w:rPr>
                <w:rFonts w:ascii="Arial Narrow" w:hAnsi="Arial Narrow"/>
                <w:highlight w:val="yellow"/>
                <w:lang w:val="en-AU"/>
              </w:rPr>
            </w:pPr>
            <w:r w:rsidRPr="00E81073">
              <w:rPr>
                <w:rFonts w:ascii="Arial Narrow" w:hAnsi="Arial Narrow"/>
              </w:rPr>
              <w:t>5/267 (1.9)</w:t>
            </w:r>
          </w:p>
        </w:tc>
        <w:tc>
          <w:tcPr>
            <w:tcW w:w="695" w:type="pct"/>
            <w:tcBorders>
              <w:top w:val="nil"/>
              <w:bottom w:val="nil"/>
            </w:tcBorders>
            <w:shd w:val="clear" w:color="auto" w:fill="auto"/>
          </w:tcPr>
          <w:p w14:paraId="4EACCC4D" w14:textId="77777777" w:rsidR="005A255E" w:rsidRPr="005E2177" w:rsidRDefault="005A255E" w:rsidP="00D87DA9">
            <w:pPr>
              <w:pStyle w:val="TableCentre"/>
              <w:keepNext/>
              <w:rPr>
                <w:rFonts w:ascii="Arial Narrow" w:hAnsi="Arial Narrow"/>
                <w:highlight w:val="yellow"/>
                <w:lang w:val="en-AU"/>
              </w:rPr>
            </w:pPr>
            <w:r w:rsidRPr="00E81073">
              <w:rPr>
                <w:rFonts w:ascii="Arial Narrow" w:hAnsi="Arial Narrow"/>
              </w:rPr>
              <w:t>0/132 (0)</w:t>
            </w:r>
          </w:p>
        </w:tc>
        <w:tc>
          <w:tcPr>
            <w:tcW w:w="909" w:type="pct"/>
            <w:tcBorders>
              <w:top w:val="nil"/>
              <w:bottom w:val="nil"/>
            </w:tcBorders>
          </w:tcPr>
          <w:p w14:paraId="56268CEC" w14:textId="18257055" w:rsidR="005A255E" w:rsidRPr="005E2177" w:rsidRDefault="00CF0613" w:rsidP="00D87DA9">
            <w:pPr>
              <w:pStyle w:val="TableCentre"/>
              <w:keepNext/>
              <w:rPr>
                <w:rFonts w:ascii="Arial Narrow" w:hAnsi="Arial Narrow"/>
                <w:lang w:val="en-AU"/>
              </w:rPr>
            </w:pPr>
            <w:r w:rsidRPr="00E81073">
              <w:rPr>
                <w:rFonts w:ascii="Arial Narrow" w:hAnsi="Arial Narrow"/>
              </w:rPr>
              <w:t>5.46 (0.30, 97.99)</w:t>
            </w:r>
          </w:p>
        </w:tc>
        <w:tc>
          <w:tcPr>
            <w:tcW w:w="801" w:type="pct"/>
            <w:tcBorders>
              <w:top w:val="nil"/>
              <w:bottom w:val="nil"/>
            </w:tcBorders>
          </w:tcPr>
          <w:p w14:paraId="1FF9299B" w14:textId="3196A555" w:rsidR="005A255E" w:rsidRPr="005E2177" w:rsidRDefault="00CF0613" w:rsidP="00D87DA9">
            <w:pPr>
              <w:pStyle w:val="TableCentre"/>
              <w:keepNext/>
              <w:rPr>
                <w:rFonts w:ascii="Arial Narrow" w:hAnsi="Arial Narrow"/>
                <w:lang w:val="en-AU"/>
              </w:rPr>
            </w:pPr>
            <w:r w:rsidRPr="00E81073">
              <w:rPr>
                <w:rFonts w:ascii="Arial Narrow" w:hAnsi="Arial Narrow"/>
              </w:rPr>
              <w:t>5.55 (0.30, 101.17)</w:t>
            </w:r>
          </w:p>
        </w:tc>
        <w:tc>
          <w:tcPr>
            <w:tcW w:w="797" w:type="pct"/>
            <w:tcBorders>
              <w:top w:val="nil"/>
              <w:bottom w:val="nil"/>
            </w:tcBorders>
          </w:tcPr>
          <w:p w14:paraId="34BDDA0E" w14:textId="212DF27B" w:rsidR="005A255E" w:rsidRPr="005E2177" w:rsidRDefault="00CF0613" w:rsidP="00D87DA9">
            <w:pPr>
              <w:pStyle w:val="TableCentre"/>
              <w:keepNext/>
              <w:rPr>
                <w:rFonts w:ascii="Arial Narrow" w:hAnsi="Arial Narrow"/>
                <w:lang w:val="en-AU"/>
              </w:rPr>
            </w:pPr>
            <w:r w:rsidRPr="00E81073">
              <w:rPr>
                <w:rFonts w:ascii="Arial Narrow" w:hAnsi="Arial Narrow"/>
              </w:rPr>
              <w:t>0.02 (-0.00, 0.04)</w:t>
            </w:r>
          </w:p>
        </w:tc>
      </w:tr>
      <w:tr w:rsidR="005A255E" w:rsidRPr="00E81073" w14:paraId="2E26850A" w14:textId="77777777" w:rsidTr="0056068F">
        <w:trPr>
          <w:cantSplit/>
        </w:trPr>
        <w:tc>
          <w:tcPr>
            <w:tcW w:w="986" w:type="pct"/>
            <w:tcBorders>
              <w:top w:val="nil"/>
              <w:bottom w:val="single" w:sz="4" w:space="0" w:color="auto"/>
            </w:tcBorders>
            <w:shd w:val="clear" w:color="auto" w:fill="auto"/>
            <w:vAlign w:val="center"/>
          </w:tcPr>
          <w:p w14:paraId="5D229115" w14:textId="77777777" w:rsidR="005A255E" w:rsidRPr="005E2177" w:rsidRDefault="005A255E" w:rsidP="00D87DA9">
            <w:pPr>
              <w:pStyle w:val="TableLeft"/>
              <w:keepNext/>
              <w:jc w:val="right"/>
              <w:rPr>
                <w:rFonts w:ascii="Arial Narrow" w:hAnsi="Arial Narrow"/>
                <w:lang w:val="en-AU"/>
              </w:rPr>
            </w:pPr>
            <w:r w:rsidRPr="00E81073">
              <w:rPr>
                <w:rFonts w:ascii="Arial Narrow" w:hAnsi="Arial Narrow"/>
                <w:iCs/>
                <w:szCs w:val="18"/>
              </w:rPr>
              <w:t>Meta-analysis</w:t>
            </w:r>
          </w:p>
        </w:tc>
        <w:tc>
          <w:tcPr>
            <w:tcW w:w="812" w:type="pct"/>
            <w:tcBorders>
              <w:top w:val="nil"/>
              <w:bottom w:val="single" w:sz="4" w:space="0" w:color="auto"/>
            </w:tcBorders>
            <w:shd w:val="clear" w:color="auto" w:fill="auto"/>
          </w:tcPr>
          <w:p w14:paraId="1224C559" w14:textId="0F9853B6" w:rsidR="005A255E" w:rsidRPr="005E2177" w:rsidRDefault="00CF0613" w:rsidP="00D87DA9">
            <w:pPr>
              <w:pStyle w:val="TableCentre"/>
              <w:keepNext/>
              <w:rPr>
                <w:rFonts w:ascii="Arial Narrow" w:hAnsi="Arial Narrow"/>
                <w:lang w:val="en-AU"/>
              </w:rPr>
            </w:pPr>
            <w:r w:rsidRPr="00E81073">
              <w:rPr>
                <w:rFonts w:ascii="Arial Narrow" w:hAnsi="Arial Narrow"/>
              </w:rPr>
              <w:t>14/741 (1.9)</w:t>
            </w:r>
          </w:p>
        </w:tc>
        <w:tc>
          <w:tcPr>
            <w:tcW w:w="695" w:type="pct"/>
            <w:tcBorders>
              <w:top w:val="nil"/>
              <w:bottom w:val="single" w:sz="4" w:space="0" w:color="auto"/>
            </w:tcBorders>
            <w:shd w:val="clear" w:color="auto" w:fill="auto"/>
          </w:tcPr>
          <w:p w14:paraId="27B39E55" w14:textId="3B5B4424" w:rsidR="005A255E" w:rsidRPr="005E2177" w:rsidRDefault="00CF0613" w:rsidP="00D87DA9">
            <w:pPr>
              <w:pStyle w:val="TableCentre"/>
              <w:keepNext/>
              <w:rPr>
                <w:rFonts w:ascii="Arial Narrow" w:hAnsi="Arial Narrow"/>
                <w:lang w:val="en-AU"/>
              </w:rPr>
            </w:pPr>
            <w:r w:rsidRPr="00E81073">
              <w:rPr>
                <w:rFonts w:ascii="Arial Narrow" w:hAnsi="Arial Narrow"/>
              </w:rPr>
              <w:t>4/455 (0.9)</w:t>
            </w:r>
          </w:p>
        </w:tc>
        <w:tc>
          <w:tcPr>
            <w:tcW w:w="909" w:type="pct"/>
            <w:tcBorders>
              <w:top w:val="nil"/>
              <w:bottom w:val="single" w:sz="4" w:space="0" w:color="auto"/>
            </w:tcBorders>
          </w:tcPr>
          <w:p w14:paraId="30CDE2CB" w14:textId="6602D198" w:rsidR="005A255E" w:rsidRPr="005E2177" w:rsidRDefault="00CF0613" w:rsidP="00D87DA9">
            <w:pPr>
              <w:pStyle w:val="TableCentre"/>
              <w:keepNext/>
              <w:rPr>
                <w:rFonts w:ascii="Arial Narrow" w:hAnsi="Arial Narrow"/>
                <w:lang w:val="en-AU"/>
              </w:rPr>
            </w:pPr>
            <w:r w:rsidRPr="00E81073">
              <w:rPr>
                <w:rFonts w:ascii="Arial Narrow" w:hAnsi="Arial Narrow"/>
              </w:rPr>
              <w:t>1.87 (0.62, 5.61)</w:t>
            </w:r>
          </w:p>
        </w:tc>
        <w:tc>
          <w:tcPr>
            <w:tcW w:w="801" w:type="pct"/>
            <w:tcBorders>
              <w:top w:val="nil"/>
              <w:bottom w:val="single" w:sz="4" w:space="0" w:color="auto"/>
            </w:tcBorders>
          </w:tcPr>
          <w:p w14:paraId="65825D43" w14:textId="0624FA5C" w:rsidR="005A255E" w:rsidRPr="005E2177" w:rsidRDefault="00CF0613" w:rsidP="00D87DA9">
            <w:pPr>
              <w:pStyle w:val="TableCentre"/>
              <w:keepNext/>
              <w:rPr>
                <w:rFonts w:ascii="Arial Narrow" w:hAnsi="Arial Narrow"/>
                <w:lang w:val="en-AU"/>
              </w:rPr>
            </w:pPr>
            <w:r w:rsidRPr="00E81073">
              <w:rPr>
                <w:rFonts w:ascii="Arial Narrow" w:hAnsi="Arial Narrow"/>
              </w:rPr>
              <w:t>1.89 (0.62, 5.77)</w:t>
            </w:r>
          </w:p>
        </w:tc>
        <w:tc>
          <w:tcPr>
            <w:tcW w:w="797" w:type="pct"/>
            <w:tcBorders>
              <w:top w:val="nil"/>
              <w:bottom w:val="single" w:sz="4" w:space="0" w:color="auto"/>
            </w:tcBorders>
          </w:tcPr>
          <w:p w14:paraId="5540B32C" w14:textId="10DC8CD0" w:rsidR="005A255E" w:rsidRPr="005E2177" w:rsidRDefault="00CF0613" w:rsidP="00D87DA9">
            <w:pPr>
              <w:pStyle w:val="TableCentre"/>
              <w:keepNext/>
              <w:rPr>
                <w:rFonts w:ascii="Arial Narrow" w:hAnsi="Arial Narrow"/>
                <w:lang w:val="en-AU"/>
              </w:rPr>
            </w:pPr>
            <w:r w:rsidRPr="00E81073">
              <w:rPr>
                <w:rFonts w:ascii="Arial Narrow" w:hAnsi="Arial Narrow"/>
              </w:rPr>
              <w:t>0.01 (-0.00, 0.02)</w:t>
            </w:r>
          </w:p>
        </w:tc>
      </w:tr>
      <w:tr w:rsidR="005A255E" w:rsidRPr="00E81073" w14:paraId="05289E63" w14:textId="77777777" w:rsidTr="0056068F">
        <w:trPr>
          <w:cantSplit/>
        </w:trPr>
        <w:tc>
          <w:tcPr>
            <w:tcW w:w="986" w:type="pct"/>
            <w:tcBorders>
              <w:bottom w:val="nil"/>
            </w:tcBorders>
            <w:shd w:val="clear" w:color="auto" w:fill="auto"/>
          </w:tcPr>
          <w:p w14:paraId="16CA933F" w14:textId="77777777" w:rsidR="005A255E" w:rsidRPr="005E2177" w:rsidRDefault="005A255E" w:rsidP="00D87DA9">
            <w:pPr>
              <w:pStyle w:val="TableLeft"/>
              <w:keepNext/>
              <w:rPr>
                <w:rFonts w:ascii="Arial Narrow" w:hAnsi="Arial Narrow"/>
                <w:b/>
                <w:highlight w:val="yellow"/>
                <w:lang w:val="en-AU"/>
              </w:rPr>
            </w:pPr>
            <w:r w:rsidRPr="00E81073">
              <w:rPr>
                <w:rFonts w:ascii="Arial Narrow" w:hAnsi="Arial Narrow"/>
                <w:b/>
              </w:rPr>
              <w:t>Disc. due to TEAEs</w:t>
            </w:r>
          </w:p>
        </w:tc>
        <w:tc>
          <w:tcPr>
            <w:tcW w:w="812" w:type="pct"/>
            <w:tcBorders>
              <w:bottom w:val="nil"/>
            </w:tcBorders>
            <w:shd w:val="clear" w:color="auto" w:fill="auto"/>
          </w:tcPr>
          <w:p w14:paraId="747F9DB8" w14:textId="77777777" w:rsidR="005A255E" w:rsidRPr="005E2177" w:rsidRDefault="005A255E" w:rsidP="00D87DA9">
            <w:pPr>
              <w:pStyle w:val="TableCentre"/>
              <w:keepNext/>
              <w:rPr>
                <w:rFonts w:ascii="Arial Narrow" w:hAnsi="Arial Narrow"/>
                <w:highlight w:val="yellow"/>
                <w:lang w:val="en-AU"/>
              </w:rPr>
            </w:pPr>
          </w:p>
        </w:tc>
        <w:tc>
          <w:tcPr>
            <w:tcW w:w="695" w:type="pct"/>
            <w:tcBorders>
              <w:bottom w:val="nil"/>
            </w:tcBorders>
            <w:shd w:val="clear" w:color="auto" w:fill="auto"/>
          </w:tcPr>
          <w:p w14:paraId="5ED280C5" w14:textId="77777777" w:rsidR="005A255E" w:rsidRPr="005E2177" w:rsidRDefault="005A255E" w:rsidP="00D87DA9">
            <w:pPr>
              <w:pStyle w:val="TableCentre"/>
              <w:keepNext/>
              <w:rPr>
                <w:rFonts w:ascii="Arial Narrow" w:hAnsi="Arial Narrow"/>
                <w:highlight w:val="yellow"/>
                <w:lang w:val="en-AU"/>
              </w:rPr>
            </w:pPr>
          </w:p>
        </w:tc>
        <w:tc>
          <w:tcPr>
            <w:tcW w:w="909" w:type="pct"/>
            <w:tcBorders>
              <w:bottom w:val="nil"/>
            </w:tcBorders>
          </w:tcPr>
          <w:p w14:paraId="4CA2F92E" w14:textId="77777777" w:rsidR="005A255E" w:rsidRPr="005E2177" w:rsidRDefault="005A255E" w:rsidP="00D87DA9">
            <w:pPr>
              <w:pStyle w:val="TableCentre"/>
              <w:keepNext/>
              <w:rPr>
                <w:rFonts w:ascii="Arial Narrow" w:hAnsi="Arial Narrow"/>
                <w:highlight w:val="yellow"/>
                <w:lang w:val="en-AU"/>
              </w:rPr>
            </w:pPr>
          </w:p>
        </w:tc>
        <w:tc>
          <w:tcPr>
            <w:tcW w:w="801" w:type="pct"/>
            <w:tcBorders>
              <w:bottom w:val="nil"/>
            </w:tcBorders>
          </w:tcPr>
          <w:p w14:paraId="233E3DF8" w14:textId="77777777" w:rsidR="005A255E" w:rsidRPr="005E2177" w:rsidRDefault="005A255E" w:rsidP="00D87DA9">
            <w:pPr>
              <w:pStyle w:val="TableCentre"/>
              <w:keepNext/>
              <w:rPr>
                <w:rFonts w:ascii="Arial Narrow" w:hAnsi="Arial Narrow"/>
                <w:highlight w:val="yellow"/>
                <w:lang w:val="en-AU"/>
              </w:rPr>
            </w:pPr>
          </w:p>
        </w:tc>
        <w:tc>
          <w:tcPr>
            <w:tcW w:w="797" w:type="pct"/>
            <w:tcBorders>
              <w:bottom w:val="nil"/>
            </w:tcBorders>
          </w:tcPr>
          <w:p w14:paraId="25DC07EC" w14:textId="77777777" w:rsidR="005A255E" w:rsidRPr="005E2177" w:rsidRDefault="005A255E" w:rsidP="00D87DA9">
            <w:pPr>
              <w:pStyle w:val="TableCentre"/>
              <w:keepNext/>
              <w:rPr>
                <w:rFonts w:ascii="Arial Narrow" w:hAnsi="Arial Narrow"/>
                <w:highlight w:val="yellow"/>
                <w:lang w:val="en-AU"/>
              </w:rPr>
            </w:pPr>
          </w:p>
        </w:tc>
      </w:tr>
      <w:tr w:rsidR="005A255E" w:rsidRPr="00E81073" w14:paraId="04C46CDC" w14:textId="77777777" w:rsidTr="0056068F">
        <w:trPr>
          <w:cantSplit/>
        </w:trPr>
        <w:tc>
          <w:tcPr>
            <w:tcW w:w="986" w:type="pct"/>
            <w:tcBorders>
              <w:top w:val="nil"/>
              <w:bottom w:val="nil"/>
            </w:tcBorders>
            <w:shd w:val="clear" w:color="auto" w:fill="auto"/>
          </w:tcPr>
          <w:p w14:paraId="0250F18B" w14:textId="77777777" w:rsidR="005A255E" w:rsidRPr="005E2177" w:rsidRDefault="005A255E" w:rsidP="00D87DA9">
            <w:pPr>
              <w:pStyle w:val="TableLeft"/>
              <w:keepNext/>
              <w:rPr>
                <w:rFonts w:ascii="Arial Narrow" w:hAnsi="Arial Narrow"/>
                <w:highlight w:val="yellow"/>
                <w:lang w:val="en-AU"/>
              </w:rPr>
            </w:pPr>
            <w:r w:rsidRPr="00E81073">
              <w:rPr>
                <w:rFonts w:ascii="Arial Narrow" w:hAnsi="Arial Narrow"/>
              </w:rPr>
              <w:t>BE ACTIVE, W12</w:t>
            </w:r>
          </w:p>
        </w:tc>
        <w:tc>
          <w:tcPr>
            <w:tcW w:w="812" w:type="pct"/>
            <w:tcBorders>
              <w:top w:val="nil"/>
              <w:bottom w:val="nil"/>
            </w:tcBorders>
            <w:shd w:val="clear" w:color="auto" w:fill="auto"/>
          </w:tcPr>
          <w:p w14:paraId="764F1019" w14:textId="77777777" w:rsidR="005A255E" w:rsidRPr="005E2177" w:rsidRDefault="005A255E" w:rsidP="00D87DA9">
            <w:pPr>
              <w:pStyle w:val="TableCentre"/>
              <w:keepNext/>
              <w:rPr>
                <w:rFonts w:ascii="Arial Narrow" w:hAnsi="Arial Narrow"/>
                <w:lang w:val="en-AU"/>
              </w:rPr>
            </w:pPr>
            <w:r w:rsidRPr="00E81073">
              <w:rPr>
                <w:rFonts w:ascii="Arial Narrow" w:hAnsi="Arial Narrow"/>
              </w:rPr>
              <w:t>1/43 (2.3)</w:t>
            </w:r>
          </w:p>
        </w:tc>
        <w:tc>
          <w:tcPr>
            <w:tcW w:w="695" w:type="pct"/>
            <w:tcBorders>
              <w:top w:val="nil"/>
              <w:bottom w:val="nil"/>
            </w:tcBorders>
            <w:shd w:val="clear" w:color="auto" w:fill="auto"/>
          </w:tcPr>
          <w:p w14:paraId="52298E89" w14:textId="77777777" w:rsidR="005A255E" w:rsidRPr="005E2177" w:rsidRDefault="005A255E" w:rsidP="00D87DA9">
            <w:pPr>
              <w:pStyle w:val="TableCentre"/>
              <w:keepNext/>
              <w:rPr>
                <w:rFonts w:ascii="Arial Narrow" w:hAnsi="Arial Narrow"/>
                <w:lang w:val="en-AU"/>
              </w:rPr>
            </w:pPr>
            <w:r w:rsidRPr="00E81073">
              <w:rPr>
                <w:rFonts w:ascii="Arial Narrow" w:hAnsi="Arial Narrow"/>
              </w:rPr>
              <w:t>2/42 (4.8)</w:t>
            </w:r>
          </w:p>
        </w:tc>
        <w:tc>
          <w:tcPr>
            <w:tcW w:w="909" w:type="pct"/>
            <w:tcBorders>
              <w:top w:val="nil"/>
              <w:bottom w:val="nil"/>
            </w:tcBorders>
          </w:tcPr>
          <w:p w14:paraId="1F4E0D7D" w14:textId="62F5F2DB" w:rsidR="005A255E" w:rsidRPr="005E2177" w:rsidRDefault="006866E6" w:rsidP="00D87DA9">
            <w:pPr>
              <w:pStyle w:val="TableCentre"/>
              <w:keepNext/>
              <w:rPr>
                <w:rFonts w:ascii="Arial Narrow" w:hAnsi="Arial Narrow"/>
                <w:lang w:val="en-AU"/>
              </w:rPr>
            </w:pPr>
            <w:r w:rsidRPr="00E81073">
              <w:rPr>
                <w:rFonts w:ascii="Arial Narrow" w:hAnsi="Arial Narrow"/>
              </w:rPr>
              <w:t>0.49 (0.05, 5.19)</w:t>
            </w:r>
          </w:p>
        </w:tc>
        <w:tc>
          <w:tcPr>
            <w:tcW w:w="801" w:type="pct"/>
            <w:tcBorders>
              <w:top w:val="nil"/>
              <w:bottom w:val="nil"/>
            </w:tcBorders>
          </w:tcPr>
          <w:p w14:paraId="10684795" w14:textId="38DC5041" w:rsidR="005A255E" w:rsidRPr="005E2177" w:rsidRDefault="006866E6" w:rsidP="00D87DA9">
            <w:pPr>
              <w:pStyle w:val="TableCentre"/>
              <w:keepNext/>
              <w:rPr>
                <w:rFonts w:ascii="Arial Narrow" w:hAnsi="Arial Narrow"/>
                <w:lang w:val="en-AU"/>
              </w:rPr>
            </w:pPr>
            <w:r w:rsidRPr="00E81073">
              <w:rPr>
                <w:rFonts w:ascii="Arial Narrow" w:hAnsi="Arial Narrow"/>
              </w:rPr>
              <w:t>0.48 (0.04, 5.46)</w:t>
            </w:r>
          </w:p>
        </w:tc>
        <w:tc>
          <w:tcPr>
            <w:tcW w:w="797" w:type="pct"/>
            <w:tcBorders>
              <w:top w:val="nil"/>
              <w:bottom w:val="nil"/>
            </w:tcBorders>
          </w:tcPr>
          <w:p w14:paraId="0B8EEA6F" w14:textId="3700393A" w:rsidR="005A255E" w:rsidRPr="005E2177" w:rsidRDefault="006866E6" w:rsidP="00D87DA9">
            <w:pPr>
              <w:pStyle w:val="TableCentre"/>
              <w:keepNext/>
              <w:rPr>
                <w:rFonts w:ascii="Arial Narrow" w:hAnsi="Arial Narrow"/>
                <w:lang w:val="en-AU"/>
              </w:rPr>
            </w:pPr>
            <w:r w:rsidRPr="00E81073">
              <w:rPr>
                <w:rFonts w:ascii="Arial Narrow" w:hAnsi="Arial Narrow"/>
              </w:rPr>
              <w:t>-0.02 (-0.10, 0.05)</w:t>
            </w:r>
          </w:p>
        </w:tc>
      </w:tr>
      <w:tr w:rsidR="005A255E" w:rsidRPr="00E81073" w14:paraId="5EA6F622" w14:textId="77777777" w:rsidTr="0056068F">
        <w:trPr>
          <w:cantSplit/>
        </w:trPr>
        <w:tc>
          <w:tcPr>
            <w:tcW w:w="986" w:type="pct"/>
            <w:tcBorders>
              <w:top w:val="nil"/>
              <w:bottom w:val="nil"/>
            </w:tcBorders>
            <w:shd w:val="clear" w:color="auto" w:fill="auto"/>
          </w:tcPr>
          <w:p w14:paraId="7E90E0CD" w14:textId="77777777" w:rsidR="005A255E" w:rsidRPr="005E2177" w:rsidRDefault="005A255E" w:rsidP="00D87DA9">
            <w:pPr>
              <w:pStyle w:val="TableLeft"/>
              <w:keepNext/>
              <w:rPr>
                <w:rFonts w:ascii="Arial Narrow" w:hAnsi="Arial Narrow"/>
                <w:lang w:val="en-AU"/>
              </w:rPr>
            </w:pPr>
            <w:r w:rsidRPr="00E81073">
              <w:rPr>
                <w:rFonts w:ascii="Arial Narrow" w:hAnsi="Arial Narrow"/>
              </w:rPr>
              <w:t>BE OPTIMAL, W16</w:t>
            </w:r>
          </w:p>
        </w:tc>
        <w:tc>
          <w:tcPr>
            <w:tcW w:w="812" w:type="pct"/>
            <w:tcBorders>
              <w:top w:val="nil"/>
              <w:bottom w:val="nil"/>
            </w:tcBorders>
            <w:shd w:val="clear" w:color="auto" w:fill="auto"/>
          </w:tcPr>
          <w:p w14:paraId="170D111C" w14:textId="77777777" w:rsidR="005A255E" w:rsidRPr="005E2177" w:rsidRDefault="005A255E" w:rsidP="00D87DA9">
            <w:pPr>
              <w:pStyle w:val="TableCentre"/>
              <w:keepNext/>
              <w:rPr>
                <w:rFonts w:ascii="Arial Narrow" w:hAnsi="Arial Narrow"/>
                <w:lang w:val="en-AU"/>
              </w:rPr>
            </w:pPr>
            <w:r w:rsidRPr="00E81073">
              <w:rPr>
                <w:rFonts w:ascii="Arial Narrow" w:hAnsi="Arial Narrow"/>
              </w:rPr>
              <w:t>8/431 (1.9)</w:t>
            </w:r>
          </w:p>
        </w:tc>
        <w:tc>
          <w:tcPr>
            <w:tcW w:w="695" w:type="pct"/>
            <w:tcBorders>
              <w:top w:val="nil"/>
              <w:bottom w:val="nil"/>
            </w:tcBorders>
            <w:shd w:val="clear" w:color="auto" w:fill="auto"/>
          </w:tcPr>
          <w:p w14:paraId="6B5623BB" w14:textId="77777777" w:rsidR="005A255E" w:rsidRPr="005E2177" w:rsidRDefault="005A255E" w:rsidP="00D87DA9">
            <w:pPr>
              <w:pStyle w:val="TableCentre"/>
              <w:keepNext/>
              <w:rPr>
                <w:rFonts w:ascii="Arial Narrow" w:hAnsi="Arial Narrow"/>
                <w:highlight w:val="yellow"/>
                <w:lang w:val="en-AU"/>
              </w:rPr>
            </w:pPr>
            <w:r w:rsidRPr="00E81073">
              <w:rPr>
                <w:rFonts w:ascii="Arial Narrow" w:hAnsi="Arial Narrow"/>
              </w:rPr>
              <w:t>3/281 (1.1)</w:t>
            </w:r>
          </w:p>
        </w:tc>
        <w:tc>
          <w:tcPr>
            <w:tcW w:w="909" w:type="pct"/>
            <w:tcBorders>
              <w:top w:val="nil"/>
              <w:bottom w:val="nil"/>
            </w:tcBorders>
          </w:tcPr>
          <w:p w14:paraId="62A59E7D" w14:textId="714D6DFA" w:rsidR="005A255E" w:rsidRPr="005E2177" w:rsidRDefault="006866E6" w:rsidP="00D87DA9">
            <w:pPr>
              <w:pStyle w:val="TableCentre"/>
              <w:keepNext/>
              <w:rPr>
                <w:rFonts w:ascii="Arial Narrow" w:hAnsi="Arial Narrow"/>
                <w:lang w:val="en-AU"/>
              </w:rPr>
            </w:pPr>
            <w:r w:rsidRPr="00E81073">
              <w:rPr>
                <w:rFonts w:ascii="Arial Narrow" w:hAnsi="Arial Narrow"/>
              </w:rPr>
              <w:t>1.74 (0.47, 6.50)</w:t>
            </w:r>
          </w:p>
        </w:tc>
        <w:tc>
          <w:tcPr>
            <w:tcW w:w="801" w:type="pct"/>
            <w:tcBorders>
              <w:top w:val="nil"/>
              <w:bottom w:val="nil"/>
            </w:tcBorders>
          </w:tcPr>
          <w:p w14:paraId="06BE0E6F" w14:textId="492F977C" w:rsidR="005A255E" w:rsidRPr="005E2177" w:rsidRDefault="006866E6" w:rsidP="00D87DA9">
            <w:pPr>
              <w:pStyle w:val="TableCentre"/>
              <w:keepNext/>
              <w:rPr>
                <w:rFonts w:ascii="Arial Narrow" w:hAnsi="Arial Narrow"/>
                <w:lang w:val="en-AU"/>
              </w:rPr>
            </w:pPr>
            <w:r w:rsidRPr="00E81073">
              <w:rPr>
                <w:rFonts w:ascii="Arial Narrow" w:hAnsi="Arial Narrow"/>
              </w:rPr>
              <w:t>1.75 (0.46, 6.66)</w:t>
            </w:r>
          </w:p>
        </w:tc>
        <w:tc>
          <w:tcPr>
            <w:tcW w:w="797" w:type="pct"/>
            <w:tcBorders>
              <w:top w:val="nil"/>
              <w:bottom w:val="nil"/>
            </w:tcBorders>
          </w:tcPr>
          <w:p w14:paraId="443C76D1" w14:textId="798EEA0B" w:rsidR="005A255E" w:rsidRPr="005E2177" w:rsidRDefault="006866E6" w:rsidP="00D87DA9">
            <w:pPr>
              <w:pStyle w:val="TableCentre"/>
              <w:keepNext/>
              <w:rPr>
                <w:rFonts w:ascii="Arial Narrow" w:hAnsi="Arial Narrow"/>
                <w:lang w:val="en-AU"/>
              </w:rPr>
            </w:pPr>
            <w:r w:rsidRPr="00E81073">
              <w:rPr>
                <w:rFonts w:ascii="Arial Narrow" w:hAnsi="Arial Narrow"/>
              </w:rPr>
              <w:t>0.01 (-0.01, 0.03)</w:t>
            </w:r>
          </w:p>
        </w:tc>
      </w:tr>
      <w:tr w:rsidR="005A255E" w:rsidRPr="00E81073" w14:paraId="1D9C7CB5" w14:textId="77777777" w:rsidTr="0056068F">
        <w:trPr>
          <w:cantSplit/>
        </w:trPr>
        <w:tc>
          <w:tcPr>
            <w:tcW w:w="986" w:type="pct"/>
            <w:tcBorders>
              <w:top w:val="nil"/>
              <w:bottom w:val="nil"/>
            </w:tcBorders>
            <w:shd w:val="clear" w:color="auto" w:fill="auto"/>
          </w:tcPr>
          <w:p w14:paraId="463D57C2" w14:textId="77777777" w:rsidR="005A255E" w:rsidRPr="005E2177" w:rsidRDefault="005A255E" w:rsidP="00D87DA9">
            <w:pPr>
              <w:pStyle w:val="TableLeft"/>
              <w:keepNext/>
              <w:rPr>
                <w:rFonts w:ascii="Arial Narrow" w:hAnsi="Arial Narrow"/>
                <w:lang w:val="en-AU"/>
              </w:rPr>
            </w:pPr>
            <w:r w:rsidRPr="00E81073">
              <w:rPr>
                <w:rFonts w:ascii="Arial Narrow" w:hAnsi="Arial Narrow"/>
              </w:rPr>
              <w:t>BE COMPLETE, W16</w:t>
            </w:r>
          </w:p>
        </w:tc>
        <w:tc>
          <w:tcPr>
            <w:tcW w:w="812" w:type="pct"/>
            <w:tcBorders>
              <w:top w:val="nil"/>
              <w:bottom w:val="nil"/>
            </w:tcBorders>
            <w:shd w:val="clear" w:color="auto" w:fill="auto"/>
          </w:tcPr>
          <w:p w14:paraId="3A5C8C69" w14:textId="77777777" w:rsidR="005A255E" w:rsidRPr="005E2177" w:rsidRDefault="005A255E" w:rsidP="00D87DA9">
            <w:pPr>
              <w:pStyle w:val="TableCentre"/>
              <w:keepNext/>
              <w:rPr>
                <w:rFonts w:ascii="Arial Narrow" w:hAnsi="Arial Narrow"/>
                <w:lang w:val="en-AU"/>
              </w:rPr>
            </w:pPr>
            <w:r w:rsidRPr="00E81073">
              <w:rPr>
                <w:rFonts w:ascii="Arial Narrow" w:hAnsi="Arial Narrow"/>
              </w:rPr>
              <w:t>2/267 (0.7)</w:t>
            </w:r>
          </w:p>
        </w:tc>
        <w:tc>
          <w:tcPr>
            <w:tcW w:w="695" w:type="pct"/>
            <w:tcBorders>
              <w:top w:val="nil"/>
              <w:bottom w:val="nil"/>
            </w:tcBorders>
            <w:shd w:val="clear" w:color="auto" w:fill="auto"/>
          </w:tcPr>
          <w:p w14:paraId="0B83774F" w14:textId="77777777" w:rsidR="005A255E" w:rsidRPr="005E2177" w:rsidRDefault="005A255E" w:rsidP="00D87DA9">
            <w:pPr>
              <w:pStyle w:val="TableCentre"/>
              <w:keepNext/>
              <w:rPr>
                <w:rFonts w:ascii="Arial Narrow" w:hAnsi="Arial Narrow"/>
                <w:highlight w:val="yellow"/>
                <w:lang w:val="en-AU"/>
              </w:rPr>
            </w:pPr>
            <w:r w:rsidRPr="00E81073">
              <w:rPr>
                <w:rFonts w:ascii="Arial Narrow" w:hAnsi="Arial Narrow"/>
              </w:rPr>
              <w:t>0/132 (0)</w:t>
            </w:r>
          </w:p>
        </w:tc>
        <w:tc>
          <w:tcPr>
            <w:tcW w:w="909" w:type="pct"/>
            <w:tcBorders>
              <w:top w:val="nil"/>
              <w:bottom w:val="nil"/>
            </w:tcBorders>
          </w:tcPr>
          <w:p w14:paraId="4D84B909" w14:textId="4F221659" w:rsidR="005A255E" w:rsidRPr="005E2177" w:rsidRDefault="006866E6" w:rsidP="00D87DA9">
            <w:pPr>
              <w:pStyle w:val="TableCentre"/>
              <w:keepNext/>
              <w:rPr>
                <w:rFonts w:ascii="Arial Narrow" w:hAnsi="Arial Narrow"/>
                <w:lang w:val="en-AU"/>
              </w:rPr>
            </w:pPr>
            <w:r w:rsidRPr="00E81073">
              <w:rPr>
                <w:rFonts w:ascii="Arial Narrow" w:hAnsi="Arial Narrow"/>
              </w:rPr>
              <w:t>2.48 (0.12, 51.32)</w:t>
            </w:r>
          </w:p>
        </w:tc>
        <w:tc>
          <w:tcPr>
            <w:tcW w:w="801" w:type="pct"/>
            <w:tcBorders>
              <w:top w:val="nil"/>
              <w:bottom w:val="nil"/>
            </w:tcBorders>
          </w:tcPr>
          <w:p w14:paraId="77BB75F8" w14:textId="6B43304C" w:rsidR="005A255E" w:rsidRPr="005E2177" w:rsidRDefault="006866E6" w:rsidP="00D87DA9">
            <w:pPr>
              <w:pStyle w:val="TableCentre"/>
              <w:keepNext/>
              <w:rPr>
                <w:rFonts w:ascii="Arial Narrow" w:hAnsi="Arial Narrow"/>
                <w:lang w:val="en-AU"/>
              </w:rPr>
            </w:pPr>
            <w:r w:rsidRPr="00E81073">
              <w:rPr>
                <w:rFonts w:ascii="Arial Narrow" w:hAnsi="Arial Narrow"/>
              </w:rPr>
              <w:t>2.50 (0.12, 52.35)</w:t>
            </w:r>
          </w:p>
        </w:tc>
        <w:tc>
          <w:tcPr>
            <w:tcW w:w="797" w:type="pct"/>
            <w:tcBorders>
              <w:top w:val="nil"/>
              <w:bottom w:val="nil"/>
            </w:tcBorders>
          </w:tcPr>
          <w:p w14:paraId="6DA993EA" w14:textId="05A4E194" w:rsidR="005A255E" w:rsidRPr="005E2177" w:rsidRDefault="006866E6" w:rsidP="00D87DA9">
            <w:pPr>
              <w:pStyle w:val="TableCentre"/>
              <w:keepNext/>
              <w:rPr>
                <w:rFonts w:ascii="Arial Narrow" w:hAnsi="Arial Narrow"/>
                <w:lang w:val="en-AU"/>
              </w:rPr>
            </w:pPr>
            <w:r w:rsidRPr="00E81073">
              <w:rPr>
                <w:rFonts w:ascii="Arial Narrow" w:hAnsi="Arial Narrow"/>
              </w:rPr>
              <w:t>0.01 (-0.01, 0.02)</w:t>
            </w:r>
          </w:p>
        </w:tc>
      </w:tr>
      <w:tr w:rsidR="005A255E" w:rsidRPr="00E81073" w14:paraId="649FFB60" w14:textId="77777777" w:rsidTr="0056068F">
        <w:trPr>
          <w:cantSplit/>
        </w:trPr>
        <w:tc>
          <w:tcPr>
            <w:tcW w:w="986" w:type="pct"/>
            <w:tcBorders>
              <w:top w:val="nil"/>
              <w:bottom w:val="single" w:sz="4" w:space="0" w:color="auto"/>
            </w:tcBorders>
            <w:shd w:val="clear" w:color="auto" w:fill="auto"/>
            <w:vAlign w:val="center"/>
          </w:tcPr>
          <w:p w14:paraId="1768F99B" w14:textId="77777777" w:rsidR="005A255E" w:rsidRPr="005E2177" w:rsidRDefault="005A255E" w:rsidP="00D87DA9">
            <w:pPr>
              <w:pStyle w:val="TableLeft"/>
              <w:keepNext/>
              <w:jc w:val="right"/>
              <w:rPr>
                <w:rFonts w:ascii="Arial Narrow" w:hAnsi="Arial Narrow"/>
                <w:lang w:val="en-AU"/>
              </w:rPr>
            </w:pPr>
            <w:r w:rsidRPr="00E81073">
              <w:rPr>
                <w:rFonts w:ascii="Arial Narrow" w:hAnsi="Arial Narrow"/>
                <w:iCs/>
                <w:szCs w:val="18"/>
              </w:rPr>
              <w:t>Meta-analysis</w:t>
            </w:r>
          </w:p>
        </w:tc>
        <w:tc>
          <w:tcPr>
            <w:tcW w:w="812" w:type="pct"/>
            <w:tcBorders>
              <w:top w:val="nil"/>
              <w:bottom w:val="single" w:sz="4" w:space="0" w:color="auto"/>
            </w:tcBorders>
            <w:shd w:val="clear" w:color="auto" w:fill="auto"/>
          </w:tcPr>
          <w:p w14:paraId="313C7E95" w14:textId="3A945567" w:rsidR="005A255E" w:rsidRPr="005E2177" w:rsidRDefault="006866E6" w:rsidP="00D87DA9">
            <w:pPr>
              <w:pStyle w:val="TableCentre"/>
              <w:keepNext/>
              <w:rPr>
                <w:rFonts w:ascii="Arial Narrow" w:hAnsi="Arial Narrow"/>
                <w:lang w:val="en-AU"/>
              </w:rPr>
            </w:pPr>
            <w:r w:rsidRPr="00E81073">
              <w:rPr>
                <w:rFonts w:ascii="Arial Narrow" w:hAnsi="Arial Narrow"/>
              </w:rPr>
              <w:t>11/741 (1.5)</w:t>
            </w:r>
          </w:p>
        </w:tc>
        <w:tc>
          <w:tcPr>
            <w:tcW w:w="695" w:type="pct"/>
            <w:tcBorders>
              <w:top w:val="nil"/>
              <w:bottom w:val="single" w:sz="4" w:space="0" w:color="auto"/>
            </w:tcBorders>
            <w:shd w:val="clear" w:color="auto" w:fill="auto"/>
          </w:tcPr>
          <w:p w14:paraId="78D0FAB5" w14:textId="2E42CD77" w:rsidR="005A255E" w:rsidRPr="005E2177" w:rsidRDefault="006866E6" w:rsidP="00D87DA9">
            <w:pPr>
              <w:pStyle w:val="TableCentre"/>
              <w:keepNext/>
              <w:rPr>
                <w:rFonts w:ascii="Arial Narrow" w:hAnsi="Arial Narrow"/>
                <w:lang w:val="en-AU"/>
              </w:rPr>
            </w:pPr>
            <w:r w:rsidRPr="00E81073">
              <w:rPr>
                <w:rFonts w:ascii="Arial Narrow" w:hAnsi="Arial Narrow"/>
              </w:rPr>
              <w:t>5/455 (1.1)</w:t>
            </w:r>
          </w:p>
        </w:tc>
        <w:tc>
          <w:tcPr>
            <w:tcW w:w="909" w:type="pct"/>
            <w:tcBorders>
              <w:top w:val="nil"/>
              <w:bottom w:val="single" w:sz="4" w:space="0" w:color="auto"/>
            </w:tcBorders>
          </w:tcPr>
          <w:p w14:paraId="042EF721" w14:textId="3E92D0C1" w:rsidR="005A255E" w:rsidRPr="005E2177" w:rsidRDefault="006866E6" w:rsidP="00D87DA9">
            <w:pPr>
              <w:pStyle w:val="TableCentre"/>
              <w:keepNext/>
              <w:rPr>
                <w:rFonts w:ascii="Arial Narrow" w:hAnsi="Arial Narrow"/>
                <w:lang w:val="en-AU"/>
              </w:rPr>
            </w:pPr>
            <w:r w:rsidRPr="00E81073">
              <w:rPr>
                <w:rFonts w:ascii="Arial Narrow" w:hAnsi="Arial Narrow"/>
              </w:rPr>
              <w:t>1.40 (0.48, 4.10)</w:t>
            </w:r>
          </w:p>
        </w:tc>
        <w:tc>
          <w:tcPr>
            <w:tcW w:w="801" w:type="pct"/>
            <w:tcBorders>
              <w:top w:val="nil"/>
              <w:bottom w:val="single" w:sz="4" w:space="0" w:color="auto"/>
            </w:tcBorders>
          </w:tcPr>
          <w:p w14:paraId="18CB6CC1" w14:textId="080E8C70" w:rsidR="005A255E" w:rsidRPr="005E2177" w:rsidRDefault="006866E6" w:rsidP="00D87DA9">
            <w:pPr>
              <w:pStyle w:val="TableCentre"/>
              <w:keepNext/>
              <w:rPr>
                <w:rFonts w:ascii="Arial Narrow" w:hAnsi="Arial Narrow"/>
                <w:lang w:val="en-AU"/>
              </w:rPr>
            </w:pPr>
            <w:r w:rsidRPr="00E81073">
              <w:rPr>
                <w:rFonts w:ascii="Arial Narrow" w:hAnsi="Arial Narrow"/>
              </w:rPr>
              <w:t>1.41 (0.47, 4.21)</w:t>
            </w:r>
          </w:p>
        </w:tc>
        <w:tc>
          <w:tcPr>
            <w:tcW w:w="797" w:type="pct"/>
            <w:tcBorders>
              <w:top w:val="nil"/>
              <w:bottom w:val="single" w:sz="4" w:space="0" w:color="auto"/>
            </w:tcBorders>
          </w:tcPr>
          <w:p w14:paraId="4F17F1B1" w14:textId="6E356C0C" w:rsidR="005A255E" w:rsidRPr="005E2177" w:rsidRDefault="006866E6" w:rsidP="00D87DA9">
            <w:pPr>
              <w:pStyle w:val="TableCentre"/>
              <w:keepNext/>
              <w:rPr>
                <w:rFonts w:ascii="Arial Narrow" w:hAnsi="Arial Narrow"/>
                <w:lang w:val="en-AU"/>
              </w:rPr>
            </w:pPr>
            <w:r w:rsidRPr="00E81073">
              <w:rPr>
                <w:rFonts w:ascii="Arial Narrow" w:hAnsi="Arial Narrow"/>
              </w:rPr>
              <w:t>0.01 (-0.00, 0.02)</w:t>
            </w:r>
          </w:p>
        </w:tc>
      </w:tr>
    </w:tbl>
    <w:p w14:paraId="687B772D" w14:textId="77777777" w:rsidR="005A255E" w:rsidRPr="00E81073" w:rsidRDefault="005A255E" w:rsidP="00D87DA9">
      <w:pPr>
        <w:keepNext/>
      </w:pPr>
      <w:r w:rsidRPr="00E81073">
        <w:rPr>
          <w:rFonts w:ascii="Arial Narrow" w:hAnsi="Arial Narrow"/>
          <w:sz w:val="18"/>
          <w:szCs w:val="16"/>
        </w:rPr>
        <w:t>Source: Table 2.36, p136 of the submission</w:t>
      </w:r>
    </w:p>
    <w:p w14:paraId="6397E95D" w14:textId="1C00FC49" w:rsidR="005A255E" w:rsidRPr="00E81073" w:rsidRDefault="00FF4C25" w:rsidP="00D87DA9">
      <w:pPr>
        <w:keepNext/>
        <w:rPr>
          <w:rFonts w:ascii="Arial Narrow" w:hAnsi="Arial Narrow"/>
          <w:color w:val="000000" w:themeColor="text1"/>
          <w:sz w:val="18"/>
          <w:szCs w:val="16"/>
        </w:rPr>
      </w:pPr>
      <w:r w:rsidRPr="00E81073">
        <w:rPr>
          <w:rFonts w:ascii="Arial Narrow" w:hAnsi="Arial Narrow"/>
          <w:color w:val="000000" w:themeColor="text1"/>
          <w:sz w:val="18"/>
          <w:szCs w:val="16"/>
        </w:rPr>
        <w:t xml:space="preserve">ADA=adalimumab; BKZ=bimekizumab; </w:t>
      </w:r>
      <w:r w:rsidRPr="00E81073">
        <w:rPr>
          <w:rFonts w:ascii="Arial Narrow" w:hAnsi="Arial Narrow"/>
          <w:sz w:val="18"/>
          <w:szCs w:val="16"/>
        </w:rPr>
        <w:t>CI=confidence interval; Disc=discontinued; OR=odds ratio;</w:t>
      </w:r>
      <w:r w:rsidRPr="00E81073">
        <w:rPr>
          <w:rFonts w:ascii="Arial Narrow" w:hAnsi="Arial Narrow"/>
          <w:color w:val="000000" w:themeColor="text1"/>
          <w:sz w:val="18"/>
          <w:szCs w:val="16"/>
        </w:rPr>
        <w:t xml:space="preserve"> </w:t>
      </w:r>
      <w:r w:rsidR="005A255E" w:rsidRPr="00E81073">
        <w:rPr>
          <w:rFonts w:ascii="Arial Narrow" w:hAnsi="Arial Narrow"/>
          <w:color w:val="000000" w:themeColor="text1"/>
          <w:sz w:val="18"/>
          <w:szCs w:val="16"/>
        </w:rPr>
        <w:t>PBO=placebo</w:t>
      </w:r>
      <w:r w:rsidRPr="00E81073">
        <w:rPr>
          <w:rFonts w:ascii="Arial Narrow" w:hAnsi="Arial Narrow"/>
          <w:color w:val="000000" w:themeColor="text1"/>
          <w:sz w:val="18"/>
          <w:szCs w:val="16"/>
        </w:rPr>
        <w:t xml:space="preserve">; </w:t>
      </w:r>
      <w:r w:rsidRPr="00E81073">
        <w:rPr>
          <w:rFonts w:ascii="Arial Narrow" w:hAnsi="Arial Narrow"/>
          <w:sz w:val="18"/>
          <w:szCs w:val="16"/>
        </w:rPr>
        <w:t>RD=risk difference; RR=risk ratio; TEAE=treatment-emergent adverse event</w:t>
      </w:r>
    </w:p>
    <w:p w14:paraId="76FB9368" w14:textId="59941D88" w:rsidR="00BA0F65" w:rsidRPr="00E81073" w:rsidRDefault="00BA0F65" w:rsidP="00D87DA9">
      <w:pPr>
        <w:keepNext/>
        <w:rPr>
          <w:rFonts w:ascii="Arial Narrow" w:hAnsi="Arial Narrow"/>
          <w:color w:val="000000" w:themeColor="text1"/>
          <w:sz w:val="18"/>
          <w:szCs w:val="16"/>
        </w:rPr>
      </w:pPr>
      <w:r w:rsidRPr="00E81073">
        <w:rPr>
          <w:rFonts w:ascii="Arial Narrow" w:hAnsi="Arial Narrow"/>
          <w:color w:val="000000" w:themeColor="text1"/>
          <w:sz w:val="18"/>
          <w:szCs w:val="16"/>
        </w:rPr>
        <w:t xml:space="preserve">* </w:t>
      </w:r>
      <w:r w:rsidR="007830E2" w:rsidRPr="00E81073">
        <w:rPr>
          <w:rFonts w:ascii="Arial Narrow" w:hAnsi="Arial Narrow"/>
          <w:color w:val="000000" w:themeColor="text1"/>
          <w:sz w:val="18"/>
          <w:szCs w:val="16"/>
        </w:rPr>
        <w:t>McInnes 2023</w:t>
      </w:r>
      <w:r w:rsidRPr="00E81073">
        <w:rPr>
          <w:rFonts w:ascii="Arial Narrow" w:hAnsi="Arial Narrow"/>
          <w:color w:val="000000" w:themeColor="text1"/>
          <w:sz w:val="18"/>
          <w:szCs w:val="16"/>
        </w:rPr>
        <w:t xml:space="preserve"> reports </w:t>
      </w:r>
      <w:r w:rsidR="00BE6101" w:rsidRPr="00E81073">
        <w:rPr>
          <w:rFonts w:ascii="Arial Narrow" w:hAnsi="Arial Narrow"/>
          <w:color w:val="000000" w:themeColor="text1"/>
          <w:sz w:val="18"/>
          <w:szCs w:val="16"/>
        </w:rPr>
        <w:t>n=</w:t>
      </w:r>
      <w:r w:rsidRPr="00E81073">
        <w:rPr>
          <w:rFonts w:ascii="Arial Narrow" w:hAnsi="Arial Narrow"/>
          <w:color w:val="000000" w:themeColor="text1"/>
          <w:sz w:val="18"/>
          <w:szCs w:val="16"/>
        </w:rPr>
        <w:t xml:space="preserve">258 (Table 3, p34); CSR reports </w:t>
      </w:r>
      <w:r w:rsidR="0088099A" w:rsidRPr="00E81073">
        <w:rPr>
          <w:rFonts w:ascii="Arial Narrow" w:hAnsi="Arial Narrow"/>
          <w:color w:val="000000" w:themeColor="text1"/>
          <w:sz w:val="18"/>
          <w:szCs w:val="16"/>
        </w:rPr>
        <w:t>n=</w:t>
      </w:r>
      <w:r w:rsidRPr="00E81073">
        <w:rPr>
          <w:rFonts w:ascii="Arial Narrow" w:hAnsi="Arial Narrow"/>
          <w:color w:val="000000" w:themeColor="text1"/>
          <w:sz w:val="18"/>
          <w:szCs w:val="16"/>
        </w:rPr>
        <w:t>257 (Table 11-5, p332)</w:t>
      </w:r>
    </w:p>
    <w:p w14:paraId="50260CB0" w14:textId="371A1100" w:rsidR="009B654B" w:rsidRPr="00E81073" w:rsidRDefault="009B654B" w:rsidP="00BA5073">
      <w:pPr>
        <w:spacing w:after="120"/>
        <w:rPr>
          <w:rFonts w:ascii="Arial Narrow" w:hAnsi="Arial Narrow"/>
          <w:color w:val="000000" w:themeColor="text1"/>
          <w:sz w:val="18"/>
          <w:szCs w:val="16"/>
        </w:rPr>
      </w:pPr>
      <w:r w:rsidRPr="00E81073">
        <w:rPr>
          <w:rFonts w:ascii="Arial Narrow" w:hAnsi="Arial Narrow"/>
          <w:color w:val="000000" w:themeColor="text1"/>
          <w:sz w:val="18"/>
          <w:szCs w:val="16"/>
        </w:rPr>
        <w:t xml:space="preserve">^ </w:t>
      </w:r>
      <w:r w:rsidR="007830E2" w:rsidRPr="00E81073">
        <w:rPr>
          <w:rFonts w:ascii="Arial Narrow" w:hAnsi="Arial Narrow"/>
          <w:color w:val="000000" w:themeColor="text1"/>
          <w:sz w:val="18"/>
          <w:szCs w:val="16"/>
        </w:rPr>
        <w:t>McInnes 2023</w:t>
      </w:r>
      <w:r w:rsidRPr="00E81073">
        <w:rPr>
          <w:rFonts w:ascii="Arial Narrow" w:hAnsi="Arial Narrow"/>
          <w:color w:val="000000" w:themeColor="text1"/>
          <w:sz w:val="18"/>
          <w:szCs w:val="16"/>
        </w:rPr>
        <w:t xml:space="preserve"> reports </w:t>
      </w:r>
      <w:r w:rsidR="0088099A" w:rsidRPr="00E81073">
        <w:rPr>
          <w:rFonts w:ascii="Arial Narrow" w:hAnsi="Arial Narrow"/>
          <w:color w:val="000000" w:themeColor="text1"/>
          <w:sz w:val="18"/>
          <w:szCs w:val="16"/>
        </w:rPr>
        <w:t>n=</w:t>
      </w:r>
      <w:r w:rsidRPr="00E81073">
        <w:rPr>
          <w:rFonts w:ascii="Arial Narrow" w:hAnsi="Arial Narrow"/>
          <w:color w:val="000000" w:themeColor="text1"/>
          <w:sz w:val="18"/>
          <w:szCs w:val="16"/>
        </w:rPr>
        <w:t xml:space="preserve">7 (Table 3, p34); CSR reports </w:t>
      </w:r>
      <w:r w:rsidR="0088099A" w:rsidRPr="00E81073">
        <w:rPr>
          <w:rFonts w:ascii="Arial Narrow" w:hAnsi="Arial Narrow"/>
          <w:color w:val="000000" w:themeColor="text1"/>
          <w:sz w:val="18"/>
          <w:szCs w:val="16"/>
        </w:rPr>
        <w:t>n=</w:t>
      </w:r>
      <w:r w:rsidRPr="00E81073">
        <w:rPr>
          <w:rFonts w:ascii="Arial Narrow" w:hAnsi="Arial Narrow"/>
          <w:color w:val="000000" w:themeColor="text1"/>
          <w:sz w:val="18"/>
          <w:szCs w:val="16"/>
        </w:rPr>
        <w:t>8 (Table 11-5, p332)</w:t>
      </w:r>
    </w:p>
    <w:p w14:paraId="07C743BD" w14:textId="2AD86BC7" w:rsidR="005747DF" w:rsidRPr="00E81073" w:rsidRDefault="00215AE5" w:rsidP="005747DF">
      <w:pPr>
        <w:pStyle w:val="3-BodyText"/>
      </w:pPr>
      <w:r w:rsidRPr="00E81073">
        <w:t xml:space="preserve">The submission presented indirect comparisons of TEAEs, serious TEAEs and discontinuation due to TEAEs for </w:t>
      </w:r>
      <w:r w:rsidR="00BA5073" w:rsidRPr="00E81073">
        <w:t>BKZ</w:t>
      </w:r>
      <w:r w:rsidRPr="00E81073">
        <w:t xml:space="preserve"> and </w:t>
      </w:r>
      <w:r w:rsidR="00BA5073" w:rsidRPr="00E81073">
        <w:t>IXE</w:t>
      </w:r>
      <w:r w:rsidRPr="00E81073">
        <w:t xml:space="preserve">, summarised in </w:t>
      </w:r>
      <w:r w:rsidRPr="00E81073">
        <w:fldChar w:fldCharType="begin" w:fldLock="1"/>
      </w:r>
      <w:r w:rsidRPr="00E81073">
        <w:instrText xml:space="preserve"> REF _Ref152246578 \h </w:instrText>
      </w:r>
      <w:r w:rsidR="004F428A" w:rsidRPr="00E81073">
        <w:instrText xml:space="preserve"> \* MERGEFORMAT </w:instrText>
      </w:r>
      <w:r w:rsidRPr="00E81073">
        <w:fldChar w:fldCharType="separate"/>
      </w:r>
      <w:r w:rsidRPr="00E81073">
        <w:t xml:space="preserve">Table </w:t>
      </w:r>
      <w:r w:rsidRPr="005E2177">
        <w:t>7</w:t>
      </w:r>
      <w:r w:rsidRPr="00E81073">
        <w:fldChar w:fldCharType="end"/>
      </w:r>
      <w:r w:rsidRPr="00E81073">
        <w:t>.</w:t>
      </w:r>
      <w:r w:rsidR="006C7168" w:rsidRPr="00E81073">
        <w:t xml:space="preserve"> </w:t>
      </w:r>
      <w:r w:rsidR="00BA5073" w:rsidRPr="00E81073">
        <w:t>The results showed no</w:t>
      </w:r>
      <w:r w:rsidR="006C7168" w:rsidRPr="00E81073">
        <w:t xml:space="preserve"> significant difference between BKZ and IXE in </w:t>
      </w:r>
      <w:r w:rsidR="00BA5073" w:rsidRPr="00E81073">
        <w:t>terms of safety outcomes</w:t>
      </w:r>
      <w:r w:rsidR="006C7168" w:rsidRPr="00E81073">
        <w:t xml:space="preserve">. </w:t>
      </w:r>
      <w:r w:rsidR="00BA5073" w:rsidRPr="00E81073">
        <w:t>There were differences in the exposure periods across the trials, with safety outcomes reported at Week 12 (</w:t>
      </w:r>
      <w:r w:rsidR="006C7168" w:rsidRPr="00E81073">
        <w:t>BE ACTIVE</w:t>
      </w:r>
      <w:r w:rsidR="00BA5073" w:rsidRPr="00E81073">
        <w:t>), Week 16 (</w:t>
      </w:r>
      <w:r w:rsidR="006C7168" w:rsidRPr="00E81073">
        <w:t>BE COMPLETE and BE OPTIMAL</w:t>
      </w:r>
      <w:r w:rsidR="00BA5073" w:rsidRPr="00E81073">
        <w:t>) and Week 24 (</w:t>
      </w:r>
      <w:r w:rsidR="006C7168" w:rsidRPr="00E81073">
        <w:t>SPIRIT-P1 and SPIRIT-P2</w:t>
      </w:r>
      <w:r w:rsidR="00BA5073" w:rsidRPr="00E81073">
        <w:t>)</w:t>
      </w:r>
      <w:r w:rsidR="006C7168" w:rsidRPr="00E81073">
        <w:t>.</w:t>
      </w:r>
    </w:p>
    <w:p w14:paraId="0971122B" w14:textId="2425C08A" w:rsidR="00670F2D" w:rsidRPr="00E81073" w:rsidRDefault="00670F2D" w:rsidP="00670F2D">
      <w:pPr>
        <w:pStyle w:val="Caption"/>
        <w:rPr>
          <w:b w:val="0"/>
          <w:bCs w:val="0"/>
        </w:rPr>
      </w:pPr>
      <w:bookmarkStart w:id="37" w:name="_Ref152246578"/>
      <w:r w:rsidRPr="00E81073">
        <w:t xml:space="preserve">Table </w:t>
      </w:r>
      <w:r w:rsidR="006269D6">
        <w:fldChar w:fldCharType="begin" w:fldLock="1"/>
      </w:r>
      <w:r w:rsidR="006269D6">
        <w:instrText xml:space="preserve"> SEQ Table \* ARABIC </w:instrText>
      </w:r>
      <w:r w:rsidR="006269D6">
        <w:fldChar w:fldCharType="separate"/>
      </w:r>
      <w:r w:rsidRPr="005E2177">
        <w:t>7</w:t>
      </w:r>
      <w:r w:rsidR="006269D6">
        <w:fldChar w:fldCharType="end"/>
      </w:r>
      <w:bookmarkEnd w:id="37"/>
      <w:r w:rsidRPr="00E81073">
        <w:t>: Safety outcomes at Week 12-24, indirect treatment comparison via placebo common reference</w:t>
      </w:r>
    </w:p>
    <w:tbl>
      <w:tblPr>
        <w:tblStyle w:val="TableGrid"/>
        <w:tblW w:w="5000" w:type="pct"/>
        <w:tblCellMar>
          <w:left w:w="28" w:type="dxa"/>
          <w:right w:w="28" w:type="dxa"/>
        </w:tblCellMar>
        <w:tblLook w:val="04A0" w:firstRow="1" w:lastRow="0" w:firstColumn="1" w:lastColumn="0" w:noHBand="0" w:noVBand="1"/>
        <w:tblCaption w:val="Table 7: Safety outcomes at Week 12-24, indirect treatment comparison via placebo common reference"/>
      </w:tblPr>
      <w:tblGrid>
        <w:gridCol w:w="4389"/>
        <w:gridCol w:w="1542"/>
        <w:gridCol w:w="1542"/>
        <w:gridCol w:w="1544"/>
      </w:tblGrid>
      <w:tr w:rsidR="005A255E" w:rsidRPr="00E81073" w14:paraId="6321A529" w14:textId="77777777" w:rsidTr="00BA5073">
        <w:tc>
          <w:tcPr>
            <w:tcW w:w="2434" w:type="pct"/>
            <w:tcBorders>
              <w:bottom w:val="single" w:sz="4" w:space="0" w:color="auto"/>
            </w:tcBorders>
            <w:vAlign w:val="center"/>
          </w:tcPr>
          <w:p w14:paraId="71B04195" w14:textId="77777777" w:rsidR="005A255E" w:rsidRPr="00E81073" w:rsidRDefault="005A255E" w:rsidP="00BA5073">
            <w:pPr>
              <w:keepNext/>
              <w:rPr>
                <w:sz w:val="20"/>
                <w:szCs w:val="20"/>
              </w:rPr>
            </w:pPr>
          </w:p>
        </w:tc>
        <w:tc>
          <w:tcPr>
            <w:tcW w:w="855" w:type="pct"/>
            <w:tcBorders>
              <w:top w:val="single" w:sz="4" w:space="0" w:color="auto"/>
              <w:bottom w:val="single" w:sz="4" w:space="0" w:color="auto"/>
              <w:right w:val="single" w:sz="4" w:space="0" w:color="auto"/>
            </w:tcBorders>
            <w:vAlign w:val="center"/>
          </w:tcPr>
          <w:p w14:paraId="11D0D546" w14:textId="77777777" w:rsidR="005A255E" w:rsidRPr="00E81073" w:rsidRDefault="005A255E" w:rsidP="00BA5073">
            <w:pPr>
              <w:keepNext/>
              <w:jc w:val="center"/>
              <w:rPr>
                <w:rFonts w:ascii="Arial Narrow" w:hAnsi="Arial Narrow"/>
                <w:b/>
                <w:bCs/>
                <w:sz w:val="20"/>
                <w:szCs w:val="20"/>
              </w:rPr>
            </w:pPr>
            <w:r w:rsidRPr="00E81073">
              <w:rPr>
                <w:rFonts w:ascii="Arial Narrow" w:hAnsi="Arial Narrow"/>
                <w:b/>
                <w:bCs/>
                <w:sz w:val="20"/>
                <w:szCs w:val="20"/>
              </w:rPr>
              <w:t>RR (95%CI)</w:t>
            </w:r>
          </w:p>
        </w:tc>
        <w:tc>
          <w:tcPr>
            <w:tcW w:w="855" w:type="pct"/>
            <w:tcBorders>
              <w:top w:val="single" w:sz="4" w:space="0" w:color="auto"/>
              <w:left w:val="single" w:sz="4" w:space="0" w:color="auto"/>
              <w:bottom w:val="single" w:sz="4" w:space="0" w:color="auto"/>
              <w:right w:val="single" w:sz="4" w:space="0" w:color="auto"/>
            </w:tcBorders>
            <w:vAlign w:val="center"/>
          </w:tcPr>
          <w:p w14:paraId="13929C19" w14:textId="77777777" w:rsidR="005A255E" w:rsidRPr="00E81073" w:rsidRDefault="005A255E" w:rsidP="00BA5073">
            <w:pPr>
              <w:keepNext/>
              <w:jc w:val="center"/>
              <w:rPr>
                <w:rFonts w:ascii="Arial Narrow" w:hAnsi="Arial Narrow"/>
                <w:b/>
                <w:bCs/>
                <w:sz w:val="20"/>
                <w:szCs w:val="20"/>
              </w:rPr>
            </w:pPr>
            <w:r w:rsidRPr="00E81073">
              <w:rPr>
                <w:rFonts w:ascii="Arial Narrow" w:hAnsi="Arial Narrow"/>
                <w:b/>
                <w:bCs/>
                <w:sz w:val="20"/>
                <w:szCs w:val="20"/>
              </w:rPr>
              <w:t>OR (95%CI)</w:t>
            </w:r>
          </w:p>
        </w:tc>
        <w:tc>
          <w:tcPr>
            <w:tcW w:w="856" w:type="pct"/>
            <w:tcBorders>
              <w:top w:val="single" w:sz="4" w:space="0" w:color="auto"/>
              <w:left w:val="single" w:sz="4" w:space="0" w:color="auto"/>
              <w:bottom w:val="single" w:sz="4" w:space="0" w:color="auto"/>
              <w:right w:val="single" w:sz="4" w:space="0" w:color="auto"/>
            </w:tcBorders>
            <w:vAlign w:val="center"/>
          </w:tcPr>
          <w:p w14:paraId="7A7B315D" w14:textId="77777777" w:rsidR="005A255E" w:rsidRPr="00E81073" w:rsidRDefault="005A255E" w:rsidP="00BA5073">
            <w:pPr>
              <w:keepNext/>
              <w:jc w:val="center"/>
              <w:rPr>
                <w:rFonts w:ascii="Arial Narrow" w:hAnsi="Arial Narrow"/>
                <w:b/>
                <w:bCs/>
                <w:sz w:val="20"/>
                <w:szCs w:val="20"/>
              </w:rPr>
            </w:pPr>
            <w:r w:rsidRPr="00E81073">
              <w:rPr>
                <w:rFonts w:ascii="Arial Narrow" w:hAnsi="Arial Narrow"/>
                <w:b/>
                <w:bCs/>
                <w:sz w:val="20"/>
                <w:szCs w:val="20"/>
              </w:rPr>
              <w:t>RD (95%CI)</w:t>
            </w:r>
          </w:p>
        </w:tc>
      </w:tr>
      <w:tr w:rsidR="005A255E" w:rsidRPr="00E81073" w14:paraId="32F17259" w14:textId="77777777" w:rsidTr="00BA5073">
        <w:tc>
          <w:tcPr>
            <w:tcW w:w="2434" w:type="pct"/>
            <w:tcBorders>
              <w:bottom w:val="nil"/>
            </w:tcBorders>
            <w:vAlign w:val="center"/>
          </w:tcPr>
          <w:p w14:paraId="1CC9F0C9" w14:textId="77777777" w:rsidR="005A255E" w:rsidRPr="00E81073" w:rsidRDefault="005A255E" w:rsidP="00BA5073">
            <w:pPr>
              <w:keepNext/>
              <w:jc w:val="left"/>
              <w:rPr>
                <w:rFonts w:ascii="Arial Narrow" w:hAnsi="Arial Narrow"/>
                <w:b/>
                <w:bCs/>
                <w:sz w:val="20"/>
                <w:szCs w:val="20"/>
              </w:rPr>
            </w:pPr>
            <w:r w:rsidRPr="00E81073">
              <w:rPr>
                <w:rFonts w:ascii="Arial Narrow" w:hAnsi="Arial Narrow"/>
                <w:b/>
                <w:bCs/>
                <w:sz w:val="20"/>
                <w:szCs w:val="20"/>
              </w:rPr>
              <w:t>Any TEAEs</w:t>
            </w:r>
          </w:p>
        </w:tc>
        <w:tc>
          <w:tcPr>
            <w:tcW w:w="855" w:type="pct"/>
            <w:tcBorders>
              <w:top w:val="single" w:sz="4" w:space="0" w:color="auto"/>
              <w:bottom w:val="nil"/>
              <w:right w:val="single" w:sz="4" w:space="0" w:color="auto"/>
            </w:tcBorders>
            <w:vAlign w:val="center"/>
          </w:tcPr>
          <w:p w14:paraId="0A270F29" w14:textId="77777777" w:rsidR="005A255E" w:rsidRPr="00E81073" w:rsidRDefault="005A255E" w:rsidP="00BA5073">
            <w:pPr>
              <w:keepNext/>
              <w:jc w:val="center"/>
              <w:rPr>
                <w:rFonts w:ascii="Arial Narrow" w:hAnsi="Arial Narrow"/>
                <w:sz w:val="20"/>
                <w:szCs w:val="20"/>
              </w:rPr>
            </w:pPr>
          </w:p>
        </w:tc>
        <w:tc>
          <w:tcPr>
            <w:tcW w:w="855" w:type="pct"/>
            <w:tcBorders>
              <w:top w:val="single" w:sz="4" w:space="0" w:color="auto"/>
              <w:left w:val="single" w:sz="4" w:space="0" w:color="auto"/>
              <w:bottom w:val="nil"/>
              <w:right w:val="single" w:sz="4" w:space="0" w:color="auto"/>
            </w:tcBorders>
            <w:vAlign w:val="center"/>
          </w:tcPr>
          <w:p w14:paraId="177D5DF5" w14:textId="77777777" w:rsidR="005A255E" w:rsidRPr="00E81073" w:rsidRDefault="005A255E" w:rsidP="00BA5073">
            <w:pPr>
              <w:keepNext/>
              <w:jc w:val="center"/>
              <w:rPr>
                <w:rFonts w:ascii="Arial Narrow" w:hAnsi="Arial Narrow"/>
                <w:sz w:val="20"/>
                <w:szCs w:val="20"/>
              </w:rPr>
            </w:pPr>
          </w:p>
        </w:tc>
        <w:tc>
          <w:tcPr>
            <w:tcW w:w="856" w:type="pct"/>
            <w:tcBorders>
              <w:top w:val="single" w:sz="4" w:space="0" w:color="auto"/>
              <w:left w:val="single" w:sz="4" w:space="0" w:color="auto"/>
              <w:bottom w:val="nil"/>
              <w:right w:val="single" w:sz="4" w:space="0" w:color="auto"/>
            </w:tcBorders>
            <w:vAlign w:val="center"/>
          </w:tcPr>
          <w:p w14:paraId="3F8A2D1C" w14:textId="77777777" w:rsidR="005A255E" w:rsidRPr="00E81073" w:rsidRDefault="005A255E" w:rsidP="00BA5073">
            <w:pPr>
              <w:keepNext/>
              <w:jc w:val="center"/>
              <w:rPr>
                <w:rFonts w:ascii="Arial Narrow" w:hAnsi="Arial Narrow"/>
                <w:sz w:val="20"/>
                <w:szCs w:val="20"/>
              </w:rPr>
            </w:pPr>
          </w:p>
        </w:tc>
      </w:tr>
      <w:tr w:rsidR="005A255E" w:rsidRPr="00E81073" w14:paraId="7D6F9C04" w14:textId="77777777" w:rsidTr="00BA5073">
        <w:tc>
          <w:tcPr>
            <w:tcW w:w="2434" w:type="pct"/>
            <w:tcBorders>
              <w:top w:val="nil"/>
              <w:bottom w:val="nil"/>
            </w:tcBorders>
            <w:vAlign w:val="center"/>
          </w:tcPr>
          <w:p w14:paraId="73BC9EBD" w14:textId="40866759" w:rsidR="005A255E" w:rsidRPr="00E81073" w:rsidRDefault="005A255E" w:rsidP="00BA5073">
            <w:pPr>
              <w:keepNext/>
              <w:jc w:val="left"/>
              <w:rPr>
                <w:rFonts w:ascii="Arial Narrow" w:hAnsi="Arial Narrow"/>
                <w:bCs/>
                <w:sz w:val="20"/>
                <w:szCs w:val="20"/>
              </w:rPr>
            </w:pPr>
            <w:r w:rsidRPr="00E81073">
              <w:rPr>
                <w:rFonts w:ascii="Arial Narrow" w:hAnsi="Arial Narrow"/>
                <w:bCs/>
                <w:sz w:val="20"/>
                <w:szCs w:val="20"/>
              </w:rPr>
              <w:t xml:space="preserve">BKZ vs IXE </w:t>
            </w:r>
          </w:p>
        </w:tc>
        <w:tc>
          <w:tcPr>
            <w:tcW w:w="855" w:type="pct"/>
            <w:tcBorders>
              <w:top w:val="nil"/>
              <w:bottom w:val="nil"/>
              <w:right w:val="single" w:sz="4" w:space="0" w:color="auto"/>
            </w:tcBorders>
            <w:vAlign w:val="center"/>
          </w:tcPr>
          <w:p w14:paraId="2622B3C5" w14:textId="721880C6" w:rsidR="005A255E" w:rsidRPr="00E81073" w:rsidRDefault="005A255E" w:rsidP="00BA5073">
            <w:pPr>
              <w:keepNext/>
              <w:jc w:val="center"/>
              <w:rPr>
                <w:rFonts w:ascii="Arial Narrow" w:hAnsi="Arial Narrow"/>
                <w:sz w:val="20"/>
                <w:szCs w:val="20"/>
              </w:rPr>
            </w:pPr>
            <w:r w:rsidRPr="00E81073">
              <w:rPr>
                <w:rFonts w:ascii="Arial Narrow" w:hAnsi="Arial Narrow"/>
                <w:sz w:val="20"/>
                <w:szCs w:val="20"/>
              </w:rPr>
              <w:t>0.93 (0.66,</w:t>
            </w:r>
            <w:r w:rsidR="006C7168" w:rsidRPr="00E81073">
              <w:rPr>
                <w:rFonts w:ascii="Arial Narrow" w:hAnsi="Arial Narrow"/>
                <w:sz w:val="20"/>
                <w:szCs w:val="20"/>
              </w:rPr>
              <w:t xml:space="preserve"> </w:t>
            </w:r>
            <w:r w:rsidRPr="00E81073">
              <w:rPr>
                <w:rFonts w:ascii="Arial Narrow" w:hAnsi="Arial Narrow"/>
                <w:sz w:val="20"/>
                <w:szCs w:val="20"/>
              </w:rPr>
              <w:t>1.33)</w:t>
            </w:r>
          </w:p>
        </w:tc>
        <w:tc>
          <w:tcPr>
            <w:tcW w:w="855" w:type="pct"/>
            <w:tcBorders>
              <w:top w:val="nil"/>
              <w:left w:val="single" w:sz="4" w:space="0" w:color="auto"/>
              <w:bottom w:val="nil"/>
              <w:right w:val="single" w:sz="4" w:space="0" w:color="auto"/>
            </w:tcBorders>
            <w:vAlign w:val="center"/>
          </w:tcPr>
          <w:p w14:paraId="1C5750D4" w14:textId="0C205306" w:rsidR="005A255E" w:rsidRPr="00E81073" w:rsidRDefault="00F824FB" w:rsidP="00BA5073">
            <w:pPr>
              <w:keepNext/>
              <w:jc w:val="center"/>
              <w:rPr>
                <w:rFonts w:ascii="Arial Narrow" w:hAnsi="Arial Narrow"/>
                <w:sz w:val="20"/>
                <w:szCs w:val="20"/>
              </w:rPr>
            </w:pPr>
            <w:r w:rsidRPr="00E81073">
              <w:rPr>
                <w:rFonts w:ascii="Arial Narrow" w:hAnsi="Arial Narrow"/>
                <w:sz w:val="20"/>
                <w:szCs w:val="20"/>
              </w:rPr>
              <w:t>0.78 (0.38, 1.61)</w:t>
            </w:r>
          </w:p>
        </w:tc>
        <w:tc>
          <w:tcPr>
            <w:tcW w:w="856" w:type="pct"/>
            <w:tcBorders>
              <w:top w:val="nil"/>
              <w:left w:val="single" w:sz="4" w:space="0" w:color="auto"/>
              <w:bottom w:val="nil"/>
              <w:right w:val="single" w:sz="4" w:space="0" w:color="auto"/>
            </w:tcBorders>
            <w:vAlign w:val="center"/>
          </w:tcPr>
          <w:p w14:paraId="5CC49AB3" w14:textId="6FBFD879" w:rsidR="005A255E" w:rsidRPr="00E81073" w:rsidRDefault="00F824FB" w:rsidP="00BA5073">
            <w:pPr>
              <w:keepNext/>
              <w:jc w:val="center"/>
              <w:rPr>
                <w:rFonts w:ascii="Arial Narrow" w:hAnsi="Arial Narrow"/>
                <w:sz w:val="20"/>
                <w:szCs w:val="20"/>
              </w:rPr>
            </w:pPr>
            <w:r w:rsidRPr="00E81073">
              <w:rPr>
                <w:rFonts w:ascii="Arial Narrow" w:hAnsi="Arial Narrow"/>
                <w:sz w:val="20"/>
                <w:szCs w:val="20"/>
              </w:rPr>
              <w:t>-0.06 (-0.24, 0.12)</w:t>
            </w:r>
          </w:p>
        </w:tc>
      </w:tr>
      <w:tr w:rsidR="005A255E" w:rsidRPr="00E81073" w14:paraId="10132216" w14:textId="77777777" w:rsidTr="00BA5073">
        <w:tc>
          <w:tcPr>
            <w:tcW w:w="2434" w:type="pct"/>
            <w:tcBorders>
              <w:top w:val="single" w:sz="4" w:space="0" w:color="auto"/>
              <w:bottom w:val="nil"/>
            </w:tcBorders>
            <w:vAlign w:val="center"/>
          </w:tcPr>
          <w:p w14:paraId="3DC1413C" w14:textId="77777777" w:rsidR="005A255E" w:rsidRPr="00E81073" w:rsidRDefault="005A255E" w:rsidP="00BA5073">
            <w:pPr>
              <w:keepNext/>
              <w:jc w:val="left"/>
              <w:rPr>
                <w:rFonts w:ascii="Arial Narrow" w:hAnsi="Arial Narrow"/>
                <w:b/>
                <w:bCs/>
                <w:sz w:val="20"/>
                <w:szCs w:val="20"/>
              </w:rPr>
            </w:pPr>
            <w:r w:rsidRPr="00E81073">
              <w:rPr>
                <w:rFonts w:ascii="Arial Narrow" w:hAnsi="Arial Narrow"/>
                <w:b/>
                <w:bCs/>
                <w:sz w:val="20"/>
                <w:szCs w:val="20"/>
              </w:rPr>
              <w:t>Serious TEAEs</w:t>
            </w:r>
          </w:p>
        </w:tc>
        <w:tc>
          <w:tcPr>
            <w:tcW w:w="855" w:type="pct"/>
            <w:tcBorders>
              <w:top w:val="single" w:sz="4" w:space="0" w:color="auto"/>
              <w:bottom w:val="nil"/>
              <w:right w:val="single" w:sz="4" w:space="0" w:color="auto"/>
            </w:tcBorders>
            <w:vAlign w:val="center"/>
          </w:tcPr>
          <w:p w14:paraId="39F07756" w14:textId="77777777" w:rsidR="005A255E" w:rsidRPr="00E81073" w:rsidRDefault="005A255E" w:rsidP="00BA5073">
            <w:pPr>
              <w:keepNext/>
              <w:jc w:val="center"/>
              <w:rPr>
                <w:rFonts w:ascii="Arial Narrow" w:hAnsi="Arial Narrow"/>
                <w:sz w:val="20"/>
                <w:szCs w:val="20"/>
              </w:rPr>
            </w:pPr>
          </w:p>
        </w:tc>
        <w:tc>
          <w:tcPr>
            <w:tcW w:w="855" w:type="pct"/>
            <w:tcBorders>
              <w:top w:val="single" w:sz="4" w:space="0" w:color="auto"/>
              <w:left w:val="single" w:sz="4" w:space="0" w:color="auto"/>
              <w:bottom w:val="nil"/>
              <w:right w:val="single" w:sz="4" w:space="0" w:color="auto"/>
            </w:tcBorders>
            <w:vAlign w:val="center"/>
          </w:tcPr>
          <w:p w14:paraId="591EDE3B" w14:textId="77777777" w:rsidR="005A255E" w:rsidRPr="00E81073" w:rsidRDefault="005A255E" w:rsidP="00BA5073">
            <w:pPr>
              <w:keepNext/>
              <w:jc w:val="center"/>
              <w:rPr>
                <w:rFonts w:ascii="Arial Narrow" w:hAnsi="Arial Narrow"/>
                <w:sz w:val="20"/>
                <w:szCs w:val="20"/>
              </w:rPr>
            </w:pPr>
          </w:p>
        </w:tc>
        <w:tc>
          <w:tcPr>
            <w:tcW w:w="856" w:type="pct"/>
            <w:tcBorders>
              <w:top w:val="single" w:sz="4" w:space="0" w:color="auto"/>
              <w:left w:val="single" w:sz="4" w:space="0" w:color="auto"/>
              <w:bottom w:val="nil"/>
              <w:right w:val="single" w:sz="4" w:space="0" w:color="auto"/>
            </w:tcBorders>
            <w:vAlign w:val="center"/>
          </w:tcPr>
          <w:p w14:paraId="10405BEC" w14:textId="1C3C2C02" w:rsidR="005A255E" w:rsidRPr="00E81073" w:rsidRDefault="005A255E" w:rsidP="00BA5073">
            <w:pPr>
              <w:keepNext/>
              <w:jc w:val="center"/>
              <w:rPr>
                <w:rFonts w:ascii="Arial Narrow" w:hAnsi="Arial Narrow"/>
                <w:sz w:val="20"/>
                <w:szCs w:val="20"/>
              </w:rPr>
            </w:pPr>
          </w:p>
        </w:tc>
      </w:tr>
      <w:tr w:rsidR="005A255E" w:rsidRPr="00E81073" w14:paraId="776BD79A" w14:textId="77777777" w:rsidTr="00BA5073">
        <w:tc>
          <w:tcPr>
            <w:tcW w:w="2434" w:type="pct"/>
            <w:tcBorders>
              <w:top w:val="nil"/>
              <w:bottom w:val="single" w:sz="4" w:space="0" w:color="auto"/>
            </w:tcBorders>
            <w:vAlign w:val="center"/>
          </w:tcPr>
          <w:p w14:paraId="490F660E" w14:textId="72F2F0C0" w:rsidR="005A255E" w:rsidRPr="00E81073" w:rsidRDefault="005A255E" w:rsidP="00BA5073">
            <w:pPr>
              <w:keepNext/>
              <w:jc w:val="left"/>
              <w:rPr>
                <w:rFonts w:ascii="Arial Narrow" w:hAnsi="Arial Narrow"/>
                <w:sz w:val="20"/>
                <w:szCs w:val="20"/>
              </w:rPr>
            </w:pPr>
            <w:r w:rsidRPr="00E81073">
              <w:rPr>
                <w:rFonts w:ascii="Arial Narrow" w:hAnsi="Arial Narrow"/>
                <w:bCs/>
                <w:sz w:val="20"/>
                <w:szCs w:val="20"/>
              </w:rPr>
              <w:t xml:space="preserve">BKZ vs IXE </w:t>
            </w:r>
          </w:p>
        </w:tc>
        <w:tc>
          <w:tcPr>
            <w:tcW w:w="855" w:type="pct"/>
            <w:tcBorders>
              <w:top w:val="nil"/>
              <w:bottom w:val="single" w:sz="4" w:space="0" w:color="auto"/>
              <w:right w:val="single" w:sz="4" w:space="0" w:color="auto"/>
            </w:tcBorders>
            <w:vAlign w:val="center"/>
          </w:tcPr>
          <w:p w14:paraId="6ECB0C89" w14:textId="0FABB471" w:rsidR="005A255E" w:rsidRPr="00E81073" w:rsidRDefault="005A255E" w:rsidP="00BA5073">
            <w:pPr>
              <w:keepNext/>
              <w:jc w:val="center"/>
              <w:rPr>
                <w:rFonts w:ascii="Arial Narrow" w:hAnsi="Arial Narrow"/>
                <w:sz w:val="20"/>
                <w:szCs w:val="20"/>
              </w:rPr>
            </w:pPr>
            <w:r w:rsidRPr="00E81073">
              <w:rPr>
                <w:rFonts w:ascii="Arial Narrow" w:hAnsi="Arial Narrow"/>
                <w:sz w:val="20"/>
                <w:szCs w:val="20"/>
              </w:rPr>
              <w:t>1.31 (0.22,</w:t>
            </w:r>
            <w:r w:rsidR="006C7168" w:rsidRPr="00E81073">
              <w:rPr>
                <w:rFonts w:ascii="Arial Narrow" w:hAnsi="Arial Narrow"/>
                <w:sz w:val="20"/>
                <w:szCs w:val="20"/>
              </w:rPr>
              <w:t xml:space="preserve"> </w:t>
            </w:r>
            <w:r w:rsidRPr="00E81073">
              <w:rPr>
                <w:rFonts w:ascii="Arial Narrow" w:hAnsi="Arial Narrow"/>
                <w:sz w:val="20"/>
                <w:szCs w:val="20"/>
              </w:rPr>
              <w:t>7.64)</w:t>
            </w:r>
          </w:p>
        </w:tc>
        <w:tc>
          <w:tcPr>
            <w:tcW w:w="855" w:type="pct"/>
            <w:tcBorders>
              <w:top w:val="nil"/>
              <w:left w:val="single" w:sz="4" w:space="0" w:color="auto"/>
              <w:bottom w:val="single" w:sz="4" w:space="0" w:color="auto"/>
              <w:right w:val="single" w:sz="4" w:space="0" w:color="auto"/>
            </w:tcBorders>
            <w:vAlign w:val="center"/>
          </w:tcPr>
          <w:p w14:paraId="7EACE1B8" w14:textId="01A69289" w:rsidR="005A255E" w:rsidRPr="00E81073" w:rsidRDefault="00F824FB" w:rsidP="00BA5073">
            <w:pPr>
              <w:keepNext/>
              <w:jc w:val="center"/>
              <w:rPr>
                <w:rFonts w:ascii="Arial Narrow" w:hAnsi="Arial Narrow"/>
                <w:sz w:val="20"/>
                <w:szCs w:val="20"/>
              </w:rPr>
            </w:pPr>
            <w:r w:rsidRPr="00E81073">
              <w:rPr>
                <w:rFonts w:ascii="Arial Narrow" w:hAnsi="Arial Narrow"/>
                <w:sz w:val="20"/>
                <w:szCs w:val="20"/>
              </w:rPr>
              <w:t>1.30 (0.21, 7.96)</w:t>
            </w:r>
          </w:p>
        </w:tc>
        <w:tc>
          <w:tcPr>
            <w:tcW w:w="856" w:type="pct"/>
            <w:tcBorders>
              <w:top w:val="nil"/>
              <w:left w:val="single" w:sz="4" w:space="0" w:color="auto"/>
              <w:bottom w:val="single" w:sz="4" w:space="0" w:color="auto"/>
              <w:right w:val="single" w:sz="4" w:space="0" w:color="auto"/>
            </w:tcBorders>
            <w:vAlign w:val="center"/>
          </w:tcPr>
          <w:p w14:paraId="495C5D15" w14:textId="1E8CEA5B" w:rsidR="005A255E" w:rsidRPr="00E81073" w:rsidRDefault="00F824FB" w:rsidP="00BA5073">
            <w:pPr>
              <w:keepNext/>
              <w:jc w:val="center"/>
              <w:rPr>
                <w:rFonts w:ascii="Arial Narrow" w:hAnsi="Arial Narrow"/>
                <w:sz w:val="20"/>
                <w:szCs w:val="20"/>
              </w:rPr>
            </w:pPr>
            <w:r w:rsidRPr="00E81073">
              <w:rPr>
                <w:rFonts w:ascii="Arial Narrow" w:hAnsi="Arial Narrow"/>
                <w:sz w:val="20"/>
                <w:szCs w:val="20"/>
              </w:rPr>
              <w:t>0.00 (-0.05, 0.05)</w:t>
            </w:r>
          </w:p>
        </w:tc>
      </w:tr>
      <w:tr w:rsidR="005A255E" w:rsidRPr="00E81073" w14:paraId="5BE3E117" w14:textId="77777777" w:rsidTr="00BA5073">
        <w:tc>
          <w:tcPr>
            <w:tcW w:w="2434" w:type="pct"/>
            <w:tcBorders>
              <w:top w:val="single" w:sz="4" w:space="0" w:color="auto"/>
              <w:bottom w:val="nil"/>
            </w:tcBorders>
            <w:vAlign w:val="center"/>
          </w:tcPr>
          <w:p w14:paraId="7F3B1B23" w14:textId="77777777" w:rsidR="005A255E" w:rsidRPr="00E81073" w:rsidRDefault="005A255E" w:rsidP="00BA5073">
            <w:pPr>
              <w:keepNext/>
              <w:jc w:val="left"/>
              <w:rPr>
                <w:rFonts w:ascii="Arial Narrow" w:hAnsi="Arial Narrow"/>
                <w:b/>
                <w:bCs/>
                <w:sz w:val="20"/>
                <w:szCs w:val="20"/>
              </w:rPr>
            </w:pPr>
            <w:r w:rsidRPr="00E81073">
              <w:rPr>
                <w:rFonts w:ascii="Arial Narrow" w:hAnsi="Arial Narrow"/>
                <w:b/>
                <w:bCs/>
                <w:sz w:val="20"/>
                <w:szCs w:val="20"/>
              </w:rPr>
              <w:t>Disc. due to TEAEs</w:t>
            </w:r>
          </w:p>
        </w:tc>
        <w:tc>
          <w:tcPr>
            <w:tcW w:w="855" w:type="pct"/>
            <w:tcBorders>
              <w:top w:val="single" w:sz="4" w:space="0" w:color="auto"/>
              <w:bottom w:val="nil"/>
              <w:right w:val="single" w:sz="4" w:space="0" w:color="auto"/>
            </w:tcBorders>
            <w:vAlign w:val="center"/>
          </w:tcPr>
          <w:p w14:paraId="198D1902" w14:textId="77777777" w:rsidR="005A255E" w:rsidRPr="00E81073" w:rsidRDefault="005A255E" w:rsidP="00BA5073">
            <w:pPr>
              <w:keepNext/>
              <w:jc w:val="center"/>
              <w:rPr>
                <w:rFonts w:ascii="Arial Narrow" w:hAnsi="Arial Narrow"/>
                <w:sz w:val="20"/>
                <w:szCs w:val="20"/>
              </w:rPr>
            </w:pPr>
          </w:p>
        </w:tc>
        <w:tc>
          <w:tcPr>
            <w:tcW w:w="855" w:type="pct"/>
            <w:tcBorders>
              <w:top w:val="single" w:sz="4" w:space="0" w:color="auto"/>
              <w:left w:val="single" w:sz="4" w:space="0" w:color="auto"/>
              <w:bottom w:val="nil"/>
              <w:right w:val="single" w:sz="4" w:space="0" w:color="auto"/>
            </w:tcBorders>
            <w:vAlign w:val="center"/>
          </w:tcPr>
          <w:p w14:paraId="55052EFA" w14:textId="77777777" w:rsidR="005A255E" w:rsidRPr="00E81073" w:rsidRDefault="005A255E" w:rsidP="00BA5073">
            <w:pPr>
              <w:keepNext/>
              <w:jc w:val="center"/>
              <w:rPr>
                <w:rFonts w:ascii="Arial Narrow" w:hAnsi="Arial Narrow"/>
                <w:sz w:val="20"/>
                <w:szCs w:val="20"/>
              </w:rPr>
            </w:pPr>
          </w:p>
        </w:tc>
        <w:tc>
          <w:tcPr>
            <w:tcW w:w="856" w:type="pct"/>
            <w:tcBorders>
              <w:top w:val="single" w:sz="4" w:space="0" w:color="auto"/>
              <w:left w:val="single" w:sz="4" w:space="0" w:color="auto"/>
              <w:bottom w:val="nil"/>
              <w:right w:val="single" w:sz="4" w:space="0" w:color="auto"/>
            </w:tcBorders>
            <w:vAlign w:val="center"/>
          </w:tcPr>
          <w:p w14:paraId="42E81113" w14:textId="00DBE3D0" w:rsidR="005A255E" w:rsidRPr="00E81073" w:rsidRDefault="005A255E" w:rsidP="00BA5073">
            <w:pPr>
              <w:keepNext/>
              <w:jc w:val="center"/>
              <w:rPr>
                <w:rFonts w:ascii="Arial Narrow" w:hAnsi="Arial Narrow"/>
                <w:sz w:val="20"/>
                <w:szCs w:val="20"/>
              </w:rPr>
            </w:pPr>
          </w:p>
        </w:tc>
      </w:tr>
      <w:tr w:rsidR="005A255E" w:rsidRPr="00E81073" w14:paraId="2FF65438" w14:textId="77777777" w:rsidTr="00BA5073">
        <w:tc>
          <w:tcPr>
            <w:tcW w:w="2434" w:type="pct"/>
            <w:tcBorders>
              <w:top w:val="nil"/>
            </w:tcBorders>
            <w:vAlign w:val="center"/>
          </w:tcPr>
          <w:p w14:paraId="503F0B5E" w14:textId="588A6363" w:rsidR="005A255E" w:rsidRPr="00E81073" w:rsidRDefault="005A255E" w:rsidP="00BA5073">
            <w:pPr>
              <w:keepNext/>
              <w:jc w:val="left"/>
              <w:rPr>
                <w:rFonts w:ascii="Arial Narrow" w:hAnsi="Arial Narrow"/>
                <w:sz w:val="20"/>
                <w:szCs w:val="20"/>
              </w:rPr>
            </w:pPr>
            <w:r w:rsidRPr="00E81073">
              <w:rPr>
                <w:rFonts w:ascii="Arial Narrow" w:hAnsi="Arial Narrow"/>
                <w:bCs/>
                <w:sz w:val="20"/>
                <w:szCs w:val="20"/>
              </w:rPr>
              <w:t xml:space="preserve">BKZ vs IXE </w:t>
            </w:r>
          </w:p>
        </w:tc>
        <w:tc>
          <w:tcPr>
            <w:tcW w:w="855" w:type="pct"/>
            <w:tcBorders>
              <w:top w:val="nil"/>
              <w:bottom w:val="single" w:sz="4" w:space="0" w:color="auto"/>
              <w:right w:val="single" w:sz="4" w:space="0" w:color="auto"/>
            </w:tcBorders>
            <w:vAlign w:val="center"/>
          </w:tcPr>
          <w:p w14:paraId="1DA3F116" w14:textId="49692E41" w:rsidR="005A255E" w:rsidRPr="00E81073" w:rsidRDefault="005A255E" w:rsidP="00BA5073">
            <w:pPr>
              <w:keepNext/>
              <w:jc w:val="center"/>
              <w:rPr>
                <w:rFonts w:ascii="Arial Narrow" w:hAnsi="Arial Narrow"/>
                <w:sz w:val="20"/>
                <w:szCs w:val="20"/>
              </w:rPr>
            </w:pPr>
            <w:r w:rsidRPr="00E81073">
              <w:rPr>
                <w:rFonts w:ascii="Arial Narrow" w:hAnsi="Arial Narrow"/>
                <w:sz w:val="20"/>
                <w:szCs w:val="20"/>
              </w:rPr>
              <w:t>1.65 (0.38,</w:t>
            </w:r>
            <w:r w:rsidR="00F824FB" w:rsidRPr="00E81073">
              <w:rPr>
                <w:rFonts w:ascii="Arial Narrow" w:hAnsi="Arial Narrow"/>
                <w:sz w:val="20"/>
                <w:szCs w:val="20"/>
              </w:rPr>
              <w:t xml:space="preserve"> </w:t>
            </w:r>
            <w:r w:rsidRPr="00E81073">
              <w:rPr>
                <w:rFonts w:ascii="Arial Narrow" w:hAnsi="Arial Narrow"/>
                <w:sz w:val="20"/>
                <w:szCs w:val="20"/>
              </w:rPr>
              <w:t>7.15)</w:t>
            </w:r>
          </w:p>
        </w:tc>
        <w:tc>
          <w:tcPr>
            <w:tcW w:w="855" w:type="pct"/>
            <w:tcBorders>
              <w:top w:val="nil"/>
              <w:left w:val="single" w:sz="4" w:space="0" w:color="auto"/>
              <w:bottom w:val="single" w:sz="4" w:space="0" w:color="auto"/>
              <w:right w:val="single" w:sz="4" w:space="0" w:color="auto"/>
            </w:tcBorders>
            <w:vAlign w:val="center"/>
          </w:tcPr>
          <w:p w14:paraId="3564ADF6" w14:textId="20AA2B0E" w:rsidR="005A255E" w:rsidRPr="00E81073" w:rsidRDefault="00F824FB" w:rsidP="00BA5073">
            <w:pPr>
              <w:keepNext/>
              <w:jc w:val="center"/>
              <w:rPr>
                <w:rFonts w:ascii="Arial Narrow" w:hAnsi="Arial Narrow"/>
                <w:sz w:val="20"/>
                <w:szCs w:val="20"/>
              </w:rPr>
            </w:pPr>
            <w:r w:rsidRPr="00E81073">
              <w:rPr>
                <w:rFonts w:ascii="Arial Narrow" w:hAnsi="Arial Narrow"/>
                <w:sz w:val="20"/>
                <w:szCs w:val="20"/>
              </w:rPr>
              <w:t>1.66 (0.37, 7.49)</w:t>
            </w:r>
          </w:p>
        </w:tc>
        <w:tc>
          <w:tcPr>
            <w:tcW w:w="856" w:type="pct"/>
            <w:tcBorders>
              <w:top w:val="nil"/>
              <w:left w:val="single" w:sz="4" w:space="0" w:color="auto"/>
              <w:bottom w:val="single" w:sz="4" w:space="0" w:color="auto"/>
              <w:right w:val="single" w:sz="4" w:space="0" w:color="auto"/>
            </w:tcBorders>
            <w:vAlign w:val="center"/>
          </w:tcPr>
          <w:p w14:paraId="72728F74" w14:textId="792ED4F9" w:rsidR="005A255E" w:rsidRPr="00E81073" w:rsidRDefault="00F824FB" w:rsidP="00BA5073">
            <w:pPr>
              <w:keepNext/>
              <w:jc w:val="center"/>
              <w:rPr>
                <w:rFonts w:ascii="Arial Narrow" w:hAnsi="Arial Narrow"/>
                <w:sz w:val="20"/>
                <w:szCs w:val="20"/>
              </w:rPr>
            </w:pPr>
            <w:r w:rsidRPr="00E81073">
              <w:rPr>
                <w:rFonts w:ascii="Arial Narrow" w:hAnsi="Arial Narrow"/>
                <w:sz w:val="20"/>
                <w:szCs w:val="20"/>
              </w:rPr>
              <w:t>0.01 (-0.02, 0.04)</w:t>
            </w:r>
          </w:p>
        </w:tc>
      </w:tr>
    </w:tbl>
    <w:p w14:paraId="1809C495" w14:textId="77777777" w:rsidR="005A255E" w:rsidRPr="00E81073" w:rsidRDefault="005A255E" w:rsidP="005A255E">
      <w:pPr>
        <w:rPr>
          <w:rFonts w:ascii="Arial Narrow" w:hAnsi="Arial Narrow"/>
          <w:sz w:val="18"/>
          <w:szCs w:val="16"/>
        </w:rPr>
      </w:pPr>
      <w:r w:rsidRPr="00E81073">
        <w:rPr>
          <w:rFonts w:ascii="Arial Narrow" w:hAnsi="Arial Narrow"/>
          <w:sz w:val="18"/>
          <w:szCs w:val="16"/>
        </w:rPr>
        <w:t>Source: Figures 2.64, 2.65 and 2.66, pp179-181 of the submission</w:t>
      </w:r>
    </w:p>
    <w:p w14:paraId="49C7529B" w14:textId="5769FADC" w:rsidR="005A255E" w:rsidRPr="00E81073" w:rsidRDefault="00FF4C25" w:rsidP="005A255E">
      <w:pPr>
        <w:rPr>
          <w:rFonts w:ascii="Arial Narrow" w:hAnsi="Arial Narrow"/>
          <w:color w:val="000000" w:themeColor="text1"/>
          <w:sz w:val="18"/>
          <w:szCs w:val="16"/>
        </w:rPr>
      </w:pPr>
      <w:r w:rsidRPr="00E81073">
        <w:rPr>
          <w:rFonts w:ascii="Arial Narrow" w:hAnsi="Arial Narrow"/>
          <w:color w:val="000000" w:themeColor="text1"/>
          <w:sz w:val="18"/>
          <w:szCs w:val="16"/>
        </w:rPr>
        <w:t xml:space="preserve">BKZ=bimekizumab; </w:t>
      </w:r>
      <w:r w:rsidRPr="00E81073">
        <w:rPr>
          <w:rFonts w:ascii="Arial Narrow" w:hAnsi="Arial Narrow"/>
          <w:sz w:val="18"/>
          <w:szCs w:val="16"/>
        </w:rPr>
        <w:t xml:space="preserve">CI=confidence interval; Disc=discontinued; </w:t>
      </w:r>
      <w:r w:rsidRPr="00E81073">
        <w:rPr>
          <w:rFonts w:ascii="Arial Narrow" w:hAnsi="Arial Narrow"/>
          <w:color w:val="000000" w:themeColor="text1"/>
          <w:sz w:val="18"/>
          <w:szCs w:val="16"/>
        </w:rPr>
        <w:t xml:space="preserve">IXE=ixekizumab; </w:t>
      </w:r>
      <w:r w:rsidRPr="00E81073">
        <w:rPr>
          <w:rFonts w:ascii="Arial Narrow" w:hAnsi="Arial Narrow"/>
          <w:sz w:val="18"/>
          <w:szCs w:val="16"/>
        </w:rPr>
        <w:t>OR=odds ratio;</w:t>
      </w:r>
      <w:r w:rsidRPr="00E81073">
        <w:rPr>
          <w:rFonts w:ascii="Arial Narrow" w:hAnsi="Arial Narrow"/>
          <w:color w:val="000000" w:themeColor="text1"/>
          <w:sz w:val="18"/>
          <w:szCs w:val="16"/>
        </w:rPr>
        <w:t xml:space="preserve"> PBO=placebo; </w:t>
      </w:r>
      <w:r w:rsidRPr="00E81073">
        <w:rPr>
          <w:rFonts w:ascii="Arial Narrow" w:hAnsi="Arial Narrow"/>
          <w:sz w:val="18"/>
          <w:szCs w:val="16"/>
        </w:rPr>
        <w:t>RD=risk difference; RR=risk ratio; TEAE=treatment-emergent adverse event</w:t>
      </w:r>
    </w:p>
    <w:p w14:paraId="04908C7F" w14:textId="415B9B7D" w:rsidR="007F1017" w:rsidRPr="00E81073" w:rsidRDefault="007F1017" w:rsidP="00D86231">
      <w:pPr>
        <w:pStyle w:val="4-SubsectionHeading"/>
      </w:pPr>
      <w:bookmarkStart w:id="38" w:name="_Toc22897643"/>
      <w:bookmarkStart w:id="39" w:name="_Toc156894675"/>
      <w:r w:rsidRPr="00E81073">
        <w:t>Benefits/harms</w:t>
      </w:r>
      <w:bookmarkEnd w:id="38"/>
      <w:bookmarkEnd w:id="39"/>
    </w:p>
    <w:p w14:paraId="63A963ED" w14:textId="02513AEC" w:rsidR="00E00DF0" w:rsidRPr="00E81073" w:rsidRDefault="005747DF" w:rsidP="005747DF">
      <w:pPr>
        <w:pStyle w:val="3-BodyText"/>
      </w:pPr>
      <w:r w:rsidRPr="005E2177">
        <w:rPr>
          <w:snapToGrid/>
        </w:rPr>
        <w:t xml:space="preserve">A benefits and harms table </w:t>
      </w:r>
      <w:proofErr w:type="gramStart"/>
      <w:r w:rsidRPr="005E2177">
        <w:rPr>
          <w:snapToGrid/>
        </w:rPr>
        <w:t>is</w:t>
      </w:r>
      <w:proofErr w:type="gramEnd"/>
      <w:r w:rsidRPr="005E2177">
        <w:rPr>
          <w:snapToGrid/>
        </w:rPr>
        <w:t xml:space="preserve"> not presented as the submission made a claim of non-inferiority.</w:t>
      </w:r>
    </w:p>
    <w:p w14:paraId="7A1772B6" w14:textId="06949140" w:rsidR="00B60939" w:rsidRPr="00E81073" w:rsidRDefault="00B60939" w:rsidP="00E9094A">
      <w:pPr>
        <w:pStyle w:val="4-SubsectionHeading"/>
      </w:pPr>
      <w:bookmarkStart w:id="40" w:name="_Toc22897644"/>
      <w:bookmarkStart w:id="41" w:name="_Toc156894676"/>
      <w:r w:rsidRPr="00E81073">
        <w:t>Clinical claim</w:t>
      </w:r>
      <w:bookmarkEnd w:id="40"/>
      <w:bookmarkEnd w:id="41"/>
    </w:p>
    <w:p w14:paraId="045C891D" w14:textId="7CD42A48" w:rsidR="00687033" w:rsidRPr="00E81073" w:rsidRDefault="0096674B" w:rsidP="005747DF">
      <w:pPr>
        <w:pStyle w:val="3-BodyText"/>
        <w:rPr>
          <w:rFonts w:eastAsia="Calibri"/>
        </w:rPr>
      </w:pPr>
      <w:r w:rsidRPr="00E81073">
        <w:rPr>
          <w:rFonts w:eastAsia="Calibri"/>
        </w:rPr>
        <w:t xml:space="preserve">The submission described </w:t>
      </w:r>
      <w:r w:rsidR="005747DF" w:rsidRPr="00E81073">
        <w:rPr>
          <w:rFonts w:eastAsia="Calibri"/>
        </w:rPr>
        <w:t>BKZ</w:t>
      </w:r>
      <w:r w:rsidRPr="00E81073">
        <w:rPr>
          <w:rFonts w:eastAsia="Calibri"/>
        </w:rPr>
        <w:t xml:space="preserve"> </w:t>
      </w:r>
      <w:r w:rsidR="00F02F20" w:rsidRPr="00E81073">
        <w:rPr>
          <w:rFonts w:eastAsia="Calibri"/>
        </w:rPr>
        <w:t xml:space="preserve">as </w:t>
      </w:r>
      <w:r w:rsidR="00BF331C" w:rsidRPr="00E81073">
        <w:rPr>
          <w:rFonts w:eastAsia="Calibri"/>
        </w:rPr>
        <w:t>at least non-inf</w:t>
      </w:r>
      <w:r w:rsidRPr="00E81073">
        <w:rPr>
          <w:rFonts w:eastAsia="Calibri"/>
        </w:rPr>
        <w:t xml:space="preserve">erior in terms of </w:t>
      </w:r>
      <w:r w:rsidR="00AE7385" w:rsidRPr="00E81073">
        <w:rPr>
          <w:rFonts w:eastAsia="Calibri"/>
        </w:rPr>
        <w:t>effectiveness</w:t>
      </w:r>
      <w:r w:rsidRPr="00E81073">
        <w:rPr>
          <w:rFonts w:eastAsia="Calibri"/>
        </w:rPr>
        <w:t xml:space="preserve"> </w:t>
      </w:r>
      <w:r w:rsidR="005747DF" w:rsidRPr="00E81073">
        <w:rPr>
          <w:rFonts w:eastAsia="Calibri"/>
        </w:rPr>
        <w:t>and non-inferior in terms of safety compared to IXE</w:t>
      </w:r>
      <w:r w:rsidRPr="00E81073">
        <w:rPr>
          <w:rFonts w:eastAsia="Calibri"/>
        </w:rPr>
        <w:t>.</w:t>
      </w:r>
      <w:r w:rsidR="00F02F20" w:rsidRPr="00E81073">
        <w:rPr>
          <w:rFonts w:eastAsia="Calibri"/>
        </w:rPr>
        <w:t xml:space="preserve"> The submission noted that response rates in terms of ACR 50 and ACR 20 were similar across the two treatments, and response rates in terms of PASI 90 and PASI 75 were numerically </w:t>
      </w:r>
      <w:r w:rsidR="00770B78" w:rsidRPr="00E81073">
        <w:rPr>
          <w:rFonts w:eastAsia="Calibri"/>
        </w:rPr>
        <w:t>better</w:t>
      </w:r>
      <w:r w:rsidR="00F02F20" w:rsidRPr="00E81073">
        <w:rPr>
          <w:rFonts w:eastAsia="Calibri"/>
        </w:rPr>
        <w:t xml:space="preserve"> for BKZ compared to IXE. </w:t>
      </w:r>
      <w:r w:rsidR="00950243" w:rsidRPr="00E81073">
        <w:rPr>
          <w:rFonts w:eastAsia="Calibri"/>
        </w:rPr>
        <w:t>Th</w:t>
      </w:r>
      <w:r w:rsidR="005747DF" w:rsidRPr="00E81073">
        <w:rPr>
          <w:rFonts w:eastAsia="Calibri"/>
        </w:rPr>
        <w:t>is claim was adequately supported</w:t>
      </w:r>
      <w:r w:rsidR="00F02F20" w:rsidRPr="00E81073">
        <w:rPr>
          <w:rFonts w:eastAsia="Calibri"/>
        </w:rPr>
        <w:t xml:space="preserve">, although the clinical interpretation of the PASI outcomes was poorly justified given </w:t>
      </w:r>
      <w:r w:rsidR="00EE6D52" w:rsidRPr="00E81073">
        <w:rPr>
          <w:rFonts w:eastAsia="Calibri"/>
        </w:rPr>
        <w:t xml:space="preserve">the point estimates </w:t>
      </w:r>
      <w:r w:rsidR="00D427EA" w:rsidRPr="00E81073">
        <w:rPr>
          <w:rFonts w:eastAsia="Calibri"/>
        </w:rPr>
        <w:t xml:space="preserve">did not always favour BKZ and varied </w:t>
      </w:r>
      <w:r w:rsidR="00EE6D52" w:rsidRPr="00E81073">
        <w:rPr>
          <w:rFonts w:eastAsia="Calibri"/>
        </w:rPr>
        <w:t xml:space="preserve">depending on the risk statistic, outcome and common </w:t>
      </w:r>
      <w:r w:rsidR="00D427EA" w:rsidRPr="00E81073">
        <w:rPr>
          <w:rFonts w:eastAsia="Calibri"/>
        </w:rPr>
        <w:t>reference used for the indirect treatment comparison</w:t>
      </w:r>
      <w:r w:rsidR="00EE6D52" w:rsidRPr="00E81073">
        <w:rPr>
          <w:rFonts w:eastAsia="Calibri"/>
        </w:rPr>
        <w:t xml:space="preserve">. </w:t>
      </w:r>
      <w:r w:rsidR="00F02F20" w:rsidRPr="00E81073">
        <w:rPr>
          <w:rFonts w:eastAsia="Calibri"/>
        </w:rPr>
        <w:t>The submission did not make any claim between BKZ versus other alternative b/tsDMARDs.</w:t>
      </w:r>
      <w:r w:rsidR="00ED254B" w:rsidRPr="00E81073">
        <w:rPr>
          <w:rFonts w:eastAsia="Calibri"/>
        </w:rPr>
        <w:t xml:space="preserve"> </w:t>
      </w:r>
    </w:p>
    <w:p w14:paraId="42F33064" w14:textId="6D003738" w:rsidR="00ED254B" w:rsidRPr="00E81073" w:rsidRDefault="00ED254B" w:rsidP="00ED254B">
      <w:pPr>
        <w:widowControl w:val="0"/>
        <w:numPr>
          <w:ilvl w:val="1"/>
          <w:numId w:val="1"/>
        </w:numPr>
        <w:spacing w:after="120"/>
        <w:rPr>
          <w:rFonts w:asciiTheme="minorHAnsi" w:hAnsiTheme="minorHAnsi"/>
          <w:snapToGrid w:val="0"/>
          <w:szCs w:val="20"/>
        </w:rPr>
      </w:pPr>
      <w:bookmarkStart w:id="42" w:name="_Hlk76376200"/>
      <w:r w:rsidRPr="00E81073">
        <w:rPr>
          <w:rFonts w:asciiTheme="minorHAnsi" w:hAnsiTheme="minorHAnsi"/>
          <w:iCs/>
          <w:snapToGrid w:val="0"/>
        </w:rPr>
        <w:t>The</w:t>
      </w:r>
      <w:r w:rsidRPr="00E81073">
        <w:rPr>
          <w:rFonts w:asciiTheme="minorHAnsi" w:hAnsiTheme="minorHAnsi"/>
          <w:snapToGrid w:val="0"/>
          <w:szCs w:val="20"/>
        </w:rPr>
        <w:t xml:space="preserve"> PBAC considered that the claim of non-inferior comparative effectiveness</w:t>
      </w:r>
      <w:r w:rsidR="00837537" w:rsidRPr="00E81073">
        <w:rPr>
          <w:rFonts w:asciiTheme="minorHAnsi" w:hAnsiTheme="minorHAnsi"/>
          <w:snapToGrid w:val="0"/>
          <w:szCs w:val="20"/>
        </w:rPr>
        <w:t xml:space="preserve"> and safety to ixekizumab</w:t>
      </w:r>
      <w:r w:rsidRPr="00E81073">
        <w:rPr>
          <w:rFonts w:asciiTheme="minorHAnsi" w:hAnsiTheme="minorHAnsi"/>
          <w:snapToGrid w:val="0"/>
          <w:szCs w:val="20"/>
        </w:rPr>
        <w:t xml:space="preserve"> was reasonable</w:t>
      </w:r>
      <w:r w:rsidR="00837537" w:rsidRPr="00E81073">
        <w:rPr>
          <w:rFonts w:asciiTheme="minorHAnsi" w:hAnsiTheme="minorHAnsi"/>
          <w:snapToGrid w:val="0"/>
          <w:szCs w:val="20"/>
        </w:rPr>
        <w:t>.</w:t>
      </w:r>
    </w:p>
    <w:p w14:paraId="74A1172E" w14:textId="128C170E" w:rsidR="00B60939" w:rsidRPr="00E81073" w:rsidRDefault="00B60939" w:rsidP="00E9094A">
      <w:pPr>
        <w:pStyle w:val="4-SubsectionHeading"/>
      </w:pPr>
      <w:bookmarkStart w:id="43" w:name="_Toc22897645"/>
      <w:bookmarkStart w:id="44" w:name="_Toc156894677"/>
      <w:bookmarkEnd w:id="42"/>
      <w:r w:rsidRPr="00E81073">
        <w:t>Economic analysis</w:t>
      </w:r>
      <w:bookmarkEnd w:id="43"/>
      <w:bookmarkEnd w:id="44"/>
      <w:r w:rsidR="00491B3A" w:rsidRPr="00E81073">
        <w:t xml:space="preserve"> </w:t>
      </w:r>
    </w:p>
    <w:p w14:paraId="3F20A9B6" w14:textId="77777777" w:rsidR="00700988" w:rsidRPr="00E81073" w:rsidRDefault="00700988" w:rsidP="00700988">
      <w:pPr>
        <w:pStyle w:val="3-BodyText"/>
        <w:rPr>
          <w:i/>
          <w:iCs/>
          <w:snapToGrid/>
        </w:rPr>
      </w:pPr>
      <w:bookmarkStart w:id="45" w:name="_Toc22897646"/>
      <w:r w:rsidRPr="00E81073">
        <w:rPr>
          <w:iCs/>
          <w:snapToGrid/>
        </w:rPr>
        <w:t>The submission presented a cost-minimisation approach between BKZ and IXE. The proposed equi-effective doses were consistent with the recommended doses for PsA in the corresponding PIs:</w:t>
      </w:r>
    </w:p>
    <w:p w14:paraId="631B78D1" w14:textId="77777777" w:rsidR="00700988" w:rsidRPr="00E81073" w:rsidRDefault="00700988" w:rsidP="00751B24">
      <w:pPr>
        <w:pStyle w:val="3-BodyText"/>
        <w:numPr>
          <w:ilvl w:val="0"/>
          <w:numId w:val="33"/>
        </w:numPr>
        <w:rPr>
          <w:i/>
          <w:iCs/>
          <w:snapToGrid/>
        </w:rPr>
      </w:pPr>
      <w:r w:rsidRPr="00E81073">
        <w:rPr>
          <w:iCs/>
          <w:snapToGrid/>
        </w:rPr>
        <w:t>BKZ 160 mg subcutaneous injection every four weeks = IXE 160 mg subcutaneous injection at Week 0 then 80 mg subcutaneous injection every four weeks.</w:t>
      </w:r>
    </w:p>
    <w:p w14:paraId="2FF6D1A1" w14:textId="76D3AADC" w:rsidR="00700988" w:rsidRPr="00E81073" w:rsidRDefault="00700988" w:rsidP="00700988">
      <w:pPr>
        <w:pStyle w:val="3-BodyText"/>
        <w:rPr>
          <w:i/>
          <w:iCs/>
          <w:snapToGrid/>
        </w:rPr>
      </w:pPr>
      <w:r w:rsidRPr="00E81073">
        <w:rPr>
          <w:iCs/>
          <w:snapToGrid/>
        </w:rPr>
        <w:t xml:space="preserve">The cost-minimisation approach presented in the submission used the published AEMP of IXE and assumed equivalent costs (drug cost only) over the first two years. The submission requested a special pricing arrangement where the effective price of BKZ is derived from the effective price of IXE, but the effective AEMP of IXE was not available to the sponsor. The submission stated that the </w:t>
      </w:r>
      <w:r w:rsidR="00D427EA" w:rsidRPr="00E81073">
        <w:rPr>
          <w:iCs/>
          <w:snapToGrid/>
        </w:rPr>
        <w:t xml:space="preserve">calculations </w:t>
      </w:r>
      <w:r w:rsidRPr="00E81073">
        <w:rPr>
          <w:iCs/>
          <w:snapToGrid/>
        </w:rPr>
        <w:t>can be updated with the effective AEMP of IXE to maintain equivalent costs following a positive PBAC recommendation.</w:t>
      </w:r>
    </w:p>
    <w:p w14:paraId="2AD4CFF4" w14:textId="7DFED6FD" w:rsidR="00700988" w:rsidRPr="00E81073" w:rsidRDefault="00670F2D" w:rsidP="00700988">
      <w:pPr>
        <w:pStyle w:val="3-BodyText"/>
        <w:rPr>
          <w:i/>
          <w:iCs/>
          <w:snapToGrid/>
        </w:rPr>
      </w:pPr>
      <w:r w:rsidRPr="00E81073">
        <w:rPr>
          <w:iCs/>
          <w:snapToGrid/>
        </w:rPr>
        <w:fldChar w:fldCharType="begin" w:fldLock="1"/>
      </w:r>
      <w:r w:rsidRPr="00E81073">
        <w:rPr>
          <w:iCs/>
          <w:snapToGrid/>
        </w:rPr>
        <w:instrText xml:space="preserve"> REF _Ref152246607 \h </w:instrText>
      </w:r>
      <w:r w:rsidRPr="00E81073">
        <w:rPr>
          <w:iCs/>
          <w:snapToGrid/>
        </w:rPr>
      </w:r>
      <w:r w:rsidRPr="00E81073">
        <w:rPr>
          <w:iCs/>
          <w:snapToGrid/>
        </w:rPr>
        <w:fldChar w:fldCharType="separate"/>
      </w:r>
      <w:r w:rsidRPr="00E81073">
        <w:t xml:space="preserve">Table </w:t>
      </w:r>
      <w:r w:rsidRPr="005E2177">
        <w:t>8</w:t>
      </w:r>
      <w:r w:rsidRPr="00E81073">
        <w:rPr>
          <w:iCs/>
          <w:snapToGrid/>
        </w:rPr>
        <w:fldChar w:fldCharType="end"/>
      </w:r>
      <w:r w:rsidRPr="00E81073">
        <w:rPr>
          <w:iCs/>
          <w:snapToGrid/>
        </w:rPr>
        <w:t xml:space="preserve"> </w:t>
      </w:r>
      <w:r w:rsidR="00700988" w:rsidRPr="00E81073">
        <w:rPr>
          <w:iCs/>
          <w:snapToGrid/>
        </w:rPr>
        <w:t>summarises the cost-minimisation approach presented in the submission.</w:t>
      </w:r>
    </w:p>
    <w:p w14:paraId="213E8F8A" w14:textId="70699B47" w:rsidR="00670F2D" w:rsidRPr="00E81073" w:rsidRDefault="00670F2D" w:rsidP="00670F2D">
      <w:pPr>
        <w:pStyle w:val="Caption"/>
      </w:pPr>
      <w:bookmarkStart w:id="46" w:name="_Ref152246607"/>
      <w:r w:rsidRPr="00E81073">
        <w:t xml:space="preserve">Table </w:t>
      </w:r>
      <w:r w:rsidR="006269D6">
        <w:fldChar w:fldCharType="begin" w:fldLock="1"/>
      </w:r>
      <w:r w:rsidR="006269D6">
        <w:instrText xml:space="preserve"> SEQ Table \* ARABIC</w:instrText>
      </w:r>
      <w:r w:rsidR="006269D6">
        <w:instrText xml:space="preserve"> </w:instrText>
      </w:r>
      <w:r w:rsidR="006269D6">
        <w:fldChar w:fldCharType="separate"/>
      </w:r>
      <w:r w:rsidRPr="005E2177">
        <w:t>8</w:t>
      </w:r>
      <w:r w:rsidR="006269D6">
        <w:fldChar w:fldCharType="end"/>
      </w:r>
      <w:bookmarkEnd w:id="46"/>
      <w:r w:rsidRPr="00E81073">
        <w:t>: Results of the cost-minimisation approach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8: Results of the cost-minimisation approach"/>
      </w:tblPr>
      <w:tblGrid>
        <w:gridCol w:w="3114"/>
        <w:gridCol w:w="2897"/>
        <w:gridCol w:w="3006"/>
      </w:tblGrid>
      <w:tr w:rsidR="00700988" w:rsidRPr="00E81073" w14:paraId="30CE42F6" w14:textId="77777777" w:rsidTr="00700988">
        <w:tc>
          <w:tcPr>
            <w:tcW w:w="3114" w:type="dxa"/>
          </w:tcPr>
          <w:p w14:paraId="7BA223F0" w14:textId="77777777" w:rsidR="00700988" w:rsidRPr="005E2177" w:rsidRDefault="00700988" w:rsidP="00700988">
            <w:pPr>
              <w:pStyle w:val="In-tableHeading"/>
              <w:rPr>
                <w:lang w:val="en-AU"/>
              </w:rPr>
            </w:pPr>
            <w:r w:rsidRPr="005E2177">
              <w:rPr>
                <w:lang w:val="en-AU"/>
              </w:rPr>
              <w:t>Component</w:t>
            </w:r>
          </w:p>
        </w:tc>
        <w:tc>
          <w:tcPr>
            <w:tcW w:w="2897" w:type="dxa"/>
          </w:tcPr>
          <w:p w14:paraId="1649A0FB" w14:textId="77777777" w:rsidR="00700988" w:rsidRPr="005E2177" w:rsidRDefault="00700988" w:rsidP="00700988">
            <w:pPr>
              <w:pStyle w:val="In-tableHeading"/>
              <w:jc w:val="center"/>
              <w:rPr>
                <w:lang w:val="en-AU"/>
              </w:rPr>
            </w:pPr>
            <w:r w:rsidRPr="005E2177">
              <w:rPr>
                <w:lang w:val="en-AU"/>
              </w:rPr>
              <w:t>Proposed medicine: BKZ</w:t>
            </w:r>
          </w:p>
        </w:tc>
        <w:tc>
          <w:tcPr>
            <w:tcW w:w="3006" w:type="dxa"/>
          </w:tcPr>
          <w:p w14:paraId="21B17B27" w14:textId="77777777" w:rsidR="00700988" w:rsidRPr="005E2177" w:rsidRDefault="00700988" w:rsidP="00700988">
            <w:pPr>
              <w:pStyle w:val="In-tableHeading"/>
              <w:jc w:val="center"/>
              <w:rPr>
                <w:lang w:val="en-AU"/>
              </w:rPr>
            </w:pPr>
            <w:r w:rsidRPr="005E2177">
              <w:rPr>
                <w:lang w:val="en-AU"/>
              </w:rPr>
              <w:t>Comparator: IXE (11623R)</w:t>
            </w:r>
          </w:p>
        </w:tc>
      </w:tr>
      <w:tr w:rsidR="00700988" w:rsidRPr="00E81073" w14:paraId="7127F45C" w14:textId="77777777" w:rsidTr="00700988">
        <w:tc>
          <w:tcPr>
            <w:tcW w:w="3114" w:type="dxa"/>
          </w:tcPr>
          <w:p w14:paraId="73EBAF41" w14:textId="77777777" w:rsidR="00700988" w:rsidRPr="00E81073" w:rsidRDefault="00700988" w:rsidP="00700988">
            <w:pPr>
              <w:pStyle w:val="TableText0"/>
            </w:pPr>
            <w:r w:rsidRPr="00E81073">
              <w:t>PBS item, max qty</w:t>
            </w:r>
          </w:p>
        </w:tc>
        <w:tc>
          <w:tcPr>
            <w:tcW w:w="2897" w:type="dxa"/>
            <w:vAlign w:val="center"/>
          </w:tcPr>
          <w:p w14:paraId="33AF534A" w14:textId="77777777" w:rsidR="00700988" w:rsidRPr="00E81073" w:rsidRDefault="00700988" w:rsidP="00700988">
            <w:pPr>
              <w:pStyle w:val="TableText0"/>
              <w:jc w:val="center"/>
            </w:pPr>
            <w:r w:rsidRPr="00E81073">
              <w:t>160 mg injection x 2</w:t>
            </w:r>
          </w:p>
        </w:tc>
        <w:tc>
          <w:tcPr>
            <w:tcW w:w="3006" w:type="dxa"/>
            <w:vAlign w:val="center"/>
          </w:tcPr>
          <w:p w14:paraId="681B0F54" w14:textId="77777777" w:rsidR="00700988" w:rsidRPr="00E81073" w:rsidRDefault="00700988" w:rsidP="00700988">
            <w:pPr>
              <w:pStyle w:val="TableText0"/>
              <w:jc w:val="center"/>
            </w:pPr>
            <w:r w:rsidRPr="00E81073">
              <w:t xml:space="preserve">80 mg injection x 2 </w:t>
            </w:r>
          </w:p>
        </w:tc>
      </w:tr>
      <w:tr w:rsidR="00700988" w:rsidRPr="00E81073" w14:paraId="7E23EBA4" w14:textId="77777777" w:rsidTr="00700988">
        <w:tc>
          <w:tcPr>
            <w:tcW w:w="3114" w:type="dxa"/>
          </w:tcPr>
          <w:p w14:paraId="24D66E60" w14:textId="77777777" w:rsidR="00700988" w:rsidRPr="00E81073" w:rsidRDefault="00700988" w:rsidP="00700988">
            <w:pPr>
              <w:pStyle w:val="TableText0"/>
            </w:pPr>
            <w:r w:rsidRPr="00E81073">
              <w:t>DPMQ</w:t>
            </w:r>
          </w:p>
        </w:tc>
        <w:tc>
          <w:tcPr>
            <w:tcW w:w="2897" w:type="dxa"/>
            <w:vAlign w:val="center"/>
          </w:tcPr>
          <w:p w14:paraId="51552394" w14:textId="77777777" w:rsidR="00700988" w:rsidRPr="000F5EAF" w:rsidRDefault="00700988" w:rsidP="00700988">
            <w:pPr>
              <w:pStyle w:val="TableText0"/>
              <w:jc w:val="center"/>
              <w:rPr>
                <w:vertAlign w:val="superscript"/>
              </w:rPr>
            </w:pPr>
            <w:r w:rsidRPr="000F5EAF">
              <w:t>$3,378.25</w:t>
            </w:r>
            <w:r w:rsidRPr="000F5EAF">
              <w:rPr>
                <w:vertAlign w:val="superscript"/>
              </w:rPr>
              <w:t>a</w:t>
            </w:r>
          </w:p>
        </w:tc>
        <w:tc>
          <w:tcPr>
            <w:tcW w:w="3006" w:type="dxa"/>
            <w:vAlign w:val="center"/>
          </w:tcPr>
          <w:p w14:paraId="4A42C247" w14:textId="77777777" w:rsidR="00700988" w:rsidRPr="00E81073" w:rsidRDefault="00700988" w:rsidP="00700988">
            <w:pPr>
              <w:pStyle w:val="TableText0"/>
              <w:jc w:val="center"/>
            </w:pPr>
            <w:r w:rsidRPr="00E81073">
              <w:t>$3,259.13</w:t>
            </w:r>
          </w:p>
        </w:tc>
      </w:tr>
      <w:tr w:rsidR="00700988" w:rsidRPr="00E81073" w14:paraId="4199E0D9" w14:textId="77777777" w:rsidTr="00700988">
        <w:trPr>
          <w:trHeight w:val="60"/>
        </w:trPr>
        <w:tc>
          <w:tcPr>
            <w:tcW w:w="3114" w:type="dxa"/>
          </w:tcPr>
          <w:p w14:paraId="4313E837" w14:textId="77777777" w:rsidR="00700988" w:rsidRPr="00E81073" w:rsidRDefault="00700988" w:rsidP="00700988">
            <w:pPr>
              <w:pStyle w:val="TableText0"/>
            </w:pPr>
            <w:r w:rsidRPr="00E81073">
              <w:t>AEMP</w:t>
            </w:r>
          </w:p>
        </w:tc>
        <w:tc>
          <w:tcPr>
            <w:tcW w:w="2897" w:type="dxa"/>
            <w:vAlign w:val="center"/>
          </w:tcPr>
          <w:p w14:paraId="6DC066B6" w14:textId="77777777" w:rsidR="00700988" w:rsidRPr="000F5EAF" w:rsidRDefault="00700988" w:rsidP="00700988">
            <w:pPr>
              <w:pStyle w:val="TableText0"/>
              <w:jc w:val="center"/>
              <w:rPr>
                <w:vertAlign w:val="superscript"/>
              </w:rPr>
            </w:pPr>
            <w:r w:rsidRPr="000F5EAF">
              <w:t>$3,216.12</w:t>
            </w:r>
            <w:r w:rsidRPr="000F5EAF">
              <w:rPr>
                <w:vertAlign w:val="superscript"/>
              </w:rPr>
              <w:t>a</w:t>
            </w:r>
          </w:p>
        </w:tc>
        <w:tc>
          <w:tcPr>
            <w:tcW w:w="3006" w:type="dxa"/>
            <w:vAlign w:val="center"/>
          </w:tcPr>
          <w:p w14:paraId="09314111" w14:textId="77777777" w:rsidR="00700988" w:rsidRPr="00E81073" w:rsidRDefault="00700988" w:rsidP="00700988">
            <w:pPr>
              <w:pStyle w:val="TableText0"/>
              <w:jc w:val="center"/>
            </w:pPr>
            <w:r w:rsidRPr="00E81073">
              <w:t>$3,097.00</w:t>
            </w:r>
          </w:p>
        </w:tc>
      </w:tr>
      <w:tr w:rsidR="00700988" w:rsidRPr="00E81073" w14:paraId="1A47C0B4" w14:textId="77777777" w:rsidTr="00700988">
        <w:tc>
          <w:tcPr>
            <w:tcW w:w="3114" w:type="dxa"/>
          </w:tcPr>
          <w:p w14:paraId="4753BD19" w14:textId="77777777" w:rsidR="00700988" w:rsidRPr="00E81073" w:rsidRDefault="00700988" w:rsidP="00700988">
            <w:pPr>
              <w:pStyle w:val="TableText0"/>
            </w:pPr>
            <w:r w:rsidRPr="00E81073">
              <w:t>Dose</w:t>
            </w:r>
          </w:p>
        </w:tc>
        <w:tc>
          <w:tcPr>
            <w:tcW w:w="2897" w:type="dxa"/>
            <w:vAlign w:val="center"/>
          </w:tcPr>
          <w:p w14:paraId="728A40DF" w14:textId="77777777" w:rsidR="00700988" w:rsidRPr="00E81073" w:rsidRDefault="00700988" w:rsidP="00700988">
            <w:pPr>
              <w:pStyle w:val="TableText0"/>
              <w:jc w:val="center"/>
            </w:pPr>
            <w:r w:rsidRPr="00E81073">
              <w:t>160 mg every four weeks</w:t>
            </w:r>
          </w:p>
        </w:tc>
        <w:tc>
          <w:tcPr>
            <w:tcW w:w="3006" w:type="dxa"/>
            <w:vAlign w:val="center"/>
          </w:tcPr>
          <w:p w14:paraId="3CE78E38" w14:textId="0510AB7D" w:rsidR="00700988" w:rsidRPr="00E81073" w:rsidRDefault="00700988" w:rsidP="00700988">
            <w:pPr>
              <w:pStyle w:val="TableText0"/>
              <w:jc w:val="center"/>
            </w:pPr>
            <w:r w:rsidRPr="00E81073">
              <w:t>160</w:t>
            </w:r>
            <w:r w:rsidR="004D7BD1" w:rsidRPr="00E81073">
              <w:t xml:space="preserve"> </w:t>
            </w:r>
            <w:r w:rsidRPr="00E81073">
              <w:t>mg then 80mg every four weeks</w:t>
            </w:r>
          </w:p>
        </w:tc>
      </w:tr>
      <w:tr w:rsidR="00700988" w:rsidRPr="00E81073" w14:paraId="455CB621" w14:textId="77777777" w:rsidTr="00700988">
        <w:tc>
          <w:tcPr>
            <w:tcW w:w="3114" w:type="dxa"/>
          </w:tcPr>
          <w:p w14:paraId="4DB8825F" w14:textId="77777777" w:rsidR="00700988" w:rsidRPr="00E81073" w:rsidRDefault="00700988" w:rsidP="00700988">
            <w:pPr>
              <w:pStyle w:val="TableText0"/>
            </w:pPr>
            <w:r w:rsidRPr="00E81073">
              <w:t>Units / 104 weeks</w:t>
            </w:r>
          </w:p>
        </w:tc>
        <w:tc>
          <w:tcPr>
            <w:tcW w:w="2897" w:type="dxa"/>
            <w:vAlign w:val="center"/>
          </w:tcPr>
          <w:p w14:paraId="3A6E4D34" w14:textId="77777777" w:rsidR="00700988" w:rsidRPr="00E81073" w:rsidRDefault="00700988" w:rsidP="00700988">
            <w:pPr>
              <w:pStyle w:val="TableText0"/>
              <w:jc w:val="center"/>
            </w:pPr>
            <w:r w:rsidRPr="00E81073">
              <w:t>26 units</w:t>
            </w:r>
          </w:p>
        </w:tc>
        <w:tc>
          <w:tcPr>
            <w:tcW w:w="3006" w:type="dxa"/>
            <w:vAlign w:val="center"/>
          </w:tcPr>
          <w:p w14:paraId="3494A3CD" w14:textId="77777777" w:rsidR="00700988" w:rsidRPr="00E81073" w:rsidRDefault="00700988" w:rsidP="00700988">
            <w:pPr>
              <w:pStyle w:val="TableText0"/>
              <w:jc w:val="center"/>
            </w:pPr>
            <w:r w:rsidRPr="00E81073">
              <w:t>27 units</w:t>
            </w:r>
          </w:p>
        </w:tc>
      </w:tr>
      <w:tr w:rsidR="00700988" w:rsidRPr="00E81073" w14:paraId="473C7A8C" w14:textId="77777777" w:rsidTr="00700988">
        <w:tc>
          <w:tcPr>
            <w:tcW w:w="3114" w:type="dxa"/>
          </w:tcPr>
          <w:p w14:paraId="10C3F4D8" w14:textId="77777777" w:rsidR="00700988" w:rsidRPr="00E81073" w:rsidRDefault="00700988" w:rsidP="00700988">
            <w:pPr>
              <w:pStyle w:val="TableText0"/>
            </w:pPr>
            <w:r w:rsidRPr="00E81073">
              <w:t>Scripts / 104 weeks</w:t>
            </w:r>
          </w:p>
        </w:tc>
        <w:tc>
          <w:tcPr>
            <w:tcW w:w="2897" w:type="dxa"/>
            <w:vAlign w:val="center"/>
          </w:tcPr>
          <w:p w14:paraId="4894C8AD" w14:textId="77777777" w:rsidR="00700988" w:rsidRPr="00E81073" w:rsidRDefault="00700988" w:rsidP="00700988">
            <w:pPr>
              <w:pStyle w:val="TableText0"/>
              <w:jc w:val="center"/>
            </w:pPr>
            <w:r w:rsidRPr="00E81073">
              <w:t>13 scripts</w:t>
            </w:r>
          </w:p>
        </w:tc>
        <w:tc>
          <w:tcPr>
            <w:tcW w:w="3006" w:type="dxa"/>
            <w:vAlign w:val="center"/>
          </w:tcPr>
          <w:p w14:paraId="0EE37642" w14:textId="77777777" w:rsidR="00700988" w:rsidRPr="00E81073" w:rsidRDefault="00700988" w:rsidP="00700988">
            <w:pPr>
              <w:pStyle w:val="TableText0"/>
              <w:jc w:val="center"/>
            </w:pPr>
            <w:r w:rsidRPr="00E81073">
              <w:t>13.5 scripts</w:t>
            </w:r>
          </w:p>
        </w:tc>
      </w:tr>
      <w:tr w:rsidR="00700988" w:rsidRPr="00E81073" w14:paraId="272DF35D" w14:textId="77777777" w:rsidTr="00700988">
        <w:tc>
          <w:tcPr>
            <w:tcW w:w="3114" w:type="dxa"/>
          </w:tcPr>
          <w:p w14:paraId="76362C04" w14:textId="77777777" w:rsidR="00700988" w:rsidRPr="00E81073" w:rsidRDefault="00700988" w:rsidP="00700988">
            <w:pPr>
              <w:pStyle w:val="TableText0"/>
            </w:pPr>
            <w:r w:rsidRPr="00E81073">
              <w:t>Total medicine cost (AEMP) / 104 weeks</w:t>
            </w:r>
          </w:p>
        </w:tc>
        <w:tc>
          <w:tcPr>
            <w:tcW w:w="2897" w:type="dxa"/>
            <w:vAlign w:val="center"/>
          </w:tcPr>
          <w:p w14:paraId="17438985" w14:textId="77777777" w:rsidR="00700988" w:rsidRPr="00E81073" w:rsidRDefault="00700988" w:rsidP="00700988">
            <w:pPr>
              <w:pStyle w:val="TableText0"/>
              <w:jc w:val="center"/>
            </w:pPr>
            <w:r w:rsidRPr="00E81073">
              <w:t>$</w:t>
            </w:r>
            <w:r w:rsidRPr="003B097E">
              <w:t>41,809.50</w:t>
            </w:r>
          </w:p>
        </w:tc>
        <w:tc>
          <w:tcPr>
            <w:tcW w:w="3006" w:type="dxa"/>
            <w:vAlign w:val="center"/>
          </w:tcPr>
          <w:p w14:paraId="14FF74BB" w14:textId="77777777" w:rsidR="00700988" w:rsidRPr="00E81073" w:rsidRDefault="00700988" w:rsidP="00700988">
            <w:pPr>
              <w:pStyle w:val="TableText0"/>
              <w:jc w:val="center"/>
            </w:pPr>
            <w:r w:rsidRPr="00E81073">
              <w:t>$41,809.50</w:t>
            </w:r>
          </w:p>
        </w:tc>
      </w:tr>
      <w:tr w:rsidR="00700988" w:rsidRPr="00E81073" w14:paraId="6091CF89" w14:textId="77777777" w:rsidTr="00700988">
        <w:tc>
          <w:tcPr>
            <w:tcW w:w="3114" w:type="dxa"/>
          </w:tcPr>
          <w:p w14:paraId="28DE10ED" w14:textId="77777777" w:rsidR="00700988" w:rsidRPr="00E81073" w:rsidRDefault="00700988" w:rsidP="00700988">
            <w:pPr>
              <w:pStyle w:val="TableText0"/>
            </w:pPr>
            <w:r w:rsidRPr="00E81073">
              <w:t>Difference in cost (AEMP) / 104 weeks</w:t>
            </w:r>
          </w:p>
        </w:tc>
        <w:tc>
          <w:tcPr>
            <w:tcW w:w="2897" w:type="dxa"/>
            <w:vAlign w:val="center"/>
          </w:tcPr>
          <w:p w14:paraId="6A3C1B47" w14:textId="77777777" w:rsidR="00700988" w:rsidRPr="00E81073" w:rsidRDefault="00700988" w:rsidP="00700988">
            <w:pPr>
              <w:pStyle w:val="TableText0"/>
              <w:jc w:val="center"/>
            </w:pPr>
            <w:r w:rsidRPr="00E81073">
              <w:t>$0</w:t>
            </w:r>
          </w:p>
        </w:tc>
        <w:tc>
          <w:tcPr>
            <w:tcW w:w="3006" w:type="dxa"/>
            <w:vAlign w:val="center"/>
          </w:tcPr>
          <w:p w14:paraId="1EEF6210" w14:textId="77777777" w:rsidR="00700988" w:rsidRPr="00E81073" w:rsidRDefault="00700988" w:rsidP="00700988">
            <w:pPr>
              <w:pStyle w:val="TableText0"/>
              <w:jc w:val="center"/>
            </w:pPr>
            <w:r w:rsidRPr="00E81073">
              <w:t>$0</w:t>
            </w:r>
          </w:p>
        </w:tc>
      </w:tr>
    </w:tbl>
    <w:p w14:paraId="54D39ECC" w14:textId="17C9B991" w:rsidR="00700988" w:rsidRPr="00E81073" w:rsidRDefault="00700988" w:rsidP="00700988">
      <w:pPr>
        <w:pStyle w:val="FooterTableFigure"/>
      </w:pPr>
      <w:r w:rsidRPr="00E81073">
        <w:t>Source: Table 3.1, pp197-198 of the submission.</w:t>
      </w:r>
    </w:p>
    <w:p w14:paraId="30E0BBE1" w14:textId="7D480796" w:rsidR="00FF4C25" w:rsidRPr="00E81073" w:rsidRDefault="00FF4C25" w:rsidP="00700988">
      <w:pPr>
        <w:pStyle w:val="FooterTableFigure"/>
      </w:pPr>
      <w:r w:rsidRPr="00E81073">
        <w:rPr>
          <w:color w:val="000000" w:themeColor="text1"/>
          <w:szCs w:val="16"/>
        </w:rPr>
        <w:t>AEMP=approved ex-manufacturer price; BKZ=bimekizumab; DPMQ=dispensed price for maximum quantity; IXE=ixekizumab; PBS=Pharmaceutical Benefits Scheme</w:t>
      </w:r>
    </w:p>
    <w:p w14:paraId="557FE4C1" w14:textId="77777777" w:rsidR="00700988" w:rsidRPr="00E81073" w:rsidRDefault="00700988" w:rsidP="00700988">
      <w:pPr>
        <w:pStyle w:val="FooterTableFigure"/>
        <w:ind w:left="165" w:hanging="165"/>
        <w:rPr>
          <w:sz w:val="20"/>
        </w:rPr>
      </w:pPr>
      <w:proofErr w:type="spellStart"/>
      <w:r w:rsidRPr="00E81073">
        <w:rPr>
          <w:vertAlign w:val="superscript"/>
        </w:rPr>
        <w:t>a</w:t>
      </w:r>
      <w:proofErr w:type="spellEnd"/>
      <w:r w:rsidRPr="00E81073">
        <w:rPr>
          <w:vertAlign w:val="superscript"/>
        </w:rPr>
        <w:tab/>
      </w:r>
      <w:proofErr w:type="gramStart"/>
      <w:r w:rsidRPr="00E81073">
        <w:t>The</w:t>
      </w:r>
      <w:proofErr w:type="gramEnd"/>
      <w:r w:rsidRPr="00E81073">
        <w:t xml:space="preserve"> submission requested a special pricing arrangement with an effective price based on the cost-minimisation approach to the effective price of IXE and a published DPMQ of $3,422.13.</w:t>
      </w:r>
    </w:p>
    <w:p w14:paraId="472842D7" w14:textId="3246B51E" w:rsidR="00C25D9C" w:rsidRPr="00E81073" w:rsidRDefault="00C25D9C" w:rsidP="0099218D">
      <w:pPr>
        <w:pStyle w:val="4-SubsectionHeading"/>
      </w:pPr>
      <w:bookmarkStart w:id="47" w:name="_Toc156894678"/>
      <w:r w:rsidRPr="00E81073">
        <w:t>Drug cost/patient</w:t>
      </w:r>
      <w:bookmarkEnd w:id="45"/>
      <w:r w:rsidR="0099218D" w:rsidRPr="00E81073">
        <w:t>/year</w:t>
      </w:r>
      <w:r w:rsidR="00CB6685" w:rsidRPr="00E81073">
        <w:t xml:space="preserve">: </w:t>
      </w:r>
      <w:r w:rsidR="00AC5DB7" w:rsidRPr="00E81073">
        <w:t>$22,243.85</w:t>
      </w:r>
      <w:bookmarkEnd w:id="47"/>
    </w:p>
    <w:p w14:paraId="3DBFE151" w14:textId="50784EBF" w:rsidR="00494207" w:rsidRPr="00E81073" w:rsidRDefault="00AC5DB7" w:rsidP="00AC5DB7">
      <w:pPr>
        <w:pStyle w:val="3-BodyText"/>
        <w:rPr>
          <w:snapToGrid/>
        </w:rPr>
      </w:pPr>
      <w:bookmarkStart w:id="48" w:name="_Hlk107307804"/>
      <w:r w:rsidRPr="00E81073">
        <w:rPr>
          <w:snapToGrid/>
        </w:rPr>
        <w:t>Assuming a DPMQ of $3,422.13 (the requested published price) and 6.5 scripts (13 injections) required for the first year of treatment at the recommended dose (160 mg subcutaneous injection every four weeks), the cost per patient per year is $22,243.85.</w:t>
      </w:r>
    </w:p>
    <w:p w14:paraId="268768EF" w14:textId="3626F292" w:rsidR="00B60939" w:rsidRPr="00E81073" w:rsidRDefault="00B60939" w:rsidP="002B05A1">
      <w:pPr>
        <w:pStyle w:val="4-SubsectionHeading"/>
      </w:pPr>
      <w:bookmarkStart w:id="49" w:name="_Toc22897647"/>
      <w:bookmarkStart w:id="50" w:name="_Toc156894679"/>
      <w:bookmarkEnd w:id="48"/>
      <w:r w:rsidRPr="00E81073">
        <w:t>Estimated PBS usage &amp; financial implications</w:t>
      </w:r>
      <w:bookmarkEnd w:id="49"/>
      <w:bookmarkEnd w:id="50"/>
    </w:p>
    <w:p w14:paraId="4E8FC8C8" w14:textId="77777777" w:rsidR="00E81073" w:rsidRDefault="00AC5DB7" w:rsidP="00AC5DB7">
      <w:pPr>
        <w:pStyle w:val="3-BodyText"/>
      </w:pPr>
      <w:r w:rsidRPr="00E81073">
        <w:t xml:space="preserve">This submission </w:t>
      </w:r>
      <w:r w:rsidR="00671E20" w:rsidRPr="00E81073">
        <w:t>was not</w:t>
      </w:r>
      <w:r w:rsidRPr="00E81073">
        <w:t xml:space="preserve"> considered by DUSC.</w:t>
      </w:r>
    </w:p>
    <w:p w14:paraId="420ABA4E" w14:textId="36A0BEFD" w:rsidR="00AC5DB7" w:rsidRPr="00E81073" w:rsidRDefault="00AC5DB7" w:rsidP="00AC5DB7">
      <w:pPr>
        <w:pStyle w:val="3-BodyText"/>
      </w:pPr>
      <w:r w:rsidRPr="00E81073">
        <w:t xml:space="preserve">The submission estimated the financial </w:t>
      </w:r>
      <w:r w:rsidR="00E81073">
        <w:t>impact</w:t>
      </w:r>
      <w:r w:rsidR="00E81073" w:rsidRPr="00E81073">
        <w:t xml:space="preserve"> </w:t>
      </w:r>
      <w:r w:rsidRPr="00E81073">
        <w:t>of the proposed listing using a market share approach. Grandfathered patients were not estimated separately to avoid double counting, given the proposed restriction will not generate additional patients beyond the current market of eligible patients.</w:t>
      </w:r>
      <w:r w:rsidR="006A3F2D" w:rsidRPr="00E81073">
        <w:t xml:space="preserve"> The Pre-PBAC Response stated the Sponsor anticipated fewer than </w:t>
      </w:r>
      <w:r w:rsidR="000657ED">
        <w:t>&lt; 500</w:t>
      </w:r>
      <w:r w:rsidR="000657ED" w:rsidRPr="00E81073">
        <w:t xml:space="preserve"> </w:t>
      </w:r>
      <w:r w:rsidR="006A3F2D" w:rsidRPr="00E81073">
        <w:t>grandfather patients were expected for PsA.</w:t>
      </w:r>
      <w:r w:rsidR="00E84C6B" w:rsidRPr="00E81073">
        <w:t xml:space="preserve"> </w:t>
      </w:r>
    </w:p>
    <w:p w14:paraId="309A1296" w14:textId="77777777" w:rsidR="00AC5DB7" w:rsidRPr="00E81073" w:rsidRDefault="00AC5DB7" w:rsidP="00AC5DB7">
      <w:pPr>
        <w:pStyle w:val="3-BodyText"/>
      </w:pPr>
      <w:r w:rsidRPr="00E81073">
        <w:t>For the market share approach, the submission assumed BKZ would substitute for all currently listed biologic treatments administered via subcutaneous injection (ADA, ETN, UST, SEC, IXE, CZP, GOL, GUS), but would not substitute for oral therapies (TOF and UPA) or intravenous infusions (IFX). The analysis used published DPMQs because the sponsor was not aware of the confidential effective prices of substituted treatments.</w:t>
      </w:r>
    </w:p>
    <w:p w14:paraId="21C7CC93" w14:textId="4448E4ED" w:rsidR="00AC5DB7" w:rsidRPr="00E81073" w:rsidRDefault="00670F2D" w:rsidP="00AC5DB7">
      <w:pPr>
        <w:pStyle w:val="3-BodyText"/>
      </w:pPr>
      <w:r w:rsidRPr="00E81073">
        <w:rPr>
          <w:highlight w:val="yellow"/>
        </w:rPr>
        <w:fldChar w:fldCharType="begin" w:fldLock="1"/>
      </w:r>
      <w:r w:rsidRPr="00E81073">
        <w:rPr>
          <w:highlight w:val="yellow"/>
        </w:rPr>
        <w:instrText xml:space="preserve"> REF _Ref152246638 \h </w:instrText>
      </w:r>
      <w:r w:rsidRPr="00E81073">
        <w:rPr>
          <w:highlight w:val="yellow"/>
        </w:rPr>
      </w:r>
      <w:r w:rsidRPr="00E81073">
        <w:rPr>
          <w:highlight w:val="yellow"/>
        </w:rPr>
        <w:fldChar w:fldCharType="separate"/>
      </w:r>
      <w:r w:rsidRPr="00E81073">
        <w:t xml:space="preserve">Table </w:t>
      </w:r>
      <w:r w:rsidRPr="005E2177">
        <w:t>9</w:t>
      </w:r>
      <w:r w:rsidRPr="00E81073">
        <w:rPr>
          <w:highlight w:val="yellow"/>
        </w:rPr>
        <w:fldChar w:fldCharType="end"/>
      </w:r>
      <w:r w:rsidR="00AC5DB7" w:rsidRPr="00E81073">
        <w:t xml:space="preserve"> summarises the key inputs used for the financial estimates.</w:t>
      </w:r>
    </w:p>
    <w:p w14:paraId="504DCCF1" w14:textId="3A7ED349" w:rsidR="00670F2D" w:rsidRPr="00E81073" w:rsidRDefault="00670F2D" w:rsidP="002A5CC4">
      <w:pPr>
        <w:pStyle w:val="Caption"/>
      </w:pPr>
      <w:bookmarkStart w:id="51" w:name="_Ref152246638"/>
      <w:r w:rsidRPr="00E81073">
        <w:t xml:space="preserve">Table </w:t>
      </w:r>
      <w:r w:rsidR="006269D6">
        <w:fldChar w:fldCharType="begin" w:fldLock="1"/>
      </w:r>
      <w:r w:rsidR="006269D6">
        <w:instrText xml:space="preserve"> SEQ Table \* ARABIC </w:instrText>
      </w:r>
      <w:r w:rsidR="006269D6">
        <w:fldChar w:fldCharType="separate"/>
      </w:r>
      <w:r w:rsidRPr="005E2177">
        <w:t>9</w:t>
      </w:r>
      <w:r w:rsidR="006269D6">
        <w:fldChar w:fldCharType="end"/>
      </w:r>
      <w:bookmarkEnd w:id="51"/>
      <w:r w:rsidRPr="00E81073">
        <w:t xml:space="preserve">: Data sources and parameter values applied in the utilisation and financial </w:t>
      </w:r>
      <w:proofErr w:type="gramStart"/>
      <w:r w:rsidRPr="00E81073">
        <w:t>estimates</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9: Data sources and parameter values applied in the utilisation and financial estimates"/>
      </w:tblPr>
      <w:tblGrid>
        <w:gridCol w:w="1414"/>
        <w:gridCol w:w="2202"/>
        <w:gridCol w:w="2088"/>
        <w:gridCol w:w="3313"/>
      </w:tblGrid>
      <w:tr w:rsidR="00AC5DB7" w:rsidRPr="00E81073" w14:paraId="16EE8E9B" w14:textId="77777777" w:rsidTr="00621EA3">
        <w:trPr>
          <w:tblHeader/>
        </w:trPr>
        <w:tc>
          <w:tcPr>
            <w:tcW w:w="784" w:type="pct"/>
            <w:vAlign w:val="center"/>
          </w:tcPr>
          <w:p w14:paraId="532FBB34" w14:textId="77777777" w:rsidR="00AC5DB7" w:rsidRPr="005E2177" w:rsidRDefault="00AC5DB7" w:rsidP="002A5CC4">
            <w:pPr>
              <w:pStyle w:val="In-tableHeading"/>
              <w:keepLines/>
              <w:jc w:val="center"/>
              <w:rPr>
                <w:szCs w:val="20"/>
                <w:lang w:val="en-AU"/>
              </w:rPr>
            </w:pPr>
            <w:r w:rsidRPr="005E2177">
              <w:rPr>
                <w:szCs w:val="20"/>
                <w:lang w:val="en-AU"/>
              </w:rPr>
              <w:t>Data</w:t>
            </w:r>
          </w:p>
        </w:tc>
        <w:tc>
          <w:tcPr>
            <w:tcW w:w="1221" w:type="pct"/>
            <w:vAlign w:val="center"/>
          </w:tcPr>
          <w:p w14:paraId="692DA2A3" w14:textId="77777777" w:rsidR="00AC5DB7" w:rsidRPr="005E2177" w:rsidRDefault="00AC5DB7" w:rsidP="002A5CC4">
            <w:pPr>
              <w:pStyle w:val="In-tableHeading"/>
              <w:keepLines/>
              <w:jc w:val="center"/>
              <w:rPr>
                <w:szCs w:val="20"/>
                <w:lang w:val="en-AU"/>
              </w:rPr>
            </w:pPr>
            <w:r w:rsidRPr="005E2177">
              <w:rPr>
                <w:szCs w:val="20"/>
                <w:lang w:val="en-AU"/>
              </w:rPr>
              <w:t>Value</w:t>
            </w:r>
          </w:p>
        </w:tc>
        <w:tc>
          <w:tcPr>
            <w:tcW w:w="1158" w:type="pct"/>
            <w:vAlign w:val="center"/>
          </w:tcPr>
          <w:p w14:paraId="16C544DF" w14:textId="77777777" w:rsidR="00AC5DB7" w:rsidRPr="005E2177" w:rsidRDefault="00AC5DB7" w:rsidP="002A5CC4">
            <w:pPr>
              <w:pStyle w:val="In-tableHeading"/>
              <w:keepLines/>
              <w:jc w:val="center"/>
              <w:rPr>
                <w:szCs w:val="20"/>
                <w:lang w:val="en-AU"/>
              </w:rPr>
            </w:pPr>
            <w:r w:rsidRPr="005E2177">
              <w:rPr>
                <w:szCs w:val="20"/>
                <w:lang w:val="en-AU"/>
              </w:rPr>
              <w:t>Source</w:t>
            </w:r>
          </w:p>
        </w:tc>
        <w:tc>
          <w:tcPr>
            <w:tcW w:w="1837" w:type="pct"/>
            <w:vAlign w:val="center"/>
          </w:tcPr>
          <w:p w14:paraId="28EFE9F1" w14:textId="77777777" w:rsidR="00AC5DB7" w:rsidRPr="005E2177" w:rsidRDefault="00AC5DB7" w:rsidP="002A5CC4">
            <w:pPr>
              <w:pStyle w:val="In-tableHeading"/>
              <w:keepLines/>
              <w:jc w:val="center"/>
              <w:rPr>
                <w:szCs w:val="20"/>
                <w:lang w:val="en-AU"/>
              </w:rPr>
            </w:pPr>
            <w:r w:rsidRPr="005E2177">
              <w:rPr>
                <w:szCs w:val="20"/>
                <w:lang w:val="en-AU"/>
              </w:rPr>
              <w:t>Comment</w:t>
            </w:r>
          </w:p>
        </w:tc>
      </w:tr>
      <w:tr w:rsidR="00AC5DB7" w:rsidRPr="00E81073" w14:paraId="60A30F81" w14:textId="77777777" w:rsidTr="00621EA3">
        <w:tc>
          <w:tcPr>
            <w:tcW w:w="5000" w:type="pct"/>
            <w:gridSpan w:val="4"/>
            <w:vAlign w:val="center"/>
          </w:tcPr>
          <w:p w14:paraId="58E191CB" w14:textId="77777777" w:rsidR="00AC5DB7" w:rsidRPr="005E2177" w:rsidRDefault="00AC5DB7" w:rsidP="002A5CC4">
            <w:pPr>
              <w:pStyle w:val="In-tableHeading"/>
              <w:keepLines/>
              <w:rPr>
                <w:szCs w:val="20"/>
                <w:lang w:val="en-AU"/>
              </w:rPr>
            </w:pPr>
            <w:r w:rsidRPr="005E2177">
              <w:rPr>
                <w:szCs w:val="20"/>
                <w:lang w:val="en-AU"/>
              </w:rPr>
              <w:t>Eligible population</w:t>
            </w:r>
          </w:p>
        </w:tc>
      </w:tr>
      <w:tr w:rsidR="00AC5DB7" w:rsidRPr="00E81073" w14:paraId="7DE658FD" w14:textId="77777777" w:rsidTr="00621EA3">
        <w:trPr>
          <w:trHeight w:val="680"/>
        </w:trPr>
        <w:tc>
          <w:tcPr>
            <w:tcW w:w="784" w:type="pct"/>
            <w:vAlign w:val="center"/>
          </w:tcPr>
          <w:p w14:paraId="6A96C43E" w14:textId="77777777" w:rsidR="00AC5DB7" w:rsidRPr="00E81073" w:rsidRDefault="00AC5DB7" w:rsidP="002A5CC4">
            <w:pPr>
              <w:pStyle w:val="TableText0"/>
              <w:keepLines/>
              <w:rPr>
                <w:szCs w:val="20"/>
              </w:rPr>
            </w:pPr>
            <w:r w:rsidRPr="00E81073">
              <w:rPr>
                <w:szCs w:val="20"/>
              </w:rPr>
              <w:t xml:space="preserve">Current market of bDMARDs in PsA, scripts </w:t>
            </w:r>
          </w:p>
          <w:p w14:paraId="34F36C72" w14:textId="77777777" w:rsidR="00AC5DB7" w:rsidRPr="00E81073" w:rsidRDefault="00AC5DB7" w:rsidP="002A5CC4">
            <w:pPr>
              <w:pStyle w:val="TableText0"/>
              <w:keepLines/>
              <w:rPr>
                <w:szCs w:val="20"/>
              </w:rPr>
            </w:pPr>
          </w:p>
          <w:p w14:paraId="799416CB" w14:textId="77777777" w:rsidR="00AC5DB7" w:rsidRPr="00E81073" w:rsidRDefault="00AC5DB7" w:rsidP="002A5CC4">
            <w:pPr>
              <w:pStyle w:val="TableText0"/>
              <w:keepLines/>
              <w:rPr>
                <w:szCs w:val="20"/>
              </w:rPr>
            </w:pPr>
            <w:r w:rsidRPr="00E81073">
              <w:rPr>
                <w:szCs w:val="20"/>
              </w:rPr>
              <w:t>(</w:t>
            </w:r>
            <w:proofErr w:type="gramStart"/>
            <w:r w:rsidRPr="00E81073">
              <w:rPr>
                <w:szCs w:val="20"/>
              </w:rPr>
              <w:t>excludes</w:t>
            </w:r>
            <w:proofErr w:type="gramEnd"/>
            <w:r w:rsidRPr="00E81073">
              <w:rPr>
                <w:szCs w:val="20"/>
              </w:rPr>
              <w:t xml:space="preserve"> JAK inhibitors)</w:t>
            </w:r>
          </w:p>
        </w:tc>
        <w:tc>
          <w:tcPr>
            <w:tcW w:w="1221" w:type="pct"/>
            <w:vAlign w:val="center"/>
          </w:tcPr>
          <w:p w14:paraId="413B7197" w14:textId="77777777" w:rsidR="00AC5DB7" w:rsidRPr="00E81073" w:rsidRDefault="00AC5DB7" w:rsidP="002A5CC4">
            <w:pPr>
              <w:pStyle w:val="TableText0"/>
              <w:keepLines/>
              <w:rPr>
                <w:szCs w:val="20"/>
              </w:rPr>
            </w:pPr>
            <w:r w:rsidRPr="00E81073">
              <w:rPr>
                <w:szCs w:val="20"/>
              </w:rPr>
              <w:t>Yr0: 143,315 scripts</w:t>
            </w:r>
          </w:p>
          <w:p w14:paraId="70B8B2EC" w14:textId="7F37A97B" w:rsidR="00AC5DB7" w:rsidRPr="00E81073" w:rsidRDefault="00AC5DB7" w:rsidP="002A5CC4">
            <w:pPr>
              <w:pStyle w:val="TableText0"/>
              <w:keepLines/>
              <w:rPr>
                <w:szCs w:val="20"/>
              </w:rPr>
            </w:pPr>
            <w:r w:rsidRPr="00E81073">
              <w:rPr>
                <w:szCs w:val="20"/>
              </w:rPr>
              <w:t>(23,336 scripts for initial treatment, 119,980 scripts for continuing treatment)</w:t>
            </w:r>
          </w:p>
        </w:tc>
        <w:tc>
          <w:tcPr>
            <w:tcW w:w="1158" w:type="pct"/>
            <w:vAlign w:val="center"/>
          </w:tcPr>
          <w:p w14:paraId="78B4FEF1" w14:textId="77777777" w:rsidR="00AC5DB7" w:rsidRPr="00E81073" w:rsidRDefault="00AC5DB7" w:rsidP="002A5CC4">
            <w:pPr>
              <w:pStyle w:val="TableText0"/>
              <w:keepLines/>
              <w:rPr>
                <w:szCs w:val="20"/>
              </w:rPr>
            </w:pPr>
            <w:r w:rsidRPr="00E81073">
              <w:rPr>
                <w:szCs w:val="20"/>
              </w:rPr>
              <w:t xml:space="preserve">Script dispensed for ADA, ETN, IFX IV, IFX SC, UST, SEC, IXE, CZP, GOL and GUS for PsA, July 2022-June 2023, Medicare Australia statistics. </w:t>
            </w:r>
          </w:p>
          <w:p w14:paraId="2DE53561" w14:textId="77777777" w:rsidR="00AC5DB7" w:rsidRPr="00E81073" w:rsidRDefault="00AC5DB7" w:rsidP="002A5CC4">
            <w:pPr>
              <w:pStyle w:val="TableText0"/>
              <w:keepLines/>
              <w:rPr>
                <w:szCs w:val="20"/>
              </w:rPr>
            </w:pPr>
          </w:p>
          <w:p w14:paraId="4D3D94B7" w14:textId="77777777" w:rsidR="00AC5DB7" w:rsidRPr="00E81073" w:rsidRDefault="00AC5DB7" w:rsidP="002A5CC4">
            <w:pPr>
              <w:pStyle w:val="TableText0"/>
              <w:keepLines/>
              <w:rPr>
                <w:szCs w:val="20"/>
              </w:rPr>
            </w:pPr>
            <w:r w:rsidRPr="00E81073">
              <w:rPr>
                <w:szCs w:val="20"/>
              </w:rPr>
              <w:t>The submission excluded JAK inhibitors (TOF and UPA).</w:t>
            </w:r>
          </w:p>
        </w:tc>
        <w:tc>
          <w:tcPr>
            <w:tcW w:w="1837" w:type="pct"/>
            <w:vAlign w:val="center"/>
          </w:tcPr>
          <w:p w14:paraId="4E7F1F73" w14:textId="550808B6" w:rsidR="00AC5DB7" w:rsidRPr="00E81073" w:rsidRDefault="00AC5DB7" w:rsidP="002A5CC4">
            <w:pPr>
              <w:pStyle w:val="TableText0"/>
              <w:keepLines/>
              <w:rPr>
                <w:szCs w:val="20"/>
              </w:rPr>
            </w:pPr>
            <w:r w:rsidRPr="00E81073">
              <w:rPr>
                <w:szCs w:val="20"/>
              </w:rPr>
              <w:t xml:space="preserve">Potential underestimate. The submission estimated the size of the current market in calendar 2024 (Year 0) based on utilisation data for financial year </w:t>
            </w:r>
            <w:proofErr w:type="gramStart"/>
            <w:r w:rsidRPr="00E81073">
              <w:rPr>
                <w:szCs w:val="20"/>
              </w:rPr>
              <w:t xml:space="preserve">2023, </w:t>
            </w:r>
            <w:r w:rsidR="00384B9E" w:rsidRPr="00E81073">
              <w:rPr>
                <w:szCs w:val="20"/>
              </w:rPr>
              <w:t>and</w:t>
            </w:r>
            <w:proofErr w:type="gramEnd"/>
            <w:r w:rsidR="00384B9E" w:rsidRPr="00E81073">
              <w:rPr>
                <w:szCs w:val="20"/>
              </w:rPr>
              <w:t xml:space="preserve"> did not</w:t>
            </w:r>
            <w:r w:rsidRPr="00E81073">
              <w:rPr>
                <w:szCs w:val="20"/>
              </w:rPr>
              <w:t xml:space="preserve"> adequately justify why BKZ (an injection) would not substitute for TOF or UPA (oral tablets). There were also several errors with the item codes used in the analysis, with some items omitted (e.g. 9088H, 9087G, 10896L, 11326D) and an item for rheumatoid arthritis incorrectly included (e.g. 4284L).</w:t>
            </w:r>
          </w:p>
        </w:tc>
      </w:tr>
      <w:tr w:rsidR="00AC5DB7" w:rsidRPr="00E81073" w14:paraId="5B5FA603" w14:textId="77777777" w:rsidTr="00621EA3">
        <w:tc>
          <w:tcPr>
            <w:tcW w:w="784" w:type="pct"/>
            <w:vAlign w:val="center"/>
          </w:tcPr>
          <w:p w14:paraId="08F0D66D" w14:textId="77777777" w:rsidR="00AC5DB7" w:rsidRPr="00E81073" w:rsidRDefault="00AC5DB7" w:rsidP="002A5CC4">
            <w:pPr>
              <w:pStyle w:val="TableText0"/>
              <w:keepLines/>
              <w:rPr>
                <w:szCs w:val="20"/>
              </w:rPr>
            </w:pPr>
            <w:r w:rsidRPr="00E81073">
              <w:rPr>
                <w:szCs w:val="20"/>
              </w:rPr>
              <w:t>Background market growth</w:t>
            </w:r>
          </w:p>
        </w:tc>
        <w:tc>
          <w:tcPr>
            <w:tcW w:w="1221" w:type="pct"/>
            <w:vAlign w:val="center"/>
          </w:tcPr>
          <w:p w14:paraId="1A5ED876" w14:textId="77777777" w:rsidR="00AC5DB7" w:rsidRPr="00E81073" w:rsidRDefault="00AC5DB7" w:rsidP="002A5CC4">
            <w:pPr>
              <w:pStyle w:val="TableText0"/>
              <w:keepLines/>
              <w:rPr>
                <w:szCs w:val="20"/>
              </w:rPr>
            </w:pPr>
            <w:r w:rsidRPr="00E81073">
              <w:rPr>
                <w:szCs w:val="20"/>
              </w:rPr>
              <w:t>Yr 0-6: 1.9%</w:t>
            </w:r>
          </w:p>
        </w:tc>
        <w:tc>
          <w:tcPr>
            <w:tcW w:w="1158" w:type="pct"/>
            <w:vAlign w:val="center"/>
          </w:tcPr>
          <w:p w14:paraId="43A2D792" w14:textId="77777777" w:rsidR="00AC5DB7" w:rsidRPr="00E81073" w:rsidRDefault="00AC5DB7" w:rsidP="002A5CC4">
            <w:pPr>
              <w:pStyle w:val="TableText0"/>
              <w:keepLines/>
              <w:rPr>
                <w:szCs w:val="20"/>
              </w:rPr>
            </w:pPr>
            <w:r w:rsidRPr="00E81073">
              <w:rPr>
                <w:szCs w:val="20"/>
              </w:rPr>
              <w:t>Assumed equivalent to population growth (not cited), given the maturity of the market (e.g. 11 comparators).</w:t>
            </w:r>
          </w:p>
        </w:tc>
        <w:tc>
          <w:tcPr>
            <w:tcW w:w="1837" w:type="pct"/>
            <w:vAlign w:val="center"/>
          </w:tcPr>
          <w:p w14:paraId="5934D86D" w14:textId="77777777" w:rsidR="00AC5DB7" w:rsidRPr="00E81073" w:rsidRDefault="00AC5DB7" w:rsidP="002A5CC4">
            <w:pPr>
              <w:pStyle w:val="TableText0"/>
              <w:keepLines/>
              <w:rPr>
                <w:szCs w:val="20"/>
              </w:rPr>
            </w:pPr>
            <w:r w:rsidRPr="00E81073">
              <w:rPr>
                <w:szCs w:val="20"/>
              </w:rPr>
              <w:t xml:space="preserve">Uncertain. Although reasonable for a stable market, the growth rate over the past three years was higher than population growth. </w:t>
            </w:r>
          </w:p>
        </w:tc>
      </w:tr>
      <w:tr w:rsidR="00AC5DB7" w:rsidRPr="00E81073" w14:paraId="1FE2D7E4" w14:textId="77777777" w:rsidTr="00621EA3">
        <w:tc>
          <w:tcPr>
            <w:tcW w:w="5000" w:type="pct"/>
            <w:gridSpan w:val="4"/>
            <w:vAlign w:val="center"/>
          </w:tcPr>
          <w:p w14:paraId="7F70A7D0" w14:textId="77777777" w:rsidR="00AC5DB7" w:rsidRPr="00E81073" w:rsidRDefault="00AC5DB7" w:rsidP="00621EA3">
            <w:pPr>
              <w:pStyle w:val="TableText0"/>
              <w:keepNext w:val="0"/>
              <w:rPr>
                <w:b/>
                <w:szCs w:val="20"/>
              </w:rPr>
            </w:pPr>
            <w:r w:rsidRPr="00E81073">
              <w:rPr>
                <w:b/>
                <w:szCs w:val="20"/>
              </w:rPr>
              <w:t>Treatment utilisation</w:t>
            </w:r>
          </w:p>
        </w:tc>
      </w:tr>
      <w:tr w:rsidR="00AC5DB7" w:rsidRPr="00E81073" w14:paraId="125B3A65" w14:textId="77777777" w:rsidTr="00621EA3">
        <w:tc>
          <w:tcPr>
            <w:tcW w:w="784" w:type="pct"/>
            <w:vAlign w:val="center"/>
          </w:tcPr>
          <w:p w14:paraId="5C810D15" w14:textId="77777777" w:rsidR="00AC5DB7" w:rsidRPr="00E81073" w:rsidRDefault="00AC5DB7" w:rsidP="00621EA3">
            <w:pPr>
              <w:pStyle w:val="TableText0"/>
              <w:keepNext w:val="0"/>
              <w:rPr>
                <w:szCs w:val="20"/>
              </w:rPr>
            </w:pPr>
            <w:r w:rsidRPr="00E81073">
              <w:rPr>
                <w:szCs w:val="20"/>
              </w:rPr>
              <w:t xml:space="preserve">Uptake rate, </w:t>
            </w:r>
          </w:p>
          <w:p w14:paraId="5DDFD4DD" w14:textId="77777777" w:rsidR="00AC5DB7" w:rsidRPr="00E81073" w:rsidRDefault="00AC5DB7" w:rsidP="00621EA3">
            <w:pPr>
              <w:pStyle w:val="TableText0"/>
              <w:keepNext w:val="0"/>
              <w:rPr>
                <w:szCs w:val="20"/>
              </w:rPr>
            </w:pPr>
            <w:r w:rsidRPr="00E81073">
              <w:rPr>
                <w:szCs w:val="20"/>
              </w:rPr>
              <w:t>BKZ (%)</w:t>
            </w:r>
          </w:p>
        </w:tc>
        <w:tc>
          <w:tcPr>
            <w:tcW w:w="1221" w:type="pct"/>
            <w:vAlign w:val="center"/>
          </w:tcPr>
          <w:tbl>
            <w:tblPr>
              <w:tblStyle w:val="TableGrid"/>
              <w:tblW w:w="5000" w:type="pct"/>
              <w:tblCellMar>
                <w:left w:w="28" w:type="dxa"/>
                <w:right w:w="28" w:type="dxa"/>
              </w:tblCellMar>
              <w:tblLook w:val="04A0" w:firstRow="1" w:lastRow="0" w:firstColumn="1" w:lastColumn="0" w:noHBand="0" w:noVBand="1"/>
            </w:tblPr>
            <w:tblGrid>
              <w:gridCol w:w="375"/>
              <w:gridCol w:w="417"/>
              <w:gridCol w:w="433"/>
              <w:gridCol w:w="456"/>
              <w:gridCol w:w="455"/>
            </w:tblGrid>
            <w:tr w:rsidR="00AC5DB7" w:rsidRPr="00E81073" w14:paraId="19E9C984" w14:textId="77777777" w:rsidTr="00621EA3">
              <w:tc>
                <w:tcPr>
                  <w:tcW w:w="876" w:type="pct"/>
                  <w:vMerge w:val="restart"/>
                  <w:vAlign w:val="center"/>
                </w:tcPr>
                <w:p w14:paraId="6EF61440" w14:textId="77777777" w:rsidR="00AC5DB7" w:rsidRPr="00E81073" w:rsidRDefault="00AC5DB7" w:rsidP="00621EA3">
                  <w:pPr>
                    <w:pStyle w:val="TableText0"/>
                    <w:keepNext w:val="0"/>
                    <w:jc w:val="center"/>
                    <w:rPr>
                      <w:szCs w:val="20"/>
                    </w:rPr>
                  </w:pPr>
                </w:p>
              </w:tc>
              <w:tc>
                <w:tcPr>
                  <w:tcW w:w="977" w:type="pct"/>
                  <w:vMerge w:val="restart"/>
                  <w:vAlign w:val="center"/>
                </w:tcPr>
                <w:p w14:paraId="7173BFA7" w14:textId="77777777" w:rsidR="00AC5DB7" w:rsidRPr="00E81073" w:rsidRDefault="00AC5DB7" w:rsidP="00621EA3">
                  <w:pPr>
                    <w:pStyle w:val="TableText0"/>
                    <w:jc w:val="center"/>
                    <w:rPr>
                      <w:b/>
                      <w:szCs w:val="20"/>
                    </w:rPr>
                  </w:pPr>
                  <w:r w:rsidRPr="00E81073">
                    <w:rPr>
                      <w:b/>
                      <w:szCs w:val="20"/>
                    </w:rPr>
                    <w:t>IXE</w:t>
                  </w:r>
                </w:p>
              </w:tc>
              <w:tc>
                <w:tcPr>
                  <w:tcW w:w="1014" w:type="pct"/>
                  <w:vMerge w:val="restart"/>
                  <w:vAlign w:val="center"/>
                </w:tcPr>
                <w:p w14:paraId="008C52CC" w14:textId="77777777" w:rsidR="00AC5DB7" w:rsidRPr="00E81073" w:rsidRDefault="00AC5DB7" w:rsidP="00621EA3">
                  <w:pPr>
                    <w:pStyle w:val="TableText0"/>
                    <w:jc w:val="center"/>
                    <w:rPr>
                      <w:b/>
                      <w:szCs w:val="20"/>
                    </w:rPr>
                  </w:pPr>
                  <w:r w:rsidRPr="00E81073">
                    <w:rPr>
                      <w:b/>
                      <w:szCs w:val="20"/>
                    </w:rPr>
                    <w:t>SEC</w:t>
                  </w:r>
                </w:p>
              </w:tc>
              <w:tc>
                <w:tcPr>
                  <w:tcW w:w="2133" w:type="pct"/>
                  <w:gridSpan w:val="2"/>
                  <w:vAlign w:val="center"/>
                </w:tcPr>
                <w:p w14:paraId="22510998" w14:textId="77777777" w:rsidR="00AC5DB7" w:rsidRPr="00E81073" w:rsidRDefault="00AC5DB7" w:rsidP="00621EA3">
                  <w:pPr>
                    <w:pStyle w:val="TableText0"/>
                    <w:keepNext w:val="0"/>
                    <w:jc w:val="center"/>
                    <w:rPr>
                      <w:b/>
                      <w:szCs w:val="20"/>
                    </w:rPr>
                  </w:pPr>
                  <w:r w:rsidRPr="00E81073">
                    <w:rPr>
                      <w:b/>
                      <w:szCs w:val="20"/>
                    </w:rPr>
                    <w:t>Other</w:t>
                  </w:r>
                </w:p>
              </w:tc>
            </w:tr>
            <w:tr w:rsidR="00AC5DB7" w:rsidRPr="00E81073" w14:paraId="322AAB0D" w14:textId="77777777" w:rsidTr="00DE43FD">
              <w:tc>
                <w:tcPr>
                  <w:tcW w:w="876" w:type="pct"/>
                  <w:vMerge/>
                  <w:vAlign w:val="center"/>
                </w:tcPr>
                <w:p w14:paraId="38E47BE5" w14:textId="77777777" w:rsidR="00AC5DB7" w:rsidRPr="00E81073" w:rsidRDefault="00AC5DB7" w:rsidP="00621EA3">
                  <w:pPr>
                    <w:pStyle w:val="TableText0"/>
                    <w:keepNext w:val="0"/>
                    <w:jc w:val="center"/>
                    <w:rPr>
                      <w:szCs w:val="20"/>
                    </w:rPr>
                  </w:pPr>
                </w:p>
              </w:tc>
              <w:tc>
                <w:tcPr>
                  <w:tcW w:w="977" w:type="pct"/>
                  <w:vMerge/>
                  <w:tcBorders>
                    <w:bottom w:val="single" w:sz="4" w:space="0" w:color="auto"/>
                  </w:tcBorders>
                  <w:vAlign w:val="center"/>
                </w:tcPr>
                <w:p w14:paraId="3071E575" w14:textId="77777777" w:rsidR="00AC5DB7" w:rsidRPr="00E81073" w:rsidRDefault="00AC5DB7" w:rsidP="00621EA3">
                  <w:pPr>
                    <w:pStyle w:val="TableText0"/>
                    <w:keepNext w:val="0"/>
                    <w:jc w:val="center"/>
                    <w:rPr>
                      <w:b/>
                      <w:szCs w:val="20"/>
                    </w:rPr>
                  </w:pPr>
                </w:p>
              </w:tc>
              <w:tc>
                <w:tcPr>
                  <w:tcW w:w="1014" w:type="pct"/>
                  <w:vMerge/>
                  <w:tcBorders>
                    <w:bottom w:val="single" w:sz="4" w:space="0" w:color="auto"/>
                  </w:tcBorders>
                  <w:vAlign w:val="center"/>
                </w:tcPr>
                <w:p w14:paraId="1C7C92D2" w14:textId="77777777" w:rsidR="00AC5DB7" w:rsidRPr="00E81073" w:rsidRDefault="00AC5DB7" w:rsidP="00621EA3">
                  <w:pPr>
                    <w:pStyle w:val="TableText0"/>
                    <w:keepNext w:val="0"/>
                    <w:jc w:val="center"/>
                    <w:rPr>
                      <w:b/>
                      <w:szCs w:val="20"/>
                    </w:rPr>
                  </w:pPr>
                </w:p>
              </w:tc>
              <w:tc>
                <w:tcPr>
                  <w:tcW w:w="1067" w:type="pct"/>
                  <w:tcBorders>
                    <w:bottom w:val="single" w:sz="4" w:space="0" w:color="auto"/>
                  </w:tcBorders>
                  <w:vAlign w:val="center"/>
                </w:tcPr>
                <w:p w14:paraId="7219498B" w14:textId="77777777" w:rsidR="00AC5DB7" w:rsidRPr="00E81073" w:rsidRDefault="00AC5DB7" w:rsidP="00621EA3">
                  <w:pPr>
                    <w:pStyle w:val="TableText0"/>
                    <w:keepNext w:val="0"/>
                    <w:jc w:val="center"/>
                    <w:rPr>
                      <w:b/>
                      <w:szCs w:val="20"/>
                    </w:rPr>
                  </w:pPr>
                  <w:r w:rsidRPr="00E81073">
                    <w:rPr>
                      <w:b/>
                      <w:szCs w:val="20"/>
                    </w:rPr>
                    <w:t>SC</w:t>
                  </w:r>
                </w:p>
              </w:tc>
              <w:tc>
                <w:tcPr>
                  <w:tcW w:w="1067" w:type="pct"/>
                  <w:vAlign w:val="center"/>
                </w:tcPr>
                <w:p w14:paraId="4F274FBB" w14:textId="77777777" w:rsidR="00AC5DB7" w:rsidRPr="00E81073" w:rsidRDefault="00AC5DB7" w:rsidP="00621EA3">
                  <w:pPr>
                    <w:pStyle w:val="TableText0"/>
                    <w:keepNext w:val="0"/>
                    <w:jc w:val="center"/>
                    <w:rPr>
                      <w:b/>
                      <w:szCs w:val="20"/>
                    </w:rPr>
                  </w:pPr>
                  <w:r w:rsidRPr="00E81073">
                    <w:rPr>
                      <w:b/>
                      <w:szCs w:val="20"/>
                    </w:rPr>
                    <w:t>IV</w:t>
                  </w:r>
                </w:p>
              </w:tc>
            </w:tr>
            <w:tr w:rsidR="00AC5DB7" w:rsidRPr="00E81073" w14:paraId="785D7B16" w14:textId="77777777" w:rsidTr="00DE43FD">
              <w:tc>
                <w:tcPr>
                  <w:tcW w:w="876" w:type="pct"/>
                  <w:vAlign w:val="center"/>
                </w:tcPr>
                <w:p w14:paraId="29F0DDB4" w14:textId="77777777" w:rsidR="00AC5DB7" w:rsidRPr="00E81073" w:rsidRDefault="00AC5DB7" w:rsidP="00621EA3">
                  <w:pPr>
                    <w:pStyle w:val="TableText0"/>
                    <w:keepNext w:val="0"/>
                    <w:jc w:val="center"/>
                    <w:rPr>
                      <w:szCs w:val="20"/>
                    </w:rPr>
                  </w:pPr>
                  <w:r w:rsidRPr="00E81073">
                    <w:rPr>
                      <w:szCs w:val="20"/>
                    </w:rPr>
                    <w:t>Yr1</w:t>
                  </w:r>
                </w:p>
              </w:tc>
              <w:tc>
                <w:tcPr>
                  <w:tcW w:w="977" w:type="pct"/>
                  <w:tcBorders>
                    <w:bottom w:val="single" w:sz="4" w:space="0" w:color="auto"/>
                  </w:tcBorders>
                  <w:shd w:val="solid" w:color="000000" w:fill="000000"/>
                  <w:vAlign w:val="center"/>
                </w:tcPr>
                <w:p w14:paraId="1875FCEA" w14:textId="1FF92AFF" w:rsidR="00AC5DB7" w:rsidRPr="00AF4912" w:rsidRDefault="00DE43FD" w:rsidP="00621EA3">
                  <w:pPr>
                    <w:pStyle w:val="TableText0"/>
                    <w:keepNext w:val="0"/>
                    <w:jc w:val="center"/>
                    <w:rPr>
                      <w:szCs w:val="20"/>
                      <w:highlight w:val="darkGray"/>
                    </w:rPr>
                  </w:pPr>
                  <w:r w:rsidRPr="00DE43FD">
                    <w:rPr>
                      <w:color w:val="000000"/>
                      <w:spacing w:val="46"/>
                      <w:szCs w:val="20"/>
                      <w:fitText w:val="311" w:id="-963397632"/>
                      <w14:textFill>
                        <w14:solidFill>
                          <w14:srgbClr w14:val="000000">
                            <w14:alpha w14:val="100000"/>
                          </w14:srgbClr>
                        </w14:solidFill>
                      </w14:textFill>
                    </w:rPr>
                    <w:t>|||</w:t>
                  </w:r>
                  <w:r w:rsidRPr="00DE43FD">
                    <w:rPr>
                      <w:color w:val="000000"/>
                      <w:spacing w:val="3"/>
                      <w:szCs w:val="20"/>
                      <w:fitText w:val="311" w:id="-963397632"/>
                      <w14:textFill>
                        <w14:solidFill>
                          <w14:srgbClr w14:val="000000">
                            <w14:alpha w14:val="100000"/>
                          </w14:srgbClr>
                        </w14:solidFill>
                      </w14:textFill>
                    </w:rPr>
                    <w:t>|</w:t>
                  </w:r>
                </w:p>
              </w:tc>
              <w:tc>
                <w:tcPr>
                  <w:tcW w:w="1014" w:type="pct"/>
                  <w:tcBorders>
                    <w:bottom w:val="single" w:sz="4" w:space="0" w:color="auto"/>
                  </w:tcBorders>
                  <w:shd w:val="solid" w:color="000000" w:fill="000000"/>
                  <w:vAlign w:val="center"/>
                </w:tcPr>
                <w:p w14:paraId="01744B2B" w14:textId="624F833F" w:rsidR="00AC5DB7" w:rsidRPr="00AF4912" w:rsidRDefault="00DE43FD" w:rsidP="00621EA3">
                  <w:pPr>
                    <w:pStyle w:val="TableText0"/>
                    <w:keepNext w:val="0"/>
                    <w:jc w:val="center"/>
                    <w:rPr>
                      <w:szCs w:val="20"/>
                      <w:highlight w:val="darkGray"/>
                    </w:rPr>
                  </w:pPr>
                  <w:r w:rsidRPr="00DE43FD">
                    <w:rPr>
                      <w:color w:val="000000"/>
                      <w:spacing w:val="46"/>
                      <w:szCs w:val="20"/>
                      <w:fitText w:val="311" w:id="-963397631"/>
                      <w14:textFill>
                        <w14:solidFill>
                          <w14:srgbClr w14:val="000000">
                            <w14:alpha w14:val="100000"/>
                          </w14:srgbClr>
                        </w14:solidFill>
                      </w14:textFill>
                    </w:rPr>
                    <w:t>|||</w:t>
                  </w:r>
                  <w:r w:rsidRPr="00DE43FD">
                    <w:rPr>
                      <w:color w:val="000000"/>
                      <w:spacing w:val="3"/>
                      <w:szCs w:val="20"/>
                      <w:fitText w:val="311" w:id="-963397631"/>
                      <w14:textFill>
                        <w14:solidFill>
                          <w14:srgbClr w14:val="000000">
                            <w14:alpha w14:val="100000"/>
                          </w14:srgbClr>
                        </w14:solidFill>
                      </w14:textFill>
                    </w:rPr>
                    <w:t>|</w:t>
                  </w:r>
                </w:p>
              </w:tc>
              <w:tc>
                <w:tcPr>
                  <w:tcW w:w="1067" w:type="pct"/>
                  <w:tcBorders>
                    <w:bottom w:val="single" w:sz="4" w:space="0" w:color="auto"/>
                  </w:tcBorders>
                  <w:shd w:val="solid" w:color="000000" w:fill="000000"/>
                  <w:vAlign w:val="center"/>
                </w:tcPr>
                <w:p w14:paraId="65745FE6" w14:textId="03B27CA5" w:rsidR="00AC5DB7" w:rsidRPr="00AF4912" w:rsidRDefault="00DE43FD" w:rsidP="00621EA3">
                  <w:pPr>
                    <w:pStyle w:val="TableText0"/>
                    <w:keepNext w:val="0"/>
                    <w:jc w:val="center"/>
                    <w:rPr>
                      <w:szCs w:val="20"/>
                      <w:highlight w:val="darkGray"/>
                    </w:rPr>
                  </w:pPr>
                  <w:r w:rsidRPr="00DE43FD">
                    <w:rPr>
                      <w:color w:val="000000"/>
                      <w:spacing w:val="46"/>
                      <w:szCs w:val="20"/>
                      <w:fitText w:val="311" w:id="-963397630"/>
                      <w14:textFill>
                        <w14:solidFill>
                          <w14:srgbClr w14:val="000000">
                            <w14:alpha w14:val="100000"/>
                          </w14:srgbClr>
                        </w14:solidFill>
                      </w14:textFill>
                    </w:rPr>
                    <w:t>|||</w:t>
                  </w:r>
                  <w:r w:rsidRPr="00DE43FD">
                    <w:rPr>
                      <w:color w:val="000000"/>
                      <w:spacing w:val="3"/>
                      <w:szCs w:val="20"/>
                      <w:fitText w:val="311" w:id="-963397630"/>
                      <w14:textFill>
                        <w14:solidFill>
                          <w14:srgbClr w14:val="000000">
                            <w14:alpha w14:val="100000"/>
                          </w14:srgbClr>
                        </w14:solidFill>
                      </w14:textFill>
                    </w:rPr>
                    <w:t>|</w:t>
                  </w:r>
                </w:p>
              </w:tc>
              <w:tc>
                <w:tcPr>
                  <w:tcW w:w="1067" w:type="pct"/>
                  <w:vAlign w:val="center"/>
                </w:tcPr>
                <w:p w14:paraId="3C8FEBFF" w14:textId="77777777" w:rsidR="00AC5DB7" w:rsidRPr="00E81073" w:rsidRDefault="00AC5DB7" w:rsidP="00621EA3">
                  <w:pPr>
                    <w:pStyle w:val="TableText0"/>
                    <w:keepNext w:val="0"/>
                    <w:jc w:val="center"/>
                    <w:rPr>
                      <w:szCs w:val="20"/>
                    </w:rPr>
                  </w:pPr>
                  <w:r w:rsidRPr="00E81073">
                    <w:rPr>
                      <w:szCs w:val="20"/>
                    </w:rPr>
                    <w:t>0%</w:t>
                  </w:r>
                </w:p>
              </w:tc>
            </w:tr>
            <w:tr w:rsidR="00AC5DB7" w:rsidRPr="00E81073" w14:paraId="06193A79" w14:textId="77777777" w:rsidTr="00DE43FD">
              <w:tc>
                <w:tcPr>
                  <w:tcW w:w="876" w:type="pct"/>
                  <w:vAlign w:val="center"/>
                </w:tcPr>
                <w:p w14:paraId="3547F8F3" w14:textId="77777777" w:rsidR="00AC5DB7" w:rsidRPr="00E81073" w:rsidRDefault="00AC5DB7" w:rsidP="00621EA3">
                  <w:pPr>
                    <w:pStyle w:val="TableText0"/>
                    <w:keepNext w:val="0"/>
                    <w:jc w:val="center"/>
                    <w:rPr>
                      <w:szCs w:val="20"/>
                    </w:rPr>
                  </w:pPr>
                  <w:r w:rsidRPr="00E81073">
                    <w:rPr>
                      <w:szCs w:val="20"/>
                    </w:rPr>
                    <w:t>Yr2</w:t>
                  </w:r>
                </w:p>
              </w:tc>
              <w:tc>
                <w:tcPr>
                  <w:tcW w:w="977" w:type="pct"/>
                  <w:tcBorders>
                    <w:bottom w:val="single" w:sz="4" w:space="0" w:color="auto"/>
                  </w:tcBorders>
                  <w:shd w:val="solid" w:color="000000" w:fill="000000"/>
                  <w:vAlign w:val="center"/>
                </w:tcPr>
                <w:p w14:paraId="252642CB" w14:textId="68760A73" w:rsidR="00AC5DB7" w:rsidRPr="00AF4912" w:rsidRDefault="00DE43FD" w:rsidP="00621EA3">
                  <w:pPr>
                    <w:pStyle w:val="TableText0"/>
                    <w:keepNext w:val="0"/>
                    <w:jc w:val="center"/>
                    <w:rPr>
                      <w:szCs w:val="20"/>
                      <w:highlight w:val="darkGray"/>
                    </w:rPr>
                  </w:pPr>
                  <w:r w:rsidRPr="00DE43FD">
                    <w:rPr>
                      <w:color w:val="000000"/>
                      <w:spacing w:val="46"/>
                      <w:szCs w:val="20"/>
                      <w:fitText w:val="311" w:id="-963397629"/>
                      <w14:textFill>
                        <w14:solidFill>
                          <w14:srgbClr w14:val="000000">
                            <w14:alpha w14:val="100000"/>
                          </w14:srgbClr>
                        </w14:solidFill>
                      </w14:textFill>
                    </w:rPr>
                    <w:t>|||</w:t>
                  </w:r>
                  <w:r w:rsidRPr="00DE43FD">
                    <w:rPr>
                      <w:color w:val="000000"/>
                      <w:spacing w:val="3"/>
                      <w:szCs w:val="20"/>
                      <w:fitText w:val="311" w:id="-963397629"/>
                      <w14:textFill>
                        <w14:solidFill>
                          <w14:srgbClr w14:val="000000">
                            <w14:alpha w14:val="100000"/>
                          </w14:srgbClr>
                        </w14:solidFill>
                      </w14:textFill>
                    </w:rPr>
                    <w:t>|</w:t>
                  </w:r>
                </w:p>
              </w:tc>
              <w:tc>
                <w:tcPr>
                  <w:tcW w:w="1014" w:type="pct"/>
                  <w:tcBorders>
                    <w:bottom w:val="single" w:sz="4" w:space="0" w:color="auto"/>
                  </w:tcBorders>
                  <w:shd w:val="solid" w:color="000000" w:fill="000000"/>
                  <w:vAlign w:val="center"/>
                </w:tcPr>
                <w:p w14:paraId="47DD2848" w14:textId="11BFBF38" w:rsidR="00AC5DB7" w:rsidRPr="00AF4912" w:rsidRDefault="00DE43FD" w:rsidP="00621EA3">
                  <w:pPr>
                    <w:pStyle w:val="TableText0"/>
                    <w:keepNext w:val="0"/>
                    <w:jc w:val="center"/>
                    <w:rPr>
                      <w:szCs w:val="20"/>
                      <w:highlight w:val="darkGray"/>
                    </w:rPr>
                  </w:pPr>
                  <w:r w:rsidRPr="00DE43FD">
                    <w:rPr>
                      <w:color w:val="000000"/>
                      <w:spacing w:val="46"/>
                      <w:szCs w:val="20"/>
                      <w:fitText w:val="311" w:id="-963397628"/>
                      <w14:textFill>
                        <w14:solidFill>
                          <w14:srgbClr w14:val="000000">
                            <w14:alpha w14:val="100000"/>
                          </w14:srgbClr>
                        </w14:solidFill>
                      </w14:textFill>
                    </w:rPr>
                    <w:t>|||</w:t>
                  </w:r>
                  <w:r w:rsidRPr="00DE43FD">
                    <w:rPr>
                      <w:color w:val="000000"/>
                      <w:spacing w:val="3"/>
                      <w:szCs w:val="20"/>
                      <w:fitText w:val="311" w:id="-963397628"/>
                      <w14:textFill>
                        <w14:solidFill>
                          <w14:srgbClr w14:val="000000">
                            <w14:alpha w14:val="100000"/>
                          </w14:srgbClr>
                        </w14:solidFill>
                      </w14:textFill>
                    </w:rPr>
                    <w:t>|</w:t>
                  </w:r>
                </w:p>
              </w:tc>
              <w:tc>
                <w:tcPr>
                  <w:tcW w:w="1067" w:type="pct"/>
                  <w:tcBorders>
                    <w:bottom w:val="single" w:sz="4" w:space="0" w:color="auto"/>
                  </w:tcBorders>
                  <w:shd w:val="solid" w:color="000000" w:fill="000000"/>
                  <w:vAlign w:val="center"/>
                </w:tcPr>
                <w:p w14:paraId="0A5F3763" w14:textId="63843268" w:rsidR="00AC5DB7" w:rsidRPr="00AF4912" w:rsidRDefault="00DE43FD" w:rsidP="00621EA3">
                  <w:pPr>
                    <w:pStyle w:val="TableText0"/>
                    <w:keepNext w:val="0"/>
                    <w:jc w:val="center"/>
                    <w:rPr>
                      <w:szCs w:val="20"/>
                      <w:highlight w:val="darkGray"/>
                    </w:rPr>
                  </w:pPr>
                  <w:r w:rsidRPr="00DE43FD">
                    <w:rPr>
                      <w:color w:val="000000"/>
                      <w:spacing w:val="46"/>
                      <w:szCs w:val="20"/>
                      <w:fitText w:val="311" w:id="-963397627"/>
                      <w14:textFill>
                        <w14:solidFill>
                          <w14:srgbClr w14:val="000000">
                            <w14:alpha w14:val="100000"/>
                          </w14:srgbClr>
                        </w14:solidFill>
                      </w14:textFill>
                    </w:rPr>
                    <w:t>|||</w:t>
                  </w:r>
                  <w:r w:rsidRPr="00DE43FD">
                    <w:rPr>
                      <w:color w:val="000000"/>
                      <w:spacing w:val="3"/>
                      <w:szCs w:val="20"/>
                      <w:fitText w:val="311" w:id="-963397627"/>
                      <w14:textFill>
                        <w14:solidFill>
                          <w14:srgbClr w14:val="000000">
                            <w14:alpha w14:val="100000"/>
                          </w14:srgbClr>
                        </w14:solidFill>
                      </w14:textFill>
                    </w:rPr>
                    <w:t>|</w:t>
                  </w:r>
                </w:p>
              </w:tc>
              <w:tc>
                <w:tcPr>
                  <w:tcW w:w="1067" w:type="pct"/>
                  <w:vAlign w:val="center"/>
                </w:tcPr>
                <w:p w14:paraId="01DC93A8" w14:textId="77777777" w:rsidR="00AC5DB7" w:rsidRPr="00E81073" w:rsidRDefault="00AC5DB7" w:rsidP="00621EA3">
                  <w:pPr>
                    <w:pStyle w:val="TableText0"/>
                    <w:keepNext w:val="0"/>
                    <w:jc w:val="center"/>
                    <w:rPr>
                      <w:szCs w:val="20"/>
                    </w:rPr>
                  </w:pPr>
                  <w:r w:rsidRPr="00E81073">
                    <w:rPr>
                      <w:szCs w:val="20"/>
                    </w:rPr>
                    <w:t>0%</w:t>
                  </w:r>
                </w:p>
              </w:tc>
            </w:tr>
            <w:tr w:rsidR="00AC5DB7" w:rsidRPr="00E81073" w14:paraId="1028A083" w14:textId="77777777" w:rsidTr="00DE43FD">
              <w:tc>
                <w:tcPr>
                  <w:tcW w:w="876" w:type="pct"/>
                  <w:vAlign w:val="center"/>
                </w:tcPr>
                <w:p w14:paraId="10E4EE68" w14:textId="77777777" w:rsidR="00AC5DB7" w:rsidRPr="00E81073" w:rsidRDefault="00AC5DB7" w:rsidP="00621EA3">
                  <w:pPr>
                    <w:pStyle w:val="TableText0"/>
                    <w:keepNext w:val="0"/>
                    <w:jc w:val="center"/>
                    <w:rPr>
                      <w:szCs w:val="20"/>
                    </w:rPr>
                  </w:pPr>
                  <w:r w:rsidRPr="00E81073">
                    <w:rPr>
                      <w:szCs w:val="20"/>
                    </w:rPr>
                    <w:t>Yr3</w:t>
                  </w:r>
                </w:p>
              </w:tc>
              <w:tc>
                <w:tcPr>
                  <w:tcW w:w="977" w:type="pct"/>
                  <w:tcBorders>
                    <w:bottom w:val="single" w:sz="4" w:space="0" w:color="auto"/>
                  </w:tcBorders>
                  <w:shd w:val="solid" w:color="000000" w:fill="000000"/>
                  <w:vAlign w:val="center"/>
                </w:tcPr>
                <w:p w14:paraId="399AC9F7" w14:textId="6AF89694" w:rsidR="00AC5DB7" w:rsidRPr="00AF4912" w:rsidRDefault="00DE43FD" w:rsidP="00621EA3">
                  <w:pPr>
                    <w:pStyle w:val="TableText0"/>
                    <w:keepNext w:val="0"/>
                    <w:jc w:val="center"/>
                    <w:rPr>
                      <w:szCs w:val="20"/>
                      <w:highlight w:val="darkGray"/>
                    </w:rPr>
                  </w:pPr>
                  <w:r w:rsidRPr="00DE43FD">
                    <w:rPr>
                      <w:color w:val="000000"/>
                      <w:spacing w:val="46"/>
                      <w:szCs w:val="20"/>
                      <w:fitText w:val="311" w:id="-963397626"/>
                      <w14:textFill>
                        <w14:solidFill>
                          <w14:srgbClr w14:val="000000">
                            <w14:alpha w14:val="100000"/>
                          </w14:srgbClr>
                        </w14:solidFill>
                      </w14:textFill>
                    </w:rPr>
                    <w:t>|||</w:t>
                  </w:r>
                  <w:r w:rsidRPr="00DE43FD">
                    <w:rPr>
                      <w:color w:val="000000"/>
                      <w:spacing w:val="3"/>
                      <w:szCs w:val="20"/>
                      <w:fitText w:val="311" w:id="-963397626"/>
                      <w14:textFill>
                        <w14:solidFill>
                          <w14:srgbClr w14:val="000000">
                            <w14:alpha w14:val="100000"/>
                          </w14:srgbClr>
                        </w14:solidFill>
                      </w14:textFill>
                    </w:rPr>
                    <w:t>|</w:t>
                  </w:r>
                </w:p>
              </w:tc>
              <w:tc>
                <w:tcPr>
                  <w:tcW w:w="1014" w:type="pct"/>
                  <w:tcBorders>
                    <w:bottom w:val="single" w:sz="4" w:space="0" w:color="auto"/>
                  </w:tcBorders>
                  <w:shd w:val="solid" w:color="000000" w:fill="000000"/>
                  <w:vAlign w:val="center"/>
                </w:tcPr>
                <w:p w14:paraId="0242CA2F" w14:textId="03FBB052" w:rsidR="00AC5DB7" w:rsidRPr="00AF4912" w:rsidRDefault="00DE43FD" w:rsidP="00621EA3">
                  <w:pPr>
                    <w:pStyle w:val="TableText0"/>
                    <w:keepNext w:val="0"/>
                    <w:jc w:val="center"/>
                    <w:rPr>
                      <w:szCs w:val="20"/>
                      <w:highlight w:val="darkGray"/>
                    </w:rPr>
                  </w:pPr>
                  <w:r w:rsidRPr="00DE43FD">
                    <w:rPr>
                      <w:color w:val="000000"/>
                      <w:spacing w:val="46"/>
                      <w:szCs w:val="20"/>
                      <w:fitText w:val="311" w:id="-963397625"/>
                      <w14:textFill>
                        <w14:solidFill>
                          <w14:srgbClr w14:val="000000">
                            <w14:alpha w14:val="100000"/>
                          </w14:srgbClr>
                        </w14:solidFill>
                      </w14:textFill>
                    </w:rPr>
                    <w:t>|||</w:t>
                  </w:r>
                  <w:r w:rsidRPr="00DE43FD">
                    <w:rPr>
                      <w:color w:val="000000"/>
                      <w:spacing w:val="3"/>
                      <w:szCs w:val="20"/>
                      <w:fitText w:val="311" w:id="-963397625"/>
                      <w14:textFill>
                        <w14:solidFill>
                          <w14:srgbClr w14:val="000000">
                            <w14:alpha w14:val="100000"/>
                          </w14:srgbClr>
                        </w14:solidFill>
                      </w14:textFill>
                    </w:rPr>
                    <w:t>|</w:t>
                  </w:r>
                </w:p>
              </w:tc>
              <w:tc>
                <w:tcPr>
                  <w:tcW w:w="1067" w:type="pct"/>
                  <w:tcBorders>
                    <w:bottom w:val="single" w:sz="4" w:space="0" w:color="auto"/>
                  </w:tcBorders>
                  <w:shd w:val="solid" w:color="000000" w:fill="000000"/>
                  <w:vAlign w:val="center"/>
                </w:tcPr>
                <w:p w14:paraId="575326C5" w14:textId="14C927A5" w:rsidR="00AC5DB7" w:rsidRPr="00AF4912" w:rsidRDefault="00DE43FD" w:rsidP="00621EA3">
                  <w:pPr>
                    <w:pStyle w:val="TableText0"/>
                    <w:keepNext w:val="0"/>
                    <w:jc w:val="center"/>
                    <w:rPr>
                      <w:szCs w:val="20"/>
                      <w:highlight w:val="darkGray"/>
                    </w:rPr>
                  </w:pPr>
                  <w:r w:rsidRPr="00DE43FD">
                    <w:rPr>
                      <w:color w:val="000000"/>
                      <w:spacing w:val="46"/>
                      <w:szCs w:val="20"/>
                      <w:fitText w:val="311" w:id="-963397624"/>
                      <w14:textFill>
                        <w14:solidFill>
                          <w14:srgbClr w14:val="000000">
                            <w14:alpha w14:val="100000"/>
                          </w14:srgbClr>
                        </w14:solidFill>
                      </w14:textFill>
                    </w:rPr>
                    <w:t>|||</w:t>
                  </w:r>
                  <w:r w:rsidRPr="00DE43FD">
                    <w:rPr>
                      <w:color w:val="000000"/>
                      <w:spacing w:val="3"/>
                      <w:szCs w:val="20"/>
                      <w:fitText w:val="311" w:id="-963397624"/>
                      <w14:textFill>
                        <w14:solidFill>
                          <w14:srgbClr w14:val="000000">
                            <w14:alpha w14:val="100000"/>
                          </w14:srgbClr>
                        </w14:solidFill>
                      </w14:textFill>
                    </w:rPr>
                    <w:t>|</w:t>
                  </w:r>
                </w:p>
              </w:tc>
              <w:tc>
                <w:tcPr>
                  <w:tcW w:w="1067" w:type="pct"/>
                  <w:vAlign w:val="center"/>
                </w:tcPr>
                <w:p w14:paraId="2C03282A" w14:textId="77777777" w:rsidR="00AC5DB7" w:rsidRPr="00E81073" w:rsidRDefault="00AC5DB7" w:rsidP="00621EA3">
                  <w:pPr>
                    <w:pStyle w:val="TableText0"/>
                    <w:keepNext w:val="0"/>
                    <w:jc w:val="center"/>
                    <w:rPr>
                      <w:szCs w:val="20"/>
                    </w:rPr>
                  </w:pPr>
                  <w:r w:rsidRPr="00E81073">
                    <w:rPr>
                      <w:szCs w:val="20"/>
                    </w:rPr>
                    <w:t>0%</w:t>
                  </w:r>
                </w:p>
              </w:tc>
            </w:tr>
            <w:tr w:rsidR="00AC5DB7" w:rsidRPr="00E81073" w14:paraId="48E46F02" w14:textId="77777777" w:rsidTr="00DE43FD">
              <w:tc>
                <w:tcPr>
                  <w:tcW w:w="876" w:type="pct"/>
                  <w:vAlign w:val="center"/>
                </w:tcPr>
                <w:p w14:paraId="01A27F7C" w14:textId="77777777" w:rsidR="00AC5DB7" w:rsidRPr="00E81073" w:rsidRDefault="00AC5DB7" w:rsidP="00621EA3">
                  <w:pPr>
                    <w:pStyle w:val="TableText0"/>
                    <w:keepNext w:val="0"/>
                    <w:jc w:val="center"/>
                    <w:rPr>
                      <w:szCs w:val="20"/>
                    </w:rPr>
                  </w:pPr>
                  <w:r w:rsidRPr="00E81073">
                    <w:rPr>
                      <w:szCs w:val="20"/>
                    </w:rPr>
                    <w:t>Yr4</w:t>
                  </w:r>
                </w:p>
              </w:tc>
              <w:tc>
                <w:tcPr>
                  <w:tcW w:w="977" w:type="pct"/>
                  <w:tcBorders>
                    <w:bottom w:val="single" w:sz="4" w:space="0" w:color="auto"/>
                  </w:tcBorders>
                  <w:shd w:val="solid" w:color="000000" w:fill="000000"/>
                  <w:vAlign w:val="center"/>
                </w:tcPr>
                <w:p w14:paraId="52016CDF" w14:textId="1AC87500" w:rsidR="00AC5DB7" w:rsidRPr="00AF4912" w:rsidRDefault="00DE43FD" w:rsidP="00621EA3">
                  <w:pPr>
                    <w:pStyle w:val="TableText0"/>
                    <w:keepNext w:val="0"/>
                    <w:jc w:val="center"/>
                    <w:rPr>
                      <w:szCs w:val="20"/>
                      <w:highlight w:val="darkGray"/>
                    </w:rPr>
                  </w:pPr>
                  <w:r w:rsidRPr="00DE43FD">
                    <w:rPr>
                      <w:color w:val="000000"/>
                      <w:spacing w:val="46"/>
                      <w:szCs w:val="20"/>
                      <w:fitText w:val="311" w:id="-963397623"/>
                      <w14:textFill>
                        <w14:solidFill>
                          <w14:srgbClr w14:val="000000">
                            <w14:alpha w14:val="100000"/>
                          </w14:srgbClr>
                        </w14:solidFill>
                      </w14:textFill>
                    </w:rPr>
                    <w:t>|||</w:t>
                  </w:r>
                  <w:r w:rsidRPr="00DE43FD">
                    <w:rPr>
                      <w:color w:val="000000"/>
                      <w:spacing w:val="3"/>
                      <w:szCs w:val="20"/>
                      <w:fitText w:val="311" w:id="-963397623"/>
                      <w14:textFill>
                        <w14:solidFill>
                          <w14:srgbClr w14:val="000000">
                            <w14:alpha w14:val="100000"/>
                          </w14:srgbClr>
                        </w14:solidFill>
                      </w14:textFill>
                    </w:rPr>
                    <w:t>|</w:t>
                  </w:r>
                </w:p>
              </w:tc>
              <w:tc>
                <w:tcPr>
                  <w:tcW w:w="1014" w:type="pct"/>
                  <w:tcBorders>
                    <w:bottom w:val="single" w:sz="4" w:space="0" w:color="auto"/>
                  </w:tcBorders>
                  <w:shd w:val="solid" w:color="000000" w:fill="000000"/>
                  <w:vAlign w:val="center"/>
                </w:tcPr>
                <w:p w14:paraId="1BBA8307" w14:textId="10DEB8FD" w:rsidR="00AC5DB7" w:rsidRPr="00AF4912" w:rsidRDefault="00DE43FD" w:rsidP="00621EA3">
                  <w:pPr>
                    <w:pStyle w:val="TableText0"/>
                    <w:keepNext w:val="0"/>
                    <w:jc w:val="center"/>
                    <w:rPr>
                      <w:szCs w:val="20"/>
                      <w:highlight w:val="darkGray"/>
                    </w:rPr>
                  </w:pPr>
                  <w:r w:rsidRPr="00DE43FD">
                    <w:rPr>
                      <w:color w:val="000000"/>
                      <w:spacing w:val="46"/>
                      <w:szCs w:val="20"/>
                      <w:fitText w:val="311" w:id="-963397622"/>
                      <w14:textFill>
                        <w14:solidFill>
                          <w14:srgbClr w14:val="000000">
                            <w14:alpha w14:val="100000"/>
                          </w14:srgbClr>
                        </w14:solidFill>
                      </w14:textFill>
                    </w:rPr>
                    <w:t>|||</w:t>
                  </w:r>
                  <w:r w:rsidRPr="00DE43FD">
                    <w:rPr>
                      <w:color w:val="000000"/>
                      <w:spacing w:val="3"/>
                      <w:szCs w:val="20"/>
                      <w:fitText w:val="311" w:id="-963397622"/>
                      <w14:textFill>
                        <w14:solidFill>
                          <w14:srgbClr w14:val="000000">
                            <w14:alpha w14:val="100000"/>
                          </w14:srgbClr>
                        </w14:solidFill>
                      </w14:textFill>
                    </w:rPr>
                    <w:t>|</w:t>
                  </w:r>
                </w:p>
              </w:tc>
              <w:tc>
                <w:tcPr>
                  <w:tcW w:w="1067" w:type="pct"/>
                  <w:tcBorders>
                    <w:bottom w:val="single" w:sz="4" w:space="0" w:color="auto"/>
                  </w:tcBorders>
                  <w:shd w:val="solid" w:color="000000" w:fill="000000"/>
                  <w:vAlign w:val="center"/>
                </w:tcPr>
                <w:p w14:paraId="5D416494" w14:textId="449733CE" w:rsidR="00AC5DB7" w:rsidRPr="00AF4912" w:rsidRDefault="00DE43FD" w:rsidP="00621EA3">
                  <w:pPr>
                    <w:pStyle w:val="TableText0"/>
                    <w:keepNext w:val="0"/>
                    <w:jc w:val="center"/>
                    <w:rPr>
                      <w:szCs w:val="20"/>
                      <w:highlight w:val="darkGray"/>
                    </w:rPr>
                  </w:pPr>
                  <w:r w:rsidRPr="00DE43FD">
                    <w:rPr>
                      <w:color w:val="000000"/>
                      <w:spacing w:val="46"/>
                      <w:szCs w:val="20"/>
                      <w:fitText w:val="311" w:id="-963397621"/>
                      <w14:textFill>
                        <w14:solidFill>
                          <w14:srgbClr w14:val="000000">
                            <w14:alpha w14:val="100000"/>
                          </w14:srgbClr>
                        </w14:solidFill>
                      </w14:textFill>
                    </w:rPr>
                    <w:t>|||</w:t>
                  </w:r>
                  <w:r w:rsidRPr="00DE43FD">
                    <w:rPr>
                      <w:color w:val="000000"/>
                      <w:spacing w:val="3"/>
                      <w:szCs w:val="20"/>
                      <w:fitText w:val="311" w:id="-963397621"/>
                      <w14:textFill>
                        <w14:solidFill>
                          <w14:srgbClr w14:val="000000">
                            <w14:alpha w14:val="100000"/>
                          </w14:srgbClr>
                        </w14:solidFill>
                      </w14:textFill>
                    </w:rPr>
                    <w:t>|</w:t>
                  </w:r>
                </w:p>
              </w:tc>
              <w:tc>
                <w:tcPr>
                  <w:tcW w:w="1067" w:type="pct"/>
                  <w:vAlign w:val="center"/>
                </w:tcPr>
                <w:p w14:paraId="30BC7515" w14:textId="77777777" w:rsidR="00AC5DB7" w:rsidRPr="00E81073" w:rsidRDefault="00AC5DB7" w:rsidP="00621EA3">
                  <w:pPr>
                    <w:pStyle w:val="TableText0"/>
                    <w:keepNext w:val="0"/>
                    <w:jc w:val="center"/>
                    <w:rPr>
                      <w:szCs w:val="20"/>
                    </w:rPr>
                  </w:pPr>
                  <w:r w:rsidRPr="00E81073">
                    <w:rPr>
                      <w:szCs w:val="20"/>
                    </w:rPr>
                    <w:t>0%</w:t>
                  </w:r>
                </w:p>
              </w:tc>
            </w:tr>
            <w:tr w:rsidR="00AC5DB7" w:rsidRPr="00E81073" w14:paraId="4AFA2FFA" w14:textId="77777777" w:rsidTr="00DE43FD">
              <w:tc>
                <w:tcPr>
                  <w:tcW w:w="876" w:type="pct"/>
                  <w:vAlign w:val="center"/>
                </w:tcPr>
                <w:p w14:paraId="7E838B65" w14:textId="77777777" w:rsidR="00AC5DB7" w:rsidRPr="00E81073" w:rsidRDefault="00AC5DB7" w:rsidP="00621EA3">
                  <w:pPr>
                    <w:pStyle w:val="TableText0"/>
                    <w:keepNext w:val="0"/>
                    <w:jc w:val="center"/>
                    <w:rPr>
                      <w:szCs w:val="20"/>
                    </w:rPr>
                  </w:pPr>
                  <w:r w:rsidRPr="00E81073">
                    <w:rPr>
                      <w:szCs w:val="20"/>
                    </w:rPr>
                    <w:t>Yr5</w:t>
                  </w:r>
                </w:p>
              </w:tc>
              <w:tc>
                <w:tcPr>
                  <w:tcW w:w="977" w:type="pct"/>
                  <w:tcBorders>
                    <w:bottom w:val="single" w:sz="4" w:space="0" w:color="auto"/>
                  </w:tcBorders>
                  <w:shd w:val="solid" w:color="000000" w:fill="000000"/>
                  <w:vAlign w:val="center"/>
                </w:tcPr>
                <w:p w14:paraId="1787A292" w14:textId="593B8A6F" w:rsidR="00AC5DB7" w:rsidRPr="00AF4912" w:rsidRDefault="00DE43FD" w:rsidP="00621EA3">
                  <w:pPr>
                    <w:pStyle w:val="TableText0"/>
                    <w:keepNext w:val="0"/>
                    <w:jc w:val="center"/>
                    <w:rPr>
                      <w:szCs w:val="20"/>
                      <w:highlight w:val="darkGray"/>
                    </w:rPr>
                  </w:pPr>
                  <w:r w:rsidRPr="00DE43FD">
                    <w:rPr>
                      <w:color w:val="000000"/>
                      <w:spacing w:val="46"/>
                      <w:szCs w:val="20"/>
                      <w:fitText w:val="311" w:id="-963397620"/>
                      <w14:textFill>
                        <w14:solidFill>
                          <w14:srgbClr w14:val="000000">
                            <w14:alpha w14:val="100000"/>
                          </w14:srgbClr>
                        </w14:solidFill>
                      </w14:textFill>
                    </w:rPr>
                    <w:t>|||</w:t>
                  </w:r>
                  <w:r w:rsidRPr="00DE43FD">
                    <w:rPr>
                      <w:color w:val="000000"/>
                      <w:spacing w:val="3"/>
                      <w:szCs w:val="20"/>
                      <w:fitText w:val="311" w:id="-963397620"/>
                      <w14:textFill>
                        <w14:solidFill>
                          <w14:srgbClr w14:val="000000">
                            <w14:alpha w14:val="100000"/>
                          </w14:srgbClr>
                        </w14:solidFill>
                      </w14:textFill>
                    </w:rPr>
                    <w:t>|</w:t>
                  </w:r>
                </w:p>
              </w:tc>
              <w:tc>
                <w:tcPr>
                  <w:tcW w:w="1014" w:type="pct"/>
                  <w:tcBorders>
                    <w:bottom w:val="single" w:sz="4" w:space="0" w:color="auto"/>
                  </w:tcBorders>
                  <w:shd w:val="solid" w:color="000000" w:fill="000000"/>
                  <w:vAlign w:val="center"/>
                </w:tcPr>
                <w:p w14:paraId="49747EB3" w14:textId="017773CA" w:rsidR="00AC5DB7" w:rsidRPr="00AF4912" w:rsidRDefault="00DE43FD" w:rsidP="00621EA3">
                  <w:pPr>
                    <w:pStyle w:val="TableText0"/>
                    <w:keepNext w:val="0"/>
                    <w:jc w:val="center"/>
                    <w:rPr>
                      <w:szCs w:val="20"/>
                      <w:highlight w:val="darkGray"/>
                    </w:rPr>
                  </w:pPr>
                  <w:r w:rsidRPr="00DE43FD">
                    <w:rPr>
                      <w:color w:val="000000"/>
                      <w:spacing w:val="46"/>
                      <w:szCs w:val="20"/>
                      <w:fitText w:val="311" w:id="-963397619"/>
                      <w14:textFill>
                        <w14:solidFill>
                          <w14:srgbClr w14:val="000000">
                            <w14:alpha w14:val="100000"/>
                          </w14:srgbClr>
                        </w14:solidFill>
                      </w14:textFill>
                    </w:rPr>
                    <w:t>|||</w:t>
                  </w:r>
                  <w:r w:rsidRPr="00DE43FD">
                    <w:rPr>
                      <w:color w:val="000000"/>
                      <w:spacing w:val="3"/>
                      <w:szCs w:val="20"/>
                      <w:fitText w:val="311" w:id="-963397619"/>
                      <w14:textFill>
                        <w14:solidFill>
                          <w14:srgbClr w14:val="000000">
                            <w14:alpha w14:val="100000"/>
                          </w14:srgbClr>
                        </w14:solidFill>
                      </w14:textFill>
                    </w:rPr>
                    <w:t>|</w:t>
                  </w:r>
                </w:p>
              </w:tc>
              <w:tc>
                <w:tcPr>
                  <w:tcW w:w="1067" w:type="pct"/>
                  <w:tcBorders>
                    <w:bottom w:val="single" w:sz="4" w:space="0" w:color="auto"/>
                  </w:tcBorders>
                  <w:shd w:val="solid" w:color="000000" w:fill="000000"/>
                  <w:vAlign w:val="center"/>
                </w:tcPr>
                <w:p w14:paraId="152D73B2" w14:textId="5F176ADC" w:rsidR="00AC5DB7" w:rsidRPr="00AF4912" w:rsidRDefault="00DE43FD" w:rsidP="00621EA3">
                  <w:pPr>
                    <w:pStyle w:val="TableText0"/>
                    <w:keepNext w:val="0"/>
                    <w:jc w:val="center"/>
                    <w:rPr>
                      <w:szCs w:val="20"/>
                      <w:highlight w:val="darkGray"/>
                    </w:rPr>
                  </w:pPr>
                  <w:r w:rsidRPr="00DE43FD">
                    <w:rPr>
                      <w:color w:val="000000"/>
                      <w:spacing w:val="46"/>
                      <w:szCs w:val="20"/>
                      <w:fitText w:val="311" w:id="-963397618"/>
                      <w14:textFill>
                        <w14:solidFill>
                          <w14:srgbClr w14:val="000000">
                            <w14:alpha w14:val="100000"/>
                          </w14:srgbClr>
                        </w14:solidFill>
                      </w14:textFill>
                    </w:rPr>
                    <w:t>|||</w:t>
                  </w:r>
                  <w:r w:rsidRPr="00DE43FD">
                    <w:rPr>
                      <w:color w:val="000000"/>
                      <w:spacing w:val="3"/>
                      <w:szCs w:val="20"/>
                      <w:fitText w:val="311" w:id="-963397618"/>
                      <w14:textFill>
                        <w14:solidFill>
                          <w14:srgbClr w14:val="000000">
                            <w14:alpha w14:val="100000"/>
                          </w14:srgbClr>
                        </w14:solidFill>
                      </w14:textFill>
                    </w:rPr>
                    <w:t>|</w:t>
                  </w:r>
                </w:p>
              </w:tc>
              <w:tc>
                <w:tcPr>
                  <w:tcW w:w="1067" w:type="pct"/>
                  <w:vAlign w:val="center"/>
                </w:tcPr>
                <w:p w14:paraId="0BBC1EE7" w14:textId="77777777" w:rsidR="00AC5DB7" w:rsidRPr="00E81073" w:rsidRDefault="00AC5DB7" w:rsidP="00621EA3">
                  <w:pPr>
                    <w:pStyle w:val="TableText0"/>
                    <w:keepNext w:val="0"/>
                    <w:jc w:val="center"/>
                    <w:rPr>
                      <w:szCs w:val="20"/>
                    </w:rPr>
                  </w:pPr>
                  <w:r w:rsidRPr="00E81073">
                    <w:rPr>
                      <w:szCs w:val="20"/>
                    </w:rPr>
                    <w:t>0%</w:t>
                  </w:r>
                </w:p>
              </w:tc>
            </w:tr>
            <w:tr w:rsidR="00AC5DB7" w:rsidRPr="00E81073" w14:paraId="7C4FD238" w14:textId="77777777" w:rsidTr="00DE43FD">
              <w:tc>
                <w:tcPr>
                  <w:tcW w:w="876" w:type="pct"/>
                  <w:vAlign w:val="center"/>
                </w:tcPr>
                <w:p w14:paraId="7B0F5C2A" w14:textId="77777777" w:rsidR="00AC5DB7" w:rsidRPr="00E81073" w:rsidRDefault="00AC5DB7" w:rsidP="00621EA3">
                  <w:pPr>
                    <w:pStyle w:val="TableText0"/>
                    <w:keepNext w:val="0"/>
                    <w:jc w:val="center"/>
                    <w:rPr>
                      <w:szCs w:val="20"/>
                    </w:rPr>
                  </w:pPr>
                  <w:r w:rsidRPr="00E81073">
                    <w:rPr>
                      <w:szCs w:val="20"/>
                    </w:rPr>
                    <w:t>Yr6</w:t>
                  </w:r>
                </w:p>
              </w:tc>
              <w:tc>
                <w:tcPr>
                  <w:tcW w:w="977" w:type="pct"/>
                  <w:shd w:val="solid" w:color="000000" w:fill="000000"/>
                  <w:vAlign w:val="center"/>
                </w:tcPr>
                <w:p w14:paraId="174FA900" w14:textId="2CFE08FF" w:rsidR="00AC5DB7" w:rsidRPr="00AF4912" w:rsidRDefault="00DE43FD" w:rsidP="00621EA3">
                  <w:pPr>
                    <w:pStyle w:val="TableText0"/>
                    <w:keepNext w:val="0"/>
                    <w:jc w:val="center"/>
                    <w:rPr>
                      <w:szCs w:val="20"/>
                      <w:highlight w:val="darkGray"/>
                    </w:rPr>
                  </w:pPr>
                  <w:r w:rsidRPr="00DE43FD">
                    <w:rPr>
                      <w:color w:val="000000"/>
                      <w:spacing w:val="46"/>
                      <w:szCs w:val="20"/>
                      <w:fitText w:val="311" w:id="-963397617"/>
                      <w14:textFill>
                        <w14:solidFill>
                          <w14:srgbClr w14:val="000000">
                            <w14:alpha w14:val="100000"/>
                          </w14:srgbClr>
                        </w14:solidFill>
                      </w14:textFill>
                    </w:rPr>
                    <w:t>|||</w:t>
                  </w:r>
                  <w:r w:rsidRPr="00DE43FD">
                    <w:rPr>
                      <w:color w:val="000000"/>
                      <w:spacing w:val="3"/>
                      <w:szCs w:val="20"/>
                      <w:fitText w:val="311" w:id="-963397617"/>
                      <w14:textFill>
                        <w14:solidFill>
                          <w14:srgbClr w14:val="000000">
                            <w14:alpha w14:val="100000"/>
                          </w14:srgbClr>
                        </w14:solidFill>
                      </w14:textFill>
                    </w:rPr>
                    <w:t>|</w:t>
                  </w:r>
                </w:p>
              </w:tc>
              <w:tc>
                <w:tcPr>
                  <w:tcW w:w="1014" w:type="pct"/>
                  <w:shd w:val="solid" w:color="000000" w:fill="000000"/>
                  <w:vAlign w:val="center"/>
                </w:tcPr>
                <w:p w14:paraId="661334A6" w14:textId="3CEF79B4" w:rsidR="00AC5DB7" w:rsidRPr="00AF4912" w:rsidRDefault="00DE43FD" w:rsidP="00621EA3">
                  <w:pPr>
                    <w:pStyle w:val="TableText0"/>
                    <w:keepNext w:val="0"/>
                    <w:jc w:val="center"/>
                    <w:rPr>
                      <w:szCs w:val="20"/>
                      <w:highlight w:val="darkGray"/>
                    </w:rPr>
                  </w:pPr>
                  <w:r w:rsidRPr="00DE43FD">
                    <w:rPr>
                      <w:color w:val="000000"/>
                      <w:spacing w:val="46"/>
                      <w:szCs w:val="20"/>
                      <w:fitText w:val="311" w:id="-963397616"/>
                      <w14:textFill>
                        <w14:solidFill>
                          <w14:srgbClr w14:val="000000">
                            <w14:alpha w14:val="100000"/>
                          </w14:srgbClr>
                        </w14:solidFill>
                      </w14:textFill>
                    </w:rPr>
                    <w:t>|||</w:t>
                  </w:r>
                  <w:r w:rsidRPr="00DE43FD">
                    <w:rPr>
                      <w:color w:val="000000"/>
                      <w:spacing w:val="3"/>
                      <w:szCs w:val="20"/>
                      <w:fitText w:val="311" w:id="-963397616"/>
                      <w14:textFill>
                        <w14:solidFill>
                          <w14:srgbClr w14:val="000000">
                            <w14:alpha w14:val="100000"/>
                          </w14:srgbClr>
                        </w14:solidFill>
                      </w14:textFill>
                    </w:rPr>
                    <w:t>|</w:t>
                  </w:r>
                </w:p>
              </w:tc>
              <w:tc>
                <w:tcPr>
                  <w:tcW w:w="1067" w:type="pct"/>
                  <w:shd w:val="solid" w:color="000000" w:fill="000000"/>
                  <w:vAlign w:val="center"/>
                </w:tcPr>
                <w:p w14:paraId="09D7A15F" w14:textId="69D8B38E" w:rsidR="00AC5DB7" w:rsidRPr="00AF4912" w:rsidRDefault="00DE43FD" w:rsidP="00621EA3">
                  <w:pPr>
                    <w:pStyle w:val="TableText0"/>
                    <w:keepNext w:val="0"/>
                    <w:jc w:val="center"/>
                    <w:rPr>
                      <w:szCs w:val="20"/>
                      <w:highlight w:val="darkGray"/>
                    </w:rPr>
                  </w:pPr>
                  <w:r w:rsidRPr="00DE43FD">
                    <w:rPr>
                      <w:color w:val="000000"/>
                      <w:spacing w:val="46"/>
                      <w:szCs w:val="20"/>
                      <w:fitText w:val="311" w:id="-963397632"/>
                      <w14:textFill>
                        <w14:solidFill>
                          <w14:srgbClr w14:val="000000">
                            <w14:alpha w14:val="100000"/>
                          </w14:srgbClr>
                        </w14:solidFill>
                      </w14:textFill>
                    </w:rPr>
                    <w:t>|||</w:t>
                  </w:r>
                  <w:r w:rsidRPr="00DE43FD">
                    <w:rPr>
                      <w:color w:val="000000"/>
                      <w:spacing w:val="3"/>
                      <w:szCs w:val="20"/>
                      <w:fitText w:val="311" w:id="-963397632"/>
                      <w14:textFill>
                        <w14:solidFill>
                          <w14:srgbClr w14:val="000000">
                            <w14:alpha w14:val="100000"/>
                          </w14:srgbClr>
                        </w14:solidFill>
                      </w14:textFill>
                    </w:rPr>
                    <w:t>|</w:t>
                  </w:r>
                </w:p>
              </w:tc>
              <w:tc>
                <w:tcPr>
                  <w:tcW w:w="1067" w:type="pct"/>
                  <w:vAlign w:val="center"/>
                </w:tcPr>
                <w:p w14:paraId="30565D8E" w14:textId="77777777" w:rsidR="00AC5DB7" w:rsidRPr="00E81073" w:rsidRDefault="00AC5DB7" w:rsidP="00621EA3">
                  <w:pPr>
                    <w:pStyle w:val="TableText0"/>
                    <w:keepNext w:val="0"/>
                    <w:jc w:val="center"/>
                    <w:rPr>
                      <w:szCs w:val="20"/>
                    </w:rPr>
                  </w:pPr>
                  <w:r w:rsidRPr="00E81073">
                    <w:rPr>
                      <w:szCs w:val="20"/>
                    </w:rPr>
                    <w:t>0%</w:t>
                  </w:r>
                </w:p>
              </w:tc>
            </w:tr>
          </w:tbl>
          <w:p w14:paraId="1D40B30B" w14:textId="77777777" w:rsidR="00AC5DB7" w:rsidRPr="00E81073" w:rsidRDefault="00AC5DB7" w:rsidP="00621EA3">
            <w:pPr>
              <w:pStyle w:val="TableText0"/>
              <w:keepNext w:val="0"/>
              <w:rPr>
                <w:szCs w:val="20"/>
              </w:rPr>
            </w:pPr>
          </w:p>
        </w:tc>
        <w:tc>
          <w:tcPr>
            <w:tcW w:w="1158" w:type="pct"/>
            <w:vAlign w:val="center"/>
          </w:tcPr>
          <w:p w14:paraId="56217AD8" w14:textId="77777777" w:rsidR="00AC5DB7" w:rsidRPr="00E81073" w:rsidRDefault="00AC5DB7" w:rsidP="00621EA3">
            <w:pPr>
              <w:pStyle w:val="TableText0"/>
              <w:keepNext w:val="0"/>
              <w:rPr>
                <w:szCs w:val="20"/>
              </w:rPr>
            </w:pPr>
            <w:r w:rsidRPr="00E81073">
              <w:rPr>
                <w:szCs w:val="20"/>
              </w:rPr>
              <w:t>Assumption. Higher uptake assumed for IXE and SEC given the same mechanism of action (i.e. IL-17 inhibitors), and lower uptake assumed for other treatments, including 0% substitution with IFX IV (or subsequent IFX SC).</w:t>
            </w:r>
          </w:p>
        </w:tc>
        <w:tc>
          <w:tcPr>
            <w:tcW w:w="1837" w:type="pct"/>
            <w:vAlign w:val="center"/>
          </w:tcPr>
          <w:p w14:paraId="5D72A61B" w14:textId="77777777" w:rsidR="00AC5DB7" w:rsidRPr="00E81073" w:rsidRDefault="00AC5DB7" w:rsidP="00621EA3">
            <w:pPr>
              <w:pStyle w:val="TableText0"/>
              <w:keepNext w:val="0"/>
              <w:rPr>
                <w:szCs w:val="20"/>
              </w:rPr>
            </w:pPr>
            <w:r w:rsidRPr="00E81073">
              <w:rPr>
                <w:szCs w:val="20"/>
              </w:rPr>
              <w:t>Uncertain, although greater substitution of treatments with similar mechanism of action was reasonable. The submission also did not adequately justify why BKZ (an injection) would not substitute for IFX (an intravenous infusion, or subsequent subcutaneous injection after intravenous loading dose).</w:t>
            </w:r>
          </w:p>
        </w:tc>
      </w:tr>
      <w:tr w:rsidR="00AC5DB7" w:rsidRPr="00E81073" w14:paraId="5521CAE6" w14:textId="77777777" w:rsidTr="00621EA3">
        <w:tc>
          <w:tcPr>
            <w:tcW w:w="784" w:type="pct"/>
            <w:vAlign w:val="center"/>
          </w:tcPr>
          <w:p w14:paraId="50DBED56" w14:textId="77777777" w:rsidR="00AC5DB7" w:rsidRPr="00E81073" w:rsidRDefault="00AC5DB7" w:rsidP="00621EA3">
            <w:pPr>
              <w:pStyle w:val="TableText0"/>
              <w:keepNext w:val="0"/>
              <w:rPr>
                <w:szCs w:val="20"/>
              </w:rPr>
            </w:pPr>
            <w:r w:rsidRPr="00E81073">
              <w:rPr>
                <w:szCs w:val="20"/>
              </w:rPr>
              <w:t xml:space="preserve">Script equivalence, </w:t>
            </w:r>
          </w:p>
          <w:p w14:paraId="202CE25F" w14:textId="77777777" w:rsidR="00AC5DB7" w:rsidRPr="00E81073" w:rsidRDefault="00AC5DB7" w:rsidP="00621EA3">
            <w:pPr>
              <w:pStyle w:val="TableText0"/>
              <w:keepNext w:val="0"/>
              <w:rPr>
                <w:szCs w:val="20"/>
              </w:rPr>
            </w:pPr>
            <w:r w:rsidRPr="00E81073">
              <w:rPr>
                <w:szCs w:val="20"/>
              </w:rPr>
              <w:t>bDMARD:BKZ</w:t>
            </w:r>
          </w:p>
        </w:tc>
        <w:tc>
          <w:tcPr>
            <w:tcW w:w="1221" w:type="pct"/>
            <w:vAlign w:val="center"/>
          </w:tcPr>
          <w:tbl>
            <w:tblPr>
              <w:tblStyle w:val="TableGrid"/>
              <w:tblW w:w="5000" w:type="pct"/>
              <w:tblCellMar>
                <w:left w:w="28" w:type="dxa"/>
                <w:right w:w="28" w:type="dxa"/>
              </w:tblCellMar>
              <w:tblLook w:val="04A0" w:firstRow="1" w:lastRow="0" w:firstColumn="1" w:lastColumn="0" w:noHBand="0" w:noVBand="1"/>
            </w:tblPr>
            <w:tblGrid>
              <w:gridCol w:w="570"/>
              <w:gridCol w:w="783"/>
              <w:gridCol w:w="783"/>
            </w:tblGrid>
            <w:tr w:rsidR="00AC5DB7" w:rsidRPr="00E81073" w14:paraId="733E614D" w14:textId="77777777" w:rsidTr="00621EA3">
              <w:tc>
                <w:tcPr>
                  <w:tcW w:w="1335" w:type="pct"/>
                </w:tcPr>
                <w:p w14:paraId="74F52017" w14:textId="77777777" w:rsidR="00AC5DB7" w:rsidRPr="00E81073" w:rsidRDefault="00AC5DB7" w:rsidP="00621EA3">
                  <w:pPr>
                    <w:pStyle w:val="TableText0"/>
                    <w:keepNext w:val="0"/>
                    <w:rPr>
                      <w:szCs w:val="20"/>
                    </w:rPr>
                  </w:pPr>
                </w:p>
              </w:tc>
              <w:tc>
                <w:tcPr>
                  <w:tcW w:w="1832" w:type="pct"/>
                  <w:vAlign w:val="center"/>
                </w:tcPr>
                <w:p w14:paraId="7ADCFA6D" w14:textId="77777777" w:rsidR="00AC5DB7" w:rsidRPr="00E81073" w:rsidRDefault="00AC5DB7" w:rsidP="00621EA3">
                  <w:pPr>
                    <w:pStyle w:val="TableText0"/>
                    <w:keepNext w:val="0"/>
                    <w:jc w:val="center"/>
                    <w:rPr>
                      <w:b/>
                      <w:szCs w:val="20"/>
                    </w:rPr>
                  </w:pPr>
                  <w:r w:rsidRPr="00E81073">
                    <w:rPr>
                      <w:b/>
                      <w:szCs w:val="20"/>
                    </w:rPr>
                    <w:t>Init.</w:t>
                  </w:r>
                </w:p>
              </w:tc>
              <w:tc>
                <w:tcPr>
                  <w:tcW w:w="1832" w:type="pct"/>
                  <w:vAlign w:val="center"/>
                </w:tcPr>
                <w:p w14:paraId="0A803358" w14:textId="77777777" w:rsidR="00AC5DB7" w:rsidRPr="00E81073" w:rsidRDefault="00AC5DB7" w:rsidP="00621EA3">
                  <w:pPr>
                    <w:pStyle w:val="TableText0"/>
                    <w:keepNext w:val="0"/>
                    <w:jc w:val="center"/>
                    <w:rPr>
                      <w:b/>
                      <w:szCs w:val="20"/>
                    </w:rPr>
                  </w:pPr>
                  <w:r w:rsidRPr="00E81073">
                    <w:rPr>
                      <w:b/>
                      <w:szCs w:val="20"/>
                    </w:rPr>
                    <w:t>Cont.</w:t>
                  </w:r>
                </w:p>
              </w:tc>
            </w:tr>
            <w:tr w:rsidR="00AC5DB7" w:rsidRPr="00E81073" w14:paraId="61B670E6" w14:textId="77777777" w:rsidTr="00621EA3">
              <w:tc>
                <w:tcPr>
                  <w:tcW w:w="1335" w:type="pct"/>
                </w:tcPr>
                <w:p w14:paraId="3B27B8DD" w14:textId="77777777" w:rsidR="00AC5DB7" w:rsidRPr="00E81073" w:rsidRDefault="00AC5DB7" w:rsidP="00621EA3">
                  <w:pPr>
                    <w:pStyle w:val="TableText0"/>
                    <w:keepNext w:val="0"/>
                    <w:rPr>
                      <w:szCs w:val="20"/>
                    </w:rPr>
                  </w:pPr>
                  <w:r w:rsidRPr="00E81073">
                    <w:rPr>
                      <w:szCs w:val="20"/>
                    </w:rPr>
                    <w:t>ADA</w:t>
                  </w:r>
                </w:p>
              </w:tc>
              <w:tc>
                <w:tcPr>
                  <w:tcW w:w="1832" w:type="pct"/>
                  <w:vAlign w:val="center"/>
                </w:tcPr>
                <w:p w14:paraId="7DEBD3B8" w14:textId="77777777" w:rsidR="00AC5DB7" w:rsidRPr="00E81073" w:rsidRDefault="00AC5DB7" w:rsidP="00621EA3">
                  <w:pPr>
                    <w:pStyle w:val="TableText0"/>
                    <w:keepNext w:val="0"/>
                    <w:jc w:val="center"/>
                    <w:rPr>
                      <w:szCs w:val="20"/>
                    </w:rPr>
                  </w:pPr>
                  <w:r w:rsidRPr="00E81073">
                    <w:rPr>
                      <w:szCs w:val="20"/>
                    </w:rPr>
                    <w:t>0.5</w:t>
                  </w:r>
                </w:p>
              </w:tc>
              <w:tc>
                <w:tcPr>
                  <w:tcW w:w="1832" w:type="pct"/>
                  <w:vAlign w:val="center"/>
                </w:tcPr>
                <w:p w14:paraId="5B262716" w14:textId="77777777" w:rsidR="00AC5DB7" w:rsidRPr="00E81073" w:rsidRDefault="00AC5DB7" w:rsidP="00621EA3">
                  <w:pPr>
                    <w:pStyle w:val="TableText0"/>
                    <w:keepNext w:val="0"/>
                    <w:jc w:val="center"/>
                    <w:rPr>
                      <w:szCs w:val="20"/>
                    </w:rPr>
                  </w:pPr>
                  <w:r w:rsidRPr="00E81073">
                    <w:rPr>
                      <w:szCs w:val="20"/>
                    </w:rPr>
                    <w:t>0.5</w:t>
                  </w:r>
                </w:p>
              </w:tc>
            </w:tr>
            <w:tr w:rsidR="00AC5DB7" w:rsidRPr="00E81073" w14:paraId="52BA1186" w14:textId="77777777" w:rsidTr="00621EA3">
              <w:tc>
                <w:tcPr>
                  <w:tcW w:w="1335" w:type="pct"/>
                </w:tcPr>
                <w:p w14:paraId="2F1615B3" w14:textId="77777777" w:rsidR="00AC5DB7" w:rsidRPr="00E81073" w:rsidRDefault="00AC5DB7" w:rsidP="00621EA3">
                  <w:pPr>
                    <w:pStyle w:val="TableText0"/>
                    <w:keepNext w:val="0"/>
                    <w:rPr>
                      <w:szCs w:val="20"/>
                    </w:rPr>
                  </w:pPr>
                  <w:r w:rsidRPr="00E81073">
                    <w:rPr>
                      <w:szCs w:val="20"/>
                    </w:rPr>
                    <w:t>ETN</w:t>
                  </w:r>
                </w:p>
              </w:tc>
              <w:tc>
                <w:tcPr>
                  <w:tcW w:w="1832" w:type="pct"/>
                  <w:vAlign w:val="center"/>
                </w:tcPr>
                <w:p w14:paraId="7D4B4E50" w14:textId="77777777" w:rsidR="00AC5DB7" w:rsidRPr="00E81073" w:rsidRDefault="00AC5DB7" w:rsidP="00621EA3">
                  <w:pPr>
                    <w:pStyle w:val="TableText0"/>
                    <w:keepNext w:val="0"/>
                    <w:jc w:val="center"/>
                    <w:rPr>
                      <w:szCs w:val="20"/>
                    </w:rPr>
                  </w:pPr>
                  <w:r w:rsidRPr="00E81073">
                    <w:rPr>
                      <w:szCs w:val="20"/>
                    </w:rPr>
                    <w:t>0.5</w:t>
                  </w:r>
                </w:p>
              </w:tc>
              <w:tc>
                <w:tcPr>
                  <w:tcW w:w="1832" w:type="pct"/>
                  <w:vAlign w:val="center"/>
                </w:tcPr>
                <w:p w14:paraId="4D084E8B" w14:textId="77777777" w:rsidR="00AC5DB7" w:rsidRPr="00E81073" w:rsidRDefault="00AC5DB7" w:rsidP="00621EA3">
                  <w:pPr>
                    <w:pStyle w:val="TableText0"/>
                    <w:keepNext w:val="0"/>
                    <w:jc w:val="center"/>
                    <w:rPr>
                      <w:szCs w:val="20"/>
                    </w:rPr>
                  </w:pPr>
                  <w:r w:rsidRPr="00E81073">
                    <w:rPr>
                      <w:szCs w:val="20"/>
                    </w:rPr>
                    <w:t>0.5</w:t>
                  </w:r>
                </w:p>
              </w:tc>
            </w:tr>
            <w:tr w:rsidR="00AC5DB7" w:rsidRPr="00E81073" w14:paraId="564483DA" w14:textId="77777777" w:rsidTr="00621EA3">
              <w:tc>
                <w:tcPr>
                  <w:tcW w:w="1335" w:type="pct"/>
                  <w:vAlign w:val="center"/>
                </w:tcPr>
                <w:p w14:paraId="473F1227" w14:textId="77777777" w:rsidR="00AC5DB7" w:rsidRPr="00E81073" w:rsidRDefault="00AC5DB7" w:rsidP="00621EA3">
                  <w:pPr>
                    <w:pStyle w:val="TableText0"/>
                    <w:keepNext w:val="0"/>
                    <w:rPr>
                      <w:szCs w:val="20"/>
                    </w:rPr>
                  </w:pPr>
                  <w:r w:rsidRPr="00E81073">
                    <w:rPr>
                      <w:szCs w:val="20"/>
                    </w:rPr>
                    <w:t>IFX IV</w:t>
                  </w:r>
                </w:p>
              </w:tc>
              <w:tc>
                <w:tcPr>
                  <w:tcW w:w="1832" w:type="pct"/>
                  <w:vAlign w:val="center"/>
                </w:tcPr>
                <w:p w14:paraId="59A83F27" w14:textId="77777777" w:rsidR="00AC5DB7" w:rsidRPr="00E81073" w:rsidRDefault="00AC5DB7" w:rsidP="00621EA3">
                  <w:pPr>
                    <w:pStyle w:val="TableText0"/>
                    <w:keepNext w:val="0"/>
                    <w:jc w:val="center"/>
                    <w:rPr>
                      <w:szCs w:val="20"/>
                    </w:rPr>
                  </w:pPr>
                  <w:r w:rsidRPr="00E81073">
                    <w:rPr>
                      <w:szCs w:val="20"/>
                    </w:rPr>
                    <w:t>0.5 (0.1*)</w:t>
                  </w:r>
                </w:p>
              </w:tc>
              <w:tc>
                <w:tcPr>
                  <w:tcW w:w="1832" w:type="pct"/>
                  <w:vAlign w:val="center"/>
                </w:tcPr>
                <w:p w14:paraId="268BA4F8" w14:textId="77777777" w:rsidR="00AC5DB7" w:rsidRPr="00E81073" w:rsidRDefault="00AC5DB7" w:rsidP="00621EA3">
                  <w:pPr>
                    <w:pStyle w:val="TableText0"/>
                    <w:keepNext w:val="0"/>
                    <w:jc w:val="center"/>
                    <w:rPr>
                      <w:szCs w:val="20"/>
                    </w:rPr>
                  </w:pPr>
                  <w:r w:rsidRPr="00E81073">
                    <w:rPr>
                      <w:szCs w:val="20"/>
                    </w:rPr>
                    <w:t>0.75 (0.15*)</w:t>
                  </w:r>
                </w:p>
              </w:tc>
            </w:tr>
            <w:tr w:rsidR="00AC5DB7" w:rsidRPr="00E81073" w14:paraId="14740AEE" w14:textId="77777777" w:rsidTr="00621EA3">
              <w:tc>
                <w:tcPr>
                  <w:tcW w:w="1335" w:type="pct"/>
                </w:tcPr>
                <w:p w14:paraId="1D832028" w14:textId="77777777" w:rsidR="00AC5DB7" w:rsidRPr="00E81073" w:rsidRDefault="00AC5DB7" w:rsidP="00621EA3">
                  <w:pPr>
                    <w:pStyle w:val="TableText0"/>
                    <w:keepNext w:val="0"/>
                    <w:rPr>
                      <w:szCs w:val="20"/>
                    </w:rPr>
                  </w:pPr>
                  <w:r w:rsidRPr="00E81073">
                    <w:rPr>
                      <w:szCs w:val="20"/>
                    </w:rPr>
                    <w:t>IFX SC</w:t>
                  </w:r>
                </w:p>
              </w:tc>
              <w:tc>
                <w:tcPr>
                  <w:tcW w:w="1832" w:type="pct"/>
                  <w:vAlign w:val="center"/>
                </w:tcPr>
                <w:p w14:paraId="4A756FD4" w14:textId="77777777" w:rsidR="00AC5DB7" w:rsidRPr="00E81073" w:rsidRDefault="00AC5DB7" w:rsidP="00621EA3">
                  <w:pPr>
                    <w:pStyle w:val="TableText0"/>
                    <w:keepNext w:val="0"/>
                    <w:jc w:val="center"/>
                    <w:rPr>
                      <w:szCs w:val="20"/>
                    </w:rPr>
                  </w:pPr>
                  <w:r w:rsidRPr="00E81073">
                    <w:rPr>
                      <w:szCs w:val="20"/>
                    </w:rPr>
                    <w:t>0.25</w:t>
                  </w:r>
                </w:p>
              </w:tc>
              <w:tc>
                <w:tcPr>
                  <w:tcW w:w="1832" w:type="pct"/>
                  <w:vAlign w:val="center"/>
                </w:tcPr>
                <w:p w14:paraId="164FF4EE" w14:textId="77777777" w:rsidR="00AC5DB7" w:rsidRPr="00E81073" w:rsidRDefault="00AC5DB7" w:rsidP="00621EA3">
                  <w:pPr>
                    <w:pStyle w:val="TableText0"/>
                    <w:keepNext w:val="0"/>
                    <w:jc w:val="center"/>
                    <w:rPr>
                      <w:szCs w:val="20"/>
                    </w:rPr>
                  </w:pPr>
                  <w:r w:rsidRPr="00E81073">
                    <w:rPr>
                      <w:szCs w:val="20"/>
                    </w:rPr>
                    <w:t>0.38</w:t>
                  </w:r>
                </w:p>
              </w:tc>
            </w:tr>
            <w:tr w:rsidR="00AC5DB7" w:rsidRPr="00E81073" w14:paraId="513667EA" w14:textId="77777777" w:rsidTr="00621EA3">
              <w:tc>
                <w:tcPr>
                  <w:tcW w:w="1335" w:type="pct"/>
                </w:tcPr>
                <w:p w14:paraId="42D41657" w14:textId="77777777" w:rsidR="00AC5DB7" w:rsidRPr="00E81073" w:rsidRDefault="00AC5DB7" w:rsidP="00621EA3">
                  <w:pPr>
                    <w:pStyle w:val="TableText0"/>
                    <w:keepNext w:val="0"/>
                    <w:rPr>
                      <w:szCs w:val="20"/>
                    </w:rPr>
                  </w:pPr>
                  <w:r w:rsidRPr="00E81073">
                    <w:rPr>
                      <w:szCs w:val="20"/>
                    </w:rPr>
                    <w:t>UST</w:t>
                  </w:r>
                </w:p>
              </w:tc>
              <w:tc>
                <w:tcPr>
                  <w:tcW w:w="1832" w:type="pct"/>
                  <w:vAlign w:val="center"/>
                </w:tcPr>
                <w:p w14:paraId="5D69E530" w14:textId="77777777" w:rsidR="00AC5DB7" w:rsidRPr="00E81073" w:rsidRDefault="00AC5DB7" w:rsidP="00621EA3">
                  <w:pPr>
                    <w:pStyle w:val="TableText0"/>
                    <w:keepNext w:val="0"/>
                    <w:jc w:val="center"/>
                    <w:rPr>
                      <w:szCs w:val="20"/>
                    </w:rPr>
                  </w:pPr>
                  <w:r w:rsidRPr="00E81073">
                    <w:rPr>
                      <w:szCs w:val="20"/>
                    </w:rPr>
                    <w:t>1</w:t>
                  </w:r>
                </w:p>
              </w:tc>
              <w:tc>
                <w:tcPr>
                  <w:tcW w:w="1832" w:type="pct"/>
                  <w:vAlign w:val="center"/>
                </w:tcPr>
                <w:p w14:paraId="428A5D9F" w14:textId="77777777" w:rsidR="00AC5DB7" w:rsidRPr="00E81073" w:rsidRDefault="00AC5DB7" w:rsidP="00621EA3">
                  <w:pPr>
                    <w:pStyle w:val="TableText0"/>
                    <w:keepNext w:val="0"/>
                    <w:jc w:val="center"/>
                    <w:rPr>
                      <w:szCs w:val="20"/>
                    </w:rPr>
                  </w:pPr>
                  <w:r w:rsidRPr="00E81073">
                    <w:rPr>
                      <w:szCs w:val="20"/>
                    </w:rPr>
                    <w:t>1.5</w:t>
                  </w:r>
                </w:p>
              </w:tc>
            </w:tr>
            <w:tr w:rsidR="00AC5DB7" w:rsidRPr="00E81073" w14:paraId="549E341A" w14:textId="77777777" w:rsidTr="00621EA3">
              <w:tc>
                <w:tcPr>
                  <w:tcW w:w="1335" w:type="pct"/>
                </w:tcPr>
                <w:p w14:paraId="2F3D5CF7" w14:textId="77777777" w:rsidR="00AC5DB7" w:rsidRPr="00E81073" w:rsidRDefault="00AC5DB7" w:rsidP="00621EA3">
                  <w:pPr>
                    <w:pStyle w:val="TableText0"/>
                    <w:keepNext w:val="0"/>
                    <w:rPr>
                      <w:szCs w:val="20"/>
                    </w:rPr>
                  </w:pPr>
                  <w:r w:rsidRPr="00E81073">
                    <w:rPr>
                      <w:szCs w:val="20"/>
                    </w:rPr>
                    <w:t>SEC</w:t>
                  </w:r>
                </w:p>
              </w:tc>
              <w:tc>
                <w:tcPr>
                  <w:tcW w:w="1832" w:type="pct"/>
                  <w:vAlign w:val="center"/>
                </w:tcPr>
                <w:p w14:paraId="60244B37" w14:textId="77777777" w:rsidR="00AC5DB7" w:rsidRPr="00E81073" w:rsidRDefault="00AC5DB7" w:rsidP="00621EA3">
                  <w:pPr>
                    <w:pStyle w:val="TableText0"/>
                    <w:keepNext w:val="0"/>
                    <w:jc w:val="center"/>
                    <w:rPr>
                      <w:szCs w:val="20"/>
                    </w:rPr>
                  </w:pPr>
                  <w:r w:rsidRPr="00E81073">
                    <w:rPr>
                      <w:szCs w:val="20"/>
                    </w:rPr>
                    <w:t>0.5</w:t>
                  </w:r>
                </w:p>
              </w:tc>
              <w:tc>
                <w:tcPr>
                  <w:tcW w:w="1832" w:type="pct"/>
                  <w:vAlign w:val="center"/>
                </w:tcPr>
                <w:p w14:paraId="6B6674DD" w14:textId="77777777" w:rsidR="00AC5DB7" w:rsidRPr="00E81073" w:rsidRDefault="00AC5DB7" w:rsidP="00621EA3">
                  <w:pPr>
                    <w:pStyle w:val="TableText0"/>
                    <w:keepNext w:val="0"/>
                    <w:jc w:val="center"/>
                    <w:rPr>
                      <w:szCs w:val="20"/>
                    </w:rPr>
                  </w:pPr>
                  <w:r w:rsidRPr="00E81073">
                    <w:rPr>
                      <w:szCs w:val="20"/>
                    </w:rPr>
                    <w:t>0.5</w:t>
                  </w:r>
                </w:p>
              </w:tc>
            </w:tr>
            <w:tr w:rsidR="00AC5DB7" w:rsidRPr="00E81073" w14:paraId="3313AB2E" w14:textId="77777777" w:rsidTr="00621EA3">
              <w:tc>
                <w:tcPr>
                  <w:tcW w:w="1335" w:type="pct"/>
                </w:tcPr>
                <w:p w14:paraId="54419FFD" w14:textId="77777777" w:rsidR="00AC5DB7" w:rsidRPr="00E81073" w:rsidRDefault="00AC5DB7" w:rsidP="00621EA3">
                  <w:pPr>
                    <w:pStyle w:val="TableText0"/>
                    <w:keepNext w:val="0"/>
                    <w:rPr>
                      <w:szCs w:val="20"/>
                    </w:rPr>
                  </w:pPr>
                  <w:r w:rsidRPr="00E81073">
                    <w:rPr>
                      <w:szCs w:val="20"/>
                    </w:rPr>
                    <w:t>IXE</w:t>
                  </w:r>
                </w:p>
              </w:tc>
              <w:tc>
                <w:tcPr>
                  <w:tcW w:w="1832" w:type="pct"/>
                  <w:vAlign w:val="center"/>
                </w:tcPr>
                <w:p w14:paraId="74A37EE1" w14:textId="77777777" w:rsidR="00AC5DB7" w:rsidRPr="00E81073" w:rsidRDefault="00AC5DB7" w:rsidP="00621EA3">
                  <w:pPr>
                    <w:pStyle w:val="TableText0"/>
                    <w:keepNext w:val="0"/>
                    <w:jc w:val="center"/>
                    <w:rPr>
                      <w:szCs w:val="20"/>
                    </w:rPr>
                  </w:pPr>
                  <w:r w:rsidRPr="00E81073">
                    <w:rPr>
                      <w:szCs w:val="20"/>
                    </w:rPr>
                    <w:t>0.67</w:t>
                  </w:r>
                </w:p>
              </w:tc>
              <w:tc>
                <w:tcPr>
                  <w:tcW w:w="1832" w:type="pct"/>
                  <w:vAlign w:val="center"/>
                </w:tcPr>
                <w:p w14:paraId="3F477300" w14:textId="77777777" w:rsidR="00AC5DB7" w:rsidRPr="00E81073" w:rsidRDefault="00AC5DB7" w:rsidP="00621EA3">
                  <w:pPr>
                    <w:pStyle w:val="TableText0"/>
                    <w:keepNext w:val="0"/>
                    <w:jc w:val="center"/>
                    <w:rPr>
                      <w:szCs w:val="20"/>
                    </w:rPr>
                  </w:pPr>
                  <w:r w:rsidRPr="00E81073">
                    <w:rPr>
                      <w:szCs w:val="20"/>
                    </w:rPr>
                    <w:t>1</w:t>
                  </w:r>
                </w:p>
              </w:tc>
            </w:tr>
            <w:tr w:rsidR="00AC5DB7" w:rsidRPr="00E81073" w14:paraId="7A253825" w14:textId="77777777" w:rsidTr="00621EA3">
              <w:tc>
                <w:tcPr>
                  <w:tcW w:w="1335" w:type="pct"/>
                </w:tcPr>
                <w:p w14:paraId="149AD7EF" w14:textId="77777777" w:rsidR="00AC5DB7" w:rsidRPr="00E81073" w:rsidRDefault="00AC5DB7" w:rsidP="00621EA3">
                  <w:pPr>
                    <w:pStyle w:val="TableText0"/>
                    <w:keepNext w:val="0"/>
                    <w:rPr>
                      <w:szCs w:val="20"/>
                    </w:rPr>
                  </w:pPr>
                  <w:r w:rsidRPr="00E81073">
                    <w:rPr>
                      <w:szCs w:val="20"/>
                    </w:rPr>
                    <w:t>CZP</w:t>
                  </w:r>
                </w:p>
              </w:tc>
              <w:tc>
                <w:tcPr>
                  <w:tcW w:w="1832" w:type="pct"/>
                  <w:vAlign w:val="center"/>
                </w:tcPr>
                <w:p w14:paraId="135AA599" w14:textId="77777777" w:rsidR="00AC5DB7" w:rsidRPr="00E81073" w:rsidRDefault="00AC5DB7" w:rsidP="00621EA3">
                  <w:pPr>
                    <w:pStyle w:val="TableText0"/>
                    <w:keepNext w:val="0"/>
                    <w:jc w:val="center"/>
                    <w:rPr>
                      <w:szCs w:val="20"/>
                    </w:rPr>
                  </w:pPr>
                  <w:r w:rsidRPr="00E81073">
                    <w:rPr>
                      <w:szCs w:val="20"/>
                    </w:rPr>
                    <w:t>0.5</w:t>
                  </w:r>
                </w:p>
              </w:tc>
              <w:tc>
                <w:tcPr>
                  <w:tcW w:w="1832" w:type="pct"/>
                  <w:vAlign w:val="center"/>
                </w:tcPr>
                <w:p w14:paraId="178F93C9" w14:textId="77777777" w:rsidR="00AC5DB7" w:rsidRPr="00E81073" w:rsidRDefault="00AC5DB7" w:rsidP="00621EA3">
                  <w:pPr>
                    <w:pStyle w:val="TableText0"/>
                    <w:keepNext w:val="0"/>
                    <w:jc w:val="center"/>
                    <w:rPr>
                      <w:szCs w:val="20"/>
                    </w:rPr>
                  </w:pPr>
                  <w:r w:rsidRPr="00E81073">
                    <w:rPr>
                      <w:szCs w:val="20"/>
                    </w:rPr>
                    <w:t>0.5</w:t>
                  </w:r>
                </w:p>
              </w:tc>
            </w:tr>
            <w:tr w:rsidR="00AC5DB7" w:rsidRPr="00E81073" w14:paraId="32EB3F34" w14:textId="77777777" w:rsidTr="00621EA3">
              <w:tc>
                <w:tcPr>
                  <w:tcW w:w="1335" w:type="pct"/>
                </w:tcPr>
                <w:p w14:paraId="00E7D124" w14:textId="77777777" w:rsidR="00AC5DB7" w:rsidRPr="00E81073" w:rsidRDefault="00AC5DB7" w:rsidP="00621EA3">
                  <w:pPr>
                    <w:pStyle w:val="TableText0"/>
                    <w:keepNext w:val="0"/>
                    <w:rPr>
                      <w:szCs w:val="20"/>
                    </w:rPr>
                  </w:pPr>
                  <w:r w:rsidRPr="00E81073">
                    <w:rPr>
                      <w:szCs w:val="20"/>
                    </w:rPr>
                    <w:t>GOL</w:t>
                  </w:r>
                </w:p>
              </w:tc>
              <w:tc>
                <w:tcPr>
                  <w:tcW w:w="1832" w:type="pct"/>
                  <w:vAlign w:val="center"/>
                </w:tcPr>
                <w:p w14:paraId="584F028E" w14:textId="77777777" w:rsidR="00AC5DB7" w:rsidRPr="00E81073" w:rsidRDefault="00AC5DB7" w:rsidP="00621EA3">
                  <w:pPr>
                    <w:pStyle w:val="TableText0"/>
                    <w:keepNext w:val="0"/>
                    <w:jc w:val="center"/>
                    <w:rPr>
                      <w:szCs w:val="20"/>
                    </w:rPr>
                  </w:pPr>
                  <w:r w:rsidRPr="00E81073">
                    <w:rPr>
                      <w:szCs w:val="20"/>
                    </w:rPr>
                    <w:t>0.5</w:t>
                  </w:r>
                </w:p>
              </w:tc>
              <w:tc>
                <w:tcPr>
                  <w:tcW w:w="1832" w:type="pct"/>
                  <w:vAlign w:val="center"/>
                </w:tcPr>
                <w:p w14:paraId="6A21EF6E" w14:textId="77777777" w:rsidR="00AC5DB7" w:rsidRPr="00E81073" w:rsidRDefault="00AC5DB7" w:rsidP="00621EA3">
                  <w:pPr>
                    <w:pStyle w:val="TableText0"/>
                    <w:keepNext w:val="0"/>
                    <w:jc w:val="center"/>
                    <w:rPr>
                      <w:szCs w:val="20"/>
                    </w:rPr>
                  </w:pPr>
                  <w:r w:rsidRPr="00E81073">
                    <w:rPr>
                      <w:szCs w:val="20"/>
                    </w:rPr>
                    <w:t>0.54</w:t>
                  </w:r>
                </w:p>
              </w:tc>
            </w:tr>
            <w:tr w:rsidR="00AC5DB7" w:rsidRPr="00E81073" w14:paraId="45B6A464" w14:textId="77777777" w:rsidTr="00621EA3">
              <w:tc>
                <w:tcPr>
                  <w:tcW w:w="1335" w:type="pct"/>
                </w:tcPr>
                <w:p w14:paraId="05E48B7B" w14:textId="77777777" w:rsidR="00AC5DB7" w:rsidRPr="00E81073" w:rsidRDefault="00AC5DB7" w:rsidP="00621EA3">
                  <w:pPr>
                    <w:pStyle w:val="TableText0"/>
                    <w:keepNext w:val="0"/>
                    <w:rPr>
                      <w:szCs w:val="20"/>
                    </w:rPr>
                  </w:pPr>
                  <w:r w:rsidRPr="00E81073">
                    <w:rPr>
                      <w:szCs w:val="20"/>
                    </w:rPr>
                    <w:t>GUS</w:t>
                  </w:r>
                </w:p>
              </w:tc>
              <w:tc>
                <w:tcPr>
                  <w:tcW w:w="1832" w:type="pct"/>
                  <w:vAlign w:val="center"/>
                </w:tcPr>
                <w:p w14:paraId="2BC79C24" w14:textId="77777777" w:rsidR="00AC5DB7" w:rsidRPr="00E81073" w:rsidRDefault="00AC5DB7" w:rsidP="00621EA3">
                  <w:pPr>
                    <w:pStyle w:val="TableText0"/>
                    <w:keepNext w:val="0"/>
                    <w:jc w:val="center"/>
                    <w:rPr>
                      <w:szCs w:val="20"/>
                    </w:rPr>
                  </w:pPr>
                  <w:r w:rsidRPr="00E81073">
                    <w:rPr>
                      <w:szCs w:val="20"/>
                    </w:rPr>
                    <w:t>0.67</w:t>
                  </w:r>
                </w:p>
              </w:tc>
              <w:tc>
                <w:tcPr>
                  <w:tcW w:w="1832" w:type="pct"/>
                  <w:vAlign w:val="center"/>
                </w:tcPr>
                <w:p w14:paraId="23BDDC3C" w14:textId="77777777" w:rsidR="00AC5DB7" w:rsidRPr="00E81073" w:rsidRDefault="00AC5DB7" w:rsidP="00621EA3">
                  <w:pPr>
                    <w:pStyle w:val="TableText0"/>
                    <w:keepNext w:val="0"/>
                    <w:jc w:val="center"/>
                    <w:rPr>
                      <w:szCs w:val="20"/>
                    </w:rPr>
                  </w:pPr>
                  <w:r w:rsidRPr="00E81073">
                    <w:rPr>
                      <w:szCs w:val="20"/>
                    </w:rPr>
                    <w:t>1</w:t>
                  </w:r>
                </w:p>
              </w:tc>
            </w:tr>
          </w:tbl>
          <w:p w14:paraId="0ACD6BD2" w14:textId="77777777" w:rsidR="00AC5DB7" w:rsidRPr="00E81073" w:rsidRDefault="00AC5DB7" w:rsidP="00621EA3">
            <w:pPr>
              <w:pStyle w:val="TableText0"/>
              <w:keepNext w:val="0"/>
              <w:rPr>
                <w:szCs w:val="20"/>
              </w:rPr>
            </w:pPr>
            <w:r w:rsidRPr="00E81073">
              <w:rPr>
                <w:szCs w:val="20"/>
              </w:rPr>
              <w:t>*</w:t>
            </w:r>
            <w:proofErr w:type="gramStart"/>
            <w:r w:rsidRPr="00E81073">
              <w:rPr>
                <w:szCs w:val="20"/>
              </w:rPr>
              <w:t>assuming</w:t>
            </w:r>
            <w:proofErr w:type="gramEnd"/>
            <w:r w:rsidRPr="00E81073">
              <w:rPr>
                <w:szCs w:val="20"/>
              </w:rPr>
              <w:t xml:space="preserve"> 5x100mg IV vials/script</w:t>
            </w:r>
          </w:p>
        </w:tc>
        <w:tc>
          <w:tcPr>
            <w:tcW w:w="1158" w:type="pct"/>
            <w:vAlign w:val="center"/>
          </w:tcPr>
          <w:p w14:paraId="05AE0274" w14:textId="29FA49A3" w:rsidR="00AC5DB7" w:rsidRPr="00E81073" w:rsidRDefault="00AC5DB7" w:rsidP="00621EA3">
            <w:pPr>
              <w:pStyle w:val="TableText0"/>
              <w:keepNext w:val="0"/>
              <w:rPr>
                <w:szCs w:val="20"/>
              </w:rPr>
            </w:pPr>
            <w:r w:rsidRPr="00E81073">
              <w:rPr>
                <w:szCs w:val="20"/>
              </w:rPr>
              <w:t xml:space="preserve">Derived from recommended dose and corresponding number of scripts for initial treatment (16-20 weeks) and continuing treatment (52 weeks). </w:t>
            </w:r>
          </w:p>
        </w:tc>
        <w:tc>
          <w:tcPr>
            <w:tcW w:w="1837" w:type="pct"/>
            <w:vAlign w:val="center"/>
          </w:tcPr>
          <w:p w14:paraId="7FA0C13A" w14:textId="77777777" w:rsidR="00AC5DB7" w:rsidRPr="00E81073" w:rsidRDefault="00AC5DB7" w:rsidP="00621EA3">
            <w:pPr>
              <w:pStyle w:val="TableText0"/>
              <w:keepNext w:val="0"/>
              <w:rPr>
                <w:szCs w:val="20"/>
              </w:rPr>
            </w:pPr>
            <w:r w:rsidRPr="00E81073">
              <w:rPr>
                <w:szCs w:val="20"/>
              </w:rPr>
              <w:t>Generally reasonable. The submission overestimated the number of IFX SC scripts required for 52 weeks of maintenance treatment (17.33 vs 13), but this error did not impact results given the submission assumed 0% substitution rate with IFX SC.</w:t>
            </w:r>
          </w:p>
        </w:tc>
      </w:tr>
      <w:tr w:rsidR="00AC5DB7" w:rsidRPr="00E81073" w14:paraId="04885280" w14:textId="77777777" w:rsidTr="00621EA3">
        <w:tc>
          <w:tcPr>
            <w:tcW w:w="5000" w:type="pct"/>
            <w:gridSpan w:val="4"/>
            <w:vAlign w:val="center"/>
          </w:tcPr>
          <w:p w14:paraId="0C71CB13" w14:textId="77777777" w:rsidR="00AC5DB7" w:rsidRPr="00E81073" w:rsidRDefault="00AC5DB7" w:rsidP="00621EA3">
            <w:pPr>
              <w:pStyle w:val="TableText0"/>
              <w:keepNext w:val="0"/>
              <w:rPr>
                <w:b/>
                <w:szCs w:val="20"/>
              </w:rPr>
            </w:pPr>
            <w:r w:rsidRPr="00E81073">
              <w:rPr>
                <w:b/>
                <w:szCs w:val="20"/>
              </w:rPr>
              <w:t>Costs</w:t>
            </w:r>
          </w:p>
        </w:tc>
      </w:tr>
      <w:tr w:rsidR="00AC5DB7" w:rsidRPr="00E81073" w14:paraId="7C798363" w14:textId="77777777" w:rsidTr="00621EA3">
        <w:tc>
          <w:tcPr>
            <w:tcW w:w="784" w:type="pct"/>
            <w:vAlign w:val="center"/>
          </w:tcPr>
          <w:p w14:paraId="7CD1AD9F" w14:textId="77777777" w:rsidR="00AC5DB7" w:rsidRPr="00E81073" w:rsidRDefault="00AC5DB7" w:rsidP="00621EA3">
            <w:pPr>
              <w:pStyle w:val="TableText0"/>
              <w:keepNext w:val="0"/>
              <w:rPr>
                <w:szCs w:val="20"/>
              </w:rPr>
            </w:pPr>
            <w:r w:rsidRPr="00E81073">
              <w:rPr>
                <w:szCs w:val="20"/>
              </w:rPr>
              <w:t>Proposed and comparator medicines, $/script</w:t>
            </w:r>
          </w:p>
        </w:tc>
        <w:tc>
          <w:tcPr>
            <w:tcW w:w="1221" w:type="pct"/>
            <w:vAlign w:val="center"/>
          </w:tcPr>
          <w:p w14:paraId="12FEA4A6" w14:textId="77777777" w:rsidR="00AC5DB7" w:rsidRPr="00E81073" w:rsidRDefault="00AC5DB7" w:rsidP="00621EA3">
            <w:pPr>
              <w:pStyle w:val="TableText0"/>
              <w:keepNext w:val="0"/>
              <w:rPr>
                <w:szCs w:val="20"/>
              </w:rPr>
            </w:pPr>
            <w:r w:rsidRPr="00E81073">
              <w:rPr>
                <w:szCs w:val="20"/>
              </w:rPr>
              <w:t>BKZ: published DPMQ ($3,422.13);</w:t>
            </w:r>
          </w:p>
          <w:p w14:paraId="4DFF3FC2" w14:textId="77777777" w:rsidR="00AC5DB7" w:rsidRPr="00E81073" w:rsidRDefault="00AC5DB7" w:rsidP="00621EA3">
            <w:pPr>
              <w:pStyle w:val="TableText0"/>
              <w:keepNext w:val="0"/>
              <w:rPr>
                <w:bCs w:val="0"/>
                <w:szCs w:val="20"/>
              </w:rPr>
            </w:pPr>
            <w:r w:rsidRPr="00E81073">
              <w:rPr>
                <w:szCs w:val="20"/>
              </w:rPr>
              <w:t>Comparator treatments: published DPMQs by item number</w:t>
            </w:r>
          </w:p>
        </w:tc>
        <w:tc>
          <w:tcPr>
            <w:tcW w:w="1158" w:type="pct"/>
            <w:vAlign w:val="center"/>
          </w:tcPr>
          <w:p w14:paraId="543DCBF1" w14:textId="72932245" w:rsidR="00AC5DB7" w:rsidRPr="00E81073" w:rsidRDefault="00AC5DB7" w:rsidP="00621EA3">
            <w:pPr>
              <w:pStyle w:val="TableText0"/>
              <w:keepNext w:val="0"/>
              <w:rPr>
                <w:szCs w:val="20"/>
              </w:rPr>
            </w:pPr>
            <w:r w:rsidRPr="00E81073">
              <w:rPr>
                <w:szCs w:val="20"/>
              </w:rPr>
              <w:t>Drug costs were based on the proposed DPMQ of BKZ and the published DPMQs of comparator treatments (by item code)</w:t>
            </w:r>
            <w:r w:rsidR="00E81073">
              <w:rPr>
                <w:szCs w:val="20"/>
              </w:rPr>
              <w:t xml:space="preserve">. </w:t>
            </w:r>
            <w:r w:rsidRPr="00E81073">
              <w:rPr>
                <w:szCs w:val="20"/>
              </w:rPr>
              <w:t xml:space="preserve"> </w:t>
            </w:r>
          </w:p>
        </w:tc>
        <w:tc>
          <w:tcPr>
            <w:tcW w:w="1837" w:type="pct"/>
            <w:vAlign w:val="center"/>
          </w:tcPr>
          <w:p w14:paraId="61C5CDEA" w14:textId="77777777" w:rsidR="00AC5DB7" w:rsidRPr="00E81073" w:rsidRDefault="00AC5DB7" w:rsidP="00621EA3">
            <w:pPr>
              <w:pStyle w:val="TableText0"/>
              <w:keepNext w:val="0"/>
              <w:rPr>
                <w:szCs w:val="20"/>
              </w:rPr>
            </w:pPr>
            <w:r w:rsidRPr="00E81073">
              <w:rPr>
                <w:szCs w:val="20"/>
              </w:rPr>
              <w:t>The published DPMQs may not provide an accurate estimate of unit cost given special pricing arrangements apply to several existing therapies in this market.</w:t>
            </w:r>
          </w:p>
        </w:tc>
      </w:tr>
      <w:tr w:rsidR="00AC5DB7" w:rsidRPr="00E81073" w14:paraId="304ED0B4" w14:textId="77777777" w:rsidTr="00621EA3">
        <w:tc>
          <w:tcPr>
            <w:tcW w:w="784" w:type="pct"/>
            <w:vAlign w:val="center"/>
          </w:tcPr>
          <w:p w14:paraId="5CB2770E" w14:textId="77777777" w:rsidR="00AC5DB7" w:rsidRPr="00E81073" w:rsidRDefault="00AC5DB7" w:rsidP="00621EA3">
            <w:pPr>
              <w:pStyle w:val="TableText0"/>
              <w:keepNext w:val="0"/>
              <w:rPr>
                <w:szCs w:val="20"/>
              </w:rPr>
            </w:pPr>
            <w:r w:rsidRPr="00E81073">
              <w:rPr>
                <w:szCs w:val="20"/>
              </w:rPr>
              <w:t>Patient copayment</w:t>
            </w:r>
          </w:p>
        </w:tc>
        <w:tc>
          <w:tcPr>
            <w:tcW w:w="1221" w:type="pct"/>
            <w:vAlign w:val="center"/>
          </w:tcPr>
          <w:p w14:paraId="458E4B4C" w14:textId="77777777" w:rsidR="00AC5DB7" w:rsidRPr="00E81073" w:rsidRDefault="00AC5DB7" w:rsidP="00621EA3">
            <w:pPr>
              <w:pStyle w:val="TableText0"/>
              <w:keepNext w:val="0"/>
              <w:rPr>
                <w:bCs w:val="0"/>
                <w:szCs w:val="20"/>
              </w:rPr>
            </w:pPr>
            <w:r w:rsidRPr="00E81073">
              <w:rPr>
                <w:bCs w:val="0"/>
                <w:szCs w:val="20"/>
              </w:rPr>
              <w:t>PBS: $20.68 (SEC, IFX), $21.21 (ADA, IXE, UST, CZP, GOL, GUS, ETN)</w:t>
            </w:r>
          </w:p>
          <w:p w14:paraId="7EEB7C12" w14:textId="77777777" w:rsidR="00AC5DB7" w:rsidRPr="00E81073" w:rsidRDefault="00AC5DB7" w:rsidP="00621EA3">
            <w:pPr>
              <w:pStyle w:val="TableText0"/>
              <w:keepNext w:val="0"/>
              <w:rPr>
                <w:szCs w:val="20"/>
              </w:rPr>
            </w:pPr>
            <w:r w:rsidRPr="00E81073">
              <w:rPr>
                <w:bCs w:val="0"/>
                <w:szCs w:val="20"/>
              </w:rPr>
              <w:t>RPBS: $5.07 (SEC, IFX), $4.81 (ADA, IXE, UST, CZP, GOL, GUS, ETN)</w:t>
            </w:r>
          </w:p>
        </w:tc>
        <w:tc>
          <w:tcPr>
            <w:tcW w:w="1158" w:type="pct"/>
            <w:vAlign w:val="center"/>
          </w:tcPr>
          <w:p w14:paraId="2B03BA19" w14:textId="77777777" w:rsidR="00AC5DB7" w:rsidRPr="00E81073" w:rsidRDefault="00AC5DB7" w:rsidP="00621EA3">
            <w:pPr>
              <w:pStyle w:val="TableText0"/>
              <w:keepNext w:val="0"/>
              <w:rPr>
                <w:szCs w:val="20"/>
              </w:rPr>
            </w:pPr>
            <w:r w:rsidRPr="00E81073">
              <w:rPr>
                <w:szCs w:val="20"/>
              </w:rPr>
              <w:t>Based on the distribution of scripts by beneficiary type in the current market (July 2022-June 2023).</w:t>
            </w:r>
          </w:p>
        </w:tc>
        <w:tc>
          <w:tcPr>
            <w:tcW w:w="1837" w:type="pct"/>
            <w:vAlign w:val="center"/>
          </w:tcPr>
          <w:p w14:paraId="490718CA" w14:textId="77777777" w:rsidR="00AC5DB7" w:rsidRPr="00E81073" w:rsidRDefault="00AC5DB7" w:rsidP="00621EA3">
            <w:pPr>
              <w:pStyle w:val="TableText0"/>
              <w:keepNext w:val="0"/>
              <w:rPr>
                <w:szCs w:val="20"/>
              </w:rPr>
            </w:pPr>
            <w:r w:rsidRPr="00E81073">
              <w:rPr>
                <w:szCs w:val="20"/>
              </w:rPr>
              <w:t>This was appropriate, although a single copayment estimate across all treatments would also be appropriate.</w:t>
            </w:r>
          </w:p>
        </w:tc>
      </w:tr>
    </w:tbl>
    <w:p w14:paraId="5AA962A1" w14:textId="77777777" w:rsidR="00AC5DB7" w:rsidRPr="00E81073" w:rsidRDefault="00AC5DB7" w:rsidP="00AC5DB7">
      <w:pPr>
        <w:pStyle w:val="FooterTableFigure"/>
      </w:pPr>
      <w:r w:rsidRPr="00E81073">
        <w:t>Source: pp204-221 of the submission; ‘Attachment 3.2_UCB PsA UCM 1.xlsx’; ‘Attachment 3.2_UCB PsA UCM 2.xlsx’.</w:t>
      </w:r>
    </w:p>
    <w:p w14:paraId="56A2273B" w14:textId="77777777" w:rsidR="00DE43FD" w:rsidRPr="00DE43FD" w:rsidRDefault="00DE22CB" w:rsidP="00AC5DB7">
      <w:pPr>
        <w:pStyle w:val="FooterTableFigure"/>
      </w:pPr>
      <w:r w:rsidRPr="00E81073">
        <w:rPr>
          <w:szCs w:val="18"/>
        </w:rPr>
        <w:t xml:space="preserve">ADA=adalimumab; </w:t>
      </w:r>
      <w:r w:rsidR="000D0B4C" w:rsidRPr="00E81073">
        <w:rPr>
          <w:szCs w:val="18"/>
        </w:rPr>
        <w:t>bDMARD=biologic disease-modifying antirheumatic drug; BKZ=bimekizumab; CZP=certolizumab pegol; DPMQ=</w:t>
      </w:r>
      <w:r w:rsidR="000D0B4C" w:rsidRPr="00E81073">
        <w:t xml:space="preserve"> </w:t>
      </w:r>
      <w:r w:rsidR="000D0B4C" w:rsidRPr="00E81073">
        <w:rPr>
          <w:szCs w:val="18"/>
        </w:rPr>
        <w:t xml:space="preserve">dispensed price for maximum quantity; </w:t>
      </w:r>
      <w:r w:rsidRPr="00E81073">
        <w:rPr>
          <w:szCs w:val="18"/>
        </w:rPr>
        <w:t>ETN=</w:t>
      </w:r>
      <w:r w:rsidR="000D0B4C" w:rsidRPr="00E81073">
        <w:rPr>
          <w:szCs w:val="18"/>
        </w:rPr>
        <w:t>etanercept</w:t>
      </w:r>
      <w:r w:rsidRPr="00E81073">
        <w:rPr>
          <w:szCs w:val="18"/>
        </w:rPr>
        <w:t xml:space="preserve">; </w:t>
      </w:r>
      <w:r w:rsidR="000D0B4C" w:rsidRPr="00E81073">
        <w:rPr>
          <w:szCs w:val="18"/>
        </w:rPr>
        <w:t xml:space="preserve">GOL=golimumab; GUS=guselkumab; </w:t>
      </w:r>
      <w:r w:rsidRPr="00E81073">
        <w:rPr>
          <w:szCs w:val="18"/>
        </w:rPr>
        <w:t>IFX=</w:t>
      </w:r>
      <w:r w:rsidR="000D0B4C" w:rsidRPr="00E81073">
        <w:rPr>
          <w:szCs w:val="18"/>
        </w:rPr>
        <w:t>infliximab</w:t>
      </w:r>
      <w:r w:rsidRPr="00E81073">
        <w:rPr>
          <w:szCs w:val="18"/>
        </w:rPr>
        <w:t xml:space="preserve">; </w:t>
      </w:r>
      <w:r w:rsidR="000D0B4C" w:rsidRPr="00E81073">
        <w:rPr>
          <w:szCs w:val="18"/>
        </w:rPr>
        <w:t xml:space="preserve">IL=interleukin; </w:t>
      </w:r>
      <w:r w:rsidRPr="00E81073">
        <w:rPr>
          <w:szCs w:val="18"/>
        </w:rPr>
        <w:t>IV=</w:t>
      </w:r>
      <w:r w:rsidR="000D0B4C" w:rsidRPr="00E81073">
        <w:rPr>
          <w:szCs w:val="18"/>
        </w:rPr>
        <w:t>intravenous</w:t>
      </w:r>
      <w:r w:rsidRPr="00E81073">
        <w:rPr>
          <w:szCs w:val="18"/>
        </w:rPr>
        <w:t xml:space="preserve">; </w:t>
      </w:r>
      <w:r w:rsidR="000D0B4C" w:rsidRPr="00E81073">
        <w:rPr>
          <w:szCs w:val="18"/>
        </w:rPr>
        <w:t>IXE=</w:t>
      </w:r>
      <w:r w:rsidR="000D0B4C" w:rsidRPr="00E81073">
        <w:t xml:space="preserve"> </w:t>
      </w:r>
      <w:r w:rsidR="000D0B4C" w:rsidRPr="00E81073">
        <w:rPr>
          <w:szCs w:val="18"/>
        </w:rPr>
        <w:t>ixekizumab; JAK=</w:t>
      </w:r>
      <w:r w:rsidR="000D0B4C" w:rsidRPr="00E81073">
        <w:t>J</w:t>
      </w:r>
      <w:r w:rsidR="000D0B4C" w:rsidRPr="00E81073">
        <w:rPr>
          <w:szCs w:val="18"/>
        </w:rPr>
        <w:t xml:space="preserve">anus kinase; PBS=Pharmaceutical Benefits Scheme; PsA=psoriatic arthritis; RPBS=Repatriation Pharmaceutical Benefits Scheme; </w:t>
      </w:r>
      <w:r w:rsidRPr="00E81073">
        <w:rPr>
          <w:szCs w:val="18"/>
        </w:rPr>
        <w:t>SC=</w:t>
      </w:r>
      <w:r w:rsidR="000D0B4C" w:rsidRPr="00E81073">
        <w:rPr>
          <w:szCs w:val="18"/>
        </w:rPr>
        <w:t>subcutaneous(ly)</w:t>
      </w:r>
      <w:r w:rsidRPr="00E81073">
        <w:rPr>
          <w:szCs w:val="18"/>
        </w:rPr>
        <w:t>; SEC=</w:t>
      </w:r>
      <w:r w:rsidR="000D0B4C" w:rsidRPr="00E81073">
        <w:rPr>
          <w:szCs w:val="18"/>
        </w:rPr>
        <w:t>secukinumab</w:t>
      </w:r>
      <w:r w:rsidRPr="00E81073">
        <w:rPr>
          <w:szCs w:val="18"/>
        </w:rPr>
        <w:t>; TOF=</w:t>
      </w:r>
      <w:r w:rsidR="000D0B4C" w:rsidRPr="00E81073">
        <w:t>t</w:t>
      </w:r>
      <w:r w:rsidR="000D0B4C" w:rsidRPr="00E81073">
        <w:rPr>
          <w:szCs w:val="18"/>
        </w:rPr>
        <w:t>ofacitinib</w:t>
      </w:r>
      <w:r w:rsidRPr="00E81073">
        <w:rPr>
          <w:szCs w:val="18"/>
        </w:rPr>
        <w:t xml:space="preserve">; </w:t>
      </w:r>
      <w:r w:rsidR="000D0B4C" w:rsidRPr="00E81073">
        <w:rPr>
          <w:szCs w:val="18"/>
        </w:rPr>
        <w:t>UPA=</w:t>
      </w:r>
      <w:r w:rsidR="000D0B4C" w:rsidRPr="00E81073">
        <w:t>u</w:t>
      </w:r>
      <w:r w:rsidR="000D0B4C" w:rsidRPr="00E81073">
        <w:rPr>
          <w:szCs w:val="18"/>
        </w:rPr>
        <w:t>padacitinib; UST=</w:t>
      </w:r>
      <w:r w:rsidR="000D0B4C" w:rsidRPr="00E81073">
        <w:t xml:space="preserve"> </w:t>
      </w:r>
      <w:r w:rsidR="000D0B4C" w:rsidRPr="00E81073">
        <w:rPr>
          <w:szCs w:val="18"/>
        </w:rPr>
        <w:t>ustekinumab.</w:t>
      </w:r>
    </w:p>
    <w:p w14:paraId="6A044100" w14:textId="42A1DCD8" w:rsidR="00D87DA9" w:rsidRPr="00D87DA9" w:rsidRDefault="00670F2D" w:rsidP="00D87DA9">
      <w:pPr>
        <w:pStyle w:val="3-BodyText"/>
      </w:pPr>
      <w:r w:rsidRPr="00E81073">
        <w:fldChar w:fldCharType="begin" w:fldLock="1"/>
      </w:r>
      <w:r w:rsidRPr="00E81073">
        <w:instrText xml:space="preserve"> REF _Ref152246663 \h </w:instrText>
      </w:r>
      <w:r w:rsidRPr="00E81073">
        <w:fldChar w:fldCharType="separate"/>
      </w:r>
      <w:r w:rsidRPr="00E81073">
        <w:t xml:space="preserve">Table </w:t>
      </w:r>
      <w:r w:rsidRPr="005E2177">
        <w:t>10</w:t>
      </w:r>
      <w:r w:rsidRPr="00E81073">
        <w:fldChar w:fldCharType="end"/>
      </w:r>
      <w:r w:rsidRPr="00E81073">
        <w:t xml:space="preserve"> </w:t>
      </w:r>
      <w:r w:rsidR="00AC5DB7" w:rsidRPr="00E81073">
        <w:t>summarises the estimated net financial implications for the proposed listing of BKZ on the PBS/RPBS for PsA.</w:t>
      </w:r>
    </w:p>
    <w:p w14:paraId="1246285D" w14:textId="21C07216" w:rsidR="00670F2D" w:rsidRPr="00E81073" w:rsidRDefault="00670F2D" w:rsidP="00D87DA9">
      <w:pPr>
        <w:pStyle w:val="Caption"/>
      </w:pPr>
      <w:bookmarkStart w:id="52" w:name="_Ref152246663"/>
      <w:r w:rsidRPr="00E81073">
        <w:t xml:space="preserve">Table </w:t>
      </w:r>
      <w:r w:rsidR="006269D6">
        <w:fldChar w:fldCharType="begin" w:fldLock="1"/>
      </w:r>
      <w:r w:rsidR="006269D6">
        <w:instrText xml:space="preserve"> SEQ Table \* ARABIC </w:instrText>
      </w:r>
      <w:r w:rsidR="006269D6">
        <w:fldChar w:fldCharType="separate"/>
      </w:r>
      <w:r w:rsidRPr="005E2177">
        <w:t>10</w:t>
      </w:r>
      <w:r w:rsidR="006269D6">
        <w:fldChar w:fldCharType="end"/>
      </w:r>
      <w:bookmarkEnd w:id="52"/>
      <w:r w:rsidRPr="00E81073">
        <w:t>: Estimated net cost of BKZ to the PBS/RPBS</w:t>
      </w:r>
    </w:p>
    <w:tbl>
      <w:tblPr>
        <w:tblStyle w:val="TableGrid"/>
        <w:tblW w:w="0" w:type="auto"/>
        <w:tblCellMar>
          <w:left w:w="28" w:type="dxa"/>
          <w:right w:w="28" w:type="dxa"/>
        </w:tblCellMar>
        <w:tblLook w:val="04A0" w:firstRow="1" w:lastRow="0" w:firstColumn="1" w:lastColumn="0" w:noHBand="0" w:noVBand="1"/>
        <w:tblCaption w:val="Table 10: Estimated net cost of BKZ to the PBS/RPBS"/>
      </w:tblPr>
      <w:tblGrid>
        <w:gridCol w:w="2227"/>
        <w:gridCol w:w="1057"/>
        <w:gridCol w:w="1057"/>
        <w:gridCol w:w="1169"/>
        <w:gridCol w:w="1169"/>
        <w:gridCol w:w="1169"/>
        <w:gridCol w:w="1169"/>
      </w:tblGrid>
      <w:tr w:rsidR="00AC5DB7" w:rsidRPr="00E81073" w14:paraId="30395157" w14:textId="77777777" w:rsidTr="00621EA3">
        <w:tc>
          <w:tcPr>
            <w:tcW w:w="2227" w:type="dxa"/>
          </w:tcPr>
          <w:p w14:paraId="236453EA" w14:textId="77777777" w:rsidR="00AC5DB7" w:rsidRPr="00E81073" w:rsidRDefault="00AC5DB7" w:rsidP="00D87DA9">
            <w:pPr>
              <w:keepNext/>
              <w:rPr>
                <w:rFonts w:ascii="Arial Narrow" w:hAnsi="Arial Narrow"/>
                <w:sz w:val="20"/>
                <w:szCs w:val="20"/>
              </w:rPr>
            </w:pPr>
          </w:p>
        </w:tc>
        <w:tc>
          <w:tcPr>
            <w:tcW w:w="1057" w:type="dxa"/>
            <w:vAlign w:val="center"/>
          </w:tcPr>
          <w:p w14:paraId="5AF40F5F" w14:textId="77777777" w:rsidR="00AC5DB7" w:rsidRPr="00E81073" w:rsidRDefault="00AC5DB7" w:rsidP="00D87DA9">
            <w:pPr>
              <w:keepNext/>
              <w:jc w:val="center"/>
              <w:rPr>
                <w:rFonts w:ascii="Arial Narrow" w:hAnsi="Arial Narrow"/>
                <w:b/>
                <w:bCs/>
                <w:sz w:val="20"/>
                <w:szCs w:val="20"/>
              </w:rPr>
            </w:pPr>
            <w:r w:rsidRPr="00E81073">
              <w:rPr>
                <w:rFonts w:ascii="Arial Narrow" w:hAnsi="Arial Narrow"/>
                <w:b/>
                <w:bCs/>
                <w:sz w:val="20"/>
                <w:szCs w:val="20"/>
              </w:rPr>
              <w:t>Year 1</w:t>
            </w:r>
          </w:p>
        </w:tc>
        <w:tc>
          <w:tcPr>
            <w:tcW w:w="1057" w:type="dxa"/>
            <w:vAlign w:val="center"/>
          </w:tcPr>
          <w:p w14:paraId="5FFEA7C5" w14:textId="77777777" w:rsidR="00AC5DB7" w:rsidRPr="00E81073" w:rsidRDefault="00AC5DB7" w:rsidP="00D87DA9">
            <w:pPr>
              <w:keepNext/>
              <w:jc w:val="center"/>
              <w:rPr>
                <w:rFonts w:ascii="Arial Narrow" w:hAnsi="Arial Narrow"/>
                <w:b/>
                <w:bCs/>
                <w:sz w:val="20"/>
                <w:szCs w:val="20"/>
              </w:rPr>
            </w:pPr>
            <w:r w:rsidRPr="00E81073">
              <w:rPr>
                <w:rFonts w:ascii="Arial Narrow" w:hAnsi="Arial Narrow"/>
                <w:b/>
                <w:bCs/>
                <w:sz w:val="20"/>
                <w:szCs w:val="20"/>
              </w:rPr>
              <w:t>Year 2</w:t>
            </w:r>
          </w:p>
        </w:tc>
        <w:tc>
          <w:tcPr>
            <w:tcW w:w="1169" w:type="dxa"/>
            <w:vAlign w:val="center"/>
          </w:tcPr>
          <w:p w14:paraId="47771EDC" w14:textId="77777777" w:rsidR="00AC5DB7" w:rsidRPr="00E81073" w:rsidRDefault="00AC5DB7" w:rsidP="00D87DA9">
            <w:pPr>
              <w:keepNext/>
              <w:jc w:val="center"/>
              <w:rPr>
                <w:rFonts w:ascii="Arial Narrow" w:hAnsi="Arial Narrow"/>
                <w:b/>
                <w:bCs/>
                <w:sz w:val="20"/>
                <w:szCs w:val="20"/>
              </w:rPr>
            </w:pPr>
            <w:r w:rsidRPr="00E81073">
              <w:rPr>
                <w:rFonts w:ascii="Arial Narrow" w:hAnsi="Arial Narrow"/>
                <w:b/>
                <w:bCs/>
                <w:sz w:val="20"/>
                <w:szCs w:val="20"/>
              </w:rPr>
              <w:t>Year 3</w:t>
            </w:r>
          </w:p>
        </w:tc>
        <w:tc>
          <w:tcPr>
            <w:tcW w:w="1169" w:type="dxa"/>
            <w:vAlign w:val="center"/>
          </w:tcPr>
          <w:p w14:paraId="3FE7C626" w14:textId="77777777" w:rsidR="00AC5DB7" w:rsidRPr="00E81073" w:rsidRDefault="00AC5DB7" w:rsidP="00D87DA9">
            <w:pPr>
              <w:keepNext/>
              <w:jc w:val="center"/>
              <w:rPr>
                <w:rFonts w:ascii="Arial Narrow" w:hAnsi="Arial Narrow"/>
                <w:b/>
                <w:bCs/>
                <w:sz w:val="20"/>
                <w:szCs w:val="20"/>
              </w:rPr>
            </w:pPr>
            <w:r w:rsidRPr="00E81073">
              <w:rPr>
                <w:rFonts w:ascii="Arial Narrow" w:hAnsi="Arial Narrow"/>
                <w:b/>
                <w:bCs/>
                <w:sz w:val="20"/>
                <w:szCs w:val="20"/>
              </w:rPr>
              <w:t>Year 4</w:t>
            </w:r>
          </w:p>
        </w:tc>
        <w:tc>
          <w:tcPr>
            <w:tcW w:w="1169" w:type="dxa"/>
            <w:vAlign w:val="center"/>
          </w:tcPr>
          <w:p w14:paraId="39A96CAF" w14:textId="77777777" w:rsidR="00AC5DB7" w:rsidRPr="00E81073" w:rsidRDefault="00AC5DB7" w:rsidP="00D87DA9">
            <w:pPr>
              <w:keepNext/>
              <w:jc w:val="center"/>
              <w:rPr>
                <w:rFonts w:ascii="Arial Narrow" w:hAnsi="Arial Narrow"/>
                <w:b/>
                <w:bCs/>
                <w:sz w:val="20"/>
                <w:szCs w:val="20"/>
              </w:rPr>
            </w:pPr>
            <w:r w:rsidRPr="00E81073">
              <w:rPr>
                <w:rFonts w:ascii="Arial Narrow" w:hAnsi="Arial Narrow"/>
                <w:b/>
                <w:bCs/>
                <w:sz w:val="20"/>
                <w:szCs w:val="20"/>
              </w:rPr>
              <w:t>Year 5</w:t>
            </w:r>
          </w:p>
        </w:tc>
        <w:tc>
          <w:tcPr>
            <w:tcW w:w="1169" w:type="dxa"/>
            <w:vAlign w:val="center"/>
          </w:tcPr>
          <w:p w14:paraId="33BB36FD" w14:textId="77777777" w:rsidR="00AC5DB7" w:rsidRPr="00E81073" w:rsidRDefault="00AC5DB7" w:rsidP="00D87DA9">
            <w:pPr>
              <w:keepNext/>
              <w:jc w:val="center"/>
              <w:rPr>
                <w:rFonts w:ascii="Arial Narrow" w:hAnsi="Arial Narrow"/>
                <w:b/>
                <w:bCs/>
                <w:sz w:val="20"/>
                <w:szCs w:val="20"/>
              </w:rPr>
            </w:pPr>
            <w:r w:rsidRPr="00E81073">
              <w:rPr>
                <w:rFonts w:ascii="Arial Narrow" w:hAnsi="Arial Narrow"/>
                <w:b/>
                <w:bCs/>
                <w:sz w:val="20"/>
                <w:szCs w:val="20"/>
              </w:rPr>
              <w:t>Year 6</w:t>
            </w:r>
          </w:p>
        </w:tc>
      </w:tr>
      <w:tr w:rsidR="00AC5DB7" w:rsidRPr="00E81073" w14:paraId="68107691" w14:textId="77777777" w:rsidTr="00621EA3">
        <w:tc>
          <w:tcPr>
            <w:tcW w:w="9017" w:type="dxa"/>
            <w:gridSpan w:val="7"/>
            <w:tcBorders>
              <w:bottom w:val="single" w:sz="4" w:space="0" w:color="auto"/>
            </w:tcBorders>
          </w:tcPr>
          <w:p w14:paraId="21F250BF" w14:textId="77777777" w:rsidR="00AC5DB7" w:rsidRPr="00E81073" w:rsidRDefault="00AC5DB7" w:rsidP="00D87DA9">
            <w:pPr>
              <w:keepNext/>
              <w:rPr>
                <w:rFonts w:ascii="Arial Narrow" w:hAnsi="Arial Narrow"/>
                <w:b/>
                <w:bCs/>
                <w:sz w:val="20"/>
                <w:szCs w:val="20"/>
              </w:rPr>
            </w:pPr>
            <w:r w:rsidRPr="00E81073">
              <w:rPr>
                <w:rFonts w:ascii="Arial Narrow" w:hAnsi="Arial Narrow"/>
                <w:b/>
                <w:bCs/>
                <w:sz w:val="20"/>
                <w:szCs w:val="20"/>
              </w:rPr>
              <w:t>Estimation of use and financial impact of the proposed medicine (BKZ)</w:t>
            </w:r>
          </w:p>
        </w:tc>
      </w:tr>
      <w:tr w:rsidR="00AC5DB7" w:rsidRPr="00E81073" w14:paraId="518F8C5C" w14:textId="77777777" w:rsidTr="00621EA3">
        <w:tc>
          <w:tcPr>
            <w:tcW w:w="2227" w:type="dxa"/>
            <w:tcBorders>
              <w:bottom w:val="nil"/>
            </w:tcBorders>
          </w:tcPr>
          <w:p w14:paraId="5AA187F1" w14:textId="77777777" w:rsidR="00AC5DB7" w:rsidRPr="00E81073" w:rsidRDefault="00AC5DB7" w:rsidP="00D87DA9">
            <w:pPr>
              <w:keepNext/>
              <w:rPr>
                <w:rFonts w:ascii="Arial Narrow" w:hAnsi="Arial Narrow"/>
                <w:sz w:val="20"/>
                <w:szCs w:val="20"/>
              </w:rPr>
            </w:pPr>
            <w:r w:rsidRPr="00E81073">
              <w:rPr>
                <w:rFonts w:ascii="Arial Narrow" w:hAnsi="Arial Narrow"/>
                <w:sz w:val="20"/>
                <w:szCs w:val="20"/>
              </w:rPr>
              <w:t xml:space="preserve">Scripts of BKZ </w:t>
            </w:r>
          </w:p>
        </w:tc>
        <w:tc>
          <w:tcPr>
            <w:tcW w:w="1057" w:type="dxa"/>
            <w:tcBorders>
              <w:bottom w:val="nil"/>
            </w:tcBorders>
            <w:vAlign w:val="center"/>
          </w:tcPr>
          <w:p w14:paraId="01E91EA4" w14:textId="17D1B94D" w:rsidR="00AC5DB7" w:rsidRPr="00AF4912" w:rsidRDefault="00DE43FD" w:rsidP="00D87DA9">
            <w:pPr>
              <w:keepNext/>
              <w:ind w:left="112"/>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631"/>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631"/>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631"/>
                <w14:textFill>
                  <w14:solidFill>
                    <w14:srgbClr w14:val="000000">
                      <w14:alpha w14:val="100000"/>
                    </w14:srgbClr>
                  </w14:solidFill>
                </w14:textFill>
              </w:rPr>
              <w:t xml:space="preserve">　</w:t>
            </w:r>
            <w:r w:rsidR="00A503EE" w:rsidRPr="00AF4912">
              <w:rPr>
                <w:rFonts w:ascii="Arial Narrow" w:hAnsi="Arial Narrow"/>
                <w:sz w:val="20"/>
                <w:szCs w:val="20"/>
                <w:vertAlign w:val="superscript"/>
              </w:rPr>
              <w:t>1</w:t>
            </w:r>
          </w:p>
        </w:tc>
        <w:tc>
          <w:tcPr>
            <w:tcW w:w="1057" w:type="dxa"/>
            <w:tcBorders>
              <w:bottom w:val="nil"/>
            </w:tcBorders>
            <w:vAlign w:val="center"/>
          </w:tcPr>
          <w:p w14:paraId="6749373E" w14:textId="7641FFB0" w:rsidR="00AC5DB7" w:rsidRPr="00AF4912" w:rsidRDefault="00DE43FD" w:rsidP="00D87DA9">
            <w:pPr>
              <w:keepNext/>
              <w:ind w:left="112"/>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4" w:id="-963397630"/>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4" w:id="-963397630"/>
                <w14:textFill>
                  <w14:solidFill>
                    <w14:srgbClr w14:val="000000">
                      <w14:alpha w14:val="100000"/>
                    </w14:srgbClr>
                  </w14:solidFill>
                </w14:textFill>
              </w:rPr>
              <w:t>|</w:t>
            </w:r>
            <w:r w:rsidRPr="006269D6">
              <w:rPr>
                <w:rFonts w:ascii="Arial Narrow" w:hAnsi="Arial Narrow" w:hint="eastAsia"/>
                <w:color w:val="000000"/>
                <w:spacing w:val="-41"/>
                <w:w w:val="15"/>
                <w:sz w:val="20"/>
                <w:szCs w:val="20"/>
                <w:shd w:val="solid" w:color="000000" w:fill="000000"/>
                <w:fitText w:val="24" w:id="-963397630"/>
                <w14:textFill>
                  <w14:solidFill>
                    <w14:srgbClr w14:val="000000">
                      <w14:alpha w14:val="100000"/>
                    </w14:srgbClr>
                  </w14:solidFill>
                </w14:textFill>
              </w:rPr>
              <w:t xml:space="preserve">　</w:t>
            </w:r>
            <w:r w:rsidR="00A503EE" w:rsidRPr="00A01E1F">
              <w:rPr>
                <w:rFonts w:ascii="Arial Narrow" w:hAnsi="Arial Narrow"/>
                <w:sz w:val="20"/>
                <w:szCs w:val="20"/>
                <w:vertAlign w:val="superscript"/>
              </w:rPr>
              <w:t>1</w:t>
            </w:r>
          </w:p>
        </w:tc>
        <w:tc>
          <w:tcPr>
            <w:tcW w:w="1169" w:type="dxa"/>
            <w:tcBorders>
              <w:bottom w:val="nil"/>
            </w:tcBorders>
            <w:vAlign w:val="center"/>
          </w:tcPr>
          <w:p w14:paraId="7ED9322B" w14:textId="7C7CAB36" w:rsidR="00AC5DB7" w:rsidRPr="00AF4912" w:rsidRDefault="00DE43FD" w:rsidP="00D87DA9">
            <w:pPr>
              <w:keepNext/>
              <w:ind w:left="112"/>
              <w:jc w:val="center"/>
              <w:rPr>
                <w:rFonts w:ascii="Arial Narrow" w:hAnsi="Arial Narrow"/>
                <w:sz w:val="20"/>
                <w:szCs w:val="20"/>
                <w:highlight w:val="lightGray"/>
              </w:rPr>
            </w:pPr>
            <w:r w:rsidRPr="00DE43FD">
              <w:rPr>
                <w:rFonts w:ascii="Arial Narrow" w:hAnsi="Arial Narrow"/>
                <w:color w:val="000000"/>
                <w:sz w:val="20"/>
                <w:szCs w:val="20"/>
                <w:shd w:val="solid" w:color="000000" w:fill="000000"/>
                <w14:textFill>
                  <w14:solidFill>
                    <w14:srgbClr w14:val="000000">
                      <w14:alpha w14:val="100000"/>
                    </w14:srgbClr>
                  </w14:solidFill>
                </w14:textFill>
              </w:rPr>
              <w:t>|</w:t>
            </w:r>
            <w:r w:rsidR="00A503EE" w:rsidRPr="00AF4912">
              <w:rPr>
                <w:rFonts w:ascii="Arial Narrow" w:hAnsi="Arial Narrow"/>
                <w:sz w:val="20"/>
                <w:szCs w:val="20"/>
                <w:vertAlign w:val="superscript"/>
              </w:rPr>
              <w:t>2</w:t>
            </w:r>
          </w:p>
        </w:tc>
        <w:tc>
          <w:tcPr>
            <w:tcW w:w="1169" w:type="dxa"/>
            <w:tcBorders>
              <w:bottom w:val="nil"/>
            </w:tcBorders>
            <w:vAlign w:val="center"/>
          </w:tcPr>
          <w:p w14:paraId="6D669AFF" w14:textId="60D13E35" w:rsidR="00AC5DB7" w:rsidRPr="00AF4912" w:rsidRDefault="00DE43FD" w:rsidP="00D87DA9">
            <w:pPr>
              <w:keepNext/>
              <w:ind w:left="112"/>
              <w:jc w:val="center"/>
              <w:rPr>
                <w:rFonts w:ascii="Arial Narrow" w:hAnsi="Arial Narrow"/>
                <w:sz w:val="20"/>
                <w:szCs w:val="20"/>
                <w:highlight w:val="lightGray"/>
              </w:rPr>
            </w:pPr>
            <w:r w:rsidRPr="00DE43FD">
              <w:rPr>
                <w:rFonts w:ascii="Arial Narrow" w:hAnsi="Arial Narrow"/>
                <w:color w:val="000000"/>
                <w:sz w:val="20"/>
                <w:szCs w:val="20"/>
                <w:shd w:val="solid" w:color="000000" w:fill="000000"/>
                <w14:textFill>
                  <w14:solidFill>
                    <w14:srgbClr w14:val="000000">
                      <w14:alpha w14:val="100000"/>
                    </w14:srgbClr>
                  </w14:solidFill>
                </w14:textFill>
              </w:rPr>
              <w:t>|</w:t>
            </w:r>
            <w:r w:rsidR="00A503EE" w:rsidRPr="00A01E1F">
              <w:rPr>
                <w:rFonts w:ascii="Arial Narrow" w:hAnsi="Arial Narrow"/>
                <w:sz w:val="20"/>
                <w:szCs w:val="20"/>
                <w:vertAlign w:val="superscript"/>
              </w:rPr>
              <w:t>2</w:t>
            </w:r>
          </w:p>
        </w:tc>
        <w:tc>
          <w:tcPr>
            <w:tcW w:w="1169" w:type="dxa"/>
            <w:tcBorders>
              <w:bottom w:val="nil"/>
            </w:tcBorders>
            <w:vAlign w:val="center"/>
          </w:tcPr>
          <w:p w14:paraId="145520C0" w14:textId="3D39ECD0" w:rsidR="00AC5DB7" w:rsidRPr="00AF4912" w:rsidRDefault="00DE43FD" w:rsidP="00D87DA9">
            <w:pPr>
              <w:keepNext/>
              <w:ind w:left="112"/>
              <w:jc w:val="center"/>
              <w:rPr>
                <w:rFonts w:ascii="Arial Narrow" w:hAnsi="Arial Narrow"/>
                <w:sz w:val="20"/>
                <w:szCs w:val="20"/>
                <w:highlight w:val="lightGray"/>
              </w:rPr>
            </w:pPr>
            <w:r w:rsidRPr="00DE43FD">
              <w:rPr>
                <w:rFonts w:ascii="Arial Narrow" w:hAnsi="Arial Narrow"/>
                <w:color w:val="000000"/>
                <w:sz w:val="20"/>
                <w:szCs w:val="20"/>
                <w:shd w:val="solid" w:color="000000" w:fill="000000"/>
                <w14:textFill>
                  <w14:solidFill>
                    <w14:srgbClr w14:val="000000">
                      <w14:alpha w14:val="100000"/>
                    </w14:srgbClr>
                  </w14:solidFill>
                </w14:textFill>
              </w:rPr>
              <w:t>|</w:t>
            </w:r>
            <w:r w:rsidR="00A503EE" w:rsidRPr="00A01E1F">
              <w:rPr>
                <w:rFonts w:ascii="Arial Narrow" w:hAnsi="Arial Narrow"/>
                <w:sz w:val="20"/>
                <w:szCs w:val="20"/>
                <w:vertAlign w:val="superscript"/>
              </w:rPr>
              <w:t>2</w:t>
            </w:r>
          </w:p>
        </w:tc>
        <w:tc>
          <w:tcPr>
            <w:tcW w:w="1169" w:type="dxa"/>
            <w:tcBorders>
              <w:bottom w:val="nil"/>
            </w:tcBorders>
            <w:vAlign w:val="center"/>
          </w:tcPr>
          <w:p w14:paraId="20D61FD2" w14:textId="1003A0ED" w:rsidR="00AC5DB7" w:rsidRPr="00AF4912" w:rsidRDefault="00DE43FD" w:rsidP="00D87DA9">
            <w:pPr>
              <w:keepNext/>
              <w:ind w:left="112"/>
              <w:jc w:val="center"/>
              <w:rPr>
                <w:rFonts w:ascii="Arial Narrow" w:hAnsi="Arial Narrow"/>
                <w:sz w:val="20"/>
                <w:szCs w:val="20"/>
                <w:highlight w:val="lightGray"/>
              </w:rPr>
            </w:pPr>
            <w:r w:rsidRPr="00DE43FD">
              <w:rPr>
                <w:rFonts w:ascii="Arial Narrow" w:hAnsi="Arial Narrow"/>
                <w:color w:val="000000"/>
                <w:sz w:val="20"/>
                <w:szCs w:val="20"/>
                <w:shd w:val="solid" w:color="000000" w:fill="000000"/>
                <w14:textFill>
                  <w14:solidFill>
                    <w14:srgbClr w14:val="000000">
                      <w14:alpha w14:val="100000"/>
                    </w14:srgbClr>
                  </w14:solidFill>
                </w14:textFill>
              </w:rPr>
              <w:t>|</w:t>
            </w:r>
            <w:r w:rsidR="00A503EE" w:rsidRPr="00A01E1F">
              <w:rPr>
                <w:rFonts w:ascii="Arial Narrow" w:hAnsi="Arial Narrow"/>
                <w:sz w:val="20"/>
                <w:szCs w:val="20"/>
                <w:vertAlign w:val="superscript"/>
              </w:rPr>
              <w:t>2</w:t>
            </w:r>
          </w:p>
        </w:tc>
      </w:tr>
      <w:tr w:rsidR="00AC5DB7" w:rsidRPr="00E81073" w14:paraId="142F5FD6" w14:textId="77777777" w:rsidTr="00621EA3">
        <w:tc>
          <w:tcPr>
            <w:tcW w:w="2227" w:type="dxa"/>
            <w:tcBorders>
              <w:top w:val="nil"/>
              <w:bottom w:val="nil"/>
            </w:tcBorders>
          </w:tcPr>
          <w:p w14:paraId="0B0893CB" w14:textId="77777777" w:rsidR="00AC5DB7" w:rsidRPr="00E81073" w:rsidRDefault="00AC5DB7" w:rsidP="00D87DA9">
            <w:pPr>
              <w:keepNext/>
              <w:ind w:left="112"/>
              <w:rPr>
                <w:rFonts w:ascii="Arial Narrow" w:hAnsi="Arial Narrow"/>
                <w:sz w:val="20"/>
                <w:szCs w:val="20"/>
              </w:rPr>
            </w:pPr>
            <w:r w:rsidRPr="00E81073">
              <w:rPr>
                <w:rFonts w:ascii="Arial Narrow" w:hAnsi="Arial Narrow"/>
                <w:sz w:val="20"/>
                <w:szCs w:val="20"/>
              </w:rPr>
              <w:t>Initial treatment</w:t>
            </w:r>
          </w:p>
        </w:tc>
        <w:tc>
          <w:tcPr>
            <w:tcW w:w="1057" w:type="dxa"/>
            <w:tcBorders>
              <w:top w:val="nil"/>
              <w:bottom w:val="nil"/>
            </w:tcBorders>
            <w:vAlign w:val="center"/>
          </w:tcPr>
          <w:p w14:paraId="631A9B93" w14:textId="4BC7E20F" w:rsidR="00AC5DB7" w:rsidRPr="00AF4912" w:rsidRDefault="00DE43FD" w:rsidP="00D87DA9">
            <w:pPr>
              <w:keepNext/>
              <w:ind w:left="112"/>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629"/>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629"/>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629"/>
                <w14:textFill>
                  <w14:solidFill>
                    <w14:srgbClr w14:val="000000">
                      <w14:alpha w14:val="100000"/>
                    </w14:srgbClr>
                  </w14:solidFill>
                </w14:textFill>
              </w:rPr>
              <w:t xml:space="preserve">　</w:t>
            </w:r>
            <w:r w:rsidR="00A503EE" w:rsidRPr="00AF4912">
              <w:rPr>
                <w:rFonts w:ascii="Arial Narrow" w:hAnsi="Arial Narrow"/>
                <w:sz w:val="20"/>
                <w:szCs w:val="20"/>
                <w:vertAlign w:val="superscript"/>
              </w:rPr>
              <w:t>3</w:t>
            </w:r>
          </w:p>
        </w:tc>
        <w:tc>
          <w:tcPr>
            <w:tcW w:w="1057" w:type="dxa"/>
            <w:tcBorders>
              <w:top w:val="nil"/>
              <w:bottom w:val="nil"/>
            </w:tcBorders>
            <w:vAlign w:val="center"/>
          </w:tcPr>
          <w:p w14:paraId="0ECF4586" w14:textId="24D86EB5" w:rsidR="00AC5DB7" w:rsidRPr="00AF4912" w:rsidRDefault="00DE43FD" w:rsidP="00D87DA9">
            <w:pPr>
              <w:keepNext/>
              <w:ind w:left="112"/>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4" w:id="-963397628"/>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4" w:id="-963397628"/>
                <w14:textFill>
                  <w14:solidFill>
                    <w14:srgbClr w14:val="000000">
                      <w14:alpha w14:val="100000"/>
                    </w14:srgbClr>
                  </w14:solidFill>
                </w14:textFill>
              </w:rPr>
              <w:t>|</w:t>
            </w:r>
            <w:r w:rsidRPr="006269D6">
              <w:rPr>
                <w:rFonts w:ascii="Arial Narrow" w:hAnsi="Arial Narrow" w:hint="eastAsia"/>
                <w:color w:val="000000"/>
                <w:spacing w:val="-41"/>
                <w:w w:val="15"/>
                <w:sz w:val="20"/>
                <w:szCs w:val="20"/>
                <w:shd w:val="solid" w:color="000000" w:fill="000000"/>
                <w:fitText w:val="24" w:id="-963397628"/>
                <w14:textFill>
                  <w14:solidFill>
                    <w14:srgbClr w14:val="000000">
                      <w14:alpha w14:val="100000"/>
                    </w14:srgbClr>
                  </w14:solidFill>
                </w14:textFill>
              </w:rPr>
              <w:t xml:space="preserve">　</w:t>
            </w:r>
            <w:r w:rsidR="00A503EE" w:rsidRPr="00A01E1F">
              <w:rPr>
                <w:rFonts w:ascii="Arial Narrow" w:hAnsi="Arial Narrow"/>
                <w:sz w:val="20"/>
                <w:szCs w:val="20"/>
                <w:vertAlign w:val="superscript"/>
              </w:rPr>
              <w:t>1</w:t>
            </w:r>
          </w:p>
        </w:tc>
        <w:tc>
          <w:tcPr>
            <w:tcW w:w="1169" w:type="dxa"/>
            <w:tcBorders>
              <w:top w:val="nil"/>
              <w:bottom w:val="nil"/>
            </w:tcBorders>
            <w:vAlign w:val="center"/>
          </w:tcPr>
          <w:p w14:paraId="40AAE778" w14:textId="0C976DF9" w:rsidR="00AC5DB7" w:rsidRPr="00AF4912" w:rsidRDefault="00DE43FD" w:rsidP="00D87DA9">
            <w:pPr>
              <w:keepNext/>
              <w:ind w:left="112"/>
              <w:jc w:val="center"/>
              <w:rPr>
                <w:rFonts w:ascii="Arial Narrow" w:hAnsi="Arial Narrow"/>
                <w:sz w:val="20"/>
                <w:szCs w:val="20"/>
                <w:highlight w:val="lightGray"/>
              </w:rPr>
            </w:pPr>
            <w:r w:rsidRPr="00DE43FD">
              <w:rPr>
                <w:rFonts w:ascii="Arial Narrow" w:hAnsi="Arial Narrow"/>
                <w:color w:val="000000"/>
                <w:sz w:val="20"/>
                <w:szCs w:val="20"/>
                <w:shd w:val="solid" w:color="000000" w:fill="000000"/>
                <w14:textFill>
                  <w14:solidFill>
                    <w14:srgbClr w14:val="000000">
                      <w14:alpha w14:val="100000"/>
                    </w14:srgbClr>
                  </w14:solidFill>
                </w14:textFill>
              </w:rPr>
              <w:t>|</w:t>
            </w:r>
            <w:r w:rsidR="00A503EE" w:rsidRPr="00A01E1F">
              <w:rPr>
                <w:rFonts w:ascii="Arial Narrow" w:hAnsi="Arial Narrow"/>
                <w:sz w:val="20"/>
                <w:szCs w:val="20"/>
                <w:vertAlign w:val="superscript"/>
              </w:rPr>
              <w:t>1</w:t>
            </w:r>
          </w:p>
        </w:tc>
        <w:tc>
          <w:tcPr>
            <w:tcW w:w="1169" w:type="dxa"/>
            <w:tcBorders>
              <w:top w:val="nil"/>
              <w:bottom w:val="nil"/>
            </w:tcBorders>
            <w:vAlign w:val="center"/>
          </w:tcPr>
          <w:p w14:paraId="777EAC80" w14:textId="183D8B9B" w:rsidR="00AC5DB7" w:rsidRPr="00AF4912" w:rsidRDefault="00DE43FD" w:rsidP="00D87DA9">
            <w:pPr>
              <w:keepNext/>
              <w:ind w:left="112"/>
              <w:jc w:val="center"/>
              <w:rPr>
                <w:rFonts w:ascii="Arial Narrow" w:hAnsi="Arial Narrow"/>
                <w:sz w:val="20"/>
                <w:szCs w:val="20"/>
                <w:highlight w:val="lightGray"/>
              </w:rPr>
            </w:pPr>
            <w:r w:rsidRPr="00DE43FD">
              <w:rPr>
                <w:rFonts w:ascii="Arial Narrow" w:hAnsi="Arial Narrow"/>
                <w:color w:val="000000"/>
                <w:sz w:val="20"/>
                <w:szCs w:val="20"/>
                <w:shd w:val="solid" w:color="000000" w:fill="000000"/>
                <w14:textFill>
                  <w14:solidFill>
                    <w14:srgbClr w14:val="000000">
                      <w14:alpha w14:val="100000"/>
                    </w14:srgbClr>
                  </w14:solidFill>
                </w14:textFill>
              </w:rPr>
              <w:t>|</w:t>
            </w:r>
            <w:r w:rsidR="00A503EE" w:rsidRPr="00A01E1F">
              <w:rPr>
                <w:rFonts w:ascii="Arial Narrow" w:hAnsi="Arial Narrow"/>
                <w:sz w:val="20"/>
                <w:szCs w:val="20"/>
                <w:vertAlign w:val="superscript"/>
              </w:rPr>
              <w:t>1</w:t>
            </w:r>
          </w:p>
        </w:tc>
        <w:tc>
          <w:tcPr>
            <w:tcW w:w="1169" w:type="dxa"/>
            <w:tcBorders>
              <w:top w:val="nil"/>
              <w:bottom w:val="nil"/>
            </w:tcBorders>
            <w:vAlign w:val="center"/>
          </w:tcPr>
          <w:p w14:paraId="51AC9665" w14:textId="0A2E9B78" w:rsidR="00AC5DB7" w:rsidRPr="00AF4912" w:rsidRDefault="00DE43FD" w:rsidP="00D87DA9">
            <w:pPr>
              <w:keepNext/>
              <w:ind w:left="112"/>
              <w:jc w:val="center"/>
              <w:rPr>
                <w:rFonts w:ascii="Arial Narrow" w:hAnsi="Arial Narrow"/>
                <w:sz w:val="20"/>
                <w:szCs w:val="20"/>
                <w:highlight w:val="lightGray"/>
              </w:rPr>
            </w:pPr>
            <w:r w:rsidRPr="00DE43FD">
              <w:rPr>
                <w:rFonts w:ascii="Arial Narrow" w:hAnsi="Arial Narrow"/>
                <w:color w:val="000000"/>
                <w:sz w:val="20"/>
                <w:szCs w:val="20"/>
                <w:shd w:val="solid" w:color="000000" w:fill="000000"/>
                <w14:textFill>
                  <w14:solidFill>
                    <w14:srgbClr w14:val="000000">
                      <w14:alpha w14:val="100000"/>
                    </w14:srgbClr>
                  </w14:solidFill>
                </w14:textFill>
              </w:rPr>
              <w:t>|</w:t>
            </w:r>
            <w:r w:rsidR="00A503EE" w:rsidRPr="00A01E1F">
              <w:rPr>
                <w:rFonts w:ascii="Arial Narrow" w:hAnsi="Arial Narrow"/>
                <w:sz w:val="20"/>
                <w:szCs w:val="20"/>
                <w:vertAlign w:val="superscript"/>
              </w:rPr>
              <w:t>1</w:t>
            </w:r>
          </w:p>
        </w:tc>
        <w:tc>
          <w:tcPr>
            <w:tcW w:w="1169" w:type="dxa"/>
            <w:tcBorders>
              <w:top w:val="nil"/>
              <w:bottom w:val="nil"/>
            </w:tcBorders>
            <w:vAlign w:val="center"/>
          </w:tcPr>
          <w:p w14:paraId="6512901C" w14:textId="54A55AE4" w:rsidR="00AC5DB7" w:rsidRPr="00AF4912" w:rsidRDefault="00DE43FD" w:rsidP="00D87DA9">
            <w:pPr>
              <w:keepNext/>
              <w:ind w:left="112"/>
              <w:jc w:val="center"/>
              <w:rPr>
                <w:rFonts w:ascii="Arial Narrow" w:hAnsi="Arial Narrow"/>
                <w:sz w:val="20"/>
                <w:szCs w:val="20"/>
                <w:highlight w:val="lightGray"/>
              </w:rPr>
            </w:pPr>
            <w:r w:rsidRPr="00DE43FD">
              <w:rPr>
                <w:rFonts w:ascii="Arial Narrow" w:hAnsi="Arial Narrow"/>
                <w:color w:val="000000"/>
                <w:sz w:val="20"/>
                <w:szCs w:val="20"/>
                <w:shd w:val="solid" w:color="000000" w:fill="000000"/>
                <w14:textFill>
                  <w14:solidFill>
                    <w14:srgbClr w14:val="000000">
                      <w14:alpha w14:val="100000"/>
                    </w14:srgbClr>
                  </w14:solidFill>
                </w14:textFill>
              </w:rPr>
              <w:t>|</w:t>
            </w:r>
            <w:r w:rsidR="00A503EE" w:rsidRPr="00A01E1F">
              <w:rPr>
                <w:rFonts w:ascii="Arial Narrow" w:hAnsi="Arial Narrow"/>
                <w:sz w:val="20"/>
                <w:szCs w:val="20"/>
                <w:vertAlign w:val="superscript"/>
              </w:rPr>
              <w:t>1</w:t>
            </w:r>
          </w:p>
        </w:tc>
      </w:tr>
      <w:tr w:rsidR="00AC5DB7" w:rsidRPr="00E81073" w14:paraId="4A02F200" w14:textId="77777777" w:rsidTr="00621EA3">
        <w:tc>
          <w:tcPr>
            <w:tcW w:w="2227" w:type="dxa"/>
            <w:tcBorders>
              <w:top w:val="nil"/>
              <w:bottom w:val="single" w:sz="4" w:space="0" w:color="auto"/>
            </w:tcBorders>
          </w:tcPr>
          <w:p w14:paraId="787C4A2A" w14:textId="77777777" w:rsidR="00AC5DB7" w:rsidRPr="00E81073" w:rsidRDefault="00AC5DB7" w:rsidP="00D87DA9">
            <w:pPr>
              <w:keepNext/>
              <w:ind w:left="112"/>
              <w:rPr>
                <w:rFonts w:ascii="Arial Narrow" w:hAnsi="Arial Narrow"/>
                <w:sz w:val="20"/>
                <w:szCs w:val="20"/>
              </w:rPr>
            </w:pPr>
            <w:r w:rsidRPr="00E81073">
              <w:rPr>
                <w:rFonts w:ascii="Arial Narrow" w:hAnsi="Arial Narrow"/>
                <w:sz w:val="20"/>
                <w:szCs w:val="20"/>
              </w:rPr>
              <w:t>Continuing treatment</w:t>
            </w:r>
          </w:p>
        </w:tc>
        <w:tc>
          <w:tcPr>
            <w:tcW w:w="1057" w:type="dxa"/>
            <w:tcBorders>
              <w:top w:val="nil"/>
              <w:bottom w:val="single" w:sz="4" w:space="0" w:color="auto"/>
            </w:tcBorders>
            <w:vAlign w:val="center"/>
          </w:tcPr>
          <w:p w14:paraId="53361AA7" w14:textId="10276F0E" w:rsidR="00AC5DB7" w:rsidRPr="00AF4912" w:rsidRDefault="00DE43FD" w:rsidP="00D87DA9">
            <w:pPr>
              <w:keepNext/>
              <w:ind w:left="112"/>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627"/>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627"/>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627"/>
                <w14:textFill>
                  <w14:solidFill>
                    <w14:srgbClr w14:val="000000">
                      <w14:alpha w14:val="100000"/>
                    </w14:srgbClr>
                  </w14:solidFill>
                </w14:textFill>
              </w:rPr>
              <w:t xml:space="preserve">　</w:t>
            </w:r>
            <w:r w:rsidR="00A503EE" w:rsidRPr="00A01E1F">
              <w:rPr>
                <w:rFonts w:ascii="Arial Narrow" w:hAnsi="Arial Narrow"/>
                <w:sz w:val="20"/>
                <w:szCs w:val="20"/>
                <w:vertAlign w:val="superscript"/>
              </w:rPr>
              <w:t>1</w:t>
            </w:r>
          </w:p>
        </w:tc>
        <w:tc>
          <w:tcPr>
            <w:tcW w:w="1057" w:type="dxa"/>
            <w:tcBorders>
              <w:top w:val="nil"/>
              <w:bottom w:val="single" w:sz="4" w:space="0" w:color="auto"/>
            </w:tcBorders>
            <w:vAlign w:val="center"/>
          </w:tcPr>
          <w:p w14:paraId="5DA95A00" w14:textId="25EDE865" w:rsidR="00AC5DB7" w:rsidRPr="00AF4912" w:rsidRDefault="00DE43FD" w:rsidP="00D87DA9">
            <w:pPr>
              <w:keepNext/>
              <w:ind w:left="112"/>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4" w:id="-963397626"/>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4" w:id="-963397626"/>
                <w14:textFill>
                  <w14:solidFill>
                    <w14:srgbClr w14:val="000000">
                      <w14:alpha w14:val="100000"/>
                    </w14:srgbClr>
                  </w14:solidFill>
                </w14:textFill>
              </w:rPr>
              <w:t>|</w:t>
            </w:r>
            <w:r w:rsidRPr="006269D6">
              <w:rPr>
                <w:rFonts w:ascii="Arial Narrow" w:hAnsi="Arial Narrow" w:hint="eastAsia"/>
                <w:color w:val="000000"/>
                <w:spacing w:val="-41"/>
                <w:w w:val="15"/>
                <w:sz w:val="20"/>
                <w:szCs w:val="20"/>
                <w:shd w:val="solid" w:color="000000" w:fill="000000"/>
                <w:fitText w:val="24" w:id="-963397626"/>
                <w14:textFill>
                  <w14:solidFill>
                    <w14:srgbClr w14:val="000000">
                      <w14:alpha w14:val="100000"/>
                    </w14:srgbClr>
                  </w14:solidFill>
                </w14:textFill>
              </w:rPr>
              <w:t xml:space="preserve">　</w:t>
            </w:r>
            <w:r w:rsidR="00A503EE" w:rsidRPr="00A01E1F">
              <w:rPr>
                <w:rFonts w:ascii="Arial Narrow" w:hAnsi="Arial Narrow"/>
                <w:sz w:val="20"/>
                <w:szCs w:val="20"/>
                <w:vertAlign w:val="superscript"/>
              </w:rPr>
              <w:t>1</w:t>
            </w:r>
          </w:p>
        </w:tc>
        <w:tc>
          <w:tcPr>
            <w:tcW w:w="1169" w:type="dxa"/>
            <w:tcBorders>
              <w:top w:val="nil"/>
              <w:bottom w:val="single" w:sz="4" w:space="0" w:color="auto"/>
            </w:tcBorders>
            <w:vAlign w:val="center"/>
          </w:tcPr>
          <w:p w14:paraId="44EE89F7" w14:textId="36844137" w:rsidR="00AC5DB7" w:rsidRPr="00AF4912" w:rsidRDefault="00DE43FD" w:rsidP="00D87DA9">
            <w:pPr>
              <w:keepNext/>
              <w:ind w:left="112"/>
              <w:jc w:val="center"/>
              <w:rPr>
                <w:rFonts w:ascii="Arial Narrow" w:hAnsi="Arial Narrow"/>
                <w:sz w:val="20"/>
                <w:szCs w:val="20"/>
                <w:highlight w:val="lightGray"/>
              </w:rPr>
            </w:pPr>
            <w:r w:rsidRPr="00DE43FD">
              <w:rPr>
                <w:rFonts w:ascii="Arial Narrow" w:hAnsi="Arial Narrow"/>
                <w:color w:val="000000"/>
                <w:sz w:val="20"/>
                <w:szCs w:val="20"/>
                <w:shd w:val="solid" w:color="000000" w:fill="000000"/>
                <w14:textFill>
                  <w14:solidFill>
                    <w14:srgbClr w14:val="000000">
                      <w14:alpha w14:val="100000"/>
                    </w14:srgbClr>
                  </w14:solidFill>
                </w14:textFill>
              </w:rPr>
              <w:t>|</w:t>
            </w:r>
            <w:r w:rsidR="00A503EE" w:rsidRPr="00A01E1F">
              <w:rPr>
                <w:rFonts w:ascii="Arial Narrow" w:hAnsi="Arial Narrow"/>
                <w:sz w:val="20"/>
                <w:szCs w:val="20"/>
                <w:vertAlign w:val="superscript"/>
              </w:rPr>
              <w:t>1</w:t>
            </w:r>
          </w:p>
        </w:tc>
        <w:tc>
          <w:tcPr>
            <w:tcW w:w="1169" w:type="dxa"/>
            <w:tcBorders>
              <w:top w:val="nil"/>
              <w:bottom w:val="single" w:sz="4" w:space="0" w:color="auto"/>
            </w:tcBorders>
            <w:vAlign w:val="center"/>
          </w:tcPr>
          <w:p w14:paraId="0E2FAC04" w14:textId="700F3669" w:rsidR="00AC5DB7" w:rsidRPr="00AF4912" w:rsidRDefault="00DE43FD" w:rsidP="00D87DA9">
            <w:pPr>
              <w:keepNext/>
              <w:ind w:left="112"/>
              <w:jc w:val="center"/>
              <w:rPr>
                <w:rFonts w:ascii="Arial Narrow" w:hAnsi="Arial Narrow"/>
                <w:sz w:val="20"/>
                <w:szCs w:val="20"/>
                <w:highlight w:val="lightGray"/>
              </w:rPr>
            </w:pPr>
            <w:r w:rsidRPr="00DE43FD">
              <w:rPr>
                <w:rFonts w:ascii="Arial Narrow" w:hAnsi="Arial Narrow"/>
                <w:color w:val="000000"/>
                <w:sz w:val="20"/>
                <w:szCs w:val="20"/>
                <w:shd w:val="solid" w:color="000000" w:fill="000000"/>
                <w14:textFill>
                  <w14:solidFill>
                    <w14:srgbClr w14:val="000000">
                      <w14:alpha w14:val="100000"/>
                    </w14:srgbClr>
                  </w14:solidFill>
                </w14:textFill>
              </w:rPr>
              <w:t>|</w:t>
            </w:r>
            <w:r w:rsidR="00A503EE" w:rsidRPr="00A01E1F">
              <w:rPr>
                <w:rFonts w:ascii="Arial Narrow" w:hAnsi="Arial Narrow"/>
                <w:sz w:val="20"/>
                <w:szCs w:val="20"/>
                <w:vertAlign w:val="superscript"/>
              </w:rPr>
              <w:t>2</w:t>
            </w:r>
          </w:p>
        </w:tc>
        <w:tc>
          <w:tcPr>
            <w:tcW w:w="1169" w:type="dxa"/>
            <w:tcBorders>
              <w:top w:val="nil"/>
              <w:bottom w:val="single" w:sz="4" w:space="0" w:color="auto"/>
            </w:tcBorders>
            <w:vAlign w:val="center"/>
          </w:tcPr>
          <w:p w14:paraId="55E6BC6A" w14:textId="334418EB" w:rsidR="00AC5DB7" w:rsidRPr="00AF4912" w:rsidRDefault="00DE43FD" w:rsidP="00D87DA9">
            <w:pPr>
              <w:keepNext/>
              <w:ind w:left="112"/>
              <w:jc w:val="center"/>
              <w:rPr>
                <w:rFonts w:ascii="Arial Narrow" w:hAnsi="Arial Narrow"/>
                <w:sz w:val="20"/>
                <w:szCs w:val="20"/>
                <w:highlight w:val="lightGray"/>
              </w:rPr>
            </w:pPr>
            <w:r w:rsidRPr="00DE43FD">
              <w:rPr>
                <w:rFonts w:ascii="Arial Narrow" w:hAnsi="Arial Narrow"/>
                <w:color w:val="000000"/>
                <w:sz w:val="20"/>
                <w:szCs w:val="20"/>
                <w:shd w:val="solid" w:color="000000" w:fill="000000"/>
                <w14:textFill>
                  <w14:solidFill>
                    <w14:srgbClr w14:val="000000">
                      <w14:alpha w14:val="100000"/>
                    </w14:srgbClr>
                  </w14:solidFill>
                </w14:textFill>
              </w:rPr>
              <w:t>|</w:t>
            </w:r>
            <w:r w:rsidR="00A503EE" w:rsidRPr="00A01E1F">
              <w:rPr>
                <w:rFonts w:ascii="Arial Narrow" w:hAnsi="Arial Narrow"/>
                <w:sz w:val="20"/>
                <w:szCs w:val="20"/>
                <w:vertAlign w:val="superscript"/>
              </w:rPr>
              <w:t>2</w:t>
            </w:r>
          </w:p>
        </w:tc>
        <w:tc>
          <w:tcPr>
            <w:tcW w:w="1169" w:type="dxa"/>
            <w:tcBorders>
              <w:top w:val="nil"/>
              <w:bottom w:val="single" w:sz="4" w:space="0" w:color="auto"/>
            </w:tcBorders>
            <w:vAlign w:val="center"/>
          </w:tcPr>
          <w:p w14:paraId="0FD719BC" w14:textId="7F4D6993" w:rsidR="00AC5DB7" w:rsidRPr="00AF4912" w:rsidRDefault="00DE43FD" w:rsidP="00D87DA9">
            <w:pPr>
              <w:keepNext/>
              <w:ind w:left="112"/>
              <w:jc w:val="center"/>
              <w:rPr>
                <w:rFonts w:ascii="Arial Narrow" w:hAnsi="Arial Narrow"/>
                <w:sz w:val="20"/>
                <w:szCs w:val="20"/>
                <w:highlight w:val="lightGray"/>
              </w:rPr>
            </w:pPr>
            <w:r w:rsidRPr="00DE43FD">
              <w:rPr>
                <w:rFonts w:ascii="Arial Narrow" w:hAnsi="Arial Narrow"/>
                <w:color w:val="000000"/>
                <w:sz w:val="20"/>
                <w:szCs w:val="20"/>
                <w:shd w:val="solid" w:color="000000" w:fill="000000"/>
                <w14:textFill>
                  <w14:solidFill>
                    <w14:srgbClr w14:val="000000">
                      <w14:alpha w14:val="100000"/>
                    </w14:srgbClr>
                  </w14:solidFill>
                </w14:textFill>
              </w:rPr>
              <w:t>|</w:t>
            </w:r>
            <w:r w:rsidR="00A503EE" w:rsidRPr="00A01E1F">
              <w:rPr>
                <w:rFonts w:ascii="Arial Narrow" w:hAnsi="Arial Narrow"/>
                <w:sz w:val="20"/>
                <w:szCs w:val="20"/>
                <w:vertAlign w:val="superscript"/>
              </w:rPr>
              <w:t>2</w:t>
            </w:r>
          </w:p>
        </w:tc>
      </w:tr>
      <w:tr w:rsidR="00AC5DB7" w:rsidRPr="00E81073" w14:paraId="05D68E82" w14:textId="77777777" w:rsidTr="00621EA3">
        <w:tc>
          <w:tcPr>
            <w:tcW w:w="2227" w:type="dxa"/>
            <w:tcBorders>
              <w:top w:val="single" w:sz="4" w:space="0" w:color="auto"/>
            </w:tcBorders>
          </w:tcPr>
          <w:p w14:paraId="6E0AC662" w14:textId="77777777" w:rsidR="00AC5DB7" w:rsidRPr="00E81073" w:rsidRDefault="00AC5DB7" w:rsidP="00D87DA9">
            <w:pPr>
              <w:keepNext/>
              <w:rPr>
                <w:rFonts w:ascii="Arial Narrow" w:hAnsi="Arial Narrow"/>
                <w:sz w:val="20"/>
                <w:szCs w:val="20"/>
              </w:rPr>
            </w:pPr>
            <w:r w:rsidRPr="00E81073">
              <w:rPr>
                <w:rFonts w:ascii="Arial Narrow" w:hAnsi="Arial Narrow"/>
                <w:sz w:val="20"/>
                <w:szCs w:val="20"/>
              </w:rPr>
              <w:t>BKZ net cost to PBS/RPBS</w:t>
            </w:r>
          </w:p>
        </w:tc>
        <w:tc>
          <w:tcPr>
            <w:tcW w:w="1057" w:type="dxa"/>
            <w:tcBorders>
              <w:top w:val="single" w:sz="4" w:space="0" w:color="auto"/>
            </w:tcBorders>
            <w:vAlign w:val="center"/>
          </w:tcPr>
          <w:p w14:paraId="2E699C62" w14:textId="0ACA83E3" w:rsidR="00AC5DB7" w:rsidRPr="00AF4912" w:rsidRDefault="00DE43FD" w:rsidP="00D87DA9">
            <w:pPr>
              <w:keepNext/>
              <w:jc w:val="center"/>
              <w:rPr>
                <w:rFonts w:ascii="Arial Narrow" w:hAnsi="Arial Narrow"/>
                <w:sz w:val="20"/>
                <w:szCs w:val="20"/>
                <w:highlight w:val="lightGray"/>
              </w:rPr>
            </w:pPr>
            <w:r w:rsidRPr="00DE43FD">
              <w:rPr>
                <w:rFonts w:ascii="Arial Narrow" w:hAnsi="Arial Narrow" w:hint="eastAsia"/>
                <w:color w:val="000000"/>
                <w:w w:val="18"/>
                <w:sz w:val="20"/>
                <w:szCs w:val="20"/>
                <w:shd w:val="solid" w:color="000000" w:fill="000000"/>
                <w:fitText w:val="81" w:id="-963397625"/>
                <w14:textFill>
                  <w14:solidFill>
                    <w14:srgbClr w14:val="000000">
                      <w14:alpha w14:val="100000"/>
                    </w14:srgbClr>
                  </w14:solidFill>
                </w14:textFill>
              </w:rPr>
              <w:t xml:space="preserve">　</w:t>
            </w:r>
            <w:r w:rsidRPr="00DE43FD">
              <w:rPr>
                <w:rFonts w:ascii="Arial Narrow" w:hAnsi="Arial Narrow"/>
                <w:color w:val="000000"/>
                <w:w w:val="18"/>
                <w:sz w:val="20"/>
                <w:szCs w:val="20"/>
                <w:shd w:val="solid" w:color="000000" w:fill="000000"/>
                <w:fitText w:val="81" w:id="-963397625"/>
                <w14:textFill>
                  <w14:solidFill>
                    <w14:srgbClr w14:val="000000">
                      <w14:alpha w14:val="100000"/>
                    </w14:srgbClr>
                  </w14:solidFill>
                </w14:textFill>
              </w:rPr>
              <w:t>|</w:t>
            </w:r>
            <w:r w:rsidRPr="00DE43FD">
              <w:rPr>
                <w:rFonts w:ascii="Arial Narrow" w:hAnsi="Arial Narrow" w:hint="eastAsia"/>
                <w:color w:val="000000"/>
                <w:spacing w:val="1"/>
                <w:w w:val="18"/>
                <w:sz w:val="20"/>
                <w:szCs w:val="20"/>
                <w:shd w:val="solid" w:color="000000" w:fill="000000"/>
                <w:fitText w:val="81" w:id="-963397625"/>
                <w14:textFill>
                  <w14:solidFill>
                    <w14:srgbClr w14:val="000000">
                      <w14:alpha w14:val="100000"/>
                    </w14:srgbClr>
                  </w14:solidFill>
                </w14:textFill>
              </w:rPr>
              <w:t xml:space="preserve">　</w:t>
            </w:r>
            <w:r w:rsidR="0063250A" w:rsidRPr="00AF4912">
              <w:rPr>
                <w:rFonts w:ascii="Arial Narrow" w:hAnsi="Arial Narrow"/>
                <w:sz w:val="20"/>
                <w:szCs w:val="20"/>
                <w:vertAlign w:val="superscript"/>
              </w:rPr>
              <w:t>4</w:t>
            </w:r>
          </w:p>
        </w:tc>
        <w:tc>
          <w:tcPr>
            <w:tcW w:w="1057" w:type="dxa"/>
            <w:tcBorders>
              <w:top w:val="single" w:sz="4" w:space="0" w:color="auto"/>
            </w:tcBorders>
            <w:vAlign w:val="center"/>
          </w:tcPr>
          <w:p w14:paraId="24A11BF8" w14:textId="4E34A34F" w:rsidR="00AC5DB7" w:rsidRPr="00AF4912" w:rsidRDefault="00DE43FD" w:rsidP="00D87DA9">
            <w:pPr>
              <w:keepNext/>
              <w:jc w:val="center"/>
              <w:rPr>
                <w:rFonts w:ascii="Arial Narrow" w:hAnsi="Arial Narrow"/>
                <w:sz w:val="20"/>
                <w:szCs w:val="20"/>
                <w:highlight w:val="lightGray"/>
              </w:rPr>
            </w:pPr>
            <w:r w:rsidRPr="00DE43FD">
              <w:rPr>
                <w:rFonts w:ascii="Arial Narrow" w:hAnsi="Arial Narrow" w:hint="eastAsia"/>
                <w:color w:val="000000"/>
                <w:w w:val="18"/>
                <w:sz w:val="20"/>
                <w:szCs w:val="20"/>
                <w:shd w:val="solid" w:color="000000" w:fill="000000"/>
                <w:fitText w:val="81" w:id="-963397624"/>
                <w14:textFill>
                  <w14:solidFill>
                    <w14:srgbClr w14:val="000000">
                      <w14:alpha w14:val="100000"/>
                    </w14:srgbClr>
                  </w14:solidFill>
                </w14:textFill>
              </w:rPr>
              <w:t xml:space="preserve">　</w:t>
            </w:r>
            <w:r w:rsidRPr="00DE43FD">
              <w:rPr>
                <w:rFonts w:ascii="Arial Narrow" w:hAnsi="Arial Narrow"/>
                <w:color w:val="000000"/>
                <w:w w:val="18"/>
                <w:sz w:val="20"/>
                <w:szCs w:val="20"/>
                <w:shd w:val="solid" w:color="000000" w:fill="000000"/>
                <w:fitText w:val="81" w:id="-963397624"/>
                <w14:textFill>
                  <w14:solidFill>
                    <w14:srgbClr w14:val="000000">
                      <w14:alpha w14:val="100000"/>
                    </w14:srgbClr>
                  </w14:solidFill>
                </w14:textFill>
              </w:rPr>
              <w:t>|</w:t>
            </w:r>
            <w:r w:rsidRPr="00DE43FD">
              <w:rPr>
                <w:rFonts w:ascii="Arial Narrow" w:hAnsi="Arial Narrow" w:hint="eastAsia"/>
                <w:color w:val="000000"/>
                <w:spacing w:val="1"/>
                <w:w w:val="18"/>
                <w:sz w:val="20"/>
                <w:szCs w:val="20"/>
                <w:shd w:val="solid" w:color="000000" w:fill="000000"/>
                <w:fitText w:val="81" w:id="-963397624"/>
                <w14:textFill>
                  <w14:solidFill>
                    <w14:srgbClr w14:val="000000">
                      <w14:alpha w14:val="100000"/>
                    </w14:srgbClr>
                  </w14:solidFill>
                </w14:textFill>
              </w:rPr>
              <w:t xml:space="preserve">　</w:t>
            </w:r>
            <w:r w:rsidR="0063250A" w:rsidRPr="00AF4912">
              <w:rPr>
                <w:rFonts w:ascii="Arial Narrow" w:hAnsi="Arial Narrow"/>
                <w:sz w:val="20"/>
                <w:szCs w:val="20"/>
                <w:vertAlign w:val="superscript"/>
              </w:rPr>
              <w:t>5</w:t>
            </w:r>
          </w:p>
        </w:tc>
        <w:tc>
          <w:tcPr>
            <w:tcW w:w="1169" w:type="dxa"/>
            <w:tcBorders>
              <w:top w:val="single" w:sz="4" w:space="0" w:color="auto"/>
            </w:tcBorders>
            <w:vAlign w:val="center"/>
          </w:tcPr>
          <w:p w14:paraId="53BAADB1" w14:textId="00AA042D" w:rsidR="00AC5DB7" w:rsidRPr="00AF4912" w:rsidRDefault="00DE43FD" w:rsidP="00D87DA9">
            <w:pPr>
              <w:keepNext/>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623"/>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623"/>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623"/>
                <w14:textFill>
                  <w14:solidFill>
                    <w14:srgbClr w14:val="000000">
                      <w14:alpha w14:val="100000"/>
                    </w14:srgbClr>
                  </w14:solidFill>
                </w14:textFill>
              </w:rPr>
              <w:t xml:space="preserve">　</w:t>
            </w:r>
            <w:r w:rsidR="0063250A" w:rsidRPr="00A01E1F">
              <w:rPr>
                <w:rFonts w:ascii="Arial Narrow" w:hAnsi="Arial Narrow"/>
                <w:sz w:val="20"/>
                <w:szCs w:val="20"/>
                <w:vertAlign w:val="superscript"/>
              </w:rPr>
              <w:t>5</w:t>
            </w:r>
          </w:p>
        </w:tc>
        <w:tc>
          <w:tcPr>
            <w:tcW w:w="1169" w:type="dxa"/>
            <w:tcBorders>
              <w:top w:val="single" w:sz="4" w:space="0" w:color="auto"/>
            </w:tcBorders>
            <w:vAlign w:val="center"/>
          </w:tcPr>
          <w:p w14:paraId="3BA64CC6" w14:textId="6B871298" w:rsidR="00AC5DB7" w:rsidRPr="00AF4912" w:rsidRDefault="00DE43FD" w:rsidP="00D87DA9">
            <w:pPr>
              <w:keepNext/>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622"/>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622"/>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622"/>
                <w14:textFill>
                  <w14:solidFill>
                    <w14:srgbClr w14:val="000000">
                      <w14:alpha w14:val="100000"/>
                    </w14:srgbClr>
                  </w14:solidFill>
                </w14:textFill>
              </w:rPr>
              <w:t xml:space="preserve">　</w:t>
            </w:r>
            <w:r w:rsidR="0063250A" w:rsidRPr="00AF4912">
              <w:rPr>
                <w:rFonts w:ascii="Arial Narrow" w:hAnsi="Arial Narrow"/>
                <w:sz w:val="20"/>
                <w:szCs w:val="20"/>
                <w:vertAlign w:val="superscript"/>
              </w:rPr>
              <w:t>6</w:t>
            </w:r>
          </w:p>
        </w:tc>
        <w:tc>
          <w:tcPr>
            <w:tcW w:w="1169" w:type="dxa"/>
            <w:tcBorders>
              <w:top w:val="single" w:sz="4" w:space="0" w:color="auto"/>
            </w:tcBorders>
            <w:vAlign w:val="center"/>
          </w:tcPr>
          <w:p w14:paraId="75DC09DD" w14:textId="16036456" w:rsidR="00AC5DB7" w:rsidRPr="00AF4912" w:rsidRDefault="00DE43FD" w:rsidP="00D87DA9">
            <w:pPr>
              <w:keepNext/>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621"/>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621"/>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621"/>
                <w14:textFill>
                  <w14:solidFill>
                    <w14:srgbClr w14:val="000000">
                      <w14:alpha w14:val="100000"/>
                    </w14:srgbClr>
                  </w14:solidFill>
                </w14:textFill>
              </w:rPr>
              <w:t xml:space="preserve">　</w:t>
            </w:r>
            <w:r w:rsidR="0063250A" w:rsidRPr="00A01E1F">
              <w:rPr>
                <w:rFonts w:ascii="Arial Narrow" w:hAnsi="Arial Narrow"/>
                <w:sz w:val="20"/>
                <w:szCs w:val="20"/>
                <w:vertAlign w:val="superscript"/>
              </w:rPr>
              <w:t>6</w:t>
            </w:r>
          </w:p>
        </w:tc>
        <w:tc>
          <w:tcPr>
            <w:tcW w:w="1169" w:type="dxa"/>
            <w:tcBorders>
              <w:top w:val="single" w:sz="4" w:space="0" w:color="auto"/>
            </w:tcBorders>
            <w:vAlign w:val="center"/>
          </w:tcPr>
          <w:p w14:paraId="15735D7F" w14:textId="7EBAA4A6" w:rsidR="00AC5DB7" w:rsidRPr="00AF4912" w:rsidRDefault="00DE43FD" w:rsidP="00D87DA9">
            <w:pPr>
              <w:keepNext/>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620"/>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620"/>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620"/>
                <w14:textFill>
                  <w14:solidFill>
                    <w14:srgbClr w14:val="000000">
                      <w14:alpha w14:val="100000"/>
                    </w14:srgbClr>
                  </w14:solidFill>
                </w14:textFill>
              </w:rPr>
              <w:t xml:space="preserve">　</w:t>
            </w:r>
            <w:r w:rsidR="0063250A" w:rsidRPr="00A01E1F">
              <w:rPr>
                <w:rFonts w:ascii="Arial Narrow" w:hAnsi="Arial Narrow"/>
                <w:sz w:val="20"/>
                <w:szCs w:val="20"/>
                <w:vertAlign w:val="superscript"/>
              </w:rPr>
              <w:t>6</w:t>
            </w:r>
          </w:p>
        </w:tc>
      </w:tr>
      <w:tr w:rsidR="00AC5DB7" w:rsidRPr="00E81073" w14:paraId="299C2EB6" w14:textId="77777777" w:rsidTr="00621EA3">
        <w:tc>
          <w:tcPr>
            <w:tcW w:w="9017" w:type="dxa"/>
            <w:gridSpan w:val="7"/>
            <w:tcBorders>
              <w:bottom w:val="single" w:sz="4" w:space="0" w:color="auto"/>
            </w:tcBorders>
          </w:tcPr>
          <w:p w14:paraId="1325BBA4" w14:textId="77777777" w:rsidR="00AC5DB7" w:rsidRPr="00E81073" w:rsidRDefault="00AC5DB7" w:rsidP="00D87DA9">
            <w:pPr>
              <w:keepNext/>
              <w:rPr>
                <w:rFonts w:ascii="Arial Narrow" w:hAnsi="Arial Narrow"/>
                <w:i/>
                <w:iCs/>
                <w:sz w:val="20"/>
                <w:szCs w:val="16"/>
              </w:rPr>
            </w:pPr>
            <w:r w:rsidRPr="00E81073">
              <w:rPr>
                <w:rFonts w:ascii="Arial Narrow" w:hAnsi="Arial Narrow"/>
                <w:b/>
                <w:bCs/>
                <w:sz w:val="20"/>
                <w:szCs w:val="20"/>
              </w:rPr>
              <w:t>Estimation of changes in use and financial impact of other medicines</w:t>
            </w:r>
          </w:p>
        </w:tc>
      </w:tr>
      <w:tr w:rsidR="00AC5DB7" w:rsidRPr="00E81073" w14:paraId="13A51357" w14:textId="77777777" w:rsidTr="00621EA3">
        <w:tc>
          <w:tcPr>
            <w:tcW w:w="2227" w:type="dxa"/>
            <w:tcBorders>
              <w:bottom w:val="nil"/>
            </w:tcBorders>
          </w:tcPr>
          <w:p w14:paraId="67B8D56E" w14:textId="42296272" w:rsidR="00AC5DB7" w:rsidRPr="00E81073" w:rsidRDefault="00E84C6B" w:rsidP="00D87DA9">
            <w:pPr>
              <w:keepNext/>
              <w:rPr>
                <w:rFonts w:ascii="Arial Narrow" w:hAnsi="Arial Narrow"/>
                <w:sz w:val="20"/>
                <w:szCs w:val="20"/>
              </w:rPr>
            </w:pPr>
            <w:r w:rsidRPr="00E81073">
              <w:rPr>
                <w:rFonts w:ascii="Arial Narrow" w:hAnsi="Arial Narrow"/>
                <w:sz w:val="20"/>
                <w:szCs w:val="20"/>
              </w:rPr>
              <w:t xml:space="preserve">Other b/tsDMARD </w:t>
            </w:r>
            <w:r w:rsidR="00AC5DB7" w:rsidRPr="00E81073">
              <w:rPr>
                <w:rFonts w:ascii="Arial Narrow" w:hAnsi="Arial Narrow"/>
                <w:sz w:val="20"/>
                <w:szCs w:val="20"/>
              </w:rPr>
              <w:t>scripts</w:t>
            </w:r>
          </w:p>
        </w:tc>
        <w:tc>
          <w:tcPr>
            <w:tcW w:w="1057" w:type="dxa"/>
            <w:tcBorders>
              <w:bottom w:val="nil"/>
            </w:tcBorders>
            <w:vAlign w:val="center"/>
          </w:tcPr>
          <w:p w14:paraId="38E0CA95" w14:textId="7B34439C" w:rsidR="00AC5DB7" w:rsidRPr="00AF4912" w:rsidRDefault="00DE43FD" w:rsidP="00D87DA9">
            <w:pPr>
              <w:keepNext/>
              <w:ind w:left="112"/>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619"/>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619"/>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619"/>
                <w14:textFill>
                  <w14:solidFill>
                    <w14:srgbClr w14:val="000000">
                      <w14:alpha w14:val="100000"/>
                    </w14:srgbClr>
                  </w14:solidFill>
                </w14:textFill>
              </w:rPr>
              <w:t xml:space="preserve">　</w:t>
            </w:r>
            <w:r w:rsidR="00863259" w:rsidRPr="00AF4912">
              <w:rPr>
                <w:rFonts w:ascii="Arial Narrow" w:hAnsi="Arial Narrow"/>
                <w:sz w:val="20"/>
                <w:szCs w:val="20"/>
                <w:vertAlign w:val="superscript"/>
              </w:rPr>
              <w:t>7</w:t>
            </w:r>
          </w:p>
        </w:tc>
        <w:tc>
          <w:tcPr>
            <w:tcW w:w="1057" w:type="dxa"/>
            <w:tcBorders>
              <w:bottom w:val="nil"/>
            </w:tcBorders>
            <w:vAlign w:val="center"/>
          </w:tcPr>
          <w:p w14:paraId="22C88601" w14:textId="42838681" w:rsidR="00AC5DB7" w:rsidRPr="00AF4912" w:rsidRDefault="00DE43FD" w:rsidP="00D87DA9">
            <w:pPr>
              <w:keepNext/>
              <w:ind w:left="112"/>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4" w:id="-963397618"/>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4" w:id="-963397618"/>
                <w14:textFill>
                  <w14:solidFill>
                    <w14:srgbClr w14:val="000000">
                      <w14:alpha w14:val="100000"/>
                    </w14:srgbClr>
                  </w14:solidFill>
                </w14:textFill>
              </w:rPr>
              <w:t>|</w:t>
            </w:r>
            <w:r w:rsidRPr="006269D6">
              <w:rPr>
                <w:rFonts w:ascii="Arial Narrow" w:hAnsi="Arial Narrow" w:hint="eastAsia"/>
                <w:color w:val="000000"/>
                <w:spacing w:val="-41"/>
                <w:w w:val="15"/>
                <w:sz w:val="20"/>
                <w:szCs w:val="20"/>
                <w:shd w:val="solid" w:color="000000" w:fill="000000"/>
                <w:fitText w:val="24" w:id="-963397618"/>
                <w14:textFill>
                  <w14:solidFill>
                    <w14:srgbClr w14:val="000000">
                      <w14:alpha w14:val="100000"/>
                    </w14:srgbClr>
                  </w14:solidFill>
                </w14:textFill>
              </w:rPr>
              <w:t xml:space="preserve">　</w:t>
            </w:r>
            <w:r w:rsidR="00863259" w:rsidRPr="00A01E1F">
              <w:rPr>
                <w:rFonts w:ascii="Arial Narrow" w:hAnsi="Arial Narrow"/>
                <w:sz w:val="20"/>
                <w:szCs w:val="20"/>
                <w:vertAlign w:val="superscript"/>
              </w:rPr>
              <w:t>7</w:t>
            </w:r>
          </w:p>
        </w:tc>
        <w:tc>
          <w:tcPr>
            <w:tcW w:w="1169" w:type="dxa"/>
            <w:tcBorders>
              <w:bottom w:val="nil"/>
            </w:tcBorders>
            <w:vAlign w:val="center"/>
          </w:tcPr>
          <w:p w14:paraId="01C99FF8" w14:textId="7A435577" w:rsidR="00AC5DB7" w:rsidRPr="00AF4912" w:rsidRDefault="00DE43FD" w:rsidP="00D87DA9">
            <w:pPr>
              <w:keepNext/>
              <w:ind w:left="112"/>
              <w:jc w:val="center"/>
              <w:rPr>
                <w:rFonts w:ascii="Arial Narrow" w:hAnsi="Arial Narrow"/>
                <w:sz w:val="20"/>
                <w:szCs w:val="20"/>
                <w:highlight w:val="lightGray"/>
              </w:rPr>
            </w:pPr>
            <w:r w:rsidRPr="00DE43FD">
              <w:rPr>
                <w:rFonts w:ascii="Arial Narrow" w:hAnsi="Arial Narrow"/>
                <w:color w:val="000000"/>
                <w:sz w:val="20"/>
                <w:szCs w:val="20"/>
                <w:shd w:val="solid" w:color="000000" w:fill="000000"/>
                <w14:textFill>
                  <w14:solidFill>
                    <w14:srgbClr w14:val="000000">
                      <w14:alpha w14:val="100000"/>
                    </w14:srgbClr>
                  </w14:solidFill>
                </w14:textFill>
              </w:rPr>
              <w:t>|</w:t>
            </w:r>
            <w:r w:rsidR="00863259" w:rsidRPr="00A01E1F">
              <w:rPr>
                <w:rFonts w:ascii="Arial Narrow" w:hAnsi="Arial Narrow"/>
                <w:sz w:val="20"/>
                <w:szCs w:val="20"/>
                <w:vertAlign w:val="superscript"/>
              </w:rPr>
              <w:t>7</w:t>
            </w:r>
          </w:p>
        </w:tc>
        <w:tc>
          <w:tcPr>
            <w:tcW w:w="1169" w:type="dxa"/>
            <w:tcBorders>
              <w:bottom w:val="nil"/>
            </w:tcBorders>
            <w:vAlign w:val="center"/>
          </w:tcPr>
          <w:p w14:paraId="2F0AAB23" w14:textId="4770012B" w:rsidR="00AC5DB7" w:rsidRPr="00AF4912" w:rsidRDefault="00DE43FD" w:rsidP="00D87DA9">
            <w:pPr>
              <w:keepNext/>
              <w:ind w:left="112"/>
              <w:jc w:val="center"/>
              <w:rPr>
                <w:rFonts w:ascii="Arial Narrow" w:hAnsi="Arial Narrow"/>
                <w:sz w:val="20"/>
                <w:szCs w:val="20"/>
                <w:highlight w:val="lightGray"/>
              </w:rPr>
            </w:pPr>
            <w:r w:rsidRPr="00DE43FD">
              <w:rPr>
                <w:rFonts w:ascii="Arial Narrow" w:hAnsi="Arial Narrow"/>
                <w:color w:val="000000"/>
                <w:sz w:val="20"/>
                <w:szCs w:val="20"/>
                <w:shd w:val="solid" w:color="000000" w:fill="000000"/>
                <w14:textFill>
                  <w14:solidFill>
                    <w14:srgbClr w14:val="000000">
                      <w14:alpha w14:val="100000"/>
                    </w14:srgbClr>
                  </w14:solidFill>
                </w14:textFill>
              </w:rPr>
              <w:t>|</w:t>
            </w:r>
            <w:r w:rsidR="00863259" w:rsidRPr="00A01E1F">
              <w:rPr>
                <w:rFonts w:ascii="Arial Narrow" w:hAnsi="Arial Narrow"/>
                <w:sz w:val="20"/>
                <w:szCs w:val="20"/>
                <w:vertAlign w:val="superscript"/>
              </w:rPr>
              <w:t>7</w:t>
            </w:r>
          </w:p>
        </w:tc>
        <w:tc>
          <w:tcPr>
            <w:tcW w:w="1169" w:type="dxa"/>
            <w:tcBorders>
              <w:bottom w:val="nil"/>
            </w:tcBorders>
            <w:vAlign w:val="center"/>
          </w:tcPr>
          <w:p w14:paraId="4754207A" w14:textId="0380B1D0" w:rsidR="00AC5DB7" w:rsidRPr="00AF4912" w:rsidRDefault="00DE43FD" w:rsidP="00D87DA9">
            <w:pPr>
              <w:keepNext/>
              <w:ind w:left="112"/>
              <w:jc w:val="center"/>
              <w:rPr>
                <w:rFonts w:ascii="Arial Narrow" w:hAnsi="Arial Narrow"/>
                <w:sz w:val="20"/>
                <w:szCs w:val="20"/>
                <w:highlight w:val="lightGray"/>
              </w:rPr>
            </w:pPr>
            <w:r w:rsidRPr="00DE43FD">
              <w:rPr>
                <w:rFonts w:ascii="Arial Narrow" w:hAnsi="Arial Narrow"/>
                <w:color w:val="000000"/>
                <w:sz w:val="20"/>
                <w:szCs w:val="20"/>
                <w:shd w:val="solid" w:color="000000" w:fill="000000"/>
                <w14:textFill>
                  <w14:solidFill>
                    <w14:srgbClr w14:val="000000">
                      <w14:alpha w14:val="100000"/>
                    </w14:srgbClr>
                  </w14:solidFill>
                </w14:textFill>
              </w:rPr>
              <w:t>|</w:t>
            </w:r>
            <w:r w:rsidR="00863259" w:rsidRPr="00A01E1F">
              <w:rPr>
                <w:rFonts w:ascii="Arial Narrow" w:hAnsi="Arial Narrow"/>
                <w:sz w:val="20"/>
                <w:szCs w:val="20"/>
                <w:vertAlign w:val="superscript"/>
              </w:rPr>
              <w:t>7</w:t>
            </w:r>
          </w:p>
        </w:tc>
        <w:tc>
          <w:tcPr>
            <w:tcW w:w="1169" w:type="dxa"/>
            <w:tcBorders>
              <w:bottom w:val="nil"/>
            </w:tcBorders>
            <w:vAlign w:val="center"/>
          </w:tcPr>
          <w:p w14:paraId="016ED319" w14:textId="086087F6" w:rsidR="00AC5DB7" w:rsidRPr="00AF4912" w:rsidRDefault="00DE43FD" w:rsidP="00D87DA9">
            <w:pPr>
              <w:keepNext/>
              <w:ind w:left="112"/>
              <w:jc w:val="center"/>
              <w:rPr>
                <w:rFonts w:ascii="Arial Narrow" w:hAnsi="Arial Narrow"/>
                <w:sz w:val="20"/>
                <w:szCs w:val="20"/>
                <w:highlight w:val="lightGray"/>
              </w:rPr>
            </w:pPr>
            <w:r w:rsidRPr="00DE43FD">
              <w:rPr>
                <w:rFonts w:ascii="Arial Narrow" w:hAnsi="Arial Narrow"/>
                <w:color w:val="000000"/>
                <w:sz w:val="20"/>
                <w:szCs w:val="20"/>
                <w:shd w:val="solid" w:color="000000" w:fill="000000"/>
                <w14:textFill>
                  <w14:solidFill>
                    <w14:srgbClr w14:val="000000">
                      <w14:alpha w14:val="100000"/>
                    </w14:srgbClr>
                  </w14:solidFill>
                </w14:textFill>
              </w:rPr>
              <w:t>|</w:t>
            </w:r>
            <w:r w:rsidR="00863259" w:rsidRPr="00A01E1F">
              <w:rPr>
                <w:rFonts w:ascii="Arial Narrow" w:hAnsi="Arial Narrow"/>
                <w:sz w:val="20"/>
                <w:szCs w:val="20"/>
                <w:vertAlign w:val="superscript"/>
              </w:rPr>
              <w:t>7</w:t>
            </w:r>
          </w:p>
        </w:tc>
      </w:tr>
      <w:tr w:rsidR="00AC5DB7" w:rsidRPr="00E81073" w14:paraId="6953E82C" w14:textId="77777777" w:rsidTr="00621EA3">
        <w:tc>
          <w:tcPr>
            <w:tcW w:w="2227" w:type="dxa"/>
            <w:tcBorders>
              <w:top w:val="nil"/>
              <w:bottom w:val="nil"/>
            </w:tcBorders>
          </w:tcPr>
          <w:p w14:paraId="3EE3BF5B" w14:textId="77777777" w:rsidR="00AC5DB7" w:rsidRPr="00E81073" w:rsidRDefault="00AC5DB7" w:rsidP="00D87DA9">
            <w:pPr>
              <w:keepNext/>
              <w:ind w:left="112"/>
              <w:rPr>
                <w:rFonts w:ascii="Arial Narrow" w:hAnsi="Arial Narrow"/>
                <w:sz w:val="20"/>
                <w:szCs w:val="20"/>
              </w:rPr>
            </w:pPr>
            <w:r w:rsidRPr="00E81073">
              <w:rPr>
                <w:rFonts w:ascii="Arial Narrow" w:hAnsi="Arial Narrow"/>
                <w:sz w:val="20"/>
                <w:szCs w:val="20"/>
              </w:rPr>
              <w:t>Initial treatment</w:t>
            </w:r>
          </w:p>
        </w:tc>
        <w:tc>
          <w:tcPr>
            <w:tcW w:w="1057" w:type="dxa"/>
            <w:tcBorders>
              <w:top w:val="nil"/>
              <w:bottom w:val="nil"/>
            </w:tcBorders>
            <w:vAlign w:val="center"/>
          </w:tcPr>
          <w:p w14:paraId="4230E7BA" w14:textId="5A4C43F0" w:rsidR="00AC5DB7" w:rsidRPr="00AF4912" w:rsidRDefault="00DE43FD" w:rsidP="00D87DA9">
            <w:pPr>
              <w:keepNext/>
              <w:ind w:left="112"/>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617"/>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617"/>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617"/>
                <w14:textFill>
                  <w14:solidFill>
                    <w14:srgbClr w14:val="000000">
                      <w14:alpha w14:val="100000"/>
                    </w14:srgbClr>
                  </w14:solidFill>
                </w14:textFill>
              </w:rPr>
              <w:t xml:space="preserve">　</w:t>
            </w:r>
            <w:r w:rsidR="00863259" w:rsidRPr="00A01E1F">
              <w:rPr>
                <w:rFonts w:ascii="Arial Narrow" w:hAnsi="Arial Narrow"/>
                <w:sz w:val="20"/>
                <w:szCs w:val="20"/>
                <w:vertAlign w:val="superscript"/>
              </w:rPr>
              <w:t>7</w:t>
            </w:r>
          </w:p>
        </w:tc>
        <w:tc>
          <w:tcPr>
            <w:tcW w:w="1057" w:type="dxa"/>
            <w:tcBorders>
              <w:top w:val="nil"/>
              <w:bottom w:val="nil"/>
            </w:tcBorders>
            <w:vAlign w:val="center"/>
          </w:tcPr>
          <w:p w14:paraId="6936AEAC" w14:textId="497EFF3B" w:rsidR="00AC5DB7" w:rsidRPr="00AF4912" w:rsidRDefault="00DE43FD" w:rsidP="00D87DA9">
            <w:pPr>
              <w:keepNext/>
              <w:ind w:left="112"/>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4" w:id="-963397616"/>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4" w:id="-963397616"/>
                <w14:textFill>
                  <w14:solidFill>
                    <w14:srgbClr w14:val="000000">
                      <w14:alpha w14:val="100000"/>
                    </w14:srgbClr>
                  </w14:solidFill>
                </w14:textFill>
              </w:rPr>
              <w:t>|</w:t>
            </w:r>
            <w:r w:rsidRPr="006269D6">
              <w:rPr>
                <w:rFonts w:ascii="Arial Narrow" w:hAnsi="Arial Narrow" w:hint="eastAsia"/>
                <w:color w:val="000000"/>
                <w:spacing w:val="-41"/>
                <w:w w:val="15"/>
                <w:sz w:val="20"/>
                <w:szCs w:val="20"/>
                <w:shd w:val="solid" w:color="000000" w:fill="000000"/>
                <w:fitText w:val="24" w:id="-963397616"/>
                <w14:textFill>
                  <w14:solidFill>
                    <w14:srgbClr w14:val="000000">
                      <w14:alpha w14:val="100000"/>
                    </w14:srgbClr>
                  </w14:solidFill>
                </w14:textFill>
              </w:rPr>
              <w:t xml:space="preserve">　</w:t>
            </w:r>
            <w:r w:rsidR="00863259" w:rsidRPr="00A01E1F">
              <w:rPr>
                <w:rFonts w:ascii="Arial Narrow" w:hAnsi="Arial Narrow"/>
                <w:sz w:val="20"/>
                <w:szCs w:val="20"/>
                <w:vertAlign w:val="superscript"/>
              </w:rPr>
              <w:t>7</w:t>
            </w:r>
          </w:p>
        </w:tc>
        <w:tc>
          <w:tcPr>
            <w:tcW w:w="1169" w:type="dxa"/>
            <w:tcBorders>
              <w:top w:val="nil"/>
              <w:bottom w:val="nil"/>
            </w:tcBorders>
            <w:vAlign w:val="center"/>
          </w:tcPr>
          <w:p w14:paraId="71D7F019" w14:textId="1FB05891" w:rsidR="00AC5DB7" w:rsidRPr="00AF4912" w:rsidRDefault="00DE43FD" w:rsidP="00D87DA9">
            <w:pPr>
              <w:keepNext/>
              <w:ind w:left="112"/>
              <w:jc w:val="center"/>
              <w:rPr>
                <w:rFonts w:ascii="Arial Narrow" w:hAnsi="Arial Narrow"/>
                <w:sz w:val="20"/>
                <w:szCs w:val="20"/>
                <w:highlight w:val="lightGray"/>
              </w:rPr>
            </w:pPr>
            <w:r w:rsidRPr="00DE43FD">
              <w:rPr>
                <w:rFonts w:ascii="Arial Narrow" w:hAnsi="Arial Narrow"/>
                <w:color w:val="000000"/>
                <w:sz w:val="20"/>
                <w:szCs w:val="20"/>
                <w:shd w:val="solid" w:color="000000" w:fill="000000"/>
                <w14:textFill>
                  <w14:solidFill>
                    <w14:srgbClr w14:val="000000">
                      <w14:alpha w14:val="100000"/>
                    </w14:srgbClr>
                  </w14:solidFill>
                </w14:textFill>
              </w:rPr>
              <w:t>|</w:t>
            </w:r>
            <w:r w:rsidR="00863259" w:rsidRPr="00A01E1F">
              <w:rPr>
                <w:rFonts w:ascii="Arial Narrow" w:hAnsi="Arial Narrow"/>
                <w:sz w:val="20"/>
                <w:szCs w:val="20"/>
                <w:vertAlign w:val="superscript"/>
              </w:rPr>
              <w:t>7</w:t>
            </w:r>
          </w:p>
        </w:tc>
        <w:tc>
          <w:tcPr>
            <w:tcW w:w="1169" w:type="dxa"/>
            <w:tcBorders>
              <w:top w:val="nil"/>
              <w:bottom w:val="nil"/>
            </w:tcBorders>
            <w:vAlign w:val="center"/>
          </w:tcPr>
          <w:p w14:paraId="0422D357" w14:textId="02F5C73F" w:rsidR="00AC5DB7" w:rsidRPr="00AF4912" w:rsidRDefault="00DE43FD" w:rsidP="00D87DA9">
            <w:pPr>
              <w:keepNext/>
              <w:ind w:left="112"/>
              <w:jc w:val="center"/>
              <w:rPr>
                <w:rFonts w:ascii="Arial Narrow" w:hAnsi="Arial Narrow"/>
                <w:sz w:val="20"/>
                <w:szCs w:val="20"/>
                <w:highlight w:val="lightGray"/>
              </w:rPr>
            </w:pPr>
            <w:r w:rsidRPr="00DE43FD">
              <w:rPr>
                <w:rFonts w:ascii="Arial Narrow" w:hAnsi="Arial Narrow"/>
                <w:color w:val="000000"/>
                <w:sz w:val="20"/>
                <w:szCs w:val="20"/>
                <w:shd w:val="solid" w:color="000000" w:fill="000000"/>
                <w14:textFill>
                  <w14:solidFill>
                    <w14:srgbClr w14:val="000000">
                      <w14:alpha w14:val="100000"/>
                    </w14:srgbClr>
                  </w14:solidFill>
                </w14:textFill>
              </w:rPr>
              <w:t>|</w:t>
            </w:r>
            <w:r w:rsidR="00863259" w:rsidRPr="00A01E1F">
              <w:rPr>
                <w:rFonts w:ascii="Arial Narrow" w:hAnsi="Arial Narrow"/>
                <w:sz w:val="20"/>
                <w:szCs w:val="20"/>
                <w:vertAlign w:val="superscript"/>
              </w:rPr>
              <w:t>7</w:t>
            </w:r>
          </w:p>
        </w:tc>
        <w:tc>
          <w:tcPr>
            <w:tcW w:w="1169" w:type="dxa"/>
            <w:tcBorders>
              <w:top w:val="nil"/>
              <w:bottom w:val="nil"/>
            </w:tcBorders>
            <w:vAlign w:val="center"/>
          </w:tcPr>
          <w:p w14:paraId="47126594" w14:textId="7E3A96F4" w:rsidR="00AC5DB7" w:rsidRPr="00AF4912" w:rsidRDefault="00DE43FD" w:rsidP="00D87DA9">
            <w:pPr>
              <w:keepNext/>
              <w:ind w:left="112"/>
              <w:jc w:val="center"/>
              <w:rPr>
                <w:rFonts w:ascii="Arial Narrow" w:hAnsi="Arial Narrow"/>
                <w:sz w:val="20"/>
                <w:szCs w:val="20"/>
                <w:highlight w:val="lightGray"/>
              </w:rPr>
            </w:pPr>
            <w:r w:rsidRPr="00DE43FD">
              <w:rPr>
                <w:rFonts w:ascii="Arial Narrow" w:hAnsi="Arial Narrow"/>
                <w:color w:val="000000"/>
                <w:sz w:val="20"/>
                <w:szCs w:val="20"/>
                <w:shd w:val="solid" w:color="000000" w:fill="000000"/>
                <w14:textFill>
                  <w14:solidFill>
                    <w14:srgbClr w14:val="000000">
                      <w14:alpha w14:val="100000"/>
                    </w14:srgbClr>
                  </w14:solidFill>
                </w14:textFill>
              </w:rPr>
              <w:t>|</w:t>
            </w:r>
            <w:r w:rsidR="00863259" w:rsidRPr="00A01E1F">
              <w:rPr>
                <w:rFonts w:ascii="Arial Narrow" w:hAnsi="Arial Narrow"/>
                <w:sz w:val="20"/>
                <w:szCs w:val="20"/>
                <w:vertAlign w:val="superscript"/>
              </w:rPr>
              <w:t>7</w:t>
            </w:r>
          </w:p>
        </w:tc>
        <w:tc>
          <w:tcPr>
            <w:tcW w:w="1169" w:type="dxa"/>
            <w:tcBorders>
              <w:top w:val="nil"/>
              <w:bottom w:val="nil"/>
            </w:tcBorders>
            <w:vAlign w:val="center"/>
          </w:tcPr>
          <w:p w14:paraId="27CFC8B7" w14:textId="0BF26402" w:rsidR="00AC5DB7" w:rsidRPr="00AF4912" w:rsidRDefault="00DE43FD" w:rsidP="00D87DA9">
            <w:pPr>
              <w:keepNext/>
              <w:ind w:left="112"/>
              <w:jc w:val="center"/>
              <w:rPr>
                <w:rFonts w:ascii="Arial Narrow" w:hAnsi="Arial Narrow"/>
                <w:sz w:val="20"/>
                <w:szCs w:val="20"/>
                <w:highlight w:val="lightGray"/>
              </w:rPr>
            </w:pPr>
            <w:r w:rsidRPr="00DE43FD">
              <w:rPr>
                <w:rFonts w:ascii="Arial Narrow" w:hAnsi="Arial Narrow"/>
                <w:color w:val="000000"/>
                <w:sz w:val="20"/>
                <w:szCs w:val="20"/>
                <w:shd w:val="solid" w:color="000000" w:fill="000000"/>
                <w14:textFill>
                  <w14:solidFill>
                    <w14:srgbClr w14:val="000000">
                      <w14:alpha w14:val="100000"/>
                    </w14:srgbClr>
                  </w14:solidFill>
                </w14:textFill>
              </w:rPr>
              <w:t>|</w:t>
            </w:r>
            <w:r w:rsidR="00863259" w:rsidRPr="00A01E1F">
              <w:rPr>
                <w:rFonts w:ascii="Arial Narrow" w:hAnsi="Arial Narrow"/>
                <w:sz w:val="20"/>
                <w:szCs w:val="20"/>
                <w:vertAlign w:val="superscript"/>
              </w:rPr>
              <w:t>7</w:t>
            </w:r>
          </w:p>
        </w:tc>
      </w:tr>
      <w:tr w:rsidR="00AC5DB7" w:rsidRPr="00E81073" w14:paraId="77A93A92" w14:textId="77777777" w:rsidTr="00621EA3">
        <w:tc>
          <w:tcPr>
            <w:tcW w:w="2227" w:type="dxa"/>
            <w:tcBorders>
              <w:top w:val="nil"/>
              <w:bottom w:val="single" w:sz="4" w:space="0" w:color="auto"/>
            </w:tcBorders>
          </w:tcPr>
          <w:p w14:paraId="52FEDC11" w14:textId="77777777" w:rsidR="00AC5DB7" w:rsidRPr="00E81073" w:rsidRDefault="00AC5DB7" w:rsidP="00D87DA9">
            <w:pPr>
              <w:keepNext/>
              <w:ind w:left="112"/>
              <w:rPr>
                <w:rFonts w:ascii="Arial Narrow" w:hAnsi="Arial Narrow"/>
                <w:sz w:val="20"/>
                <w:szCs w:val="20"/>
              </w:rPr>
            </w:pPr>
            <w:r w:rsidRPr="00E81073">
              <w:rPr>
                <w:rFonts w:ascii="Arial Narrow" w:hAnsi="Arial Narrow"/>
                <w:sz w:val="20"/>
                <w:szCs w:val="20"/>
              </w:rPr>
              <w:t>Continuing treatment</w:t>
            </w:r>
          </w:p>
        </w:tc>
        <w:tc>
          <w:tcPr>
            <w:tcW w:w="1057" w:type="dxa"/>
            <w:tcBorders>
              <w:top w:val="nil"/>
              <w:bottom w:val="single" w:sz="4" w:space="0" w:color="auto"/>
            </w:tcBorders>
            <w:vAlign w:val="center"/>
          </w:tcPr>
          <w:p w14:paraId="164D4A3A" w14:textId="368A4EDF" w:rsidR="00AC5DB7" w:rsidRPr="00AF4912" w:rsidRDefault="00DE43FD" w:rsidP="00D87DA9">
            <w:pPr>
              <w:keepNext/>
              <w:ind w:left="112"/>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632"/>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632"/>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632"/>
                <w14:textFill>
                  <w14:solidFill>
                    <w14:srgbClr w14:val="000000">
                      <w14:alpha w14:val="100000"/>
                    </w14:srgbClr>
                  </w14:solidFill>
                </w14:textFill>
              </w:rPr>
              <w:t xml:space="preserve">　</w:t>
            </w:r>
            <w:r w:rsidR="00863259" w:rsidRPr="00A01E1F">
              <w:rPr>
                <w:rFonts w:ascii="Arial Narrow" w:hAnsi="Arial Narrow"/>
                <w:sz w:val="20"/>
                <w:szCs w:val="20"/>
                <w:vertAlign w:val="superscript"/>
              </w:rPr>
              <w:t>7</w:t>
            </w:r>
          </w:p>
        </w:tc>
        <w:tc>
          <w:tcPr>
            <w:tcW w:w="1057" w:type="dxa"/>
            <w:tcBorders>
              <w:top w:val="nil"/>
              <w:bottom w:val="single" w:sz="4" w:space="0" w:color="auto"/>
            </w:tcBorders>
            <w:vAlign w:val="center"/>
          </w:tcPr>
          <w:p w14:paraId="2E254294" w14:textId="6AE49881" w:rsidR="00AC5DB7" w:rsidRPr="00AF4912" w:rsidRDefault="00DE43FD" w:rsidP="00D87DA9">
            <w:pPr>
              <w:keepNext/>
              <w:ind w:left="112"/>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4" w:id="-963397376"/>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4" w:id="-963397376"/>
                <w14:textFill>
                  <w14:solidFill>
                    <w14:srgbClr w14:val="000000">
                      <w14:alpha w14:val="100000"/>
                    </w14:srgbClr>
                  </w14:solidFill>
                </w14:textFill>
              </w:rPr>
              <w:t>|</w:t>
            </w:r>
            <w:r w:rsidRPr="006269D6">
              <w:rPr>
                <w:rFonts w:ascii="Arial Narrow" w:hAnsi="Arial Narrow" w:hint="eastAsia"/>
                <w:color w:val="000000"/>
                <w:spacing w:val="-41"/>
                <w:w w:val="15"/>
                <w:sz w:val="20"/>
                <w:szCs w:val="20"/>
                <w:shd w:val="solid" w:color="000000" w:fill="000000"/>
                <w:fitText w:val="24" w:id="-963397376"/>
                <w14:textFill>
                  <w14:solidFill>
                    <w14:srgbClr w14:val="000000">
                      <w14:alpha w14:val="100000"/>
                    </w14:srgbClr>
                  </w14:solidFill>
                </w14:textFill>
              </w:rPr>
              <w:t xml:space="preserve">　</w:t>
            </w:r>
            <w:r w:rsidR="00863259" w:rsidRPr="00A01E1F">
              <w:rPr>
                <w:rFonts w:ascii="Arial Narrow" w:hAnsi="Arial Narrow"/>
                <w:sz w:val="20"/>
                <w:szCs w:val="20"/>
                <w:vertAlign w:val="superscript"/>
              </w:rPr>
              <w:t>7</w:t>
            </w:r>
          </w:p>
        </w:tc>
        <w:tc>
          <w:tcPr>
            <w:tcW w:w="1169" w:type="dxa"/>
            <w:tcBorders>
              <w:top w:val="nil"/>
              <w:bottom w:val="single" w:sz="4" w:space="0" w:color="auto"/>
            </w:tcBorders>
            <w:vAlign w:val="center"/>
          </w:tcPr>
          <w:p w14:paraId="6677E162" w14:textId="0415A48C" w:rsidR="00AC5DB7" w:rsidRPr="00AF4912" w:rsidRDefault="00DE43FD" w:rsidP="00D87DA9">
            <w:pPr>
              <w:keepNext/>
              <w:ind w:left="112"/>
              <w:jc w:val="center"/>
              <w:rPr>
                <w:rFonts w:ascii="Arial Narrow" w:hAnsi="Arial Narrow"/>
                <w:sz w:val="20"/>
                <w:szCs w:val="20"/>
                <w:highlight w:val="lightGray"/>
              </w:rPr>
            </w:pPr>
            <w:r w:rsidRPr="00DE43FD">
              <w:rPr>
                <w:rFonts w:ascii="Arial Narrow" w:hAnsi="Arial Narrow"/>
                <w:color w:val="000000"/>
                <w:sz w:val="20"/>
                <w:szCs w:val="20"/>
                <w:shd w:val="solid" w:color="000000" w:fill="000000"/>
                <w14:textFill>
                  <w14:solidFill>
                    <w14:srgbClr w14:val="000000">
                      <w14:alpha w14:val="100000"/>
                    </w14:srgbClr>
                  </w14:solidFill>
                </w14:textFill>
              </w:rPr>
              <w:t>|</w:t>
            </w:r>
            <w:r w:rsidR="00863259" w:rsidRPr="00A01E1F">
              <w:rPr>
                <w:rFonts w:ascii="Arial Narrow" w:hAnsi="Arial Narrow"/>
                <w:sz w:val="20"/>
                <w:szCs w:val="20"/>
                <w:vertAlign w:val="superscript"/>
              </w:rPr>
              <w:t>7</w:t>
            </w:r>
          </w:p>
        </w:tc>
        <w:tc>
          <w:tcPr>
            <w:tcW w:w="1169" w:type="dxa"/>
            <w:tcBorders>
              <w:top w:val="nil"/>
              <w:bottom w:val="single" w:sz="4" w:space="0" w:color="auto"/>
            </w:tcBorders>
            <w:vAlign w:val="center"/>
          </w:tcPr>
          <w:p w14:paraId="200E6098" w14:textId="2990300A" w:rsidR="00AC5DB7" w:rsidRPr="00AF4912" w:rsidRDefault="00DE43FD" w:rsidP="00D87DA9">
            <w:pPr>
              <w:keepNext/>
              <w:ind w:left="112"/>
              <w:jc w:val="center"/>
              <w:rPr>
                <w:rFonts w:ascii="Arial Narrow" w:hAnsi="Arial Narrow"/>
                <w:sz w:val="20"/>
                <w:szCs w:val="20"/>
                <w:highlight w:val="lightGray"/>
              </w:rPr>
            </w:pPr>
            <w:r w:rsidRPr="00DE43FD">
              <w:rPr>
                <w:rFonts w:ascii="Arial Narrow" w:hAnsi="Arial Narrow"/>
                <w:color w:val="000000"/>
                <w:sz w:val="20"/>
                <w:szCs w:val="20"/>
                <w:shd w:val="solid" w:color="000000" w:fill="000000"/>
                <w14:textFill>
                  <w14:solidFill>
                    <w14:srgbClr w14:val="000000">
                      <w14:alpha w14:val="100000"/>
                    </w14:srgbClr>
                  </w14:solidFill>
                </w14:textFill>
              </w:rPr>
              <w:t>|</w:t>
            </w:r>
            <w:r w:rsidR="00863259" w:rsidRPr="00A01E1F">
              <w:rPr>
                <w:rFonts w:ascii="Arial Narrow" w:hAnsi="Arial Narrow"/>
                <w:sz w:val="20"/>
                <w:szCs w:val="20"/>
                <w:vertAlign w:val="superscript"/>
              </w:rPr>
              <w:t>7</w:t>
            </w:r>
          </w:p>
        </w:tc>
        <w:tc>
          <w:tcPr>
            <w:tcW w:w="1169" w:type="dxa"/>
            <w:tcBorders>
              <w:top w:val="nil"/>
              <w:bottom w:val="single" w:sz="4" w:space="0" w:color="auto"/>
            </w:tcBorders>
            <w:vAlign w:val="center"/>
          </w:tcPr>
          <w:p w14:paraId="629C6196" w14:textId="17834C5C" w:rsidR="00AC5DB7" w:rsidRPr="00AF4912" w:rsidRDefault="00DE43FD" w:rsidP="00D87DA9">
            <w:pPr>
              <w:keepNext/>
              <w:ind w:left="112"/>
              <w:jc w:val="center"/>
              <w:rPr>
                <w:rFonts w:ascii="Arial Narrow" w:hAnsi="Arial Narrow"/>
                <w:sz w:val="20"/>
                <w:szCs w:val="20"/>
                <w:highlight w:val="lightGray"/>
              </w:rPr>
            </w:pPr>
            <w:r w:rsidRPr="00DE43FD">
              <w:rPr>
                <w:rFonts w:ascii="Arial Narrow" w:hAnsi="Arial Narrow"/>
                <w:color w:val="000000"/>
                <w:sz w:val="20"/>
                <w:szCs w:val="20"/>
                <w:shd w:val="solid" w:color="000000" w:fill="000000"/>
                <w14:textFill>
                  <w14:solidFill>
                    <w14:srgbClr w14:val="000000">
                      <w14:alpha w14:val="100000"/>
                    </w14:srgbClr>
                  </w14:solidFill>
                </w14:textFill>
              </w:rPr>
              <w:t>|</w:t>
            </w:r>
            <w:r w:rsidR="00863259" w:rsidRPr="00A01E1F">
              <w:rPr>
                <w:rFonts w:ascii="Arial Narrow" w:hAnsi="Arial Narrow"/>
                <w:sz w:val="20"/>
                <w:szCs w:val="20"/>
                <w:vertAlign w:val="superscript"/>
              </w:rPr>
              <w:t>7</w:t>
            </w:r>
          </w:p>
        </w:tc>
        <w:tc>
          <w:tcPr>
            <w:tcW w:w="1169" w:type="dxa"/>
            <w:tcBorders>
              <w:top w:val="nil"/>
              <w:bottom w:val="single" w:sz="4" w:space="0" w:color="auto"/>
            </w:tcBorders>
            <w:vAlign w:val="center"/>
          </w:tcPr>
          <w:p w14:paraId="2458A471" w14:textId="4801B230" w:rsidR="00AC5DB7" w:rsidRPr="00AF4912" w:rsidRDefault="00DE43FD" w:rsidP="00D87DA9">
            <w:pPr>
              <w:keepNext/>
              <w:ind w:left="112"/>
              <w:jc w:val="center"/>
              <w:rPr>
                <w:rFonts w:ascii="Arial Narrow" w:hAnsi="Arial Narrow"/>
                <w:sz w:val="20"/>
                <w:szCs w:val="20"/>
                <w:highlight w:val="lightGray"/>
              </w:rPr>
            </w:pPr>
            <w:r w:rsidRPr="00DE43FD">
              <w:rPr>
                <w:rFonts w:ascii="Arial Narrow" w:hAnsi="Arial Narrow"/>
                <w:color w:val="000000"/>
                <w:sz w:val="20"/>
                <w:szCs w:val="20"/>
                <w:shd w:val="solid" w:color="000000" w:fill="000000"/>
                <w14:textFill>
                  <w14:solidFill>
                    <w14:srgbClr w14:val="000000">
                      <w14:alpha w14:val="100000"/>
                    </w14:srgbClr>
                  </w14:solidFill>
                </w14:textFill>
              </w:rPr>
              <w:t>|</w:t>
            </w:r>
            <w:r w:rsidR="00863259" w:rsidRPr="00A01E1F">
              <w:rPr>
                <w:rFonts w:ascii="Arial Narrow" w:hAnsi="Arial Narrow"/>
                <w:sz w:val="20"/>
                <w:szCs w:val="20"/>
                <w:vertAlign w:val="superscript"/>
              </w:rPr>
              <w:t>7</w:t>
            </w:r>
          </w:p>
        </w:tc>
      </w:tr>
      <w:tr w:rsidR="00AC5DB7" w:rsidRPr="00E81073" w14:paraId="66FF7068" w14:textId="77777777" w:rsidTr="00621EA3">
        <w:tc>
          <w:tcPr>
            <w:tcW w:w="2227" w:type="dxa"/>
            <w:tcBorders>
              <w:bottom w:val="nil"/>
            </w:tcBorders>
          </w:tcPr>
          <w:p w14:paraId="3238E3BB" w14:textId="77777777" w:rsidR="00AC5DB7" w:rsidRPr="00E81073" w:rsidRDefault="00AC5DB7" w:rsidP="00D87DA9">
            <w:pPr>
              <w:keepNext/>
              <w:rPr>
                <w:rFonts w:ascii="Arial Narrow" w:hAnsi="Arial Narrow"/>
                <w:sz w:val="20"/>
                <w:szCs w:val="20"/>
              </w:rPr>
            </w:pPr>
            <w:r w:rsidRPr="00E81073">
              <w:rPr>
                <w:rFonts w:ascii="Arial Narrow" w:hAnsi="Arial Narrow"/>
                <w:sz w:val="20"/>
                <w:szCs w:val="20"/>
              </w:rPr>
              <w:t>Net cost to PBS/RPBS</w:t>
            </w:r>
          </w:p>
        </w:tc>
        <w:tc>
          <w:tcPr>
            <w:tcW w:w="1057" w:type="dxa"/>
            <w:tcBorders>
              <w:bottom w:val="nil"/>
            </w:tcBorders>
            <w:vAlign w:val="center"/>
          </w:tcPr>
          <w:p w14:paraId="4B855DF7" w14:textId="62F1CB7A" w:rsidR="00AC5DB7" w:rsidRPr="00AF4912" w:rsidRDefault="00DE43FD" w:rsidP="00D87DA9">
            <w:pPr>
              <w:keepNext/>
              <w:jc w:val="center"/>
              <w:rPr>
                <w:rFonts w:ascii="Arial Narrow" w:hAnsi="Arial Narrow"/>
                <w:sz w:val="20"/>
                <w:szCs w:val="20"/>
                <w:highlight w:val="lightGray"/>
              </w:rPr>
            </w:pPr>
            <w:r w:rsidRPr="00DE43FD">
              <w:rPr>
                <w:rFonts w:ascii="Arial Narrow" w:hAnsi="Arial Narrow" w:hint="eastAsia"/>
                <w:color w:val="000000"/>
                <w:w w:val="18"/>
                <w:sz w:val="20"/>
                <w:szCs w:val="20"/>
                <w:shd w:val="solid" w:color="000000" w:fill="000000"/>
                <w:fitText w:val="81" w:id="-963397375"/>
                <w14:textFill>
                  <w14:solidFill>
                    <w14:srgbClr w14:val="000000">
                      <w14:alpha w14:val="100000"/>
                    </w14:srgbClr>
                  </w14:solidFill>
                </w14:textFill>
              </w:rPr>
              <w:t xml:space="preserve">　</w:t>
            </w:r>
            <w:r w:rsidRPr="00DE43FD">
              <w:rPr>
                <w:rFonts w:ascii="Arial Narrow" w:hAnsi="Arial Narrow"/>
                <w:color w:val="000000"/>
                <w:w w:val="18"/>
                <w:sz w:val="20"/>
                <w:szCs w:val="20"/>
                <w:shd w:val="solid" w:color="000000" w:fill="000000"/>
                <w:fitText w:val="81" w:id="-963397375"/>
                <w14:textFill>
                  <w14:solidFill>
                    <w14:srgbClr w14:val="000000">
                      <w14:alpha w14:val="100000"/>
                    </w14:srgbClr>
                  </w14:solidFill>
                </w14:textFill>
              </w:rPr>
              <w:t>|</w:t>
            </w:r>
            <w:r w:rsidRPr="00DE43FD">
              <w:rPr>
                <w:rFonts w:ascii="Arial Narrow" w:hAnsi="Arial Narrow" w:hint="eastAsia"/>
                <w:color w:val="000000"/>
                <w:spacing w:val="1"/>
                <w:w w:val="18"/>
                <w:sz w:val="20"/>
                <w:szCs w:val="20"/>
                <w:shd w:val="solid" w:color="000000" w:fill="000000"/>
                <w:fitText w:val="81" w:id="-963397375"/>
                <w14:textFill>
                  <w14:solidFill>
                    <w14:srgbClr w14:val="000000">
                      <w14:alpha w14:val="100000"/>
                    </w14:srgbClr>
                  </w14:solidFill>
                </w14:textFill>
              </w:rPr>
              <w:t xml:space="preserve">　</w:t>
            </w:r>
            <w:r w:rsidR="00863259" w:rsidRPr="00A01E1F">
              <w:rPr>
                <w:rFonts w:ascii="Arial Narrow" w:hAnsi="Arial Narrow"/>
                <w:sz w:val="20"/>
                <w:szCs w:val="20"/>
                <w:vertAlign w:val="superscript"/>
              </w:rPr>
              <w:t>7</w:t>
            </w:r>
          </w:p>
        </w:tc>
        <w:tc>
          <w:tcPr>
            <w:tcW w:w="1057" w:type="dxa"/>
            <w:tcBorders>
              <w:bottom w:val="nil"/>
            </w:tcBorders>
            <w:vAlign w:val="center"/>
          </w:tcPr>
          <w:p w14:paraId="5672AF2F" w14:textId="0FA3D50E" w:rsidR="00AC5DB7" w:rsidRPr="00AF4912" w:rsidRDefault="00DE43FD" w:rsidP="00D87DA9">
            <w:pPr>
              <w:keepNext/>
              <w:jc w:val="center"/>
              <w:rPr>
                <w:rFonts w:ascii="Arial Narrow" w:hAnsi="Arial Narrow"/>
                <w:sz w:val="20"/>
                <w:szCs w:val="20"/>
                <w:highlight w:val="lightGray"/>
              </w:rPr>
            </w:pPr>
            <w:r w:rsidRPr="00DE43FD">
              <w:rPr>
                <w:rFonts w:ascii="Arial Narrow" w:hAnsi="Arial Narrow" w:hint="eastAsia"/>
                <w:color w:val="000000"/>
                <w:w w:val="18"/>
                <w:sz w:val="20"/>
                <w:szCs w:val="20"/>
                <w:shd w:val="solid" w:color="000000" w:fill="000000"/>
                <w:fitText w:val="81" w:id="-963397374"/>
                <w14:textFill>
                  <w14:solidFill>
                    <w14:srgbClr w14:val="000000">
                      <w14:alpha w14:val="100000"/>
                    </w14:srgbClr>
                  </w14:solidFill>
                </w14:textFill>
              </w:rPr>
              <w:t xml:space="preserve">　</w:t>
            </w:r>
            <w:r w:rsidRPr="00DE43FD">
              <w:rPr>
                <w:rFonts w:ascii="Arial Narrow" w:hAnsi="Arial Narrow"/>
                <w:color w:val="000000"/>
                <w:w w:val="18"/>
                <w:sz w:val="20"/>
                <w:szCs w:val="20"/>
                <w:shd w:val="solid" w:color="000000" w:fill="000000"/>
                <w:fitText w:val="81" w:id="-963397374"/>
                <w14:textFill>
                  <w14:solidFill>
                    <w14:srgbClr w14:val="000000">
                      <w14:alpha w14:val="100000"/>
                    </w14:srgbClr>
                  </w14:solidFill>
                </w14:textFill>
              </w:rPr>
              <w:t>|</w:t>
            </w:r>
            <w:r w:rsidRPr="00DE43FD">
              <w:rPr>
                <w:rFonts w:ascii="Arial Narrow" w:hAnsi="Arial Narrow" w:hint="eastAsia"/>
                <w:color w:val="000000"/>
                <w:spacing w:val="1"/>
                <w:w w:val="18"/>
                <w:sz w:val="20"/>
                <w:szCs w:val="20"/>
                <w:shd w:val="solid" w:color="000000" w:fill="000000"/>
                <w:fitText w:val="81" w:id="-963397374"/>
                <w14:textFill>
                  <w14:solidFill>
                    <w14:srgbClr w14:val="000000">
                      <w14:alpha w14:val="100000"/>
                    </w14:srgbClr>
                  </w14:solidFill>
                </w14:textFill>
              </w:rPr>
              <w:t xml:space="preserve">　</w:t>
            </w:r>
            <w:r w:rsidR="00863259" w:rsidRPr="00A01E1F">
              <w:rPr>
                <w:rFonts w:ascii="Arial Narrow" w:hAnsi="Arial Narrow"/>
                <w:sz w:val="20"/>
                <w:szCs w:val="20"/>
                <w:vertAlign w:val="superscript"/>
              </w:rPr>
              <w:t>7</w:t>
            </w:r>
          </w:p>
        </w:tc>
        <w:tc>
          <w:tcPr>
            <w:tcW w:w="1169" w:type="dxa"/>
            <w:tcBorders>
              <w:bottom w:val="nil"/>
            </w:tcBorders>
            <w:vAlign w:val="center"/>
          </w:tcPr>
          <w:p w14:paraId="08B791D8" w14:textId="30420657" w:rsidR="00AC5DB7" w:rsidRPr="00AF4912" w:rsidRDefault="00DE43FD" w:rsidP="00D87DA9">
            <w:pPr>
              <w:keepNext/>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373"/>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373"/>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373"/>
                <w14:textFill>
                  <w14:solidFill>
                    <w14:srgbClr w14:val="000000">
                      <w14:alpha w14:val="100000"/>
                    </w14:srgbClr>
                  </w14:solidFill>
                </w14:textFill>
              </w:rPr>
              <w:t xml:space="preserve">　</w:t>
            </w:r>
            <w:r w:rsidR="00863259" w:rsidRPr="00A01E1F">
              <w:rPr>
                <w:rFonts w:ascii="Arial Narrow" w:hAnsi="Arial Narrow"/>
                <w:sz w:val="20"/>
                <w:szCs w:val="20"/>
                <w:vertAlign w:val="superscript"/>
              </w:rPr>
              <w:t>7</w:t>
            </w:r>
          </w:p>
        </w:tc>
        <w:tc>
          <w:tcPr>
            <w:tcW w:w="1169" w:type="dxa"/>
            <w:tcBorders>
              <w:bottom w:val="nil"/>
            </w:tcBorders>
            <w:vAlign w:val="center"/>
          </w:tcPr>
          <w:p w14:paraId="0562B0F0" w14:textId="26F7A995" w:rsidR="00AC5DB7" w:rsidRPr="00AF4912" w:rsidRDefault="00DE43FD" w:rsidP="00D87DA9">
            <w:pPr>
              <w:keepNext/>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372"/>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372"/>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372"/>
                <w14:textFill>
                  <w14:solidFill>
                    <w14:srgbClr w14:val="000000">
                      <w14:alpha w14:val="100000"/>
                    </w14:srgbClr>
                  </w14:solidFill>
                </w14:textFill>
              </w:rPr>
              <w:t xml:space="preserve">　</w:t>
            </w:r>
            <w:r w:rsidR="00863259" w:rsidRPr="00A01E1F">
              <w:rPr>
                <w:rFonts w:ascii="Arial Narrow" w:hAnsi="Arial Narrow"/>
                <w:sz w:val="20"/>
                <w:szCs w:val="20"/>
                <w:vertAlign w:val="superscript"/>
              </w:rPr>
              <w:t>7</w:t>
            </w:r>
          </w:p>
        </w:tc>
        <w:tc>
          <w:tcPr>
            <w:tcW w:w="1169" w:type="dxa"/>
            <w:tcBorders>
              <w:bottom w:val="nil"/>
            </w:tcBorders>
            <w:vAlign w:val="center"/>
          </w:tcPr>
          <w:p w14:paraId="362A93C5" w14:textId="1A1248AC" w:rsidR="00AC5DB7" w:rsidRPr="00AF4912" w:rsidRDefault="00DE43FD" w:rsidP="00D87DA9">
            <w:pPr>
              <w:keepNext/>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371"/>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371"/>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371"/>
                <w14:textFill>
                  <w14:solidFill>
                    <w14:srgbClr w14:val="000000">
                      <w14:alpha w14:val="100000"/>
                    </w14:srgbClr>
                  </w14:solidFill>
                </w14:textFill>
              </w:rPr>
              <w:t xml:space="preserve">　</w:t>
            </w:r>
            <w:r w:rsidR="00863259" w:rsidRPr="00A01E1F">
              <w:rPr>
                <w:rFonts w:ascii="Arial Narrow" w:hAnsi="Arial Narrow"/>
                <w:sz w:val="20"/>
                <w:szCs w:val="20"/>
                <w:vertAlign w:val="superscript"/>
              </w:rPr>
              <w:t>7</w:t>
            </w:r>
          </w:p>
        </w:tc>
        <w:tc>
          <w:tcPr>
            <w:tcW w:w="1169" w:type="dxa"/>
            <w:tcBorders>
              <w:bottom w:val="nil"/>
            </w:tcBorders>
            <w:vAlign w:val="center"/>
          </w:tcPr>
          <w:p w14:paraId="1A73C955" w14:textId="10EFFE34" w:rsidR="00AC5DB7" w:rsidRPr="00AF4912" w:rsidRDefault="00DE43FD" w:rsidP="00D87DA9">
            <w:pPr>
              <w:keepNext/>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370"/>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370"/>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370"/>
                <w14:textFill>
                  <w14:solidFill>
                    <w14:srgbClr w14:val="000000">
                      <w14:alpha w14:val="100000"/>
                    </w14:srgbClr>
                  </w14:solidFill>
                </w14:textFill>
              </w:rPr>
              <w:t xml:space="preserve">　</w:t>
            </w:r>
            <w:r w:rsidR="00863259" w:rsidRPr="00A01E1F">
              <w:rPr>
                <w:rFonts w:ascii="Arial Narrow" w:hAnsi="Arial Narrow"/>
                <w:sz w:val="20"/>
                <w:szCs w:val="20"/>
                <w:vertAlign w:val="superscript"/>
              </w:rPr>
              <w:t>7</w:t>
            </w:r>
          </w:p>
        </w:tc>
      </w:tr>
      <w:tr w:rsidR="00AC5DB7" w:rsidRPr="00E81073" w14:paraId="11CE5EE8" w14:textId="77777777" w:rsidTr="00621EA3">
        <w:tc>
          <w:tcPr>
            <w:tcW w:w="2227" w:type="dxa"/>
            <w:tcBorders>
              <w:top w:val="nil"/>
              <w:bottom w:val="nil"/>
            </w:tcBorders>
            <w:vAlign w:val="center"/>
          </w:tcPr>
          <w:p w14:paraId="70883E43" w14:textId="77777777" w:rsidR="00AC5DB7" w:rsidRPr="00E81073" w:rsidRDefault="00AC5DB7" w:rsidP="00D87DA9">
            <w:pPr>
              <w:keepNext/>
              <w:ind w:left="112"/>
              <w:rPr>
                <w:rFonts w:ascii="Arial Narrow" w:hAnsi="Arial Narrow"/>
                <w:sz w:val="20"/>
                <w:szCs w:val="20"/>
              </w:rPr>
            </w:pPr>
            <w:r w:rsidRPr="00E81073">
              <w:rPr>
                <w:rFonts w:ascii="Arial Narrow" w:hAnsi="Arial Narrow"/>
                <w:sz w:val="20"/>
                <w:szCs w:val="20"/>
              </w:rPr>
              <w:t>ADA</w:t>
            </w:r>
          </w:p>
        </w:tc>
        <w:tc>
          <w:tcPr>
            <w:tcW w:w="1057" w:type="dxa"/>
            <w:tcBorders>
              <w:top w:val="nil"/>
              <w:bottom w:val="nil"/>
            </w:tcBorders>
            <w:vAlign w:val="center"/>
          </w:tcPr>
          <w:p w14:paraId="35C9938A" w14:textId="3AE46955" w:rsidR="00AC5DB7" w:rsidRPr="00AF4912" w:rsidRDefault="00DE43FD" w:rsidP="00D87DA9">
            <w:pPr>
              <w:keepNext/>
              <w:jc w:val="center"/>
              <w:rPr>
                <w:rFonts w:ascii="Arial Narrow" w:hAnsi="Arial Narrow"/>
                <w:sz w:val="20"/>
                <w:szCs w:val="20"/>
                <w:highlight w:val="lightGray"/>
              </w:rPr>
            </w:pPr>
            <w:r w:rsidRPr="00DE43FD">
              <w:rPr>
                <w:rFonts w:ascii="Arial Narrow" w:hAnsi="Arial Narrow" w:hint="eastAsia"/>
                <w:color w:val="000000"/>
                <w:w w:val="18"/>
                <w:sz w:val="20"/>
                <w:szCs w:val="20"/>
                <w:shd w:val="solid" w:color="000000" w:fill="000000"/>
                <w:fitText w:val="81" w:id="-963397369"/>
                <w14:textFill>
                  <w14:solidFill>
                    <w14:srgbClr w14:val="000000">
                      <w14:alpha w14:val="100000"/>
                    </w14:srgbClr>
                  </w14:solidFill>
                </w14:textFill>
              </w:rPr>
              <w:t xml:space="preserve">　</w:t>
            </w:r>
            <w:r w:rsidRPr="00DE43FD">
              <w:rPr>
                <w:rFonts w:ascii="Arial Narrow" w:hAnsi="Arial Narrow"/>
                <w:color w:val="000000"/>
                <w:w w:val="18"/>
                <w:sz w:val="20"/>
                <w:szCs w:val="20"/>
                <w:shd w:val="solid" w:color="000000" w:fill="000000"/>
                <w:fitText w:val="81" w:id="-963397369"/>
                <w14:textFill>
                  <w14:solidFill>
                    <w14:srgbClr w14:val="000000">
                      <w14:alpha w14:val="100000"/>
                    </w14:srgbClr>
                  </w14:solidFill>
                </w14:textFill>
              </w:rPr>
              <w:t>|</w:t>
            </w:r>
            <w:r w:rsidRPr="00DE43FD">
              <w:rPr>
                <w:rFonts w:ascii="Arial Narrow" w:hAnsi="Arial Narrow" w:hint="eastAsia"/>
                <w:color w:val="000000"/>
                <w:spacing w:val="1"/>
                <w:w w:val="18"/>
                <w:sz w:val="20"/>
                <w:szCs w:val="20"/>
                <w:shd w:val="solid" w:color="000000" w:fill="000000"/>
                <w:fitText w:val="81" w:id="-963397369"/>
                <w14:textFill>
                  <w14:solidFill>
                    <w14:srgbClr w14:val="000000">
                      <w14:alpha w14:val="100000"/>
                    </w14:srgbClr>
                  </w14:solidFill>
                </w14:textFill>
              </w:rPr>
              <w:t xml:space="preserve">　</w:t>
            </w:r>
            <w:r w:rsidR="00863259" w:rsidRPr="00A01E1F">
              <w:rPr>
                <w:rFonts w:ascii="Arial Narrow" w:hAnsi="Arial Narrow"/>
                <w:sz w:val="20"/>
                <w:szCs w:val="20"/>
                <w:vertAlign w:val="superscript"/>
              </w:rPr>
              <w:t>7</w:t>
            </w:r>
          </w:p>
        </w:tc>
        <w:tc>
          <w:tcPr>
            <w:tcW w:w="1057" w:type="dxa"/>
            <w:tcBorders>
              <w:top w:val="nil"/>
              <w:bottom w:val="nil"/>
            </w:tcBorders>
            <w:vAlign w:val="center"/>
          </w:tcPr>
          <w:p w14:paraId="112DF113" w14:textId="096C797D" w:rsidR="00AC5DB7" w:rsidRPr="00AF4912" w:rsidRDefault="00DE43FD" w:rsidP="00D87DA9">
            <w:pPr>
              <w:keepNext/>
              <w:jc w:val="center"/>
              <w:rPr>
                <w:rFonts w:ascii="Arial Narrow" w:hAnsi="Arial Narrow"/>
                <w:sz w:val="20"/>
                <w:szCs w:val="20"/>
                <w:highlight w:val="lightGray"/>
              </w:rPr>
            </w:pPr>
            <w:r w:rsidRPr="00DE43FD">
              <w:rPr>
                <w:rFonts w:ascii="Arial Narrow" w:hAnsi="Arial Narrow" w:hint="eastAsia"/>
                <w:color w:val="000000"/>
                <w:w w:val="18"/>
                <w:sz w:val="20"/>
                <w:szCs w:val="20"/>
                <w:shd w:val="solid" w:color="000000" w:fill="000000"/>
                <w:fitText w:val="81" w:id="-963397368"/>
                <w14:textFill>
                  <w14:solidFill>
                    <w14:srgbClr w14:val="000000">
                      <w14:alpha w14:val="100000"/>
                    </w14:srgbClr>
                  </w14:solidFill>
                </w14:textFill>
              </w:rPr>
              <w:t xml:space="preserve">　</w:t>
            </w:r>
            <w:r w:rsidRPr="00DE43FD">
              <w:rPr>
                <w:rFonts w:ascii="Arial Narrow" w:hAnsi="Arial Narrow"/>
                <w:color w:val="000000"/>
                <w:w w:val="18"/>
                <w:sz w:val="20"/>
                <w:szCs w:val="20"/>
                <w:shd w:val="solid" w:color="000000" w:fill="000000"/>
                <w:fitText w:val="81" w:id="-963397368"/>
                <w14:textFill>
                  <w14:solidFill>
                    <w14:srgbClr w14:val="000000">
                      <w14:alpha w14:val="100000"/>
                    </w14:srgbClr>
                  </w14:solidFill>
                </w14:textFill>
              </w:rPr>
              <w:t>|</w:t>
            </w:r>
            <w:r w:rsidRPr="00DE43FD">
              <w:rPr>
                <w:rFonts w:ascii="Arial Narrow" w:hAnsi="Arial Narrow" w:hint="eastAsia"/>
                <w:color w:val="000000"/>
                <w:spacing w:val="1"/>
                <w:w w:val="18"/>
                <w:sz w:val="20"/>
                <w:szCs w:val="20"/>
                <w:shd w:val="solid" w:color="000000" w:fill="000000"/>
                <w:fitText w:val="81" w:id="-963397368"/>
                <w14:textFill>
                  <w14:solidFill>
                    <w14:srgbClr w14:val="000000">
                      <w14:alpha w14:val="100000"/>
                    </w14:srgbClr>
                  </w14:solidFill>
                </w14:textFill>
              </w:rPr>
              <w:t xml:space="preserve">　</w:t>
            </w:r>
            <w:r w:rsidR="00863259" w:rsidRPr="00A01E1F">
              <w:rPr>
                <w:rFonts w:ascii="Arial Narrow" w:hAnsi="Arial Narrow"/>
                <w:sz w:val="20"/>
                <w:szCs w:val="20"/>
                <w:vertAlign w:val="superscript"/>
              </w:rPr>
              <w:t>7</w:t>
            </w:r>
          </w:p>
        </w:tc>
        <w:tc>
          <w:tcPr>
            <w:tcW w:w="1169" w:type="dxa"/>
            <w:tcBorders>
              <w:top w:val="nil"/>
              <w:bottom w:val="nil"/>
            </w:tcBorders>
            <w:vAlign w:val="center"/>
          </w:tcPr>
          <w:p w14:paraId="2A861482" w14:textId="5CF601EE" w:rsidR="00AC5DB7" w:rsidRPr="00AF4912" w:rsidRDefault="00DE43FD" w:rsidP="00D87DA9">
            <w:pPr>
              <w:keepNext/>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367"/>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367"/>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367"/>
                <w14:textFill>
                  <w14:solidFill>
                    <w14:srgbClr w14:val="000000">
                      <w14:alpha w14:val="100000"/>
                    </w14:srgbClr>
                  </w14:solidFill>
                </w14:textFill>
              </w:rPr>
              <w:t xml:space="preserve">　</w:t>
            </w:r>
            <w:r w:rsidR="00863259" w:rsidRPr="00A01E1F">
              <w:rPr>
                <w:rFonts w:ascii="Arial Narrow" w:hAnsi="Arial Narrow"/>
                <w:sz w:val="20"/>
                <w:szCs w:val="20"/>
                <w:vertAlign w:val="superscript"/>
              </w:rPr>
              <w:t>7</w:t>
            </w:r>
          </w:p>
        </w:tc>
        <w:tc>
          <w:tcPr>
            <w:tcW w:w="1169" w:type="dxa"/>
            <w:tcBorders>
              <w:top w:val="nil"/>
              <w:bottom w:val="nil"/>
            </w:tcBorders>
            <w:vAlign w:val="center"/>
          </w:tcPr>
          <w:p w14:paraId="74CD9850" w14:textId="7B30AA7D" w:rsidR="00AC5DB7" w:rsidRPr="00AF4912" w:rsidRDefault="00DE43FD" w:rsidP="00D87DA9">
            <w:pPr>
              <w:keepNext/>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366"/>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366"/>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366"/>
                <w14:textFill>
                  <w14:solidFill>
                    <w14:srgbClr w14:val="000000">
                      <w14:alpha w14:val="100000"/>
                    </w14:srgbClr>
                  </w14:solidFill>
                </w14:textFill>
              </w:rPr>
              <w:t xml:space="preserve">　</w:t>
            </w:r>
            <w:r w:rsidR="00863259" w:rsidRPr="00A01E1F">
              <w:rPr>
                <w:rFonts w:ascii="Arial Narrow" w:hAnsi="Arial Narrow"/>
                <w:sz w:val="20"/>
                <w:szCs w:val="20"/>
                <w:vertAlign w:val="superscript"/>
              </w:rPr>
              <w:t>7</w:t>
            </w:r>
          </w:p>
        </w:tc>
        <w:tc>
          <w:tcPr>
            <w:tcW w:w="1169" w:type="dxa"/>
            <w:tcBorders>
              <w:top w:val="nil"/>
              <w:bottom w:val="nil"/>
            </w:tcBorders>
            <w:vAlign w:val="center"/>
          </w:tcPr>
          <w:p w14:paraId="0E593425" w14:textId="521CBE4E" w:rsidR="00AC5DB7" w:rsidRPr="00AF4912" w:rsidRDefault="00DE43FD" w:rsidP="00D87DA9">
            <w:pPr>
              <w:keepNext/>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365"/>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365"/>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365"/>
                <w14:textFill>
                  <w14:solidFill>
                    <w14:srgbClr w14:val="000000">
                      <w14:alpha w14:val="100000"/>
                    </w14:srgbClr>
                  </w14:solidFill>
                </w14:textFill>
              </w:rPr>
              <w:t xml:space="preserve">　</w:t>
            </w:r>
            <w:r w:rsidR="00863259" w:rsidRPr="00A01E1F">
              <w:rPr>
                <w:rFonts w:ascii="Arial Narrow" w:hAnsi="Arial Narrow"/>
                <w:sz w:val="20"/>
                <w:szCs w:val="20"/>
                <w:vertAlign w:val="superscript"/>
              </w:rPr>
              <w:t>7</w:t>
            </w:r>
          </w:p>
        </w:tc>
        <w:tc>
          <w:tcPr>
            <w:tcW w:w="1169" w:type="dxa"/>
            <w:tcBorders>
              <w:top w:val="nil"/>
              <w:bottom w:val="nil"/>
            </w:tcBorders>
            <w:vAlign w:val="center"/>
          </w:tcPr>
          <w:p w14:paraId="0F322551" w14:textId="3D70E691" w:rsidR="00AC5DB7" w:rsidRPr="00AF4912" w:rsidRDefault="00DE43FD" w:rsidP="00D87DA9">
            <w:pPr>
              <w:keepNext/>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364"/>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364"/>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364"/>
                <w14:textFill>
                  <w14:solidFill>
                    <w14:srgbClr w14:val="000000">
                      <w14:alpha w14:val="100000"/>
                    </w14:srgbClr>
                  </w14:solidFill>
                </w14:textFill>
              </w:rPr>
              <w:t xml:space="preserve">　</w:t>
            </w:r>
            <w:r w:rsidR="00863259" w:rsidRPr="00A01E1F">
              <w:rPr>
                <w:rFonts w:ascii="Arial Narrow" w:hAnsi="Arial Narrow"/>
                <w:sz w:val="20"/>
                <w:szCs w:val="20"/>
                <w:vertAlign w:val="superscript"/>
              </w:rPr>
              <w:t>7</w:t>
            </w:r>
          </w:p>
        </w:tc>
      </w:tr>
      <w:tr w:rsidR="00AC5DB7" w:rsidRPr="00E81073" w14:paraId="51ABA6E2" w14:textId="77777777" w:rsidTr="00621EA3">
        <w:tc>
          <w:tcPr>
            <w:tcW w:w="2227" w:type="dxa"/>
            <w:tcBorders>
              <w:top w:val="nil"/>
              <w:bottom w:val="nil"/>
            </w:tcBorders>
            <w:vAlign w:val="center"/>
          </w:tcPr>
          <w:p w14:paraId="351BB2E3" w14:textId="77777777" w:rsidR="00AC5DB7" w:rsidRPr="00E81073" w:rsidRDefault="00AC5DB7" w:rsidP="00D87DA9">
            <w:pPr>
              <w:keepNext/>
              <w:ind w:left="112"/>
              <w:rPr>
                <w:rFonts w:ascii="Arial Narrow" w:hAnsi="Arial Narrow"/>
                <w:sz w:val="20"/>
                <w:szCs w:val="20"/>
              </w:rPr>
            </w:pPr>
            <w:r w:rsidRPr="00E81073">
              <w:rPr>
                <w:rFonts w:ascii="Arial Narrow" w:hAnsi="Arial Narrow"/>
                <w:sz w:val="20"/>
                <w:szCs w:val="20"/>
              </w:rPr>
              <w:t>IXE</w:t>
            </w:r>
          </w:p>
        </w:tc>
        <w:tc>
          <w:tcPr>
            <w:tcW w:w="1057" w:type="dxa"/>
            <w:tcBorders>
              <w:top w:val="nil"/>
              <w:bottom w:val="nil"/>
            </w:tcBorders>
            <w:vAlign w:val="center"/>
          </w:tcPr>
          <w:p w14:paraId="02AA88AF" w14:textId="58B08A89" w:rsidR="00AC5DB7" w:rsidRPr="00AF4912" w:rsidRDefault="00DE43FD" w:rsidP="00D87DA9">
            <w:pPr>
              <w:keepNext/>
              <w:jc w:val="center"/>
              <w:rPr>
                <w:rFonts w:ascii="Arial Narrow" w:hAnsi="Arial Narrow"/>
                <w:sz w:val="20"/>
                <w:szCs w:val="20"/>
                <w:highlight w:val="lightGray"/>
              </w:rPr>
            </w:pPr>
            <w:r w:rsidRPr="00DE43FD">
              <w:rPr>
                <w:rFonts w:ascii="Arial Narrow" w:hAnsi="Arial Narrow" w:hint="eastAsia"/>
                <w:color w:val="000000"/>
                <w:w w:val="18"/>
                <w:sz w:val="20"/>
                <w:szCs w:val="20"/>
                <w:shd w:val="solid" w:color="000000" w:fill="000000"/>
                <w:fitText w:val="81" w:id="-963397363"/>
                <w14:textFill>
                  <w14:solidFill>
                    <w14:srgbClr w14:val="000000">
                      <w14:alpha w14:val="100000"/>
                    </w14:srgbClr>
                  </w14:solidFill>
                </w14:textFill>
              </w:rPr>
              <w:t xml:space="preserve">　</w:t>
            </w:r>
            <w:r w:rsidRPr="00DE43FD">
              <w:rPr>
                <w:rFonts w:ascii="Arial Narrow" w:hAnsi="Arial Narrow"/>
                <w:color w:val="000000"/>
                <w:w w:val="18"/>
                <w:sz w:val="20"/>
                <w:szCs w:val="20"/>
                <w:shd w:val="solid" w:color="000000" w:fill="000000"/>
                <w:fitText w:val="81" w:id="-963397363"/>
                <w14:textFill>
                  <w14:solidFill>
                    <w14:srgbClr w14:val="000000">
                      <w14:alpha w14:val="100000"/>
                    </w14:srgbClr>
                  </w14:solidFill>
                </w14:textFill>
              </w:rPr>
              <w:t>|</w:t>
            </w:r>
            <w:r w:rsidRPr="00DE43FD">
              <w:rPr>
                <w:rFonts w:ascii="Arial Narrow" w:hAnsi="Arial Narrow" w:hint="eastAsia"/>
                <w:color w:val="000000"/>
                <w:spacing w:val="1"/>
                <w:w w:val="18"/>
                <w:sz w:val="20"/>
                <w:szCs w:val="20"/>
                <w:shd w:val="solid" w:color="000000" w:fill="000000"/>
                <w:fitText w:val="81" w:id="-963397363"/>
                <w14:textFill>
                  <w14:solidFill>
                    <w14:srgbClr w14:val="000000">
                      <w14:alpha w14:val="100000"/>
                    </w14:srgbClr>
                  </w14:solidFill>
                </w14:textFill>
              </w:rPr>
              <w:t xml:space="preserve">　</w:t>
            </w:r>
            <w:r w:rsidR="00863259" w:rsidRPr="00A01E1F">
              <w:rPr>
                <w:rFonts w:ascii="Arial Narrow" w:hAnsi="Arial Narrow"/>
                <w:sz w:val="20"/>
                <w:szCs w:val="20"/>
                <w:vertAlign w:val="superscript"/>
              </w:rPr>
              <w:t>7</w:t>
            </w:r>
          </w:p>
        </w:tc>
        <w:tc>
          <w:tcPr>
            <w:tcW w:w="1057" w:type="dxa"/>
            <w:tcBorders>
              <w:top w:val="nil"/>
              <w:bottom w:val="nil"/>
            </w:tcBorders>
            <w:vAlign w:val="center"/>
          </w:tcPr>
          <w:p w14:paraId="634A495C" w14:textId="635D7848" w:rsidR="00AC5DB7" w:rsidRPr="00AF4912" w:rsidRDefault="00DE43FD" w:rsidP="00D87DA9">
            <w:pPr>
              <w:keepNext/>
              <w:jc w:val="center"/>
              <w:rPr>
                <w:rFonts w:ascii="Arial Narrow" w:hAnsi="Arial Narrow"/>
                <w:sz w:val="20"/>
                <w:szCs w:val="20"/>
                <w:highlight w:val="lightGray"/>
              </w:rPr>
            </w:pPr>
            <w:r w:rsidRPr="00DE43FD">
              <w:rPr>
                <w:rFonts w:ascii="Arial Narrow" w:hAnsi="Arial Narrow" w:hint="eastAsia"/>
                <w:color w:val="000000"/>
                <w:w w:val="18"/>
                <w:sz w:val="20"/>
                <w:szCs w:val="20"/>
                <w:shd w:val="solid" w:color="000000" w:fill="000000"/>
                <w:fitText w:val="81" w:id="-963397362"/>
                <w14:textFill>
                  <w14:solidFill>
                    <w14:srgbClr w14:val="000000">
                      <w14:alpha w14:val="100000"/>
                    </w14:srgbClr>
                  </w14:solidFill>
                </w14:textFill>
              </w:rPr>
              <w:t xml:space="preserve">　</w:t>
            </w:r>
            <w:r w:rsidRPr="00DE43FD">
              <w:rPr>
                <w:rFonts w:ascii="Arial Narrow" w:hAnsi="Arial Narrow"/>
                <w:color w:val="000000"/>
                <w:w w:val="18"/>
                <w:sz w:val="20"/>
                <w:szCs w:val="20"/>
                <w:shd w:val="solid" w:color="000000" w:fill="000000"/>
                <w:fitText w:val="81" w:id="-963397362"/>
                <w14:textFill>
                  <w14:solidFill>
                    <w14:srgbClr w14:val="000000">
                      <w14:alpha w14:val="100000"/>
                    </w14:srgbClr>
                  </w14:solidFill>
                </w14:textFill>
              </w:rPr>
              <w:t>|</w:t>
            </w:r>
            <w:r w:rsidRPr="00DE43FD">
              <w:rPr>
                <w:rFonts w:ascii="Arial Narrow" w:hAnsi="Arial Narrow" w:hint="eastAsia"/>
                <w:color w:val="000000"/>
                <w:spacing w:val="1"/>
                <w:w w:val="18"/>
                <w:sz w:val="20"/>
                <w:szCs w:val="20"/>
                <w:shd w:val="solid" w:color="000000" w:fill="000000"/>
                <w:fitText w:val="81" w:id="-963397362"/>
                <w14:textFill>
                  <w14:solidFill>
                    <w14:srgbClr w14:val="000000">
                      <w14:alpha w14:val="100000"/>
                    </w14:srgbClr>
                  </w14:solidFill>
                </w14:textFill>
              </w:rPr>
              <w:t xml:space="preserve">　</w:t>
            </w:r>
            <w:r w:rsidR="00863259" w:rsidRPr="00A01E1F">
              <w:rPr>
                <w:rFonts w:ascii="Arial Narrow" w:hAnsi="Arial Narrow"/>
                <w:sz w:val="20"/>
                <w:szCs w:val="20"/>
                <w:vertAlign w:val="superscript"/>
              </w:rPr>
              <w:t>7</w:t>
            </w:r>
          </w:p>
        </w:tc>
        <w:tc>
          <w:tcPr>
            <w:tcW w:w="1169" w:type="dxa"/>
            <w:tcBorders>
              <w:top w:val="nil"/>
              <w:bottom w:val="nil"/>
            </w:tcBorders>
            <w:vAlign w:val="center"/>
          </w:tcPr>
          <w:p w14:paraId="33ED3993" w14:textId="6787C7DD" w:rsidR="00AC5DB7" w:rsidRPr="00AF4912" w:rsidRDefault="00DE43FD" w:rsidP="00D87DA9">
            <w:pPr>
              <w:keepNext/>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361"/>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361"/>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361"/>
                <w14:textFill>
                  <w14:solidFill>
                    <w14:srgbClr w14:val="000000">
                      <w14:alpha w14:val="100000"/>
                    </w14:srgbClr>
                  </w14:solidFill>
                </w14:textFill>
              </w:rPr>
              <w:t xml:space="preserve">　</w:t>
            </w:r>
            <w:r w:rsidR="00863259" w:rsidRPr="00A01E1F">
              <w:rPr>
                <w:rFonts w:ascii="Arial Narrow" w:hAnsi="Arial Narrow"/>
                <w:sz w:val="20"/>
                <w:szCs w:val="20"/>
                <w:vertAlign w:val="superscript"/>
              </w:rPr>
              <w:t>7</w:t>
            </w:r>
          </w:p>
        </w:tc>
        <w:tc>
          <w:tcPr>
            <w:tcW w:w="1169" w:type="dxa"/>
            <w:tcBorders>
              <w:top w:val="nil"/>
              <w:bottom w:val="nil"/>
            </w:tcBorders>
            <w:vAlign w:val="center"/>
          </w:tcPr>
          <w:p w14:paraId="2EC67D24" w14:textId="0972853F" w:rsidR="00AC5DB7" w:rsidRPr="00AF4912" w:rsidRDefault="00DE43FD" w:rsidP="00D87DA9">
            <w:pPr>
              <w:keepNext/>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360"/>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360"/>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360"/>
                <w14:textFill>
                  <w14:solidFill>
                    <w14:srgbClr w14:val="000000">
                      <w14:alpha w14:val="100000"/>
                    </w14:srgbClr>
                  </w14:solidFill>
                </w14:textFill>
              </w:rPr>
              <w:t xml:space="preserve">　</w:t>
            </w:r>
            <w:r w:rsidR="00863259" w:rsidRPr="00A01E1F">
              <w:rPr>
                <w:rFonts w:ascii="Arial Narrow" w:hAnsi="Arial Narrow"/>
                <w:sz w:val="20"/>
                <w:szCs w:val="20"/>
                <w:vertAlign w:val="superscript"/>
              </w:rPr>
              <w:t>7</w:t>
            </w:r>
          </w:p>
        </w:tc>
        <w:tc>
          <w:tcPr>
            <w:tcW w:w="1169" w:type="dxa"/>
            <w:tcBorders>
              <w:top w:val="nil"/>
              <w:bottom w:val="nil"/>
            </w:tcBorders>
            <w:vAlign w:val="center"/>
          </w:tcPr>
          <w:p w14:paraId="0FBBA586" w14:textId="737E9A31" w:rsidR="00AC5DB7" w:rsidRPr="00AF4912" w:rsidRDefault="00DE43FD" w:rsidP="00D87DA9">
            <w:pPr>
              <w:keepNext/>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376"/>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376"/>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376"/>
                <w14:textFill>
                  <w14:solidFill>
                    <w14:srgbClr w14:val="000000">
                      <w14:alpha w14:val="100000"/>
                    </w14:srgbClr>
                  </w14:solidFill>
                </w14:textFill>
              </w:rPr>
              <w:t xml:space="preserve">　</w:t>
            </w:r>
            <w:r w:rsidR="00863259" w:rsidRPr="00A01E1F">
              <w:rPr>
                <w:rFonts w:ascii="Arial Narrow" w:hAnsi="Arial Narrow"/>
                <w:sz w:val="20"/>
                <w:szCs w:val="20"/>
                <w:vertAlign w:val="superscript"/>
              </w:rPr>
              <w:t>7</w:t>
            </w:r>
          </w:p>
        </w:tc>
        <w:tc>
          <w:tcPr>
            <w:tcW w:w="1169" w:type="dxa"/>
            <w:tcBorders>
              <w:top w:val="nil"/>
              <w:bottom w:val="nil"/>
            </w:tcBorders>
            <w:vAlign w:val="center"/>
          </w:tcPr>
          <w:p w14:paraId="2CC9B82F" w14:textId="652634CC" w:rsidR="00AC5DB7" w:rsidRPr="00AF4912" w:rsidRDefault="00DE43FD" w:rsidP="00D87DA9">
            <w:pPr>
              <w:keepNext/>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375"/>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375"/>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375"/>
                <w14:textFill>
                  <w14:solidFill>
                    <w14:srgbClr w14:val="000000">
                      <w14:alpha w14:val="100000"/>
                    </w14:srgbClr>
                  </w14:solidFill>
                </w14:textFill>
              </w:rPr>
              <w:t xml:space="preserve">　</w:t>
            </w:r>
            <w:r w:rsidR="00863259" w:rsidRPr="00A01E1F">
              <w:rPr>
                <w:rFonts w:ascii="Arial Narrow" w:hAnsi="Arial Narrow"/>
                <w:sz w:val="20"/>
                <w:szCs w:val="20"/>
                <w:vertAlign w:val="superscript"/>
              </w:rPr>
              <w:t>7</w:t>
            </w:r>
          </w:p>
        </w:tc>
      </w:tr>
      <w:tr w:rsidR="00AC5DB7" w:rsidRPr="00E81073" w14:paraId="3E686B4E" w14:textId="77777777" w:rsidTr="00621EA3">
        <w:tc>
          <w:tcPr>
            <w:tcW w:w="2227" w:type="dxa"/>
            <w:tcBorders>
              <w:top w:val="nil"/>
              <w:bottom w:val="nil"/>
            </w:tcBorders>
            <w:vAlign w:val="center"/>
          </w:tcPr>
          <w:p w14:paraId="412E14B4" w14:textId="77777777" w:rsidR="00AC5DB7" w:rsidRPr="00E81073" w:rsidRDefault="00AC5DB7" w:rsidP="00D87DA9">
            <w:pPr>
              <w:keepNext/>
              <w:ind w:left="112"/>
              <w:rPr>
                <w:rFonts w:ascii="Arial Narrow" w:hAnsi="Arial Narrow"/>
                <w:sz w:val="20"/>
                <w:szCs w:val="20"/>
              </w:rPr>
            </w:pPr>
            <w:r w:rsidRPr="00E81073">
              <w:rPr>
                <w:rFonts w:ascii="Arial Narrow" w:hAnsi="Arial Narrow"/>
                <w:sz w:val="20"/>
                <w:szCs w:val="20"/>
              </w:rPr>
              <w:t>UST</w:t>
            </w:r>
          </w:p>
        </w:tc>
        <w:tc>
          <w:tcPr>
            <w:tcW w:w="1057" w:type="dxa"/>
            <w:tcBorders>
              <w:top w:val="nil"/>
              <w:bottom w:val="nil"/>
            </w:tcBorders>
            <w:vAlign w:val="center"/>
          </w:tcPr>
          <w:p w14:paraId="1FDD06BF" w14:textId="199F8035" w:rsidR="00AC5DB7" w:rsidRPr="00AF4912" w:rsidRDefault="00DE43FD" w:rsidP="00D87DA9">
            <w:pPr>
              <w:keepNext/>
              <w:jc w:val="center"/>
              <w:rPr>
                <w:rFonts w:ascii="Arial Narrow" w:hAnsi="Arial Narrow"/>
                <w:sz w:val="20"/>
                <w:szCs w:val="20"/>
                <w:highlight w:val="lightGray"/>
              </w:rPr>
            </w:pPr>
            <w:r w:rsidRPr="00DE43FD">
              <w:rPr>
                <w:rFonts w:ascii="Arial Narrow" w:hAnsi="Arial Narrow" w:hint="eastAsia"/>
                <w:color w:val="000000"/>
                <w:w w:val="18"/>
                <w:sz w:val="20"/>
                <w:szCs w:val="20"/>
                <w:shd w:val="solid" w:color="000000" w:fill="000000"/>
                <w:fitText w:val="81" w:id="-963397374"/>
                <w14:textFill>
                  <w14:solidFill>
                    <w14:srgbClr w14:val="000000">
                      <w14:alpha w14:val="100000"/>
                    </w14:srgbClr>
                  </w14:solidFill>
                </w14:textFill>
              </w:rPr>
              <w:t xml:space="preserve">　</w:t>
            </w:r>
            <w:r w:rsidRPr="00DE43FD">
              <w:rPr>
                <w:rFonts w:ascii="Arial Narrow" w:hAnsi="Arial Narrow"/>
                <w:color w:val="000000"/>
                <w:w w:val="18"/>
                <w:sz w:val="20"/>
                <w:szCs w:val="20"/>
                <w:shd w:val="solid" w:color="000000" w:fill="000000"/>
                <w:fitText w:val="81" w:id="-963397374"/>
                <w14:textFill>
                  <w14:solidFill>
                    <w14:srgbClr w14:val="000000">
                      <w14:alpha w14:val="100000"/>
                    </w14:srgbClr>
                  </w14:solidFill>
                </w14:textFill>
              </w:rPr>
              <w:t>|</w:t>
            </w:r>
            <w:r w:rsidRPr="00DE43FD">
              <w:rPr>
                <w:rFonts w:ascii="Arial Narrow" w:hAnsi="Arial Narrow" w:hint="eastAsia"/>
                <w:color w:val="000000"/>
                <w:spacing w:val="1"/>
                <w:w w:val="18"/>
                <w:sz w:val="20"/>
                <w:szCs w:val="20"/>
                <w:shd w:val="solid" w:color="000000" w:fill="000000"/>
                <w:fitText w:val="81" w:id="-963397374"/>
                <w14:textFill>
                  <w14:solidFill>
                    <w14:srgbClr w14:val="000000">
                      <w14:alpha w14:val="100000"/>
                    </w14:srgbClr>
                  </w14:solidFill>
                </w14:textFill>
              </w:rPr>
              <w:t xml:space="preserve">　</w:t>
            </w:r>
            <w:r w:rsidR="00863259" w:rsidRPr="00A01E1F">
              <w:rPr>
                <w:rFonts w:ascii="Arial Narrow" w:hAnsi="Arial Narrow"/>
                <w:sz w:val="20"/>
                <w:szCs w:val="20"/>
                <w:vertAlign w:val="superscript"/>
              </w:rPr>
              <w:t>7</w:t>
            </w:r>
          </w:p>
        </w:tc>
        <w:tc>
          <w:tcPr>
            <w:tcW w:w="1057" w:type="dxa"/>
            <w:tcBorders>
              <w:top w:val="nil"/>
              <w:bottom w:val="nil"/>
            </w:tcBorders>
            <w:vAlign w:val="center"/>
          </w:tcPr>
          <w:p w14:paraId="7D58A08E" w14:textId="3EB23FA4" w:rsidR="00AC5DB7" w:rsidRPr="00AF4912" w:rsidRDefault="00DE43FD" w:rsidP="00D87DA9">
            <w:pPr>
              <w:keepNext/>
              <w:jc w:val="center"/>
              <w:rPr>
                <w:rFonts w:ascii="Arial Narrow" w:hAnsi="Arial Narrow"/>
                <w:sz w:val="20"/>
                <w:szCs w:val="20"/>
                <w:highlight w:val="lightGray"/>
              </w:rPr>
            </w:pPr>
            <w:r w:rsidRPr="00DE43FD">
              <w:rPr>
                <w:rFonts w:ascii="Arial Narrow" w:hAnsi="Arial Narrow" w:hint="eastAsia"/>
                <w:color w:val="000000"/>
                <w:w w:val="18"/>
                <w:sz w:val="20"/>
                <w:szCs w:val="20"/>
                <w:shd w:val="solid" w:color="000000" w:fill="000000"/>
                <w:fitText w:val="81" w:id="-963397373"/>
                <w14:textFill>
                  <w14:solidFill>
                    <w14:srgbClr w14:val="000000">
                      <w14:alpha w14:val="100000"/>
                    </w14:srgbClr>
                  </w14:solidFill>
                </w14:textFill>
              </w:rPr>
              <w:t xml:space="preserve">　</w:t>
            </w:r>
            <w:r w:rsidRPr="00DE43FD">
              <w:rPr>
                <w:rFonts w:ascii="Arial Narrow" w:hAnsi="Arial Narrow"/>
                <w:color w:val="000000"/>
                <w:w w:val="18"/>
                <w:sz w:val="20"/>
                <w:szCs w:val="20"/>
                <w:shd w:val="solid" w:color="000000" w:fill="000000"/>
                <w:fitText w:val="81" w:id="-963397373"/>
                <w14:textFill>
                  <w14:solidFill>
                    <w14:srgbClr w14:val="000000">
                      <w14:alpha w14:val="100000"/>
                    </w14:srgbClr>
                  </w14:solidFill>
                </w14:textFill>
              </w:rPr>
              <w:t>|</w:t>
            </w:r>
            <w:r w:rsidRPr="00DE43FD">
              <w:rPr>
                <w:rFonts w:ascii="Arial Narrow" w:hAnsi="Arial Narrow" w:hint="eastAsia"/>
                <w:color w:val="000000"/>
                <w:spacing w:val="1"/>
                <w:w w:val="18"/>
                <w:sz w:val="20"/>
                <w:szCs w:val="20"/>
                <w:shd w:val="solid" w:color="000000" w:fill="000000"/>
                <w:fitText w:val="81" w:id="-963397373"/>
                <w14:textFill>
                  <w14:solidFill>
                    <w14:srgbClr w14:val="000000">
                      <w14:alpha w14:val="100000"/>
                    </w14:srgbClr>
                  </w14:solidFill>
                </w14:textFill>
              </w:rPr>
              <w:t xml:space="preserve">　</w:t>
            </w:r>
            <w:r w:rsidR="00863259" w:rsidRPr="00A01E1F">
              <w:rPr>
                <w:rFonts w:ascii="Arial Narrow" w:hAnsi="Arial Narrow"/>
                <w:sz w:val="20"/>
                <w:szCs w:val="20"/>
                <w:vertAlign w:val="superscript"/>
              </w:rPr>
              <w:t>7</w:t>
            </w:r>
          </w:p>
        </w:tc>
        <w:tc>
          <w:tcPr>
            <w:tcW w:w="1169" w:type="dxa"/>
            <w:tcBorders>
              <w:top w:val="nil"/>
              <w:bottom w:val="nil"/>
            </w:tcBorders>
            <w:vAlign w:val="center"/>
          </w:tcPr>
          <w:p w14:paraId="4C145940" w14:textId="72847C72" w:rsidR="00AC5DB7" w:rsidRPr="00AF4912" w:rsidRDefault="00DE43FD" w:rsidP="00D87DA9">
            <w:pPr>
              <w:keepNext/>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372"/>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372"/>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372"/>
                <w14:textFill>
                  <w14:solidFill>
                    <w14:srgbClr w14:val="000000">
                      <w14:alpha w14:val="100000"/>
                    </w14:srgbClr>
                  </w14:solidFill>
                </w14:textFill>
              </w:rPr>
              <w:t xml:space="preserve">　</w:t>
            </w:r>
            <w:r w:rsidR="00863259" w:rsidRPr="00A01E1F">
              <w:rPr>
                <w:rFonts w:ascii="Arial Narrow" w:hAnsi="Arial Narrow"/>
                <w:sz w:val="20"/>
                <w:szCs w:val="20"/>
                <w:vertAlign w:val="superscript"/>
              </w:rPr>
              <w:t>7</w:t>
            </w:r>
          </w:p>
        </w:tc>
        <w:tc>
          <w:tcPr>
            <w:tcW w:w="1169" w:type="dxa"/>
            <w:tcBorders>
              <w:top w:val="nil"/>
              <w:bottom w:val="nil"/>
            </w:tcBorders>
            <w:vAlign w:val="center"/>
          </w:tcPr>
          <w:p w14:paraId="43B0DB38" w14:textId="7DB4E164" w:rsidR="00AC5DB7" w:rsidRPr="00AF4912" w:rsidRDefault="00DE43FD" w:rsidP="00D87DA9">
            <w:pPr>
              <w:keepNext/>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371"/>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371"/>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371"/>
                <w14:textFill>
                  <w14:solidFill>
                    <w14:srgbClr w14:val="000000">
                      <w14:alpha w14:val="100000"/>
                    </w14:srgbClr>
                  </w14:solidFill>
                </w14:textFill>
              </w:rPr>
              <w:t xml:space="preserve">　</w:t>
            </w:r>
            <w:r w:rsidR="00863259" w:rsidRPr="00A01E1F">
              <w:rPr>
                <w:rFonts w:ascii="Arial Narrow" w:hAnsi="Arial Narrow"/>
                <w:sz w:val="20"/>
                <w:szCs w:val="20"/>
                <w:vertAlign w:val="superscript"/>
              </w:rPr>
              <w:t>7</w:t>
            </w:r>
          </w:p>
        </w:tc>
        <w:tc>
          <w:tcPr>
            <w:tcW w:w="1169" w:type="dxa"/>
            <w:tcBorders>
              <w:top w:val="nil"/>
              <w:bottom w:val="nil"/>
            </w:tcBorders>
            <w:vAlign w:val="center"/>
          </w:tcPr>
          <w:p w14:paraId="72D6CD8E" w14:textId="623932D7" w:rsidR="00AC5DB7" w:rsidRPr="00AF4912" w:rsidRDefault="00DE43FD" w:rsidP="00D87DA9">
            <w:pPr>
              <w:keepNext/>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370"/>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370"/>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370"/>
                <w14:textFill>
                  <w14:solidFill>
                    <w14:srgbClr w14:val="000000">
                      <w14:alpha w14:val="100000"/>
                    </w14:srgbClr>
                  </w14:solidFill>
                </w14:textFill>
              </w:rPr>
              <w:t xml:space="preserve">　</w:t>
            </w:r>
            <w:r w:rsidR="00863259" w:rsidRPr="00A01E1F">
              <w:rPr>
                <w:rFonts w:ascii="Arial Narrow" w:hAnsi="Arial Narrow"/>
                <w:sz w:val="20"/>
                <w:szCs w:val="20"/>
                <w:vertAlign w:val="superscript"/>
              </w:rPr>
              <w:t>7</w:t>
            </w:r>
          </w:p>
        </w:tc>
        <w:tc>
          <w:tcPr>
            <w:tcW w:w="1169" w:type="dxa"/>
            <w:tcBorders>
              <w:top w:val="nil"/>
              <w:bottom w:val="nil"/>
            </w:tcBorders>
            <w:vAlign w:val="center"/>
          </w:tcPr>
          <w:p w14:paraId="3598B51A" w14:textId="631113CC" w:rsidR="00AC5DB7" w:rsidRPr="00AF4912" w:rsidRDefault="00DE43FD" w:rsidP="00D87DA9">
            <w:pPr>
              <w:keepNext/>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369"/>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369"/>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369"/>
                <w14:textFill>
                  <w14:solidFill>
                    <w14:srgbClr w14:val="000000">
                      <w14:alpha w14:val="100000"/>
                    </w14:srgbClr>
                  </w14:solidFill>
                </w14:textFill>
              </w:rPr>
              <w:t xml:space="preserve">　</w:t>
            </w:r>
            <w:r w:rsidR="00863259" w:rsidRPr="00A01E1F">
              <w:rPr>
                <w:rFonts w:ascii="Arial Narrow" w:hAnsi="Arial Narrow"/>
                <w:sz w:val="20"/>
                <w:szCs w:val="20"/>
                <w:vertAlign w:val="superscript"/>
              </w:rPr>
              <w:t>7</w:t>
            </w:r>
          </w:p>
        </w:tc>
      </w:tr>
      <w:tr w:rsidR="00AC5DB7" w:rsidRPr="00E81073" w14:paraId="194AE132" w14:textId="77777777" w:rsidTr="00621EA3">
        <w:tc>
          <w:tcPr>
            <w:tcW w:w="2227" w:type="dxa"/>
            <w:tcBorders>
              <w:top w:val="nil"/>
              <w:bottom w:val="nil"/>
            </w:tcBorders>
            <w:vAlign w:val="center"/>
          </w:tcPr>
          <w:p w14:paraId="46E96667" w14:textId="77777777" w:rsidR="00AC5DB7" w:rsidRPr="00E81073" w:rsidRDefault="00AC5DB7" w:rsidP="00D87DA9">
            <w:pPr>
              <w:keepNext/>
              <w:ind w:left="112"/>
              <w:rPr>
                <w:rFonts w:ascii="Arial Narrow" w:hAnsi="Arial Narrow"/>
                <w:sz w:val="20"/>
                <w:szCs w:val="20"/>
              </w:rPr>
            </w:pPr>
            <w:r w:rsidRPr="00E81073">
              <w:rPr>
                <w:rFonts w:ascii="Arial Narrow" w:hAnsi="Arial Narrow"/>
                <w:sz w:val="20"/>
                <w:szCs w:val="20"/>
              </w:rPr>
              <w:t>CZP</w:t>
            </w:r>
          </w:p>
        </w:tc>
        <w:tc>
          <w:tcPr>
            <w:tcW w:w="1057" w:type="dxa"/>
            <w:tcBorders>
              <w:top w:val="nil"/>
              <w:bottom w:val="nil"/>
            </w:tcBorders>
            <w:vAlign w:val="center"/>
          </w:tcPr>
          <w:p w14:paraId="030A59CF" w14:textId="3452CE93" w:rsidR="00AC5DB7" w:rsidRPr="00AF4912" w:rsidRDefault="00DE43FD" w:rsidP="00D87DA9">
            <w:pPr>
              <w:keepNext/>
              <w:jc w:val="center"/>
              <w:rPr>
                <w:rFonts w:ascii="Arial Narrow" w:hAnsi="Arial Narrow"/>
                <w:sz w:val="20"/>
                <w:szCs w:val="20"/>
                <w:highlight w:val="lightGray"/>
              </w:rPr>
            </w:pPr>
            <w:r w:rsidRPr="00DE43FD">
              <w:rPr>
                <w:rFonts w:ascii="Arial Narrow" w:hAnsi="Arial Narrow" w:hint="eastAsia"/>
                <w:color w:val="000000"/>
                <w:w w:val="18"/>
                <w:sz w:val="20"/>
                <w:szCs w:val="20"/>
                <w:shd w:val="solid" w:color="000000" w:fill="000000"/>
                <w:fitText w:val="81" w:id="-963397368"/>
                <w14:textFill>
                  <w14:solidFill>
                    <w14:srgbClr w14:val="000000">
                      <w14:alpha w14:val="100000"/>
                    </w14:srgbClr>
                  </w14:solidFill>
                </w14:textFill>
              </w:rPr>
              <w:t xml:space="preserve">　</w:t>
            </w:r>
            <w:r w:rsidRPr="00DE43FD">
              <w:rPr>
                <w:rFonts w:ascii="Arial Narrow" w:hAnsi="Arial Narrow"/>
                <w:color w:val="000000"/>
                <w:w w:val="18"/>
                <w:sz w:val="20"/>
                <w:szCs w:val="20"/>
                <w:shd w:val="solid" w:color="000000" w:fill="000000"/>
                <w:fitText w:val="81" w:id="-963397368"/>
                <w14:textFill>
                  <w14:solidFill>
                    <w14:srgbClr w14:val="000000">
                      <w14:alpha w14:val="100000"/>
                    </w14:srgbClr>
                  </w14:solidFill>
                </w14:textFill>
              </w:rPr>
              <w:t>|</w:t>
            </w:r>
            <w:r w:rsidRPr="00DE43FD">
              <w:rPr>
                <w:rFonts w:ascii="Arial Narrow" w:hAnsi="Arial Narrow" w:hint="eastAsia"/>
                <w:color w:val="000000"/>
                <w:spacing w:val="1"/>
                <w:w w:val="18"/>
                <w:sz w:val="20"/>
                <w:szCs w:val="20"/>
                <w:shd w:val="solid" w:color="000000" w:fill="000000"/>
                <w:fitText w:val="81" w:id="-963397368"/>
                <w14:textFill>
                  <w14:solidFill>
                    <w14:srgbClr w14:val="000000">
                      <w14:alpha w14:val="100000"/>
                    </w14:srgbClr>
                  </w14:solidFill>
                </w14:textFill>
              </w:rPr>
              <w:t xml:space="preserve">　</w:t>
            </w:r>
            <w:r w:rsidR="00863259" w:rsidRPr="00A01E1F">
              <w:rPr>
                <w:rFonts w:ascii="Arial Narrow" w:hAnsi="Arial Narrow"/>
                <w:sz w:val="20"/>
                <w:szCs w:val="20"/>
                <w:vertAlign w:val="superscript"/>
              </w:rPr>
              <w:t>7</w:t>
            </w:r>
          </w:p>
        </w:tc>
        <w:tc>
          <w:tcPr>
            <w:tcW w:w="1057" w:type="dxa"/>
            <w:tcBorders>
              <w:top w:val="nil"/>
              <w:bottom w:val="nil"/>
            </w:tcBorders>
            <w:vAlign w:val="center"/>
          </w:tcPr>
          <w:p w14:paraId="3F240C40" w14:textId="2091E2AD" w:rsidR="00AC5DB7" w:rsidRPr="00AF4912" w:rsidRDefault="00DE43FD" w:rsidP="00D87DA9">
            <w:pPr>
              <w:keepNext/>
              <w:jc w:val="center"/>
              <w:rPr>
                <w:rFonts w:ascii="Arial Narrow" w:hAnsi="Arial Narrow"/>
                <w:sz w:val="20"/>
                <w:szCs w:val="20"/>
                <w:highlight w:val="lightGray"/>
              </w:rPr>
            </w:pPr>
            <w:r w:rsidRPr="00DE43FD">
              <w:rPr>
                <w:rFonts w:ascii="Arial Narrow" w:hAnsi="Arial Narrow" w:hint="eastAsia"/>
                <w:color w:val="000000"/>
                <w:w w:val="18"/>
                <w:sz w:val="20"/>
                <w:szCs w:val="20"/>
                <w:shd w:val="solid" w:color="000000" w:fill="000000"/>
                <w:fitText w:val="81" w:id="-963397367"/>
                <w14:textFill>
                  <w14:solidFill>
                    <w14:srgbClr w14:val="000000">
                      <w14:alpha w14:val="100000"/>
                    </w14:srgbClr>
                  </w14:solidFill>
                </w14:textFill>
              </w:rPr>
              <w:t xml:space="preserve">　</w:t>
            </w:r>
            <w:r w:rsidRPr="00DE43FD">
              <w:rPr>
                <w:rFonts w:ascii="Arial Narrow" w:hAnsi="Arial Narrow"/>
                <w:color w:val="000000"/>
                <w:w w:val="18"/>
                <w:sz w:val="20"/>
                <w:szCs w:val="20"/>
                <w:shd w:val="solid" w:color="000000" w:fill="000000"/>
                <w:fitText w:val="81" w:id="-963397367"/>
                <w14:textFill>
                  <w14:solidFill>
                    <w14:srgbClr w14:val="000000">
                      <w14:alpha w14:val="100000"/>
                    </w14:srgbClr>
                  </w14:solidFill>
                </w14:textFill>
              </w:rPr>
              <w:t>|</w:t>
            </w:r>
            <w:r w:rsidRPr="00DE43FD">
              <w:rPr>
                <w:rFonts w:ascii="Arial Narrow" w:hAnsi="Arial Narrow" w:hint="eastAsia"/>
                <w:color w:val="000000"/>
                <w:spacing w:val="1"/>
                <w:w w:val="18"/>
                <w:sz w:val="20"/>
                <w:szCs w:val="20"/>
                <w:shd w:val="solid" w:color="000000" w:fill="000000"/>
                <w:fitText w:val="81" w:id="-963397367"/>
                <w14:textFill>
                  <w14:solidFill>
                    <w14:srgbClr w14:val="000000">
                      <w14:alpha w14:val="100000"/>
                    </w14:srgbClr>
                  </w14:solidFill>
                </w14:textFill>
              </w:rPr>
              <w:t xml:space="preserve">　</w:t>
            </w:r>
            <w:r w:rsidR="00863259" w:rsidRPr="00A01E1F">
              <w:rPr>
                <w:rFonts w:ascii="Arial Narrow" w:hAnsi="Arial Narrow"/>
                <w:sz w:val="20"/>
                <w:szCs w:val="20"/>
                <w:vertAlign w:val="superscript"/>
              </w:rPr>
              <w:t>7</w:t>
            </w:r>
          </w:p>
        </w:tc>
        <w:tc>
          <w:tcPr>
            <w:tcW w:w="1169" w:type="dxa"/>
            <w:tcBorders>
              <w:top w:val="nil"/>
              <w:bottom w:val="nil"/>
            </w:tcBorders>
            <w:vAlign w:val="center"/>
          </w:tcPr>
          <w:p w14:paraId="64F6D9FA" w14:textId="34D82339" w:rsidR="00AC5DB7" w:rsidRPr="00AF4912" w:rsidRDefault="00DE43FD" w:rsidP="00D87DA9">
            <w:pPr>
              <w:keepNext/>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366"/>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366"/>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366"/>
                <w14:textFill>
                  <w14:solidFill>
                    <w14:srgbClr w14:val="000000">
                      <w14:alpha w14:val="100000"/>
                    </w14:srgbClr>
                  </w14:solidFill>
                </w14:textFill>
              </w:rPr>
              <w:t xml:space="preserve">　</w:t>
            </w:r>
            <w:r w:rsidR="00863259" w:rsidRPr="00A01E1F">
              <w:rPr>
                <w:rFonts w:ascii="Arial Narrow" w:hAnsi="Arial Narrow"/>
                <w:sz w:val="20"/>
                <w:szCs w:val="20"/>
                <w:vertAlign w:val="superscript"/>
              </w:rPr>
              <w:t>7</w:t>
            </w:r>
          </w:p>
        </w:tc>
        <w:tc>
          <w:tcPr>
            <w:tcW w:w="1169" w:type="dxa"/>
            <w:tcBorders>
              <w:top w:val="nil"/>
              <w:bottom w:val="nil"/>
            </w:tcBorders>
            <w:vAlign w:val="center"/>
          </w:tcPr>
          <w:p w14:paraId="6D153DC9" w14:textId="78A642A6" w:rsidR="00AC5DB7" w:rsidRPr="00AF4912" w:rsidRDefault="00DE43FD" w:rsidP="00D87DA9">
            <w:pPr>
              <w:keepNext/>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365"/>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365"/>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365"/>
                <w14:textFill>
                  <w14:solidFill>
                    <w14:srgbClr w14:val="000000">
                      <w14:alpha w14:val="100000"/>
                    </w14:srgbClr>
                  </w14:solidFill>
                </w14:textFill>
              </w:rPr>
              <w:t xml:space="preserve">　</w:t>
            </w:r>
            <w:r w:rsidR="00863259" w:rsidRPr="00A01E1F">
              <w:rPr>
                <w:rFonts w:ascii="Arial Narrow" w:hAnsi="Arial Narrow"/>
                <w:sz w:val="20"/>
                <w:szCs w:val="20"/>
                <w:vertAlign w:val="superscript"/>
              </w:rPr>
              <w:t>7</w:t>
            </w:r>
          </w:p>
        </w:tc>
        <w:tc>
          <w:tcPr>
            <w:tcW w:w="1169" w:type="dxa"/>
            <w:tcBorders>
              <w:top w:val="nil"/>
              <w:bottom w:val="nil"/>
            </w:tcBorders>
            <w:vAlign w:val="center"/>
          </w:tcPr>
          <w:p w14:paraId="62F02C6C" w14:textId="2A49EAB0" w:rsidR="00AC5DB7" w:rsidRPr="00AF4912" w:rsidRDefault="00DE43FD" w:rsidP="00D87DA9">
            <w:pPr>
              <w:keepNext/>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364"/>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364"/>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364"/>
                <w14:textFill>
                  <w14:solidFill>
                    <w14:srgbClr w14:val="000000">
                      <w14:alpha w14:val="100000"/>
                    </w14:srgbClr>
                  </w14:solidFill>
                </w14:textFill>
              </w:rPr>
              <w:t xml:space="preserve">　</w:t>
            </w:r>
            <w:r w:rsidR="00863259" w:rsidRPr="00A01E1F">
              <w:rPr>
                <w:rFonts w:ascii="Arial Narrow" w:hAnsi="Arial Narrow"/>
                <w:sz w:val="20"/>
                <w:szCs w:val="20"/>
                <w:vertAlign w:val="superscript"/>
              </w:rPr>
              <w:t>7</w:t>
            </w:r>
          </w:p>
        </w:tc>
        <w:tc>
          <w:tcPr>
            <w:tcW w:w="1169" w:type="dxa"/>
            <w:tcBorders>
              <w:top w:val="nil"/>
              <w:bottom w:val="nil"/>
            </w:tcBorders>
            <w:vAlign w:val="center"/>
          </w:tcPr>
          <w:p w14:paraId="32E5145C" w14:textId="3A46B746" w:rsidR="00AC5DB7" w:rsidRPr="00AF4912" w:rsidRDefault="00DE43FD" w:rsidP="00D87DA9">
            <w:pPr>
              <w:keepNext/>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363"/>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363"/>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363"/>
                <w14:textFill>
                  <w14:solidFill>
                    <w14:srgbClr w14:val="000000">
                      <w14:alpha w14:val="100000"/>
                    </w14:srgbClr>
                  </w14:solidFill>
                </w14:textFill>
              </w:rPr>
              <w:t xml:space="preserve">　</w:t>
            </w:r>
            <w:r w:rsidR="00863259" w:rsidRPr="00A01E1F">
              <w:rPr>
                <w:rFonts w:ascii="Arial Narrow" w:hAnsi="Arial Narrow"/>
                <w:sz w:val="20"/>
                <w:szCs w:val="20"/>
                <w:vertAlign w:val="superscript"/>
              </w:rPr>
              <w:t>7</w:t>
            </w:r>
          </w:p>
        </w:tc>
      </w:tr>
      <w:tr w:rsidR="00AC5DB7" w:rsidRPr="00E81073" w14:paraId="5DCDDF4E" w14:textId="77777777" w:rsidTr="00621EA3">
        <w:tc>
          <w:tcPr>
            <w:tcW w:w="2227" w:type="dxa"/>
            <w:tcBorders>
              <w:top w:val="nil"/>
              <w:bottom w:val="nil"/>
            </w:tcBorders>
            <w:vAlign w:val="center"/>
          </w:tcPr>
          <w:p w14:paraId="68ADF17C" w14:textId="77777777" w:rsidR="00AC5DB7" w:rsidRPr="00E81073" w:rsidRDefault="00AC5DB7" w:rsidP="00D87DA9">
            <w:pPr>
              <w:keepNext/>
              <w:ind w:left="112"/>
              <w:rPr>
                <w:rFonts w:ascii="Arial Narrow" w:hAnsi="Arial Narrow"/>
                <w:sz w:val="20"/>
                <w:szCs w:val="20"/>
              </w:rPr>
            </w:pPr>
            <w:r w:rsidRPr="00E81073">
              <w:rPr>
                <w:rFonts w:ascii="Arial Narrow" w:hAnsi="Arial Narrow"/>
                <w:sz w:val="20"/>
                <w:szCs w:val="20"/>
              </w:rPr>
              <w:t>GOL</w:t>
            </w:r>
          </w:p>
        </w:tc>
        <w:tc>
          <w:tcPr>
            <w:tcW w:w="1057" w:type="dxa"/>
            <w:tcBorders>
              <w:top w:val="nil"/>
              <w:bottom w:val="nil"/>
            </w:tcBorders>
            <w:vAlign w:val="center"/>
          </w:tcPr>
          <w:p w14:paraId="74161655" w14:textId="16251266" w:rsidR="00AC5DB7" w:rsidRPr="00AF4912" w:rsidRDefault="00DE43FD" w:rsidP="00D87DA9">
            <w:pPr>
              <w:keepNext/>
              <w:jc w:val="center"/>
              <w:rPr>
                <w:rFonts w:ascii="Arial Narrow" w:hAnsi="Arial Narrow"/>
                <w:sz w:val="20"/>
                <w:szCs w:val="20"/>
                <w:highlight w:val="lightGray"/>
              </w:rPr>
            </w:pPr>
            <w:r w:rsidRPr="00DE43FD">
              <w:rPr>
                <w:rFonts w:ascii="Arial Narrow" w:hAnsi="Arial Narrow" w:hint="eastAsia"/>
                <w:color w:val="000000"/>
                <w:w w:val="18"/>
                <w:sz w:val="20"/>
                <w:szCs w:val="20"/>
                <w:shd w:val="solid" w:color="000000" w:fill="000000"/>
                <w:fitText w:val="81" w:id="-963397362"/>
                <w14:textFill>
                  <w14:solidFill>
                    <w14:srgbClr w14:val="000000">
                      <w14:alpha w14:val="100000"/>
                    </w14:srgbClr>
                  </w14:solidFill>
                </w14:textFill>
              </w:rPr>
              <w:t xml:space="preserve">　</w:t>
            </w:r>
            <w:r w:rsidRPr="00DE43FD">
              <w:rPr>
                <w:rFonts w:ascii="Arial Narrow" w:hAnsi="Arial Narrow"/>
                <w:color w:val="000000"/>
                <w:w w:val="18"/>
                <w:sz w:val="20"/>
                <w:szCs w:val="20"/>
                <w:shd w:val="solid" w:color="000000" w:fill="000000"/>
                <w:fitText w:val="81" w:id="-963397362"/>
                <w14:textFill>
                  <w14:solidFill>
                    <w14:srgbClr w14:val="000000">
                      <w14:alpha w14:val="100000"/>
                    </w14:srgbClr>
                  </w14:solidFill>
                </w14:textFill>
              </w:rPr>
              <w:t>|</w:t>
            </w:r>
            <w:r w:rsidRPr="00DE43FD">
              <w:rPr>
                <w:rFonts w:ascii="Arial Narrow" w:hAnsi="Arial Narrow" w:hint="eastAsia"/>
                <w:color w:val="000000"/>
                <w:spacing w:val="1"/>
                <w:w w:val="18"/>
                <w:sz w:val="20"/>
                <w:szCs w:val="20"/>
                <w:shd w:val="solid" w:color="000000" w:fill="000000"/>
                <w:fitText w:val="81" w:id="-963397362"/>
                <w14:textFill>
                  <w14:solidFill>
                    <w14:srgbClr w14:val="000000">
                      <w14:alpha w14:val="100000"/>
                    </w14:srgbClr>
                  </w14:solidFill>
                </w14:textFill>
              </w:rPr>
              <w:t xml:space="preserve">　</w:t>
            </w:r>
            <w:r w:rsidR="00863259" w:rsidRPr="00A01E1F">
              <w:rPr>
                <w:rFonts w:ascii="Arial Narrow" w:hAnsi="Arial Narrow"/>
                <w:sz w:val="20"/>
                <w:szCs w:val="20"/>
                <w:vertAlign w:val="superscript"/>
              </w:rPr>
              <w:t>7</w:t>
            </w:r>
          </w:p>
        </w:tc>
        <w:tc>
          <w:tcPr>
            <w:tcW w:w="1057" w:type="dxa"/>
            <w:tcBorders>
              <w:top w:val="nil"/>
              <w:bottom w:val="nil"/>
            </w:tcBorders>
            <w:vAlign w:val="center"/>
          </w:tcPr>
          <w:p w14:paraId="0E63B77D" w14:textId="05C49068" w:rsidR="00AC5DB7" w:rsidRPr="00AF4912" w:rsidRDefault="00DE43FD" w:rsidP="00D87DA9">
            <w:pPr>
              <w:keepNext/>
              <w:jc w:val="center"/>
              <w:rPr>
                <w:rFonts w:ascii="Arial Narrow" w:hAnsi="Arial Narrow"/>
                <w:sz w:val="20"/>
                <w:szCs w:val="20"/>
                <w:highlight w:val="lightGray"/>
              </w:rPr>
            </w:pPr>
            <w:r w:rsidRPr="00DE43FD">
              <w:rPr>
                <w:rFonts w:ascii="Arial Narrow" w:hAnsi="Arial Narrow" w:hint="eastAsia"/>
                <w:color w:val="000000"/>
                <w:w w:val="18"/>
                <w:sz w:val="20"/>
                <w:szCs w:val="20"/>
                <w:shd w:val="solid" w:color="000000" w:fill="000000"/>
                <w:fitText w:val="81" w:id="-963397361"/>
                <w14:textFill>
                  <w14:solidFill>
                    <w14:srgbClr w14:val="000000">
                      <w14:alpha w14:val="100000"/>
                    </w14:srgbClr>
                  </w14:solidFill>
                </w14:textFill>
              </w:rPr>
              <w:t xml:space="preserve">　</w:t>
            </w:r>
            <w:r w:rsidRPr="00DE43FD">
              <w:rPr>
                <w:rFonts w:ascii="Arial Narrow" w:hAnsi="Arial Narrow"/>
                <w:color w:val="000000"/>
                <w:w w:val="18"/>
                <w:sz w:val="20"/>
                <w:szCs w:val="20"/>
                <w:shd w:val="solid" w:color="000000" w:fill="000000"/>
                <w:fitText w:val="81" w:id="-963397361"/>
                <w14:textFill>
                  <w14:solidFill>
                    <w14:srgbClr w14:val="000000">
                      <w14:alpha w14:val="100000"/>
                    </w14:srgbClr>
                  </w14:solidFill>
                </w14:textFill>
              </w:rPr>
              <w:t>|</w:t>
            </w:r>
            <w:r w:rsidRPr="00DE43FD">
              <w:rPr>
                <w:rFonts w:ascii="Arial Narrow" w:hAnsi="Arial Narrow" w:hint="eastAsia"/>
                <w:color w:val="000000"/>
                <w:spacing w:val="1"/>
                <w:w w:val="18"/>
                <w:sz w:val="20"/>
                <w:szCs w:val="20"/>
                <w:shd w:val="solid" w:color="000000" w:fill="000000"/>
                <w:fitText w:val="81" w:id="-963397361"/>
                <w14:textFill>
                  <w14:solidFill>
                    <w14:srgbClr w14:val="000000">
                      <w14:alpha w14:val="100000"/>
                    </w14:srgbClr>
                  </w14:solidFill>
                </w14:textFill>
              </w:rPr>
              <w:t xml:space="preserve">　</w:t>
            </w:r>
            <w:r w:rsidR="00863259" w:rsidRPr="00A01E1F">
              <w:rPr>
                <w:rFonts w:ascii="Arial Narrow" w:hAnsi="Arial Narrow"/>
                <w:sz w:val="20"/>
                <w:szCs w:val="20"/>
                <w:vertAlign w:val="superscript"/>
              </w:rPr>
              <w:t>7</w:t>
            </w:r>
          </w:p>
        </w:tc>
        <w:tc>
          <w:tcPr>
            <w:tcW w:w="1169" w:type="dxa"/>
            <w:tcBorders>
              <w:top w:val="nil"/>
              <w:bottom w:val="nil"/>
            </w:tcBorders>
            <w:vAlign w:val="center"/>
          </w:tcPr>
          <w:p w14:paraId="2282EC96" w14:textId="2E5076C5" w:rsidR="00AC5DB7" w:rsidRPr="00AF4912" w:rsidRDefault="00DE43FD" w:rsidP="00D87DA9">
            <w:pPr>
              <w:keepNext/>
              <w:jc w:val="center"/>
              <w:rPr>
                <w:rFonts w:ascii="Arial Narrow" w:hAnsi="Arial Narrow"/>
                <w:sz w:val="20"/>
                <w:szCs w:val="20"/>
                <w:highlight w:val="lightGray"/>
              </w:rPr>
            </w:pPr>
            <w:r w:rsidRPr="00DE43FD">
              <w:rPr>
                <w:rFonts w:ascii="Arial Narrow" w:hAnsi="Arial Narrow"/>
                <w:color w:val="000000"/>
                <w:spacing w:val="202"/>
                <w:sz w:val="20"/>
                <w:szCs w:val="20"/>
                <w:shd w:val="solid" w:color="000000" w:fill="000000"/>
                <w:fitText w:val="288" w:id="-963397360"/>
                <w14:textFill>
                  <w14:solidFill>
                    <w14:srgbClr w14:val="000000">
                      <w14:alpha w14:val="100000"/>
                    </w14:srgbClr>
                  </w14:solidFill>
                </w14:textFill>
              </w:rPr>
              <w:t>|</w:t>
            </w:r>
            <w:r w:rsidRPr="00DE43FD">
              <w:rPr>
                <w:rFonts w:ascii="Arial Narrow" w:hAnsi="Arial Narrow"/>
                <w:color w:val="000000"/>
                <w:spacing w:val="1"/>
                <w:sz w:val="20"/>
                <w:szCs w:val="20"/>
                <w:shd w:val="solid" w:color="000000" w:fill="000000"/>
                <w:fitText w:val="288" w:id="-963397360"/>
                <w14:textFill>
                  <w14:solidFill>
                    <w14:srgbClr w14:val="000000">
                      <w14:alpha w14:val="100000"/>
                    </w14:srgbClr>
                  </w14:solidFill>
                </w14:textFill>
              </w:rPr>
              <w:t>|</w:t>
            </w:r>
            <w:r w:rsidR="00863259" w:rsidRPr="00A01E1F">
              <w:rPr>
                <w:rFonts w:ascii="Arial Narrow" w:hAnsi="Arial Narrow"/>
                <w:sz w:val="20"/>
                <w:szCs w:val="20"/>
                <w:vertAlign w:val="superscript"/>
              </w:rPr>
              <w:t xml:space="preserve"> 7</w:t>
            </w:r>
          </w:p>
        </w:tc>
        <w:tc>
          <w:tcPr>
            <w:tcW w:w="1169" w:type="dxa"/>
            <w:tcBorders>
              <w:top w:val="nil"/>
              <w:bottom w:val="nil"/>
            </w:tcBorders>
            <w:vAlign w:val="center"/>
          </w:tcPr>
          <w:p w14:paraId="13BAF67C" w14:textId="7DC75075" w:rsidR="00AC5DB7" w:rsidRPr="00AF4912" w:rsidRDefault="00DE43FD" w:rsidP="00D87DA9">
            <w:pPr>
              <w:keepNext/>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375"/>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375"/>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375"/>
                <w14:textFill>
                  <w14:solidFill>
                    <w14:srgbClr w14:val="000000">
                      <w14:alpha w14:val="100000"/>
                    </w14:srgbClr>
                  </w14:solidFill>
                </w14:textFill>
              </w:rPr>
              <w:t xml:space="preserve">　</w:t>
            </w:r>
            <w:r w:rsidR="00863259" w:rsidRPr="00A01E1F">
              <w:rPr>
                <w:rFonts w:ascii="Arial Narrow" w:hAnsi="Arial Narrow"/>
                <w:sz w:val="20"/>
                <w:szCs w:val="20"/>
                <w:vertAlign w:val="superscript"/>
              </w:rPr>
              <w:t>7</w:t>
            </w:r>
          </w:p>
        </w:tc>
        <w:tc>
          <w:tcPr>
            <w:tcW w:w="1169" w:type="dxa"/>
            <w:tcBorders>
              <w:top w:val="nil"/>
              <w:bottom w:val="nil"/>
            </w:tcBorders>
            <w:vAlign w:val="center"/>
          </w:tcPr>
          <w:p w14:paraId="068EAB2C" w14:textId="24D018CA" w:rsidR="00AC5DB7" w:rsidRPr="00AF4912" w:rsidRDefault="00DE43FD" w:rsidP="00D87DA9">
            <w:pPr>
              <w:keepNext/>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374"/>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374"/>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374"/>
                <w14:textFill>
                  <w14:solidFill>
                    <w14:srgbClr w14:val="000000">
                      <w14:alpha w14:val="100000"/>
                    </w14:srgbClr>
                  </w14:solidFill>
                </w14:textFill>
              </w:rPr>
              <w:t xml:space="preserve">　</w:t>
            </w:r>
            <w:r w:rsidR="00863259" w:rsidRPr="00A01E1F">
              <w:rPr>
                <w:rFonts w:ascii="Arial Narrow" w:hAnsi="Arial Narrow"/>
                <w:sz w:val="20"/>
                <w:szCs w:val="20"/>
                <w:vertAlign w:val="superscript"/>
              </w:rPr>
              <w:t>7</w:t>
            </w:r>
          </w:p>
        </w:tc>
        <w:tc>
          <w:tcPr>
            <w:tcW w:w="1169" w:type="dxa"/>
            <w:tcBorders>
              <w:top w:val="nil"/>
              <w:bottom w:val="nil"/>
            </w:tcBorders>
            <w:vAlign w:val="center"/>
          </w:tcPr>
          <w:p w14:paraId="2A496C56" w14:textId="006CD902" w:rsidR="00AC5DB7" w:rsidRPr="00AF4912" w:rsidRDefault="00DE43FD" w:rsidP="00D87DA9">
            <w:pPr>
              <w:keepNext/>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373"/>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373"/>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373"/>
                <w14:textFill>
                  <w14:solidFill>
                    <w14:srgbClr w14:val="000000">
                      <w14:alpha w14:val="100000"/>
                    </w14:srgbClr>
                  </w14:solidFill>
                </w14:textFill>
              </w:rPr>
              <w:t xml:space="preserve">　</w:t>
            </w:r>
            <w:r w:rsidR="00863259" w:rsidRPr="00A01E1F">
              <w:rPr>
                <w:rFonts w:ascii="Arial Narrow" w:hAnsi="Arial Narrow"/>
                <w:sz w:val="20"/>
                <w:szCs w:val="20"/>
                <w:vertAlign w:val="superscript"/>
              </w:rPr>
              <w:t>7</w:t>
            </w:r>
          </w:p>
        </w:tc>
      </w:tr>
      <w:tr w:rsidR="00AC5DB7" w:rsidRPr="00E81073" w14:paraId="2082A875" w14:textId="77777777" w:rsidTr="00621EA3">
        <w:tc>
          <w:tcPr>
            <w:tcW w:w="2227" w:type="dxa"/>
            <w:tcBorders>
              <w:top w:val="nil"/>
              <w:bottom w:val="nil"/>
            </w:tcBorders>
            <w:vAlign w:val="center"/>
          </w:tcPr>
          <w:p w14:paraId="3DFC98CA" w14:textId="77777777" w:rsidR="00AC5DB7" w:rsidRPr="00E81073" w:rsidRDefault="00AC5DB7" w:rsidP="00D87DA9">
            <w:pPr>
              <w:keepNext/>
              <w:ind w:left="112"/>
              <w:rPr>
                <w:rFonts w:ascii="Arial Narrow" w:hAnsi="Arial Narrow"/>
                <w:sz w:val="20"/>
                <w:szCs w:val="20"/>
              </w:rPr>
            </w:pPr>
            <w:r w:rsidRPr="00E81073">
              <w:rPr>
                <w:rFonts w:ascii="Arial Narrow" w:hAnsi="Arial Narrow"/>
                <w:sz w:val="20"/>
                <w:szCs w:val="20"/>
              </w:rPr>
              <w:t>GUS</w:t>
            </w:r>
          </w:p>
        </w:tc>
        <w:tc>
          <w:tcPr>
            <w:tcW w:w="1057" w:type="dxa"/>
            <w:tcBorders>
              <w:top w:val="nil"/>
              <w:bottom w:val="nil"/>
            </w:tcBorders>
            <w:vAlign w:val="center"/>
          </w:tcPr>
          <w:p w14:paraId="1E7E54FA" w14:textId="278EB105" w:rsidR="00AC5DB7" w:rsidRPr="00AF4912" w:rsidRDefault="00DE43FD" w:rsidP="00D87DA9">
            <w:pPr>
              <w:keepNext/>
              <w:jc w:val="center"/>
              <w:rPr>
                <w:rFonts w:ascii="Arial Narrow" w:hAnsi="Arial Narrow"/>
                <w:sz w:val="20"/>
                <w:szCs w:val="20"/>
                <w:highlight w:val="lightGray"/>
              </w:rPr>
            </w:pPr>
            <w:r w:rsidRPr="00DE43FD">
              <w:rPr>
                <w:rFonts w:ascii="Arial Narrow" w:hAnsi="Arial Narrow" w:hint="eastAsia"/>
                <w:color w:val="000000"/>
                <w:w w:val="18"/>
                <w:sz w:val="20"/>
                <w:szCs w:val="20"/>
                <w:shd w:val="solid" w:color="000000" w:fill="000000"/>
                <w:fitText w:val="81" w:id="-963397372"/>
                <w14:textFill>
                  <w14:solidFill>
                    <w14:srgbClr w14:val="000000">
                      <w14:alpha w14:val="100000"/>
                    </w14:srgbClr>
                  </w14:solidFill>
                </w14:textFill>
              </w:rPr>
              <w:t xml:space="preserve">　</w:t>
            </w:r>
            <w:r w:rsidRPr="00DE43FD">
              <w:rPr>
                <w:rFonts w:ascii="Arial Narrow" w:hAnsi="Arial Narrow"/>
                <w:color w:val="000000"/>
                <w:w w:val="18"/>
                <w:sz w:val="20"/>
                <w:szCs w:val="20"/>
                <w:shd w:val="solid" w:color="000000" w:fill="000000"/>
                <w:fitText w:val="81" w:id="-963397372"/>
                <w14:textFill>
                  <w14:solidFill>
                    <w14:srgbClr w14:val="000000">
                      <w14:alpha w14:val="100000"/>
                    </w14:srgbClr>
                  </w14:solidFill>
                </w14:textFill>
              </w:rPr>
              <w:t>|</w:t>
            </w:r>
            <w:r w:rsidRPr="00DE43FD">
              <w:rPr>
                <w:rFonts w:ascii="Arial Narrow" w:hAnsi="Arial Narrow" w:hint="eastAsia"/>
                <w:color w:val="000000"/>
                <w:spacing w:val="1"/>
                <w:w w:val="18"/>
                <w:sz w:val="20"/>
                <w:szCs w:val="20"/>
                <w:shd w:val="solid" w:color="000000" w:fill="000000"/>
                <w:fitText w:val="81" w:id="-963397372"/>
                <w14:textFill>
                  <w14:solidFill>
                    <w14:srgbClr w14:val="000000">
                      <w14:alpha w14:val="100000"/>
                    </w14:srgbClr>
                  </w14:solidFill>
                </w14:textFill>
              </w:rPr>
              <w:t xml:space="preserve">　</w:t>
            </w:r>
            <w:r w:rsidR="00863259" w:rsidRPr="00A01E1F">
              <w:rPr>
                <w:rFonts w:ascii="Arial Narrow" w:hAnsi="Arial Narrow"/>
                <w:sz w:val="20"/>
                <w:szCs w:val="20"/>
                <w:vertAlign w:val="superscript"/>
              </w:rPr>
              <w:t>7</w:t>
            </w:r>
          </w:p>
        </w:tc>
        <w:tc>
          <w:tcPr>
            <w:tcW w:w="1057" w:type="dxa"/>
            <w:tcBorders>
              <w:top w:val="nil"/>
              <w:bottom w:val="nil"/>
            </w:tcBorders>
            <w:vAlign w:val="center"/>
          </w:tcPr>
          <w:p w14:paraId="6F8EBB42" w14:textId="1E515D89" w:rsidR="00AC5DB7" w:rsidRPr="00AF4912" w:rsidRDefault="00DE43FD" w:rsidP="00D87DA9">
            <w:pPr>
              <w:keepNext/>
              <w:jc w:val="center"/>
              <w:rPr>
                <w:rFonts w:ascii="Arial Narrow" w:hAnsi="Arial Narrow"/>
                <w:sz w:val="20"/>
                <w:szCs w:val="20"/>
                <w:highlight w:val="lightGray"/>
              </w:rPr>
            </w:pPr>
            <w:r w:rsidRPr="00DE43FD">
              <w:rPr>
                <w:rFonts w:ascii="Arial Narrow" w:hAnsi="Arial Narrow" w:hint="eastAsia"/>
                <w:color w:val="000000"/>
                <w:w w:val="18"/>
                <w:sz w:val="20"/>
                <w:szCs w:val="20"/>
                <w:shd w:val="solid" w:color="000000" w:fill="000000"/>
                <w:fitText w:val="81" w:id="-963397371"/>
                <w14:textFill>
                  <w14:solidFill>
                    <w14:srgbClr w14:val="000000">
                      <w14:alpha w14:val="100000"/>
                    </w14:srgbClr>
                  </w14:solidFill>
                </w14:textFill>
              </w:rPr>
              <w:t xml:space="preserve">　</w:t>
            </w:r>
            <w:r w:rsidRPr="00DE43FD">
              <w:rPr>
                <w:rFonts w:ascii="Arial Narrow" w:hAnsi="Arial Narrow"/>
                <w:color w:val="000000"/>
                <w:w w:val="18"/>
                <w:sz w:val="20"/>
                <w:szCs w:val="20"/>
                <w:shd w:val="solid" w:color="000000" w:fill="000000"/>
                <w:fitText w:val="81" w:id="-963397371"/>
                <w14:textFill>
                  <w14:solidFill>
                    <w14:srgbClr w14:val="000000">
                      <w14:alpha w14:val="100000"/>
                    </w14:srgbClr>
                  </w14:solidFill>
                </w14:textFill>
              </w:rPr>
              <w:t>|</w:t>
            </w:r>
            <w:r w:rsidRPr="00DE43FD">
              <w:rPr>
                <w:rFonts w:ascii="Arial Narrow" w:hAnsi="Arial Narrow" w:hint="eastAsia"/>
                <w:color w:val="000000"/>
                <w:spacing w:val="1"/>
                <w:w w:val="18"/>
                <w:sz w:val="20"/>
                <w:szCs w:val="20"/>
                <w:shd w:val="solid" w:color="000000" w:fill="000000"/>
                <w:fitText w:val="81" w:id="-963397371"/>
                <w14:textFill>
                  <w14:solidFill>
                    <w14:srgbClr w14:val="000000">
                      <w14:alpha w14:val="100000"/>
                    </w14:srgbClr>
                  </w14:solidFill>
                </w14:textFill>
              </w:rPr>
              <w:t xml:space="preserve">　</w:t>
            </w:r>
            <w:r w:rsidR="00863259" w:rsidRPr="00A01E1F">
              <w:rPr>
                <w:rFonts w:ascii="Arial Narrow" w:hAnsi="Arial Narrow"/>
                <w:sz w:val="20"/>
                <w:szCs w:val="20"/>
                <w:vertAlign w:val="superscript"/>
              </w:rPr>
              <w:t>7</w:t>
            </w:r>
          </w:p>
        </w:tc>
        <w:tc>
          <w:tcPr>
            <w:tcW w:w="1169" w:type="dxa"/>
            <w:tcBorders>
              <w:top w:val="nil"/>
              <w:bottom w:val="nil"/>
            </w:tcBorders>
            <w:vAlign w:val="center"/>
          </w:tcPr>
          <w:p w14:paraId="51B2B4E8" w14:textId="76B382A9" w:rsidR="00AC5DB7" w:rsidRPr="00AF4912" w:rsidRDefault="00DE43FD" w:rsidP="00D87DA9">
            <w:pPr>
              <w:keepNext/>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370"/>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370"/>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370"/>
                <w14:textFill>
                  <w14:solidFill>
                    <w14:srgbClr w14:val="000000">
                      <w14:alpha w14:val="100000"/>
                    </w14:srgbClr>
                  </w14:solidFill>
                </w14:textFill>
              </w:rPr>
              <w:t xml:space="preserve">　</w:t>
            </w:r>
            <w:r w:rsidR="00863259" w:rsidRPr="00A01E1F">
              <w:rPr>
                <w:rFonts w:ascii="Arial Narrow" w:hAnsi="Arial Narrow"/>
                <w:sz w:val="20"/>
                <w:szCs w:val="20"/>
                <w:vertAlign w:val="superscript"/>
              </w:rPr>
              <w:t>7</w:t>
            </w:r>
          </w:p>
        </w:tc>
        <w:tc>
          <w:tcPr>
            <w:tcW w:w="1169" w:type="dxa"/>
            <w:tcBorders>
              <w:top w:val="nil"/>
              <w:bottom w:val="nil"/>
            </w:tcBorders>
            <w:vAlign w:val="center"/>
          </w:tcPr>
          <w:p w14:paraId="4FD311B4" w14:textId="071EEFA5" w:rsidR="00AC5DB7" w:rsidRPr="00AF4912" w:rsidRDefault="00DE43FD" w:rsidP="00D87DA9">
            <w:pPr>
              <w:keepNext/>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369"/>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369"/>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369"/>
                <w14:textFill>
                  <w14:solidFill>
                    <w14:srgbClr w14:val="000000">
                      <w14:alpha w14:val="100000"/>
                    </w14:srgbClr>
                  </w14:solidFill>
                </w14:textFill>
              </w:rPr>
              <w:t xml:space="preserve">　</w:t>
            </w:r>
            <w:r w:rsidR="00863259" w:rsidRPr="00A01E1F">
              <w:rPr>
                <w:rFonts w:ascii="Arial Narrow" w:hAnsi="Arial Narrow"/>
                <w:sz w:val="20"/>
                <w:szCs w:val="20"/>
                <w:vertAlign w:val="superscript"/>
              </w:rPr>
              <w:t>7</w:t>
            </w:r>
          </w:p>
        </w:tc>
        <w:tc>
          <w:tcPr>
            <w:tcW w:w="1169" w:type="dxa"/>
            <w:tcBorders>
              <w:top w:val="nil"/>
              <w:bottom w:val="nil"/>
            </w:tcBorders>
            <w:vAlign w:val="center"/>
          </w:tcPr>
          <w:p w14:paraId="6F5B1608" w14:textId="3F1212F7" w:rsidR="00AC5DB7" w:rsidRPr="00AF4912" w:rsidRDefault="00DE43FD" w:rsidP="00D87DA9">
            <w:pPr>
              <w:keepNext/>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368"/>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368"/>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368"/>
                <w14:textFill>
                  <w14:solidFill>
                    <w14:srgbClr w14:val="000000">
                      <w14:alpha w14:val="100000"/>
                    </w14:srgbClr>
                  </w14:solidFill>
                </w14:textFill>
              </w:rPr>
              <w:t xml:space="preserve">　</w:t>
            </w:r>
            <w:r w:rsidR="00863259" w:rsidRPr="00A01E1F">
              <w:rPr>
                <w:rFonts w:ascii="Arial Narrow" w:hAnsi="Arial Narrow"/>
                <w:sz w:val="20"/>
                <w:szCs w:val="20"/>
                <w:vertAlign w:val="superscript"/>
              </w:rPr>
              <w:t>7</w:t>
            </w:r>
          </w:p>
        </w:tc>
        <w:tc>
          <w:tcPr>
            <w:tcW w:w="1169" w:type="dxa"/>
            <w:tcBorders>
              <w:top w:val="nil"/>
              <w:bottom w:val="nil"/>
            </w:tcBorders>
            <w:vAlign w:val="center"/>
          </w:tcPr>
          <w:p w14:paraId="14692379" w14:textId="6DB12127" w:rsidR="00AC5DB7" w:rsidRPr="00AF4912" w:rsidRDefault="00DE43FD" w:rsidP="00D87DA9">
            <w:pPr>
              <w:keepNext/>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367"/>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367"/>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367"/>
                <w14:textFill>
                  <w14:solidFill>
                    <w14:srgbClr w14:val="000000">
                      <w14:alpha w14:val="100000"/>
                    </w14:srgbClr>
                  </w14:solidFill>
                </w14:textFill>
              </w:rPr>
              <w:t xml:space="preserve">　</w:t>
            </w:r>
            <w:r w:rsidR="00863259" w:rsidRPr="00A01E1F">
              <w:rPr>
                <w:rFonts w:ascii="Arial Narrow" w:hAnsi="Arial Narrow"/>
                <w:sz w:val="20"/>
                <w:szCs w:val="20"/>
                <w:vertAlign w:val="superscript"/>
              </w:rPr>
              <w:t>7</w:t>
            </w:r>
          </w:p>
        </w:tc>
      </w:tr>
      <w:tr w:rsidR="00AC5DB7" w:rsidRPr="00E81073" w14:paraId="61F1769E" w14:textId="77777777" w:rsidTr="00621EA3">
        <w:tc>
          <w:tcPr>
            <w:tcW w:w="2227" w:type="dxa"/>
            <w:tcBorders>
              <w:top w:val="nil"/>
              <w:bottom w:val="nil"/>
            </w:tcBorders>
            <w:vAlign w:val="center"/>
          </w:tcPr>
          <w:p w14:paraId="4F855FA1" w14:textId="77777777" w:rsidR="00AC5DB7" w:rsidRPr="00E81073" w:rsidRDefault="00AC5DB7" w:rsidP="00D87DA9">
            <w:pPr>
              <w:keepNext/>
              <w:ind w:left="112"/>
              <w:rPr>
                <w:rFonts w:ascii="Arial Narrow" w:hAnsi="Arial Narrow"/>
                <w:sz w:val="20"/>
                <w:szCs w:val="20"/>
              </w:rPr>
            </w:pPr>
            <w:r w:rsidRPr="00E81073">
              <w:rPr>
                <w:rFonts w:ascii="Arial Narrow" w:hAnsi="Arial Narrow"/>
                <w:sz w:val="20"/>
                <w:szCs w:val="20"/>
              </w:rPr>
              <w:t>ETN</w:t>
            </w:r>
          </w:p>
        </w:tc>
        <w:tc>
          <w:tcPr>
            <w:tcW w:w="1057" w:type="dxa"/>
            <w:tcBorders>
              <w:top w:val="nil"/>
              <w:bottom w:val="nil"/>
            </w:tcBorders>
            <w:vAlign w:val="center"/>
          </w:tcPr>
          <w:p w14:paraId="4AB27622" w14:textId="42A5EBA9" w:rsidR="00AC5DB7" w:rsidRPr="00AF4912" w:rsidRDefault="00DE43FD" w:rsidP="00D87DA9">
            <w:pPr>
              <w:keepNext/>
              <w:jc w:val="center"/>
              <w:rPr>
                <w:rFonts w:ascii="Arial Narrow" w:hAnsi="Arial Narrow"/>
                <w:sz w:val="20"/>
                <w:szCs w:val="20"/>
                <w:highlight w:val="lightGray"/>
              </w:rPr>
            </w:pPr>
            <w:r w:rsidRPr="00DE43FD">
              <w:rPr>
                <w:rFonts w:ascii="Arial Narrow" w:hAnsi="Arial Narrow" w:hint="eastAsia"/>
                <w:color w:val="000000"/>
                <w:w w:val="18"/>
                <w:sz w:val="20"/>
                <w:szCs w:val="20"/>
                <w:shd w:val="solid" w:color="000000" w:fill="000000"/>
                <w:fitText w:val="81" w:id="-963397366"/>
                <w14:textFill>
                  <w14:solidFill>
                    <w14:srgbClr w14:val="000000">
                      <w14:alpha w14:val="100000"/>
                    </w14:srgbClr>
                  </w14:solidFill>
                </w14:textFill>
              </w:rPr>
              <w:t xml:space="preserve">　</w:t>
            </w:r>
            <w:r w:rsidRPr="00DE43FD">
              <w:rPr>
                <w:rFonts w:ascii="Arial Narrow" w:hAnsi="Arial Narrow"/>
                <w:color w:val="000000"/>
                <w:w w:val="18"/>
                <w:sz w:val="20"/>
                <w:szCs w:val="20"/>
                <w:shd w:val="solid" w:color="000000" w:fill="000000"/>
                <w:fitText w:val="81" w:id="-963397366"/>
                <w14:textFill>
                  <w14:solidFill>
                    <w14:srgbClr w14:val="000000">
                      <w14:alpha w14:val="100000"/>
                    </w14:srgbClr>
                  </w14:solidFill>
                </w14:textFill>
              </w:rPr>
              <w:t>|</w:t>
            </w:r>
            <w:r w:rsidRPr="00DE43FD">
              <w:rPr>
                <w:rFonts w:ascii="Arial Narrow" w:hAnsi="Arial Narrow" w:hint="eastAsia"/>
                <w:color w:val="000000"/>
                <w:spacing w:val="1"/>
                <w:w w:val="18"/>
                <w:sz w:val="20"/>
                <w:szCs w:val="20"/>
                <w:shd w:val="solid" w:color="000000" w:fill="000000"/>
                <w:fitText w:val="81" w:id="-963397366"/>
                <w14:textFill>
                  <w14:solidFill>
                    <w14:srgbClr w14:val="000000">
                      <w14:alpha w14:val="100000"/>
                    </w14:srgbClr>
                  </w14:solidFill>
                </w14:textFill>
              </w:rPr>
              <w:t xml:space="preserve">　</w:t>
            </w:r>
            <w:r w:rsidR="00863259" w:rsidRPr="00A01E1F">
              <w:rPr>
                <w:rFonts w:ascii="Arial Narrow" w:hAnsi="Arial Narrow"/>
                <w:sz w:val="20"/>
                <w:szCs w:val="20"/>
                <w:vertAlign w:val="superscript"/>
              </w:rPr>
              <w:t>7</w:t>
            </w:r>
          </w:p>
        </w:tc>
        <w:tc>
          <w:tcPr>
            <w:tcW w:w="1057" w:type="dxa"/>
            <w:tcBorders>
              <w:top w:val="nil"/>
              <w:bottom w:val="nil"/>
            </w:tcBorders>
            <w:vAlign w:val="center"/>
          </w:tcPr>
          <w:p w14:paraId="3B6ADD9A" w14:textId="4B7BFD3B" w:rsidR="00AC5DB7" w:rsidRPr="00AF4912" w:rsidRDefault="00DE43FD" w:rsidP="00D87DA9">
            <w:pPr>
              <w:keepNext/>
              <w:jc w:val="center"/>
              <w:rPr>
                <w:rFonts w:ascii="Arial Narrow" w:hAnsi="Arial Narrow"/>
                <w:sz w:val="20"/>
                <w:szCs w:val="20"/>
                <w:highlight w:val="lightGray"/>
              </w:rPr>
            </w:pPr>
            <w:r w:rsidRPr="00DE43FD">
              <w:rPr>
                <w:rFonts w:ascii="Arial Narrow" w:hAnsi="Arial Narrow" w:hint="eastAsia"/>
                <w:color w:val="000000"/>
                <w:w w:val="18"/>
                <w:sz w:val="20"/>
                <w:szCs w:val="20"/>
                <w:shd w:val="solid" w:color="000000" w:fill="000000"/>
                <w:fitText w:val="81" w:id="-963397365"/>
                <w14:textFill>
                  <w14:solidFill>
                    <w14:srgbClr w14:val="000000">
                      <w14:alpha w14:val="100000"/>
                    </w14:srgbClr>
                  </w14:solidFill>
                </w14:textFill>
              </w:rPr>
              <w:t xml:space="preserve">　</w:t>
            </w:r>
            <w:r w:rsidRPr="00DE43FD">
              <w:rPr>
                <w:rFonts w:ascii="Arial Narrow" w:hAnsi="Arial Narrow"/>
                <w:color w:val="000000"/>
                <w:w w:val="18"/>
                <w:sz w:val="20"/>
                <w:szCs w:val="20"/>
                <w:shd w:val="solid" w:color="000000" w:fill="000000"/>
                <w:fitText w:val="81" w:id="-963397365"/>
                <w14:textFill>
                  <w14:solidFill>
                    <w14:srgbClr w14:val="000000">
                      <w14:alpha w14:val="100000"/>
                    </w14:srgbClr>
                  </w14:solidFill>
                </w14:textFill>
              </w:rPr>
              <w:t>|</w:t>
            </w:r>
            <w:r w:rsidRPr="00DE43FD">
              <w:rPr>
                <w:rFonts w:ascii="Arial Narrow" w:hAnsi="Arial Narrow" w:hint="eastAsia"/>
                <w:color w:val="000000"/>
                <w:spacing w:val="1"/>
                <w:w w:val="18"/>
                <w:sz w:val="20"/>
                <w:szCs w:val="20"/>
                <w:shd w:val="solid" w:color="000000" w:fill="000000"/>
                <w:fitText w:val="81" w:id="-963397365"/>
                <w14:textFill>
                  <w14:solidFill>
                    <w14:srgbClr w14:val="000000">
                      <w14:alpha w14:val="100000"/>
                    </w14:srgbClr>
                  </w14:solidFill>
                </w14:textFill>
              </w:rPr>
              <w:t xml:space="preserve">　</w:t>
            </w:r>
            <w:r w:rsidR="00863259" w:rsidRPr="00A01E1F">
              <w:rPr>
                <w:rFonts w:ascii="Arial Narrow" w:hAnsi="Arial Narrow"/>
                <w:sz w:val="20"/>
                <w:szCs w:val="20"/>
                <w:vertAlign w:val="superscript"/>
              </w:rPr>
              <w:t>7</w:t>
            </w:r>
          </w:p>
        </w:tc>
        <w:tc>
          <w:tcPr>
            <w:tcW w:w="1169" w:type="dxa"/>
            <w:tcBorders>
              <w:top w:val="nil"/>
              <w:bottom w:val="nil"/>
            </w:tcBorders>
            <w:vAlign w:val="center"/>
          </w:tcPr>
          <w:p w14:paraId="0DC44254" w14:textId="434EFA46" w:rsidR="00AC5DB7" w:rsidRPr="00AF4912" w:rsidRDefault="00DE43FD" w:rsidP="00D87DA9">
            <w:pPr>
              <w:keepNext/>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364"/>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364"/>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364"/>
                <w14:textFill>
                  <w14:solidFill>
                    <w14:srgbClr w14:val="000000">
                      <w14:alpha w14:val="100000"/>
                    </w14:srgbClr>
                  </w14:solidFill>
                </w14:textFill>
              </w:rPr>
              <w:t xml:space="preserve">　</w:t>
            </w:r>
            <w:r w:rsidR="00863259" w:rsidRPr="00A01E1F">
              <w:rPr>
                <w:rFonts w:ascii="Arial Narrow" w:hAnsi="Arial Narrow"/>
                <w:sz w:val="20"/>
                <w:szCs w:val="20"/>
                <w:vertAlign w:val="superscript"/>
              </w:rPr>
              <w:t>7</w:t>
            </w:r>
          </w:p>
        </w:tc>
        <w:tc>
          <w:tcPr>
            <w:tcW w:w="1169" w:type="dxa"/>
            <w:tcBorders>
              <w:top w:val="nil"/>
              <w:bottom w:val="nil"/>
            </w:tcBorders>
            <w:vAlign w:val="center"/>
          </w:tcPr>
          <w:p w14:paraId="3D313AC7" w14:textId="4C034E25" w:rsidR="00AC5DB7" w:rsidRPr="00AF4912" w:rsidRDefault="00DE43FD" w:rsidP="00D87DA9">
            <w:pPr>
              <w:keepNext/>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363"/>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363"/>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363"/>
                <w14:textFill>
                  <w14:solidFill>
                    <w14:srgbClr w14:val="000000">
                      <w14:alpha w14:val="100000"/>
                    </w14:srgbClr>
                  </w14:solidFill>
                </w14:textFill>
              </w:rPr>
              <w:t xml:space="preserve">　</w:t>
            </w:r>
            <w:r w:rsidR="00863259" w:rsidRPr="00A01E1F">
              <w:rPr>
                <w:rFonts w:ascii="Arial Narrow" w:hAnsi="Arial Narrow"/>
                <w:sz w:val="20"/>
                <w:szCs w:val="20"/>
                <w:vertAlign w:val="superscript"/>
              </w:rPr>
              <w:t>7</w:t>
            </w:r>
          </w:p>
        </w:tc>
        <w:tc>
          <w:tcPr>
            <w:tcW w:w="1169" w:type="dxa"/>
            <w:tcBorders>
              <w:top w:val="nil"/>
              <w:bottom w:val="nil"/>
            </w:tcBorders>
            <w:vAlign w:val="center"/>
          </w:tcPr>
          <w:p w14:paraId="24A8A8DB" w14:textId="4853C428" w:rsidR="00AC5DB7" w:rsidRPr="00AF4912" w:rsidRDefault="00DE43FD" w:rsidP="00D87DA9">
            <w:pPr>
              <w:keepNext/>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362"/>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362"/>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362"/>
                <w14:textFill>
                  <w14:solidFill>
                    <w14:srgbClr w14:val="000000">
                      <w14:alpha w14:val="100000"/>
                    </w14:srgbClr>
                  </w14:solidFill>
                </w14:textFill>
              </w:rPr>
              <w:t xml:space="preserve">　</w:t>
            </w:r>
            <w:r w:rsidR="00863259" w:rsidRPr="00A01E1F">
              <w:rPr>
                <w:rFonts w:ascii="Arial Narrow" w:hAnsi="Arial Narrow"/>
                <w:sz w:val="20"/>
                <w:szCs w:val="20"/>
                <w:vertAlign w:val="superscript"/>
              </w:rPr>
              <w:t>7</w:t>
            </w:r>
          </w:p>
        </w:tc>
        <w:tc>
          <w:tcPr>
            <w:tcW w:w="1169" w:type="dxa"/>
            <w:tcBorders>
              <w:top w:val="nil"/>
              <w:bottom w:val="nil"/>
            </w:tcBorders>
            <w:vAlign w:val="center"/>
          </w:tcPr>
          <w:p w14:paraId="756294C0" w14:textId="00D4FF21" w:rsidR="00AC5DB7" w:rsidRPr="00AF4912" w:rsidRDefault="00DE43FD" w:rsidP="00D87DA9">
            <w:pPr>
              <w:keepNext/>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361"/>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361"/>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361"/>
                <w14:textFill>
                  <w14:solidFill>
                    <w14:srgbClr w14:val="000000">
                      <w14:alpha w14:val="100000"/>
                    </w14:srgbClr>
                  </w14:solidFill>
                </w14:textFill>
              </w:rPr>
              <w:t xml:space="preserve">　</w:t>
            </w:r>
            <w:r w:rsidR="00863259" w:rsidRPr="00A01E1F">
              <w:rPr>
                <w:rFonts w:ascii="Arial Narrow" w:hAnsi="Arial Narrow"/>
                <w:sz w:val="20"/>
                <w:szCs w:val="20"/>
                <w:vertAlign w:val="superscript"/>
              </w:rPr>
              <w:t>7</w:t>
            </w:r>
          </w:p>
        </w:tc>
      </w:tr>
      <w:tr w:rsidR="00AC5DB7" w:rsidRPr="00E81073" w14:paraId="129C7BF7" w14:textId="77777777" w:rsidTr="00621EA3">
        <w:tc>
          <w:tcPr>
            <w:tcW w:w="2227" w:type="dxa"/>
            <w:tcBorders>
              <w:top w:val="nil"/>
              <w:bottom w:val="nil"/>
            </w:tcBorders>
            <w:vAlign w:val="center"/>
          </w:tcPr>
          <w:p w14:paraId="076088C2" w14:textId="77777777" w:rsidR="00AC5DB7" w:rsidRPr="00E81073" w:rsidRDefault="00AC5DB7" w:rsidP="00D87DA9">
            <w:pPr>
              <w:keepNext/>
              <w:ind w:left="112"/>
              <w:rPr>
                <w:rFonts w:ascii="Arial Narrow" w:hAnsi="Arial Narrow"/>
                <w:sz w:val="20"/>
                <w:szCs w:val="20"/>
              </w:rPr>
            </w:pPr>
            <w:r w:rsidRPr="00E81073">
              <w:rPr>
                <w:rFonts w:ascii="Arial Narrow" w:hAnsi="Arial Narrow"/>
                <w:sz w:val="20"/>
                <w:szCs w:val="20"/>
              </w:rPr>
              <w:t>SEC</w:t>
            </w:r>
          </w:p>
        </w:tc>
        <w:tc>
          <w:tcPr>
            <w:tcW w:w="1057" w:type="dxa"/>
            <w:tcBorders>
              <w:top w:val="nil"/>
              <w:bottom w:val="nil"/>
            </w:tcBorders>
            <w:vAlign w:val="center"/>
          </w:tcPr>
          <w:p w14:paraId="1D6B2989" w14:textId="6DC542E5" w:rsidR="00AC5DB7" w:rsidRPr="00AF4912" w:rsidRDefault="00DE43FD" w:rsidP="00D87DA9">
            <w:pPr>
              <w:keepNext/>
              <w:jc w:val="center"/>
              <w:rPr>
                <w:rFonts w:ascii="Arial Narrow" w:hAnsi="Arial Narrow"/>
                <w:sz w:val="20"/>
                <w:szCs w:val="20"/>
                <w:highlight w:val="lightGray"/>
              </w:rPr>
            </w:pPr>
            <w:r w:rsidRPr="00DE43FD">
              <w:rPr>
                <w:rFonts w:ascii="Arial Narrow" w:hAnsi="Arial Narrow" w:hint="eastAsia"/>
                <w:color w:val="000000"/>
                <w:w w:val="18"/>
                <w:sz w:val="20"/>
                <w:szCs w:val="20"/>
                <w:shd w:val="solid" w:color="000000" w:fill="000000"/>
                <w:fitText w:val="81" w:id="-963397360"/>
                <w14:textFill>
                  <w14:solidFill>
                    <w14:srgbClr w14:val="000000">
                      <w14:alpha w14:val="100000"/>
                    </w14:srgbClr>
                  </w14:solidFill>
                </w14:textFill>
              </w:rPr>
              <w:t xml:space="preserve">　</w:t>
            </w:r>
            <w:r w:rsidRPr="00DE43FD">
              <w:rPr>
                <w:rFonts w:ascii="Arial Narrow" w:hAnsi="Arial Narrow"/>
                <w:color w:val="000000"/>
                <w:w w:val="18"/>
                <w:sz w:val="20"/>
                <w:szCs w:val="20"/>
                <w:shd w:val="solid" w:color="000000" w:fill="000000"/>
                <w:fitText w:val="81" w:id="-963397360"/>
                <w14:textFill>
                  <w14:solidFill>
                    <w14:srgbClr w14:val="000000">
                      <w14:alpha w14:val="100000"/>
                    </w14:srgbClr>
                  </w14:solidFill>
                </w14:textFill>
              </w:rPr>
              <w:t>|</w:t>
            </w:r>
            <w:r w:rsidRPr="00DE43FD">
              <w:rPr>
                <w:rFonts w:ascii="Arial Narrow" w:hAnsi="Arial Narrow" w:hint="eastAsia"/>
                <w:color w:val="000000"/>
                <w:spacing w:val="1"/>
                <w:w w:val="18"/>
                <w:sz w:val="20"/>
                <w:szCs w:val="20"/>
                <w:shd w:val="solid" w:color="000000" w:fill="000000"/>
                <w:fitText w:val="81" w:id="-963397360"/>
                <w14:textFill>
                  <w14:solidFill>
                    <w14:srgbClr w14:val="000000">
                      <w14:alpha w14:val="100000"/>
                    </w14:srgbClr>
                  </w14:solidFill>
                </w14:textFill>
              </w:rPr>
              <w:t xml:space="preserve">　</w:t>
            </w:r>
            <w:r w:rsidR="00863259" w:rsidRPr="00A01E1F">
              <w:rPr>
                <w:rFonts w:ascii="Arial Narrow" w:hAnsi="Arial Narrow"/>
                <w:sz w:val="20"/>
                <w:szCs w:val="20"/>
                <w:vertAlign w:val="superscript"/>
              </w:rPr>
              <w:t>7</w:t>
            </w:r>
          </w:p>
        </w:tc>
        <w:tc>
          <w:tcPr>
            <w:tcW w:w="1057" w:type="dxa"/>
            <w:tcBorders>
              <w:top w:val="nil"/>
              <w:bottom w:val="nil"/>
            </w:tcBorders>
            <w:vAlign w:val="center"/>
          </w:tcPr>
          <w:p w14:paraId="332522F2" w14:textId="18C017D7" w:rsidR="00AC5DB7" w:rsidRPr="00AF4912" w:rsidRDefault="00DE43FD" w:rsidP="00D87DA9">
            <w:pPr>
              <w:keepNext/>
              <w:jc w:val="center"/>
              <w:rPr>
                <w:rFonts w:ascii="Arial Narrow" w:hAnsi="Arial Narrow"/>
                <w:sz w:val="20"/>
                <w:szCs w:val="20"/>
                <w:highlight w:val="lightGray"/>
              </w:rPr>
            </w:pPr>
            <w:r w:rsidRPr="00DE43FD">
              <w:rPr>
                <w:rFonts w:ascii="Arial Narrow" w:hAnsi="Arial Narrow" w:hint="eastAsia"/>
                <w:color w:val="000000"/>
                <w:w w:val="18"/>
                <w:sz w:val="20"/>
                <w:szCs w:val="20"/>
                <w:shd w:val="solid" w:color="000000" w:fill="000000"/>
                <w:fitText w:val="81" w:id="-963397376"/>
                <w14:textFill>
                  <w14:solidFill>
                    <w14:srgbClr w14:val="000000">
                      <w14:alpha w14:val="100000"/>
                    </w14:srgbClr>
                  </w14:solidFill>
                </w14:textFill>
              </w:rPr>
              <w:t xml:space="preserve">　</w:t>
            </w:r>
            <w:r w:rsidRPr="00DE43FD">
              <w:rPr>
                <w:rFonts w:ascii="Arial Narrow" w:hAnsi="Arial Narrow"/>
                <w:color w:val="000000"/>
                <w:w w:val="18"/>
                <w:sz w:val="20"/>
                <w:szCs w:val="20"/>
                <w:shd w:val="solid" w:color="000000" w:fill="000000"/>
                <w:fitText w:val="81" w:id="-963397376"/>
                <w14:textFill>
                  <w14:solidFill>
                    <w14:srgbClr w14:val="000000">
                      <w14:alpha w14:val="100000"/>
                    </w14:srgbClr>
                  </w14:solidFill>
                </w14:textFill>
              </w:rPr>
              <w:t>|</w:t>
            </w:r>
            <w:r w:rsidRPr="00DE43FD">
              <w:rPr>
                <w:rFonts w:ascii="Arial Narrow" w:hAnsi="Arial Narrow" w:hint="eastAsia"/>
                <w:color w:val="000000"/>
                <w:spacing w:val="1"/>
                <w:w w:val="18"/>
                <w:sz w:val="20"/>
                <w:szCs w:val="20"/>
                <w:shd w:val="solid" w:color="000000" w:fill="000000"/>
                <w:fitText w:val="81" w:id="-963397376"/>
                <w14:textFill>
                  <w14:solidFill>
                    <w14:srgbClr w14:val="000000">
                      <w14:alpha w14:val="100000"/>
                    </w14:srgbClr>
                  </w14:solidFill>
                </w14:textFill>
              </w:rPr>
              <w:t xml:space="preserve">　</w:t>
            </w:r>
            <w:r w:rsidR="00CF5547" w:rsidRPr="00A01E1F">
              <w:rPr>
                <w:rFonts w:ascii="Arial Narrow" w:hAnsi="Arial Narrow"/>
                <w:sz w:val="20"/>
                <w:szCs w:val="20"/>
                <w:vertAlign w:val="superscript"/>
              </w:rPr>
              <w:t>7</w:t>
            </w:r>
          </w:p>
        </w:tc>
        <w:tc>
          <w:tcPr>
            <w:tcW w:w="1169" w:type="dxa"/>
            <w:tcBorders>
              <w:top w:val="nil"/>
              <w:bottom w:val="nil"/>
            </w:tcBorders>
            <w:vAlign w:val="center"/>
          </w:tcPr>
          <w:p w14:paraId="32BA5DE7" w14:textId="00A63206" w:rsidR="00AC5DB7" w:rsidRPr="00AF4912" w:rsidRDefault="00DE43FD" w:rsidP="00D87DA9">
            <w:pPr>
              <w:keepNext/>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120"/>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120"/>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120"/>
                <w14:textFill>
                  <w14:solidFill>
                    <w14:srgbClr w14:val="000000">
                      <w14:alpha w14:val="100000"/>
                    </w14:srgbClr>
                  </w14:solidFill>
                </w14:textFill>
              </w:rPr>
              <w:t xml:space="preserve">　</w:t>
            </w:r>
            <w:r w:rsidR="00863259" w:rsidRPr="00A01E1F">
              <w:rPr>
                <w:rFonts w:ascii="Arial Narrow" w:hAnsi="Arial Narrow"/>
                <w:sz w:val="20"/>
                <w:szCs w:val="20"/>
                <w:vertAlign w:val="superscript"/>
              </w:rPr>
              <w:t>7</w:t>
            </w:r>
          </w:p>
        </w:tc>
        <w:tc>
          <w:tcPr>
            <w:tcW w:w="1169" w:type="dxa"/>
            <w:tcBorders>
              <w:top w:val="nil"/>
              <w:bottom w:val="nil"/>
            </w:tcBorders>
            <w:vAlign w:val="center"/>
          </w:tcPr>
          <w:p w14:paraId="32B14567" w14:textId="74F18518" w:rsidR="00AC5DB7" w:rsidRPr="00AF4912" w:rsidRDefault="00DE43FD" w:rsidP="00D87DA9">
            <w:pPr>
              <w:keepNext/>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119"/>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119"/>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119"/>
                <w14:textFill>
                  <w14:solidFill>
                    <w14:srgbClr w14:val="000000">
                      <w14:alpha w14:val="100000"/>
                    </w14:srgbClr>
                  </w14:solidFill>
                </w14:textFill>
              </w:rPr>
              <w:t xml:space="preserve">　</w:t>
            </w:r>
            <w:r w:rsidR="00863259" w:rsidRPr="00A01E1F">
              <w:rPr>
                <w:rFonts w:ascii="Arial Narrow" w:hAnsi="Arial Narrow"/>
                <w:sz w:val="20"/>
                <w:szCs w:val="20"/>
                <w:vertAlign w:val="superscript"/>
              </w:rPr>
              <w:t>7</w:t>
            </w:r>
          </w:p>
        </w:tc>
        <w:tc>
          <w:tcPr>
            <w:tcW w:w="1169" w:type="dxa"/>
            <w:tcBorders>
              <w:top w:val="nil"/>
              <w:bottom w:val="nil"/>
            </w:tcBorders>
            <w:vAlign w:val="center"/>
          </w:tcPr>
          <w:p w14:paraId="55C05C21" w14:textId="0D8D9D73" w:rsidR="00AC5DB7" w:rsidRPr="00AF4912" w:rsidRDefault="00DE43FD" w:rsidP="00D87DA9">
            <w:pPr>
              <w:keepNext/>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118"/>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118"/>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118"/>
                <w14:textFill>
                  <w14:solidFill>
                    <w14:srgbClr w14:val="000000">
                      <w14:alpha w14:val="100000"/>
                    </w14:srgbClr>
                  </w14:solidFill>
                </w14:textFill>
              </w:rPr>
              <w:t xml:space="preserve">　</w:t>
            </w:r>
            <w:r w:rsidR="00863259" w:rsidRPr="00A01E1F">
              <w:rPr>
                <w:rFonts w:ascii="Arial Narrow" w:hAnsi="Arial Narrow"/>
                <w:sz w:val="20"/>
                <w:szCs w:val="20"/>
                <w:vertAlign w:val="superscript"/>
              </w:rPr>
              <w:t>7</w:t>
            </w:r>
          </w:p>
        </w:tc>
        <w:tc>
          <w:tcPr>
            <w:tcW w:w="1169" w:type="dxa"/>
            <w:tcBorders>
              <w:top w:val="nil"/>
              <w:bottom w:val="nil"/>
            </w:tcBorders>
            <w:vAlign w:val="center"/>
          </w:tcPr>
          <w:p w14:paraId="4F9B446A" w14:textId="7C5B8FE3" w:rsidR="00AC5DB7" w:rsidRPr="00AF4912" w:rsidRDefault="00DE43FD" w:rsidP="00D87DA9">
            <w:pPr>
              <w:keepNext/>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117"/>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117"/>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117"/>
                <w14:textFill>
                  <w14:solidFill>
                    <w14:srgbClr w14:val="000000">
                      <w14:alpha w14:val="100000"/>
                    </w14:srgbClr>
                  </w14:solidFill>
                </w14:textFill>
              </w:rPr>
              <w:t xml:space="preserve">　</w:t>
            </w:r>
            <w:r w:rsidR="00863259" w:rsidRPr="00A01E1F">
              <w:rPr>
                <w:rFonts w:ascii="Arial Narrow" w:hAnsi="Arial Narrow"/>
                <w:sz w:val="20"/>
                <w:szCs w:val="20"/>
                <w:vertAlign w:val="superscript"/>
              </w:rPr>
              <w:t>7</w:t>
            </w:r>
          </w:p>
        </w:tc>
      </w:tr>
      <w:tr w:rsidR="00AC5DB7" w:rsidRPr="00E81073" w14:paraId="3768A710" w14:textId="77777777" w:rsidTr="00621EA3">
        <w:tc>
          <w:tcPr>
            <w:tcW w:w="2227" w:type="dxa"/>
            <w:tcBorders>
              <w:top w:val="nil"/>
              <w:bottom w:val="nil"/>
            </w:tcBorders>
            <w:vAlign w:val="center"/>
          </w:tcPr>
          <w:p w14:paraId="184C63F6" w14:textId="77777777" w:rsidR="00AC5DB7" w:rsidRPr="00E81073" w:rsidRDefault="00AC5DB7" w:rsidP="00D87DA9">
            <w:pPr>
              <w:keepNext/>
              <w:ind w:left="112"/>
              <w:rPr>
                <w:rFonts w:ascii="Arial Narrow" w:hAnsi="Arial Narrow"/>
                <w:sz w:val="20"/>
                <w:szCs w:val="20"/>
              </w:rPr>
            </w:pPr>
            <w:r w:rsidRPr="00E81073">
              <w:rPr>
                <w:rFonts w:ascii="Arial Narrow" w:hAnsi="Arial Narrow"/>
                <w:sz w:val="20"/>
                <w:szCs w:val="20"/>
              </w:rPr>
              <w:t>IFX IV</w:t>
            </w:r>
          </w:p>
        </w:tc>
        <w:tc>
          <w:tcPr>
            <w:tcW w:w="1057" w:type="dxa"/>
            <w:tcBorders>
              <w:top w:val="nil"/>
              <w:bottom w:val="nil"/>
            </w:tcBorders>
            <w:vAlign w:val="center"/>
          </w:tcPr>
          <w:p w14:paraId="45A394CE" w14:textId="1B067640" w:rsidR="00AC5DB7" w:rsidRPr="00AF4912" w:rsidRDefault="00DE43FD" w:rsidP="00D87DA9">
            <w:pPr>
              <w:keepNext/>
              <w:jc w:val="center"/>
              <w:rPr>
                <w:rFonts w:ascii="Arial Narrow" w:hAnsi="Arial Narrow"/>
                <w:sz w:val="20"/>
                <w:szCs w:val="20"/>
                <w:highlight w:val="lightGray"/>
              </w:rPr>
            </w:pPr>
            <w:r w:rsidRPr="00DE43FD">
              <w:rPr>
                <w:rFonts w:ascii="Arial Narrow" w:hAnsi="Arial Narrow" w:hint="eastAsia"/>
                <w:color w:val="000000"/>
                <w:w w:val="18"/>
                <w:sz w:val="20"/>
                <w:szCs w:val="20"/>
                <w:shd w:val="solid" w:color="000000" w:fill="000000"/>
                <w:fitText w:val="81" w:id="-963397116"/>
                <w14:textFill>
                  <w14:solidFill>
                    <w14:srgbClr w14:val="000000">
                      <w14:alpha w14:val="100000"/>
                    </w14:srgbClr>
                  </w14:solidFill>
                </w14:textFill>
              </w:rPr>
              <w:t xml:space="preserve">　</w:t>
            </w:r>
            <w:r w:rsidRPr="00DE43FD">
              <w:rPr>
                <w:rFonts w:ascii="Arial Narrow" w:hAnsi="Arial Narrow"/>
                <w:color w:val="000000"/>
                <w:w w:val="18"/>
                <w:sz w:val="20"/>
                <w:szCs w:val="20"/>
                <w:shd w:val="solid" w:color="000000" w:fill="000000"/>
                <w:fitText w:val="81" w:id="-963397116"/>
                <w14:textFill>
                  <w14:solidFill>
                    <w14:srgbClr w14:val="000000">
                      <w14:alpha w14:val="100000"/>
                    </w14:srgbClr>
                  </w14:solidFill>
                </w14:textFill>
              </w:rPr>
              <w:t>|</w:t>
            </w:r>
            <w:r w:rsidRPr="00DE43FD">
              <w:rPr>
                <w:rFonts w:ascii="Arial Narrow" w:hAnsi="Arial Narrow" w:hint="eastAsia"/>
                <w:color w:val="000000"/>
                <w:spacing w:val="1"/>
                <w:w w:val="18"/>
                <w:sz w:val="20"/>
                <w:szCs w:val="20"/>
                <w:shd w:val="solid" w:color="000000" w:fill="000000"/>
                <w:fitText w:val="81" w:id="-963397116"/>
                <w14:textFill>
                  <w14:solidFill>
                    <w14:srgbClr w14:val="000000">
                      <w14:alpha w14:val="100000"/>
                    </w14:srgbClr>
                  </w14:solidFill>
                </w14:textFill>
              </w:rPr>
              <w:t xml:space="preserve">　</w:t>
            </w:r>
            <w:r w:rsidR="005A710D">
              <w:rPr>
                <w:rFonts w:ascii="Arial Narrow" w:hAnsi="Arial Narrow"/>
                <w:sz w:val="20"/>
                <w:szCs w:val="20"/>
                <w:vertAlign w:val="superscript"/>
              </w:rPr>
              <w:t>4</w:t>
            </w:r>
          </w:p>
        </w:tc>
        <w:tc>
          <w:tcPr>
            <w:tcW w:w="1057" w:type="dxa"/>
            <w:tcBorders>
              <w:top w:val="nil"/>
              <w:bottom w:val="nil"/>
            </w:tcBorders>
            <w:vAlign w:val="center"/>
          </w:tcPr>
          <w:p w14:paraId="2F9084C5" w14:textId="0BE3AA03" w:rsidR="00AC5DB7" w:rsidRPr="00AF4912" w:rsidRDefault="00DE43FD" w:rsidP="00D87DA9">
            <w:pPr>
              <w:keepNext/>
              <w:jc w:val="center"/>
              <w:rPr>
                <w:rFonts w:ascii="Arial Narrow" w:hAnsi="Arial Narrow"/>
                <w:sz w:val="20"/>
                <w:szCs w:val="20"/>
                <w:highlight w:val="lightGray"/>
              </w:rPr>
            </w:pPr>
            <w:r w:rsidRPr="00DE43FD">
              <w:rPr>
                <w:rFonts w:ascii="Arial Narrow" w:hAnsi="Arial Narrow" w:hint="eastAsia"/>
                <w:color w:val="000000"/>
                <w:w w:val="18"/>
                <w:sz w:val="20"/>
                <w:szCs w:val="20"/>
                <w:shd w:val="solid" w:color="000000" w:fill="000000"/>
                <w:fitText w:val="81" w:id="-963397115"/>
                <w14:textFill>
                  <w14:solidFill>
                    <w14:srgbClr w14:val="000000">
                      <w14:alpha w14:val="100000"/>
                    </w14:srgbClr>
                  </w14:solidFill>
                </w14:textFill>
              </w:rPr>
              <w:t xml:space="preserve">　</w:t>
            </w:r>
            <w:r w:rsidRPr="00DE43FD">
              <w:rPr>
                <w:rFonts w:ascii="Arial Narrow" w:hAnsi="Arial Narrow"/>
                <w:color w:val="000000"/>
                <w:w w:val="18"/>
                <w:sz w:val="20"/>
                <w:szCs w:val="20"/>
                <w:shd w:val="solid" w:color="000000" w:fill="000000"/>
                <w:fitText w:val="81" w:id="-963397115"/>
                <w14:textFill>
                  <w14:solidFill>
                    <w14:srgbClr w14:val="000000">
                      <w14:alpha w14:val="100000"/>
                    </w14:srgbClr>
                  </w14:solidFill>
                </w14:textFill>
              </w:rPr>
              <w:t>|</w:t>
            </w:r>
            <w:r w:rsidRPr="00DE43FD">
              <w:rPr>
                <w:rFonts w:ascii="Arial Narrow" w:hAnsi="Arial Narrow" w:hint="eastAsia"/>
                <w:color w:val="000000"/>
                <w:spacing w:val="1"/>
                <w:w w:val="18"/>
                <w:sz w:val="20"/>
                <w:szCs w:val="20"/>
                <w:shd w:val="solid" w:color="000000" w:fill="000000"/>
                <w:fitText w:val="81" w:id="-963397115"/>
                <w14:textFill>
                  <w14:solidFill>
                    <w14:srgbClr w14:val="000000">
                      <w14:alpha w14:val="100000"/>
                    </w14:srgbClr>
                  </w14:solidFill>
                </w14:textFill>
              </w:rPr>
              <w:t xml:space="preserve">　</w:t>
            </w:r>
            <w:r w:rsidR="005A710D">
              <w:rPr>
                <w:rFonts w:ascii="Arial Narrow" w:hAnsi="Arial Narrow"/>
                <w:sz w:val="20"/>
                <w:szCs w:val="20"/>
                <w:vertAlign w:val="superscript"/>
              </w:rPr>
              <w:t>4</w:t>
            </w:r>
          </w:p>
        </w:tc>
        <w:tc>
          <w:tcPr>
            <w:tcW w:w="1169" w:type="dxa"/>
            <w:tcBorders>
              <w:top w:val="nil"/>
              <w:bottom w:val="nil"/>
            </w:tcBorders>
            <w:vAlign w:val="center"/>
          </w:tcPr>
          <w:p w14:paraId="56423C8D" w14:textId="76550FA1" w:rsidR="00AC5DB7" w:rsidRPr="00AF4912" w:rsidRDefault="00DE43FD" w:rsidP="00D87DA9">
            <w:pPr>
              <w:keepNext/>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114"/>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114"/>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114"/>
                <w14:textFill>
                  <w14:solidFill>
                    <w14:srgbClr w14:val="000000">
                      <w14:alpha w14:val="100000"/>
                    </w14:srgbClr>
                  </w14:solidFill>
                </w14:textFill>
              </w:rPr>
              <w:t xml:space="preserve">　</w:t>
            </w:r>
            <w:r w:rsidR="005A710D">
              <w:rPr>
                <w:rFonts w:ascii="Arial Narrow" w:hAnsi="Arial Narrow"/>
                <w:sz w:val="20"/>
                <w:szCs w:val="20"/>
                <w:vertAlign w:val="superscript"/>
              </w:rPr>
              <w:t>4</w:t>
            </w:r>
          </w:p>
        </w:tc>
        <w:tc>
          <w:tcPr>
            <w:tcW w:w="1169" w:type="dxa"/>
            <w:tcBorders>
              <w:top w:val="nil"/>
              <w:bottom w:val="nil"/>
            </w:tcBorders>
            <w:vAlign w:val="center"/>
          </w:tcPr>
          <w:p w14:paraId="4619D5E6" w14:textId="4B5A2261" w:rsidR="00AC5DB7" w:rsidRPr="00AF4912" w:rsidRDefault="00DE43FD" w:rsidP="00D87DA9">
            <w:pPr>
              <w:keepNext/>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113"/>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113"/>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113"/>
                <w14:textFill>
                  <w14:solidFill>
                    <w14:srgbClr w14:val="000000">
                      <w14:alpha w14:val="100000"/>
                    </w14:srgbClr>
                  </w14:solidFill>
                </w14:textFill>
              </w:rPr>
              <w:t xml:space="preserve">　</w:t>
            </w:r>
            <w:r w:rsidR="005A710D">
              <w:rPr>
                <w:rFonts w:ascii="Arial Narrow" w:hAnsi="Arial Narrow"/>
                <w:sz w:val="20"/>
                <w:szCs w:val="20"/>
                <w:vertAlign w:val="superscript"/>
              </w:rPr>
              <w:t>4</w:t>
            </w:r>
          </w:p>
        </w:tc>
        <w:tc>
          <w:tcPr>
            <w:tcW w:w="1169" w:type="dxa"/>
            <w:tcBorders>
              <w:top w:val="nil"/>
              <w:bottom w:val="nil"/>
            </w:tcBorders>
            <w:vAlign w:val="center"/>
          </w:tcPr>
          <w:p w14:paraId="682FA8E0" w14:textId="472C2546" w:rsidR="00AC5DB7" w:rsidRPr="00AF4912" w:rsidRDefault="00DE43FD" w:rsidP="00D87DA9">
            <w:pPr>
              <w:keepNext/>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112"/>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112"/>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112"/>
                <w14:textFill>
                  <w14:solidFill>
                    <w14:srgbClr w14:val="000000">
                      <w14:alpha w14:val="100000"/>
                    </w14:srgbClr>
                  </w14:solidFill>
                </w14:textFill>
              </w:rPr>
              <w:t xml:space="preserve">　</w:t>
            </w:r>
            <w:r w:rsidR="005A710D">
              <w:rPr>
                <w:rFonts w:ascii="Arial Narrow" w:hAnsi="Arial Narrow"/>
                <w:sz w:val="20"/>
                <w:szCs w:val="20"/>
                <w:vertAlign w:val="superscript"/>
              </w:rPr>
              <w:t>4</w:t>
            </w:r>
          </w:p>
        </w:tc>
        <w:tc>
          <w:tcPr>
            <w:tcW w:w="1169" w:type="dxa"/>
            <w:tcBorders>
              <w:top w:val="nil"/>
              <w:bottom w:val="nil"/>
            </w:tcBorders>
            <w:vAlign w:val="center"/>
          </w:tcPr>
          <w:p w14:paraId="076E8ECB" w14:textId="5F6E2088" w:rsidR="00AC5DB7" w:rsidRPr="00AF4912" w:rsidRDefault="00DE43FD" w:rsidP="00D87DA9">
            <w:pPr>
              <w:keepNext/>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111"/>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111"/>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111"/>
                <w14:textFill>
                  <w14:solidFill>
                    <w14:srgbClr w14:val="000000">
                      <w14:alpha w14:val="100000"/>
                    </w14:srgbClr>
                  </w14:solidFill>
                </w14:textFill>
              </w:rPr>
              <w:t xml:space="preserve">　</w:t>
            </w:r>
            <w:r w:rsidR="005A710D">
              <w:rPr>
                <w:rFonts w:ascii="Arial Narrow" w:hAnsi="Arial Narrow"/>
                <w:sz w:val="20"/>
                <w:szCs w:val="20"/>
                <w:vertAlign w:val="superscript"/>
              </w:rPr>
              <w:t>4</w:t>
            </w:r>
          </w:p>
        </w:tc>
      </w:tr>
      <w:tr w:rsidR="00AC5DB7" w:rsidRPr="00E81073" w14:paraId="0B082D7C" w14:textId="77777777" w:rsidTr="00621EA3">
        <w:tc>
          <w:tcPr>
            <w:tcW w:w="2227" w:type="dxa"/>
            <w:tcBorders>
              <w:top w:val="nil"/>
              <w:bottom w:val="nil"/>
            </w:tcBorders>
            <w:vAlign w:val="center"/>
          </w:tcPr>
          <w:p w14:paraId="44DDD5D2" w14:textId="77777777" w:rsidR="00AC5DB7" w:rsidRPr="00E81073" w:rsidRDefault="00AC5DB7" w:rsidP="00D87DA9">
            <w:pPr>
              <w:keepNext/>
              <w:ind w:left="112"/>
              <w:rPr>
                <w:rFonts w:ascii="Arial Narrow" w:hAnsi="Arial Narrow"/>
                <w:sz w:val="20"/>
                <w:szCs w:val="20"/>
              </w:rPr>
            </w:pPr>
            <w:r w:rsidRPr="00E81073">
              <w:rPr>
                <w:rFonts w:ascii="Arial Narrow" w:hAnsi="Arial Narrow"/>
                <w:sz w:val="20"/>
                <w:szCs w:val="20"/>
              </w:rPr>
              <w:t>IFX SC</w:t>
            </w:r>
          </w:p>
        </w:tc>
        <w:tc>
          <w:tcPr>
            <w:tcW w:w="1057" w:type="dxa"/>
            <w:tcBorders>
              <w:top w:val="nil"/>
              <w:bottom w:val="nil"/>
            </w:tcBorders>
            <w:vAlign w:val="center"/>
          </w:tcPr>
          <w:p w14:paraId="0D60BE4C" w14:textId="1EE5B524" w:rsidR="00AC5DB7" w:rsidRPr="00AF4912" w:rsidRDefault="00DE43FD" w:rsidP="00D87DA9">
            <w:pPr>
              <w:keepNext/>
              <w:jc w:val="center"/>
              <w:rPr>
                <w:rFonts w:ascii="Arial Narrow" w:hAnsi="Arial Narrow"/>
                <w:sz w:val="20"/>
                <w:szCs w:val="20"/>
                <w:highlight w:val="lightGray"/>
              </w:rPr>
            </w:pPr>
            <w:r w:rsidRPr="00DE43FD">
              <w:rPr>
                <w:rFonts w:ascii="Arial Narrow" w:hAnsi="Arial Narrow" w:hint="eastAsia"/>
                <w:color w:val="000000"/>
                <w:w w:val="18"/>
                <w:sz w:val="20"/>
                <w:szCs w:val="20"/>
                <w:shd w:val="solid" w:color="000000" w:fill="000000"/>
                <w:fitText w:val="81" w:id="-963397110"/>
                <w14:textFill>
                  <w14:solidFill>
                    <w14:srgbClr w14:val="000000">
                      <w14:alpha w14:val="100000"/>
                    </w14:srgbClr>
                  </w14:solidFill>
                </w14:textFill>
              </w:rPr>
              <w:t xml:space="preserve">　</w:t>
            </w:r>
            <w:r w:rsidRPr="00DE43FD">
              <w:rPr>
                <w:rFonts w:ascii="Arial Narrow" w:hAnsi="Arial Narrow"/>
                <w:color w:val="000000"/>
                <w:w w:val="18"/>
                <w:sz w:val="20"/>
                <w:szCs w:val="20"/>
                <w:shd w:val="solid" w:color="000000" w:fill="000000"/>
                <w:fitText w:val="81" w:id="-963397110"/>
                <w14:textFill>
                  <w14:solidFill>
                    <w14:srgbClr w14:val="000000">
                      <w14:alpha w14:val="100000"/>
                    </w14:srgbClr>
                  </w14:solidFill>
                </w14:textFill>
              </w:rPr>
              <w:t>|</w:t>
            </w:r>
            <w:r w:rsidRPr="00DE43FD">
              <w:rPr>
                <w:rFonts w:ascii="Arial Narrow" w:hAnsi="Arial Narrow" w:hint="eastAsia"/>
                <w:color w:val="000000"/>
                <w:spacing w:val="1"/>
                <w:w w:val="18"/>
                <w:sz w:val="20"/>
                <w:szCs w:val="20"/>
                <w:shd w:val="solid" w:color="000000" w:fill="000000"/>
                <w:fitText w:val="81" w:id="-963397110"/>
                <w14:textFill>
                  <w14:solidFill>
                    <w14:srgbClr w14:val="000000">
                      <w14:alpha w14:val="100000"/>
                    </w14:srgbClr>
                  </w14:solidFill>
                </w14:textFill>
              </w:rPr>
              <w:t xml:space="preserve">　</w:t>
            </w:r>
            <w:r w:rsidR="005A710D">
              <w:rPr>
                <w:rFonts w:ascii="Arial Narrow" w:hAnsi="Arial Narrow"/>
                <w:sz w:val="20"/>
                <w:szCs w:val="20"/>
                <w:vertAlign w:val="superscript"/>
              </w:rPr>
              <w:t>4</w:t>
            </w:r>
          </w:p>
        </w:tc>
        <w:tc>
          <w:tcPr>
            <w:tcW w:w="1057" w:type="dxa"/>
            <w:tcBorders>
              <w:top w:val="nil"/>
              <w:bottom w:val="nil"/>
            </w:tcBorders>
            <w:vAlign w:val="center"/>
          </w:tcPr>
          <w:p w14:paraId="53711764" w14:textId="14985191" w:rsidR="00AC5DB7" w:rsidRPr="00AF4912" w:rsidRDefault="00DE43FD" w:rsidP="00D87DA9">
            <w:pPr>
              <w:keepNext/>
              <w:jc w:val="center"/>
              <w:rPr>
                <w:rFonts w:ascii="Arial Narrow" w:hAnsi="Arial Narrow"/>
                <w:sz w:val="20"/>
                <w:szCs w:val="20"/>
                <w:highlight w:val="lightGray"/>
              </w:rPr>
            </w:pPr>
            <w:r w:rsidRPr="00DE43FD">
              <w:rPr>
                <w:rFonts w:ascii="Arial Narrow" w:hAnsi="Arial Narrow" w:hint="eastAsia"/>
                <w:color w:val="000000"/>
                <w:w w:val="18"/>
                <w:sz w:val="20"/>
                <w:szCs w:val="20"/>
                <w:shd w:val="solid" w:color="000000" w:fill="000000"/>
                <w:fitText w:val="81" w:id="-963397109"/>
                <w14:textFill>
                  <w14:solidFill>
                    <w14:srgbClr w14:val="000000">
                      <w14:alpha w14:val="100000"/>
                    </w14:srgbClr>
                  </w14:solidFill>
                </w14:textFill>
              </w:rPr>
              <w:t xml:space="preserve">　</w:t>
            </w:r>
            <w:r w:rsidRPr="00DE43FD">
              <w:rPr>
                <w:rFonts w:ascii="Arial Narrow" w:hAnsi="Arial Narrow"/>
                <w:color w:val="000000"/>
                <w:w w:val="18"/>
                <w:sz w:val="20"/>
                <w:szCs w:val="20"/>
                <w:shd w:val="solid" w:color="000000" w:fill="000000"/>
                <w:fitText w:val="81" w:id="-963397109"/>
                <w14:textFill>
                  <w14:solidFill>
                    <w14:srgbClr w14:val="000000">
                      <w14:alpha w14:val="100000"/>
                    </w14:srgbClr>
                  </w14:solidFill>
                </w14:textFill>
              </w:rPr>
              <w:t>|</w:t>
            </w:r>
            <w:r w:rsidRPr="00DE43FD">
              <w:rPr>
                <w:rFonts w:ascii="Arial Narrow" w:hAnsi="Arial Narrow" w:hint="eastAsia"/>
                <w:color w:val="000000"/>
                <w:spacing w:val="1"/>
                <w:w w:val="18"/>
                <w:sz w:val="20"/>
                <w:szCs w:val="20"/>
                <w:shd w:val="solid" w:color="000000" w:fill="000000"/>
                <w:fitText w:val="81" w:id="-963397109"/>
                <w14:textFill>
                  <w14:solidFill>
                    <w14:srgbClr w14:val="000000">
                      <w14:alpha w14:val="100000"/>
                    </w14:srgbClr>
                  </w14:solidFill>
                </w14:textFill>
              </w:rPr>
              <w:t xml:space="preserve">　</w:t>
            </w:r>
            <w:r w:rsidR="005A710D">
              <w:rPr>
                <w:rFonts w:ascii="Arial Narrow" w:hAnsi="Arial Narrow"/>
                <w:sz w:val="20"/>
                <w:szCs w:val="20"/>
                <w:vertAlign w:val="superscript"/>
              </w:rPr>
              <w:t>4</w:t>
            </w:r>
          </w:p>
        </w:tc>
        <w:tc>
          <w:tcPr>
            <w:tcW w:w="1169" w:type="dxa"/>
            <w:tcBorders>
              <w:top w:val="nil"/>
              <w:bottom w:val="nil"/>
            </w:tcBorders>
            <w:vAlign w:val="center"/>
          </w:tcPr>
          <w:p w14:paraId="349B307E" w14:textId="0E6B00C1" w:rsidR="00AC5DB7" w:rsidRPr="00AF4912" w:rsidRDefault="00DE43FD" w:rsidP="00D87DA9">
            <w:pPr>
              <w:keepNext/>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108"/>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108"/>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108"/>
                <w14:textFill>
                  <w14:solidFill>
                    <w14:srgbClr w14:val="000000">
                      <w14:alpha w14:val="100000"/>
                    </w14:srgbClr>
                  </w14:solidFill>
                </w14:textFill>
              </w:rPr>
              <w:t xml:space="preserve">　</w:t>
            </w:r>
            <w:r w:rsidR="005A710D">
              <w:rPr>
                <w:rFonts w:ascii="Arial Narrow" w:hAnsi="Arial Narrow"/>
                <w:sz w:val="20"/>
                <w:szCs w:val="20"/>
                <w:vertAlign w:val="superscript"/>
              </w:rPr>
              <w:t>4</w:t>
            </w:r>
          </w:p>
        </w:tc>
        <w:tc>
          <w:tcPr>
            <w:tcW w:w="1169" w:type="dxa"/>
            <w:tcBorders>
              <w:top w:val="nil"/>
              <w:bottom w:val="nil"/>
            </w:tcBorders>
            <w:vAlign w:val="center"/>
          </w:tcPr>
          <w:p w14:paraId="40A03175" w14:textId="46F122B4" w:rsidR="00AC5DB7" w:rsidRPr="00AF4912" w:rsidRDefault="00DE43FD" w:rsidP="00D87DA9">
            <w:pPr>
              <w:keepNext/>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107"/>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107"/>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107"/>
                <w14:textFill>
                  <w14:solidFill>
                    <w14:srgbClr w14:val="000000">
                      <w14:alpha w14:val="100000"/>
                    </w14:srgbClr>
                  </w14:solidFill>
                </w14:textFill>
              </w:rPr>
              <w:t xml:space="preserve">　</w:t>
            </w:r>
            <w:r w:rsidR="005A710D">
              <w:rPr>
                <w:rFonts w:ascii="Arial Narrow" w:hAnsi="Arial Narrow"/>
                <w:sz w:val="20"/>
                <w:szCs w:val="20"/>
                <w:vertAlign w:val="superscript"/>
              </w:rPr>
              <w:t>4</w:t>
            </w:r>
          </w:p>
        </w:tc>
        <w:tc>
          <w:tcPr>
            <w:tcW w:w="1169" w:type="dxa"/>
            <w:tcBorders>
              <w:top w:val="nil"/>
              <w:bottom w:val="nil"/>
            </w:tcBorders>
            <w:vAlign w:val="center"/>
          </w:tcPr>
          <w:p w14:paraId="5C962D9E" w14:textId="6B299BED" w:rsidR="00AC5DB7" w:rsidRPr="00AF4912" w:rsidRDefault="00DE43FD" w:rsidP="00D87DA9">
            <w:pPr>
              <w:keepNext/>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106"/>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106"/>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106"/>
                <w14:textFill>
                  <w14:solidFill>
                    <w14:srgbClr w14:val="000000">
                      <w14:alpha w14:val="100000"/>
                    </w14:srgbClr>
                  </w14:solidFill>
                </w14:textFill>
              </w:rPr>
              <w:t xml:space="preserve">　</w:t>
            </w:r>
            <w:r w:rsidR="005A710D">
              <w:rPr>
                <w:rFonts w:ascii="Arial Narrow" w:hAnsi="Arial Narrow"/>
                <w:sz w:val="20"/>
                <w:szCs w:val="20"/>
                <w:vertAlign w:val="superscript"/>
              </w:rPr>
              <w:t>4</w:t>
            </w:r>
          </w:p>
        </w:tc>
        <w:tc>
          <w:tcPr>
            <w:tcW w:w="1169" w:type="dxa"/>
            <w:tcBorders>
              <w:top w:val="nil"/>
              <w:bottom w:val="nil"/>
            </w:tcBorders>
            <w:vAlign w:val="center"/>
          </w:tcPr>
          <w:p w14:paraId="0860F79E" w14:textId="608E702C" w:rsidR="00AC5DB7" w:rsidRPr="00AF4912" w:rsidRDefault="00DE43FD" w:rsidP="00D87DA9">
            <w:pPr>
              <w:keepNext/>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105"/>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105"/>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105"/>
                <w14:textFill>
                  <w14:solidFill>
                    <w14:srgbClr w14:val="000000">
                      <w14:alpha w14:val="100000"/>
                    </w14:srgbClr>
                  </w14:solidFill>
                </w14:textFill>
              </w:rPr>
              <w:t xml:space="preserve">　</w:t>
            </w:r>
            <w:r w:rsidR="005A710D">
              <w:rPr>
                <w:rFonts w:ascii="Arial Narrow" w:hAnsi="Arial Narrow"/>
                <w:sz w:val="20"/>
                <w:szCs w:val="20"/>
                <w:vertAlign w:val="superscript"/>
              </w:rPr>
              <w:t>4</w:t>
            </w:r>
          </w:p>
        </w:tc>
      </w:tr>
      <w:tr w:rsidR="00AC5DB7" w:rsidRPr="00E81073" w14:paraId="63D03ECA" w14:textId="77777777" w:rsidTr="00621EA3">
        <w:tc>
          <w:tcPr>
            <w:tcW w:w="2227" w:type="dxa"/>
            <w:tcBorders>
              <w:top w:val="nil"/>
              <w:bottom w:val="nil"/>
            </w:tcBorders>
            <w:vAlign w:val="center"/>
          </w:tcPr>
          <w:p w14:paraId="53C5B3A8" w14:textId="77777777" w:rsidR="00AC5DB7" w:rsidRPr="00E81073" w:rsidRDefault="00AC5DB7" w:rsidP="00D87DA9">
            <w:pPr>
              <w:keepNext/>
              <w:ind w:left="112"/>
              <w:rPr>
                <w:rFonts w:ascii="Arial Narrow" w:hAnsi="Arial Narrow"/>
                <w:sz w:val="20"/>
                <w:szCs w:val="20"/>
              </w:rPr>
            </w:pPr>
            <w:r w:rsidRPr="00E81073">
              <w:rPr>
                <w:rFonts w:ascii="Arial Narrow" w:hAnsi="Arial Narrow"/>
                <w:sz w:val="20"/>
                <w:szCs w:val="20"/>
              </w:rPr>
              <w:t>TOF</w:t>
            </w:r>
          </w:p>
        </w:tc>
        <w:tc>
          <w:tcPr>
            <w:tcW w:w="1057" w:type="dxa"/>
            <w:tcBorders>
              <w:top w:val="nil"/>
              <w:bottom w:val="nil"/>
            </w:tcBorders>
            <w:vAlign w:val="center"/>
          </w:tcPr>
          <w:p w14:paraId="628A040E" w14:textId="297EBD96" w:rsidR="00AC5DB7" w:rsidRPr="00AF4912" w:rsidRDefault="00DE43FD" w:rsidP="00D87DA9">
            <w:pPr>
              <w:keepNext/>
              <w:jc w:val="center"/>
              <w:rPr>
                <w:rFonts w:ascii="Arial Narrow" w:hAnsi="Arial Narrow"/>
                <w:sz w:val="20"/>
                <w:szCs w:val="20"/>
                <w:highlight w:val="lightGray"/>
              </w:rPr>
            </w:pPr>
            <w:r w:rsidRPr="00DE43FD">
              <w:rPr>
                <w:rFonts w:ascii="Arial Narrow" w:hAnsi="Arial Narrow" w:hint="eastAsia"/>
                <w:color w:val="000000"/>
                <w:w w:val="18"/>
                <w:sz w:val="20"/>
                <w:szCs w:val="20"/>
                <w:shd w:val="solid" w:color="000000" w:fill="000000"/>
                <w:fitText w:val="81" w:id="-963397104"/>
                <w14:textFill>
                  <w14:solidFill>
                    <w14:srgbClr w14:val="000000">
                      <w14:alpha w14:val="100000"/>
                    </w14:srgbClr>
                  </w14:solidFill>
                </w14:textFill>
              </w:rPr>
              <w:t xml:space="preserve">　</w:t>
            </w:r>
            <w:r w:rsidRPr="00DE43FD">
              <w:rPr>
                <w:rFonts w:ascii="Arial Narrow" w:hAnsi="Arial Narrow"/>
                <w:color w:val="000000"/>
                <w:w w:val="18"/>
                <w:sz w:val="20"/>
                <w:szCs w:val="20"/>
                <w:shd w:val="solid" w:color="000000" w:fill="000000"/>
                <w:fitText w:val="81" w:id="-963397104"/>
                <w14:textFill>
                  <w14:solidFill>
                    <w14:srgbClr w14:val="000000">
                      <w14:alpha w14:val="100000"/>
                    </w14:srgbClr>
                  </w14:solidFill>
                </w14:textFill>
              </w:rPr>
              <w:t>|</w:t>
            </w:r>
            <w:r w:rsidRPr="00DE43FD">
              <w:rPr>
                <w:rFonts w:ascii="Arial Narrow" w:hAnsi="Arial Narrow" w:hint="eastAsia"/>
                <w:color w:val="000000"/>
                <w:spacing w:val="1"/>
                <w:w w:val="18"/>
                <w:sz w:val="20"/>
                <w:szCs w:val="20"/>
                <w:shd w:val="solid" w:color="000000" w:fill="000000"/>
                <w:fitText w:val="81" w:id="-963397104"/>
                <w14:textFill>
                  <w14:solidFill>
                    <w14:srgbClr w14:val="000000">
                      <w14:alpha w14:val="100000"/>
                    </w14:srgbClr>
                  </w14:solidFill>
                </w14:textFill>
              </w:rPr>
              <w:t xml:space="preserve">　</w:t>
            </w:r>
            <w:r w:rsidR="005A710D">
              <w:rPr>
                <w:rFonts w:ascii="Arial Narrow" w:hAnsi="Arial Narrow"/>
                <w:sz w:val="20"/>
                <w:szCs w:val="20"/>
                <w:vertAlign w:val="superscript"/>
              </w:rPr>
              <w:t>4</w:t>
            </w:r>
          </w:p>
        </w:tc>
        <w:tc>
          <w:tcPr>
            <w:tcW w:w="1057" w:type="dxa"/>
            <w:tcBorders>
              <w:top w:val="nil"/>
              <w:bottom w:val="nil"/>
            </w:tcBorders>
            <w:vAlign w:val="center"/>
          </w:tcPr>
          <w:p w14:paraId="63CA66A0" w14:textId="5D5CC8D1" w:rsidR="00AC5DB7" w:rsidRPr="00AF4912" w:rsidRDefault="00DE43FD" w:rsidP="00D87DA9">
            <w:pPr>
              <w:keepNext/>
              <w:jc w:val="center"/>
              <w:rPr>
                <w:rFonts w:ascii="Arial Narrow" w:hAnsi="Arial Narrow"/>
                <w:sz w:val="20"/>
                <w:szCs w:val="20"/>
                <w:highlight w:val="lightGray"/>
              </w:rPr>
            </w:pPr>
            <w:r w:rsidRPr="00DE43FD">
              <w:rPr>
                <w:rFonts w:ascii="Arial Narrow" w:hAnsi="Arial Narrow" w:hint="eastAsia"/>
                <w:color w:val="000000"/>
                <w:w w:val="18"/>
                <w:sz w:val="20"/>
                <w:szCs w:val="20"/>
                <w:shd w:val="solid" w:color="000000" w:fill="000000"/>
                <w:fitText w:val="81" w:id="-963397120"/>
                <w14:textFill>
                  <w14:solidFill>
                    <w14:srgbClr w14:val="000000">
                      <w14:alpha w14:val="100000"/>
                    </w14:srgbClr>
                  </w14:solidFill>
                </w14:textFill>
              </w:rPr>
              <w:t xml:space="preserve">　</w:t>
            </w:r>
            <w:r w:rsidRPr="00DE43FD">
              <w:rPr>
                <w:rFonts w:ascii="Arial Narrow" w:hAnsi="Arial Narrow"/>
                <w:color w:val="000000"/>
                <w:w w:val="18"/>
                <w:sz w:val="20"/>
                <w:szCs w:val="20"/>
                <w:shd w:val="solid" w:color="000000" w:fill="000000"/>
                <w:fitText w:val="81" w:id="-963397120"/>
                <w14:textFill>
                  <w14:solidFill>
                    <w14:srgbClr w14:val="000000">
                      <w14:alpha w14:val="100000"/>
                    </w14:srgbClr>
                  </w14:solidFill>
                </w14:textFill>
              </w:rPr>
              <w:t>|</w:t>
            </w:r>
            <w:r w:rsidRPr="00DE43FD">
              <w:rPr>
                <w:rFonts w:ascii="Arial Narrow" w:hAnsi="Arial Narrow" w:hint="eastAsia"/>
                <w:color w:val="000000"/>
                <w:spacing w:val="1"/>
                <w:w w:val="18"/>
                <w:sz w:val="20"/>
                <w:szCs w:val="20"/>
                <w:shd w:val="solid" w:color="000000" w:fill="000000"/>
                <w:fitText w:val="81" w:id="-963397120"/>
                <w14:textFill>
                  <w14:solidFill>
                    <w14:srgbClr w14:val="000000">
                      <w14:alpha w14:val="100000"/>
                    </w14:srgbClr>
                  </w14:solidFill>
                </w14:textFill>
              </w:rPr>
              <w:t xml:space="preserve">　</w:t>
            </w:r>
            <w:r w:rsidR="005A710D">
              <w:rPr>
                <w:rFonts w:ascii="Arial Narrow" w:hAnsi="Arial Narrow"/>
                <w:sz w:val="20"/>
                <w:szCs w:val="20"/>
                <w:vertAlign w:val="superscript"/>
              </w:rPr>
              <w:t>4</w:t>
            </w:r>
          </w:p>
        </w:tc>
        <w:tc>
          <w:tcPr>
            <w:tcW w:w="1169" w:type="dxa"/>
            <w:tcBorders>
              <w:top w:val="nil"/>
              <w:bottom w:val="nil"/>
            </w:tcBorders>
            <w:vAlign w:val="center"/>
          </w:tcPr>
          <w:p w14:paraId="66CFE449" w14:textId="4016A87E" w:rsidR="00AC5DB7" w:rsidRPr="00AF4912" w:rsidRDefault="00DE43FD" w:rsidP="00D87DA9">
            <w:pPr>
              <w:keepNext/>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119"/>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119"/>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119"/>
                <w14:textFill>
                  <w14:solidFill>
                    <w14:srgbClr w14:val="000000">
                      <w14:alpha w14:val="100000"/>
                    </w14:srgbClr>
                  </w14:solidFill>
                </w14:textFill>
              </w:rPr>
              <w:t xml:space="preserve">　</w:t>
            </w:r>
            <w:r w:rsidR="005A710D">
              <w:rPr>
                <w:rFonts w:ascii="Arial Narrow" w:hAnsi="Arial Narrow"/>
                <w:sz w:val="20"/>
                <w:szCs w:val="20"/>
                <w:vertAlign w:val="superscript"/>
              </w:rPr>
              <w:t>4</w:t>
            </w:r>
          </w:p>
        </w:tc>
        <w:tc>
          <w:tcPr>
            <w:tcW w:w="1169" w:type="dxa"/>
            <w:tcBorders>
              <w:top w:val="nil"/>
              <w:bottom w:val="nil"/>
            </w:tcBorders>
            <w:vAlign w:val="center"/>
          </w:tcPr>
          <w:p w14:paraId="5075AE64" w14:textId="5EEA2D21" w:rsidR="00AC5DB7" w:rsidRPr="00AF4912" w:rsidRDefault="00DE43FD" w:rsidP="00D87DA9">
            <w:pPr>
              <w:keepNext/>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118"/>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118"/>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118"/>
                <w14:textFill>
                  <w14:solidFill>
                    <w14:srgbClr w14:val="000000">
                      <w14:alpha w14:val="100000"/>
                    </w14:srgbClr>
                  </w14:solidFill>
                </w14:textFill>
              </w:rPr>
              <w:t xml:space="preserve">　</w:t>
            </w:r>
            <w:r w:rsidR="005A710D">
              <w:rPr>
                <w:rFonts w:ascii="Arial Narrow" w:hAnsi="Arial Narrow"/>
                <w:sz w:val="20"/>
                <w:szCs w:val="20"/>
                <w:vertAlign w:val="superscript"/>
              </w:rPr>
              <w:t>4</w:t>
            </w:r>
          </w:p>
        </w:tc>
        <w:tc>
          <w:tcPr>
            <w:tcW w:w="1169" w:type="dxa"/>
            <w:tcBorders>
              <w:top w:val="nil"/>
              <w:bottom w:val="nil"/>
            </w:tcBorders>
            <w:vAlign w:val="center"/>
          </w:tcPr>
          <w:p w14:paraId="4DB0256B" w14:textId="487E2BEC" w:rsidR="00AC5DB7" w:rsidRPr="00AF4912" w:rsidRDefault="00DE43FD" w:rsidP="00D87DA9">
            <w:pPr>
              <w:keepNext/>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117"/>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117"/>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117"/>
                <w14:textFill>
                  <w14:solidFill>
                    <w14:srgbClr w14:val="000000">
                      <w14:alpha w14:val="100000"/>
                    </w14:srgbClr>
                  </w14:solidFill>
                </w14:textFill>
              </w:rPr>
              <w:t xml:space="preserve">　</w:t>
            </w:r>
            <w:r w:rsidR="005A710D">
              <w:rPr>
                <w:rFonts w:ascii="Arial Narrow" w:hAnsi="Arial Narrow"/>
                <w:sz w:val="20"/>
                <w:szCs w:val="20"/>
                <w:vertAlign w:val="superscript"/>
              </w:rPr>
              <w:t>4</w:t>
            </w:r>
          </w:p>
        </w:tc>
        <w:tc>
          <w:tcPr>
            <w:tcW w:w="1169" w:type="dxa"/>
            <w:tcBorders>
              <w:top w:val="nil"/>
              <w:bottom w:val="nil"/>
            </w:tcBorders>
            <w:vAlign w:val="center"/>
          </w:tcPr>
          <w:p w14:paraId="799853B5" w14:textId="1C8286FA" w:rsidR="00AC5DB7" w:rsidRPr="00AF4912" w:rsidRDefault="00DE43FD" w:rsidP="00D87DA9">
            <w:pPr>
              <w:keepNext/>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116"/>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116"/>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116"/>
                <w14:textFill>
                  <w14:solidFill>
                    <w14:srgbClr w14:val="000000">
                      <w14:alpha w14:val="100000"/>
                    </w14:srgbClr>
                  </w14:solidFill>
                </w14:textFill>
              </w:rPr>
              <w:t xml:space="preserve">　</w:t>
            </w:r>
            <w:r w:rsidR="005A710D">
              <w:rPr>
                <w:rFonts w:ascii="Arial Narrow" w:hAnsi="Arial Narrow"/>
                <w:sz w:val="20"/>
                <w:szCs w:val="20"/>
                <w:vertAlign w:val="superscript"/>
              </w:rPr>
              <w:t>4</w:t>
            </w:r>
          </w:p>
        </w:tc>
      </w:tr>
      <w:tr w:rsidR="00AC5DB7" w:rsidRPr="00E81073" w14:paraId="6AEB0847" w14:textId="77777777" w:rsidTr="00621EA3">
        <w:tc>
          <w:tcPr>
            <w:tcW w:w="2227" w:type="dxa"/>
            <w:tcBorders>
              <w:top w:val="nil"/>
            </w:tcBorders>
            <w:vAlign w:val="center"/>
          </w:tcPr>
          <w:p w14:paraId="4705A4EC" w14:textId="77777777" w:rsidR="00AC5DB7" w:rsidRPr="00E81073" w:rsidRDefault="00AC5DB7" w:rsidP="00D87DA9">
            <w:pPr>
              <w:keepNext/>
              <w:ind w:left="112"/>
              <w:rPr>
                <w:rFonts w:ascii="Arial Narrow" w:hAnsi="Arial Narrow"/>
                <w:sz w:val="20"/>
                <w:szCs w:val="20"/>
              </w:rPr>
            </w:pPr>
            <w:r w:rsidRPr="00E81073">
              <w:rPr>
                <w:rFonts w:ascii="Arial Narrow" w:hAnsi="Arial Narrow"/>
                <w:sz w:val="20"/>
                <w:szCs w:val="20"/>
              </w:rPr>
              <w:t>UPA</w:t>
            </w:r>
          </w:p>
        </w:tc>
        <w:tc>
          <w:tcPr>
            <w:tcW w:w="1057" w:type="dxa"/>
            <w:tcBorders>
              <w:top w:val="nil"/>
            </w:tcBorders>
            <w:vAlign w:val="center"/>
          </w:tcPr>
          <w:p w14:paraId="3E94CDE6" w14:textId="00085B58" w:rsidR="00AC5DB7" w:rsidRPr="00E81073" w:rsidRDefault="00DE43FD" w:rsidP="00D87DA9">
            <w:pPr>
              <w:keepNext/>
              <w:jc w:val="center"/>
              <w:rPr>
                <w:rFonts w:ascii="Arial Narrow" w:hAnsi="Arial Narrow"/>
                <w:sz w:val="20"/>
                <w:szCs w:val="20"/>
              </w:rPr>
            </w:pPr>
            <w:r w:rsidRPr="00DE43FD">
              <w:rPr>
                <w:rFonts w:ascii="Arial Narrow" w:hAnsi="Arial Narrow" w:hint="eastAsia"/>
                <w:color w:val="000000"/>
                <w:w w:val="18"/>
                <w:sz w:val="20"/>
                <w:szCs w:val="20"/>
                <w:shd w:val="solid" w:color="000000" w:fill="000000"/>
                <w:fitText w:val="81" w:id="-963397115"/>
                <w14:textFill>
                  <w14:solidFill>
                    <w14:srgbClr w14:val="000000">
                      <w14:alpha w14:val="100000"/>
                    </w14:srgbClr>
                  </w14:solidFill>
                </w14:textFill>
              </w:rPr>
              <w:t xml:space="preserve">　</w:t>
            </w:r>
            <w:r w:rsidRPr="00DE43FD">
              <w:rPr>
                <w:rFonts w:ascii="Arial Narrow" w:hAnsi="Arial Narrow"/>
                <w:color w:val="000000"/>
                <w:w w:val="18"/>
                <w:sz w:val="20"/>
                <w:szCs w:val="20"/>
                <w:shd w:val="solid" w:color="000000" w:fill="000000"/>
                <w:fitText w:val="81" w:id="-963397115"/>
                <w14:textFill>
                  <w14:solidFill>
                    <w14:srgbClr w14:val="000000">
                      <w14:alpha w14:val="100000"/>
                    </w14:srgbClr>
                  </w14:solidFill>
                </w14:textFill>
              </w:rPr>
              <w:t>|</w:t>
            </w:r>
            <w:r w:rsidRPr="00DE43FD">
              <w:rPr>
                <w:rFonts w:ascii="Arial Narrow" w:hAnsi="Arial Narrow" w:hint="eastAsia"/>
                <w:color w:val="000000"/>
                <w:spacing w:val="1"/>
                <w:w w:val="18"/>
                <w:sz w:val="20"/>
                <w:szCs w:val="20"/>
                <w:shd w:val="solid" w:color="000000" w:fill="000000"/>
                <w:fitText w:val="81" w:id="-963397115"/>
                <w14:textFill>
                  <w14:solidFill>
                    <w14:srgbClr w14:val="000000">
                      <w14:alpha w14:val="100000"/>
                    </w14:srgbClr>
                  </w14:solidFill>
                </w14:textFill>
              </w:rPr>
              <w:t xml:space="preserve">　</w:t>
            </w:r>
            <w:r w:rsidR="005A710D" w:rsidRPr="008B6E2A">
              <w:rPr>
                <w:rFonts w:ascii="Arial Narrow" w:hAnsi="Arial Narrow"/>
                <w:sz w:val="20"/>
                <w:szCs w:val="20"/>
                <w:vertAlign w:val="superscript"/>
              </w:rPr>
              <w:t>4</w:t>
            </w:r>
          </w:p>
        </w:tc>
        <w:tc>
          <w:tcPr>
            <w:tcW w:w="1057" w:type="dxa"/>
            <w:tcBorders>
              <w:top w:val="nil"/>
            </w:tcBorders>
            <w:vAlign w:val="center"/>
          </w:tcPr>
          <w:p w14:paraId="6DABB410" w14:textId="14949246" w:rsidR="00AC5DB7" w:rsidRPr="00AF4912" w:rsidRDefault="00DE43FD" w:rsidP="00D87DA9">
            <w:pPr>
              <w:keepNext/>
              <w:jc w:val="center"/>
              <w:rPr>
                <w:rFonts w:ascii="Arial Narrow" w:hAnsi="Arial Narrow"/>
                <w:sz w:val="20"/>
                <w:szCs w:val="20"/>
                <w:highlight w:val="lightGray"/>
              </w:rPr>
            </w:pPr>
            <w:r w:rsidRPr="00DE43FD">
              <w:rPr>
                <w:rFonts w:ascii="Arial Narrow" w:hAnsi="Arial Narrow" w:hint="eastAsia"/>
                <w:color w:val="000000"/>
                <w:w w:val="18"/>
                <w:sz w:val="20"/>
                <w:szCs w:val="20"/>
                <w:shd w:val="solid" w:color="000000" w:fill="000000"/>
                <w:fitText w:val="81" w:id="-963397114"/>
                <w14:textFill>
                  <w14:solidFill>
                    <w14:srgbClr w14:val="000000">
                      <w14:alpha w14:val="100000"/>
                    </w14:srgbClr>
                  </w14:solidFill>
                </w14:textFill>
              </w:rPr>
              <w:t xml:space="preserve">　</w:t>
            </w:r>
            <w:r w:rsidRPr="00DE43FD">
              <w:rPr>
                <w:rFonts w:ascii="Arial Narrow" w:hAnsi="Arial Narrow"/>
                <w:color w:val="000000"/>
                <w:w w:val="18"/>
                <w:sz w:val="20"/>
                <w:szCs w:val="20"/>
                <w:shd w:val="solid" w:color="000000" w:fill="000000"/>
                <w:fitText w:val="81" w:id="-963397114"/>
                <w14:textFill>
                  <w14:solidFill>
                    <w14:srgbClr w14:val="000000">
                      <w14:alpha w14:val="100000"/>
                    </w14:srgbClr>
                  </w14:solidFill>
                </w14:textFill>
              </w:rPr>
              <w:t>|</w:t>
            </w:r>
            <w:r w:rsidRPr="00DE43FD">
              <w:rPr>
                <w:rFonts w:ascii="Arial Narrow" w:hAnsi="Arial Narrow" w:hint="eastAsia"/>
                <w:color w:val="000000"/>
                <w:spacing w:val="1"/>
                <w:w w:val="18"/>
                <w:sz w:val="20"/>
                <w:szCs w:val="20"/>
                <w:shd w:val="solid" w:color="000000" w:fill="000000"/>
                <w:fitText w:val="81" w:id="-963397114"/>
                <w14:textFill>
                  <w14:solidFill>
                    <w14:srgbClr w14:val="000000">
                      <w14:alpha w14:val="100000"/>
                    </w14:srgbClr>
                  </w14:solidFill>
                </w14:textFill>
              </w:rPr>
              <w:t xml:space="preserve">　</w:t>
            </w:r>
            <w:r w:rsidR="005A710D">
              <w:rPr>
                <w:rFonts w:ascii="Arial Narrow" w:hAnsi="Arial Narrow"/>
                <w:sz w:val="20"/>
                <w:szCs w:val="20"/>
                <w:vertAlign w:val="superscript"/>
              </w:rPr>
              <w:t>4</w:t>
            </w:r>
          </w:p>
        </w:tc>
        <w:tc>
          <w:tcPr>
            <w:tcW w:w="1169" w:type="dxa"/>
            <w:tcBorders>
              <w:top w:val="nil"/>
            </w:tcBorders>
            <w:vAlign w:val="center"/>
          </w:tcPr>
          <w:p w14:paraId="6F27BCE6" w14:textId="1106B75D" w:rsidR="00AC5DB7" w:rsidRPr="00AF4912" w:rsidRDefault="00DE43FD" w:rsidP="00D87DA9">
            <w:pPr>
              <w:keepNext/>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113"/>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113"/>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113"/>
                <w14:textFill>
                  <w14:solidFill>
                    <w14:srgbClr w14:val="000000">
                      <w14:alpha w14:val="100000"/>
                    </w14:srgbClr>
                  </w14:solidFill>
                </w14:textFill>
              </w:rPr>
              <w:t xml:space="preserve">　</w:t>
            </w:r>
            <w:r w:rsidR="005A710D">
              <w:rPr>
                <w:rFonts w:ascii="Arial Narrow" w:hAnsi="Arial Narrow"/>
                <w:sz w:val="20"/>
                <w:szCs w:val="20"/>
                <w:vertAlign w:val="superscript"/>
              </w:rPr>
              <w:t>4</w:t>
            </w:r>
          </w:p>
        </w:tc>
        <w:tc>
          <w:tcPr>
            <w:tcW w:w="1169" w:type="dxa"/>
            <w:tcBorders>
              <w:top w:val="nil"/>
            </w:tcBorders>
            <w:vAlign w:val="center"/>
          </w:tcPr>
          <w:p w14:paraId="6286C3C1" w14:textId="579D24AC" w:rsidR="00AC5DB7" w:rsidRPr="00AF4912" w:rsidRDefault="00DE43FD" w:rsidP="00D87DA9">
            <w:pPr>
              <w:keepNext/>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112"/>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112"/>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112"/>
                <w14:textFill>
                  <w14:solidFill>
                    <w14:srgbClr w14:val="000000">
                      <w14:alpha w14:val="100000"/>
                    </w14:srgbClr>
                  </w14:solidFill>
                </w14:textFill>
              </w:rPr>
              <w:t xml:space="preserve">　</w:t>
            </w:r>
            <w:r w:rsidR="005A710D">
              <w:rPr>
                <w:rFonts w:ascii="Arial Narrow" w:hAnsi="Arial Narrow"/>
                <w:sz w:val="20"/>
                <w:szCs w:val="20"/>
                <w:vertAlign w:val="superscript"/>
              </w:rPr>
              <w:t>4</w:t>
            </w:r>
          </w:p>
        </w:tc>
        <w:tc>
          <w:tcPr>
            <w:tcW w:w="1169" w:type="dxa"/>
            <w:tcBorders>
              <w:top w:val="nil"/>
            </w:tcBorders>
            <w:vAlign w:val="center"/>
          </w:tcPr>
          <w:p w14:paraId="6710BB39" w14:textId="6DD5904A" w:rsidR="00AC5DB7" w:rsidRPr="00AF4912" w:rsidRDefault="00DE43FD" w:rsidP="00D87DA9">
            <w:pPr>
              <w:keepNext/>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111"/>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111"/>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111"/>
                <w14:textFill>
                  <w14:solidFill>
                    <w14:srgbClr w14:val="000000">
                      <w14:alpha w14:val="100000"/>
                    </w14:srgbClr>
                  </w14:solidFill>
                </w14:textFill>
              </w:rPr>
              <w:t xml:space="preserve">　</w:t>
            </w:r>
            <w:r w:rsidR="005A710D">
              <w:rPr>
                <w:rFonts w:ascii="Arial Narrow" w:hAnsi="Arial Narrow"/>
                <w:sz w:val="20"/>
                <w:szCs w:val="20"/>
                <w:vertAlign w:val="superscript"/>
              </w:rPr>
              <w:t>4</w:t>
            </w:r>
          </w:p>
        </w:tc>
        <w:tc>
          <w:tcPr>
            <w:tcW w:w="1169" w:type="dxa"/>
            <w:tcBorders>
              <w:top w:val="nil"/>
            </w:tcBorders>
            <w:vAlign w:val="center"/>
          </w:tcPr>
          <w:p w14:paraId="07EB5A12" w14:textId="2D606795" w:rsidR="00AC5DB7" w:rsidRPr="00AF4912" w:rsidRDefault="00DE43FD" w:rsidP="00D87DA9">
            <w:pPr>
              <w:keepNext/>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110"/>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110"/>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110"/>
                <w14:textFill>
                  <w14:solidFill>
                    <w14:srgbClr w14:val="000000">
                      <w14:alpha w14:val="100000"/>
                    </w14:srgbClr>
                  </w14:solidFill>
                </w14:textFill>
              </w:rPr>
              <w:t xml:space="preserve">　</w:t>
            </w:r>
            <w:r w:rsidR="005A710D">
              <w:rPr>
                <w:rFonts w:ascii="Arial Narrow" w:hAnsi="Arial Narrow"/>
                <w:sz w:val="20"/>
                <w:szCs w:val="20"/>
                <w:vertAlign w:val="superscript"/>
              </w:rPr>
              <w:t>4</w:t>
            </w:r>
          </w:p>
        </w:tc>
      </w:tr>
      <w:tr w:rsidR="00AC5DB7" w:rsidRPr="00E81073" w14:paraId="625E7EF9" w14:textId="77777777" w:rsidTr="00621EA3">
        <w:tc>
          <w:tcPr>
            <w:tcW w:w="9017" w:type="dxa"/>
            <w:gridSpan w:val="7"/>
          </w:tcPr>
          <w:p w14:paraId="55A97E48" w14:textId="48B288A7" w:rsidR="00AC5DB7" w:rsidRPr="00E81073" w:rsidRDefault="00AC5DB7" w:rsidP="00D87DA9">
            <w:pPr>
              <w:keepNext/>
              <w:rPr>
                <w:rFonts w:ascii="Arial Narrow" w:hAnsi="Arial Narrow"/>
                <w:i/>
                <w:iCs/>
                <w:sz w:val="20"/>
                <w:szCs w:val="20"/>
              </w:rPr>
            </w:pPr>
            <w:r w:rsidRPr="00E81073">
              <w:rPr>
                <w:rFonts w:ascii="Arial Narrow" w:hAnsi="Arial Narrow"/>
                <w:b/>
                <w:bCs/>
                <w:sz w:val="20"/>
                <w:szCs w:val="20"/>
              </w:rPr>
              <w:t xml:space="preserve">Estimated financial implications for the PBS/RPBS </w:t>
            </w:r>
          </w:p>
        </w:tc>
      </w:tr>
      <w:tr w:rsidR="00AC5DB7" w:rsidRPr="00E81073" w14:paraId="58693D64" w14:textId="77777777" w:rsidTr="00621EA3">
        <w:tc>
          <w:tcPr>
            <w:tcW w:w="2227" w:type="dxa"/>
          </w:tcPr>
          <w:p w14:paraId="5E3A0919" w14:textId="77777777" w:rsidR="00AC5DB7" w:rsidRPr="00E81073" w:rsidRDefault="00AC5DB7" w:rsidP="00D87DA9">
            <w:pPr>
              <w:keepNext/>
              <w:rPr>
                <w:rFonts w:ascii="Arial Narrow" w:hAnsi="Arial Narrow"/>
                <w:sz w:val="20"/>
                <w:szCs w:val="20"/>
              </w:rPr>
            </w:pPr>
            <w:r w:rsidRPr="00E81073">
              <w:rPr>
                <w:rFonts w:ascii="Arial Narrow" w:hAnsi="Arial Narrow"/>
                <w:sz w:val="20"/>
                <w:szCs w:val="20"/>
              </w:rPr>
              <w:t>Net cost to PBS/RPBS</w:t>
            </w:r>
          </w:p>
        </w:tc>
        <w:tc>
          <w:tcPr>
            <w:tcW w:w="1057" w:type="dxa"/>
            <w:vAlign w:val="center"/>
          </w:tcPr>
          <w:p w14:paraId="737BDA79" w14:textId="72E96884" w:rsidR="00AC5DB7" w:rsidRPr="00AF4912" w:rsidRDefault="00DE43FD" w:rsidP="00D87DA9">
            <w:pPr>
              <w:keepNext/>
              <w:jc w:val="center"/>
              <w:rPr>
                <w:rFonts w:ascii="Arial Narrow" w:hAnsi="Arial Narrow"/>
                <w:sz w:val="20"/>
                <w:szCs w:val="20"/>
                <w:highlight w:val="lightGray"/>
              </w:rPr>
            </w:pPr>
            <w:r w:rsidRPr="00DE43FD">
              <w:rPr>
                <w:rFonts w:ascii="Arial Narrow" w:hAnsi="Arial Narrow" w:hint="eastAsia"/>
                <w:color w:val="000000"/>
                <w:w w:val="18"/>
                <w:sz w:val="20"/>
                <w:szCs w:val="20"/>
                <w:shd w:val="solid" w:color="000000" w:fill="000000"/>
                <w:fitText w:val="81" w:id="-963397109"/>
                <w14:textFill>
                  <w14:solidFill>
                    <w14:srgbClr w14:val="000000">
                      <w14:alpha w14:val="100000"/>
                    </w14:srgbClr>
                  </w14:solidFill>
                </w14:textFill>
              </w:rPr>
              <w:t xml:space="preserve">　</w:t>
            </w:r>
            <w:r w:rsidRPr="00DE43FD">
              <w:rPr>
                <w:rFonts w:ascii="Arial Narrow" w:hAnsi="Arial Narrow"/>
                <w:color w:val="000000"/>
                <w:w w:val="18"/>
                <w:sz w:val="20"/>
                <w:szCs w:val="20"/>
                <w:shd w:val="solid" w:color="000000" w:fill="000000"/>
                <w:fitText w:val="81" w:id="-963397109"/>
                <w14:textFill>
                  <w14:solidFill>
                    <w14:srgbClr w14:val="000000">
                      <w14:alpha w14:val="100000"/>
                    </w14:srgbClr>
                  </w14:solidFill>
                </w14:textFill>
              </w:rPr>
              <w:t>|</w:t>
            </w:r>
            <w:r w:rsidRPr="00DE43FD">
              <w:rPr>
                <w:rFonts w:ascii="Arial Narrow" w:hAnsi="Arial Narrow" w:hint="eastAsia"/>
                <w:color w:val="000000"/>
                <w:spacing w:val="1"/>
                <w:w w:val="18"/>
                <w:sz w:val="20"/>
                <w:szCs w:val="20"/>
                <w:shd w:val="solid" w:color="000000" w:fill="000000"/>
                <w:fitText w:val="81" w:id="-963397109"/>
                <w14:textFill>
                  <w14:solidFill>
                    <w14:srgbClr w14:val="000000">
                      <w14:alpha w14:val="100000"/>
                    </w14:srgbClr>
                  </w14:solidFill>
                </w14:textFill>
              </w:rPr>
              <w:t xml:space="preserve">　</w:t>
            </w:r>
            <w:r w:rsidR="0063250A" w:rsidRPr="00A01E1F">
              <w:rPr>
                <w:rFonts w:ascii="Arial Narrow" w:hAnsi="Arial Narrow"/>
                <w:sz w:val="20"/>
                <w:szCs w:val="20"/>
                <w:vertAlign w:val="superscript"/>
              </w:rPr>
              <w:t>4</w:t>
            </w:r>
          </w:p>
        </w:tc>
        <w:tc>
          <w:tcPr>
            <w:tcW w:w="1057" w:type="dxa"/>
            <w:vAlign w:val="center"/>
          </w:tcPr>
          <w:p w14:paraId="71793E5A" w14:textId="29F11EF8" w:rsidR="00AC5DB7" w:rsidRPr="00AF4912" w:rsidRDefault="00DE43FD" w:rsidP="00D87DA9">
            <w:pPr>
              <w:keepNext/>
              <w:jc w:val="center"/>
              <w:rPr>
                <w:rFonts w:ascii="Arial Narrow" w:hAnsi="Arial Narrow"/>
                <w:sz w:val="20"/>
                <w:szCs w:val="20"/>
                <w:highlight w:val="lightGray"/>
              </w:rPr>
            </w:pPr>
            <w:r w:rsidRPr="00DE43FD">
              <w:rPr>
                <w:rFonts w:ascii="Arial Narrow" w:hAnsi="Arial Narrow" w:hint="eastAsia"/>
                <w:color w:val="000000"/>
                <w:w w:val="18"/>
                <w:sz w:val="20"/>
                <w:szCs w:val="20"/>
                <w:shd w:val="solid" w:color="000000" w:fill="000000"/>
                <w:fitText w:val="81" w:id="-963397108"/>
                <w14:textFill>
                  <w14:solidFill>
                    <w14:srgbClr w14:val="000000">
                      <w14:alpha w14:val="100000"/>
                    </w14:srgbClr>
                  </w14:solidFill>
                </w14:textFill>
              </w:rPr>
              <w:t xml:space="preserve">　</w:t>
            </w:r>
            <w:r w:rsidRPr="00DE43FD">
              <w:rPr>
                <w:rFonts w:ascii="Arial Narrow" w:hAnsi="Arial Narrow"/>
                <w:color w:val="000000"/>
                <w:w w:val="18"/>
                <w:sz w:val="20"/>
                <w:szCs w:val="20"/>
                <w:shd w:val="solid" w:color="000000" w:fill="000000"/>
                <w:fitText w:val="81" w:id="-963397108"/>
                <w14:textFill>
                  <w14:solidFill>
                    <w14:srgbClr w14:val="000000">
                      <w14:alpha w14:val="100000"/>
                    </w14:srgbClr>
                  </w14:solidFill>
                </w14:textFill>
              </w:rPr>
              <w:t>|</w:t>
            </w:r>
            <w:r w:rsidRPr="00DE43FD">
              <w:rPr>
                <w:rFonts w:ascii="Arial Narrow" w:hAnsi="Arial Narrow" w:hint="eastAsia"/>
                <w:color w:val="000000"/>
                <w:spacing w:val="1"/>
                <w:w w:val="18"/>
                <w:sz w:val="20"/>
                <w:szCs w:val="20"/>
                <w:shd w:val="solid" w:color="000000" w:fill="000000"/>
                <w:fitText w:val="81" w:id="-963397108"/>
                <w14:textFill>
                  <w14:solidFill>
                    <w14:srgbClr w14:val="000000">
                      <w14:alpha w14:val="100000"/>
                    </w14:srgbClr>
                  </w14:solidFill>
                </w14:textFill>
              </w:rPr>
              <w:t xml:space="preserve">　</w:t>
            </w:r>
            <w:r w:rsidR="0063250A" w:rsidRPr="00A01E1F">
              <w:rPr>
                <w:rFonts w:ascii="Arial Narrow" w:hAnsi="Arial Narrow"/>
                <w:sz w:val="20"/>
                <w:szCs w:val="20"/>
                <w:vertAlign w:val="superscript"/>
              </w:rPr>
              <w:t>4</w:t>
            </w:r>
          </w:p>
        </w:tc>
        <w:tc>
          <w:tcPr>
            <w:tcW w:w="1169" w:type="dxa"/>
            <w:vAlign w:val="center"/>
          </w:tcPr>
          <w:p w14:paraId="535A0033" w14:textId="620C797F" w:rsidR="00AC5DB7" w:rsidRPr="00AF4912" w:rsidRDefault="00DE43FD" w:rsidP="00D87DA9">
            <w:pPr>
              <w:keepNext/>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107"/>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107"/>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107"/>
                <w14:textFill>
                  <w14:solidFill>
                    <w14:srgbClr w14:val="000000">
                      <w14:alpha w14:val="100000"/>
                    </w14:srgbClr>
                  </w14:solidFill>
                </w14:textFill>
              </w:rPr>
              <w:t xml:space="preserve">　</w:t>
            </w:r>
            <w:r w:rsidR="0063250A" w:rsidRPr="00A01E1F">
              <w:rPr>
                <w:rFonts w:ascii="Arial Narrow" w:hAnsi="Arial Narrow"/>
                <w:sz w:val="20"/>
                <w:szCs w:val="20"/>
                <w:vertAlign w:val="superscript"/>
              </w:rPr>
              <w:t>4</w:t>
            </w:r>
          </w:p>
        </w:tc>
        <w:tc>
          <w:tcPr>
            <w:tcW w:w="1169" w:type="dxa"/>
            <w:vAlign w:val="center"/>
          </w:tcPr>
          <w:p w14:paraId="3EC687F5" w14:textId="2CC01447" w:rsidR="00AC5DB7" w:rsidRPr="00AF4912" w:rsidRDefault="00DE43FD" w:rsidP="00D87DA9">
            <w:pPr>
              <w:keepNext/>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106"/>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106"/>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106"/>
                <w14:textFill>
                  <w14:solidFill>
                    <w14:srgbClr w14:val="000000">
                      <w14:alpha w14:val="100000"/>
                    </w14:srgbClr>
                  </w14:solidFill>
                </w14:textFill>
              </w:rPr>
              <w:t xml:space="preserve">　</w:t>
            </w:r>
            <w:r w:rsidR="0063250A" w:rsidRPr="00A01E1F">
              <w:rPr>
                <w:rFonts w:ascii="Arial Narrow" w:hAnsi="Arial Narrow"/>
                <w:sz w:val="20"/>
                <w:szCs w:val="20"/>
                <w:vertAlign w:val="superscript"/>
              </w:rPr>
              <w:t>4</w:t>
            </w:r>
          </w:p>
        </w:tc>
        <w:tc>
          <w:tcPr>
            <w:tcW w:w="1169" w:type="dxa"/>
            <w:vAlign w:val="center"/>
          </w:tcPr>
          <w:p w14:paraId="615A9D44" w14:textId="09C148D7" w:rsidR="00AC5DB7" w:rsidRPr="00AF4912" w:rsidRDefault="00DE43FD" w:rsidP="00D87DA9">
            <w:pPr>
              <w:keepNext/>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105"/>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105"/>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105"/>
                <w14:textFill>
                  <w14:solidFill>
                    <w14:srgbClr w14:val="000000">
                      <w14:alpha w14:val="100000"/>
                    </w14:srgbClr>
                  </w14:solidFill>
                </w14:textFill>
              </w:rPr>
              <w:t xml:space="preserve">　</w:t>
            </w:r>
            <w:r w:rsidR="0063250A" w:rsidRPr="00A01E1F">
              <w:rPr>
                <w:rFonts w:ascii="Arial Narrow" w:hAnsi="Arial Narrow"/>
                <w:sz w:val="20"/>
                <w:szCs w:val="20"/>
                <w:vertAlign w:val="superscript"/>
              </w:rPr>
              <w:t>4</w:t>
            </w:r>
          </w:p>
        </w:tc>
        <w:tc>
          <w:tcPr>
            <w:tcW w:w="1169" w:type="dxa"/>
            <w:vAlign w:val="center"/>
          </w:tcPr>
          <w:p w14:paraId="6C501CAE" w14:textId="66408267" w:rsidR="00AC5DB7" w:rsidRPr="00AF4912" w:rsidRDefault="00DE43FD" w:rsidP="00D87DA9">
            <w:pPr>
              <w:keepNext/>
              <w:jc w:val="center"/>
              <w:rPr>
                <w:rFonts w:ascii="Arial Narrow" w:hAnsi="Arial Narrow"/>
                <w:sz w:val="20"/>
                <w:szCs w:val="20"/>
                <w:highlight w:val="lightGray"/>
              </w:rPr>
            </w:pPr>
            <w:r w:rsidRPr="006269D6">
              <w:rPr>
                <w:rFonts w:ascii="Arial Narrow" w:hAnsi="Arial Narrow" w:hint="eastAsia"/>
                <w:color w:val="000000"/>
                <w:w w:val="15"/>
                <w:sz w:val="20"/>
                <w:szCs w:val="20"/>
                <w:shd w:val="solid" w:color="000000" w:fill="000000"/>
                <w:fitText w:val="23" w:id="-963397104"/>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104"/>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104"/>
                <w14:textFill>
                  <w14:solidFill>
                    <w14:srgbClr w14:val="000000">
                      <w14:alpha w14:val="100000"/>
                    </w14:srgbClr>
                  </w14:solidFill>
                </w14:textFill>
              </w:rPr>
              <w:t xml:space="preserve">　</w:t>
            </w:r>
            <w:r w:rsidR="0063250A" w:rsidRPr="00A01E1F">
              <w:rPr>
                <w:rFonts w:ascii="Arial Narrow" w:hAnsi="Arial Narrow"/>
                <w:sz w:val="20"/>
                <w:szCs w:val="20"/>
                <w:vertAlign w:val="superscript"/>
              </w:rPr>
              <w:t>4</w:t>
            </w:r>
          </w:p>
        </w:tc>
      </w:tr>
      <w:tr w:rsidR="00AC5DB7" w:rsidRPr="00E81073" w14:paraId="34F16E0E" w14:textId="77777777" w:rsidTr="00621EA3">
        <w:tc>
          <w:tcPr>
            <w:tcW w:w="9017" w:type="dxa"/>
            <w:gridSpan w:val="7"/>
            <w:tcBorders>
              <w:bottom w:val="single" w:sz="4" w:space="0" w:color="auto"/>
            </w:tcBorders>
          </w:tcPr>
          <w:p w14:paraId="5864FAAC" w14:textId="77777777" w:rsidR="00AC5DB7" w:rsidRPr="00E81073" w:rsidRDefault="00AC5DB7" w:rsidP="00D87DA9">
            <w:pPr>
              <w:keepNext/>
              <w:rPr>
                <w:rFonts w:ascii="Arial Narrow" w:hAnsi="Arial Narrow"/>
                <w:b/>
                <w:bCs/>
                <w:sz w:val="20"/>
                <w:szCs w:val="20"/>
              </w:rPr>
            </w:pPr>
            <w:r w:rsidRPr="00E81073">
              <w:rPr>
                <w:rFonts w:ascii="Arial Narrow" w:hAnsi="Arial Narrow"/>
                <w:b/>
                <w:bCs/>
                <w:sz w:val="20"/>
                <w:szCs w:val="20"/>
              </w:rPr>
              <w:t>Estimated financial implications for the health budget</w:t>
            </w:r>
          </w:p>
        </w:tc>
      </w:tr>
      <w:tr w:rsidR="00AC5DB7" w:rsidRPr="00E81073" w14:paraId="51858826" w14:textId="77777777" w:rsidTr="00621EA3">
        <w:tc>
          <w:tcPr>
            <w:tcW w:w="2227" w:type="dxa"/>
            <w:tcBorders>
              <w:top w:val="single" w:sz="4" w:space="0" w:color="auto"/>
            </w:tcBorders>
          </w:tcPr>
          <w:p w14:paraId="2D17D332" w14:textId="77777777" w:rsidR="00AC5DB7" w:rsidRPr="00E81073" w:rsidRDefault="00AC5DB7" w:rsidP="00D87DA9">
            <w:pPr>
              <w:keepNext/>
              <w:rPr>
                <w:rFonts w:ascii="Arial Narrow" w:hAnsi="Arial Narrow"/>
                <w:bCs/>
                <w:sz w:val="20"/>
                <w:szCs w:val="20"/>
              </w:rPr>
            </w:pPr>
            <w:r w:rsidRPr="00E81073">
              <w:rPr>
                <w:rFonts w:ascii="Arial Narrow" w:hAnsi="Arial Narrow"/>
                <w:bCs/>
                <w:sz w:val="20"/>
                <w:szCs w:val="20"/>
              </w:rPr>
              <w:t>Net cost to health budget</w:t>
            </w:r>
          </w:p>
        </w:tc>
        <w:tc>
          <w:tcPr>
            <w:tcW w:w="1057" w:type="dxa"/>
            <w:tcBorders>
              <w:top w:val="single" w:sz="4" w:space="0" w:color="auto"/>
            </w:tcBorders>
            <w:vAlign w:val="center"/>
          </w:tcPr>
          <w:p w14:paraId="060E0347" w14:textId="4DE5FFD2" w:rsidR="00AC5DB7" w:rsidRPr="00AF4912" w:rsidRDefault="00DE43FD" w:rsidP="00D87DA9">
            <w:pPr>
              <w:keepNext/>
              <w:jc w:val="center"/>
              <w:rPr>
                <w:rFonts w:ascii="Arial Narrow" w:hAnsi="Arial Narrow"/>
                <w:bCs/>
                <w:iCs/>
                <w:sz w:val="20"/>
                <w:szCs w:val="20"/>
                <w:highlight w:val="lightGray"/>
              </w:rPr>
            </w:pPr>
            <w:r w:rsidRPr="00DE43FD">
              <w:rPr>
                <w:rFonts w:ascii="Arial Narrow" w:hAnsi="Arial Narrow" w:hint="eastAsia"/>
                <w:color w:val="000000"/>
                <w:w w:val="18"/>
                <w:sz w:val="20"/>
                <w:szCs w:val="20"/>
                <w:shd w:val="solid" w:color="000000" w:fill="000000"/>
                <w:fitText w:val="81" w:id="-963397120"/>
                <w14:textFill>
                  <w14:solidFill>
                    <w14:srgbClr w14:val="000000">
                      <w14:alpha w14:val="100000"/>
                    </w14:srgbClr>
                  </w14:solidFill>
                </w14:textFill>
              </w:rPr>
              <w:t xml:space="preserve">　</w:t>
            </w:r>
            <w:r w:rsidRPr="00DE43FD">
              <w:rPr>
                <w:rFonts w:ascii="Arial Narrow" w:hAnsi="Arial Narrow"/>
                <w:color w:val="000000"/>
                <w:w w:val="18"/>
                <w:sz w:val="20"/>
                <w:szCs w:val="20"/>
                <w:shd w:val="solid" w:color="000000" w:fill="000000"/>
                <w:fitText w:val="81" w:id="-963397120"/>
                <w14:textFill>
                  <w14:solidFill>
                    <w14:srgbClr w14:val="000000">
                      <w14:alpha w14:val="100000"/>
                    </w14:srgbClr>
                  </w14:solidFill>
                </w14:textFill>
              </w:rPr>
              <w:t>|</w:t>
            </w:r>
            <w:r w:rsidRPr="00DE43FD">
              <w:rPr>
                <w:rFonts w:ascii="Arial Narrow" w:hAnsi="Arial Narrow" w:hint="eastAsia"/>
                <w:color w:val="000000"/>
                <w:spacing w:val="1"/>
                <w:w w:val="18"/>
                <w:sz w:val="20"/>
                <w:szCs w:val="20"/>
                <w:shd w:val="solid" w:color="000000" w:fill="000000"/>
                <w:fitText w:val="81" w:id="-963397120"/>
                <w14:textFill>
                  <w14:solidFill>
                    <w14:srgbClr w14:val="000000">
                      <w14:alpha w14:val="100000"/>
                    </w14:srgbClr>
                  </w14:solidFill>
                </w14:textFill>
              </w:rPr>
              <w:t xml:space="preserve">　</w:t>
            </w:r>
            <w:r w:rsidR="0063250A" w:rsidRPr="00A01E1F">
              <w:rPr>
                <w:rFonts w:ascii="Arial Narrow" w:hAnsi="Arial Narrow"/>
                <w:sz w:val="20"/>
                <w:szCs w:val="20"/>
                <w:vertAlign w:val="superscript"/>
              </w:rPr>
              <w:t>4</w:t>
            </w:r>
          </w:p>
        </w:tc>
        <w:tc>
          <w:tcPr>
            <w:tcW w:w="1057" w:type="dxa"/>
            <w:tcBorders>
              <w:top w:val="single" w:sz="4" w:space="0" w:color="auto"/>
            </w:tcBorders>
            <w:vAlign w:val="center"/>
          </w:tcPr>
          <w:p w14:paraId="62A073A9" w14:textId="7C9C4F6A" w:rsidR="00AC5DB7" w:rsidRPr="00AF4912" w:rsidRDefault="00DE43FD" w:rsidP="00D87DA9">
            <w:pPr>
              <w:keepNext/>
              <w:jc w:val="center"/>
              <w:rPr>
                <w:rFonts w:ascii="Arial Narrow" w:hAnsi="Arial Narrow"/>
                <w:bCs/>
                <w:iCs/>
                <w:sz w:val="20"/>
                <w:szCs w:val="20"/>
                <w:highlight w:val="lightGray"/>
              </w:rPr>
            </w:pPr>
            <w:r w:rsidRPr="00DE43FD">
              <w:rPr>
                <w:rFonts w:ascii="Arial Narrow" w:hAnsi="Arial Narrow" w:hint="eastAsia"/>
                <w:color w:val="000000"/>
                <w:w w:val="18"/>
                <w:sz w:val="20"/>
                <w:szCs w:val="20"/>
                <w:shd w:val="solid" w:color="000000" w:fill="000000"/>
                <w:fitText w:val="81" w:id="-963397119"/>
                <w14:textFill>
                  <w14:solidFill>
                    <w14:srgbClr w14:val="000000">
                      <w14:alpha w14:val="100000"/>
                    </w14:srgbClr>
                  </w14:solidFill>
                </w14:textFill>
              </w:rPr>
              <w:t xml:space="preserve">　</w:t>
            </w:r>
            <w:r w:rsidRPr="00DE43FD">
              <w:rPr>
                <w:rFonts w:ascii="Arial Narrow" w:hAnsi="Arial Narrow"/>
                <w:color w:val="000000"/>
                <w:w w:val="18"/>
                <w:sz w:val="20"/>
                <w:szCs w:val="20"/>
                <w:shd w:val="solid" w:color="000000" w:fill="000000"/>
                <w:fitText w:val="81" w:id="-963397119"/>
                <w14:textFill>
                  <w14:solidFill>
                    <w14:srgbClr w14:val="000000">
                      <w14:alpha w14:val="100000"/>
                    </w14:srgbClr>
                  </w14:solidFill>
                </w14:textFill>
              </w:rPr>
              <w:t>|</w:t>
            </w:r>
            <w:r w:rsidRPr="00DE43FD">
              <w:rPr>
                <w:rFonts w:ascii="Arial Narrow" w:hAnsi="Arial Narrow" w:hint="eastAsia"/>
                <w:color w:val="000000"/>
                <w:spacing w:val="1"/>
                <w:w w:val="18"/>
                <w:sz w:val="20"/>
                <w:szCs w:val="20"/>
                <w:shd w:val="solid" w:color="000000" w:fill="000000"/>
                <w:fitText w:val="81" w:id="-963397119"/>
                <w14:textFill>
                  <w14:solidFill>
                    <w14:srgbClr w14:val="000000">
                      <w14:alpha w14:val="100000"/>
                    </w14:srgbClr>
                  </w14:solidFill>
                </w14:textFill>
              </w:rPr>
              <w:t xml:space="preserve">　</w:t>
            </w:r>
            <w:r w:rsidR="0063250A" w:rsidRPr="00A01E1F">
              <w:rPr>
                <w:rFonts w:ascii="Arial Narrow" w:hAnsi="Arial Narrow"/>
                <w:sz w:val="20"/>
                <w:szCs w:val="20"/>
                <w:vertAlign w:val="superscript"/>
              </w:rPr>
              <w:t>4</w:t>
            </w:r>
          </w:p>
        </w:tc>
        <w:tc>
          <w:tcPr>
            <w:tcW w:w="1169" w:type="dxa"/>
            <w:tcBorders>
              <w:top w:val="single" w:sz="4" w:space="0" w:color="auto"/>
            </w:tcBorders>
            <w:vAlign w:val="center"/>
          </w:tcPr>
          <w:p w14:paraId="4082156D" w14:textId="2542C6D9" w:rsidR="00AC5DB7" w:rsidRPr="00AF4912" w:rsidRDefault="00DE43FD" w:rsidP="00D87DA9">
            <w:pPr>
              <w:keepNext/>
              <w:jc w:val="center"/>
              <w:rPr>
                <w:rFonts w:ascii="Arial Narrow" w:hAnsi="Arial Narrow"/>
                <w:bCs/>
                <w:iCs/>
                <w:sz w:val="20"/>
                <w:szCs w:val="20"/>
                <w:highlight w:val="lightGray"/>
              </w:rPr>
            </w:pPr>
            <w:r w:rsidRPr="006269D6">
              <w:rPr>
                <w:rFonts w:ascii="Arial Narrow" w:hAnsi="Arial Narrow" w:hint="eastAsia"/>
                <w:color w:val="000000"/>
                <w:w w:val="15"/>
                <w:sz w:val="20"/>
                <w:szCs w:val="20"/>
                <w:shd w:val="solid" w:color="000000" w:fill="000000"/>
                <w:fitText w:val="23" w:id="-963397118"/>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118"/>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118"/>
                <w14:textFill>
                  <w14:solidFill>
                    <w14:srgbClr w14:val="000000">
                      <w14:alpha w14:val="100000"/>
                    </w14:srgbClr>
                  </w14:solidFill>
                </w14:textFill>
              </w:rPr>
              <w:t xml:space="preserve">　</w:t>
            </w:r>
            <w:r w:rsidR="0063250A" w:rsidRPr="00A01E1F">
              <w:rPr>
                <w:rFonts w:ascii="Arial Narrow" w:hAnsi="Arial Narrow"/>
                <w:sz w:val="20"/>
                <w:szCs w:val="20"/>
                <w:vertAlign w:val="superscript"/>
              </w:rPr>
              <w:t>4</w:t>
            </w:r>
          </w:p>
        </w:tc>
        <w:tc>
          <w:tcPr>
            <w:tcW w:w="1169" w:type="dxa"/>
            <w:tcBorders>
              <w:top w:val="single" w:sz="4" w:space="0" w:color="auto"/>
            </w:tcBorders>
            <w:vAlign w:val="center"/>
          </w:tcPr>
          <w:p w14:paraId="597CDA2D" w14:textId="7AA49245" w:rsidR="00AC5DB7" w:rsidRPr="00AF4912" w:rsidRDefault="00DE43FD" w:rsidP="00D87DA9">
            <w:pPr>
              <w:keepNext/>
              <w:jc w:val="center"/>
              <w:rPr>
                <w:rFonts w:ascii="Arial Narrow" w:hAnsi="Arial Narrow"/>
                <w:bCs/>
                <w:iCs/>
                <w:sz w:val="20"/>
                <w:szCs w:val="20"/>
                <w:highlight w:val="lightGray"/>
              </w:rPr>
            </w:pPr>
            <w:r w:rsidRPr="006269D6">
              <w:rPr>
                <w:rFonts w:ascii="Arial Narrow" w:hAnsi="Arial Narrow" w:hint="eastAsia"/>
                <w:color w:val="000000"/>
                <w:w w:val="15"/>
                <w:sz w:val="20"/>
                <w:szCs w:val="20"/>
                <w:shd w:val="solid" w:color="000000" w:fill="000000"/>
                <w:fitText w:val="23" w:id="-963397117"/>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117"/>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117"/>
                <w14:textFill>
                  <w14:solidFill>
                    <w14:srgbClr w14:val="000000">
                      <w14:alpha w14:val="100000"/>
                    </w14:srgbClr>
                  </w14:solidFill>
                </w14:textFill>
              </w:rPr>
              <w:t xml:space="preserve">　</w:t>
            </w:r>
            <w:r w:rsidR="0063250A" w:rsidRPr="00A01E1F">
              <w:rPr>
                <w:rFonts w:ascii="Arial Narrow" w:hAnsi="Arial Narrow"/>
                <w:sz w:val="20"/>
                <w:szCs w:val="20"/>
                <w:vertAlign w:val="superscript"/>
              </w:rPr>
              <w:t>4</w:t>
            </w:r>
          </w:p>
        </w:tc>
        <w:tc>
          <w:tcPr>
            <w:tcW w:w="1169" w:type="dxa"/>
            <w:tcBorders>
              <w:top w:val="single" w:sz="4" w:space="0" w:color="auto"/>
            </w:tcBorders>
            <w:vAlign w:val="center"/>
          </w:tcPr>
          <w:p w14:paraId="25CAD98D" w14:textId="64CE6187" w:rsidR="00AC5DB7" w:rsidRPr="00AF4912" w:rsidRDefault="00DE43FD" w:rsidP="00D87DA9">
            <w:pPr>
              <w:keepNext/>
              <w:jc w:val="center"/>
              <w:rPr>
                <w:rFonts w:ascii="Arial Narrow" w:hAnsi="Arial Narrow"/>
                <w:bCs/>
                <w:iCs/>
                <w:sz w:val="20"/>
                <w:szCs w:val="20"/>
                <w:highlight w:val="lightGray"/>
              </w:rPr>
            </w:pPr>
            <w:r w:rsidRPr="006269D6">
              <w:rPr>
                <w:rFonts w:ascii="Arial Narrow" w:hAnsi="Arial Narrow" w:hint="eastAsia"/>
                <w:color w:val="000000"/>
                <w:w w:val="15"/>
                <w:sz w:val="20"/>
                <w:szCs w:val="20"/>
                <w:shd w:val="solid" w:color="000000" w:fill="000000"/>
                <w:fitText w:val="23" w:id="-963397116"/>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116"/>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116"/>
                <w14:textFill>
                  <w14:solidFill>
                    <w14:srgbClr w14:val="000000">
                      <w14:alpha w14:val="100000"/>
                    </w14:srgbClr>
                  </w14:solidFill>
                </w14:textFill>
              </w:rPr>
              <w:t xml:space="preserve">　</w:t>
            </w:r>
            <w:r w:rsidR="0063250A" w:rsidRPr="00A01E1F">
              <w:rPr>
                <w:rFonts w:ascii="Arial Narrow" w:hAnsi="Arial Narrow"/>
                <w:sz w:val="20"/>
                <w:szCs w:val="20"/>
                <w:vertAlign w:val="superscript"/>
              </w:rPr>
              <w:t>4</w:t>
            </w:r>
          </w:p>
        </w:tc>
        <w:tc>
          <w:tcPr>
            <w:tcW w:w="1169" w:type="dxa"/>
            <w:tcBorders>
              <w:top w:val="single" w:sz="4" w:space="0" w:color="auto"/>
            </w:tcBorders>
            <w:vAlign w:val="center"/>
          </w:tcPr>
          <w:p w14:paraId="7208AA98" w14:textId="7943EAF3" w:rsidR="00AC5DB7" w:rsidRPr="00AF4912" w:rsidRDefault="00DE43FD" w:rsidP="00D87DA9">
            <w:pPr>
              <w:keepNext/>
              <w:jc w:val="center"/>
              <w:rPr>
                <w:rFonts w:ascii="Arial Narrow" w:hAnsi="Arial Narrow"/>
                <w:bCs/>
                <w:iCs/>
                <w:sz w:val="20"/>
                <w:szCs w:val="20"/>
                <w:highlight w:val="lightGray"/>
              </w:rPr>
            </w:pPr>
            <w:r w:rsidRPr="006269D6">
              <w:rPr>
                <w:rFonts w:ascii="Arial Narrow" w:hAnsi="Arial Narrow" w:hint="eastAsia"/>
                <w:color w:val="000000"/>
                <w:w w:val="15"/>
                <w:sz w:val="20"/>
                <w:szCs w:val="20"/>
                <w:shd w:val="solid" w:color="000000" w:fill="000000"/>
                <w:fitText w:val="23" w:id="-963397115"/>
                <w14:textFill>
                  <w14:solidFill>
                    <w14:srgbClr w14:val="000000">
                      <w14:alpha w14:val="100000"/>
                    </w14:srgbClr>
                  </w14:solidFill>
                </w14:textFill>
              </w:rPr>
              <w:t xml:space="preserve">　</w:t>
            </w:r>
            <w:r w:rsidRPr="006269D6">
              <w:rPr>
                <w:rFonts w:ascii="Arial Narrow" w:hAnsi="Arial Narrow"/>
                <w:color w:val="000000"/>
                <w:w w:val="15"/>
                <w:sz w:val="20"/>
                <w:szCs w:val="20"/>
                <w:shd w:val="solid" w:color="000000" w:fill="000000"/>
                <w:fitText w:val="23" w:id="-963397115"/>
                <w14:textFill>
                  <w14:solidFill>
                    <w14:srgbClr w14:val="000000">
                      <w14:alpha w14:val="100000"/>
                    </w14:srgbClr>
                  </w14:solidFill>
                </w14:textFill>
              </w:rPr>
              <w:t>|</w:t>
            </w:r>
            <w:r w:rsidRPr="006269D6">
              <w:rPr>
                <w:rFonts w:ascii="Arial Narrow" w:hAnsi="Arial Narrow" w:hint="eastAsia"/>
                <w:color w:val="000000"/>
                <w:spacing w:val="-42"/>
                <w:w w:val="15"/>
                <w:sz w:val="20"/>
                <w:szCs w:val="20"/>
                <w:shd w:val="solid" w:color="000000" w:fill="000000"/>
                <w:fitText w:val="23" w:id="-963397115"/>
                <w14:textFill>
                  <w14:solidFill>
                    <w14:srgbClr w14:val="000000">
                      <w14:alpha w14:val="100000"/>
                    </w14:srgbClr>
                  </w14:solidFill>
                </w14:textFill>
              </w:rPr>
              <w:t xml:space="preserve">　</w:t>
            </w:r>
            <w:r w:rsidR="0063250A" w:rsidRPr="00A01E1F">
              <w:rPr>
                <w:rFonts w:ascii="Arial Narrow" w:hAnsi="Arial Narrow"/>
                <w:sz w:val="20"/>
                <w:szCs w:val="20"/>
                <w:vertAlign w:val="superscript"/>
              </w:rPr>
              <w:t>4</w:t>
            </w:r>
          </w:p>
        </w:tc>
      </w:tr>
    </w:tbl>
    <w:p w14:paraId="0AC4E842" w14:textId="77777777" w:rsidR="00AC5DB7" w:rsidRPr="00E81073" w:rsidRDefault="00AC5DB7" w:rsidP="00D87DA9">
      <w:pPr>
        <w:pStyle w:val="FooterTableFigure"/>
        <w:keepNext/>
        <w:rPr>
          <w:sz w:val="16"/>
          <w:szCs w:val="16"/>
        </w:rPr>
      </w:pPr>
      <w:r w:rsidRPr="00E81073">
        <w:rPr>
          <w:sz w:val="16"/>
          <w:szCs w:val="16"/>
        </w:rPr>
        <w:t>Source: Tables 4.4, 4.5, 4.6, 4.9, 4.11, 4.13, pp208-223 of the submission.</w:t>
      </w:r>
    </w:p>
    <w:p w14:paraId="79748B03" w14:textId="77777777" w:rsidR="00A503EE" w:rsidRDefault="00670F2D" w:rsidP="00D87DA9">
      <w:pPr>
        <w:pStyle w:val="FooterTableFigure"/>
        <w:keepNext/>
        <w:rPr>
          <w:szCs w:val="18"/>
        </w:rPr>
      </w:pPr>
      <w:r w:rsidRPr="00E81073">
        <w:rPr>
          <w:szCs w:val="18"/>
        </w:rPr>
        <w:t>ADA=adalimumab; BKZ=bimekizumab; CZP=certolizumab pegol; ETN=etanercept; GOL=golimumab; GUS=guselkumab; IFX=infliximab; IL=interleukin; IV=intravenous; IXE=</w:t>
      </w:r>
      <w:r w:rsidRPr="00E81073">
        <w:t xml:space="preserve"> </w:t>
      </w:r>
      <w:r w:rsidRPr="00E81073">
        <w:rPr>
          <w:szCs w:val="18"/>
        </w:rPr>
        <w:t>ixekizumab; JAK=</w:t>
      </w:r>
      <w:r w:rsidRPr="00E81073">
        <w:t>J</w:t>
      </w:r>
      <w:r w:rsidRPr="00E81073">
        <w:rPr>
          <w:szCs w:val="18"/>
        </w:rPr>
        <w:t>anus kinase; PBS=Pharmaceutical Benefits Scheme; RPBS=Repatriation Pharmaceutical Benefits Scheme; SC=subcutaneous(ly); SEC=secukinumab; TOF=</w:t>
      </w:r>
      <w:r w:rsidRPr="00E81073">
        <w:t>t</w:t>
      </w:r>
      <w:r w:rsidRPr="00E81073">
        <w:rPr>
          <w:szCs w:val="18"/>
        </w:rPr>
        <w:t>ofacitinib; UPA=</w:t>
      </w:r>
      <w:r w:rsidRPr="00E81073">
        <w:t>u</w:t>
      </w:r>
      <w:r w:rsidRPr="00E81073">
        <w:rPr>
          <w:szCs w:val="18"/>
        </w:rPr>
        <w:t>padacitinib; UST=</w:t>
      </w:r>
      <w:r w:rsidRPr="00E81073">
        <w:t xml:space="preserve"> </w:t>
      </w:r>
      <w:r w:rsidRPr="00E81073">
        <w:rPr>
          <w:szCs w:val="18"/>
        </w:rPr>
        <w:t>ustekinumab.</w:t>
      </w:r>
    </w:p>
    <w:p w14:paraId="43A10D6C" w14:textId="77777777" w:rsidR="00A503EE" w:rsidRPr="00A503EE" w:rsidRDefault="00670F2D" w:rsidP="00D87DA9">
      <w:pPr>
        <w:pStyle w:val="FooterTableFigure"/>
        <w:keepNext/>
        <w:rPr>
          <w:i/>
          <w:szCs w:val="18"/>
        </w:rPr>
      </w:pPr>
      <w:r w:rsidRPr="00E81073">
        <w:rPr>
          <w:szCs w:val="18"/>
        </w:rPr>
        <w:t xml:space="preserve"> </w:t>
      </w:r>
      <w:r w:rsidR="00A503EE" w:rsidRPr="00A503EE">
        <w:rPr>
          <w:i/>
          <w:szCs w:val="18"/>
        </w:rPr>
        <w:t xml:space="preserve">The redacted values correspond to the following ranges: </w:t>
      </w:r>
    </w:p>
    <w:p w14:paraId="148CB8EF" w14:textId="77777777" w:rsidR="00A503EE" w:rsidRPr="00A503EE" w:rsidRDefault="00A503EE" w:rsidP="00D87DA9">
      <w:pPr>
        <w:pStyle w:val="FooterTableFigure"/>
        <w:keepNext/>
        <w:rPr>
          <w:szCs w:val="18"/>
        </w:rPr>
      </w:pPr>
      <w:bookmarkStart w:id="53" w:name="_Hlk165446720"/>
      <w:r w:rsidRPr="00A503EE">
        <w:rPr>
          <w:szCs w:val="18"/>
          <w:vertAlign w:val="superscript"/>
        </w:rPr>
        <w:t>1</w:t>
      </w:r>
      <w:r w:rsidRPr="00A503EE">
        <w:rPr>
          <w:szCs w:val="18"/>
        </w:rPr>
        <w:t xml:space="preserve"> 500 to &lt; 5,000</w:t>
      </w:r>
    </w:p>
    <w:bookmarkEnd w:id="53"/>
    <w:p w14:paraId="759F7459" w14:textId="77777777" w:rsidR="00A503EE" w:rsidRDefault="00A503EE" w:rsidP="00D87DA9">
      <w:pPr>
        <w:pStyle w:val="FooterTableFigure"/>
        <w:keepNext/>
        <w:rPr>
          <w:szCs w:val="18"/>
        </w:rPr>
      </w:pPr>
      <w:r w:rsidRPr="00A503EE">
        <w:rPr>
          <w:szCs w:val="18"/>
          <w:vertAlign w:val="superscript"/>
        </w:rPr>
        <w:t>2</w:t>
      </w:r>
      <w:r w:rsidRPr="00A503EE">
        <w:rPr>
          <w:szCs w:val="18"/>
        </w:rPr>
        <w:t xml:space="preserve"> 5,000 to &lt; 10,000</w:t>
      </w:r>
    </w:p>
    <w:p w14:paraId="674E2DE0" w14:textId="055242A0" w:rsidR="00A503EE" w:rsidRPr="00A503EE" w:rsidRDefault="00A503EE" w:rsidP="00D87DA9">
      <w:pPr>
        <w:pStyle w:val="FooterTableFigure"/>
        <w:keepNext/>
        <w:rPr>
          <w:szCs w:val="18"/>
        </w:rPr>
      </w:pPr>
      <w:r>
        <w:rPr>
          <w:szCs w:val="18"/>
          <w:vertAlign w:val="superscript"/>
        </w:rPr>
        <w:t>3</w:t>
      </w:r>
      <w:r w:rsidRPr="00A503EE">
        <w:rPr>
          <w:szCs w:val="18"/>
        </w:rPr>
        <w:t xml:space="preserve"> &lt; 500</w:t>
      </w:r>
    </w:p>
    <w:p w14:paraId="013F7E23" w14:textId="2484763D" w:rsidR="00A503EE" w:rsidRPr="00A503EE" w:rsidRDefault="0063250A" w:rsidP="00D87DA9">
      <w:pPr>
        <w:pStyle w:val="FooterTableFigure"/>
        <w:keepNext/>
        <w:rPr>
          <w:szCs w:val="18"/>
        </w:rPr>
      </w:pPr>
      <w:r>
        <w:rPr>
          <w:szCs w:val="18"/>
          <w:vertAlign w:val="superscript"/>
        </w:rPr>
        <w:t>4</w:t>
      </w:r>
      <w:r w:rsidR="00A503EE" w:rsidRPr="00A503EE">
        <w:rPr>
          <w:szCs w:val="18"/>
          <w:vertAlign w:val="superscript"/>
        </w:rPr>
        <w:t xml:space="preserve"> </w:t>
      </w:r>
      <w:r w:rsidR="00A503EE" w:rsidRPr="00A503EE">
        <w:rPr>
          <w:szCs w:val="18"/>
        </w:rPr>
        <w:t>$0 to &lt; $10 million</w:t>
      </w:r>
    </w:p>
    <w:p w14:paraId="7BD6A54E" w14:textId="7C70ABBC" w:rsidR="00A503EE" w:rsidRPr="00A503EE" w:rsidRDefault="0063250A" w:rsidP="00D87DA9">
      <w:pPr>
        <w:pStyle w:val="FooterTableFigure"/>
        <w:keepNext/>
        <w:rPr>
          <w:szCs w:val="18"/>
        </w:rPr>
      </w:pPr>
      <w:r>
        <w:rPr>
          <w:szCs w:val="18"/>
          <w:vertAlign w:val="superscript"/>
        </w:rPr>
        <w:t>5</w:t>
      </w:r>
      <w:r w:rsidR="00A503EE" w:rsidRPr="00A503EE">
        <w:rPr>
          <w:szCs w:val="18"/>
          <w:vertAlign w:val="superscript"/>
        </w:rPr>
        <w:t xml:space="preserve"> </w:t>
      </w:r>
      <w:r w:rsidR="00A503EE" w:rsidRPr="00A503EE">
        <w:rPr>
          <w:szCs w:val="18"/>
        </w:rPr>
        <w:t>$10 million to &lt; $20 million</w:t>
      </w:r>
    </w:p>
    <w:p w14:paraId="7490A210" w14:textId="2B23A34A" w:rsidR="00A503EE" w:rsidRDefault="0063250A" w:rsidP="00D87DA9">
      <w:pPr>
        <w:pStyle w:val="FooterTableFigure"/>
        <w:keepNext/>
        <w:rPr>
          <w:szCs w:val="18"/>
        </w:rPr>
      </w:pPr>
      <w:r>
        <w:rPr>
          <w:szCs w:val="18"/>
          <w:vertAlign w:val="superscript"/>
        </w:rPr>
        <w:t>6</w:t>
      </w:r>
      <w:r w:rsidR="00A503EE" w:rsidRPr="00A503EE">
        <w:rPr>
          <w:szCs w:val="18"/>
          <w:vertAlign w:val="superscript"/>
        </w:rPr>
        <w:t xml:space="preserve"> </w:t>
      </w:r>
      <w:r w:rsidR="00A503EE" w:rsidRPr="00A503EE">
        <w:rPr>
          <w:szCs w:val="18"/>
        </w:rPr>
        <w:t>$20 million to &lt; $30 million</w:t>
      </w:r>
    </w:p>
    <w:p w14:paraId="25C7D754" w14:textId="47986C50" w:rsidR="00DE43FD" w:rsidRPr="00DE43FD" w:rsidRDefault="005A710D" w:rsidP="00AC5DB7">
      <w:pPr>
        <w:pStyle w:val="FooterTableFigure"/>
        <w:rPr>
          <w:szCs w:val="18"/>
        </w:rPr>
      </w:pPr>
      <w:r w:rsidRPr="00AF4912">
        <w:rPr>
          <w:szCs w:val="18"/>
          <w:vertAlign w:val="superscript"/>
        </w:rPr>
        <w:t>7</w:t>
      </w:r>
      <w:r>
        <w:rPr>
          <w:szCs w:val="18"/>
        </w:rPr>
        <w:t xml:space="preserve"> </w:t>
      </w:r>
      <w:r w:rsidRPr="005A710D">
        <w:rPr>
          <w:szCs w:val="18"/>
        </w:rPr>
        <w:t>Net cost saving</w:t>
      </w:r>
    </w:p>
    <w:p w14:paraId="114D6190" w14:textId="56813710" w:rsidR="00ED254B" w:rsidRPr="00E81073" w:rsidRDefault="00AC5DB7" w:rsidP="00ED254B">
      <w:pPr>
        <w:pStyle w:val="3-BodyText"/>
        <w:rPr>
          <w:iCs/>
        </w:rPr>
      </w:pPr>
      <w:r w:rsidRPr="00E81073">
        <w:rPr>
          <w:iCs/>
        </w:rPr>
        <w:t>Based on the published DPMQs, the submission estimated a net cost to the PBS/RPBS of approximately $</w:t>
      </w:r>
      <w:r w:rsidR="005A710D" w:rsidRPr="005A710D">
        <w:rPr>
          <w:iCs/>
        </w:rPr>
        <w:t>30 million to &lt; $40 million</w:t>
      </w:r>
      <w:r w:rsidR="005A710D">
        <w:rPr>
          <w:iCs/>
        </w:rPr>
        <w:t xml:space="preserve"> </w:t>
      </w:r>
      <w:r w:rsidRPr="00E81073">
        <w:rPr>
          <w:iCs/>
        </w:rPr>
        <w:t xml:space="preserve">over the first six years. The estimate was likely an overestimate due to the use of published DPMQs rather than effective DPMQs. Assuming BKZ were to be listed on a cost-minimisation basis to the least costly alternative therapy and the current market growth was unchanged, then the requested listing would be expected </w:t>
      </w:r>
      <w:r w:rsidR="00CD35BA" w:rsidRPr="00E81073">
        <w:rPr>
          <w:iCs/>
        </w:rPr>
        <w:t>to be approximately cost neutral to</w:t>
      </w:r>
      <w:r w:rsidRPr="00E81073">
        <w:rPr>
          <w:iCs/>
        </w:rPr>
        <w:t xml:space="preserve"> the PBS/RPBS.</w:t>
      </w:r>
    </w:p>
    <w:p w14:paraId="3B86E600" w14:textId="77777777" w:rsidR="00ED254B" w:rsidRPr="00E81073" w:rsidRDefault="00ED254B" w:rsidP="00ED254B">
      <w:pPr>
        <w:ind w:firstLine="709"/>
        <w:rPr>
          <w:rFonts w:asciiTheme="minorHAnsi" w:hAnsiTheme="minorHAnsi"/>
          <w:i/>
        </w:rPr>
      </w:pPr>
      <w:r w:rsidRPr="00E81073">
        <w:rPr>
          <w:rFonts w:asciiTheme="minorHAnsi" w:hAnsiTheme="minorHAnsi"/>
          <w:i/>
        </w:rPr>
        <w:t>For more detail on PBAC’s view, see section 7 PBAC outcome.</w:t>
      </w:r>
    </w:p>
    <w:p w14:paraId="2483D42A" w14:textId="77777777" w:rsidR="00ED254B" w:rsidRPr="00E81073" w:rsidRDefault="00ED254B" w:rsidP="00437E6C">
      <w:pPr>
        <w:pStyle w:val="3-BodyText"/>
        <w:numPr>
          <w:ilvl w:val="0"/>
          <w:numId w:val="0"/>
        </w:numPr>
        <w:ind w:left="720" w:hanging="720"/>
        <w:rPr>
          <w:iCs/>
        </w:rPr>
      </w:pPr>
    </w:p>
    <w:p w14:paraId="0B713268" w14:textId="77777777" w:rsidR="00ED254B" w:rsidRPr="00E81073" w:rsidRDefault="00ED254B" w:rsidP="00AF4912">
      <w:pPr>
        <w:pStyle w:val="2-SectionHeading"/>
        <w:numPr>
          <w:ilvl w:val="0"/>
          <w:numId w:val="1"/>
        </w:numPr>
      </w:pPr>
      <w:bookmarkStart w:id="54" w:name="_Hlk76381249"/>
      <w:bookmarkStart w:id="55" w:name="_Hlk76377955"/>
      <w:r w:rsidRPr="00E81073">
        <w:t>PBAC Outcome</w:t>
      </w:r>
    </w:p>
    <w:p w14:paraId="13B8E1EA" w14:textId="0CE57459" w:rsidR="00AC177F" w:rsidRPr="005E2177" w:rsidRDefault="00AC177F" w:rsidP="00ED254B">
      <w:pPr>
        <w:widowControl w:val="0"/>
        <w:numPr>
          <w:ilvl w:val="1"/>
          <w:numId w:val="1"/>
        </w:numPr>
        <w:spacing w:after="120"/>
        <w:rPr>
          <w:rFonts w:asciiTheme="minorHAnsi" w:hAnsiTheme="minorHAnsi"/>
          <w:snapToGrid w:val="0"/>
        </w:rPr>
      </w:pPr>
      <w:r w:rsidRPr="005E2177">
        <w:rPr>
          <w:rFonts w:asciiTheme="minorHAnsi" w:hAnsiTheme="minorHAnsi"/>
          <w:snapToGrid w:val="0"/>
        </w:rPr>
        <w:t xml:space="preserve">The PBAC recommended the General Schedule, Authority Required (in writing) listing of bimekizumab for the treatment of severe psoriatic arthritis (PsA). The PBAC's recommendation for listing was based on, among other matters, its assessment that the cost effectiveness of bimekizumab would be acceptable if it were cost minimised to the least costly alternative biologic or targeted synthetic disease modifying anti-rheumatic drug (b/tsDMARD) for the treatment of PsA. The PBAC noted the alternative therapies included adalimumab, certolizumab pegol, etanercept, golimumab, guselkumab, infliximab, ixekizumab, secukinumab, tofacitinib, upadacitinib and ustekinumab. </w:t>
      </w:r>
    </w:p>
    <w:p w14:paraId="7DE5905B" w14:textId="47CDB463" w:rsidR="00AC177F" w:rsidRPr="005E2177" w:rsidRDefault="00AC177F" w:rsidP="00ED254B">
      <w:pPr>
        <w:widowControl w:val="0"/>
        <w:numPr>
          <w:ilvl w:val="1"/>
          <w:numId w:val="1"/>
        </w:numPr>
        <w:spacing w:after="120"/>
        <w:rPr>
          <w:rFonts w:asciiTheme="minorHAnsi" w:hAnsiTheme="minorHAnsi"/>
          <w:snapToGrid w:val="0"/>
        </w:rPr>
      </w:pPr>
      <w:r w:rsidRPr="005E2177">
        <w:rPr>
          <w:rFonts w:asciiTheme="minorHAnsi" w:hAnsiTheme="minorHAnsi"/>
          <w:snapToGrid w:val="0"/>
        </w:rPr>
        <w:t xml:space="preserve">The PBAC considered the equi-effective doses of bimekizumab and the </w:t>
      </w:r>
      <w:r w:rsidR="00BC407A" w:rsidRPr="00BC407A">
        <w:rPr>
          <w:rFonts w:asciiTheme="minorHAnsi" w:hAnsiTheme="minorHAnsi"/>
          <w:snapToGrid w:val="0"/>
        </w:rPr>
        <w:t>alternative</w:t>
      </w:r>
      <w:r w:rsidRPr="005E2177">
        <w:rPr>
          <w:rFonts w:asciiTheme="minorHAnsi" w:hAnsiTheme="minorHAnsi"/>
          <w:snapToGrid w:val="0"/>
        </w:rPr>
        <w:t xml:space="preserve"> b/tsDMARDs could be derived with reference to the relevant Product Information documents, noting the bimekizumab equi-effective dose component was 1</w:t>
      </w:r>
      <w:r w:rsidR="00BC407A">
        <w:rPr>
          <w:rFonts w:asciiTheme="minorHAnsi" w:hAnsiTheme="minorHAnsi"/>
          <w:snapToGrid w:val="0"/>
        </w:rPr>
        <w:t xml:space="preserve"> </w:t>
      </w:r>
      <w:r w:rsidRPr="005E2177">
        <w:rPr>
          <w:rFonts w:asciiTheme="minorHAnsi" w:hAnsiTheme="minorHAnsi"/>
          <w:snapToGrid w:val="0"/>
        </w:rPr>
        <w:t xml:space="preserve">x 160 mg injection given at 4-weekly intervals. The PBAC agreed with the Sponsor and considered a separate dosing schedule for patients with co-existent chronic plaque psoriasis (as outlined in the draft Product Information) was not required, as patients who meet the criteria for treatment under the psoriasis restrictions will access the appropriate regimen as prescribed by their clinician. </w:t>
      </w:r>
    </w:p>
    <w:p w14:paraId="67EDB989" w14:textId="475829A2" w:rsidR="00AC177F" w:rsidRPr="005E2177" w:rsidRDefault="00AC177F" w:rsidP="00ED254B">
      <w:pPr>
        <w:widowControl w:val="0"/>
        <w:numPr>
          <w:ilvl w:val="1"/>
          <w:numId w:val="1"/>
        </w:numPr>
        <w:spacing w:after="120"/>
        <w:rPr>
          <w:rFonts w:asciiTheme="minorHAnsi" w:hAnsiTheme="minorHAnsi"/>
          <w:snapToGrid w:val="0"/>
        </w:rPr>
      </w:pPr>
      <w:r w:rsidRPr="005E2177">
        <w:rPr>
          <w:rFonts w:asciiTheme="minorHAnsi" w:hAnsiTheme="minorHAnsi"/>
          <w:snapToGrid w:val="0"/>
        </w:rPr>
        <w:t xml:space="preserve">The PBAC considered it was reasonable for the listing of bimekizumab to be consistent with other b/tsDMARDs for PsA, with prescribing limited to eligible medical </w:t>
      </w:r>
      <w:r w:rsidR="00734B1A" w:rsidRPr="005E2177">
        <w:rPr>
          <w:rFonts w:asciiTheme="minorHAnsi" w:hAnsiTheme="minorHAnsi"/>
          <w:snapToGrid w:val="0"/>
        </w:rPr>
        <w:t>p</w:t>
      </w:r>
      <w:r w:rsidRPr="005E2177">
        <w:rPr>
          <w:rFonts w:asciiTheme="minorHAnsi" w:hAnsiTheme="minorHAnsi"/>
          <w:snapToGrid w:val="0"/>
        </w:rPr>
        <w:t>ractitioners, an initial treatment period of 16 weeks (as</w:t>
      </w:r>
      <w:r w:rsidR="005E177E" w:rsidRPr="005E2177">
        <w:rPr>
          <w:rFonts w:asciiTheme="minorHAnsi" w:hAnsiTheme="minorHAnsi"/>
          <w:snapToGrid w:val="0"/>
        </w:rPr>
        <w:t xml:space="preserve"> </w:t>
      </w:r>
      <w:r w:rsidRPr="005E2177">
        <w:rPr>
          <w:rFonts w:asciiTheme="minorHAnsi" w:hAnsiTheme="minorHAnsi"/>
          <w:snapToGrid w:val="0"/>
        </w:rPr>
        <w:t xml:space="preserve">corrected during the evaluation), followed by maintenance therapy with re-assessment at 24-week intervals. </w:t>
      </w:r>
      <w:bookmarkStart w:id="56" w:name="_Hlk161924373"/>
      <w:r w:rsidRPr="005E2177">
        <w:rPr>
          <w:rFonts w:asciiTheme="minorHAnsi" w:hAnsiTheme="minorHAnsi"/>
          <w:snapToGrid w:val="0"/>
        </w:rPr>
        <w:t>The Committee noted the flow-on changes to other PsA b/tsDMARD listings to include bimekizumab in the list of eligible therapies.</w:t>
      </w:r>
      <w:bookmarkEnd w:id="56"/>
    </w:p>
    <w:p w14:paraId="465A4328" w14:textId="6E84F8FE" w:rsidR="00AC177F" w:rsidRPr="005E2177" w:rsidRDefault="00AC177F" w:rsidP="00ED254B">
      <w:pPr>
        <w:widowControl w:val="0"/>
        <w:numPr>
          <w:ilvl w:val="1"/>
          <w:numId w:val="1"/>
        </w:numPr>
        <w:spacing w:after="120"/>
        <w:rPr>
          <w:rFonts w:asciiTheme="minorHAnsi" w:hAnsiTheme="minorHAnsi"/>
          <w:snapToGrid w:val="0"/>
        </w:rPr>
      </w:pPr>
      <w:r w:rsidRPr="005E2177">
        <w:rPr>
          <w:rFonts w:asciiTheme="minorHAnsi" w:hAnsiTheme="minorHAnsi"/>
          <w:snapToGrid w:val="0"/>
        </w:rPr>
        <w:t>The PBAC noted a grandfather restriction was requested for bimekizumab for PsA and considered this was reasonable, and the grandfather listing should remain in place for 12 months from the date of listing, per standard policy.</w:t>
      </w:r>
      <w:r w:rsidR="00655276">
        <w:rPr>
          <w:rFonts w:asciiTheme="minorHAnsi" w:hAnsiTheme="minorHAnsi"/>
          <w:snapToGrid w:val="0"/>
        </w:rPr>
        <w:t xml:space="preserve"> </w:t>
      </w:r>
      <w:bookmarkStart w:id="57" w:name="_Hlk162512678"/>
      <w:r w:rsidR="00655276" w:rsidRPr="00655276">
        <w:rPr>
          <w:rFonts w:asciiTheme="minorHAnsi" w:hAnsiTheme="minorHAnsi"/>
          <w:snapToGrid w:val="0"/>
        </w:rPr>
        <w:t xml:space="preserve">The grandfather restriction will have similar eligibility criteria to the initial restriction. A grandfather patient would be required to have met these criteria prior to the non-PBS supply of </w:t>
      </w:r>
      <w:r w:rsidR="00655276">
        <w:rPr>
          <w:rFonts w:asciiTheme="minorHAnsi" w:hAnsiTheme="minorHAnsi"/>
          <w:snapToGrid w:val="0"/>
        </w:rPr>
        <w:t>bimekizumab</w:t>
      </w:r>
      <w:r w:rsidR="00655276" w:rsidRPr="00655276">
        <w:rPr>
          <w:rFonts w:asciiTheme="minorHAnsi" w:hAnsiTheme="minorHAnsi"/>
          <w:snapToGrid w:val="0"/>
        </w:rPr>
        <w:t>.</w:t>
      </w:r>
      <w:bookmarkEnd w:id="57"/>
    </w:p>
    <w:p w14:paraId="283D168F" w14:textId="64CB5A92" w:rsidR="00E2013A" w:rsidRPr="005E2177" w:rsidRDefault="00E2013A" w:rsidP="00ED254B">
      <w:pPr>
        <w:widowControl w:val="0"/>
        <w:numPr>
          <w:ilvl w:val="1"/>
          <w:numId w:val="1"/>
        </w:numPr>
        <w:spacing w:after="120"/>
        <w:rPr>
          <w:rFonts w:asciiTheme="minorHAnsi" w:hAnsiTheme="minorHAnsi"/>
          <w:snapToGrid w:val="0"/>
        </w:rPr>
      </w:pPr>
      <w:bookmarkStart w:id="58" w:name="_Hlk162513860"/>
      <w:r w:rsidRPr="005E2177">
        <w:rPr>
          <w:rFonts w:asciiTheme="minorHAnsi" w:hAnsiTheme="minorHAnsi"/>
          <w:snapToGrid w:val="0"/>
        </w:rPr>
        <w:t xml:space="preserve">The PBAC noted the only registered and marketed pack size for bimekizumab provides 2 x 160 mg injections per pack. The PBAC noted this pack size is currently PBS listed for psoriasis and provides 8 weeks of therapy at a dose of 320 mg (given as 2 x 160 mg injections) every 8 weeks. The PBAC noted a pack size of 2 injections would also provide 8 weeks of therapy for </w:t>
      </w:r>
      <w:r w:rsidR="00076FC3">
        <w:rPr>
          <w:rFonts w:asciiTheme="minorHAnsi" w:hAnsiTheme="minorHAnsi"/>
          <w:snapToGrid w:val="0"/>
        </w:rPr>
        <w:t>PsA</w:t>
      </w:r>
      <w:r w:rsidRPr="005E2177">
        <w:rPr>
          <w:rFonts w:asciiTheme="minorHAnsi" w:hAnsiTheme="minorHAnsi"/>
          <w:snapToGrid w:val="0"/>
        </w:rPr>
        <w:t xml:space="preserve"> patients at a dose of 160 mg (given as 1 x 160 mg injection) every 4 weeks</w:t>
      </w:r>
      <w:r w:rsidR="00E81073">
        <w:rPr>
          <w:rFonts w:asciiTheme="minorHAnsi" w:hAnsiTheme="minorHAnsi"/>
          <w:snapToGrid w:val="0"/>
        </w:rPr>
        <w:t xml:space="preserve">. </w:t>
      </w:r>
      <w:bookmarkStart w:id="59" w:name="_Hlk162512948"/>
      <w:r w:rsidRPr="005E2177">
        <w:rPr>
          <w:rFonts w:asciiTheme="minorHAnsi" w:hAnsiTheme="minorHAnsi"/>
          <w:snapToGrid w:val="0"/>
        </w:rPr>
        <w:t>The PBAC</w:t>
      </w:r>
      <w:r w:rsidR="006E32B2">
        <w:rPr>
          <w:rFonts w:asciiTheme="minorHAnsi" w:hAnsiTheme="minorHAnsi"/>
          <w:snapToGrid w:val="0"/>
        </w:rPr>
        <w:t xml:space="preserve"> noted it was of a mind to revise the PBS listings for other </w:t>
      </w:r>
      <w:r w:rsidR="001232EE">
        <w:rPr>
          <w:rFonts w:asciiTheme="minorHAnsi" w:hAnsiTheme="minorHAnsi"/>
          <w:snapToGrid w:val="0"/>
        </w:rPr>
        <w:t>b/tsDMARD</w:t>
      </w:r>
      <w:r w:rsidR="00E72E7A">
        <w:rPr>
          <w:rFonts w:asciiTheme="minorHAnsi" w:hAnsiTheme="minorHAnsi"/>
          <w:snapToGrid w:val="0"/>
        </w:rPr>
        <w:t>s</w:t>
      </w:r>
      <w:r w:rsidR="001232EE">
        <w:rPr>
          <w:rFonts w:asciiTheme="minorHAnsi" w:hAnsiTheme="minorHAnsi"/>
          <w:snapToGrid w:val="0"/>
        </w:rPr>
        <w:t xml:space="preserve"> </w:t>
      </w:r>
      <w:r w:rsidR="006E32B2">
        <w:rPr>
          <w:rFonts w:asciiTheme="minorHAnsi" w:hAnsiTheme="minorHAnsi"/>
          <w:snapToGrid w:val="0"/>
        </w:rPr>
        <w:t xml:space="preserve">if the listing of this pack size for bimekizumab creates inconsistencies across the </w:t>
      </w:r>
      <w:r w:rsidR="001232EE">
        <w:rPr>
          <w:rFonts w:asciiTheme="minorHAnsi" w:hAnsiTheme="minorHAnsi"/>
          <w:snapToGrid w:val="0"/>
        </w:rPr>
        <w:t>listings for PsA</w:t>
      </w:r>
      <w:bookmarkEnd w:id="58"/>
      <w:bookmarkEnd w:id="59"/>
      <w:r w:rsidR="00F04FE7" w:rsidRPr="005E2177">
        <w:rPr>
          <w:rFonts w:asciiTheme="minorHAnsi" w:hAnsiTheme="minorHAnsi"/>
          <w:snapToGrid w:val="0"/>
        </w:rPr>
        <w:t>.</w:t>
      </w:r>
      <w:r w:rsidRPr="005E2177">
        <w:rPr>
          <w:rFonts w:asciiTheme="minorHAnsi" w:hAnsiTheme="minorHAnsi"/>
          <w:snapToGrid w:val="0"/>
        </w:rPr>
        <w:t xml:space="preserve"> </w:t>
      </w:r>
    </w:p>
    <w:p w14:paraId="7FD954ED" w14:textId="7F516DF2" w:rsidR="00AC177F" w:rsidRPr="005E2177" w:rsidRDefault="00AC177F" w:rsidP="00ED254B">
      <w:pPr>
        <w:widowControl w:val="0"/>
        <w:numPr>
          <w:ilvl w:val="1"/>
          <w:numId w:val="1"/>
        </w:numPr>
        <w:spacing w:after="120"/>
        <w:rPr>
          <w:rFonts w:asciiTheme="minorHAnsi" w:hAnsiTheme="minorHAnsi"/>
          <w:snapToGrid w:val="0"/>
        </w:rPr>
      </w:pPr>
      <w:r w:rsidRPr="005E2177">
        <w:rPr>
          <w:rFonts w:asciiTheme="minorHAnsi" w:hAnsiTheme="minorHAnsi"/>
          <w:snapToGrid w:val="0"/>
        </w:rPr>
        <w:t>The PBAC noted that 11 treatments were currently PBS listed for PsA and considered the clinical need for additional therapies for PsA that were of similar effectiveness and safety to other options was low. The Committee further noted two other IL-17 inhibitors (secukinumab and ixekizumab) were listed for PsA, but that bimekizumab has a different affinity for IL-17 subunits than secukinumab or ixekizumab.</w:t>
      </w:r>
    </w:p>
    <w:p w14:paraId="6E43FB0D" w14:textId="340C7016" w:rsidR="007D61F2" w:rsidRPr="005E2177" w:rsidRDefault="007D61F2" w:rsidP="00ED254B">
      <w:pPr>
        <w:widowControl w:val="0"/>
        <w:numPr>
          <w:ilvl w:val="1"/>
          <w:numId w:val="1"/>
        </w:numPr>
        <w:spacing w:after="120"/>
        <w:rPr>
          <w:rFonts w:asciiTheme="minorHAnsi" w:hAnsiTheme="minorHAnsi"/>
          <w:snapToGrid w:val="0"/>
        </w:rPr>
      </w:pPr>
      <w:r w:rsidRPr="005E2177">
        <w:rPr>
          <w:rFonts w:asciiTheme="minorHAnsi" w:hAnsiTheme="minorHAnsi"/>
          <w:snapToGrid w:val="0"/>
        </w:rPr>
        <w:t>The PBAC considered the nominated main comparator of ixekizumab was reasonable, given the similar mechanism of action of these two agents (noting secukinumab is also an IL-17A inhibitor like ixekizumab). However, the Committee considered that bimekizumab could substitute for any of the PBS listed b/tsDMARDs for PsA in practice.</w:t>
      </w:r>
    </w:p>
    <w:p w14:paraId="28F258DB" w14:textId="2790D21D" w:rsidR="00705F7D" w:rsidRPr="005E2177" w:rsidRDefault="004E63AA" w:rsidP="00734B1A">
      <w:pPr>
        <w:widowControl w:val="0"/>
        <w:numPr>
          <w:ilvl w:val="1"/>
          <w:numId w:val="1"/>
        </w:numPr>
        <w:spacing w:after="120"/>
        <w:rPr>
          <w:rFonts w:asciiTheme="minorHAnsi" w:hAnsiTheme="minorHAnsi"/>
          <w:snapToGrid w:val="0"/>
        </w:rPr>
      </w:pPr>
      <w:r w:rsidRPr="005E2177">
        <w:rPr>
          <w:rFonts w:asciiTheme="minorHAnsi" w:hAnsiTheme="minorHAnsi"/>
          <w:snapToGrid w:val="0"/>
        </w:rPr>
        <w:t>The PBAC noted no direct trials comparing bimekizumab to ixekizumab were available, and the submission relied on an indirect treatment comparison (ITC) with placebo as the common comparator to support the claim</w:t>
      </w:r>
      <w:r w:rsidR="00705F7D" w:rsidRPr="005E2177">
        <w:rPr>
          <w:rFonts w:asciiTheme="minorHAnsi" w:hAnsiTheme="minorHAnsi"/>
          <w:snapToGrid w:val="0"/>
        </w:rPr>
        <w:t xml:space="preserve"> of non-inferior effectiveness and safety. </w:t>
      </w:r>
      <w:r w:rsidR="003A119F" w:rsidRPr="005E2177">
        <w:rPr>
          <w:rFonts w:asciiTheme="minorHAnsi" w:hAnsiTheme="minorHAnsi"/>
          <w:snapToGrid w:val="0"/>
        </w:rPr>
        <w:t>The PBAC noted there were no statistically significant differences between BKZ and IXE for the</w:t>
      </w:r>
      <w:r w:rsidR="00E70832">
        <w:rPr>
          <w:rFonts w:asciiTheme="minorHAnsi" w:hAnsiTheme="minorHAnsi"/>
          <w:snapToGrid w:val="0"/>
        </w:rPr>
        <w:t xml:space="preserve"> relative risk (RR) and odds ratio (OR)</w:t>
      </w:r>
      <w:r w:rsidR="000B32D0" w:rsidRPr="005E2177">
        <w:rPr>
          <w:rFonts w:asciiTheme="minorHAnsi" w:hAnsiTheme="minorHAnsi"/>
          <w:snapToGrid w:val="0"/>
        </w:rPr>
        <w:t xml:space="preserve"> for</w:t>
      </w:r>
      <w:r w:rsidR="003A119F" w:rsidRPr="005E2177">
        <w:rPr>
          <w:rFonts w:asciiTheme="minorHAnsi" w:hAnsiTheme="minorHAnsi"/>
          <w:snapToGrid w:val="0"/>
        </w:rPr>
        <w:t xml:space="preserve"> ACR50 response and the</w:t>
      </w:r>
      <w:r w:rsidR="005D13A0" w:rsidRPr="005E2177">
        <w:rPr>
          <w:rFonts w:asciiTheme="minorHAnsi" w:hAnsiTheme="minorHAnsi"/>
          <w:snapToGrid w:val="0"/>
        </w:rPr>
        <w:t xml:space="preserve"> ITC</w:t>
      </w:r>
      <w:r w:rsidR="003A119F" w:rsidRPr="005E2177">
        <w:rPr>
          <w:rFonts w:asciiTheme="minorHAnsi" w:hAnsiTheme="minorHAnsi"/>
          <w:snapToGrid w:val="0"/>
        </w:rPr>
        <w:t xml:space="preserve"> met the nominated non-inferiority margin in the</w:t>
      </w:r>
      <w:r w:rsidR="00E70832">
        <w:rPr>
          <w:rFonts w:asciiTheme="minorHAnsi" w:hAnsiTheme="minorHAnsi"/>
          <w:snapToGrid w:val="0"/>
        </w:rPr>
        <w:t xml:space="preserve"> intention-to-treat (ITT)</w:t>
      </w:r>
      <w:r w:rsidR="003A119F" w:rsidRPr="005E2177">
        <w:rPr>
          <w:rFonts w:asciiTheme="minorHAnsi" w:hAnsiTheme="minorHAnsi"/>
          <w:snapToGrid w:val="0"/>
        </w:rPr>
        <w:t xml:space="preserve"> population. The PBAC noted that for the ACR20 outcome, bimekizumab</w:t>
      </w:r>
      <w:r w:rsidR="00B56FFB">
        <w:rPr>
          <w:rFonts w:asciiTheme="minorHAnsi" w:hAnsiTheme="minorHAnsi"/>
          <w:snapToGrid w:val="0"/>
        </w:rPr>
        <w:t xml:space="preserve"> was statistically favoured</w:t>
      </w:r>
      <w:r w:rsidR="003A119F" w:rsidRPr="005E2177">
        <w:rPr>
          <w:rFonts w:asciiTheme="minorHAnsi" w:hAnsiTheme="minorHAnsi"/>
          <w:snapToGrid w:val="0"/>
        </w:rPr>
        <w:t xml:space="preserve"> in the ITT population for the indirect comparison presented in the submission but not in the supplementary indirect comparisons conducted by the evaluation. The PBAC considered that, overall, a claim of non-inferior effectivenes</w:t>
      </w:r>
      <w:r w:rsidR="000B32D0" w:rsidRPr="005E2177">
        <w:rPr>
          <w:rFonts w:asciiTheme="minorHAnsi" w:hAnsiTheme="minorHAnsi"/>
          <w:snapToGrid w:val="0"/>
        </w:rPr>
        <w:t>s</w:t>
      </w:r>
      <w:r w:rsidR="003A119F" w:rsidRPr="005E2177">
        <w:rPr>
          <w:rFonts w:asciiTheme="minorHAnsi" w:hAnsiTheme="minorHAnsi"/>
          <w:snapToGrid w:val="0"/>
        </w:rPr>
        <w:t xml:space="preserve"> was supported by the evidence presented</w:t>
      </w:r>
      <w:r w:rsidR="00E81073">
        <w:rPr>
          <w:rFonts w:asciiTheme="minorHAnsi" w:hAnsiTheme="minorHAnsi"/>
          <w:snapToGrid w:val="0"/>
        </w:rPr>
        <w:t xml:space="preserve">. </w:t>
      </w:r>
    </w:p>
    <w:p w14:paraId="65A0591F" w14:textId="77777777" w:rsidR="003A119F" w:rsidRPr="005E2177" w:rsidRDefault="004E63AA" w:rsidP="003A119F">
      <w:pPr>
        <w:widowControl w:val="0"/>
        <w:numPr>
          <w:ilvl w:val="1"/>
          <w:numId w:val="1"/>
        </w:numPr>
        <w:spacing w:after="120"/>
        <w:rPr>
          <w:rFonts w:asciiTheme="minorHAnsi" w:hAnsiTheme="minorHAnsi"/>
          <w:snapToGrid w:val="0"/>
        </w:rPr>
      </w:pPr>
      <w:r w:rsidRPr="005E2177">
        <w:t>With respect to comparative safety, the PBAC noted the submission presented an ITC of relevant treatment-emergent adverse events (TEAEs) and noted no statistically significant differences were observed, although the 95% CIs were wide for these comparisons.</w:t>
      </w:r>
      <w:r w:rsidR="003A119F" w:rsidRPr="005E2177">
        <w:t xml:space="preserve"> </w:t>
      </w:r>
      <w:r w:rsidR="00734B1A" w:rsidRPr="005E2177">
        <w:t>T</w:t>
      </w:r>
      <w:r w:rsidRPr="005E2177">
        <w:t>he Committee considered the safety data in PsA to be consistent with the known safety profiles of these agents in other indications, and overall, the claim of non-inferior comparative safety to ixekizumab was reasonable</w:t>
      </w:r>
      <w:r w:rsidR="007470AF" w:rsidRPr="005E2177">
        <w:t>.</w:t>
      </w:r>
      <w:r w:rsidR="003A119F" w:rsidRPr="005E2177">
        <w:rPr>
          <w:rFonts w:asciiTheme="minorHAnsi" w:hAnsiTheme="minorHAnsi"/>
          <w:snapToGrid w:val="0"/>
        </w:rPr>
        <w:t xml:space="preserve"> </w:t>
      </w:r>
    </w:p>
    <w:p w14:paraId="7B9C53DB" w14:textId="0E50E81D" w:rsidR="003A119F" w:rsidRPr="005E2177" w:rsidRDefault="00076FC3" w:rsidP="003A119F">
      <w:pPr>
        <w:widowControl w:val="0"/>
        <w:numPr>
          <w:ilvl w:val="1"/>
          <w:numId w:val="1"/>
        </w:numPr>
        <w:spacing w:after="120"/>
        <w:rPr>
          <w:rFonts w:asciiTheme="minorHAnsi" w:hAnsiTheme="minorHAnsi"/>
          <w:snapToGrid w:val="0"/>
        </w:rPr>
      </w:pPr>
      <w:r>
        <w:rPr>
          <w:rFonts w:asciiTheme="minorHAnsi" w:hAnsiTheme="minorHAnsi"/>
          <w:snapToGrid w:val="0"/>
        </w:rPr>
        <w:t xml:space="preserve">The PBAC noted it had previously considered adalimumab a higher tier, more effective medicine for PsA (see paragraph </w:t>
      </w:r>
      <w:r>
        <w:rPr>
          <w:rFonts w:asciiTheme="minorHAnsi" w:hAnsiTheme="minorHAnsi"/>
          <w:snapToGrid w:val="0"/>
        </w:rPr>
        <w:fldChar w:fldCharType="begin" w:fldLock="1"/>
      </w:r>
      <w:r>
        <w:rPr>
          <w:rFonts w:asciiTheme="minorHAnsi" w:hAnsiTheme="minorHAnsi"/>
          <w:snapToGrid w:val="0"/>
        </w:rPr>
        <w:instrText xml:space="preserve"> REF _Ref162514097 \r \h </w:instrText>
      </w:r>
      <w:r>
        <w:rPr>
          <w:rFonts w:asciiTheme="minorHAnsi" w:hAnsiTheme="minorHAnsi"/>
          <w:snapToGrid w:val="0"/>
        </w:rPr>
      </w:r>
      <w:r>
        <w:rPr>
          <w:rFonts w:asciiTheme="minorHAnsi" w:hAnsiTheme="minorHAnsi"/>
          <w:snapToGrid w:val="0"/>
        </w:rPr>
        <w:fldChar w:fldCharType="separate"/>
      </w:r>
      <w:r>
        <w:rPr>
          <w:rFonts w:asciiTheme="minorHAnsi" w:hAnsiTheme="minorHAnsi"/>
          <w:snapToGrid w:val="0"/>
        </w:rPr>
        <w:t>5.3</w:t>
      </w:r>
      <w:r>
        <w:rPr>
          <w:rFonts w:asciiTheme="minorHAnsi" w:hAnsiTheme="minorHAnsi"/>
          <w:snapToGrid w:val="0"/>
        </w:rPr>
        <w:fldChar w:fldCharType="end"/>
      </w:r>
      <w:r>
        <w:rPr>
          <w:rFonts w:asciiTheme="minorHAnsi" w:hAnsiTheme="minorHAnsi"/>
          <w:snapToGrid w:val="0"/>
        </w:rPr>
        <w:t xml:space="preserve">). </w:t>
      </w:r>
      <w:r w:rsidR="003A119F" w:rsidRPr="005E2177">
        <w:rPr>
          <w:rFonts w:asciiTheme="minorHAnsi" w:hAnsiTheme="minorHAnsi"/>
          <w:snapToGrid w:val="0"/>
        </w:rPr>
        <w:t xml:space="preserve">The PBAC also noted the limited direct comparative data versus adalimumab in a b/tsDMARD naïve population found no statistically significant differences between bimekizumab and adalimumab for ACR20 and ACR50 and considered it may be reasonable to conclude these two therapies also have comparable effectiveness in PsA. </w:t>
      </w:r>
    </w:p>
    <w:p w14:paraId="349E7A35" w14:textId="50E560E6" w:rsidR="00734B1A" w:rsidRPr="005E2177" w:rsidRDefault="00734B1A" w:rsidP="004E63AA">
      <w:pPr>
        <w:pStyle w:val="3-BodyText"/>
      </w:pPr>
      <w:r w:rsidRPr="005E2177">
        <w:t>Under Section 101(3B) of the National Health Act (1953), the PBAC cannot recommend listing a therapy that is substantially more costly than an alternative therapy unless it is satisfied that the therapy provides, for some patients, a significant improvement in efficacy and/or reduction in toxicity. The submission did not present any evidence that bimekizumab provided a significant improvement in efficacy and/or reduction in toxicity compared to any alternative</w:t>
      </w:r>
      <w:r w:rsidR="00365A75" w:rsidRPr="005E2177">
        <w:t xml:space="preserve"> for the treatment of PsA</w:t>
      </w:r>
      <w:r w:rsidRPr="005E2177">
        <w:t>, and therefore there was no basis for bimekizumab to have a price advantage over any relevant alternative for an equivalent treatment period. The PBAC did not accept the submission argument that intravenous (IV) or oral therapies should be excluded as alternative therapies (paragraph 5.2 refers).</w:t>
      </w:r>
    </w:p>
    <w:p w14:paraId="30C1436F" w14:textId="43FA847B" w:rsidR="004E63AA" w:rsidRPr="005E2177" w:rsidRDefault="004E63AA" w:rsidP="004E63AA">
      <w:pPr>
        <w:pStyle w:val="3-BodyText"/>
      </w:pPr>
      <w:r w:rsidRPr="005E2177">
        <w:t xml:space="preserve">The PBAC considered that a listing based on a cost minimisation approach with costs over two years, consistent with the approach previously used for b/tsDMARDs, was appropriate to determine the cost minimised price of bimekizumab. The PBAC considered the cost of bimekizumab should be no greater than the alternative therapies. </w:t>
      </w:r>
    </w:p>
    <w:p w14:paraId="5BB31572" w14:textId="3B80175F" w:rsidR="004E63AA" w:rsidRPr="005E2177" w:rsidRDefault="004E63AA" w:rsidP="004E63AA">
      <w:pPr>
        <w:pStyle w:val="3-BodyText"/>
        <w:rPr>
          <w:rFonts w:cstheme="minorHAnsi"/>
          <w:snapToGrid/>
        </w:rPr>
      </w:pPr>
      <w:bookmarkStart w:id="60" w:name="_Hlk162512465"/>
      <w:r w:rsidRPr="005E2177">
        <w:rPr>
          <w:rFonts w:cstheme="minorHAnsi"/>
          <w:snapToGrid/>
        </w:rPr>
        <w:t>The PBAC noted the utilisation and financial estimates</w:t>
      </w:r>
      <w:r w:rsidR="00B54E61">
        <w:rPr>
          <w:rFonts w:cstheme="minorHAnsi"/>
          <w:snapToGrid/>
        </w:rPr>
        <w:t xml:space="preserve"> as presented in the submission</w:t>
      </w:r>
      <w:r w:rsidRPr="005E2177">
        <w:rPr>
          <w:rFonts w:cstheme="minorHAnsi"/>
          <w:snapToGrid/>
        </w:rPr>
        <w:t xml:space="preserve"> result</w:t>
      </w:r>
      <w:r w:rsidR="00B54E61">
        <w:rPr>
          <w:rFonts w:cstheme="minorHAnsi"/>
          <w:snapToGrid/>
        </w:rPr>
        <w:t>ed</w:t>
      </w:r>
      <w:r w:rsidRPr="005E2177">
        <w:rPr>
          <w:rFonts w:cstheme="minorHAnsi"/>
          <w:snapToGrid/>
        </w:rPr>
        <w:t xml:space="preserve"> in an incremental cost for the listing of bimekizumab, however also noted the estimates were based on a </w:t>
      </w:r>
      <w:r w:rsidR="00B54E61">
        <w:rPr>
          <w:rFonts w:cstheme="minorHAnsi"/>
          <w:snapToGrid/>
        </w:rPr>
        <w:t>price of bime</w:t>
      </w:r>
      <w:r w:rsidR="00076FC3">
        <w:rPr>
          <w:rFonts w:cstheme="minorHAnsi"/>
          <w:snapToGrid/>
        </w:rPr>
        <w:t>k</w:t>
      </w:r>
      <w:r w:rsidR="00B54E61">
        <w:rPr>
          <w:rFonts w:cstheme="minorHAnsi"/>
          <w:snapToGrid/>
        </w:rPr>
        <w:t xml:space="preserve">izumab calculated from a </w:t>
      </w:r>
      <w:r w:rsidRPr="005E2177">
        <w:rPr>
          <w:rFonts w:cstheme="minorHAnsi"/>
          <w:snapToGrid/>
        </w:rPr>
        <w:t xml:space="preserve">cost minimisation approach </w:t>
      </w:r>
      <w:r w:rsidR="00B54E61">
        <w:rPr>
          <w:rFonts w:cstheme="minorHAnsi"/>
          <w:snapToGrid/>
        </w:rPr>
        <w:t>using the published price of</w:t>
      </w:r>
      <w:r w:rsidRPr="005E2177">
        <w:rPr>
          <w:rFonts w:cstheme="minorHAnsi"/>
          <w:snapToGrid/>
        </w:rPr>
        <w:t xml:space="preserve"> ixekizumab (rather than the least costly alternative). </w:t>
      </w:r>
      <w:bookmarkEnd w:id="60"/>
      <w:r w:rsidRPr="005E2177">
        <w:rPr>
          <w:rFonts w:cstheme="minorHAnsi"/>
          <w:snapToGrid/>
        </w:rPr>
        <w:t>The PBAC considered the uptake and rate of replacement of specific b/</w:t>
      </w:r>
      <w:r w:rsidR="00BC407A" w:rsidRPr="00BC407A">
        <w:rPr>
          <w:rFonts w:cstheme="minorHAnsi"/>
          <w:snapToGrid/>
        </w:rPr>
        <w:t>tsDMARDs</w:t>
      </w:r>
      <w:r w:rsidRPr="005E2177">
        <w:rPr>
          <w:rFonts w:cstheme="minorHAnsi"/>
          <w:snapToGrid/>
        </w:rPr>
        <w:t xml:space="preserve"> to be uncertain, however considered that if listed on a cost minimisation basis with the least costly alternative, the listing would most likely be cost neutral or modestly cost saving to the PBS as it will only replace therapies that are either of equivalent cost or more expensive. </w:t>
      </w:r>
    </w:p>
    <w:p w14:paraId="03FFDB06" w14:textId="77777777" w:rsidR="004E63AA" w:rsidRPr="005E2177" w:rsidRDefault="004E63AA" w:rsidP="004E63AA">
      <w:pPr>
        <w:widowControl w:val="0"/>
        <w:numPr>
          <w:ilvl w:val="1"/>
          <w:numId w:val="1"/>
        </w:numPr>
        <w:spacing w:after="120"/>
        <w:rPr>
          <w:rFonts w:asciiTheme="minorHAnsi" w:hAnsiTheme="minorHAnsi"/>
          <w:b/>
          <w:bCs/>
        </w:rPr>
      </w:pPr>
      <w:r w:rsidRPr="005E2177">
        <w:rPr>
          <w:rFonts w:asciiTheme="minorHAnsi" w:hAnsiTheme="minorHAnsi" w:cstheme="minorHAnsi"/>
        </w:rPr>
        <w:t>The PBAC noted that its recommendation was on a cost-minimisation basis and advised that, because bimekizumab is not expected to provide a substantial</w:t>
      </w:r>
      <w:r w:rsidRPr="005E2177">
        <w:rPr>
          <w:rFonts w:asciiTheme="minorHAnsi" w:hAnsiTheme="minorHAnsi"/>
          <w:bCs/>
        </w:rPr>
        <w:t xml:space="preserve"> and clinically relevant improvement in efficacy, or reduction of toxicity, over secukinumab (or the alternative b/tsDMARDs), or not expected to address a high and urgent unmet clinical need given the presence of an alternative therapy, the criteria prescribed by the </w:t>
      </w:r>
      <w:r w:rsidRPr="005E2177">
        <w:rPr>
          <w:rFonts w:asciiTheme="minorHAnsi" w:hAnsiTheme="minorHAnsi"/>
          <w:bCs/>
          <w:i/>
        </w:rPr>
        <w:t>National Health (Pharmaceuticals and Vaccines – Cost Recovery) Regulations 2022</w:t>
      </w:r>
      <w:r w:rsidRPr="005E2177">
        <w:rPr>
          <w:rFonts w:asciiTheme="minorHAnsi" w:hAnsiTheme="minorHAnsi"/>
          <w:bCs/>
        </w:rPr>
        <w:t xml:space="preserve"> for Pricing Pathway A were not met.</w:t>
      </w:r>
    </w:p>
    <w:p w14:paraId="568C08CD" w14:textId="1A77484A" w:rsidR="008F71E4" w:rsidRPr="00D87DA9" w:rsidRDefault="004E63AA" w:rsidP="00D87DA9">
      <w:pPr>
        <w:widowControl w:val="0"/>
        <w:numPr>
          <w:ilvl w:val="1"/>
          <w:numId w:val="1"/>
        </w:numPr>
        <w:spacing w:after="120"/>
        <w:rPr>
          <w:rFonts w:asciiTheme="minorHAnsi" w:hAnsiTheme="minorHAnsi"/>
          <w:bCs/>
          <w:snapToGrid w:val="0"/>
        </w:rPr>
      </w:pPr>
      <w:r w:rsidRPr="005E2177">
        <w:rPr>
          <w:rFonts w:asciiTheme="minorHAnsi" w:hAnsiTheme="minorHAnsi"/>
          <w:bCs/>
          <w:snapToGrid w:val="0"/>
        </w:rPr>
        <w:t xml:space="preserve">The PBAC noted that this submission is not eligible for an Independent Review, as it received a positive recommendation. </w:t>
      </w:r>
    </w:p>
    <w:p w14:paraId="19545777" w14:textId="1F7E97A3" w:rsidR="00ED254B" w:rsidRPr="005E2177" w:rsidRDefault="00ED254B" w:rsidP="00ED254B">
      <w:pPr>
        <w:spacing w:before="240"/>
        <w:rPr>
          <w:rFonts w:asciiTheme="minorHAnsi" w:hAnsiTheme="minorHAnsi"/>
          <w:b/>
          <w:bCs/>
          <w:snapToGrid w:val="0"/>
        </w:rPr>
      </w:pPr>
      <w:r w:rsidRPr="005E2177">
        <w:rPr>
          <w:rFonts w:asciiTheme="minorHAnsi" w:hAnsiTheme="minorHAnsi"/>
          <w:b/>
          <w:bCs/>
          <w:snapToGrid w:val="0"/>
        </w:rPr>
        <w:t>Outcome:</w:t>
      </w:r>
    </w:p>
    <w:p w14:paraId="53AC2906" w14:textId="0804E7ED" w:rsidR="00ED254B" w:rsidRPr="005E2177" w:rsidRDefault="00ED254B" w:rsidP="00ED254B">
      <w:pPr>
        <w:rPr>
          <w:rFonts w:asciiTheme="minorHAnsi" w:hAnsiTheme="minorHAnsi"/>
          <w:bCs/>
          <w:snapToGrid w:val="0"/>
        </w:rPr>
      </w:pPr>
      <w:r w:rsidRPr="005E2177">
        <w:rPr>
          <w:rFonts w:asciiTheme="minorHAnsi" w:hAnsiTheme="minorHAnsi"/>
          <w:bCs/>
          <w:snapToGrid w:val="0"/>
        </w:rPr>
        <w:t>Recommended</w:t>
      </w:r>
    </w:p>
    <w:bookmarkEnd w:id="54"/>
    <w:p w14:paraId="07BDD743" w14:textId="77777777" w:rsidR="00ED254B" w:rsidRPr="005E2177" w:rsidRDefault="00ED254B" w:rsidP="00AF4912">
      <w:pPr>
        <w:pStyle w:val="2-SectionHeading"/>
        <w:numPr>
          <w:ilvl w:val="0"/>
          <w:numId w:val="1"/>
        </w:numPr>
        <w:rPr>
          <w:b w:val="0"/>
          <w:bCs/>
          <w:iCs/>
        </w:rPr>
      </w:pPr>
      <w:r w:rsidRPr="005E2177">
        <w:rPr>
          <w:bCs/>
        </w:rPr>
        <w:t>Recommended listing</w:t>
      </w:r>
    </w:p>
    <w:p w14:paraId="1D7250C3" w14:textId="785F4DF1" w:rsidR="001B26DF" w:rsidRPr="008F6C1F" w:rsidRDefault="00967577" w:rsidP="00967577">
      <w:pPr>
        <w:widowControl w:val="0"/>
        <w:numPr>
          <w:ilvl w:val="1"/>
          <w:numId w:val="1"/>
        </w:numPr>
        <w:spacing w:after="120"/>
        <w:rPr>
          <w:rFonts w:asciiTheme="minorHAnsi" w:hAnsiTheme="minorHAnsi"/>
          <w:b/>
          <w:bCs/>
          <w:snapToGrid w:val="0"/>
        </w:rPr>
      </w:pPr>
      <w:r w:rsidRPr="001B26DF">
        <w:rPr>
          <w:rFonts w:asciiTheme="minorHAnsi" w:hAnsiTheme="minorHAnsi" w:cstheme="minorHAnsi"/>
          <w:i/>
        </w:rPr>
        <w:t>Add new indication to bimekizumab as follows:</w:t>
      </w:r>
    </w:p>
    <w:p w14:paraId="051CC0DC" w14:textId="5FE92188" w:rsidR="00967577" w:rsidRPr="008F6C1F" w:rsidRDefault="00967577" w:rsidP="00967577">
      <w:pPr>
        <w:spacing w:after="120"/>
        <w:rPr>
          <w:rFonts w:asciiTheme="minorHAnsi" w:hAnsiTheme="minorHAnsi" w:cstheme="minorHAnsi"/>
          <w:i/>
        </w:rPr>
      </w:pPr>
      <w:r w:rsidRPr="00E81073">
        <w:rPr>
          <w:rFonts w:asciiTheme="minorHAnsi" w:hAnsiTheme="minorHAnsi" w:cstheme="minorHAnsi"/>
          <w:i/>
        </w:rPr>
        <w:t xml:space="preserve">For brevity reasons, the large common administrative note (concept 27834) is presented once at the end of this section.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7"/>
        <w:gridCol w:w="1289"/>
        <w:gridCol w:w="860"/>
        <w:gridCol w:w="858"/>
        <w:gridCol w:w="716"/>
        <w:gridCol w:w="860"/>
        <w:gridCol w:w="1717"/>
      </w:tblGrid>
      <w:tr w:rsidR="00967577" w:rsidRPr="005E2177" w14:paraId="26DBAFF9" w14:textId="77777777" w:rsidTr="00240E28">
        <w:trPr>
          <w:cantSplit/>
          <w:trHeight w:val="471"/>
        </w:trPr>
        <w:tc>
          <w:tcPr>
            <w:tcW w:w="1506" w:type="pct"/>
          </w:tcPr>
          <w:p w14:paraId="3B1F6494" w14:textId="77777777" w:rsidR="00967577" w:rsidRPr="005E2177" w:rsidRDefault="00967577" w:rsidP="002C677E">
            <w:pPr>
              <w:keepNext/>
              <w:ind w:left="-108"/>
              <w:rPr>
                <w:rFonts w:ascii="Arial Narrow" w:hAnsi="Arial Narrow"/>
                <w:b/>
                <w:sz w:val="20"/>
                <w:szCs w:val="20"/>
              </w:rPr>
            </w:pPr>
            <w:r w:rsidRPr="005E2177">
              <w:rPr>
                <w:rFonts w:ascii="Arial Narrow" w:hAnsi="Arial Narrow"/>
                <w:b/>
                <w:sz w:val="20"/>
                <w:szCs w:val="20"/>
              </w:rPr>
              <w:t>Name, Restriction,</w:t>
            </w:r>
          </w:p>
          <w:p w14:paraId="3E62657F" w14:textId="77777777" w:rsidR="00967577" w:rsidRPr="005E2177" w:rsidRDefault="00967577" w:rsidP="002C677E">
            <w:pPr>
              <w:keepNext/>
              <w:ind w:left="-108"/>
              <w:rPr>
                <w:rFonts w:ascii="Arial Narrow" w:hAnsi="Arial Narrow"/>
                <w:b/>
                <w:sz w:val="20"/>
                <w:szCs w:val="20"/>
              </w:rPr>
            </w:pPr>
            <w:r w:rsidRPr="005E2177">
              <w:rPr>
                <w:rFonts w:ascii="Arial Narrow" w:hAnsi="Arial Narrow"/>
                <w:b/>
                <w:sz w:val="20"/>
                <w:szCs w:val="20"/>
              </w:rPr>
              <w:t>Manner of administration and form</w:t>
            </w:r>
          </w:p>
        </w:tc>
        <w:tc>
          <w:tcPr>
            <w:tcW w:w="714" w:type="pct"/>
          </w:tcPr>
          <w:p w14:paraId="5FDC89E8" w14:textId="77777777" w:rsidR="00967577" w:rsidRPr="005E2177" w:rsidRDefault="00967577" w:rsidP="002C677E">
            <w:pPr>
              <w:keepNext/>
              <w:ind w:left="-108"/>
              <w:jc w:val="center"/>
              <w:rPr>
                <w:rFonts w:ascii="Arial Narrow" w:hAnsi="Arial Narrow"/>
                <w:b/>
                <w:sz w:val="20"/>
                <w:szCs w:val="20"/>
              </w:rPr>
            </w:pPr>
            <w:r w:rsidRPr="005E2177">
              <w:rPr>
                <w:rFonts w:ascii="Arial Narrow" w:hAnsi="Arial Narrow"/>
                <w:b/>
                <w:sz w:val="20"/>
                <w:szCs w:val="20"/>
              </w:rPr>
              <w:t>PBS item code</w:t>
            </w:r>
          </w:p>
        </w:tc>
        <w:tc>
          <w:tcPr>
            <w:tcW w:w="477" w:type="pct"/>
          </w:tcPr>
          <w:p w14:paraId="2AA38224" w14:textId="77777777" w:rsidR="00967577" w:rsidRPr="005E2177" w:rsidRDefault="00967577" w:rsidP="002C677E">
            <w:pPr>
              <w:keepNext/>
              <w:ind w:left="-108"/>
              <w:jc w:val="center"/>
              <w:rPr>
                <w:rFonts w:ascii="Arial Narrow" w:hAnsi="Arial Narrow"/>
                <w:b/>
                <w:sz w:val="20"/>
                <w:szCs w:val="20"/>
              </w:rPr>
            </w:pPr>
            <w:r w:rsidRPr="005E2177">
              <w:rPr>
                <w:rFonts w:ascii="Arial Narrow" w:hAnsi="Arial Narrow"/>
                <w:b/>
                <w:sz w:val="20"/>
                <w:szCs w:val="20"/>
              </w:rPr>
              <w:t>Max. qty packs</w:t>
            </w:r>
          </w:p>
        </w:tc>
        <w:tc>
          <w:tcPr>
            <w:tcW w:w="476" w:type="pct"/>
          </w:tcPr>
          <w:p w14:paraId="5DC47864" w14:textId="77777777" w:rsidR="00967577" w:rsidRPr="005E2177" w:rsidRDefault="00967577" w:rsidP="002C677E">
            <w:pPr>
              <w:keepNext/>
              <w:ind w:left="-108"/>
              <w:jc w:val="center"/>
              <w:rPr>
                <w:rFonts w:ascii="Arial Narrow" w:hAnsi="Arial Narrow"/>
                <w:b/>
                <w:sz w:val="20"/>
                <w:szCs w:val="20"/>
              </w:rPr>
            </w:pPr>
            <w:r w:rsidRPr="005E2177">
              <w:rPr>
                <w:rFonts w:ascii="Arial Narrow" w:hAnsi="Arial Narrow"/>
                <w:b/>
                <w:sz w:val="20"/>
                <w:szCs w:val="20"/>
              </w:rPr>
              <w:t>Max. qty units</w:t>
            </w:r>
          </w:p>
        </w:tc>
        <w:tc>
          <w:tcPr>
            <w:tcW w:w="397" w:type="pct"/>
          </w:tcPr>
          <w:p w14:paraId="554B81F2" w14:textId="77777777" w:rsidR="00967577" w:rsidRPr="005E2177" w:rsidRDefault="00967577" w:rsidP="002C677E">
            <w:pPr>
              <w:keepNext/>
              <w:ind w:left="-108"/>
              <w:jc w:val="center"/>
              <w:rPr>
                <w:rFonts w:ascii="Arial Narrow" w:hAnsi="Arial Narrow"/>
                <w:b/>
                <w:sz w:val="20"/>
                <w:szCs w:val="20"/>
              </w:rPr>
            </w:pPr>
            <w:r w:rsidRPr="005E2177">
              <w:rPr>
                <w:rFonts w:ascii="Arial Narrow" w:hAnsi="Arial Narrow"/>
                <w:b/>
                <w:sz w:val="20"/>
                <w:szCs w:val="20"/>
              </w:rPr>
              <w:t>№.of</w:t>
            </w:r>
          </w:p>
          <w:p w14:paraId="4CC51727" w14:textId="77777777" w:rsidR="00967577" w:rsidRPr="005E2177" w:rsidRDefault="00967577" w:rsidP="002C677E">
            <w:pPr>
              <w:keepNext/>
              <w:ind w:left="-108"/>
              <w:jc w:val="center"/>
              <w:rPr>
                <w:rFonts w:ascii="Arial Narrow" w:hAnsi="Arial Narrow"/>
                <w:b/>
                <w:sz w:val="20"/>
                <w:szCs w:val="20"/>
              </w:rPr>
            </w:pPr>
            <w:r w:rsidRPr="005E2177">
              <w:rPr>
                <w:rFonts w:ascii="Arial Narrow" w:hAnsi="Arial Narrow"/>
                <w:b/>
                <w:sz w:val="20"/>
                <w:szCs w:val="20"/>
              </w:rPr>
              <w:t>Rpts</w:t>
            </w:r>
          </w:p>
        </w:tc>
        <w:tc>
          <w:tcPr>
            <w:tcW w:w="1429" w:type="pct"/>
            <w:gridSpan w:val="2"/>
          </w:tcPr>
          <w:p w14:paraId="4015FEC5" w14:textId="77777777" w:rsidR="00967577" w:rsidRPr="005E2177" w:rsidRDefault="00967577" w:rsidP="002C677E">
            <w:pPr>
              <w:keepNext/>
              <w:rPr>
                <w:rFonts w:ascii="Arial Narrow" w:hAnsi="Arial Narrow"/>
                <w:b/>
                <w:sz w:val="20"/>
                <w:szCs w:val="20"/>
              </w:rPr>
            </w:pPr>
            <w:r w:rsidRPr="005E2177">
              <w:rPr>
                <w:rFonts w:ascii="Arial Narrow" w:hAnsi="Arial Narrow"/>
                <w:b/>
                <w:sz w:val="20"/>
                <w:szCs w:val="20"/>
              </w:rPr>
              <w:t>Proprietary Name and Manufacturer</w:t>
            </w:r>
          </w:p>
        </w:tc>
      </w:tr>
      <w:tr w:rsidR="00967577" w:rsidRPr="005E2177" w14:paraId="37C7E88A" w14:textId="77777777" w:rsidTr="00240E28">
        <w:trPr>
          <w:cantSplit/>
          <w:trHeight w:val="230"/>
        </w:trPr>
        <w:tc>
          <w:tcPr>
            <w:tcW w:w="1506" w:type="pct"/>
          </w:tcPr>
          <w:p w14:paraId="54FAA638" w14:textId="77777777" w:rsidR="00967577" w:rsidRPr="005E2177" w:rsidRDefault="00967577" w:rsidP="002C677E">
            <w:pPr>
              <w:keepNext/>
              <w:ind w:left="-108"/>
              <w:rPr>
                <w:rFonts w:ascii="Arial Narrow" w:hAnsi="Arial Narrow"/>
                <w:b/>
                <w:bCs/>
                <w:sz w:val="20"/>
                <w:szCs w:val="20"/>
              </w:rPr>
            </w:pPr>
            <w:r w:rsidRPr="005E2177">
              <w:rPr>
                <w:rFonts w:ascii="Arial Narrow" w:hAnsi="Arial Narrow"/>
                <w:b/>
                <w:bCs/>
                <w:sz w:val="20"/>
                <w:szCs w:val="20"/>
              </w:rPr>
              <w:t>Initial treatment</w:t>
            </w:r>
          </w:p>
        </w:tc>
        <w:tc>
          <w:tcPr>
            <w:tcW w:w="714" w:type="pct"/>
          </w:tcPr>
          <w:p w14:paraId="2EC7861D" w14:textId="77777777" w:rsidR="00967577" w:rsidRPr="005E2177" w:rsidRDefault="00967577" w:rsidP="002C677E">
            <w:pPr>
              <w:keepNext/>
              <w:ind w:left="-108"/>
              <w:jc w:val="center"/>
              <w:rPr>
                <w:rFonts w:ascii="Arial Narrow" w:hAnsi="Arial Narrow"/>
                <w:sz w:val="20"/>
                <w:szCs w:val="20"/>
              </w:rPr>
            </w:pPr>
          </w:p>
        </w:tc>
        <w:tc>
          <w:tcPr>
            <w:tcW w:w="477" w:type="pct"/>
          </w:tcPr>
          <w:p w14:paraId="3770E339" w14:textId="77777777" w:rsidR="00967577" w:rsidRPr="005E2177" w:rsidRDefault="00967577" w:rsidP="002C677E">
            <w:pPr>
              <w:keepNext/>
              <w:jc w:val="center"/>
              <w:rPr>
                <w:rFonts w:ascii="Arial Narrow" w:hAnsi="Arial Narrow"/>
                <w:sz w:val="20"/>
                <w:szCs w:val="20"/>
              </w:rPr>
            </w:pPr>
          </w:p>
        </w:tc>
        <w:tc>
          <w:tcPr>
            <w:tcW w:w="476" w:type="pct"/>
          </w:tcPr>
          <w:p w14:paraId="00C9CFA3" w14:textId="77777777" w:rsidR="00967577" w:rsidRPr="005E2177" w:rsidRDefault="00967577" w:rsidP="002C677E">
            <w:pPr>
              <w:keepNext/>
              <w:ind w:left="-108"/>
              <w:jc w:val="center"/>
              <w:rPr>
                <w:rFonts w:ascii="Arial Narrow" w:hAnsi="Arial Narrow"/>
                <w:sz w:val="20"/>
                <w:szCs w:val="20"/>
              </w:rPr>
            </w:pPr>
          </w:p>
        </w:tc>
        <w:tc>
          <w:tcPr>
            <w:tcW w:w="397" w:type="pct"/>
          </w:tcPr>
          <w:p w14:paraId="592F5018" w14:textId="77777777" w:rsidR="00967577" w:rsidRPr="005E2177" w:rsidRDefault="00967577" w:rsidP="002C677E">
            <w:pPr>
              <w:keepNext/>
              <w:rPr>
                <w:rFonts w:ascii="Arial Narrow" w:hAnsi="Arial Narrow"/>
                <w:sz w:val="20"/>
                <w:szCs w:val="20"/>
              </w:rPr>
            </w:pPr>
          </w:p>
        </w:tc>
        <w:tc>
          <w:tcPr>
            <w:tcW w:w="477" w:type="pct"/>
          </w:tcPr>
          <w:p w14:paraId="0720852F" w14:textId="77777777" w:rsidR="00967577" w:rsidRPr="005E2177" w:rsidRDefault="00967577" w:rsidP="002C677E">
            <w:pPr>
              <w:keepNext/>
              <w:rPr>
                <w:rFonts w:ascii="Arial Narrow" w:hAnsi="Arial Narrow"/>
                <w:sz w:val="20"/>
                <w:szCs w:val="20"/>
              </w:rPr>
            </w:pPr>
          </w:p>
        </w:tc>
        <w:tc>
          <w:tcPr>
            <w:tcW w:w="952" w:type="pct"/>
          </w:tcPr>
          <w:p w14:paraId="05A22090" w14:textId="77777777" w:rsidR="00967577" w:rsidRPr="005E2177" w:rsidRDefault="00967577" w:rsidP="002C677E">
            <w:pPr>
              <w:keepNext/>
              <w:rPr>
                <w:rFonts w:ascii="Arial Narrow" w:hAnsi="Arial Narrow"/>
                <w:sz w:val="20"/>
                <w:szCs w:val="20"/>
              </w:rPr>
            </w:pPr>
          </w:p>
        </w:tc>
      </w:tr>
      <w:tr w:rsidR="00967577" w:rsidRPr="005E2177" w14:paraId="391B754B" w14:textId="77777777" w:rsidTr="00240E28">
        <w:trPr>
          <w:cantSplit/>
          <w:trHeight w:val="761"/>
        </w:trPr>
        <w:tc>
          <w:tcPr>
            <w:tcW w:w="1506" w:type="pct"/>
          </w:tcPr>
          <w:p w14:paraId="0B30C0C4" w14:textId="77777777" w:rsidR="00967577" w:rsidRPr="005E2177" w:rsidRDefault="00967577" w:rsidP="002C677E">
            <w:pPr>
              <w:keepNext/>
              <w:ind w:left="-108"/>
              <w:rPr>
                <w:rFonts w:ascii="Arial Narrow" w:hAnsi="Arial Narrow"/>
                <w:sz w:val="20"/>
                <w:szCs w:val="20"/>
              </w:rPr>
            </w:pPr>
            <w:r w:rsidRPr="005E2177">
              <w:rPr>
                <w:rFonts w:ascii="Arial Narrow" w:hAnsi="Arial Narrow"/>
                <w:sz w:val="20"/>
                <w:szCs w:val="20"/>
              </w:rPr>
              <w:t xml:space="preserve">BIMEKIZUMAB </w:t>
            </w:r>
          </w:p>
          <w:p w14:paraId="685FCF61" w14:textId="77777777" w:rsidR="00967577" w:rsidRPr="005E2177" w:rsidRDefault="00967577" w:rsidP="002C677E">
            <w:pPr>
              <w:keepNext/>
              <w:ind w:left="-108"/>
              <w:rPr>
                <w:rFonts w:ascii="Arial Narrow" w:hAnsi="Arial Narrow"/>
                <w:sz w:val="20"/>
                <w:szCs w:val="20"/>
              </w:rPr>
            </w:pPr>
            <w:r w:rsidRPr="005E2177">
              <w:rPr>
                <w:rFonts w:ascii="Arial Narrow" w:hAnsi="Arial Narrow"/>
                <w:sz w:val="20"/>
                <w:szCs w:val="20"/>
              </w:rPr>
              <w:t>bimekizumab 160 mg/mL injection, 2 x 1 mL pen devices</w:t>
            </w:r>
          </w:p>
        </w:tc>
        <w:tc>
          <w:tcPr>
            <w:tcW w:w="714" w:type="pct"/>
          </w:tcPr>
          <w:p w14:paraId="3EA3B493" w14:textId="77777777" w:rsidR="00967577" w:rsidRPr="005E2177" w:rsidRDefault="00967577" w:rsidP="002C677E">
            <w:pPr>
              <w:keepNext/>
              <w:ind w:left="-108"/>
              <w:jc w:val="center"/>
              <w:rPr>
                <w:rFonts w:ascii="Arial Narrow" w:hAnsi="Arial Narrow"/>
                <w:sz w:val="20"/>
                <w:szCs w:val="20"/>
              </w:rPr>
            </w:pPr>
          </w:p>
          <w:p w14:paraId="29533A4E" w14:textId="77777777" w:rsidR="00967577" w:rsidRPr="005E2177" w:rsidRDefault="00967577" w:rsidP="002C677E">
            <w:pPr>
              <w:keepNext/>
              <w:ind w:left="-108"/>
              <w:jc w:val="center"/>
              <w:rPr>
                <w:rFonts w:ascii="Arial Narrow" w:hAnsi="Arial Narrow"/>
                <w:sz w:val="20"/>
                <w:szCs w:val="20"/>
              </w:rPr>
            </w:pPr>
            <w:r w:rsidRPr="005E2177">
              <w:rPr>
                <w:rFonts w:ascii="Arial Narrow" w:hAnsi="Arial Narrow"/>
                <w:sz w:val="20"/>
                <w:szCs w:val="20"/>
              </w:rPr>
              <w:t>New (initial)</w:t>
            </w:r>
          </w:p>
          <w:p w14:paraId="78F08013" w14:textId="30A1E0BB" w:rsidR="00967577" w:rsidRPr="005E2177" w:rsidRDefault="00967577" w:rsidP="002C677E">
            <w:pPr>
              <w:keepNext/>
              <w:ind w:left="-108"/>
              <w:jc w:val="center"/>
              <w:rPr>
                <w:rFonts w:ascii="Arial Narrow" w:hAnsi="Arial Narrow"/>
                <w:sz w:val="20"/>
                <w:szCs w:val="20"/>
              </w:rPr>
            </w:pPr>
            <w:r w:rsidRPr="005E2177">
              <w:rPr>
                <w:rFonts w:ascii="Arial Narrow" w:hAnsi="Arial Narrow"/>
                <w:sz w:val="20"/>
                <w:szCs w:val="20"/>
              </w:rPr>
              <w:t>New (continuing</w:t>
            </w:r>
            <w:r w:rsidR="00573531">
              <w:rPr>
                <w:rFonts w:ascii="Arial Narrow" w:hAnsi="Arial Narrow"/>
                <w:sz w:val="20"/>
                <w:szCs w:val="20"/>
              </w:rPr>
              <w:t xml:space="preserve"> + grandfather</w:t>
            </w:r>
            <w:r w:rsidRPr="005E2177">
              <w:rPr>
                <w:rFonts w:ascii="Arial Narrow" w:hAnsi="Arial Narrow"/>
                <w:sz w:val="20"/>
                <w:szCs w:val="20"/>
              </w:rPr>
              <w:t>)</w:t>
            </w:r>
          </w:p>
        </w:tc>
        <w:tc>
          <w:tcPr>
            <w:tcW w:w="477" w:type="pct"/>
          </w:tcPr>
          <w:p w14:paraId="3D6E4C84" w14:textId="77777777" w:rsidR="00967577" w:rsidRPr="005E2177" w:rsidRDefault="00967577" w:rsidP="002C677E">
            <w:pPr>
              <w:keepNext/>
              <w:jc w:val="center"/>
              <w:rPr>
                <w:rFonts w:ascii="Arial Narrow" w:hAnsi="Arial Narrow"/>
                <w:sz w:val="20"/>
                <w:szCs w:val="20"/>
              </w:rPr>
            </w:pPr>
          </w:p>
          <w:p w14:paraId="4B7A4848" w14:textId="77777777" w:rsidR="00967577" w:rsidRPr="005E2177" w:rsidRDefault="00967577" w:rsidP="002C677E">
            <w:pPr>
              <w:keepNext/>
              <w:jc w:val="center"/>
              <w:rPr>
                <w:rFonts w:ascii="Arial Narrow" w:hAnsi="Arial Narrow"/>
                <w:sz w:val="20"/>
                <w:szCs w:val="20"/>
              </w:rPr>
            </w:pPr>
            <w:r w:rsidRPr="005E2177">
              <w:rPr>
                <w:rFonts w:ascii="Arial Narrow" w:hAnsi="Arial Narrow"/>
                <w:sz w:val="20"/>
                <w:szCs w:val="20"/>
              </w:rPr>
              <w:t>1</w:t>
            </w:r>
          </w:p>
        </w:tc>
        <w:tc>
          <w:tcPr>
            <w:tcW w:w="476" w:type="pct"/>
          </w:tcPr>
          <w:p w14:paraId="2D33D450" w14:textId="77777777" w:rsidR="00967577" w:rsidRPr="005E2177" w:rsidRDefault="00967577" w:rsidP="002C677E">
            <w:pPr>
              <w:keepNext/>
              <w:ind w:left="-108"/>
              <w:jc w:val="center"/>
              <w:rPr>
                <w:rFonts w:ascii="Arial Narrow" w:hAnsi="Arial Narrow"/>
                <w:sz w:val="20"/>
                <w:szCs w:val="20"/>
              </w:rPr>
            </w:pPr>
          </w:p>
          <w:p w14:paraId="3864D8F4" w14:textId="77777777" w:rsidR="00967577" w:rsidRPr="005E2177" w:rsidRDefault="00967577" w:rsidP="002C677E">
            <w:pPr>
              <w:keepNext/>
              <w:ind w:left="-108"/>
              <w:jc w:val="center"/>
              <w:rPr>
                <w:rFonts w:ascii="Arial Narrow" w:hAnsi="Arial Narrow"/>
                <w:sz w:val="20"/>
                <w:szCs w:val="20"/>
              </w:rPr>
            </w:pPr>
            <w:r w:rsidRPr="005E2177">
              <w:rPr>
                <w:rFonts w:ascii="Arial Narrow" w:hAnsi="Arial Narrow"/>
                <w:sz w:val="20"/>
                <w:szCs w:val="20"/>
              </w:rPr>
              <w:t>2</w:t>
            </w:r>
          </w:p>
        </w:tc>
        <w:tc>
          <w:tcPr>
            <w:tcW w:w="397" w:type="pct"/>
          </w:tcPr>
          <w:p w14:paraId="0FE3E4F5" w14:textId="77777777" w:rsidR="00967577" w:rsidRPr="005E2177" w:rsidRDefault="00967577" w:rsidP="002C677E">
            <w:pPr>
              <w:keepNext/>
              <w:jc w:val="center"/>
              <w:rPr>
                <w:rFonts w:ascii="Arial Narrow" w:hAnsi="Arial Narrow"/>
                <w:sz w:val="20"/>
                <w:szCs w:val="20"/>
              </w:rPr>
            </w:pPr>
          </w:p>
          <w:p w14:paraId="34D33617" w14:textId="77B51680" w:rsidR="00967577" w:rsidRPr="005E2177" w:rsidRDefault="005E2177" w:rsidP="002C677E">
            <w:pPr>
              <w:keepNext/>
              <w:jc w:val="center"/>
              <w:rPr>
                <w:rFonts w:ascii="Arial Narrow" w:hAnsi="Arial Narrow"/>
                <w:sz w:val="20"/>
                <w:szCs w:val="20"/>
              </w:rPr>
            </w:pPr>
            <w:r w:rsidRPr="005E2177">
              <w:rPr>
                <w:rFonts w:ascii="Arial Narrow" w:hAnsi="Arial Narrow"/>
                <w:sz w:val="20"/>
                <w:szCs w:val="20"/>
              </w:rPr>
              <w:t>1/</w:t>
            </w:r>
            <w:r w:rsidR="00967577" w:rsidRPr="005E2177">
              <w:rPr>
                <w:rFonts w:ascii="Arial Narrow" w:hAnsi="Arial Narrow"/>
                <w:sz w:val="20"/>
                <w:szCs w:val="20"/>
              </w:rPr>
              <w:t>2*</w:t>
            </w:r>
          </w:p>
        </w:tc>
        <w:tc>
          <w:tcPr>
            <w:tcW w:w="477" w:type="pct"/>
            <w:vMerge w:val="restart"/>
            <w:vAlign w:val="center"/>
          </w:tcPr>
          <w:p w14:paraId="25CED4D8" w14:textId="77777777" w:rsidR="00967577" w:rsidRPr="005E2177" w:rsidRDefault="00967577" w:rsidP="002C677E">
            <w:pPr>
              <w:keepNext/>
              <w:jc w:val="center"/>
              <w:rPr>
                <w:rFonts w:ascii="Arial Narrow" w:hAnsi="Arial Narrow"/>
                <w:sz w:val="20"/>
                <w:szCs w:val="20"/>
              </w:rPr>
            </w:pPr>
            <w:r w:rsidRPr="005E2177">
              <w:rPr>
                <w:rFonts w:ascii="Arial Narrow" w:hAnsi="Arial Narrow"/>
                <w:sz w:val="20"/>
                <w:szCs w:val="20"/>
              </w:rPr>
              <w:t>Bimzlx</w:t>
            </w:r>
            <w:r w:rsidRPr="005E2177">
              <w:rPr>
                <w:rFonts w:ascii="Arial Narrow" w:hAnsi="Arial Narrow"/>
                <w:sz w:val="20"/>
                <w:szCs w:val="20"/>
                <w:vertAlign w:val="superscript"/>
              </w:rPr>
              <w:t>®</w:t>
            </w:r>
          </w:p>
        </w:tc>
        <w:tc>
          <w:tcPr>
            <w:tcW w:w="952" w:type="pct"/>
            <w:vMerge w:val="restart"/>
            <w:vAlign w:val="center"/>
          </w:tcPr>
          <w:p w14:paraId="0AC816B3" w14:textId="77777777" w:rsidR="00967577" w:rsidRPr="005E2177" w:rsidRDefault="00967577" w:rsidP="002C677E">
            <w:pPr>
              <w:keepNext/>
              <w:jc w:val="center"/>
              <w:rPr>
                <w:rFonts w:ascii="Arial Narrow" w:hAnsi="Arial Narrow"/>
                <w:sz w:val="20"/>
                <w:szCs w:val="20"/>
              </w:rPr>
            </w:pPr>
            <w:r w:rsidRPr="005E2177">
              <w:rPr>
                <w:rFonts w:ascii="Arial Narrow" w:hAnsi="Arial Narrow"/>
                <w:sz w:val="20"/>
                <w:szCs w:val="20"/>
              </w:rPr>
              <w:t>UCB Australia Proprietary Limited</w:t>
            </w:r>
          </w:p>
        </w:tc>
      </w:tr>
      <w:tr w:rsidR="00967577" w:rsidRPr="005E2177" w14:paraId="0862DEDB" w14:textId="77777777" w:rsidTr="00240E28">
        <w:trPr>
          <w:cantSplit/>
          <w:trHeight w:val="347"/>
        </w:trPr>
        <w:tc>
          <w:tcPr>
            <w:tcW w:w="1506" w:type="pct"/>
          </w:tcPr>
          <w:p w14:paraId="6D6F94C9" w14:textId="77777777" w:rsidR="00967577" w:rsidRPr="005E2177" w:rsidRDefault="00967577" w:rsidP="002C677E">
            <w:pPr>
              <w:keepNext/>
              <w:ind w:left="-108"/>
              <w:rPr>
                <w:rFonts w:ascii="Arial Narrow" w:hAnsi="Arial Narrow"/>
                <w:sz w:val="20"/>
                <w:szCs w:val="20"/>
              </w:rPr>
            </w:pPr>
            <w:r w:rsidRPr="005E2177">
              <w:rPr>
                <w:rFonts w:ascii="Arial Narrow" w:hAnsi="Arial Narrow"/>
                <w:sz w:val="20"/>
                <w:szCs w:val="20"/>
              </w:rPr>
              <w:t>bimekizumab 160 mg/mL injection, 2 x 1 mL syringes</w:t>
            </w:r>
          </w:p>
        </w:tc>
        <w:tc>
          <w:tcPr>
            <w:tcW w:w="714" w:type="pct"/>
          </w:tcPr>
          <w:p w14:paraId="6CABDB5A" w14:textId="77777777" w:rsidR="00967577" w:rsidRPr="005E2177" w:rsidRDefault="00967577" w:rsidP="002C677E">
            <w:pPr>
              <w:keepNext/>
              <w:ind w:left="-108"/>
              <w:jc w:val="center"/>
              <w:rPr>
                <w:rFonts w:ascii="Arial Narrow" w:hAnsi="Arial Narrow"/>
                <w:sz w:val="20"/>
                <w:szCs w:val="20"/>
              </w:rPr>
            </w:pPr>
            <w:r w:rsidRPr="005E2177">
              <w:rPr>
                <w:rFonts w:ascii="Arial Narrow" w:hAnsi="Arial Narrow"/>
                <w:sz w:val="20"/>
                <w:szCs w:val="20"/>
              </w:rPr>
              <w:t xml:space="preserve">New (initial) </w:t>
            </w:r>
          </w:p>
          <w:p w14:paraId="180B011C" w14:textId="036E727A" w:rsidR="00967577" w:rsidRPr="005E2177" w:rsidRDefault="00967577" w:rsidP="002C677E">
            <w:pPr>
              <w:keepNext/>
              <w:ind w:left="-108"/>
              <w:jc w:val="center"/>
              <w:rPr>
                <w:rFonts w:ascii="Arial Narrow" w:hAnsi="Arial Narrow"/>
                <w:sz w:val="20"/>
                <w:szCs w:val="20"/>
              </w:rPr>
            </w:pPr>
            <w:r w:rsidRPr="005E2177">
              <w:rPr>
                <w:rFonts w:ascii="Arial Narrow" w:hAnsi="Arial Narrow"/>
                <w:sz w:val="20"/>
                <w:szCs w:val="20"/>
              </w:rPr>
              <w:t>New (continuing</w:t>
            </w:r>
            <w:r w:rsidR="00573531">
              <w:rPr>
                <w:rFonts w:ascii="Arial Narrow" w:hAnsi="Arial Narrow"/>
                <w:sz w:val="20"/>
                <w:szCs w:val="20"/>
              </w:rPr>
              <w:t>+ grandfather</w:t>
            </w:r>
            <w:r w:rsidRPr="005E2177">
              <w:rPr>
                <w:rFonts w:ascii="Arial Narrow" w:hAnsi="Arial Narrow"/>
                <w:sz w:val="20"/>
                <w:szCs w:val="20"/>
              </w:rPr>
              <w:t>)</w:t>
            </w:r>
          </w:p>
        </w:tc>
        <w:tc>
          <w:tcPr>
            <w:tcW w:w="477" w:type="pct"/>
          </w:tcPr>
          <w:p w14:paraId="79365AEC" w14:textId="77777777" w:rsidR="00967577" w:rsidRPr="005E2177" w:rsidRDefault="00967577" w:rsidP="002C677E">
            <w:pPr>
              <w:keepNext/>
              <w:jc w:val="center"/>
              <w:rPr>
                <w:rFonts w:ascii="Arial Narrow" w:hAnsi="Arial Narrow"/>
                <w:sz w:val="20"/>
                <w:szCs w:val="20"/>
              </w:rPr>
            </w:pPr>
            <w:r w:rsidRPr="005E2177">
              <w:rPr>
                <w:rFonts w:ascii="Arial Narrow" w:hAnsi="Arial Narrow"/>
                <w:sz w:val="20"/>
                <w:szCs w:val="20"/>
              </w:rPr>
              <w:t>1</w:t>
            </w:r>
          </w:p>
        </w:tc>
        <w:tc>
          <w:tcPr>
            <w:tcW w:w="476" w:type="pct"/>
          </w:tcPr>
          <w:p w14:paraId="354B0213" w14:textId="77777777" w:rsidR="00967577" w:rsidRPr="005E2177" w:rsidRDefault="00967577" w:rsidP="002C677E">
            <w:pPr>
              <w:keepNext/>
              <w:ind w:left="-108"/>
              <w:jc w:val="center"/>
              <w:rPr>
                <w:rFonts w:ascii="Arial Narrow" w:hAnsi="Arial Narrow"/>
                <w:sz w:val="20"/>
                <w:szCs w:val="20"/>
              </w:rPr>
            </w:pPr>
            <w:r w:rsidRPr="005E2177">
              <w:rPr>
                <w:rFonts w:ascii="Arial Narrow" w:hAnsi="Arial Narrow"/>
                <w:sz w:val="20"/>
                <w:szCs w:val="20"/>
              </w:rPr>
              <w:t>2</w:t>
            </w:r>
          </w:p>
        </w:tc>
        <w:tc>
          <w:tcPr>
            <w:tcW w:w="397" w:type="pct"/>
          </w:tcPr>
          <w:p w14:paraId="199B73F0" w14:textId="53609D32" w:rsidR="00967577" w:rsidRPr="005E2177" w:rsidRDefault="00967577" w:rsidP="002C677E">
            <w:pPr>
              <w:keepNext/>
              <w:ind w:left="-108"/>
              <w:jc w:val="center"/>
              <w:rPr>
                <w:rFonts w:ascii="Arial Narrow" w:hAnsi="Arial Narrow"/>
                <w:sz w:val="20"/>
                <w:szCs w:val="20"/>
              </w:rPr>
            </w:pPr>
            <w:r w:rsidRPr="005E2177">
              <w:rPr>
                <w:rFonts w:ascii="Arial Narrow" w:hAnsi="Arial Narrow"/>
                <w:sz w:val="20"/>
                <w:szCs w:val="20"/>
              </w:rPr>
              <w:t xml:space="preserve"> </w:t>
            </w:r>
            <w:r w:rsidR="005E2177" w:rsidRPr="005E2177">
              <w:rPr>
                <w:rFonts w:ascii="Arial Narrow" w:hAnsi="Arial Narrow"/>
                <w:sz w:val="20"/>
                <w:szCs w:val="20"/>
              </w:rPr>
              <w:t>1/</w:t>
            </w:r>
            <w:r w:rsidRPr="005E2177">
              <w:rPr>
                <w:rFonts w:ascii="Arial Narrow" w:hAnsi="Arial Narrow"/>
                <w:sz w:val="20"/>
                <w:szCs w:val="20"/>
              </w:rPr>
              <w:t>2*</w:t>
            </w:r>
          </w:p>
        </w:tc>
        <w:tc>
          <w:tcPr>
            <w:tcW w:w="477" w:type="pct"/>
            <w:vMerge/>
          </w:tcPr>
          <w:p w14:paraId="7BBB7A47" w14:textId="77777777" w:rsidR="00967577" w:rsidRPr="005E2177" w:rsidRDefault="00967577" w:rsidP="002C677E">
            <w:pPr>
              <w:keepNext/>
              <w:rPr>
                <w:rFonts w:ascii="Arial Narrow" w:hAnsi="Arial Narrow"/>
                <w:sz w:val="20"/>
                <w:szCs w:val="20"/>
              </w:rPr>
            </w:pPr>
          </w:p>
        </w:tc>
        <w:tc>
          <w:tcPr>
            <w:tcW w:w="952" w:type="pct"/>
            <w:vMerge/>
          </w:tcPr>
          <w:p w14:paraId="624EE98E" w14:textId="77777777" w:rsidR="00967577" w:rsidRPr="005E2177" w:rsidRDefault="00967577" w:rsidP="002C677E">
            <w:pPr>
              <w:keepNext/>
              <w:rPr>
                <w:rFonts w:ascii="Arial Narrow" w:hAnsi="Arial Narrow"/>
                <w:sz w:val="20"/>
                <w:szCs w:val="20"/>
              </w:rPr>
            </w:pPr>
          </w:p>
        </w:tc>
      </w:tr>
    </w:tbl>
    <w:p w14:paraId="540C2B1C" w14:textId="45911CAF" w:rsidR="00967577" w:rsidRPr="005E2177" w:rsidRDefault="00967577" w:rsidP="00967577">
      <w:pPr>
        <w:rPr>
          <w:rFonts w:ascii="Arial Narrow" w:hAnsi="Arial Narrow"/>
          <w:sz w:val="20"/>
          <w:szCs w:val="20"/>
        </w:rPr>
      </w:pPr>
      <w:r w:rsidRPr="005E2177">
        <w:t>*</w:t>
      </w:r>
      <w:r w:rsidRPr="005E2177">
        <w:rPr>
          <w:rFonts w:ascii="Arial Narrow" w:hAnsi="Arial Narrow"/>
          <w:sz w:val="20"/>
          <w:szCs w:val="20"/>
        </w:rPr>
        <w:t>Maximum repeats of 1 for initial therapy</w:t>
      </w:r>
      <w:r w:rsidR="005E2177" w:rsidRPr="005E2177">
        <w:rPr>
          <w:rFonts w:ascii="Arial Narrow" w:hAnsi="Arial Narrow"/>
          <w:sz w:val="20"/>
          <w:szCs w:val="20"/>
        </w:rPr>
        <w:t xml:space="preserve">, 2 for </w:t>
      </w:r>
      <w:r w:rsidR="00240E28" w:rsidRPr="005E2177">
        <w:rPr>
          <w:rFonts w:ascii="Arial Narrow" w:hAnsi="Arial Narrow"/>
          <w:sz w:val="20"/>
          <w:szCs w:val="20"/>
        </w:rPr>
        <w:t xml:space="preserve">continuing </w:t>
      </w:r>
      <w:r w:rsidR="00240E28">
        <w:rPr>
          <w:rFonts w:ascii="Arial Narrow" w:hAnsi="Arial Narrow"/>
          <w:sz w:val="20"/>
          <w:szCs w:val="20"/>
        </w:rPr>
        <w:t>and</w:t>
      </w:r>
      <w:r w:rsidR="00573531">
        <w:rPr>
          <w:rFonts w:ascii="Arial Narrow" w:hAnsi="Arial Narrow"/>
          <w:sz w:val="20"/>
          <w:szCs w:val="20"/>
        </w:rPr>
        <w:t xml:space="preserve"> grandfather </w:t>
      </w:r>
      <w:r w:rsidR="005E2177" w:rsidRPr="005E2177">
        <w:rPr>
          <w:rFonts w:ascii="Arial Narrow" w:hAnsi="Arial Narrow"/>
          <w:sz w:val="20"/>
          <w:szCs w:val="20"/>
        </w:rPr>
        <w:t>therapy</w:t>
      </w:r>
    </w:p>
    <w:p w14:paraId="4D54ECAF" w14:textId="1DE93F15" w:rsidR="00967577" w:rsidRPr="005E2177" w:rsidRDefault="00967577" w:rsidP="00967577">
      <w:pPr>
        <w:rPr>
          <w:rFonts w:ascii="Arial Narrow" w:hAnsi="Arial Narrow"/>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7"/>
        <w:gridCol w:w="8020"/>
      </w:tblGrid>
      <w:tr w:rsidR="00967577" w:rsidRPr="005E2177" w14:paraId="1C252F62" w14:textId="77777777" w:rsidTr="00240E28">
        <w:tc>
          <w:tcPr>
            <w:tcW w:w="553" w:type="pct"/>
            <w:tcBorders>
              <w:top w:val="single" w:sz="4" w:space="0" w:color="auto"/>
              <w:left w:val="single" w:sz="4" w:space="0" w:color="auto"/>
              <w:bottom w:val="single" w:sz="4" w:space="0" w:color="auto"/>
              <w:right w:val="single" w:sz="4" w:space="0" w:color="auto"/>
            </w:tcBorders>
          </w:tcPr>
          <w:p w14:paraId="4E08D7CE" w14:textId="77777777" w:rsidR="00967577" w:rsidRPr="005E2177" w:rsidRDefault="00967577" w:rsidP="002C677E">
            <w:pPr>
              <w:jc w:val="center"/>
              <w:rPr>
                <w:rFonts w:ascii="Arial Narrow" w:hAnsi="Arial Narrow"/>
                <w:b/>
                <w:sz w:val="20"/>
                <w:szCs w:val="20"/>
              </w:rPr>
            </w:pPr>
            <w:r w:rsidRPr="005E2177">
              <w:rPr>
                <w:rFonts w:ascii="Arial Narrow" w:hAnsi="Arial Narrow"/>
                <w:b/>
                <w:sz w:val="20"/>
                <w:szCs w:val="20"/>
              </w:rPr>
              <w:t>Concept ID</w:t>
            </w:r>
          </w:p>
        </w:tc>
        <w:tc>
          <w:tcPr>
            <w:tcW w:w="4447" w:type="pct"/>
            <w:tcBorders>
              <w:top w:val="single" w:sz="4" w:space="0" w:color="auto"/>
              <w:left w:val="single" w:sz="4" w:space="0" w:color="auto"/>
              <w:bottom w:val="single" w:sz="4" w:space="0" w:color="auto"/>
              <w:right w:val="single" w:sz="4" w:space="0" w:color="auto"/>
            </w:tcBorders>
          </w:tcPr>
          <w:p w14:paraId="444BD8B2" w14:textId="77777777" w:rsidR="00967577" w:rsidRPr="005E2177" w:rsidRDefault="00967577" w:rsidP="002C677E">
            <w:pPr>
              <w:rPr>
                <w:rFonts w:ascii="Arial Narrow" w:hAnsi="Arial Narrow"/>
                <w:sz w:val="20"/>
                <w:szCs w:val="20"/>
              </w:rPr>
            </w:pPr>
            <w:r w:rsidRPr="005E2177">
              <w:rPr>
                <w:rFonts w:ascii="Arial Narrow" w:hAnsi="Arial Narrow"/>
                <w:b/>
                <w:sz w:val="20"/>
                <w:szCs w:val="20"/>
              </w:rPr>
              <w:t xml:space="preserve">Category / Program:   </w:t>
            </w:r>
          </w:p>
          <w:p w14:paraId="2CC4FCDB" w14:textId="77777777" w:rsidR="00967577" w:rsidRPr="005E2177" w:rsidRDefault="00967577" w:rsidP="002C677E">
            <w:pPr>
              <w:rPr>
                <w:rFonts w:ascii="Arial Narrow" w:hAnsi="Arial Narrow"/>
                <w:sz w:val="20"/>
                <w:szCs w:val="20"/>
              </w:rPr>
            </w:pPr>
            <w:r w:rsidRPr="005E2177">
              <w:rPr>
                <w:rFonts w:ascii="Arial Narrow" w:hAnsi="Arial Narrow"/>
                <w:sz w:val="20"/>
                <w:szCs w:val="20"/>
              </w:rPr>
              <w:t>GENERAL – General Schedule (Code GE)</w:t>
            </w:r>
          </w:p>
        </w:tc>
      </w:tr>
      <w:tr w:rsidR="00967577" w:rsidRPr="005E2177" w14:paraId="065B7AE6" w14:textId="77777777" w:rsidTr="00240E28">
        <w:trPr>
          <w:trHeight w:val="45"/>
        </w:trPr>
        <w:tc>
          <w:tcPr>
            <w:tcW w:w="553" w:type="pct"/>
            <w:tcBorders>
              <w:top w:val="single" w:sz="4" w:space="0" w:color="auto"/>
              <w:left w:val="single" w:sz="4" w:space="0" w:color="auto"/>
              <w:bottom w:val="single" w:sz="4" w:space="0" w:color="auto"/>
              <w:right w:val="single" w:sz="4" w:space="0" w:color="auto"/>
            </w:tcBorders>
          </w:tcPr>
          <w:p w14:paraId="59978390" w14:textId="77777777" w:rsidR="00967577" w:rsidRPr="005E2177" w:rsidRDefault="00967577" w:rsidP="002C677E">
            <w:pPr>
              <w:rPr>
                <w:rFonts w:ascii="Arial Narrow" w:hAnsi="Arial Narrow"/>
                <w:sz w:val="20"/>
                <w:szCs w:val="20"/>
              </w:rPr>
            </w:pPr>
          </w:p>
        </w:tc>
        <w:tc>
          <w:tcPr>
            <w:tcW w:w="4447" w:type="pct"/>
            <w:tcBorders>
              <w:top w:val="single" w:sz="4" w:space="0" w:color="auto"/>
              <w:left w:val="single" w:sz="4" w:space="0" w:color="auto"/>
              <w:bottom w:val="single" w:sz="4" w:space="0" w:color="auto"/>
              <w:right w:val="single" w:sz="4" w:space="0" w:color="auto"/>
            </w:tcBorders>
          </w:tcPr>
          <w:p w14:paraId="249F17A9" w14:textId="77777777" w:rsidR="00967577" w:rsidRPr="005E2177" w:rsidRDefault="00967577" w:rsidP="002C677E">
            <w:pPr>
              <w:rPr>
                <w:rFonts w:ascii="Arial Narrow" w:hAnsi="Arial Narrow"/>
                <w:sz w:val="20"/>
                <w:szCs w:val="20"/>
              </w:rPr>
            </w:pPr>
            <w:r w:rsidRPr="005E2177">
              <w:rPr>
                <w:rFonts w:ascii="Arial Narrow" w:hAnsi="Arial Narrow"/>
                <w:b/>
                <w:sz w:val="20"/>
                <w:szCs w:val="20"/>
              </w:rPr>
              <w:t xml:space="preserve">Prescriber type:  </w:t>
            </w:r>
            <w:r w:rsidRPr="005E2177">
              <w:rPr>
                <w:rFonts w:ascii="Arial Narrow" w:hAnsi="Arial Narrow"/>
                <w:sz w:val="20"/>
                <w:szCs w:val="20"/>
              </w:rPr>
              <w:fldChar w:fldCharType="begin" w:fldLock="1">
                <w:ffData>
                  <w:name w:val=""/>
                  <w:enabled/>
                  <w:calcOnExit w:val="0"/>
                  <w:checkBox>
                    <w:sizeAuto/>
                    <w:default w:val="1"/>
                  </w:checkBox>
                </w:ffData>
              </w:fldChar>
            </w:r>
            <w:r w:rsidRPr="005E2177">
              <w:rPr>
                <w:rFonts w:ascii="Arial Narrow" w:hAnsi="Arial Narrow"/>
                <w:sz w:val="20"/>
                <w:szCs w:val="20"/>
              </w:rPr>
              <w:instrText xml:space="preserve"> FORMCHECKBOX </w:instrText>
            </w:r>
            <w:r w:rsidR="006269D6">
              <w:rPr>
                <w:rFonts w:ascii="Arial Narrow" w:hAnsi="Arial Narrow"/>
                <w:sz w:val="20"/>
                <w:szCs w:val="20"/>
              </w:rPr>
            </w:r>
            <w:r w:rsidR="006269D6">
              <w:rPr>
                <w:rFonts w:ascii="Arial Narrow" w:hAnsi="Arial Narrow"/>
                <w:sz w:val="20"/>
                <w:szCs w:val="20"/>
              </w:rPr>
              <w:fldChar w:fldCharType="separate"/>
            </w:r>
            <w:r w:rsidRPr="005E2177">
              <w:rPr>
                <w:rFonts w:ascii="Arial Narrow" w:hAnsi="Arial Narrow"/>
                <w:sz w:val="20"/>
                <w:szCs w:val="20"/>
              </w:rPr>
              <w:fldChar w:fldCharType="end"/>
            </w:r>
            <w:r w:rsidRPr="005E2177">
              <w:rPr>
                <w:rFonts w:ascii="Arial Narrow" w:hAnsi="Arial Narrow"/>
                <w:sz w:val="20"/>
                <w:szCs w:val="20"/>
              </w:rPr>
              <w:t xml:space="preserve">Medical Practitioners  </w:t>
            </w:r>
          </w:p>
        </w:tc>
      </w:tr>
      <w:tr w:rsidR="00967577" w:rsidRPr="005E2177" w14:paraId="46CA00C1" w14:textId="77777777" w:rsidTr="00240E28">
        <w:tc>
          <w:tcPr>
            <w:tcW w:w="553" w:type="pct"/>
            <w:tcBorders>
              <w:top w:val="single" w:sz="4" w:space="0" w:color="auto"/>
              <w:left w:val="single" w:sz="4" w:space="0" w:color="auto"/>
              <w:bottom w:val="single" w:sz="4" w:space="0" w:color="auto"/>
              <w:right w:val="single" w:sz="4" w:space="0" w:color="auto"/>
            </w:tcBorders>
          </w:tcPr>
          <w:p w14:paraId="7E868E7C" w14:textId="77777777" w:rsidR="00967577" w:rsidRPr="005E2177" w:rsidRDefault="00967577" w:rsidP="002C677E">
            <w:pPr>
              <w:rPr>
                <w:rFonts w:ascii="Arial Narrow" w:hAnsi="Arial Narrow"/>
                <w:sz w:val="20"/>
                <w:szCs w:val="20"/>
              </w:rPr>
            </w:pPr>
          </w:p>
        </w:tc>
        <w:tc>
          <w:tcPr>
            <w:tcW w:w="4447" w:type="pct"/>
            <w:tcBorders>
              <w:top w:val="single" w:sz="4" w:space="0" w:color="auto"/>
              <w:left w:val="single" w:sz="4" w:space="0" w:color="auto"/>
              <w:bottom w:val="single" w:sz="4" w:space="0" w:color="auto"/>
              <w:right w:val="single" w:sz="4" w:space="0" w:color="auto"/>
            </w:tcBorders>
          </w:tcPr>
          <w:p w14:paraId="0B152F73" w14:textId="77777777" w:rsidR="00967577" w:rsidRPr="005E2177" w:rsidRDefault="00967577" w:rsidP="002C677E">
            <w:pPr>
              <w:rPr>
                <w:rFonts w:ascii="Arial Narrow" w:hAnsi="Arial Narrow"/>
                <w:b/>
                <w:sz w:val="20"/>
                <w:szCs w:val="20"/>
              </w:rPr>
            </w:pPr>
            <w:r w:rsidRPr="005E2177">
              <w:rPr>
                <w:rFonts w:ascii="Arial Narrow" w:hAnsi="Arial Narrow"/>
                <w:b/>
                <w:sz w:val="20"/>
                <w:szCs w:val="20"/>
              </w:rPr>
              <w:t xml:space="preserve">Restriction Level / Method: </w:t>
            </w:r>
            <w:r w:rsidRPr="005E2177">
              <w:rPr>
                <w:rFonts w:ascii="Arial Narrow" w:hAnsi="Arial Narrow"/>
                <w:sz w:val="20"/>
                <w:szCs w:val="20"/>
              </w:rPr>
              <w:fldChar w:fldCharType="begin" w:fldLock="1">
                <w:ffData>
                  <w:name w:val=""/>
                  <w:enabled/>
                  <w:calcOnExit w:val="0"/>
                  <w:checkBox>
                    <w:sizeAuto/>
                    <w:default w:val="1"/>
                  </w:checkBox>
                </w:ffData>
              </w:fldChar>
            </w:r>
            <w:r w:rsidRPr="005E2177">
              <w:rPr>
                <w:rFonts w:ascii="Arial Narrow" w:hAnsi="Arial Narrow"/>
                <w:sz w:val="20"/>
                <w:szCs w:val="20"/>
              </w:rPr>
              <w:instrText xml:space="preserve"> FORMCHECKBOX </w:instrText>
            </w:r>
            <w:r w:rsidR="006269D6">
              <w:rPr>
                <w:rFonts w:ascii="Arial Narrow" w:hAnsi="Arial Narrow"/>
                <w:sz w:val="20"/>
                <w:szCs w:val="20"/>
              </w:rPr>
            </w:r>
            <w:r w:rsidR="006269D6">
              <w:rPr>
                <w:rFonts w:ascii="Arial Narrow" w:hAnsi="Arial Narrow"/>
                <w:sz w:val="20"/>
                <w:szCs w:val="20"/>
              </w:rPr>
              <w:fldChar w:fldCharType="separate"/>
            </w:r>
            <w:r w:rsidRPr="005E2177">
              <w:rPr>
                <w:rFonts w:ascii="Arial Narrow" w:hAnsi="Arial Narrow"/>
                <w:sz w:val="20"/>
                <w:szCs w:val="20"/>
              </w:rPr>
              <w:fldChar w:fldCharType="end"/>
            </w:r>
            <w:r w:rsidRPr="005E2177">
              <w:rPr>
                <w:rFonts w:ascii="Arial Narrow" w:hAnsi="Arial Narrow"/>
                <w:sz w:val="20"/>
                <w:szCs w:val="20"/>
              </w:rPr>
              <w:t>Authority Required – In Writing</w:t>
            </w:r>
          </w:p>
        </w:tc>
      </w:tr>
      <w:tr w:rsidR="00967577" w:rsidRPr="005E2177" w14:paraId="2E377963" w14:textId="77777777" w:rsidTr="00240E28">
        <w:tc>
          <w:tcPr>
            <w:tcW w:w="553" w:type="pct"/>
            <w:vAlign w:val="center"/>
          </w:tcPr>
          <w:p w14:paraId="4E8BCBDF" w14:textId="0F1E0B6C" w:rsidR="00967577" w:rsidRPr="005E2177" w:rsidRDefault="00967577" w:rsidP="002C677E">
            <w:pPr>
              <w:jc w:val="center"/>
              <w:rPr>
                <w:rFonts w:ascii="Arial Narrow" w:hAnsi="Arial Narrow"/>
                <w:color w:val="333333"/>
                <w:sz w:val="20"/>
                <w:szCs w:val="20"/>
              </w:rPr>
            </w:pPr>
          </w:p>
        </w:tc>
        <w:tc>
          <w:tcPr>
            <w:tcW w:w="4447" w:type="pct"/>
            <w:vAlign w:val="center"/>
          </w:tcPr>
          <w:p w14:paraId="64190918" w14:textId="77777777" w:rsidR="00967577" w:rsidRPr="005E2177" w:rsidRDefault="00967577" w:rsidP="002C677E">
            <w:pPr>
              <w:rPr>
                <w:rFonts w:ascii="Arial Narrow" w:hAnsi="Arial Narrow"/>
                <w:color w:val="333333"/>
                <w:sz w:val="20"/>
                <w:szCs w:val="20"/>
              </w:rPr>
            </w:pPr>
            <w:r w:rsidRPr="005E2177">
              <w:rPr>
                <w:rFonts w:ascii="Arial Narrow" w:hAnsi="Arial Narrow"/>
                <w:b/>
                <w:bCs/>
                <w:color w:val="333333"/>
                <w:sz w:val="20"/>
                <w:szCs w:val="20"/>
              </w:rPr>
              <w:t>Administrative Advice:</w:t>
            </w:r>
          </w:p>
          <w:p w14:paraId="2F7ECAD1" w14:textId="77777777" w:rsidR="00967577" w:rsidRPr="005E2177" w:rsidRDefault="00967577" w:rsidP="002C677E">
            <w:pPr>
              <w:rPr>
                <w:rFonts w:ascii="Arial Narrow" w:hAnsi="Arial Narrow"/>
                <w:b/>
                <w:bCs/>
                <w:color w:val="333333"/>
                <w:sz w:val="20"/>
                <w:szCs w:val="20"/>
              </w:rPr>
            </w:pPr>
            <w:r w:rsidRPr="005E2177">
              <w:rPr>
                <w:rFonts w:ascii="Arial Narrow" w:hAnsi="Arial Narrow"/>
                <w:color w:val="333333"/>
                <w:sz w:val="20"/>
                <w:szCs w:val="20"/>
              </w:rPr>
              <w:t>Overarching administrative note, see below.</w:t>
            </w:r>
          </w:p>
        </w:tc>
      </w:tr>
      <w:tr w:rsidR="00967577" w:rsidRPr="005E2177" w14:paraId="25770CE8" w14:textId="77777777" w:rsidTr="00240E28">
        <w:tc>
          <w:tcPr>
            <w:tcW w:w="553" w:type="pct"/>
            <w:vAlign w:val="center"/>
          </w:tcPr>
          <w:p w14:paraId="11880D82" w14:textId="77777777" w:rsidR="00967577" w:rsidRPr="005E2177" w:rsidRDefault="00967577" w:rsidP="002C677E">
            <w:pPr>
              <w:jc w:val="center"/>
              <w:rPr>
                <w:rFonts w:ascii="Arial Narrow" w:hAnsi="Arial Narrow"/>
                <w:color w:val="333333"/>
                <w:sz w:val="20"/>
                <w:szCs w:val="20"/>
              </w:rPr>
            </w:pPr>
          </w:p>
        </w:tc>
        <w:tc>
          <w:tcPr>
            <w:tcW w:w="4447" w:type="pct"/>
            <w:vAlign w:val="center"/>
          </w:tcPr>
          <w:p w14:paraId="2B7AE947" w14:textId="77777777" w:rsidR="00967577" w:rsidRPr="005E2177" w:rsidRDefault="00967577" w:rsidP="002C677E">
            <w:pPr>
              <w:rPr>
                <w:rFonts w:ascii="Arial Narrow" w:hAnsi="Arial Narrow"/>
                <w:color w:val="333333"/>
                <w:sz w:val="20"/>
                <w:szCs w:val="20"/>
              </w:rPr>
            </w:pPr>
            <w:r w:rsidRPr="005E2177">
              <w:rPr>
                <w:rFonts w:ascii="Arial Narrow" w:hAnsi="Arial Narrow"/>
                <w:b/>
                <w:bCs/>
                <w:color w:val="333333"/>
                <w:sz w:val="20"/>
                <w:szCs w:val="20"/>
              </w:rPr>
              <w:t>Administrative Advice:</w:t>
            </w:r>
          </w:p>
          <w:p w14:paraId="25541359" w14:textId="77777777" w:rsidR="00967577" w:rsidRPr="005E2177" w:rsidRDefault="00967577" w:rsidP="002C677E">
            <w:pPr>
              <w:rPr>
                <w:rFonts w:ascii="Arial Narrow" w:hAnsi="Arial Narrow"/>
                <w:color w:val="333333"/>
                <w:sz w:val="20"/>
                <w:szCs w:val="20"/>
              </w:rPr>
            </w:pPr>
            <w:r w:rsidRPr="005E2177">
              <w:rPr>
                <w:rFonts w:ascii="Arial Narrow" w:hAnsi="Arial Narrow"/>
                <w:color w:val="333333"/>
                <w:sz w:val="20"/>
                <w:szCs w:val="20"/>
              </w:rPr>
              <w:t>No increase in the maximum quantity or number of units may be authorised.</w:t>
            </w:r>
          </w:p>
        </w:tc>
      </w:tr>
      <w:tr w:rsidR="00967577" w:rsidRPr="005E2177" w14:paraId="304DAC12" w14:textId="77777777" w:rsidTr="00240E28">
        <w:tc>
          <w:tcPr>
            <w:tcW w:w="553" w:type="pct"/>
            <w:vAlign w:val="center"/>
          </w:tcPr>
          <w:p w14:paraId="6336F65F" w14:textId="02F5B19E" w:rsidR="00967577" w:rsidRPr="005E2177" w:rsidRDefault="00967577" w:rsidP="002C677E">
            <w:pPr>
              <w:jc w:val="center"/>
              <w:rPr>
                <w:rFonts w:ascii="Arial Narrow" w:hAnsi="Arial Narrow"/>
                <w:color w:val="333333"/>
                <w:sz w:val="20"/>
                <w:szCs w:val="20"/>
              </w:rPr>
            </w:pPr>
          </w:p>
        </w:tc>
        <w:tc>
          <w:tcPr>
            <w:tcW w:w="4447" w:type="pct"/>
            <w:vAlign w:val="center"/>
          </w:tcPr>
          <w:p w14:paraId="4E968F66" w14:textId="77777777" w:rsidR="00967577" w:rsidRPr="005E2177" w:rsidRDefault="00967577" w:rsidP="002C677E">
            <w:pPr>
              <w:rPr>
                <w:rFonts w:ascii="Arial Narrow" w:hAnsi="Arial Narrow"/>
                <w:color w:val="333333"/>
                <w:sz w:val="20"/>
                <w:szCs w:val="20"/>
              </w:rPr>
            </w:pPr>
            <w:r w:rsidRPr="005E2177">
              <w:rPr>
                <w:rFonts w:ascii="Arial Narrow" w:hAnsi="Arial Narrow"/>
                <w:b/>
                <w:bCs/>
                <w:color w:val="333333"/>
                <w:sz w:val="20"/>
                <w:szCs w:val="20"/>
              </w:rPr>
              <w:t>Administrative Advice:</w:t>
            </w:r>
          </w:p>
          <w:p w14:paraId="010823AF" w14:textId="77777777" w:rsidR="00967577" w:rsidRPr="005E2177" w:rsidRDefault="00967577" w:rsidP="002C677E">
            <w:pPr>
              <w:rPr>
                <w:rFonts w:ascii="Arial Narrow" w:hAnsi="Arial Narrow"/>
                <w:b/>
                <w:bCs/>
                <w:color w:val="333333"/>
                <w:sz w:val="20"/>
                <w:szCs w:val="20"/>
              </w:rPr>
            </w:pPr>
            <w:r w:rsidRPr="005E2177">
              <w:rPr>
                <w:rFonts w:ascii="Arial Narrow" w:hAnsi="Arial Narrow"/>
                <w:color w:val="333333"/>
                <w:sz w:val="20"/>
                <w:szCs w:val="20"/>
              </w:rPr>
              <w:t>No increase in the maximum number of repeats may be authorised.</w:t>
            </w:r>
          </w:p>
        </w:tc>
      </w:tr>
      <w:tr w:rsidR="00967577" w:rsidRPr="005E2177" w14:paraId="714AFB0C" w14:textId="77777777" w:rsidTr="00240E28">
        <w:tc>
          <w:tcPr>
            <w:tcW w:w="553" w:type="pct"/>
            <w:vAlign w:val="center"/>
          </w:tcPr>
          <w:p w14:paraId="2ECEEA8F" w14:textId="26ABA509" w:rsidR="00967577" w:rsidRPr="005E2177" w:rsidRDefault="00967577" w:rsidP="002C677E">
            <w:pPr>
              <w:jc w:val="center"/>
              <w:rPr>
                <w:rFonts w:ascii="Arial Narrow" w:hAnsi="Arial Narrow"/>
                <w:color w:val="333333"/>
                <w:sz w:val="20"/>
                <w:szCs w:val="20"/>
              </w:rPr>
            </w:pPr>
          </w:p>
        </w:tc>
        <w:tc>
          <w:tcPr>
            <w:tcW w:w="4447" w:type="pct"/>
            <w:vAlign w:val="center"/>
          </w:tcPr>
          <w:p w14:paraId="530941E2" w14:textId="77777777" w:rsidR="00967577" w:rsidRPr="005E2177" w:rsidRDefault="00967577" w:rsidP="002C677E">
            <w:pPr>
              <w:rPr>
                <w:rFonts w:ascii="Arial Narrow" w:hAnsi="Arial Narrow"/>
                <w:color w:val="333333"/>
                <w:sz w:val="20"/>
                <w:szCs w:val="20"/>
              </w:rPr>
            </w:pPr>
            <w:r w:rsidRPr="005E2177">
              <w:rPr>
                <w:rFonts w:ascii="Arial Narrow" w:hAnsi="Arial Narrow"/>
                <w:b/>
                <w:bCs/>
                <w:color w:val="333333"/>
                <w:sz w:val="20"/>
                <w:szCs w:val="20"/>
              </w:rPr>
              <w:t>Administrative Advice:</w:t>
            </w:r>
          </w:p>
          <w:p w14:paraId="253159B3" w14:textId="77777777" w:rsidR="00967577" w:rsidRPr="005E2177" w:rsidRDefault="00967577" w:rsidP="002C677E">
            <w:pPr>
              <w:rPr>
                <w:rFonts w:ascii="Arial Narrow" w:hAnsi="Arial Narrow"/>
                <w:b/>
                <w:bCs/>
                <w:color w:val="333333"/>
                <w:sz w:val="20"/>
                <w:szCs w:val="20"/>
              </w:rPr>
            </w:pPr>
            <w:r w:rsidRPr="005E2177">
              <w:rPr>
                <w:rFonts w:ascii="Arial Narrow" w:hAnsi="Arial Narrow"/>
                <w:color w:val="333333"/>
                <w:sz w:val="20"/>
                <w:szCs w:val="20"/>
              </w:rPr>
              <w:t>Special Pricing Arrangements apply.</w:t>
            </w:r>
          </w:p>
        </w:tc>
      </w:tr>
      <w:tr w:rsidR="00967577" w:rsidRPr="005E2177" w14:paraId="6BF6125A" w14:textId="77777777" w:rsidTr="00240E28">
        <w:tc>
          <w:tcPr>
            <w:tcW w:w="553" w:type="pct"/>
            <w:vAlign w:val="center"/>
          </w:tcPr>
          <w:p w14:paraId="648DDF16" w14:textId="77777777" w:rsidR="00967577" w:rsidRPr="005E2177" w:rsidRDefault="00967577" w:rsidP="002C677E">
            <w:pPr>
              <w:jc w:val="center"/>
              <w:rPr>
                <w:rFonts w:ascii="Arial Narrow" w:hAnsi="Arial Narrow"/>
                <w:color w:val="333333"/>
                <w:sz w:val="20"/>
                <w:szCs w:val="20"/>
              </w:rPr>
            </w:pPr>
          </w:p>
        </w:tc>
        <w:tc>
          <w:tcPr>
            <w:tcW w:w="4447" w:type="pct"/>
            <w:vAlign w:val="center"/>
          </w:tcPr>
          <w:p w14:paraId="31B44634" w14:textId="77777777" w:rsidR="00967577" w:rsidRPr="005E2177" w:rsidRDefault="00967577" w:rsidP="002C677E">
            <w:pPr>
              <w:rPr>
                <w:rFonts w:ascii="Arial Narrow" w:hAnsi="Arial Narrow"/>
                <w:color w:val="333333"/>
                <w:sz w:val="20"/>
                <w:szCs w:val="20"/>
              </w:rPr>
            </w:pPr>
            <w:r w:rsidRPr="005E2177">
              <w:rPr>
                <w:rFonts w:ascii="Arial Narrow" w:hAnsi="Arial Narrow"/>
                <w:b/>
                <w:bCs/>
                <w:color w:val="333333"/>
                <w:sz w:val="20"/>
                <w:szCs w:val="20"/>
              </w:rPr>
              <w:t xml:space="preserve">Severity: </w:t>
            </w:r>
            <w:r w:rsidRPr="005E2177">
              <w:rPr>
                <w:rFonts w:ascii="Arial Narrow" w:hAnsi="Arial Narrow"/>
                <w:color w:val="333333"/>
                <w:sz w:val="20"/>
                <w:szCs w:val="20"/>
              </w:rPr>
              <w:t>Severe</w:t>
            </w:r>
          </w:p>
        </w:tc>
      </w:tr>
      <w:tr w:rsidR="00967577" w:rsidRPr="005E2177" w14:paraId="5444001C" w14:textId="77777777" w:rsidTr="00240E28">
        <w:tc>
          <w:tcPr>
            <w:tcW w:w="553" w:type="pct"/>
            <w:vAlign w:val="center"/>
          </w:tcPr>
          <w:p w14:paraId="5A2B0240" w14:textId="77777777" w:rsidR="00967577" w:rsidRPr="005E2177" w:rsidRDefault="00967577" w:rsidP="002C677E">
            <w:pPr>
              <w:jc w:val="center"/>
              <w:rPr>
                <w:rFonts w:ascii="Arial Narrow" w:hAnsi="Arial Narrow"/>
                <w:color w:val="333333"/>
                <w:sz w:val="20"/>
                <w:szCs w:val="20"/>
              </w:rPr>
            </w:pPr>
          </w:p>
        </w:tc>
        <w:tc>
          <w:tcPr>
            <w:tcW w:w="4447" w:type="pct"/>
            <w:vAlign w:val="center"/>
          </w:tcPr>
          <w:p w14:paraId="3F023F52"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 xml:space="preserve">Condition: </w:t>
            </w:r>
            <w:r w:rsidRPr="005E2177">
              <w:rPr>
                <w:rFonts w:ascii="Arial Narrow" w:hAnsi="Arial Narrow"/>
                <w:bCs/>
                <w:color w:val="333333"/>
                <w:sz w:val="20"/>
                <w:szCs w:val="20"/>
              </w:rPr>
              <w:t>Psoriatic arthritis</w:t>
            </w:r>
          </w:p>
        </w:tc>
      </w:tr>
      <w:tr w:rsidR="00967577" w:rsidRPr="005E2177" w14:paraId="0472E31C" w14:textId="77777777" w:rsidTr="00AF4912">
        <w:tc>
          <w:tcPr>
            <w:tcW w:w="553" w:type="pct"/>
            <w:vAlign w:val="center"/>
          </w:tcPr>
          <w:p w14:paraId="4FC50B69" w14:textId="21E70B50" w:rsidR="00967577" w:rsidRPr="005E2177" w:rsidRDefault="00967577" w:rsidP="002C677E">
            <w:pPr>
              <w:jc w:val="center"/>
              <w:rPr>
                <w:rFonts w:ascii="Arial Narrow" w:hAnsi="Arial Narrow"/>
                <w:color w:val="333333"/>
                <w:sz w:val="20"/>
                <w:szCs w:val="20"/>
              </w:rPr>
            </w:pPr>
          </w:p>
        </w:tc>
        <w:tc>
          <w:tcPr>
            <w:tcW w:w="4447" w:type="pct"/>
            <w:vAlign w:val="center"/>
            <w:hideMark/>
          </w:tcPr>
          <w:p w14:paraId="5553A1CC" w14:textId="77777777" w:rsidR="00967577" w:rsidRPr="005E2177" w:rsidRDefault="00967577" w:rsidP="002C677E">
            <w:pPr>
              <w:rPr>
                <w:rFonts w:ascii="Arial Narrow" w:hAnsi="Arial Narrow"/>
                <w:color w:val="333333"/>
                <w:sz w:val="20"/>
                <w:szCs w:val="20"/>
              </w:rPr>
            </w:pPr>
            <w:r w:rsidRPr="005E2177">
              <w:rPr>
                <w:rFonts w:ascii="Arial Narrow" w:hAnsi="Arial Narrow"/>
                <w:b/>
                <w:bCs/>
                <w:color w:val="333333"/>
                <w:sz w:val="20"/>
                <w:szCs w:val="20"/>
              </w:rPr>
              <w:t>Indication:</w:t>
            </w:r>
            <w:r w:rsidRPr="005E2177">
              <w:rPr>
                <w:rFonts w:ascii="Arial Narrow" w:hAnsi="Arial Narrow"/>
                <w:color w:val="333333"/>
                <w:sz w:val="20"/>
                <w:szCs w:val="20"/>
              </w:rPr>
              <w:t xml:space="preserve"> Severe psoriatic arthritis</w:t>
            </w:r>
          </w:p>
        </w:tc>
      </w:tr>
      <w:tr w:rsidR="00967577" w:rsidRPr="005E2177" w14:paraId="15723089" w14:textId="77777777" w:rsidTr="00AF4912">
        <w:tc>
          <w:tcPr>
            <w:tcW w:w="553" w:type="pct"/>
            <w:vAlign w:val="center"/>
          </w:tcPr>
          <w:p w14:paraId="467F4E09" w14:textId="77777777" w:rsidR="00967577" w:rsidRPr="005E2177" w:rsidRDefault="00967577" w:rsidP="002C677E">
            <w:pPr>
              <w:jc w:val="center"/>
              <w:rPr>
                <w:rFonts w:ascii="Arial Narrow" w:hAnsi="Arial Narrow"/>
                <w:color w:val="333333"/>
                <w:sz w:val="20"/>
                <w:szCs w:val="20"/>
              </w:rPr>
            </w:pPr>
          </w:p>
        </w:tc>
        <w:tc>
          <w:tcPr>
            <w:tcW w:w="4447" w:type="pct"/>
            <w:vAlign w:val="center"/>
            <w:hideMark/>
          </w:tcPr>
          <w:p w14:paraId="1CE19733" w14:textId="77777777" w:rsidR="00967577" w:rsidRPr="005E2177" w:rsidRDefault="00967577" w:rsidP="002C677E">
            <w:pPr>
              <w:rPr>
                <w:rFonts w:ascii="Arial Narrow" w:hAnsi="Arial Narrow"/>
                <w:color w:val="333333"/>
                <w:sz w:val="20"/>
                <w:szCs w:val="20"/>
              </w:rPr>
            </w:pPr>
            <w:r w:rsidRPr="005E2177">
              <w:rPr>
                <w:rFonts w:ascii="Arial Narrow" w:hAnsi="Arial Narrow"/>
                <w:b/>
                <w:bCs/>
                <w:color w:val="333333"/>
                <w:sz w:val="20"/>
                <w:szCs w:val="20"/>
              </w:rPr>
              <w:t>Treatment Phase:</w:t>
            </w:r>
            <w:r w:rsidRPr="005E2177">
              <w:rPr>
                <w:rFonts w:ascii="Arial Narrow" w:hAnsi="Arial Narrow"/>
                <w:color w:val="333333"/>
                <w:sz w:val="20"/>
                <w:szCs w:val="20"/>
              </w:rPr>
              <w:t xml:space="preserve"> Initial treatment - Initial 1 (new patient)</w:t>
            </w:r>
          </w:p>
        </w:tc>
      </w:tr>
      <w:tr w:rsidR="00967577" w:rsidRPr="005E2177" w14:paraId="223DABEE" w14:textId="77777777" w:rsidTr="00240E28">
        <w:tc>
          <w:tcPr>
            <w:tcW w:w="553" w:type="pct"/>
            <w:vAlign w:val="center"/>
          </w:tcPr>
          <w:p w14:paraId="58BCA34D" w14:textId="37A9B9A8" w:rsidR="00967577" w:rsidRPr="005E2177" w:rsidRDefault="00967577" w:rsidP="002C677E">
            <w:pPr>
              <w:jc w:val="center"/>
              <w:rPr>
                <w:rFonts w:ascii="Arial Narrow" w:hAnsi="Arial Narrow"/>
                <w:color w:val="333333"/>
                <w:sz w:val="20"/>
                <w:szCs w:val="20"/>
              </w:rPr>
            </w:pPr>
          </w:p>
        </w:tc>
        <w:tc>
          <w:tcPr>
            <w:tcW w:w="4447" w:type="pct"/>
            <w:vAlign w:val="center"/>
            <w:hideMark/>
          </w:tcPr>
          <w:p w14:paraId="57D1AF44" w14:textId="77777777" w:rsidR="00967577" w:rsidRPr="005E2177" w:rsidRDefault="00967577" w:rsidP="002C677E">
            <w:pPr>
              <w:rPr>
                <w:rFonts w:ascii="Arial Narrow" w:hAnsi="Arial Narrow"/>
                <w:color w:val="333333"/>
                <w:sz w:val="20"/>
                <w:szCs w:val="20"/>
              </w:rPr>
            </w:pPr>
            <w:r w:rsidRPr="005E2177">
              <w:rPr>
                <w:rFonts w:ascii="Arial Narrow" w:hAnsi="Arial Narrow"/>
                <w:b/>
                <w:bCs/>
                <w:color w:val="333333"/>
                <w:sz w:val="20"/>
                <w:szCs w:val="20"/>
              </w:rPr>
              <w:t>Clinical criteria:</w:t>
            </w:r>
          </w:p>
        </w:tc>
      </w:tr>
      <w:tr w:rsidR="00967577" w:rsidRPr="005E2177" w14:paraId="7B430E3E" w14:textId="77777777" w:rsidTr="00240E28">
        <w:tc>
          <w:tcPr>
            <w:tcW w:w="553" w:type="pct"/>
            <w:vAlign w:val="center"/>
          </w:tcPr>
          <w:p w14:paraId="32F99657" w14:textId="05442159" w:rsidR="00967577" w:rsidRPr="005E2177" w:rsidRDefault="00967577" w:rsidP="002C677E">
            <w:pPr>
              <w:jc w:val="center"/>
              <w:rPr>
                <w:rFonts w:ascii="Arial Narrow" w:hAnsi="Arial Narrow"/>
                <w:color w:val="333333"/>
                <w:sz w:val="20"/>
                <w:szCs w:val="20"/>
              </w:rPr>
            </w:pPr>
          </w:p>
        </w:tc>
        <w:tc>
          <w:tcPr>
            <w:tcW w:w="4447" w:type="pct"/>
            <w:vAlign w:val="center"/>
            <w:hideMark/>
          </w:tcPr>
          <w:p w14:paraId="2C094905" w14:textId="77777777" w:rsidR="00967577" w:rsidRPr="005E2177" w:rsidRDefault="00967577" w:rsidP="002C677E">
            <w:pPr>
              <w:rPr>
                <w:rFonts w:ascii="Arial Narrow" w:hAnsi="Arial Narrow"/>
                <w:color w:val="333333"/>
                <w:sz w:val="20"/>
                <w:szCs w:val="20"/>
              </w:rPr>
            </w:pPr>
            <w:r w:rsidRPr="005E2177">
              <w:rPr>
                <w:rFonts w:ascii="Arial Narrow" w:hAnsi="Arial Narrow"/>
                <w:color w:val="333333"/>
                <w:sz w:val="20"/>
                <w:szCs w:val="20"/>
              </w:rPr>
              <w:t>Patient must not have received PBS-subsidised treatment with a biological medicine for this condition</w:t>
            </w:r>
          </w:p>
        </w:tc>
      </w:tr>
      <w:tr w:rsidR="00967577" w:rsidRPr="005E2177" w14:paraId="00A2585A" w14:textId="77777777" w:rsidTr="00240E28">
        <w:tc>
          <w:tcPr>
            <w:tcW w:w="553" w:type="pct"/>
            <w:vAlign w:val="center"/>
          </w:tcPr>
          <w:p w14:paraId="56866106" w14:textId="77777777" w:rsidR="00967577" w:rsidRPr="005E2177" w:rsidRDefault="00967577" w:rsidP="002C677E">
            <w:pPr>
              <w:jc w:val="center"/>
              <w:rPr>
                <w:rFonts w:ascii="Arial Narrow" w:hAnsi="Arial Narrow"/>
                <w:color w:val="333333"/>
                <w:sz w:val="20"/>
                <w:szCs w:val="20"/>
              </w:rPr>
            </w:pPr>
          </w:p>
        </w:tc>
        <w:tc>
          <w:tcPr>
            <w:tcW w:w="4447" w:type="pct"/>
            <w:vAlign w:val="center"/>
            <w:hideMark/>
          </w:tcPr>
          <w:p w14:paraId="7C4510CC" w14:textId="77777777" w:rsidR="00967577" w:rsidRPr="005E2177" w:rsidRDefault="00967577" w:rsidP="002C677E">
            <w:pPr>
              <w:rPr>
                <w:rFonts w:ascii="Arial Narrow" w:hAnsi="Arial Narrow"/>
                <w:color w:val="333333"/>
                <w:sz w:val="20"/>
                <w:szCs w:val="20"/>
              </w:rPr>
            </w:pPr>
            <w:r w:rsidRPr="005E2177">
              <w:rPr>
                <w:rFonts w:ascii="Arial Narrow" w:hAnsi="Arial Narrow"/>
                <w:b/>
                <w:bCs/>
                <w:color w:val="333333"/>
                <w:sz w:val="20"/>
                <w:szCs w:val="20"/>
              </w:rPr>
              <w:t>AND</w:t>
            </w:r>
          </w:p>
        </w:tc>
      </w:tr>
      <w:tr w:rsidR="00967577" w:rsidRPr="005E2177" w14:paraId="23FEDB84" w14:textId="77777777" w:rsidTr="00240E28">
        <w:tc>
          <w:tcPr>
            <w:tcW w:w="553" w:type="pct"/>
            <w:vAlign w:val="center"/>
          </w:tcPr>
          <w:p w14:paraId="6F241A15" w14:textId="21C01978" w:rsidR="00967577" w:rsidRPr="005E2177" w:rsidRDefault="00967577" w:rsidP="002C677E">
            <w:pPr>
              <w:jc w:val="center"/>
              <w:rPr>
                <w:rFonts w:ascii="Arial Narrow" w:hAnsi="Arial Narrow"/>
                <w:color w:val="333333"/>
                <w:sz w:val="20"/>
                <w:szCs w:val="20"/>
              </w:rPr>
            </w:pPr>
          </w:p>
        </w:tc>
        <w:tc>
          <w:tcPr>
            <w:tcW w:w="4447" w:type="pct"/>
            <w:vAlign w:val="center"/>
            <w:hideMark/>
          </w:tcPr>
          <w:p w14:paraId="570989F8" w14:textId="77777777" w:rsidR="00967577" w:rsidRPr="005E2177" w:rsidRDefault="00967577" w:rsidP="002C677E">
            <w:pPr>
              <w:rPr>
                <w:rFonts w:ascii="Arial Narrow" w:hAnsi="Arial Narrow"/>
                <w:color w:val="333333"/>
                <w:sz w:val="20"/>
                <w:szCs w:val="20"/>
              </w:rPr>
            </w:pPr>
            <w:r w:rsidRPr="005E2177">
              <w:rPr>
                <w:rFonts w:ascii="Arial Narrow" w:hAnsi="Arial Narrow"/>
                <w:b/>
                <w:bCs/>
                <w:color w:val="333333"/>
                <w:sz w:val="20"/>
                <w:szCs w:val="20"/>
              </w:rPr>
              <w:t>Clinical criteria:</w:t>
            </w:r>
          </w:p>
        </w:tc>
      </w:tr>
      <w:tr w:rsidR="00967577" w:rsidRPr="005E2177" w14:paraId="1A0C928F" w14:textId="77777777" w:rsidTr="00240E28">
        <w:tc>
          <w:tcPr>
            <w:tcW w:w="553" w:type="pct"/>
            <w:vAlign w:val="center"/>
          </w:tcPr>
          <w:p w14:paraId="03382A6D" w14:textId="619DC4AB" w:rsidR="00967577" w:rsidRPr="005E2177" w:rsidRDefault="00967577" w:rsidP="002C677E">
            <w:pPr>
              <w:jc w:val="center"/>
              <w:rPr>
                <w:rFonts w:ascii="Arial Narrow" w:hAnsi="Arial Narrow"/>
                <w:color w:val="333333"/>
                <w:sz w:val="20"/>
                <w:szCs w:val="20"/>
              </w:rPr>
            </w:pPr>
          </w:p>
        </w:tc>
        <w:tc>
          <w:tcPr>
            <w:tcW w:w="4447" w:type="pct"/>
            <w:vAlign w:val="center"/>
            <w:hideMark/>
          </w:tcPr>
          <w:p w14:paraId="1CC0586A" w14:textId="77777777" w:rsidR="00967577" w:rsidRPr="005E2177" w:rsidRDefault="00967577" w:rsidP="002C677E">
            <w:pPr>
              <w:rPr>
                <w:rFonts w:ascii="Arial Narrow" w:hAnsi="Arial Narrow"/>
                <w:color w:val="333333"/>
                <w:sz w:val="20"/>
                <w:szCs w:val="20"/>
              </w:rPr>
            </w:pPr>
            <w:r w:rsidRPr="005E2177">
              <w:rPr>
                <w:rFonts w:ascii="Arial Narrow" w:hAnsi="Arial Narrow"/>
                <w:color w:val="333333"/>
                <w:sz w:val="20"/>
                <w:szCs w:val="20"/>
              </w:rPr>
              <w:t>Patient must have failed to achieve an adequate response to methotrexate at a dose of at least 20 mg weekly for a minimum period of 3 months</w:t>
            </w:r>
          </w:p>
        </w:tc>
      </w:tr>
      <w:tr w:rsidR="00967577" w:rsidRPr="005E2177" w14:paraId="05ACFA67" w14:textId="77777777" w:rsidTr="00240E28">
        <w:tc>
          <w:tcPr>
            <w:tcW w:w="553" w:type="pct"/>
            <w:vAlign w:val="center"/>
          </w:tcPr>
          <w:p w14:paraId="6F5F3D55" w14:textId="77777777" w:rsidR="00967577" w:rsidRPr="005E2177" w:rsidRDefault="00967577" w:rsidP="002C677E">
            <w:pPr>
              <w:jc w:val="center"/>
              <w:rPr>
                <w:rFonts w:ascii="Arial Narrow" w:hAnsi="Arial Narrow"/>
                <w:color w:val="333333"/>
                <w:sz w:val="20"/>
                <w:szCs w:val="20"/>
              </w:rPr>
            </w:pPr>
          </w:p>
        </w:tc>
        <w:tc>
          <w:tcPr>
            <w:tcW w:w="4447" w:type="pct"/>
            <w:vAlign w:val="center"/>
            <w:hideMark/>
          </w:tcPr>
          <w:p w14:paraId="33C0C75D" w14:textId="77777777" w:rsidR="00967577" w:rsidRPr="005E2177" w:rsidRDefault="00967577" w:rsidP="002C677E">
            <w:pPr>
              <w:rPr>
                <w:rFonts w:ascii="Arial Narrow" w:hAnsi="Arial Narrow"/>
                <w:color w:val="333333"/>
                <w:sz w:val="20"/>
                <w:szCs w:val="20"/>
              </w:rPr>
            </w:pPr>
            <w:r w:rsidRPr="005E2177">
              <w:rPr>
                <w:rFonts w:ascii="Arial Narrow" w:hAnsi="Arial Narrow"/>
                <w:b/>
                <w:bCs/>
                <w:color w:val="333333"/>
                <w:sz w:val="20"/>
                <w:szCs w:val="20"/>
              </w:rPr>
              <w:t>AND</w:t>
            </w:r>
          </w:p>
        </w:tc>
      </w:tr>
      <w:tr w:rsidR="00967577" w:rsidRPr="005E2177" w14:paraId="2835FBC2" w14:textId="77777777" w:rsidTr="00240E28">
        <w:tc>
          <w:tcPr>
            <w:tcW w:w="553" w:type="pct"/>
            <w:vAlign w:val="center"/>
          </w:tcPr>
          <w:p w14:paraId="580EFD0F" w14:textId="7C8EB72C" w:rsidR="00967577" w:rsidRPr="005E2177" w:rsidRDefault="00967577" w:rsidP="002C677E">
            <w:pPr>
              <w:jc w:val="center"/>
              <w:rPr>
                <w:rFonts w:ascii="Arial Narrow" w:hAnsi="Arial Narrow"/>
                <w:color w:val="333333"/>
                <w:sz w:val="20"/>
                <w:szCs w:val="20"/>
              </w:rPr>
            </w:pPr>
          </w:p>
        </w:tc>
        <w:tc>
          <w:tcPr>
            <w:tcW w:w="4447" w:type="pct"/>
            <w:vAlign w:val="center"/>
            <w:hideMark/>
          </w:tcPr>
          <w:p w14:paraId="520F18C4" w14:textId="77777777" w:rsidR="00967577" w:rsidRPr="005E2177" w:rsidRDefault="00967577" w:rsidP="002C677E">
            <w:pPr>
              <w:rPr>
                <w:rFonts w:ascii="Arial Narrow" w:hAnsi="Arial Narrow"/>
                <w:color w:val="333333"/>
                <w:sz w:val="20"/>
                <w:szCs w:val="20"/>
              </w:rPr>
            </w:pPr>
            <w:r w:rsidRPr="005E2177">
              <w:rPr>
                <w:rFonts w:ascii="Arial Narrow" w:hAnsi="Arial Narrow"/>
                <w:b/>
                <w:bCs/>
                <w:color w:val="333333"/>
                <w:sz w:val="20"/>
                <w:szCs w:val="20"/>
              </w:rPr>
              <w:t>Clinical criteria:</w:t>
            </w:r>
          </w:p>
        </w:tc>
      </w:tr>
      <w:tr w:rsidR="00967577" w:rsidRPr="005E2177" w14:paraId="4B3D55CF" w14:textId="77777777" w:rsidTr="00240E28">
        <w:tc>
          <w:tcPr>
            <w:tcW w:w="553" w:type="pct"/>
            <w:vAlign w:val="center"/>
          </w:tcPr>
          <w:p w14:paraId="3A08122D" w14:textId="0A161823" w:rsidR="00967577" w:rsidRPr="005E2177" w:rsidRDefault="00967577" w:rsidP="002C677E">
            <w:pPr>
              <w:jc w:val="center"/>
              <w:rPr>
                <w:rFonts w:ascii="Arial Narrow" w:hAnsi="Arial Narrow"/>
                <w:color w:val="333333"/>
                <w:sz w:val="20"/>
                <w:szCs w:val="20"/>
              </w:rPr>
            </w:pPr>
          </w:p>
        </w:tc>
        <w:tc>
          <w:tcPr>
            <w:tcW w:w="4447" w:type="pct"/>
            <w:vAlign w:val="center"/>
            <w:hideMark/>
          </w:tcPr>
          <w:p w14:paraId="62AE13E0" w14:textId="77777777" w:rsidR="00967577" w:rsidRPr="005E2177" w:rsidRDefault="00967577" w:rsidP="002C677E">
            <w:pPr>
              <w:rPr>
                <w:rFonts w:ascii="Arial Narrow" w:hAnsi="Arial Narrow"/>
                <w:color w:val="333333"/>
                <w:sz w:val="20"/>
                <w:szCs w:val="20"/>
              </w:rPr>
            </w:pPr>
            <w:r w:rsidRPr="005E2177">
              <w:rPr>
                <w:rFonts w:ascii="Arial Narrow" w:hAnsi="Arial Narrow"/>
                <w:color w:val="333333"/>
                <w:sz w:val="20"/>
                <w:szCs w:val="20"/>
              </w:rPr>
              <w:t xml:space="preserve">Patient must have failed to achieve an adequate response to sulfasalazine at a dose of at least 2 g per day for a minimum period of 3 months; or </w:t>
            </w:r>
          </w:p>
        </w:tc>
      </w:tr>
      <w:tr w:rsidR="00967577" w:rsidRPr="005E2177" w14:paraId="2C3ED869" w14:textId="77777777" w:rsidTr="00240E28">
        <w:tc>
          <w:tcPr>
            <w:tcW w:w="553" w:type="pct"/>
            <w:vAlign w:val="center"/>
          </w:tcPr>
          <w:p w14:paraId="0B11D373" w14:textId="0CA8A1A7" w:rsidR="00967577" w:rsidRPr="005E2177" w:rsidRDefault="00967577" w:rsidP="002C677E">
            <w:pPr>
              <w:jc w:val="center"/>
              <w:rPr>
                <w:rFonts w:ascii="Arial Narrow" w:hAnsi="Arial Narrow"/>
                <w:color w:val="333333"/>
                <w:sz w:val="20"/>
                <w:szCs w:val="20"/>
              </w:rPr>
            </w:pPr>
          </w:p>
        </w:tc>
        <w:tc>
          <w:tcPr>
            <w:tcW w:w="4447" w:type="pct"/>
            <w:vAlign w:val="center"/>
          </w:tcPr>
          <w:p w14:paraId="45E98FCF" w14:textId="77777777" w:rsidR="00967577" w:rsidRPr="005E2177" w:rsidRDefault="00967577" w:rsidP="002C677E">
            <w:pPr>
              <w:rPr>
                <w:rFonts w:ascii="Arial Narrow" w:hAnsi="Arial Narrow"/>
                <w:color w:val="333333"/>
                <w:sz w:val="20"/>
                <w:szCs w:val="20"/>
              </w:rPr>
            </w:pPr>
            <w:r w:rsidRPr="005E2177">
              <w:rPr>
                <w:rFonts w:ascii="Arial Narrow" w:hAnsi="Arial Narrow"/>
                <w:color w:val="333333"/>
                <w:sz w:val="20"/>
                <w:szCs w:val="20"/>
              </w:rPr>
              <w:t>Patient must have failed to achieve an adequate response to leflunomide at a dose of up to 20 mg daily for a minimum period of 3 months</w:t>
            </w:r>
          </w:p>
        </w:tc>
      </w:tr>
      <w:tr w:rsidR="00967577" w:rsidRPr="005E2177" w14:paraId="7613C708" w14:textId="77777777" w:rsidTr="00240E28">
        <w:tc>
          <w:tcPr>
            <w:tcW w:w="553" w:type="pct"/>
            <w:vAlign w:val="center"/>
          </w:tcPr>
          <w:p w14:paraId="0200F051" w14:textId="77777777" w:rsidR="00967577" w:rsidRPr="005E2177" w:rsidRDefault="00967577" w:rsidP="002C677E">
            <w:pPr>
              <w:jc w:val="center"/>
              <w:rPr>
                <w:rFonts w:ascii="Arial Narrow" w:hAnsi="Arial Narrow"/>
                <w:color w:val="333333"/>
                <w:sz w:val="20"/>
                <w:szCs w:val="20"/>
              </w:rPr>
            </w:pPr>
          </w:p>
        </w:tc>
        <w:tc>
          <w:tcPr>
            <w:tcW w:w="4447" w:type="pct"/>
            <w:vAlign w:val="center"/>
          </w:tcPr>
          <w:p w14:paraId="7910016E" w14:textId="77777777" w:rsidR="00967577" w:rsidRPr="005E2177" w:rsidRDefault="00967577" w:rsidP="002C677E">
            <w:pPr>
              <w:rPr>
                <w:rFonts w:ascii="Arial Narrow" w:hAnsi="Arial Narrow"/>
                <w:color w:val="333333"/>
                <w:sz w:val="20"/>
                <w:szCs w:val="20"/>
              </w:rPr>
            </w:pPr>
            <w:r w:rsidRPr="005E2177">
              <w:rPr>
                <w:rFonts w:ascii="Arial Narrow" w:hAnsi="Arial Narrow"/>
                <w:b/>
                <w:bCs/>
                <w:color w:val="333333"/>
                <w:sz w:val="20"/>
                <w:szCs w:val="20"/>
              </w:rPr>
              <w:t>AND</w:t>
            </w:r>
          </w:p>
        </w:tc>
      </w:tr>
      <w:tr w:rsidR="00967577" w:rsidRPr="005E2177" w14:paraId="3C2754BB" w14:textId="77777777" w:rsidTr="00240E28">
        <w:tc>
          <w:tcPr>
            <w:tcW w:w="553" w:type="pct"/>
            <w:vAlign w:val="center"/>
          </w:tcPr>
          <w:p w14:paraId="6FC7683A" w14:textId="3C4E3A37" w:rsidR="00967577" w:rsidRPr="005E2177" w:rsidRDefault="00967577" w:rsidP="002C677E">
            <w:pPr>
              <w:jc w:val="center"/>
              <w:rPr>
                <w:rFonts w:ascii="Arial Narrow" w:hAnsi="Arial Narrow"/>
                <w:color w:val="333333"/>
                <w:sz w:val="20"/>
                <w:szCs w:val="20"/>
              </w:rPr>
            </w:pPr>
          </w:p>
        </w:tc>
        <w:tc>
          <w:tcPr>
            <w:tcW w:w="4447" w:type="pct"/>
            <w:vAlign w:val="center"/>
          </w:tcPr>
          <w:p w14:paraId="4FF66FAE" w14:textId="77777777" w:rsidR="00967577" w:rsidRPr="005E2177" w:rsidRDefault="00967577" w:rsidP="002C677E">
            <w:pPr>
              <w:rPr>
                <w:rFonts w:ascii="Arial Narrow" w:hAnsi="Arial Narrow"/>
                <w:color w:val="333333"/>
                <w:sz w:val="20"/>
                <w:szCs w:val="20"/>
              </w:rPr>
            </w:pPr>
            <w:r w:rsidRPr="005E2177">
              <w:rPr>
                <w:rFonts w:ascii="Arial Narrow" w:hAnsi="Arial Narrow"/>
                <w:b/>
                <w:bCs/>
                <w:color w:val="333333"/>
                <w:sz w:val="20"/>
                <w:szCs w:val="20"/>
              </w:rPr>
              <w:t>Clinical criteria:</w:t>
            </w:r>
          </w:p>
        </w:tc>
      </w:tr>
      <w:tr w:rsidR="00967577" w:rsidRPr="005E2177" w14:paraId="21F91BD2" w14:textId="77777777" w:rsidTr="00240E28">
        <w:tc>
          <w:tcPr>
            <w:tcW w:w="553" w:type="pct"/>
            <w:vAlign w:val="center"/>
          </w:tcPr>
          <w:p w14:paraId="4BEA60B3" w14:textId="201C32D0" w:rsidR="00967577" w:rsidRPr="005E2177" w:rsidRDefault="00967577" w:rsidP="002C677E">
            <w:pPr>
              <w:jc w:val="center"/>
              <w:rPr>
                <w:rFonts w:ascii="Arial Narrow" w:hAnsi="Arial Narrow"/>
                <w:color w:val="333333"/>
                <w:sz w:val="20"/>
                <w:szCs w:val="20"/>
              </w:rPr>
            </w:pPr>
          </w:p>
        </w:tc>
        <w:tc>
          <w:tcPr>
            <w:tcW w:w="4447" w:type="pct"/>
            <w:vAlign w:val="center"/>
          </w:tcPr>
          <w:p w14:paraId="798C99E7" w14:textId="1DFDE1ED" w:rsidR="00967577" w:rsidRPr="005E2177" w:rsidRDefault="00967577" w:rsidP="002C677E">
            <w:pPr>
              <w:rPr>
                <w:rFonts w:ascii="Arial Narrow" w:hAnsi="Arial Narrow"/>
                <w:color w:val="333333"/>
                <w:sz w:val="20"/>
                <w:szCs w:val="20"/>
              </w:rPr>
            </w:pPr>
            <w:r w:rsidRPr="005E2177">
              <w:rPr>
                <w:rFonts w:ascii="Arial Narrow" w:hAnsi="Arial Narrow"/>
                <w:color w:val="333333"/>
                <w:sz w:val="20"/>
                <w:szCs w:val="20"/>
              </w:rPr>
              <w:t xml:space="preserve">Patient must not receive more than </w:t>
            </w:r>
            <w:r w:rsidR="00573531">
              <w:rPr>
                <w:rFonts w:ascii="Arial Narrow" w:hAnsi="Arial Narrow"/>
                <w:color w:val="333333"/>
                <w:sz w:val="20"/>
                <w:szCs w:val="20"/>
              </w:rPr>
              <w:t>16</w:t>
            </w:r>
            <w:r w:rsidRPr="005E2177">
              <w:rPr>
                <w:rFonts w:ascii="Arial Narrow" w:hAnsi="Arial Narrow"/>
                <w:color w:val="333333"/>
                <w:sz w:val="20"/>
                <w:szCs w:val="20"/>
              </w:rPr>
              <w:t xml:space="preserve"> weeks of treatment under this restriction</w:t>
            </w:r>
          </w:p>
        </w:tc>
      </w:tr>
      <w:tr w:rsidR="00967577" w:rsidRPr="005E2177" w14:paraId="44D3044C" w14:textId="77777777" w:rsidTr="00240E28">
        <w:tc>
          <w:tcPr>
            <w:tcW w:w="553" w:type="pct"/>
            <w:vAlign w:val="center"/>
          </w:tcPr>
          <w:p w14:paraId="6CAD0627" w14:textId="77777777" w:rsidR="00967577" w:rsidRPr="005E2177" w:rsidRDefault="00967577" w:rsidP="002C677E">
            <w:pPr>
              <w:jc w:val="center"/>
              <w:rPr>
                <w:rFonts w:ascii="Arial Narrow" w:hAnsi="Arial Narrow"/>
                <w:color w:val="333333"/>
                <w:sz w:val="20"/>
                <w:szCs w:val="20"/>
              </w:rPr>
            </w:pPr>
          </w:p>
        </w:tc>
        <w:tc>
          <w:tcPr>
            <w:tcW w:w="4447" w:type="pct"/>
            <w:vAlign w:val="center"/>
            <w:hideMark/>
          </w:tcPr>
          <w:p w14:paraId="44D1EF38" w14:textId="77777777" w:rsidR="00967577" w:rsidRPr="005E2177" w:rsidRDefault="00967577" w:rsidP="002C677E">
            <w:pPr>
              <w:rPr>
                <w:rFonts w:ascii="Arial Narrow" w:hAnsi="Arial Narrow"/>
                <w:color w:val="333333"/>
                <w:sz w:val="20"/>
                <w:szCs w:val="20"/>
              </w:rPr>
            </w:pPr>
            <w:r w:rsidRPr="005E2177">
              <w:rPr>
                <w:rFonts w:ascii="Arial Narrow" w:hAnsi="Arial Narrow"/>
                <w:b/>
                <w:bCs/>
                <w:color w:val="333333"/>
                <w:sz w:val="20"/>
                <w:szCs w:val="20"/>
              </w:rPr>
              <w:t>AND</w:t>
            </w:r>
          </w:p>
        </w:tc>
      </w:tr>
      <w:tr w:rsidR="00967577" w:rsidRPr="005E2177" w14:paraId="3A3066B8" w14:textId="77777777" w:rsidTr="00240E28">
        <w:tc>
          <w:tcPr>
            <w:tcW w:w="553" w:type="pct"/>
            <w:vAlign w:val="center"/>
          </w:tcPr>
          <w:p w14:paraId="6E589FFD" w14:textId="74D61F70" w:rsidR="00967577" w:rsidRPr="005E2177" w:rsidRDefault="00967577" w:rsidP="002C677E">
            <w:pPr>
              <w:jc w:val="center"/>
              <w:rPr>
                <w:rFonts w:ascii="Arial Narrow" w:hAnsi="Arial Narrow"/>
                <w:color w:val="333333"/>
                <w:sz w:val="20"/>
                <w:szCs w:val="20"/>
              </w:rPr>
            </w:pPr>
          </w:p>
        </w:tc>
        <w:tc>
          <w:tcPr>
            <w:tcW w:w="4447" w:type="pct"/>
            <w:vAlign w:val="center"/>
            <w:hideMark/>
          </w:tcPr>
          <w:p w14:paraId="58FE9895" w14:textId="77777777" w:rsidR="00967577" w:rsidRPr="005E2177" w:rsidRDefault="00967577" w:rsidP="002C677E">
            <w:pPr>
              <w:rPr>
                <w:rFonts w:ascii="Arial Narrow" w:hAnsi="Arial Narrow"/>
                <w:color w:val="333333"/>
                <w:sz w:val="20"/>
                <w:szCs w:val="20"/>
              </w:rPr>
            </w:pPr>
            <w:r w:rsidRPr="005E2177">
              <w:rPr>
                <w:rFonts w:ascii="Arial Narrow" w:hAnsi="Arial Narrow"/>
                <w:b/>
                <w:bCs/>
                <w:color w:val="333333"/>
                <w:sz w:val="20"/>
                <w:szCs w:val="20"/>
              </w:rPr>
              <w:t>Treatment criteria:</w:t>
            </w:r>
          </w:p>
        </w:tc>
      </w:tr>
      <w:tr w:rsidR="00967577" w:rsidRPr="005E2177" w14:paraId="152C1B8D" w14:textId="77777777" w:rsidTr="00240E28">
        <w:tc>
          <w:tcPr>
            <w:tcW w:w="553" w:type="pct"/>
            <w:vAlign w:val="center"/>
          </w:tcPr>
          <w:p w14:paraId="6DE16B78" w14:textId="55810FA3" w:rsidR="00967577" w:rsidRPr="005E2177" w:rsidRDefault="00967577" w:rsidP="002C677E">
            <w:pPr>
              <w:jc w:val="center"/>
              <w:rPr>
                <w:rFonts w:ascii="Arial Narrow" w:hAnsi="Arial Narrow"/>
                <w:color w:val="333333"/>
                <w:sz w:val="20"/>
                <w:szCs w:val="20"/>
              </w:rPr>
            </w:pPr>
          </w:p>
        </w:tc>
        <w:tc>
          <w:tcPr>
            <w:tcW w:w="4447" w:type="pct"/>
            <w:vAlign w:val="center"/>
            <w:hideMark/>
          </w:tcPr>
          <w:p w14:paraId="7BE4D77F" w14:textId="77777777" w:rsidR="00967577" w:rsidRPr="005E2177" w:rsidRDefault="00967577" w:rsidP="002C677E">
            <w:pPr>
              <w:autoSpaceDE w:val="0"/>
              <w:autoSpaceDN w:val="0"/>
              <w:adjustRightInd w:val="0"/>
              <w:rPr>
                <w:rFonts w:ascii="Arial Narrow" w:hAnsi="Arial Narrow" w:cs="Arial Narrow"/>
                <w:sz w:val="20"/>
                <w:szCs w:val="20"/>
              </w:rPr>
            </w:pPr>
            <w:r w:rsidRPr="005E2177">
              <w:rPr>
                <w:rFonts w:ascii="Arial Narrow" w:hAnsi="Arial Narrow" w:cs="Arial Narrow"/>
                <w:sz w:val="20"/>
                <w:szCs w:val="20"/>
              </w:rPr>
              <w:t xml:space="preserve">Must be treated by a rheumatologist; or </w:t>
            </w:r>
          </w:p>
        </w:tc>
      </w:tr>
      <w:tr w:rsidR="00967577" w:rsidRPr="005E2177" w14:paraId="07A0B91B" w14:textId="77777777" w:rsidTr="00240E28">
        <w:tc>
          <w:tcPr>
            <w:tcW w:w="553" w:type="pct"/>
            <w:vAlign w:val="center"/>
          </w:tcPr>
          <w:p w14:paraId="58299FCD" w14:textId="5341B51C" w:rsidR="00967577" w:rsidRPr="005E2177" w:rsidRDefault="00967577" w:rsidP="002C677E">
            <w:pPr>
              <w:jc w:val="center"/>
              <w:rPr>
                <w:rFonts w:ascii="Arial Narrow" w:hAnsi="Arial Narrow"/>
                <w:color w:val="333333"/>
                <w:sz w:val="20"/>
                <w:szCs w:val="20"/>
              </w:rPr>
            </w:pPr>
          </w:p>
        </w:tc>
        <w:tc>
          <w:tcPr>
            <w:tcW w:w="4447" w:type="pct"/>
            <w:vAlign w:val="center"/>
          </w:tcPr>
          <w:p w14:paraId="4FE4626C" w14:textId="77777777" w:rsidR="00967577" w:rsidRPr="005E2177" w:rsidRDefault="00967577" w:rsidP="002C677E">
            <w:pPr>
              <w:autoSpaceDE w:val="0"/>
              <w:autoSpaceDN w:val="0"/>
              <w:adjustRightInd w:val="0"/>
              <w:rPr>
                <w:rFonts w:ascii="Arial Narrow" w:hAnsi="Arial Narrow" w:cs="Arial Narrow"/>
                <w:sz w:val="20"/>
                <w:szCs w:val="20"/>
              </w:rPr>
            </w:pPr>
            <w:r w:rsidRPr="005E2177">
              <w:rPr>
                <w:rFonts w:ascii="Arial Narrow" w:hAnsi="Arial Narrow" w:cs="Arial Narrow"/>
                <w:sz w:val="20"/>
                <w:szCs w:val="20"/>
              </w:rPr>
              <w:t>Must be treated by a clinical immunologist with expertise in the management of psoriatic arthritis</w:t>
            </w:r>
          </w:p>
        </w:tc>
      </w:tr>
      <w:tr w:rsidR="00967577" w:rsidRPr="005E2177" w14:paraId="12045E96" w14:textId="77777777" w:rsidTr="00240E28">
        <w:tc>
          <w:tcPr>
            <w:tcW w:w="553" w:type="pct"/>
            <w:vAlign w:val="center"/>
          </w:tcPr>
          <w:p w14:paraId="3BE9FB8E" w14:textId="77777777" w:rsidR="00967577" w:rsidRPr="005E2177" w:rsidRDefault="00967577" w:rsidP="002C677E">
            <w:pPr>
              <w:jc w:val="center"/>
              <w:rPr>
                <w:rFonts w:ascii="Arial Narrow" w:hAnsi="Arial Narrow"/>
                <w:color w:val="333333"/>
                <w:sz w:val="20"/>
                <w:szCs w:val="20"/>
              </w:rPr>
            </w:pPr>
          </w:p>
        </w:tc>
        <w:tc>
          <w:tcPr>
            <w:tcW w:w="4447" w:type="pct"/>
            <w:vAlign w:val="center"/>
            <w:hideMark/>
          </w:tcPr>
          <w:p w14:paraId="1A6439A6" w14:textId="77777777" w:rsidR="00967577" w:rsidRPr="005E2177" w:rsidRDefault="00967577" w:rsidP="002C677E">
            <w:pPr>
              <w:rPr>
                <w:rFonts w:ascii="Arial Narrow" w:hAnsi="Arial Narrow"/>
                <w:color w:val="333333"/>
                <w:sz w:val="20"/>
                <w:szCs w:val="20"/>
              </w:rPr>
            </w:pPr>
            <w:r w:rsidRPr="005E2177">
              <w:rPr>
                <w:rFonts w:ascii="Arial Narrow" w:hAnsi="Arial Narrow"/>
                <w:b/>
                <w:bCs/>
                <w:color w:val="333333"/>
                <w:sz w:val="20"/>
                <w:szCs w:val="20"/>
              </w:rPr>
              <w:t>AND</w:t>
            </w:r>
          </w:p>
        </w:tc>
      </w:tr>
      <w:tr w:rsidR="00967577" w:rsidRPr="005E2177" w14:paraId="25B61283" w14:textId="77777777" w:rsidTr="00240E28">
        <w:tc>
          <w:tcPr>
            <w:tcW w:w="553" w:type="pct"/>
            <w:vAlign w:val="center"/>
          </w:tcPr>
          <w:p w14:paraId="4CAD6CB2" w14:textId="1ACDC54C" w:rsidR="00967577" w:rsidRPr="005E2177" w:rsidRDefault="00967577" w:rsidP="002C677E">
            <w:pPr>
              <w:jc w:val="center"/>
              <w:rPr>
                <w:rFonts w:ascii="Arial Narrow" w:hAnsi="Arial Narrow"/>
                <w:color w:val="333333"/>
                <w:sz w:val="20"/>
                <w:szCs w:val="20"/>
              </w:rPr>
            </w:pPr>
          </w:p>
        </w:tc>
        <w:tc>
          <w:tcPr>
            <w:tcW w:w="4447" w:type="pct"/>
            <w:vAlign w:val="center"/>
            <w:hideMark/>
          </w:tcPr>
          <w:p w14:paraId="342FB817" w14:textId="77777777" w:rsidR="00967577" w:rsidRPr="005E2177" w:rsidRDefault="00967577" w:rsidP="002C677E">
            <w:pPr>
              <w:rPr>
                <w:rFonts w:ascii="Arial Narrow" w:hAnsi="Arial Narrow"/>
                <w:color w:val="333333"/>
                <w:sz w:val="20"/>
                <w:szCs w:val="20"/>
              </w:rPr>
            </w:pPr>
            <w:r w:rsidRPr="005E2177">
              <w:rPr>
                <w:rFonts w:ascii="Arial Narrow" w:hAnsi="Arial Narrow"/>
                <w:b/>
                <w:bCs/>
                <w:color w:val="333333"/>
                <w:sz w:val="20"/>
                <w:szCs w:val="20"/>
              </w:rPr>
              <w:t>Population criteria:</w:t>
            </w:r>
          </w:p>
        </w:tc>
      </w:tr>
      <w:tr w:rsidR="00967577" w:rsidRPr="005E2177" w14:paraId="01DF10BA" w14:textId="77777777" w:rsidTr="00240E28">
        <w:tc>
          <w:tcPr>
            <w:tcW w:w="553" w:type="pct"/>
            <w:vAlign w:val="center"/>
          </w:tcPr>
          <w:p w14:paraId="54F1025B" w14:textId="6316AB15" w:rsidR="00967577" w:rsidRPr="005E2177" w:rsidRDefault="00967577" w:rsidP="002C677E">
            <w:pPr>
              <w:jc w:val="center"/>
              <w:rPr>
                <w:rFonts w:ascii="Arial Narrow" w:hAnsi="Arial Narrow"/>
                <w:color w:val="333333"/>
                <w:sz w:val="20"/>
                <w:szCs w:val="20"/>
              </w:rPr>
            </w:pPr>
          </w:p>
        </w:tc>
        <w:tc>
          <w:tcPr>
            <w:tcW w:w="4447" w:type="pct"/>
            <w:vAlign w:val="center"/>
            <w:hideMark/>
          </w:tcPr>
          <w:p w14:paraId="3CF443F0" w14:textId="3B87967E" w:rsidR="00967577" w:rsidRPr="005E2177" w:rsidRDefault="00967577" w:rsidP="002C677E">
            <w:pPr>
              <w:rPr>
                <w:rFonts w:ascii="Arial Narrow" w:hAnsi="Arial Narrow"/>
                <w:color w:val="333333"/>
                <w:sz w:val="20"/>
                <w:szCs w:val="20"/>
              </w:rPr>
            </w:pPr>
            <w:r w:rsidRPr="005E2177">
              <w:rPr>
                <w:rFonts w:ascii="Arial Narrow" w:hAnsi="Arial Narrow"/>
                <w:color w:val="333333"/>
                <w:sz w:val="20"/>
                <w:szCs w:val="20"/>
              </w:rPr>
              <w:t xml:space="preserve">Patient must be at least 18 years of age </w:t>
            </w:r>
          </w:p>
        </w:tc>
      </w:tr>
      <w:tr w:rsidR="00967577" w:rsidRPr="005E2177" w14:paraId="130BA1F4" w14:textId="77777777" w:rsidTr="00AF4912">
        <w:tc>
          <w:tcPr>
            <w:tcW w:w="553" w:type="pct"/>
            <w:vAlign w:val="center"/>
          </w:tcPr>
          <w:p w14:paraId="65916E6F" w14:textId="77AE207D" w:rsidR="00967577" w:rsidRPr="005E2177" w:rsidRDefault="00967577" w:rsidP="002C677E">
            <w:pPr>
              <w:jc w:val="center"/>
              <w:rPr>
                <w:rFonts w:ascii="Arial Narrow" w:hAnsi="Arial Narrow"/>
                <w:color w:val="333333"/>
                <w:sz w:val="20"/>
                <w:szCs w:val="20"/>
              </w:rPr>
            </w:pPr>
          </w:p>
        </w:tc>
        <w:tc>
          <w:tcPr>
            <w:tcW w:w="4447" w:type="pct"/>
            <w:vAlign w:val="center"/>
            <w:hideMark/>
          </w:tcPr>
          <w:p w14:paraId="17468161"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 xml:space="preserve">Prescribing Instructions: </w:t>
            </w:r>
          </w:p>
          <w:p w14:paraId="06DE23AF" w14:textId="77777777" w:rsidR="00967577" w:rsidRPr="005E2177" w:rsidRDefault="00967577" w:rsidP="002C677E">
            <w:pPr>
              <w:rPr>
                <w:rFonts w:ascii="Arial Narrow" w:hAnsi="Arial Narrow"/>
                <w:color w:val="333333"/>
                <w:sz w:val="20"/>
                <w:szCs w:val="20"/>
              </w:rPr>
            </w:pPr>
            <w:r w:rsidRPr="005E2177">
              <w:rPr>
                <w:rFonts w:ascii="Arial Narrow" w:hAnsi="Arial Narrow"/>
                <w:bCs/>
                <w:color w:val="333333"/>
                <w:sz w:val="20"/>
                <w:szCs w:val="20"/>
              </w:rPr>
              <w:t>Where treatment with methotrexate, sulfasalazine or leflunomide is contraindicated according to the relevant TGA-approved Product Information, details must be provided at the time of application.</w:t>
            </w:r>
          </w:p>
        </w:tc>
      </w:tr>
      <w:tr w:rsidR="00967577" w:rsidRPr="005E2177" w14:paraId="625EE9FA" w14:textId="77777777" w:rsidTr="00240E28">
        <w:tc>
          <w:tcPr>
            <w:tcW w:w="553" w:type="pct"/>
            <w:vAlign w:val="center"/>
          </w:tcPr>
          <w:p w14:paraId="4050DC04" w14:textId="6E214FC5" w:rsidR="00967577" w:rsidRPr="005E2177" w:rsidRDefault="00967577" w:rsidP="002C677E">
            <w:pPr>
              <w:jc w:val="center"/>
              <w:rPr>
                <w:rFonts w:ascii="Arial Narrow" w:hAnsi="Arial Narrow"/>
                <w:color w:val="333333"/>
                <w:sz w:val="20"/>
                <w:szCs w:val="20"/>
              </w:rPr>
            </w:pPr>
          </w:p>
        </w:tc>
        <w:tc>
          <w:tcPr>
            <w:tcW w:w="4447" w:type="pct"/>
            <w:vAlign w:val="center"/>
          </w:tcPr>
          <w:p w14:paraId="79155F24"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 xml:space="preserve">Prescribing Instructions: </w:t>
            </w:r>
          </w:p>
          <w:p w14:paraId="43EFD22D" w14:textId="77777777" w:rsidR="00967577" w:rsidRPr="005E2177" w:rsidRDefault="00967577" w:rsidP="002C677E">
            <w:pPr>
              <w:rPr>
                <w:rFonts w:ascii="Arial Narrow" w:hAnsi="Arial Narrow"/>
                <w:color w:val="333333"/>
                <w:sz w:val="20"/>
                <w:szCs w:val="20"/>
              </w:rPr>
            </w:pPr>
            <w:r w:rsidRPr="005E2177">
              <w:rPr>
                <w:rFonts w:ascii="Arial Narrow" w:hAnsi="Arial Narrow"/>
                <w:bCs/>
                <w:color w:val="333333"/>
                <w:sz w:val="20"/>
                <w:szCs w:val="20"/>
              </w:rPr>
              <w:t>Where intolerance to treatment with methotrexate, sulfasalazine or leflunomide developed during the relevant period of use, which was of a severity to necessitate permanent treatment withdrawal, details of the degree of this toxicity must be provided at the time of application.</w:t>
            </w:r>
          </w:p>
        </w:tc>
      </w:tr>
      <w:tr w:rsidR="00967577" w:rsidRPr="005E2177" w14:paraId="0D558F0A" w14:textId="77777777" w:rsidTr="00240E28">
        <w:tc>
          <w:tcPr>
            <w:tcW w:w="553" w:type="pct"/>
            <w:vAlign w:val="center"/>
          </w:tcPr>
          <w:p w14:paraId="1DBC9931" w14:textId="0EFE3C38" w:rsidR="00967577" w:rsidRPr="005E2177" w:rsidRDefault="00967577" w:rsidP="002C677E">
            <w:pPr>
              <w:jc w:val="center"/>
              <w:rPr>
                <w:rFonts w:ascii="Arial Narrow" w:hAnsi="Arial Narrow"/>
                <w:color w:val="333333"/>
                <w:sz w:val="20"/>
                <w:szCs w:val="20"/>
              </w:rPr>
            </w:pPr>
          </w:p>
        </w:tc>
        <w:tc>
          <w:tcPr>
            <w:tcW w:w="4447" w:type="pct"/>
            <w:vAlign w:val="center"/>
          </w:tcPr>
          <w:p w14:paraId="674DBBB3"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 xml:space="preserve">Prescribing Instructions: </w:t>
            </w:r>
          </w:p>
          <w:p w14:paraId="2C26A622" w14:textId="77777777" w:rsidR="00967577" w:rsidRPr="005E2177" w:rsidRDefault="00967577" w:rsidP="002C677E">
            <w:pPr>
              <w:rPr>
                <w:rFonts w:ascii="Arial Narrow" w:hAnsi="Arial Narrow"/>
                <w:bCs/>
                <w:color w:val="333333"/>
                <w:sz w:val="20"/>
                <w:szCs w:val="20"/>
              </w:rPr>
            </w:pPr>
            <w:r w:rsidRPr="005E2177">
              <w:rPr>
                <w:rFonts w:ascii="Arial Narrow" w:hAnsi="Arial Narrow"/>
                <w:bCs/>
                <w:color w:val="333333"/>
                <w:sz w:val="20"/>
                <w:szCs w:val="20"/>
              </w:rPr>
              <w:t xml:space="preserve">The following initiation criteria indicate failure to achieve an adequate response and must be demonstrated in all patients at the time of the initial application: </w:t>
            </w:r>
          </w:p>
          <w:p w14:paraId="61C0339A" w14:textId="77777777" w:rsidR="00967577" w:rsidRPr="005E2177" w:rsidRDefault="00967577" w:rsidP="002C677E">
            <w:pPr>
              <w:rPr>
                <w:rFonts w:ascii="Arial Narrow" w:hAnsi="Arial Narrow"/>
                <w:bCs/>
                <w:color w:val="333333"/>
                <w:sz w:val="20"/>
                <w:szCs w:val="20"/>
              </w:rPr>
            </w:pPr>
            <w:r w:rsidRPr="005E2177">
              <w:rPr>
                <w:rFonts w:ascii="Arial Narrow" w:hAnsi="Arial Narrow"/>
                <w:bCs/>
                <w:color w:val="333333"/>
                <w:sz w:val="20"/>
                <w:szCs w:val="20"/>
              </w:rPr>
              <w:t xml:space="preserve">an elevated erythrocyte sedimentation rate (ESR) greater than 25 mm per hour or a C-reactive protein (CRP) level greater than 15 mg per L; and, either, </w:t>
            </w:r>
          </w:p>
          <w:p w14:paraId="25887F34" w14:textId="77777777" w:rsidR="00967577" w:rsidRPr="005E2177" w:rsidRDefault="00967577" w:rsidP="002C677E">
            <w:pPr>
              <w:rPr>
                <w:rFonts w:ascii="Arial Narrow" w:hAnsi="Arial Narrow"/>
                <w:bCs/>
                <w:color w:val="333333"/>
                <w:sz w:val="20"/>
                <w:szCs w:val="20"/>
              </w:rPr>
            </w:pPr>
            <w:r w:rsidRPr="005E2177">
              <w:rPr>
                <w:rFonts w:ascii="Arial Narrow" w:hAnsi="Arial Narrow"/>
                <w:bCs/>
                <w:color w:val="333333"/>
                <w:sz w:val="20"/>
                <w:szCs w:val="20"/>
              </w:rPr>
              <w:t xml:space="preserve">(a) an active joint count of at least 20 active (swollen and tender) joints; or, </w:t>
            </w:r>
          </w:p>
          <w:p w14:paraId="0084A2B8" w14:textId="77777777" w:rsidR="00967577" w:rsidRPr="005E2177" w:rsidRDefault="00967577" w:rsidP="002C677E">
            <w:pPr>
              <w:rPr>
                <w:rFonts w:ascii="Arial Narrow" w:hAnsi="Arial Narrow"/>
                <w:bCs/>
                <w:color w:val="333333"/>
                <w:sz w:val="20"/>
                <w:szCs w:val="20"/>
              </w:rPr>
            </w:pPr>
            <w:r w:rsidRPr="005E2177">
              <w:rPr>
                <w:rFonts w:ascii="Arial Narrow" w:hAnsi="Arial Narrow"/>
                <w:bCs/>
                <w:color w:val="333333"/>
                <w:sz w:val="20"/>
                <w:szCs w:val="20"/>
              </w:rPr>
              <w:t>(b) at least 4 active joints from the following list of major joints:</w:t>
            </w:r>
          </w:p>
          <w:p w14:paraId="7B63227D" w14:textId="77777777" w:rsidR="00967577" w:rsidRPr="005E2177" w:rsidRDefault="00967577" w:rsidP="002C677E">
            <w:pPr>
              <w:rPr>
                <w:rFonts w:ascii="Arial Narrow" w:hAnsi="Arial Narrow"/>
                <w:bCs/>
                <w:color w:val="333333"/>
                <w:sz w:val="20"/>
                <w:szCs w:val="20"/>
              </w:rPr>
            </w:pPr>
            <w:r w:rsidRPr="005E2177">
              <w:rPr>
                <w:rFonts w:ascii="Arial Narrow" w:hAnsi="Arial Narrow"/>
                <w:bCs/>
                <w:color w:val="333333"/>
                <w:sz w:val="20"/>
                <w:szCs w:val="20"/>
              </w:rPr>
              <w:t xml:space="preserve">(i) elbow, wrist, knee and/or ankle (assessed as swollen and tender); and/or, </w:t>
            </w:r>
          </w:p>
          <w:p w14:paraId="252F17B7" w14:textId="77777777" w:rsidR="00967577" w:rsidRPr="005E2177" w:rsidRDefault="00967577" w:rsidP="002C677E">
            <w:pPr>
              <w:rPr>
                <w:rFonts w:ascii="Arial Narrow" w:hAnsi="Arial Narrow"/>
                <w:bCs/>
                <w:color w:val="333333"/>
                <w:sz w:val="20"/>
                <w:szCs w:val="20"/>
              </w:rPr>
            </w:pPr>
            <w:r w:rsidRPr="005E2177">
              <w:rPr>
                <w:rFonts w:ascii="Arial Narrow" w:hAnsi="Arial Narrow"/>
                <w:bCs/>
                <w:color w:val="333333"/>
                <w:sz w:val="20"/>
                <w:szCs w:val="20"/>
              </w:rPr>
              <w:t>(ii) shoulder and/or hip (assessed as pain in passive movement and restriction of passive movement, where pain and limitation of movement are due to active disease and not irreversible damage such as joint destruction or bony overgrowth).</w:t>
            </w:r>
          </w:p>
          <w:p w14:paraId="1AAD81B4" w14:textId="77777777" w:rsidR="00967577" w:rsidRPr="005E2177" w:rsidRDefault="00967577" w:rsidP="002C677E">
            <w:pPr>
              <w:rPr>
                <w:rFonts w:ascii="Arial Narrow" w:hAnsi="Arial Narrow"/>
                <w:color w:val="333333"/>
                <w:sz w:val="20"/>
                <w:szCs w:val="20"/>
              </w:rPr>
            </w:pPr>
            <w:r w:rsidRPr="005E2177">
              <w:rPr>
                <w:rFonts w:ascii="Arial Narrow" w:hAnsi="Arial Narrow"/>
                <w:bCs/>
                <w:color w:val="333333"/>
                <w:sz w:val="20"/>
                <w:szCs w:val="20"/>
              </w:rPr>
              <w:t>If the above requirement to demonstrate an elevated ESR or CRP cannot be met, the application must state the reasons why this criterion cannot be satisfied. Treatment with prednisolone dosed at 7.5 mg or higher daily (or equivalent) or a parenteral steroid within the past month (intramuscular or intravenous methylprednisolone or equivalent) is an acceptable reason.</w:t>
            </w:r>
          </w:p>
        </w:tc>
      </w:tr>
      <w:tr w:rsidR="00967577" w:rsidRPr="005E2177" w14:paraId="5E61B917" w14:textId="77777777" w:rsidTr="00240E28">
        <w:tc>
          <w:tcPr>
            <w:tcW w:w="553" w:type="pct"/>
            <w:vAlign w:val="center"/>
          </w:tcPr>
          <w:p w14:paraId="1D3FA813" w14:textId="4FFD7764" w:rsidR="00573531" w:rsidRPr="005E2177" w:rsidRDefault="00573531" w:rsidP="002C677E">
            <w:pPr>
              <w:jc w:val="center"/>
              <w:rPr>
                <w:rFonts w:ascii="Arial Narrow" w:hAnsi="Arial Narrow"/>
                <w:color w:val="333333"/>
                <w:sz w:val="20"/>
                <w:szCs w:val="20"/>
              </w:rPr>
            </w:pPr>
          </w:p>
        </w:tc>
        <w:tc>
          <w:tcPr>
            <w:tcW w:w="4447" w:type="pct"/>
            <w:vAlign w:val="center"/>
          </w:tcPr>
          <w:p w14:paraId="2E1FA996"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 xml:space="preserve">Prescribing Instructions: </w:t>
            </w:r>
          </w:p>
          <w:p w14:paraId="13250524" w14:textId="77777777" w:rsidR="00573531" w:rsidRDefault="00967577" w:rsidP="002C677E">
            <w:pPr>
              <w:rPr>
                <w:rFonts w:ascii="Arial Narrow" w:hAnsi="Arial Narrow"/>
                <w:bCs/>
                <w:color w:val="333333"/>
                <w:sz w:val="20"/>
                <w:szCs w:val="20"/>
              </w:rPr>
            </w:pPr>
            <w:r w:rsidRPr="005E2177">
              <w:rPr>
                <w:rFonts w:ascii="Arial Narrow" w:hAnsi="Arial Narrow"/>
                <w:bCs/>
                <w:color w:val="333333"/>
                <w:sz w:val="20"/>
                <w:szCs w:val="20"/>
              </w:rPr>
              <w:t xml:space="preserve">The authority application must be made in writing and must </w:t>
            </w:r>
            <w:proofErr w:type="gramStart"/>
            <w:r w:rsidRPr="005E2177">
              <w:rPr>
                <w:rFonts w:ascii="Arial Narrow" w:hAnsi="Arial Narrow"/>
                <w:bCs/>
                <w:color w:val="333333"/>
                <w:sz w:val="20"/>
                <w:szCs w:val="20"/>
              </w:rPr>
              <w:t>include:,</w:t>
            </w:r>
            <w:proofErr w:type="gramEnd"/>
            <w:r w:rsidRPr="005E2177">
              <w:rPr>
                <w:rFonts w:ascii="Arial Narrow" w:hAnsi="Arial Narrow"/>
                <w:bCs/>
                <w:color w:val="333333"/>
                <w:sz w:val="20"/>
                <w:szCs w:val="20"/>
              </w:rPr>
              <w:t xml:space="preserve"> </w:t>
            </w:r>
          </w:p>
          <w:p w14:paraId="3230C504" w14:textId="77777777" w:rsidR="00573531" w:rsidRDefault="00967577" w:rsidP="002C677E">
            <w:pPr>
              <w:rPr>
                <w:rFonts w:ascii="Arial Narrow" w:hAnsi="Arial Narrow"/>
                <w:bCs/>
                <w:color w:val="333333"/>
                <w:sz w:val="20"/>
                <w:szCs w:val="20"/>
              </w:rPr>
            </w:pPr>
            <w:r w:rsidRPr="005E2177">
              <w:rPr>
                <w:rFonts w:ascii="Arial Narrow" w:hAnsi="Arial Narrow"/>
                <w:bCs/>
                <w:color w:val="333333"/>
                <w:sz w:val="20"/>
                <w:szCs w:val="20"/>
              </w:rPr>
              <w:t xml:space="preserve">(a) a completed authority prescription form(s); and, </w:t>
            </w:r>
          </w:p>
          <w:p w14:paraId="0FB99A50" w14:textId="7549FB0B" w:rsidR="00967577" w:rsidRPr="005E2177" w:rsidRDefault="00967577" w:rsidP="002C677E">
            <w:pPr>
              <w:rPr>
                <w:rFonts w:ascii="Arial Narrow" w:hAnsi="Arial Narrow"/>
                <w:color w:val="333333"/>
                <w:sz w:val="20"/>
                <w:szCs w:val="20"/>
              </w:rPr>
            </w:pPr>
            <w:r w:rsidRPr="005E2177">
              <w:rPr>
                <w:rFonts w:ascii="Arial Narrow" w:hAnsi="Arial Narrow"/>
                <w:bCs/>
                <w:color w:val="333333"/>
                <w:sz w:val="20"/>
                <w:szCs w:val="20"/>
              </w:rPr>
              <w:t>(b) a completed authority application form relevant to the indication and treatment phase (the latest version is located on the website specified in the Administrative Advice).</w:t>
            </w:r>
          </w:p>
        </w:tc>
      </w:tr>
      <w:tr w:rsidR="00967577" w:rsidRPr="005E2177" w14:paraId="47CCC16E" w14:textId="77777777" w:rsidTr="00240E28">
        <w:trPr>
          <w:trHeight w:val="396"/>
        </w:trPr>
        <w:tc>
          <w:tcPr>
            <w:tcW w:w="553" w:type="pct"/>
            <w:vAlign w:val="center"/>
          </w:tcPr>
          <w:p w14:paraId="660692E0" w14:textId="49DA12AA" w:rsidR="00967577" w:rsidRPr="005E2177" w:rsidRDefault="00967577" w:rsidP="002C677E">
            <w:pPr>
              <w:jc w:val="center"/>
              <w:rPr>
                <w:rFonts w:ascii="Arial Narrow" w:hAnsi="Arial Narrow"/>
                <w:color w:val="333333"/>
                <w:sz w:val="20"/>
                <w:szCs w:val="20"/>
              </w:rPr>
            </w:pPr>
          </w:p>
        </w:tc>
        <w:tc>
          <w:tcPr>
            <w:tcW w:w="4447" w:type="pct"/>
            <w:vAlign w:val="center"/>
          </w:tcPr>
          <w:p w14:paraId="253D8E51"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 xml:space="preserve">Prescribing Instructions: </w:t>
            </w:r>
          </w:p>
          <w:p w14:paraId="45898554" w14:textId="77777777" w:rsidR="00967577" w:rsidRPr="005E2177" w:rsidRDefault="00967577" w:rsidP="002C677E">
            <w:pPr>
              <w:rPr>
                <w:rFonts w:ascii="Arial Narrow" w:hAnsi="Arial Narrow"/>
                <w:color w:val="333333"/>
                <w:sz w:val="20"/>
                <w:szCs w:val="20"/>
              </w:rPr>
            </w:pPr>
            <w:r w:rsidRPr="005E2177">
              <w:rPr>
                <w:rFonts w:ascii="Arial Narrow" w:hAnsi="Arial Narrow"/>
                <w:bCs/>
                <w:color w:val="333333"/>
                <w:sz w:val="20"/>
                <w:szCs w:val="20"/>
              </w:rPr>
              <w:t>An assessment of a patient's response to this initial course of treatment must be conducted following a minimum of 12 weeks of therapy and no later than 4 weeks prior the completion of this course of treatment.</w:t>
            </w:r>
          </w:p>
        </w:tc>
      </w:tr>
      <w:tr w:rsidR="00967577" w:rsidRPr="005E2177" w14:paraId="07CA9E5D" w14:textId="77777777" w:rsidTr="00240E28">
        <w:tc>
          <w:tcPr>
            <w:tcW w:w="553" w:type="pct"/>
            <w:vAlign w:val="center"/>
          </w:tcPr>
          <w:p w14:paraId="1525719B" w14:textId="4E0AEDB5" w:rsidR="00967577" w:rsidRPr="005E2177" w:rsidRDefault="00967577" w:rsidP="002C677E">
            <w:pPr>
              <w:jc w:val="center"/>
              <w:rPr>
                <w:rFonts w:ascii="Arial Narrow" w:hAnsi="Arial Narrow"/>
                <w:color w:val="333333"/>
                <w:sz w:val="20"/>
                <w:szCs w:val="20"/>
              </w:rPr>
            </w:pPr>
          </w:p>
        </w:tc>
        <w:tc>
          <w:tcPr>
            <w:tcW w:w="4447" w:type="pct"/>
            <w:vAlign w:val="center"/>
          </w:tcPr>
          <w:p w14:paraId="5883F636"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 xml:space="preserve">Prescribing Instructions: </w:t>
            </w:r>
          </w:p>
          <w:p w14:paraId="59896A94" w14:textId="77777777" w:rsidR="00967577" w:rsidRPr="005E2177" w:rsidRDefault="00967577" w:rsidP="002C677E">
            <w:pPr>
              <w:rPr>
                <w:rFonts w:ascii="Arial Narrow" w:hAnsi="Arial Narrow"/>
                <w:color w:val="333333"/>
                <w:sz w:val="20"/>
                <w:szCs w:val="20"/>
              </w:rPr>
            </w:pPr>
            <w:r w:rsidRPr="005E2177">
              <w:rPr>
                <w:rFonts w:ascii="Arial Narrow" w:hAnsi="Arial Narrow"/>
                <w:bCs/>
                <w:color w:val="333333"/>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967577" w:rsidRPr="005E2177" w14:paraId="2EF52375" w14:textId="77777777" w:rsidTr="00240E28">
        <w:tc>
          <w:tcPr>
            <w:tcW w:w="553" w:type="pct"/>
            <w:vAlign w:val="center"/>
          </w:tcPr>
          <w:p w14:paraId="032A0D29" w14:textId="144E0C74" w:rsidR="00967577" w:rsidRPr="005E2177" w:rsidRDefault="00967577" w:rsidP="002C677E">
            <w:pPr>
              <w:jc w:val="center"/>
              <w:rPr>
                <w:rFonts w:ascii="Arial Narrow" w:hAnsi="Arial Narrow"/>
                <w:color w:val="333333"/>
                <w:sz w:val="20"/>
                <w:szCs w:val="20"/>
              </w:rPr>
            </w:pPr>
          </w:p>
        </w:tc>
        <w:tc>
          <w:tcPr>
            <w:tcW w:w="4447" w:type="pct"/>
            <w:vAlign w:val="center"/>
          </w:tcPr>
          <w:p w14:paraId="7F479A48"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 xml:space="preserve">Prescribing Instructions: </w:t>
            </w:r>
          </w:p>
          <w:p w14:paraId="78F6CBCB" w14:textId="77777777" w:rsidR="00967577" w:rsidRPr="005E2177" w:rsidRDefault="00967577" w:rsidP="002C677E">
            <w:pPr>
              <w:rPr>
                <w:rFonts w:ascii="Arial Narrow" w:hAnsi="Arial Narrow"/>
                <w:color w:val="333333"/>
                <w:sz w:val="20"/>
                <w:szCs w:val="20"/>
              </w:rPr>
            </w:pPr>
            <w:r w:rsidRPr="005E2177">
              <w:rPr>
                <w:rFonts w:ascii="Arial Narrow" w:hAnsi="Arial Narrow"/>
                <w:bCs/>
                <w:color w:val="333333"/>
                <w:sz w:val="20"/>
                <w:szCs w:val="20"/>
              </w:rPr>
              <w:t xml:space="preserve">If a patient fails to demonstrate a response to treatment with this </w:t>
            </w:r>
            <w:proofErr w:type="gramStart"/>
            <w:r w:rsidRPr="005E2177">
              <w:rPr>
                <w:rFonts w:ascii="Arial Narrow" w:hAnsi="Arial Narrow"/>
                <w:bCs/>
                <w:color w:val="333333"/>
                <w:sz w:val="20"/>
                <w:szCs w:val="20"/>
              </w:rPr>
              <w:t>drug</w:t>
            </w:r>
            <w:proofErr w:type="gramEnd"/>
            <w:r w:rsidRPr="005E2177">
              <w:rPr>
                <w:rFonts w:ascii="Arial Narrow" w:hAnsi="Arial Narrow"/>
                <w:bCs/>
                <w:color w:val="333333"/>
                <w:sz w:val="20"/>
                <w:szCs w:val="20"/>
              </w:rPr>
              <w:t xml:space="preserve">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967577" w:rsidRPr="005E2177" w14:paraId="271C5377" w14:textId="77777777" w:rsidTr="00240E28">
        <w:tc>
          <w:tcPr>
            <w:tcW w:w="553" w:type="pct"/>
            <w:vAlign w:val="center"/>
          </w:tcPr>
          <w:p w14:paraId="0D5E0AF6" w14:textId="11406D80" w:rsidR="00967577" w:rsidRPr="005E2177" w:rsidRDefault="00967577" w:rsidP="002C677E">
            <w:pPr>
              <w:jc w:val="center"/>
              <w:rPr>
                <w:rFonts w:ascii="Arial Narrow" w:hAnsi="Arial Narrow"/>
                <w:color w:val="333333"/>
                <w:sz w:val="20"/>
                <w:szCs w:val="20"/>
              </w:rPr>
            </w:pPr>
          </w:p>
        </w:tc>
        <w:tc>
          <w:tcPr>
            <w:tcW w:w="4447" w:type="pct"/>
            <w:vAlign w:val="center"/>
            <w:hideMark/>
          </w:tcPr>
          <w:p w14:paraId="6BD72F78" w14:textId="77777777" w:rsidR="00967577" w:rsidRPr="005E2177" w:rsidRDefault="00967577" w:rsidP="002C677E">
            <w:pPr>
              <w:rPr>
                <w:rFonts w:ascii="Arial Narrow" w:hAnsi="Arial Narrow"/>
                <w:bCs/>
                <w:color w:val="333333"/>
                <w:sz w:val="20"/>
                <w:szCs w:val="20"/>
              </w:rPr>
            </w:pPr>
            <w:r w:rsidRPr="005E2177">
              <w:rPr>
                <w:rFonts w:ascii="Arial Narrow" w:hAnsi="Arial Narrow"/>
                <w:b/>
                <w:bCs/>
                <w:color w:val="333333"/>
                <w:sz w:val="20"/>
                <w:szCs w:val="20"/>
              </w:rPr>
              <w:t>Administrative Advice:</w:t>
            </w:r>
            <w:r w:rsidRPr="005E2177">
              <w:rPr>
                <w:rFonts w:ascii="Arial Narrow" w:hAnsi="Arial Narrow"/>
                <w:bCs/>
                <w:color w:val="333333"/>
                <w:sz w:val="20"/>
                <w:szCs w:val="20"/>
              </w:rPr>
              <w:t xml:space="preserve"> </w:t>
            </w:r>
          </w:p>
          <w:p w14:paraId="3944FFF6" w14:textId="77777777" w:rsidR="00967577" w:rsidRPr="005E2177" w:rsidRDefault="00967577" w:rsidP="002C677E">
            <w:pPr>
              <w:rPr>
                <w:rFonts w:ascii="Arial Narrow" w:hAnsi="Arial Narrow"/>
                <w:color w:val="333333"/>
                <w:sz w:val="20"/>
                <w:szCs w:val="20"/>
              </w:rPr>
            </w:pPr>
            <w:r w:rsidRPr="005E2177">
              <w:rPr>
                <w:rFonts w:ascii="Arial Narrow" w:hAnsi="Arial Narrow"/>
                <w:bCs/>
                <w:color w:val="333333"/>
                <w:sz w:val="20"/>
                <w:szCs w:val="20"/>
              </w:rPr>
              <w:t>The Services Australia website (www.servicesaustralia.gov.au) has details of the toxicities, including severity, which will be accepted where one is claimed.</w:t>
            </w:r>
          </w:p>
        </w:tc>
      </w:tr>
      <w:tr w:rsidR="00967577" w:rsidRPr="005E2177" w14:paraId="108CCD2E" w14:textId="77777777" w:rsidTr="00240E28">
        <w:tc>
          <w:tcPr>
            <w:tcW w:w="553" w:type="pct"/>
            <w:vAlign w:val="center"/>
          </w:tcPr>
          <w:p w14:paraId="0B7A4755" w14:textId="1F10A7F2" w:rsidR="00967577" w:rsidRPr="005E2177" w:rsidRDefault="00967577" w:rsidP="002C677E">
            <w:pPr>
              <w:jc w:val="center"/>
              <w:rPr>
                <w:rFonts w:ascii="Arial Narrow" w:hAnsi="Arial Narrow"/>
                <w:color w:val="333333"/>
                <w:sz w:val="20"/>
                <w:szCs w:val="20"/>
              </w:rPr>
            </w:pPr>
          </w:p>
        </w:tc>
        <w:tc>
          <w:tcPr>
            <w:tcW w:w="4447" w:type="pct"/>
            <w:vAlign w:val="center"/>
            <w:hideMark/>
          </w:tcPr>
          <w:p w14:paraId="6D0F3462"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 xml:space="preserve">Administrative Advice: </w:t>
            </w:r>
          </w:p>
          <w:p w14:paraId="7B598FC1" w14:textId="5BA52C33" w:rsidR="00967577" w:rsidRPr="005E2177" w:rsidRDefault="00967577" w:rsidP="002C677E">
            <w:pPr>
              <w:rPr>
                <w:rFonts w:ascii="Arial Narrow" w:hAnsi="Arial Narrow"/>
                <w:bCs/>
                <w:color w:val="333333"/>
                <w:sz w:val="20"/>
                <w:szCs w:val="20"/>
              </w:rPr>
            </w:pPr>
            <w:r w:rsidRPr="005E2177">
              <w:rPr>
                <w:rFonts w:ascii="Arial Narrow" w:hAnsi="Arial Narrow"/>
                <w:bCs/>
                <w:color w:val="333333"/>
                <w:sz w:val="20"/>
                <w:szCs w:val="20"/>
              </w:rPr>
              <w:t>Any queries concerning the arrangements to prescribe may be directed to Services Australia on 1800 700 270 (hours of operation 8 a.m. to 5 p.m. Monday to Friday).</w:t>
            </w:r>
          </w:p>
          <w:p w14:paraId="35ECDE91" w14:textId="77777777" w:rsidR="00967577" w:rsidRPr="005E2177" w:rsidRDefault="00967577" w:rsidP="002C677E">
            <w:pPr>
              <w:rPr>
                <w:rFonts w:ascii="Arial Narrow" w:hAnsi="Arial Narrow"/>
                <w:bCs/>
                <w:color w:val="333333"/>
                <w:sz w:val="20"/>
                <w:szCs w:val="20"/>
              </w:rPr>
            </w:pPr>
            <w:r w:rsidRPr="005E2177">
              <w:rPr>
                <w:rFonts w:ascii="Arial Narrow" w:hAnsi="Arial Narrow"/>
                <w:bCs/>
                <w:color w:val="333333"/>
                <w:sz w:val="20"/>
                <w:szCs w:val="20"/>
              </w:rPr>
              <w:t xml:space="preserve">Prescribing information (including Authority Application forms and other relevant documentation as applicable) is available on the Services Australia website at </w:t>
            </w:r>
            <w:hyperlink r:id="rId12" w:history="1">
              <w:r w:rsidRPr="005E2177">
                <w:rPr>
                  <w:rStyle w:val="Hyperlink"/>
                  <w:rFonts w:ascii="Arial Narrow" w:hAnsi="Arial Narrow"/>
                  <w:bCs/>
                  <w:sz w:val="20"/>
                  <w:szCs w:val="20"/>
                </w:rPr>
                <w:t>www.servicesaustralia.gov.au</w:t>
              </w:r>
            </w:hyperlink>
            <w:r w:rsidRPr="005E2177">
              <w:rPr>
                <w:rFonts w:ascii="Arial Narrow" w:hAnsi="Arial Narrow"/>
                <w:bCs/>
                <w:color w:val="333333"/>
                <w:sz w:val="20"/>
                <w:szCs w:val="20"/>
              </w:rPr>
              <w:t xml:space="preserve">, </w:t>
            </w:r>
          </w:p>
          <w:p w14:paraId="5B233977" w14:textId="77777777" w:rsidR="00967577" w:rsidRPr="005E2177" w:rsidRDefault="00967577" w:rsidP="002C677E">
            <w:pPr>
              <w:rPr>
                <w:rFonts w:ascii="Arial Narrow" w:hAnsi="Arial Narrow"/>
                <w:bCs/>
                <w:color w:val="333333"/>
                <w:sz w:val="20"/>
                <w:szCs w:val="20"/>
              </w:rPr>
            </w:pPr>
            <w:r w:rsidRPr="005E2177">
              <w:rPr>
                <w:rFonts w:ascii="Arial Narrow" w:hAnsi="Arial Narrow"/>
                <w:bCs/>
                <w:color w:val="333333"/>
                <w:sz w:val="20"/>
                <w:szCs w:val="20"/>
              </w:rPr>
              <w:t xml:space="preserve">Applications for authority to prescribe should be submitted online using the form upload facility in Health Professional Online Services (HPOS) at </w:t>
            </w:r>
            <w:hyperlink r:id="rId13" w:history="1">
              <w:r w:rsidRPr="005E2177">
                <w:rPr>
                  <w:rStyle w:val="Hyperlink"/>
                  <w:rFonts w:ascii="Arial Narrow" w:hAnsi="Arial Narrow"/>
                  <w:bCs/>
                  <w:sz w:val="20"/>
                  <w:szCs w:val="20"/>
                </w:rPr>
                <w:t>www.servicesaustralia.gov.au/hpos</w:t>
              </w:r>
            </w:hyperlink>
            <w:r w:rsidRPr="005E2177">
              <w:rPr>
                <w:rFonts w:ascii="Arial Narrow" w:hAnsi="Arial Narrow"/>
                <w:bCs/>
                <w:color w:val="333333"/>
                <w:sz w:val="20"/>
                <w:szCs w:val="20"/>
              </w:rPr>
              <w:t xml:space="preserve">, </w:t>
            </w:r>
          </w:p>
          <w:p w14:paraId="71606D6F" w14:textId="77777777" w:rsidR="00967577" w:rsidRPr="005E2177" w:rsidRDefault="00967577" w:rsidP="002C677E">
            <w:pPr>
              <w:rPr>
                <w:rFonts w:ascii="Arial Narrow" w:hAnsi="Arial Narrow"/>
                <w:bCs/>
                <w:color w:val="333333"/>
                <w:sz w:val="20"/>
                <w:szCs w:val="20"/>
              </w:rPr>
            </w:pPr>
            <w:r w:rsidRPr="005E2177">
              <w:rPr>
                <w:rFonts w:ascii="Arial Narrow" w:hAnsi="Arial Narrow"/>
                <w:bCs/>
                <w:color w:val="333333"/>
                <w:sz w:val="20"/>
                <w:szCs w:val="20"/>
              </w:rPr>
              <w:t>Or mailed to:</w:t>
            </w:r>
          </w:p>
          <w:p w14:paraId="1B53280C" w14:textId="77777777" w:rsidR="00967577" w:rsidRPr="005E2177" w:rsidRDefault="00967577" w:rsidP="002C677E">
            <w:pPr>
              <w:rPr>
                <w:rFonts w:ascii="Arial Narrow" w:hAnsi="Arial Narrow"/>
                <w:bCs/>
                <w:color w:val="333333"/>
                <w:sz w:val="20"/>
                <w:szCs w:val="20"/>
              </w:rPr>
            </w:pPr>
            <w:r w:rsidRPr="005E2177">
              <w:rPr>
                <w:rFonts w:ascii="Arial Narrow" w:hAnsi="Arial Narrow"/>
                <w:bCs/>
                <w:color w:val="333333"/>
                <w:sz w:val="20"/>
                <w:szCs w:val="20"/>
              </w:rPr>
              <w:t xml:space="preserve">Services Australia, </w:t>
            </w:r>
          </w:p>
          <w:p w14:paraId="60341D6A" w14:textId="77777777" w:rsidR="00967577" w:rsidRPr="005E2177" w:rsidRDefault="00967577" w:rsidP="002C677E">
            <w:pPr>
              <w:rPr>
                <w:rFonts w:ascii="Arial Narrow" w:hAnsi="Arial Narrow"/>
                <w:bCs/>
                <w:color w:val="333333"/>
                <w:sz w:val="20"/>
                <w:szCs w:val="20"/>
              </w:rPr>
            </w:pPr>
            <w:r w:rsidRPr="005E2177">
              <w:rPr>
                <w:rFonts w:ascii="Arial Narrow" w:hAnsi="Arial Narrow"/>
                <w:bCs/>
                <w:color w:val="333333"/>
                <w:sz w:val="20"/>
                <w:szCs w:val="20"/>
              </w:rPr>
              <w:t xml:space="preserve">Complex Drugs, </w:t>
            </w:r>
          </w:p>
          <w:p w14:paraId="4A59492B" w14:textId="77777777" w:rsidR="00967577" w:rsidRPr="005E2177" w:rsidRDefault="00967577" w:rsidP="002C677E">
            <w:pPr>
              <w:rPr>
                <w:rFonts w:ascii="Arial Narrow" w:hAnsi="Arial Narrow"/>
                <w:bCs/>
                <w:color w:val="333333"/>
                <w:sz w:val="20"/>
                <w:szCs w:val="20"/>
              </w:rPr>
            </w:pPr>
            <w:r w:rsidRPr="005E2177">
              <w:rPr>
                <w:rFonts w:ascii="Arial Narrow" w:hAnsi="Arial Narrow"/>
                <w:bCs/>
                <w:color w:val="333333"/>
                <w:sz w:val="20"/>
                <w:szCs w:val="20"/>
              </w:rPr>
              <w:t xml:space="preserve">Reply Paid 9826, </w:t>
            </w:r>
          </w:p>
          <w:p w14:paraId="5E58D268" w14:textId="77777777" w:rsidR="00967577" w:rsidRPr="005E2177" w:rsidRDefault="00967577" w:rsidP="002C677E">
            <w:pPr>
              <w:rPr>
                <w:rFonts w:ascii="Arial Narrow" w:hAnsi="Arial Narrow"/>
                <w:color w:val="333333"/>
                <w:sz w:val="20"/>
                <w:szCs w:val="20"/>
              </w:rPr>
            </w:pPr>
            <w:r w:rsidRPr="005E2177">
              <w:rPr>
                <w:rFonts w:ascii="Arial Narrow" w:hAnsi="Arial Narrow"/>
                <w:bCs/>
                <w:color w:val="333333"/>
                <w:sz w:val="20"/>
                <w:szCs w:val="20"/>
              </w:rPr>
              <w:t>HOBART TAS 7001</w:t>
            </w:r>
          </w:p>
        </w:tc>
      </w:tr>
      <w:tr w:rsidR="00967577" w:rsidRPr="005E2177" w14:paraId="68CBD8A0" w14:textId="77777777" w:rsidTr="00240E28">
        <w:tc>
          <w:tcPr>
            <w:tcW w:w="553" w:type="pct"/>
            <w:shd w:val="clear" w:color="auto" w:fill="A6A6A6" w:themeFill="background1" w:themeFillShade="A6"/>
            <w:vAlign w:val="center"/>
          </w:tcPr>
          <w:p w14:paraId="04A818AF" w14:textId="77777777" w:rsidR="00967577" w:rsidRPr="005E2177" w:rsidRDefault="00967577" w:rsidP="002C677E">
            <w:pPr>
              <w:jc w:val="center"/>
              <w:rPr>
                <w:rFonts w:ascii="Arial Narrow" w:hAnsi="Arial Narrow"/>
                <w:color w:val="333333"/>
                <w:sz w:val="20"/>
                <w:szCs w:val="20"/>
              </w:rPr>
            </w:pPr>
          </w:p>
        </w:tc>
        <w:tc>
          <w:tcPr>
            <w:tcW w:w="4447" w:type="pct"/>
            <w:shd w:val="clear" w:color="auto" w:fill="A6A6A6" w:themeFill="background1" w:themeFillShade="A6"/>
            <w:vAlign w:val="center"/>
          </w:tcPr>
          <w:p w14:paraId="3FC7A32D" w14:textId="77777777" w:rsidR="00967577" w:rsidRPr="005E2177" w:rsidRDefault="00967577" w:rsidP="002C677E">
            <w:pPr>
              <w:rPr>
                <w:rFonts w:ascii="Arial Narrow" w:hAnsi="Arial Narrow"/>
                <w:b/>
                <w:bCs/>
                <w:color w:val="333333"/>
                <w:sz w:val="20"/>
                <w:szCs w:val="20"/>
              </w:rPr>
            </w:pPr>
          </w:p>
        </w:tc>
      </w:tr>
      <w:tr w:rsidR="00967577" w:rsidRPr="005E2177" w14:paraId="40254129"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6F4265D0" w14:textId="77777777"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6148C7C8"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 xml:space="preserve">Treatment Phase: </w:t>
            </w:r>
            <w:r w:rsidRPr="005E2177">
              <w:rPr>
                <w:rFonts w:ascii="Arial Narrow" w:hAnsi="Arial Narrow"/>
                <w:color w:val="333333"/>
                <w:sz w:val="20"/>
                <w:szCs w:val="20"/>
              </w:rPr>
              <w:t>Initial treatment - Initial 2 (change or recommencement of treatment after a break in in biological medicine of less than 5 years)</w:t>
            </w:r>
          </w:p>
        </w:tc>
      </w:tr>
      <w:tr w:rsidR="00967577" w:rsidRPr="005E2177" w14:paraId="7B8427AB"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7041A53F" w14:textId="5D07A8AF"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216D5C8C"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Clinical criteria:</w:t>
            </w:r>
          </w:p>
        </w:tc>
      </w:tr>
      <w:tr w:rsidR="00967577" w:rsidRPr="005E2177" w14:paraId="7C46B35E"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17F2CFE6" w14:textId="09DF1D24"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591E58EF" w14:textId="77777777" w:rsidR="00967577" w:rsidRPr="005E2177" w:rsidRDefault="00967577" w:rsidP="002C677E">
            <w:pPr>
              <w:rPr>
                <w:rFonts w:ascii="Arial Narrow" w:hAnsi="Arial Narrow"/>
                <w:color w:val="333333"/>
                <w:sz w:val="20"/>
                <w:szCs w:val="20"/>
              </w:rPr>
            </w:pPr>
            <w:r w:rsidRPr="005E2177">
              <w:rPr>
                <w:rFonts w:ascii="Arial Narrow" w:hAnsi="Arial Narrow"/>
                <w:color w:val="333333"/>
                <w:sz w:val="20"/>
                <w:szCs w:val="20"/>
              </w:rPr>
              <w:t>Patient must have received prior PBS-subsidised treatment with a biological medicine for this condition in this treatment cycle</w:t>
            </w:r>
          </w:p>
        </w:tc>
      </w:tr>
      <w:tr w:rsidR="00967577" w:rsidRPr="005E2177" w14:paraId="5C3DF602"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3F5C2897" w14:textId="77777777"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4D8E040B"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AND</w:t>
            </w:r>
          </w:p>
        </w:tc>
      </w:tr>
      <w:tr w:rsidR="00967577" w:rsidRPr="005E2177" w14:paraId="6AE944A8"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501386AA" w14:textId="4F6DA034"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1821FCBB"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Clinical criteria:</w:t>
            </w:r>
          </w:p>
        </w:tc>
      </w:tr>
      <w:tr w:rsidR="00967577" w:rsidRPr="005E2177" w14:paraId="2B857CA0"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11FBE01D" w14:textId="3BA7D896"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06D16E6A" w14:textId="77777777" w:rsidR="00967577" w:rsidRPr="005E2177" w:rsidRDefault="00967577" w:rsidP="002C677E">
            <w:pPr>
              <w:rPr>
                <w:rFonts w:ascii="Arial Narrow" w:hAnsi="Arial Narrow"/>
                <w:color w:val="333333"/>
                <w:sz w:val="20"/>
                <w:szCs w:val="20"/>
              </w:rPr>
            </w:pPr>
            <w:r w:rsidRPr="005E2177">
              <w:rPr>
                <w:rFonts w:ascii="Arial Narrow" w:hAnsi="Arial Narrow"/>
                <w:color w:val="333333"/>
                <w:sz w:val="20"/>
                <w:szCs w:val="20"/>
              </w:rPr>
              <w:t>Patient must not have already failed, or ceased to respond to, PBS-subsidised treatment with 3 biological medicines for this condition within this treatment cycle</w:t>
            </w:r>
          </w:p>
        </w:tc>
      </w:tr>
      <w:tr w:rsidR="00967577" w:rsidRPr="005E2177" w14:paraId="11BD9DF5"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3B0ACEBB" w14:textId="77777777"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28A9B626" w14:textId="77777777" w:rsidR="00967577" w:rsidRPr="005E2177" w:rsidRDefault="00967577" w:rsidP="002C677E">
            <w:pPr>
              <w:rPr>
                <w:rFonts w:ascii="Arial Narrow" w:hAnsi="Arial Narrow"/>
                <w:color w:val="333333"/>
                <w:sz w:val="20"/>
                <w:szCs w:val="20"/>
              </w:rPr>
            </w:pPr>
            <w:r w:rsidRPr="005E2177">
              <w:rPr>
                <w:rFonts w:ascii="Arial Narrow" w:hAnsi="Arial Narrow"/>
                <w:b/>
                <w:bCs/>
                <w:color w:val="333333"/>
                <w:sz w:val="20"/>
                <w:szCs w:val="20"/>
              </w:rPr>
              <w:t>AND</w:t>
            </w:r>
          </w:p>
        </w:tc>
      </w:tr>
      <w:tr w:rsidR="00967577" w:rsidRPr="005E2177" w14:paraId="67E89430"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326184CA" w14:textId="312CC956"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6230097B" w14:textId="77777777" w:rsidR="00967577" w:rsidRPr="005E2177" w:rsidRDefault="00967577" w:rsidP="002C677E">
            <w:pPr>
              <w:rPr>
                <w:rFonts w:ascii="Arial Narrow" w:hAnsi="Arial Narrow"/>
                <w:color w:val="333333"/>
                <w:sz w:val="20"/>
                <w:szCs w:val="20"/>
              </w:rPr>
            </w:pPr>
            <w:r w:rsidRPr="005E2177">
              <w:rPr>
                <w:rFonts w:ascii="Arial Narrow" w:hAnsi="Arial Narrow"/>
                <w:b/>
                <w:bCs/>
                <w:color w:val="333333"/>
                <w:sz w:val="20"/>
                <w:szCs w:val="20"/>
              </w:rPr>
              <w:t>Clinical criteria:</w:t>
            </w:r>
          </w:p>
        </w:tc>
      </w:tr>
      <w:tr w:rsidR="00967577" w:rsidRPr="005E2177" w14:paraId="1F429144"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6089F3D7" w14:textId="1E34AFBA"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275C695B" w14:textId="77777777" w:rsidR="00967577" w:rsidRPr="005E2177" w:rsidRDefault="00967577" w:rsidP="002C677E">
            <w:pPr>
              <w:rPr>
                <w:rFonts w:ascii="Arial Narrow" w:hAnsi="Arial Narrow"/>
                <w:color w:val="333333"/>
                <w:sz w:val="20"/>
                <w:szCs w:val="20"/>
              </w:rPr>
            </w:pPr>
            <w:r w:rsidRPr="005E2177">
              <w:rPr>
                <w:rFonts w:ascii="Arial Narrow" w:hAnsi="Arial Narrow"/>
                <w:color w:val="333333"/>
                <w:sz w:val="20"/>
                <w:szCs w:val="20"/>
              </w:rPr>
              <w:t xml:space="preserve">Patient must not have already failed, or ceased to respond to, PBS-subsidised treatment with this drug for this condition during the current treatment cycle </w:t>
            </w:r>
          </w:p>
        </w:tc>
      </w:tr>
      <w:tr w:rsidR="00967577" w:rsidRPr="005E2177" w14:paraId="5D5A8814"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57CBA2F0" w14:textId="77777777"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3A36A4BC"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AND</w:t>
            </w:r>
          </w:p>
        </w:tc>
      </w:tr>
      <w:tr w:rsidR="00967577" w:rsidRPr="005E2177" w14:paraId="055F156C"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7523418D" w14:textId="664630FC"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6496B9B4"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Clinical criteria:</w:t>
            </w:r>
          </w:p>
        </w:tc>
      </w:tr>
      <w:tr w:rsidR="00967577" w:rsidRPr="005E2177" w14:paraId="008EA072"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2BC57A58" w14:textId="2DD21927"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51F35EF4" w14:textId="765C8904" w:rsidR="00967577" w:rsidRPr="005E2177" w:rsidRDefault="00967577" w:rsidP="002C677E">
            <w:pPr>
              <w:rPr>
                <w:rFonts w:ascii="Arial Narrow" w:hAnsi="Arial Narrow"/>
                <w:color w:val="333333"/>
                <w:sz w:val="20"/>
                <w:szCs w:val="20"/>
              </w:rPr>
            </w:pPr>
            <w:r w:rsidRPr="005E2177">
              <w:rPr>
                <w:rFonts w:ascii="Arial Narrow" w:hAnsi="Arial Narrow"/>
                <w:color w:val="333333"/>
                <w:sz w:val="20"/>
                <w:szCs w:val="20"/>
              </w:rPr>
              <w:t xml:space="preserve">Patient must not receive more than </w:t>
            </w:r>
            <w:r w:rsidR="00573531">
              <w:rPr>
                <w:rFonts w:ascii="Arial Narrow" w:hAnsi="Arial Narrow"/>
                <w:color w:val="333333"/>
                <w:sz w:val="20"/>
                <w:szCs w:val="20"/>
              </w:rPr>
              <w:t>16</w:t>
            </w:r>
            <w:r w:rsidRPr="005E2177">
              <w:rPr>
                <w:rFonts w:ascii="Arial Narrow" w:hAnsi="Arial Narrow"/>
                <w:color w:val="333333"/>
                <w:sz w:val="20"/>
                <w:szCs w:val="20"/>
              </w:rPr>
              <w:t xml:space="preserve"> weeks of treatment under this restriction</w:t>
            </w:r>
          </w:p>
        </w:tc>
      </w:tr>
      <w:tr w:rsidR="00967577" w:rsidRPr="005E2177" w14:paraId="51B5ECBB"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7AADD4CE" w14:textId="77777777"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79C9E728"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AND</w:t>
            </w:r>
          </w:p>
        </w:tc>
      </w:tr>
      <w:tr w:rsidR="00967577" w:rsidRPr="005E2177" w14:paraId="757C9E45"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4B479DDF" w14:textId="701BAC54"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158048FC"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Treatment criteria:</w:t>
            </w:r>
          </w:p>
        </w:tc>
      </w:tr>
      <w:tr w:rsidR="00967577" w:rsidRPr="005E2177" w14:paraId="36CFE4B1"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48D0BC25" w14:textId="70AF1770"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0ACEB3AF" w14:textId="77777777" w:rsidR="00967577" w:rsidRPr="005E2177" w:rsidRDefault="00967577" w:rsidP="002C677E">
            <w:pPr>
              <w:autoSpaceDE w:val="0"/>
              <w:autoSpaceDN w:val="0"/>
              <w:adjustRightInd w:val="0"/>
              <w:rPr>
                <w:rFonts w:ascii="Arial Narrow" w:hAnsi="Arial Narrow" w:cs="Arial Narrow"/>
                <w:sz w:val="20"/>
                <w:szCs w:val="20"/>
              </w:rPr>
            </w:pPr>
            <w:r w:rsidRPr="005E2177">
              <w:rPr>
                <w:rFonts w:ascii="Arial Narrow" w:hAnsi="Arial Narrow" w:cs="Arial Narrow"/>
                <w:sz w:val="20"/>
                <w:szCs w:val="20"/>
              </w:rPr>
              <w:t xml:space="preserve">Must be treated by a rheumatologist; or </w:t>
            </w:r>
          </w:p>
        </w:tc>
      </w:tr>
      <w:tr w:rsidR="00967577" w:rsidRPr="005E2177" w14:paraId="7D81EE49"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608522E8" w14:textId="08230686"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6E98F87E" w14:textId="77777777" w:rsidR="00967577" w:rsidRPr="005E2177" w:rsidRDefault="00967577" w:rsidP="002C677E">
            <w:pPr>
              <w:autoSpaceDE w:val="0"/>
              <w:autoSpaceDN w:val="0"/>
              <w:adjustRightInd w:val="0"/>
              <w:rPr>
                <w:rFonts w:ascii="Arial Narrow" w:hAnsi="Arial Narrow" w:cs="Arial Narrow"/>
                <w:sz w:val="20"/>
                <w:szCs w:val="20"/>
              </w:rPr>
            </w:pPr>
            <w:r w:rsidRPr="005E2177">
              <w:rPr>
                <w:rFonts w:ascii="Arial Narrow" w:hAnsi="Arial Narrow" w:cs="Arial Narrow"/>
                <w:sz w:val="20"/>
                <w:szCs w:val="20"/>
              </w:rPr>
              <w:t>Must be treated by a clinical immunologist with expertise in the management of psoriatic arthritis</w:t>
            </w:r>
          </w:p>
        </w:tc>
      </w:tr>
      <w:tr w:rsidR="00967577" w:rsidRPr="005E2177" w14:paraId="01D8D7B1"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7C9F51BD" w14:textId="77777777"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070FBD2B"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AND</w:t>
            </w:r>
          </w:p>
        </w:tc>
      </w:tr>
      <w:tr w:rsidR="00967577" w:rsidRPr="005E2177" w14:paraId="712FFB0B"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76D75632" w14:textId="42BDE645"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3E12C583"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Population criteria:</w:t>
            </w:r>
          </w:p>
        </w:tc>
      </w:tr>
      <w:tr w:rsidR="00967577" w:rsidRPr="005E2177" w14:paraId="7F5A7A72"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58BEC7A3" w14:textId="0A37C9A0"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29FD8EC2" w14:textId="37E04BB6" w:rsidR="00967577" w:rsidRPr="005E2177" w:rsidRDefault="00967577" w:rsidP="002C677E">
            <w:pPr>
              <w:rPr>
                <w:rFonts w:ascii="Arial Narrow" w:hAnsi="Arial Narrow"/>
                <w:b/>
                <w:bCs/>
                <w:color w:val="333333"/>
                <w:sz w:val="20"/>
                <w:szCs w:val="20"/>
              </w:rPr>
            </w:pPr>
            <w:r w:rsidRPr="005E2177">
              <w:rPr>
                <w:rFonts w:ascii="Arial Narrow" w:hAnsi="Arial Narrow"/>
                <w:color w:val="333333"/>
                <w:sz w:val="20"/>
                <w:szCs w:val="20"/>
              </w:rPr>
              <w:t xml:space="preserve">Patient must be at least 18 years of age </w:t>
            </w:r>
          </w:p>
        </w:tc>
      </w:tr>
      <w:tr w:rsidR="00967577" w:rsidRPr="005E2177" w14:paraId="44955DF9"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4D185CAD" w14:textId="193EA976"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3AA83D07"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 xml:space="preserve">Prescribing Instructions: </w:t>
            </w:r>
          </w:p>
          <w:p w14:paraId="633A09C3" w14:textId="77777777" w:rsidR="00967577" w:rsidRPr="005E2177" w:rsidRDefault="00967577" w:rsidP="002C677E">
            <w:pPr>
              <w:rPr>
                <w:rFonts w:ascii="Arial Narrow" w:hAnsi="Arial Narrow"/>
                <w:b/>
                <w:bCs/>
                <w:color w:val="333333"/>
                <w:sz w:val="20"/>
                <w:szCs w:val="20"/>
              </w:rPr>
            </w:pPr>
            <w:r w:rsidRPr="005E2177">
              <w:rPr>
                <w:rFonts w:ascii="Arial Narrow" w:hAnsi="Arial Narrow"/>
                <w:color w:val="333333"/>
                <w:sz w:val="20"/>
                <w:szCs w:val="20"/>
              </w:rPr>
              <w:t>An adequate response to treatment is defined as:, an erythrocyte sedimentation rate (ESR) no greater than 25 mm per hour or a C-reactive protein (CRP) level no greater than 15 mg per L or either marker reduced by at least 20% from baseline; and, either of the following:, (a) a reduction in the total active (swollen and tender) joint count by at least 50% from baseline, where baseline is at least 20 active joints; or, (b) a reduction in the number of the following major active joints, from at least 4, by at least 50%:, (i) elbow, wrist, knee and/or ankle (assessed as swollen and tender); and/or, (ii) shoulder and/or hip (assessed as pain in passive movement and restriction of passive movement, where pain and limitation of movement are due to active disease and not irreversible damage such as joint destruction or bony overgrowth).</w:t>
            </w:r>
          </w:p>
        </w:tc>
      </w:tr>
      <w:tr w:rsidR="00967577" w:rsidRPr="005E2177" w14:paraId="4DDB055D"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3142F505" w14:textId="27420321" w:rsidR="00573531" w:rsidRPr="005E2177" w:rsidRDefault="00573531"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70BE994E"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 xml:space="preserve">Prescribing Instructions: </w:t>
            </w:r>
          </w:p>
          <w:p w14:paraId="5B0C3308" w14:textId="77777777" w:rsidR="00967577" w:rsidRPr="005E2177" w:rsidRDefault="00967577" w:rsidP="002C677E">
            <w:pPr>
              <w:rPr>
                <w:rFonts w:ascii="Arial Narrow" w:hAnsi="Arial Narrow"/>
                <w:color w:val="333333"/>
                <w:sz w:val="20"/>
                <w:szCs w:val="20"/>
              </w:rPr>
            </w:pPr>
            <w:r w:rsidRPr="005E2177">
              <w:rPr>
                <w:rFonts w:ascii="Arial Narrow" w:hAnsi="Arial Narrow"/>
                <w:color w:val="333333"/>
                <w:sz w:val="20"/>
                <w:szCs w:val="20"/>
              </w:rPr>
              <w:t>The authority application must be made in writing and must include:</w:t>
            </w:r>
          </w:p>
          <w:p w14:paraId="7E0E90BF" w14:textId="77777777" w:rsidR="00967577" w:rsidRPr="005E2177" w:rsidRDefault="00967577" w:rsidP="002C677E">
            <w:pPr>
              <w:rPr>
                <w:rFonts w:ascii="Arial Narrow" w:hAnsi="Arial Narrow"/>
                <w:color w:val="333333"/>
                <w:sz w:val="20"/>
                <w:szCs w:val="20"/>
              </w:rPr>
            </w:pPr>
            <w:r w:rsidRPr="005E2177">
              <w:rPr>
                <w:rFonts w:ascii="Arial Narrow" w:hAnsi="Arial Narrow"/>
                <w:color w:val="333333"/>
                <w:sz w:val="20"/>
                <w:szCs w:val="20"/>
              </w:rPr>
              <w:t xml:space="preserve">(a) a completed authority prescription form(s); and, </w:t>
            </w:r>
          </w:p>
          <w:p w14:paraId="0FD3DD3C" w14:textId="77777777" w:rsidR="00967577" w:rsidRPr="005E2177" w:rsidRDefault="00967577" w:rsidP="002C677E">
            <w:pPr>
              <w:rPr>
                <w:rFonts w:ascii="Arial Narrow" w:hAnsi="Arial Narrow"/>
                <w:b/>
                <w:bCs/>
                <w:color w:val="333333"/>
                <w:sz w:val="20"/>
                <w:szCs w:val="20"/>
              </w:rPr>
            </w:pPr>
            <w:r w:rsidRPr="005E2177">
              <w:rPr>
                <w:rFonts w:ascii="Arial Narrow" w:hAnsi="Arial Narrow"/>
                <w:color w:val="333333"/>
                <w:sz w:val="20"/>
                <w:szCs w:val="20"/>
              </w:rPr>
              <w:t>(b) a completed authority application form relevant to the indication and treatment phase (the latest version is located on the website specified in the Administrative Advice).</w:t>
            </w:r>
          </w:p>
        </w:tc>
      </w:tr>
      <w:tr w:rsidR="00967577" w:rsidRPr="005E2177" w14:paraId="1B894E76"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66698DF6" w14:textId="2A7ECFDF"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7A77F3A6"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 xml:space="preserve">Prescribing Instructions: </w:t>
            </w:r>
          </w:p>
          <w:p w14:paraId="66CB2CFA" w14:textId="77777777" w:rsidR="00967577" w:rsidRPr="005E2177" w:rsidRDefault="00967577" w:rsidP="002C677E">
            <w:pPr>
              <w:rPr>
                <w:rFonts w:ascii="Arial Narrow" w:hAnsi="Arial Narrow"/>
                <w:b/>
                <w:bCs/>
                <w:color w:val="333333"/>
                <w:sz w:val="20"/>
                <w:szCs w:val="20"/>
              </w:rPr>
            </w:pPr>
            <w:r w:rsidRPr="005E2177">
              <w:rPr>
                <w:rFonts w:ascii="Arial Narrow" w:hAnsi="Arial Narrow"/>
                <w:color w:val="333333"/>
                <w:sz w:val="20"/>
                <w:szCs w:val="20"/>
              </w:rPr>
              <w:t>An application for a patient who has received PBS-subsidised treatment with this drug and who wishes to re-commence therapy with this drug, must be accompanied by evidence of a response to the patient's most recent course of PBS-subsidised treatment with this drug, within the timeframes specified below.</w:t>
            </w:r>
          </w:p>
        </w:tc>
      </w:tr>
      <w:tr w:rsidR="00967577" w:rsidRPr="005E2177" w14:paraId="11AC8CBA"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44EFBA7D" w14:textId="5DF97168"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3BD21664"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 xml:space="preserve">Prescribing Instructions: </w:t>
            </w:r>
          </w:p>
          <w:p w14:paraId="05B1D106" w14:textId="77777777" w:rsidR="00967577" w:rsidRPr="005E2177" w:rsidRDefault="00967577" w:rsidP="002C677E">
            <w:pPr>
              <w:rPr>
                <w:rFonts w:ascii="Arial Narrow" w:hAnsi="Arial Narrow"/>
                <w:b/>
                <w:bCs/>
                <w:color w:val="333333"/>
                <w:sz w:val="20"/>
                <w:szCs w:val="20"/>
              </w:rPr>
            </w:pPr>
            <w:r w:rsidRPr="005E2177">
              <w:rPr>
                <w:rFonts w:ascii="Arial Narrow" w:hAnsi="Arial Narrow"/>
                <w:color w:val="333333"/>
                <w:sz w:val="20"/>
                <w:szCs w:val="20"/>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tc>
      </w:tr>
      <w:tr w:rsidR="00967577" w:rsidRPr="005E2177" w14:paraId="7A3FFABD"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239F823B" w14:textId="458082FD"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3953CFED"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 xml:space="preserve">Prescribing Instructions: </w:t>
            </w:r>
          </w:p>
          <w:p w14:paraId="5F5C7D4E" w14:textId="77777777" w:rsidR="00967577" w:rsidRPr="005E2177" w:rsidRDefault="00967577" w:rsidP="002C677E">
            <w:pPr>
              <w:rPr>
                <w:rFonts w:ascii="Arial Narrow" w:hAnsi="Arial Narrow"/>
                <w:b/>
                <w:bCs/>
                <w:color w:val="333333"/>
                <w:sz w:val="20"/>
                <w:szCs w:val="20"/>
              </w:rPr>
            </w:pPr>
            <w:r w:rsidRPr="005E2177">
              <w:rPr>
                <w:rFonts w:ascii="Arial Narrow" w:hAnsi="Arial Narrow"/>
                <w:color w:val="333333"/>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967577" w:rsidRPr="005E2177" w14:paraId="693C5398"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038329F6" w14:textId="6E2E0670"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59ED7B3D"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 xml:space="preserve">Prescribing Instructions: </w:t>
            </w:r>
          </w:p>
          <w:p w14:paraId="069DA7D5" w14:textId="77777777" w:rsidR="00967577" w:rsidRPr="005E2177" w:rsidRDefault="00967577" w:rsidP="002C677E">
            <w:pPr>
              <w:rPr>
                <w:rFonts w:ascii="Arial Narrow" w:hAnsi="Arial Narrow"/>
                <w:b/>
                <w:bCs/>
                <w:color w:val="333333"/>
                <w:sz w:val="20"/>
                <w:szCs w:val="20"/>
              </w:rPr>
            </w:pPr>
            <w:r w:rsidRPr="005E2177">
              <w:rPr>
                <w:rFonts w:ascii="Arial Narrow" w:hAnsi="Arial Narrow"/>
                <w:color w:val="333333"/>
                <w:sz w:val="20"/>
                <w:szCs w:val="20"/>
              </w:rPr>
              <w:t xml:space="preserve">If a patient fails to demonstrate a response to treatment with this </w:t>
            </w:r>
            <w:proofErr w:type="gramStart"/>
            <w:r w:rsidRPr="005E2177">
              <w:rPr>
                <w:rFonts w:ascii="Arial Narrow" w:hAnsi="Arial Narrow"/>
                <w:color w:val="333333"/>
                <w:sz w:val="20"/>
                <w:szCs w:val="20"/>
              </w:rPr>
              <w:t>drug</w:t>
            </w:r>
            <w:proofErr w:type="gramEnd"/>
            <w:r w:rsidRPr="005E2177">
              <w:rPr>
                <w:rFonts w:ascii="Arial Narrow" w:hAnsi="Arial Narrow"/>
                <w:color w:val="333333"/>
                <w:sz w:val="20"/>
                <w:szCs w:val="20"/>
              </w:rPr>
              <w:t xml:space="preserve">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967577" w:rsidRPr="005E2177" w14:paraId="5AD11575"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4A5FD76B" w14:textId="76B9F16B"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59D7FE9C"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 xml:space="preserve">Prescribing Instructions: </w:t>
            </w:r>
          </w:p>
          <w:p w14:paraId="4E4F7F3D" w14:textId="77777777" w:rsidR="00967577" w:rsidRPr="005E2177" w:rsidRDefault="00967577" w:rsidP="002C677E">
            <w:pPr>
              <w:rPr>
                <w:rFonts w:ascii="Arial Narrow" w:hAnsi="Arial Narrow"/>
                <w:b/>
                <w:bCs/>
                <w:color w:val="333333"/>
                <w:sz w:val="20"/>
                <w:szCs w:val="20"/>
              </w:rPr>
            </w:pPr>
            <w:r w:rsidRPr="005E2177">
              <w:rPr>
                <w:rFonts w:ascii="Arial Narrow" w:hAnsi="Arial Narrow"/>
                <w:color w:val="333333"/>
                <w:sz w:val="20"/>
                <w:szCs w:val="20"/>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r>
      <w:tr w:rsidR="00967577" w:rsidRPr="005E2177" w14:paraId="354B6AEF"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3522A160" w14:textId="0F2B47B1"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0C95B0E0"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 xml:space="preserve">Administrative Advice: </w:t>
            </w:r>
          </w:p>
          <w:p w14:paraId="65AF4269" w14:textId="5A683CB3" w:rsidR="00967577" w:rsidRPr="005E2177" w:rsidRDefault="00967577" w:rsidP="002C677E">
            <w:pPr>
              <w:rPr>
                <w:rFonts w:ascii="Arial Narrow" w:hAnsi="Arial Narrow"/>
                <w:color w:val="333333"/>
                <w:sz w:val="20"/>
                <w:szCs w:val="20"/>
              </w:rPr>
            </w:pPr>
            <w:r w:rsidRPr="005E2177">
              <w:rPr>
                <w:rFonts w:ascii="Arial Narrow" w:hAnsi="Arial Narrow"/>
                <w:color w:val="333333"/>
                <w:sz w:val="20"/>
                <w:szCs w:val="20"/>
              </w:rPr>
              <w:t>Any queries concerning the arrangements to prescribe may be directed to Services Australia on 1800 700 270 (hours of operation 8 a.m. to 5 p.m. Monday to Friday).</w:t>
            </w:r>
          </w:p>
          <w:p w14:paraId="0F93A976" w14:textId="77777777" w:rsidR="00967577" w:rsidRPr="005E2177" w:rsidRDefault="00967577" w:rsidP="002C677E">
            <w:pPr>
              <w:rPr>
                <w:rFonts w:ascii="Arial Narrow" w:hAnsi="Arial Narrow"/>
                <w:color w:val="333333"/>
                <w:sz w:val="20"/>
                <w:szCs w:val="20"/>
              </w:rPr>
            </w:pPr>
            <w:r w:rsidRPr="005E2177">
              <w:rPr>
                <w:rFonts w:ascii="Arial Narrow" w:hAnsi="Arial Narrow"/>
                <w:color w:val="333333"/>
                <w:sz w:val="20"/>
                <w:szCs w:val="20"/>
              </w:rPr>
              <w:t xml:space="preserve">Prescribing information (including Authority Application forms and other relevant documentation as applicable) is available on the Services Australia website at </w:t>
            </w:r>
            <w:hyperlink r:id="rId14" w:history="1">
              <w:r w:rsidRPr="005E2177">
                <w:rPr>
                  <w:rStyle w:val="Hyperlink"/>
                  <w:rFonts w:ascii="Arial Narrow" w:hAnsi="Arial Narrow"/>
                  <w:sz w:val="20"/>
                  <w:szCs w:val="20"/>
                </w:rPr>
                <w:t>www.servicesaustralia.gov.au</w:t>
              </w:r>
            </w:hyperlink>
            <w:r w:rsidRPr="005E2177">
              <w:rPr>
                <w:rFonts w:ascii="Arial Narrow" w:hAnsi="Arial Narrow"/>
                <w:color w:val="333333"/>
                <w:sz w:val="20"/>
                <w:szCs w:val="20"/>
              </w:rPr>
              <w:t xml:space="preserve">, </w:t>
            </w:r>
          </w:p>
          <w:p w14:paraId="2ED8DC40" w14:textId="77777777" w:rsidR="00967577" w:rsidRPr="005E2177" w:rsidRDefault="00967577" w:rsidP="002C677E">
            <w:pPr>
              <w:rPr>
                <w:rFonts w:ascii="Arial Narrow" w:hAnsi="Arial Narrow"/>
                <w:color w:val="333333"/>
                <w:sz w:val="20"/>
                <w:szCs w:val="20"/>
              </w:rPr>
            </w:pPr>
            <w:r w:rsidRPr="005E2177">
              <w:rPr>
                <w:rFonts w:ascii="Arial Narrow" w:hAnsi="Arial Narrow"/>
                <w:color w:val="333333"/>
                <w:sz w:val="20"/>
                <w:szCs w:val="20"/>
              </w:rPr>
              <w:t xml:space="preserve">Applications for authority to prescribe should be submitted online using the form upload facility in Health Professional Online Services (HPOS) at </w:t>
            </w:r>
            <w:hyperlink r:id="rId15" w:history="1">
              <w:r w:rsidRPr="005E2177">
                <w:rPr>
                  <w:rStyle w:val="Hyperlink"/>
                  <w:rFonts w:ascii="Arial Narrow" w:hAnsi="Arial Narrow"/>
                  <w:sz w:val="20"/>
                  <w:szCs w:val="20"/>
                </w:rPr>
                <w:t>www.servicesaustralia.gov.au/hpos</w:t>
              </w:r>
            </w:hyperlink>
            <w:r w:rsidRPr="005E2177">
              <w:rPr>
                <w:rFonts w:ascii="Arial Narrow" w:hAnsi="Arial Narrow"/>
                <w:color w:val="333333"/>
                <w:sz w:val="20"/>
                <w:szCs w:val="20"/>
              </w:rPr>
              <w:t xml:space="preserve">, </w:t>
            </w:r>
          </w:p>
          <w:p w14:paraId="5086488F" w14:textId="77777777" w:rsidR="00967577" w:rsidRPr="005E2177" w:rsidRDefault="00967577" w:rsidP="002C677E">
            <w:pPr>
              <w:rPr>
                <w:rFonts w:ascii="Arial Narrow" w:hAnsi="Arial Narrow"/>
                <w:color w:val="333333"/>
                <w:sz w:val="20"/>
                <w:szCs w:val="20"/>
              </w:rPr>
            </w:pPr>
            <w:r w:rsidRPr="005E2177">
              <w:rPr>
                <w:rFonts w:ascii="Arial Narrow" w:hAnsi="Arial Narrow"/>
                <w:color w:val="333333"/>
                <w:sz w:val="20"/>
                <w:szCs w:val="20"/>
              </w:rPr>
              <w:t>Or mailed to:</w:t>
            </w:r>
          </w:p>
          <w:p w14:paraId="4A9A7076" w14:textId="77777777" w:rsidR="00967577" w:rsidRPr="005E2177" w:rsidRDefault="00967577" w:rsidP="002C677E">
            <w:pPr>
              <w:rPr>
                <w:rFonts w:ascii="Arial Narrow" w:hAnsi="Arial Narrow"/>
                <w:color w:val="333333"/>
                <w:sz w:val="20"/>
                <w:szCs w:val="20"/>
              </w:rPr>
            </w:pPr>
            <w:r w:rsidRPr="005E2177">
              <w:rPr>
                <w:rFonts w:ascii="Arial Narrow" w:hAnsi="Arial Narrow"/>
                <w:color w:val="333333"/>
                <w:sz w:val="20"/>
                <w:szCs w:val="20"/>
              </w:rPr>
              <w:t xml:space="preserve">Services Australia, </w:t>
            </w:r>
          </w:p>
          <w:p w14:paraId="21D948E5" w14:textId="77777777" w:rsidR="00967577" w:rsidRPr="005E2177" w:rsidRDefault="00967577" w:rsidP="002C677E">
            <w:pPr>
              <w:rPr>
                <w:rFonts w:ascii="Arial Narrow" w:hAnsi="Arial Narrow"/>
                <w:color w:val="333333"/>
                <w:sz w:val="20"/>
                <w:szCs w:val="20"/>
              </w:rPr>
            </w:pPr>
            <w:r w:rsidRPr="005E2177">
              <w:rPr>
                <w:rFonts w:ascii="Arial Narrow" w:hAnsi="Arial Narrow"/>
                <w:color w:val="333333"/>
                <w:sz w:val="20"/>
                <w:szCs w:val="20"/>
              </w:rPr>
              <w:t xml:space="preserve">Complex Drugs, </w:t>
            </w:r>
          </w:p>
          <w:p w14:paraId="27CE2D7E" w14:textId="77777777" w:rsidR="00967577" w:rsidRPr="005E2177" w:rsidRDefault="00967577" w:rsidP="002C677E">
            <w:pPr>
              <w:rPr>
                <w:rFonts w:ascii="Arial Narrow" w:hAnsi="Arial Narrow"/>
                <w:color w:val="333333"/>
                <w:sz w:val="20"/>
                <w:szCs w:val="20"/>
              </w:rPr>
            </w:pPr>
            <w:r w:rsidRPr="005E2177">
              <w:rPr>
                <w:rFonts w:ascii="Arial Narrow" w:hAnsi="Arial Narrow"/>
                <w:color w:val="333333"/>
                <w:sz w:val="20"/>
                <w:szCs w:val="20"/>
              </w:rPr>
              <w:t xml:space="preserve">Reply Paid 9826, </w:t>
            </w:r>
          </w:p>
          <w:p w14:paraId="2BB40C5F" w14:textId="77777777" w:rsidR="00967577" w:rsidRPr="005E2177" w:rsidRDefault="00967577" w:rsidP="002C677E">
            <w:pPr>
              <w:rPr>
                <w:rFonts w:ascii="Arial Narrow" w:hAnsi="Arial Narrow"/>
                <w:b/>
                <w:bCs/>
                <w:color w:val="333333"/>
                <w:sz w:val="20"/>
                <w:szCs w:val="20"/>
              </w:rPr>
            </w:pPr>
            <w:r w:rsidRPr="005E2177">
              <w:rPr>
                <w:rFonts w:ascii="Arial Narrow" w:hAnsi="Arial Narrow"/>
                <w:color w:val="333333"/>
                <w:sz w:val="20"/>
                <w:szCs w:val="20"/>
              </w:rPr>
              <w:t>HOBART TAS 7001</w:t>
            </w:r>
          </w:p>
        </w:tc>
      </w:tr>
      <w:tr w:rsidR="00967577" w:rsidRPr="005E2177" w14:paraId="03A7C34A" w14:textId="77777777" w:rsidTr="00240E28">
        <w:tc>
          <w:tcPr>
            <w:tcW w:w="55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952252C" w14:textId="77777777"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F68D45D" w14:textId="77777777" w:rsidR="00967577" w:rsidRPr="005E2177" w:rsidRDefault="00967577" w:rsidP="002C677E">
            <w:pPr>
              <w:rPr>
                <w:rFonts w:ascii="Arial Narrow" w:hAnsi="Arial Narrow"/>
                <w:b/>
                <w:bCs/>
                <w:color w:val="333333"/>
                <w:sz w:val="20"/>
                <w:szCs w:val="20"/>
              </w:rPr>
            </w:pPr>
          </w:p>
        </w:tc>
      </w:tr>
      <w:tr w:rsidR="00967577" w:rsidRPr="005E2177" w14:paraId="34D603BF"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55FB96A5" w14:textId="77777777"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2FCF0A97"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 xml:space="preserve">Treatment Phase: </w:t>
            </w:r>
            <w:r w:rsidRPr="005E2177">
              <w:rPr>
                <w:rFonts w:ascii="Arial Narrow" w:hAnsi="Arial Narrow"/>
                <w:color w:val="333333"/>
                <w:sz w:val="20"/>
                <w:szCs w:val="20"/>
              </w:rPr>
              <w:t>Initial treatment - Initial 3 (recommencement of treatment after a break in biological medicine of more than 5 years)</w:t>
            </w:r>
          </w:p>
        </w:tc>
      </w:tr>
      <w:tr w:rsidR="00967577" w:rsidRPr="005E2177" w14:paraId="5938878E"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115A7568" w14:textId="0A6A02E8"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5656C10A"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Clinical criteria:</w:t>
            </w:r>
          </w:p>
        </w:tc>
      </w:tr>
      <w:tr w:rsidR="00967577" w:rsidRPr="005E2177" w14:paraId="72888231"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68B53424" w14:textId="1FFE3B33"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0A9E35F4" w14:textId="77777777" w:rsidR="00967577" w:rsidRPr="005E2177" w:rsidRDefault="00967577" w:rsidP="002C677E">
            <w:pPr>
              <w:rPr>
                <w:rFonts w:ascii="Arial Narrow" w:hAnsi="Arial Narrow"/>
                <w:b/>
                <w:bCs/>
                <w:color w:val="333333"/>
                <w:sz w:val="20"/>
                <w:szCs w:val="20"/>
              </w:rPr>
            </w:pPr>
            <w:r w:rsidRPr="005E2177">
              <w:rPr>
                <w:rFonts w:ascii="Arial Narrow" w:hAnsi="Arial Narrow"/>
                <w:color w:val="333333"/>
                <w:sz w:val="20"/>
                <w:szCs w:val="20"/>
              </w:rPr>
              <w:t>Patient must have previously received PBS-subsidised treatment with a biological medicine for this condition</w:t>
            </w:r>
          </w:p>
        </w:tc>
      </w:tr>
      <w:tr w:rsidR="00967577" w:rsidRPr="005E2177" w14:paraId="59F3ED39"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79F7869C" w14:textId="77777777"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27F415C5"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AND</w:t>
            </w:r>
          </w:p>
        </w:tc>
      </w:tr>
      <w:tr w:rsidR="00967577" w:rsidRPr="005E2177" w14:paraId="21AA49CD"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7DE0888F" w14:textId="7731E0DA"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29E3C286"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Clinical criteria:</w:t>
            </w:r>
          </w:p>
        </w:tc>
      </w:tr>
      <w:tr w:rsidR="00967577" w:rsidRPr="005E2177" w14:paraId="398FBB10"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1CDDFD04" w14:textId="4F8BF66B"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0B403722" w14:textId="77777777" w:rsidR="00967577" w:rsidRPr="005E2177" w:rsidRDefault="00967577" w:rsidP="002C677E">
            <w:pPr>
              <w:rPr>
                <w:rFonts w:ascii="Arial Narrow" w:hAnsi="Arial Narrow"/>
                <w:b/>
                <w:bCs/>
                <w:color w:val="333333"/>
                <w:sz w:val="20"/>
                <w:szCs w:val="20"/>
              </w:rPr>
            </w:pPr>
            <w:r w:rsidRPr="005E2177">
              <w:rPr>
                <w:rFonts w:ascii="Arial Narrow" w:hAnsi="Arial Narrow"/>
                <w:color w:val="333333"/>
                <w:sz w:val="20"/>
                <w:szCs w:val="20"/>
              </w:rPr>
              <w:t>Patient must have had a break in treatment of 5 years or more from the most recently approved PBS-subsidised biological medicine for this condition</w:t>
            </w:r>
          </w:p>
        </w:tc>
      </w:tr>
      <w:tr w:rsidR="00967577" w:rsidRPr="005E2177" w14:paraId="14408DE9"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5A0838FE" w14:textId="77777777"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087F3C7F"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AND</w:t>
            </w:r>
          </w:p>
        </w:tc>
      </w:tr>
      <w:tr w:rsidR="00967577" w:rsidRPr="005E2177" w14:paraId="5CD3DAB3"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0B90D8D9" w14:textId="47793E03"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4EDBAEF5"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Clinical criteria:</w:t>
            </w:r>
          </w:p>
        </w:tc>
      </w:tr>
      <w:tr w:rsidR="00967577" w:rsidRPr="005E2177" w14:paraId="07AFE38E"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4679DBDF" w14:textId="114CDC73"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4BF4C17E" w14:textId="77777777" w:rsidR="00967577" w:rsidRPr="005E2177" w:rsidRDefault="00967577" w:rsidP="002C677E">
            <w:pPr>
              <w:rPr>
                <w:rFonts w:ascii="Arial Narrow" w:hAnsi="Arial Narrow"/>
                <w:color w:val="333333"/>
                <w:sz w:val="20"/>
                <w:szCs w:val="20"/>
              </w:rPr>
            </w:pPr>
            <w:r w:rsidRPr="005E2177">
              <w:rPr>
                <w:rFonts w:ascii="Arial Narrow" w:hAnsi="Arial Narrow"/>
                <w:color w:val="333333"/>
                <w:sz w:val="20"/>
                <w:szCs w:val="20"/>
              </w:rPr>
              <w:t xml:space="preserve">The condition must have an elevated erythrocyte sedimentation rate (ESR) greater than 25 mm per hour; or </w:t>
            </w:r>
          </w:p>
        </w:tc>
      </w:tr>
      <w:tr w:rsidR="00967577" w:rsidRPr="005E2177" w14:paraId="24C3DC46"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01B97DD4" w14:textId="4CB1D5B5"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441CED2E" w14:textId="77777777" w:rsidR="00967577" w:rsidRPr="005E2177" w:rsidRDefault="00967577" w:rsidP="002C677E">
            <w:pPr>
              <w:rPr>
                <w:rFonts w:ascii="Arial Narrow" w:hAnsi="Arial Narrow"/>
                <w:color w:val="333333"/>
                <w:sz w:val="20"/>
                <w:szCs w:val="20"/>
              </w:rPr>
            </w:pPr>
            <w:r w:rsidRPr="005E2177">
              <w:rPr>
                <w:rFonts w:ascii="Arial Narrow" w:hAnsi="Arial Narrow"/>
                <w:color w:val="333333"/>
                <w:sz w:val="20"/>
                <w:szCs w:val="20"/>
              </w:rPr>
              <w:t>The condition must have a C-reactive protein (CRP) level greater than 15 mg per L</w:t>
            </w:r>
          </w:p>
        </w:tc>
      </w:tr>
      <w:tr w:rsidR="00967577" w:rsidRPr="005E2177" w14:paraId="61D6528F"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08E63CC1" w14:textId="77777777"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03B56AFE"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AND</w:t>
            </w:r>
          </w:p>
        </w:tc>
      </w:tr>
      <w:tr w:rsidR="00967577" w:rsidRPr="005E2177" w14:paraId="57142B06"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762A324E" w14:textId="5D6067DB"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4BD8CBED"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Clinical criteria:</w:t>
            </w:r>
          </w:p>
        </w:tc>
      </w:tr>
      <w:tr w:rsidR="00967577" w:rsidRPr="005E2177" w14:paraId="46083268"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3BC35C8C" w14:textId="567D1400"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50C238C1" w14:textId="77777777" w:rsidR="00967577" w:rsidRPr="005E2177" w:rsidRDefault="00967577" w:rsidP="002C677E">
            <w:pPr>
              <w:rPr>
                <w:rFonts w:ascii="Arial Narrow" w:hAnsi="Arial Narrow"/>
                <w:b/>
                <w:bCs/>
                <w:color w:val="333333"/>
                <w:sz w:val="20"/>
                <w:szCs w:val="20"/>
              </w:rPr>
            </w:pPr>
            <w:r w:rsidRPr="005E2177">
              <w:rPr>
                <w:rFonts w:ascii="Arial Narrow" w:hAnsi="Arial Narrow"/>
                <w:color w:val="333333"/>
                <w:sz w:val="20"/>
                <w:szCs w:val="20"/>
              </w:rPr>
              <w:t>The condition must have either (a) a total active joint count of at least 20 active (swollen and tender) joints; or (b) at least 4 active major joints</w:t>
            </w:r>
          </w:p>
        </w:tc>
      </w:tr>
      <w:tr w:rsidR="00967577" w:rsidRPr="005E2177" w14:paraId="3039F8B9"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4382A802" w14:textId="77777777"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0674219B"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AND</w:t>
            </w:r>
          </w:p>
        </w:tc>
      </w:tr>
      <w:tr w:rsidR="00967577" w:rsidRPr="005E2177" w14:paraId="5BD91F3D"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3B079AA3" w14:textId="17751CDE"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2DC4395B"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Clinical criteria:</w:t>
            </w:r>
          </w:p>
        </w:tc>
      </w:tr>
      <w:tr w:rsidR="00967577" w:rsidRPr="005E2177" w14:paraId="03BEE29C"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3390566E" w14:textId="02E13476"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435089AF" w14:textId="03AE4C3D" w:rsidR="00967577" w:rsidRPr="005E2177" w:rsidRDefault="00967577" w:rsidP="002C677E">
            <w:pPr>
              <w:rPr>
                <w:rFonts w:ascii="Arial Narrow" w:hAnsi="Arial Narrow"/>
                <w:b/>
                <w:bCs/>
                <w:color w:val="333333"/>
                <w:sz w:val="20"/>
                <w:szCs w:val="20"/>
              </w:rPr>
            </w:pPr>
            <w:r w:rsidRPr="005E2177">
              <w:rPr>
                <w:rFonts w:ascii="Arial Narrow" w:hAnsi="Arial Narrow"/>
                <w:color w:val="333333"/>
                <w:sz w:val="20"/>
                <w:szCs w:val="20"/>
              </w:rPr>
              <w:t xml:space="preserve">Patient must not receive more than </w:t>
            </w:r>
            <w:r w:rsidR="00573531">
              <w:rPr>
                <w:rFonts w:ascii="Arial Narrow" w:hAnsi="Arial Narrow"/>
                <w:color w:val="333333"/>
                <w:sz w:val="20"/>
                <w:szCs w:val="20"/>
              </w:rPr>
              <w:t>16</w:t>
            </w:r>
            <w:r w:rsidRPr="005E2177">
              <w:rPr>
                <w:rFonts w:ascii="Arial Narrow" w:hAnsi="Arial Narrow"/>
                <w:color w:val="333333"/>
                <w:sz w:val="20"/>
                <w:szCs w:val="20"/>
              </w:rPr>
              <w:t xml:space="preserve"> weeks of treatment under this restriction</w:t>
            </w:r>
          </w:p>
        </w:tc>
      </w:tr>
      <w:tr w:rsidR="00967577" w:rsidRPr="005E2177" w14:paraId="19E2E140"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4D081A97" w14:textId="77777777"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4AF0FB3B"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AND</w:t>
            </w:r>
          </w:p>
        </w:tc>
      </w:tr>
      <w:tr w:rsidR="00967577" w:rsidRPr="005E2177" w14:paraId="63645F9A"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2FE80D6C" w14:textId="14A6551B"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7457B269"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Treatment criteria:</w:t>
            </w:r>
          </w:p>
        </w:tc>
      </w:tr>
      <w:tr w:rsidR="00967577" w:rsidRPr="005E2177" w14:paraId="03E5FAFC"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1CB481B8" w14:textId="4C1BB62A"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53E14376" w14:textId="77777777" w:rsidR="00967577" w:rsidRPr="005E2177" w:rsidRDefault="00967577" w:rsidP="002C677E">
            <w:pPr>
              <w:autoSpaceDE w:val="0"/>
              <w:autoSpaceDN w:val="0"/>
              <w:adjustRightInd w:val="0"/>
              <w:rPr>
                <w:rFonts w:ascii="Arial Narrow" w:hAnsi="Arial Narrow" w:cs="Arial Narrow"/>
                <w:sz w:val="20"/>
                <w:szCs w:val="20"/>
              </w:rPr>
            </w:pPr>
            <w:r w:rsidRPr="005E2177">
              <w:rPr>
                <w:rFonts w:ascii="Arial Narrow" w:hAnsi="Arial Narrow" w:cs="Arial Narrow"/>
                <w:sz w:val="20"/>
                <w:szCs w:val="20"/>
              </w:rPr>
              <w:t xml:space="preserve">Must be treated by a rheumatologist; or </w:t>
            </w:r>
          </w:p>
        </w:tc>
      </w:tr>
      <w:tr w:rsidR="00967577" w:rsidRPr="005E2177" w14:paraId="0F210BF2"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28DA455A" w14:textId="5E28536E"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58A36330" w14:textId="77777777" w:rsidR="00967577" w:rsidRPr="005E2177" w:rsidRDefault="00967577" w:rsidP="002C677E">
            <w:pPr>
              <w:autoSpaceDE w:val="0"/>
              <w:autoSpaceDN w:val="0"/>
              <w:adjustRightInd w:val="0"/>
              <w:rPr>
                <w:rFonts w:ascii="Arial Narrow" w:hAnsi="Arial Narrow" w:cs="Arial Narrow"/>
                <w:sz w:val="20"/>
                <w:szCs w:val="20"/>
              </w:rPr>
            </w:pPr>
            <w:r w:rsidRPr="005E2177">
              <w:rPr>
                <w:rFonts w:ascii="Arial Narrow" w:hAnsi="Arial Narrow" w:cs="Arial Narrow"/>
                <w:sz w:val="20"/>
                <w:szCs w:val="20"/>
              </w:rPr>
              <w:t>Must be treated by a clinical immunologist with expertise in the management of psoriatic arthritis</w:t>
            </w:r>
          </w:p>
        </w:tc>
      </w:tr>
      <w:tr w:rsidR="00967577" w:rsidRPr="005E2177" w14:paraId="49932925"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01D3FEC9" w14:textId="77777777"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3CE21D84"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AND</w:t>
            </w:r>
          </w:p>
        </w:tc>
      </w:tr>
      <w:tr w:rsidR="00967577" w:rsidRPr="005E2177" w14:paraId="7EAEC189"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2D9E5944" w14:textId="4C158B8F"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2ED363F7"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Population criteria:</w:t>
            </w:r>
          </w:p>
        </w:tc>
      </w:tr>
      <w:tr w:rsidR="00967577" w:rsidRPr="005E2177" w14:paraId="2C47DEF3"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11439790" w14:textId="7197DCAA"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691A2D47" w14:textId="5834A483" w:rsidR="00967577" w:rsidRPr="005E2177" w:rsidRDefault="00967577" w:rsidP="002C677E">
            <w:pPr>
              <w:rPr>
                <w:rFonts w:ascii="Arial Narrow" w:hAnsi="Arial Narrow"/>
                <w:b/>
                <w:bCs/>
                <w:color w:val="333333"/>
                <w:sz w:val="20"/>
                <w:szCs w:val="20"/>
              </w:rPr>
            </w:pPr>
            <w:r w:rsidRPr="005E2177">
              <w:rPr>
                <w:rFonts w:ascii="Arial Narrow" w:hAnsi="Arial Narrow"/>
                <w:color w:val="333333"/>
                <w:sz w:val="20"/>
                <w:szCs w:val="20"/>
              </w:rPr>
              <w:t xml:space="preserve">Patient must be at least 18 years of age </w:t>
            </w:r>
          </w:p>
        </w:tc>
      </w:tr>
      <w:tr w:rsidR="00967577" w:rsidRPr="005E2177" w14:paraId="635318EA"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5C40E82B" w14:textId="69F95F4A"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411795EF"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 xml:space="preserve">Prescribing Instructions: </w:t>
            </w:r>
          </w:p>
          <w:p w14:paraId="40DFC346" w14:textId="77777777" w:rsidR="00967577" w:rsidRPr="005E2177" w:rsidRDefault="00967577" w:rsidP="002C677E">
            <w:pPr>
              <w:rPr>
                <w:rFonts w:ascii="Arial Narrow" w:hAnsi="Arial Narrow"/>
                <w:b/>
                <w:bCs/>
                <w:color w:val="333333"/>
                <w:sz w:val="20"/>
                <w:szCs w:val="20"/>
              </w:rPr>
            </w:pPr>
            <w:r w:rsidRPr="005E2177">
              <w:rPr>
                <w:rFonts w:ascii="Arial Narrow" w:hAnsi="Arial Narrow"/>
                <w:color w:val="333333"/>
                <w:sz w:val="20"/>
                <w:szCs w:val="20"/>
              </w:rPr>
              <w:t>Major joints are defined as (i) elbow, wrist, knee and/or ankle (assessed as swollen and tender); and/or (ii) shoulder and/or hip (assessed as pain in passive movement and restriction of passive movement, where pain and limitation of movement are due to active disease and not irreversible damage such as joint destruction or bony overgrowth).</w:t>
            </w:r>
          </w:p>
        </w:tc>
      </w:tr>
      <w:tr w:rsidR="00967577" w:rsidRPr="005E2177" w14:paraId="30EB13DE"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05EFA39A" w14:textId="1EC98BB4"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5563EF36"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Prescribing Instructions:</w:t>
            </w:r>
          </w:p>
          <w:p w14:paraId="75DCC128"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 xml:space="preserve"> </w:t>
            </w:r>
            <w:r w:rsidRPr="005E2177">
              <w:rPr>
                <w:rFonts w:ascii="Arial Narrow" w:hAnsi="Arial Narrow"/>
                <w:color w:val="333333"/>
                <w:sz w:val="20"/>
                <w:szCs w:val="20"/>
              </w:rPr>
              <w:t>All measures of joint count and ESR and/or CRP must be no more than 4 weeks old at the time of initial application.</w:t>
            </w:r>
          </w:p>
        </w:tc>
      </w:tr>
      <w:tr w:rsidR="00967577" w:rsidRPr="005E2177" w14:paraId="6C8EE1EA"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4565FAB3" w14:textId="3501287F"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744F70B4"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 xml:space="preserve">Prescribing Instructions: </w:t>
            </w:r>
          </w:p>
          <w:p w14:paraId="26A394C4" w14:textId="77777777" w:rsidR="00967577" w:rsidRPr="005E2177" w:rsidRDefault="00967577" w:rsidP="002C677E">
            <w:pPr>
              <w:rPr>
                <w:rFonts w:ascii="Arial Narrow" w:hAnsi="Arial Narrow"/>
                <w:b/>
                <w:bCs/>
                <w:color w:val="333333"/>
                <w:sz w:val="20"/>
                <w:szCs w:val="20"/>
              </w:rPr>
            </w:pPr>
            <w:r w:rsidRPr="005E2177">
              <w:rPr>
                <w:rFonts w:ascii="Arial Narrow" w:hAnsi="Arial Narrow"/>
                <w:color w:val="333333"/>
                <w:sz w:val="20"/>
                <w:szCs w:val="20"/>
              </w:rPr>
              <w:t>If the above requirement to demonstrate an elevated ESR or CRP cannot be met, the application must state the reasons why this criterion cannot be satisfied.</w:t>
            </w:r>
          </w:p>
        </w:tc>
      </w:tr>
      <w:tr w:rsidR="00967577" w:rsidRPr="005E2177" w14:paraId="184FC61B"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407DCF7C" w14:textId="087B5B25"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358D9D17"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 xml:space="preserve">Prescribing Instructions: </w:t>
            </w:r>
          </w:p>
          <w:p w14:paraId="14D05B6B" w14:textId="77777777" w:rsidR="00967577" w:rsidRPr="005E2177" w:rsidRDefault="00967577" w:rsidP="002C677E">
            <w:pPr>
              <w:rPr>
                <w:rFonts w:ascii="Arial Narrow" w:hAnsi="Arial Narrow"/>
                <w:b/>
                <w:bCs/>
                <w:color w:val="333333"/>
                <w:sz w:val="20"/>
                <w:szCs w:val="20"/>
              </w:rPr>
            </w:pPr>
            <w:r w:rsidRPr="005E2177">
              <w:rPr>
                <w:rFonts w:ascii="Arial Narrow" w:hAnsi="Arial Narrow"/>
                <w:color w:val="333333"/>
                <w:sz w:val="20"/>
                <w:szCs w:val="20"/>
              </w:rPr>
              <w:t>Where the baseline active joint count is based on total active joints (i.e. more than 20 active joints), response will be determined according to the reduction in the total number of active joints. Where the baseline is determined on total number of major joints, the response must be demonstrated on the total number of major joints. If only an ESR or CRP level is provided with the initial application, the same marker will be used to determine response.</w:t>
            </w:r>
          </w:p>
        </w:tc>
      </w:tr>
      <w:tr w:rsidR="00967577" w:rsidRPr="005E2177" w14:paraId="4A66A920"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476FB00E" w14:textId="45086DD0" w:rsidR="00573531" w:rsidRPr="005E2177" w:rsidRDefault="00573531"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22C1F669"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 xml:space="preserve">Prescribing Instructions: </w:t>
            </w:r>
          </w:p>
          <w:p w14:paraId="0616CE26" w14:textId="77777777" w:rsidR="00967577" w:rsidRPr="005E2177" w:rsidRDefault="00967577" w:rsidP="002C677E">
            <w:pPr>
              <w:rPr>
                <w:rFonts w:ascii="Arial Narrow" w:hAnsi="Arial Narrow"/>
                <w:color w:val="333333"/>
                <w:sz w:val="20"/>
                <w:szCs w:val="20"/>
              </w:rPr>
            </w:pPr>
            <w:r w:rsidRPr="005E2177">
              <w:rPr>
                <w:rFonts w:ascii="Arial Narrow" w:hAnsi="Arial Narrow"/>
                <w:color w:val="333333"/>
                <w:sz w:val="20"/>
                <w:szCs w:val="20"/>
              </w:rPr>
              <w:t>The authority application must be made in writing and must include:</w:t>
            </w:r>
          </w:p>
          <w:p w14:paraId="33EF3D88" w14:textId="77777777" w:rsidR="00967577" w:rsidRPr="005E2177" w:rsidRDefault="00967577" w:rsidP="002C677E">
            <w:pPr>
              <w:rPr>
                <w:rFonts w:ascii="Arial Narrow" w:hAnsi="Arial Narrow"/>
                <w:color w:val="333333"/>
                <w:sz w:val="20"/>
                <w:szCs w:val="20"/>
              </w:rPr>
            </w:pPr>
            <w:r w:rsidRPr="005E2177">
              <w:rPr>
                <w:rFonts w:ascii="Arial Narrow" w:hAnsi="Arial Narrow"/>
                <w:color w:val="333333"/>
                <w:sz w:val="20"/>
                <w:szCs w:val="20"/>
              </w:rPr>
              <w:t xml:space="preserve">(a) a completed authority prescription form(s); and, </w:t>
            </w:r>
          </w:p>
          <w:p w14:paraId="7C1846F2" w14:textId="77777777" w:rsidR="00967577" w:rsidRPr="005E2177" w:rsidRDefault="00967577" w:rsidP="002C677E">
            <w:pPr>
              <w:rPr>
                <w:rFonts w:ascii="Arial Narrow" w:hAnsi="Arial Narrow"/>
                <w:b/>
                <w:bCs/>
                <w:color w:val="333333"/>
                <w:sz w:val="20"/>
                <w:szCs w:val="20"/>
              </w:rPr>
            </w:pPr>
            <w:r w:rsidRPr="005E2177">
              <w:rPr>
                <w:rFonts w:ascii="Arial Narrow" w:hAnsi="Arial Narrow"/>
                <w:color w:val="333333"/>
                <w:sz w:val="20"/>
                <w:szCs w:val="20"/>
              </w:rPr>
              <w:t>(b) a completed authority application form relevant to the indication and treatment phase (the latest version is located on the website specified in the Administrative Advice).</w:t>
            </w:r>
          </w:p>
        </w:tc>
      </w:tr>
      <w:tr w:rsidR="00967577" w:rsidRPr="005E2177" w14:paraId="3A7D271D"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5F730A2A" w14:textId="6F699568"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5B59C96B"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 xml:space="preserve">Prescribing Instructions: </w:t>
            </w:r>
          </w:p>
          <w:p w14:paraId="1E90F7BF" w14:textId="77777777" w:rsidR="00967577" w:rsidRPr="005E2177" w:rsidRDefault="00967577" w:rsidP="002C677E">
            <w:pPr>
              <w:rPr>
                <w:rFonts w:ascii="Arial Narrow" w:hAnsi="Arial Narrow"/>
                <w:b/>
                <w:bCs/>
                <w:color w:val="333333"/>
                <w:sz w:val="20"/>
                <w:szCs w:val="20"/>
              </w:rPr>
            </w:pPr>
            <w:r w:rsidRPr="005E2177">
              <w:rPr>
                <w:rFonts w:ascii="Arial Narrow" w:hAnsi="Arial Narrow"/>
                <w:color w:val="333333"/>
                <w:sz w:val="20"/>
                <w:szCs w:val="20"/>
              </w:rPr>
              <w:t>An application for a patient who has received PBS-subsidised biological medicine treatment for this condition who wishes to recommence therapy with this drug, must be accompanied by evidence of a response to the patient's most recent course of PBS-subsidised biological medicine treatment, within the timeframes specified below.</w:t>
            </w:r>
          </w:p>
        </w:tc>
      </w:tr>
      <w:tr w:rsidR="00967577" w:rsidRPr="005E2177" w14:paraId="4CE1CE37"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6E525D5F" w14:textId="4095B69C"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68D4FD8B"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 xml:space="preserve">Prescribing Instructions: </w:t>
            </w:r>
          </w:p>
          <w:p w14:paraId="4E0FBD66" w14:textId="77777777" w:rsidR="00967577" w:rsidRPr="005E2177" w:rsidRDefault="00967577" w:rsidP="002C677E">
            <w:pPr>
              <w:rPr>
                <w:rFonts w:ascii="Arial Narrow" w:hAnsi="Arial Narrow"/>
                <w:b/>
                <w:bCs/>
                <w:color w:val="333333"/>
                <w:sz w:val="20"/>
                <w:szCs w:val="20"/>
              </w:rPr>
            </w:pPr>
            <w:r w:rsidRPr="005E2177">
              <w:rPr>
                <w:rFonts w:ascii="Arial Narrow" w:hAnsi="Arial Narrow"/>
                <w:color w:val="333333"/>
                <w:sz w:val="20"/>
                <w:szCs w:val="20"/>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tc>
      </w:tr>
      <w:tr w:rsidR="00967577" w:rsidRPr="005E2177" w14:paraId="724EFC17"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0DB0FDDC" w14:textId="4A8B5404"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5A078749"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 xml:space="preserve">Prescribing Instructions: </w:t>
            </w:r>
          </w:p>
          <w:p w14:paraId="6DDDD55B" w14:textId="77777777" w:rsidR="00967577" w:rsidRPr="005E2177" w:rsidRDefault="00967577" w:rsidP="002C677E">
            <w:pPr>
              <w:rPr>
                <w:rFonts w:ascii="Arial Narrow" w:hAnsi="Arial Narrow"/>
                <w:b/>
                <w:bCs/>
                <w:color w:val="333333"/>
                <w:sz w:val="20"/>
                <w:szCs w:val="20"/>
              </w:rPr>
            </w:pPr>
            <w:r w:rsidRPr="005E2177">
              <w:rPr>
                <w:rFonts w:ascii="Arial Narrow" w:hAnsi="Arial Narrow"/>
                <w:color w:val="333333"/>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967577" w:rsidRPr="005E2177" w14:paraId="51D1159F"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5B29FE42" w14:textId="5E22F305"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750C0636"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 xml:space="preserve">Prescribing Instructions: </w:t>
            </w:r>
          </w:p>
          <w:p w14:paraId="69573675" w14:textId="77777777" w:rsidR="00967577" w:rsidRPr="005E2177" w:rsidRDefault="00967577" w:rsidP="002C677E">
            <w:pPr>
              <w:rPr>
                <w:rFonts w:ascii="Arial Narrow" w:hAnsi="Arial Narrow"/>
                <w:b/>
                <w:bCs/>
                <w:color w:val="333333"/>
                <w:sz w:val="20"/>
                <w:szCs w:val="20"/>
              </w:rPr>
            </w:pPr>
            <w:r w:rsidRPr="005E2177">
              <w:rPr>
                <w:rFonts w:ascii="Arial Narrow" w:hAnsi="Arial Narrow"/>
                <w:color w:val="333333"/>
                <w:sz w:val="20"/>
                <w:szCs w:val="20"/>
              </w:rPr>
              <w:t xml:space="preserve">If a patient fails to demonstrate a response to treatment with this </w:t>
            </w:r>
            <w:proofErr w:type="gramStart"/>
            <w:r w:rsidRPr="005E2177">
              <w:rPr>
                <w:rFonts w:ascii="Arial Narrow" w:hAnsi="Arial Narrow"/>
                <w:color w:val="333333"/>
                <w:sz w:val="20"/>
                <w:szCs w:val="20"/>
              </w:rPr>
              <w:t>drug</w:t>
            </w:r>
            <w:proofErr w:type="gramEnd"/>
            <w:r w:rsidRPr="005E2177">
              <w:rPr>
                <w:rFonts w:ascii="Arial Narrow" w:hAnsi="Arial Narrow"/>
                <w:color w:val="333333"/>
                <w:sz w:val="20"/>
                <w:szCs w:val="20"/>
              </w:rPr>
              <w:t xml:space="preserve">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967577" w:rsidRPr="005E2177" w14:paraId="332EAC30"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2FF442EB" w14:textId="7A2281FD"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48B7F6E8"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 xml:space="preserve">Administrative Advice: </w:t>
            </w:r>
          </w:p>
          <w:p w14:paraId="5487EB56" w14:textId="684810F3" w:rsidR="00967577" w:rsidRPr="005E2177" w:rsidRDefault="00967577" w:rsidP="002C677E">
            <w:pPr>
              <w:rPr>
                <w:rFonts w:ascii="Arial Narrow" w:hAnsi="Arial Narrow"/>
                <w:color w:val="333333"/>
                <w:sz w:val="20"/>
                <w:szCs w:val="20"/>
              </w:rPr>
            </w:pPr>
            <w:r w:rsidRPr="005E2177">
              <w:rPr>
                <w:rFonts w:ascii="Arial Narrow" w:hAnsi="Arial Narrow"/>
                <w:color w:val="333333"/>
                <w:sz w:val="20"/>
                <w:szCs w:val="20"/>
              </w:rPr>
              <w:t>Any queries concerning the arrangements to prescribe may be directed to Services Australia on 1800 700 270 (hours of operation 8 a.m. to 5 p.m. Monday to Friday).</w:t>
            </w:r>
          </w:p>
          <w:p w14:paraId="7D5C1FE6" w14:textId="77777777" w:rsidR="00967577" w:rsidRPr="005E2177" w:rsidRDefault="00967577" w:rsidP="002C677E">
            <w:pPr>
              <w:rPr>
                <w:rFonts w:ascii="Arial Narrow" w:hAnsi="Arial Narrow"/>
                <w:color w:val="333333"/>
                <w:sz w:val="20"/>
                <w:szCs w:val="20"/>
              </w:rPr>
            </w:pPr>
            <w:r w:rsidRPr="005E2177">
              <w:rPr>
                <w:rFonts w:ascii="Arial Narrow" w:hAnsi="Arial Narrow"/>
                <w:color w:val="333333"/>
                <w:sz w:val="20"/>
                <w:szCs w:val="20"/>
              </w:rPr>
              <w:t xml:space="preserve">Prescribing information (including Authority Application forms and other relevant documentation as applicable) is available on the Services Australia website at </w:t>
            </w:r>
            <w:hyperlink r:id="rId16" w:history="1">
              <w:r w:rsidRPr="005E2177">
                <w:rPr>
                  <w:rStyle w:val="Hyperlink"/>
                  <w:rFonts w:ascii="Arial Narrow" w:hAnsi="Arial Narrow"/>
                  <w:sz w:val="20"/>
                  <w:szCs w:val="20"/>
                </w:rPr>
                <w:t>www.servicesaustralia.gov.au</w:t>
              </w:r>
            </w:hyperlink>
            <w:r w:rsidRPr="005E2177">
              <w:rPr>
                <w:rFonts w:ascii="Arial Narrow" w:hAnsi="Arial Narrow"/>
                <w:color w:val="333333"/>
                <w:sz w:val="20"/>
                <w:szCs w:val="20"/>
              </w:rPr>
              <w:t xml:space="preserve">, </w:t>
            </w:r>
          </w:p>
          <w:p w14:paraId="5240BCB4" w14:textId="77777777" w:rsidR="00967577" w:rsidRPr="005E2177" w:rsidRDefault="00967577" w:rsidP="002C677E">
            <w:pPr>
              <w:rPr>
                <w:rFonts w:ascii="Arial Narrow" w:hAnsi="Arial Narrow"/>
                <w:color w:val="333333"/>
                <w:sz w:val="20"/>
                <w:szCs w:val="20"/>
              </w:rPr>
            </w:pPr>
            <w:r w:rsidRPr="005E2177">
              <w:rPr>
                <w:rFonts w:ascii="Arial Narrow" w:hAnsi="Arial Narrow"/>
                <w:color w:val="333333"/>
                <w:sz w:val="20"/>
                <w:szCs w:val="20"/>
              </w:rPr>
              <w:t xml:space="preserve">Applications for authority to prescribe should be submitted online using the form upload facility in Health Professional Online Services (HPOS) at </w:t>
            </w:r>
            <w:hyperlink r:id="rId17" w:history="1">
              <w:r w:rsidRPr="005E2177">
                <w:rPr>
                  <w:rStyle w:val="Hyperlink"/>
                  <w:rFonts w:ascii="Arial Narrow" w:hAnsi="Arial Narrow"/>
                  <w:sz w:val="20"/>
                  <w:szCs w:val="20"/>
                </w:rPr>
                <w:t>www.servicesaustralia.gov.au/hpos</w:t>
              </w:r>
            </w:hyperlink>
            <w:r w:rsidRPr="005E2177">
              <w:rPr>
                <w:rFonts w:ascii="Arial Narrow" w:hAnsi="Arial Narrow"/>
                <w:color w:val="333333"/>
                <w:sz w:val="20"/>
                <w:szCs w:val="20"/>
              </w:rPr>
              <w:t xml:space="preserve">, </w:t>
            </w:r>
          </w:p>
          <w:p w14:paraId="189432DD" w14:textId="77777777" w:rsidR="00967577" w:rsidRPr="005E2177" w:rsidRDefault="00967577" w:rsidP="002C677E">
            <w:pPr>
              <w:rPr>
                <w:rFonts w:ascii="Arial Narrow" w:hAnsi="Arial Narrow"/>
                <w:color w:val="333333"/>
                <w:sz w:val="20"/>
                <w:szCs w:val="20"/>
              </w:rPr>
            </w:pPr>
            <w:r w:rsidRPr="005E2177">
              <w:rPr>
                <w:rFonts w:ascii="Arial Narrow" w:hAnsi="Arial Narrow"/>
                <w:color w:val="333333"/>
                <w:sz w:val="20"/>
                <w:szCs w:val="20"/>
              </w:rPr>
              <w:t>Or mailed to:</w:t>
            </w:r>
          </w:p>
          <w:p w14:paraId="08700A3A" w14:textId="77777777" w:rsidR="00967577" w:rsidRPr="005E2177" w:rsidRDefault="00967577" w:rsidP="002C677E">
            <w:pPr>
              <w:rPr>
                <w:rFonts w:ascii="Arial Narrow" w:hAnsi="Arial Narrow"/>
                <w:color w:val="333333"/>
                <w:sz w:val="20"/>
                <w:szCs w:val="20"/>
              </w:rPr>
            </w:pPr>
            <w:r w:rsidRPr="005E2177">
              <w:rPr>
                <w:rFonts w:ascii="Arial Narrow" w:hAnsi="Arial Narrow"/>
                <w:color w:val="333333"/>
                <w:sz w:val="20"/>
                <w:szCs w:val="20"/>
              </w:rPr>
              <w:t xml:space="preserve">Services Australia, </w:t>
            </w:r>
          </w:p>
          <w:p w14:paraId="4D45008D" w14:textId="77777777" w:rsidR="00967577" w:rsidRPr="005E2177" w:rsidRDefault="00967577" w:rsidP="002C677E">
            <w:pPr>
              <w:rPr>
                <w:rFonts w:ascii="Arial Narrow" w:hAnsi="Arial Narrow"/>
                <w:color w:val="333333"/>
                <w:sz w:val="20"/>
                <w:szCs w:val="20"/>
              </w:rPr>
            </w:pPr>
            <w:r w:rsidRPr="005E2177">
              <w:rPr>
                <w:rFonts w:ascii="Arial Narrow" w:hAnsi="Arial Narrow"/>
                <w:color w:val="333333"/>
                <w:sz w:val="20"/>
                <w:szCs w:val="20"/>
              </w:rPr>
              <w:t xml:space="preserve">Complex Drugs, </w:t>
            </w:r>
          </w:p>
          <w:p w14:paraId="6B3304E0" w14:textId="77777777" w:rsidR="00967577" w:rsidRPr="005E2177" w:rsidRDefault="00967577" w:rsidP="002C677E">
            <w:pPr>
              <w:rPr>
                <w:rFonts w:ascii="Arial Narrow" w:hAnsi="Arial Narrow"/>
                <w:color w:val="333333"/>
                <w:sz w:val="20"/>
                <w:szCs w:val="20"/>
              </w:rPr>
            </w:pPr>
            <w:r w:rsidRPr="005E2177">
              <w:rPr>
                <w:rFonts w:ascii="Arial Narrow" w:hAnsi="Arial Narrow"/>
                <w:color w:val="333333"/>
                <w:sz w:val="20"/>
                <w:szCs w:val="20"/>
              </w:rPr>
              <w:t xml:space="preserve">Reply Paid 9826, </w:t>
            </w:r>
          </w:p>
          <w:p w14:paraId="1F4EF58C" w14:textId="77777777" w:rsidR="00967577" w:rsidRPr="005E2177" w:rsidRDefault="00967577" w:rsidP="002C677E">
            <w:pPr>
              <w:rPr>
                <w:rFonts w:ascii="Arial Narrow" w:hAnsi="Arial Narrow"/>
                <w:b/>
                <w:bCs/>
                <w:color w:val="333333"/>
                <w:sz w:val="20"/>
                <w:szCs w:val="20"/>
              </w:rPr>
            </w:pPr>
            <w:r w:rsidRPr="005E2177">
              <w:rPr>
                <w:rFonts w:ascii="Arial Narrow" w:hAnsi="Arial Narrow"/>
                <w:color w:val="333333"/>
                <w:sz w:val="20"/>
                <w:szCs w:val="20"/>
              </w:rPr>
              <w:t>HOBART TAS 7001</w:t>
            </w:r>
          </w:p>
        </w:tc>
      </w:tr>
      <w:tr w:rsidR="00967577" w:rsidRPr="005E2177" w14:paraId="506EAFC3" w14:textId="77777777" w:rsidTr="00240E28">
        <w:tc>
          <w:tcPr>
            <w:tcW w:w="55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0908D59" w14:textId="77777777"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48B55FD" w14:textId="77777777" w:rsidR="00967577" w:rsidRPr="005E2177" w:rsidRDefault="00967577" w:rsidP="002C677E">
            <w:pPr>
              <w:rPr>
                <w:rFonts w:ascii="Arial Narrow" w:hAnsi="Arial Narrow"/>
                <w:b/>
                <w:bCs/>
                <w:color w:val="333333"/>
                <w:sz w:val="20"/>
                <w:szCs w:val="20"/>
              </w:rPr>
            </w:pPr>
          </w:p>
        </w:tc>
      </w:tr>
      <w:tr w:rsidR="00967577" w:rsidRPr="005E2177" w14:paraId="081E8129"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4159B869" w14:textId="77777777"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2A04758E"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 xml:space="preserve">Treatment Phase: </w:t>
            </w:r>
            <w:r w:rsidRPr="005E2177">
              <w:rPr>
                <w:rFonts w:ascii="Arial Narrow" w:hAnsi="Arial Narrow"/>
                <w:color w:val="333333"/>
                <w:sz w:val="20"/>
                <w:szCs w:val="20"/>
              </w:rPr>
              <w:t>Initial 1 (new patient) or Initial 2 (change or recommencement of treatment after a break in biological medicine of less than 5 years) or Initial 3 (recommencement of treatment after a break in biological medicine of more than 5 years) - balance of supply</w:t>
            </w:r>
          </w:p>
        </w:tc>
      </w:tr>
      <w:tr w:rsidR="00967577" w:rsidRPr="005E2177" w14:paraId="312775B4"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154DBAB1" w14:textId="77777777"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61FFE600"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Clinical criteria:</w:t>
            </w:r>
          </w:p>
        </w:tc>
      </w:tr>
      <w:tr w:rsidR="00967577" w:rsidRPr="005E2177" w14:paraId="74E3397D" w14:textId="77777777" w:rsidTr="00240E28">
        <w:tc>
          <w:tcPr>
            <w:tcW w:w="553" w:type="pct"/>
            <w:tcBorders>
              <w:top w:val="single" w:sz="4" w:space="0" w:color="auto"/>
              <w:left w:val="single" w:sz="4" w:space="0" w:color="auto"/>
              <w:bottom w:val="single" w:sz="4" w:space="0" w:color="auto"/>
              <w:right w:val="single" w:sz="4" w:space="0" w:color="auto"/>
            </w:tcBorders>
          </w:tcPr>
          <w:p w14:paraId="62BA5574" w14:textId="77777777" w:rsidR="00967577" w:rsidRPr="005E2177" w:rsidRDefault="00967577" w:rsidP="002C677E">
            <w:pP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216D3050" w14:textId="617CC67A" w:rsidR="00967577" w:rsidRPr="005E2177" w:rsidRDefault="00967577" w:rsidP="002C677E">
            <w:pPr>
              <w:rPr>
                <w:rFonts w:ascii="Arial Narrow" w:hAnsi="Arial Narrow"/>
                <w:color w:val="333333"/>
                <w:sz w:val="20"/>
                <w:szCs w:val="20"/>
              </w:rPr>
            </w:pPr>
            <w:r w:rsidRPr="005E2177">
              <w:rPr>
                <w:rFonts w:ascii="Arial Narrow" w:hAnsi="Arial Narrow"/>
                <w:color w:val="333333"/>
                <w:sz w:val="20"/>
                <w:szCs w:val="20"/>
              </w:rPr>
              <w:t xml:space="preserve">Patient must have received insufficient therapy with this drug for this condition under the Initial 1 (new patient) restriction to complete </w:t>
            </w:r>
            <w:r w:rsidR="00573531">
              <w:rPr>
                <w:rFonts w:ascii="Arial Narrow" w:hAnsi="Arial Narrow"/>
                <w:color w:val="333333"/>
                <w:sz w:val="20"/>
                <w:szCs w:val="20"/>
              </w:rPr>
              <w:t>16</w:t>
            </w:r>
            <w:r w:rsidRPr="005E2177">
              <w:rPr>
                <w:rFonts w:ascii="Arial Narrow" w:hAnsi="Arial Narrow"/>
                <w:color w:val="333333"/>
                <w:sz w:val="20"/>
                <w:szCs w:val="20"/>
              </w:rPr>
              <w:t xml:space="preserve"> weeks treatment; or </w:t>
            </w:r>
          </w:p>
        </w:tc>
      </w:tr>
      <w:tr w:rsidR="00967577" w:rsidRPr="005E2177" w14:paraId="240DE1B0" w14:textId="77777777" w:rsidTr="00240E28">
        <w:tc>
          <w:tcPr>
            <w:tcW w:w="553" w:type="pct"/>
            <w:tcBorders>
              <w:top w:val="single" w:sz="4" w:space="0" w:color="auto"/>
              <w:left w:val="single" w:sz="4" w:space="0" w:color="auto"/>
              <w:bottom w:val="single" w:sz="4" w:space="0" w:color="auto"/>
              <w:right w:val="single" w:sz="4" w:space="0" w:color="auto"/>
            </w:tcBorders>
          </w:tcPr>
          <w:p w14:paraId="4C2154BD" w14:textId="296F6BF9"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35BCB8E4" w14:textId="74C9871E" w:rsidR="00967577" w:rsidRPr="005E2177" w:rsidRDefault="00967577" w:rsidP="002C677E">
            <w:pPr>
              <w:rPr>
                <w:rFonts w:ascii="Arial Narrow" w:hAnsi="Arial Narrow"/>
                <w:color w:val="333333"/>
                <w:sz w:val="20"/>
                <w:szCs w:val="20"/>
              </w:rPr>
            </w:pPr>
            <w:r w:rsidRPr="005E2177">
              <w:rPr>
                <w:rFonts w:ascii="Arial Narrow" w:hAnsi="Arial Narrow"/>
                <w:color w:val="333333"/>
                <w:sz w:val="20"/>
                <w:szCs w:val="20"/>
              </w:rPr>
              <w:t xml:space="preserve">Patient must have received insufficient therapy with this drug for this condition under the Initial 2 (change or recommencement of treatment after a break in biological medicine of less than 5 years) restriction to complete </w:t>
            </w:r>
            <w:r w:rsidR="00573531">
              <w:rPr>
                <w:rFonts w:ascii="Arial Narrow" w:hAnsi="Arial Narrow"/>
                <w:color w:val="333333"/>
                <w:sz w:val="20"/>
                <w:szCs w:val="20"/>
              </w:rPr>
              <w:t>16</w:t>
            </w:r>
            <w:r w:rsidRPr="005E2177">
              <w:rPr>
                <w:rFonts w:ascii="Arial Narrow" w:hAnsi="Arial Narrow"/>
                <w:color w:val="333333"/>
                <w:sz w:val="20"/>
                <w:szCs w:val="20"/>
              </w:rPr>
              <w:t xml:space="preserve"> weeks treatment; or </w:t>
            </w:r>
          </w:p>
        </w:tc>
      </w:tr>
      <w:tr w:rsidR="00967577" w:rsidRPr="005E2177" w14:paraId="20C22087" w14:textId="77777777" w:rsidTr="00240E28">
        <w:tc>
          <w:tcPr>
            <w:tcW w:w="553" w:type="pct"/>
            <w:tcBorders>
              <w:top w:val="single" w:sz="4" w:space="0" w:color="auto"/>
              <w:left w:val="single" w:sz="4" w:space="0" w:color="auto"/>
              <w:bottom w:val="single" w:sz="4" w:space="0" w:color="auto"/>
              <w:right w:val="single" w:sz="4" w:space="0" w:color="auto"/>
            </w:tcBorders>
          </w:tcPr>
          <w:p w14:paraId="4397F521" w14:textId="328DF3A5"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37A3C4D0" w14:textId="7F9E1FDB" w:rsidR="00967577" w:rsidRPr="005E2177" w:rsidRDefault="00967577" w:rsidP="002C677E">
            <w:pPr>
              <w:rPr>
                <w:rFonts w:ascii="Arial Narrow" w:hAnsi="Arial Narrow"/>
                <w:color w:val="333333"/>
                <w:sz w:val="20"/>
                <w:szCs w:val="20"/>
              </w:rPr>
            </w:pPr>
            <w:r w:rsidRPr="005E2177">
              <w:rPr>
                <w:rFonts w:ascii="Arial Narrow" w:hAnsi="Arial Narrow"/>
                <w:color w:val="333333"/>
                <w:sz w:val="20"/>
                <w:szCs w:val="20"/>
              </w:rPr>
              <w:t xml:space="preserve">Patient must have received insufficient therapy with this drug for this condition under the Initial 3 (recommencement of treatment after a break in biological medicine of more than 5 years) restriction to complete </w:t>
            </w:r>
            <w:r w:rsidR="00573531">
              <w:rPr>
                <w:rFonts w:ascii="Arial Narrow" w:hAnsi="Arial Narrow"/>
                <w:color w:val="333333"/>
                <w:sz w:val="20"/>
                <w:szCs w:val="20"/>
              </w:rPr>
              <w:t>16</w:t>
            </w:r>
            <w:r w:rsidRPr="005E2177">
              <w:rPr>
                <w:rFonts w:ascii="Arial Narrow" w:hAnsi="Arial Narrow"/>
                <w:color w:val="333333"/>
                <w:sz w:val="20"/>
                <w:szCs w:val="20"/>
              </w:rPr>
              <w:t xml:space="preserve"> weeks treatment</w:t>
            </w:r>
          </w:p>
        </w:tc>
      </w:tr>
      <w:tr w:rsidR="00967577" w:rsidRPr="005E2177" w14:paraId="13BDCF4C"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5266A106" w14:textId="77777777"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463C560B"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AND</w:t>
            </w:r>
          </w:p>
        </w:tc>
      </w:tr>
      <w:tr w:rsidR="00967577" w:rsidRPr="005E2177" w14:paraId="7508202C"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73C64E47" w14:textId="0AC8BFA9"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19B5F86D"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Clinical criteria:</w:t>
            </w:r>
          </w:p>
        </w:tc>
      </w:tr>
      <w:tr w:rsidR="00967577" w:rsidRPr="005E2177" w14:paraId="7847B647"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53C72920" w14:textId="526D6B25"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1A819542" w14:textId="1AA631FC" w:rsidR="00967577" w:rsidRPr="005E2177" w:rsidRDefault="00967577" w:rsidP="002C677E">
            <w:pPr>
              <w:rPr>
                <w:rFonts w:ascii="Arial Narrow" w:hAnsi="Arial Narrow"/>
                <w:color w:val="333333"/>
                <w:sz w:val="20"/>
                <w:szCs w:val="20"/>
              </w:rPr>
            </w:pPr>
            <w:r w:rsidRPr="005E2177">
              <w:rPr>
                <w:rFonts w:ascii="Arial Narrow" w:hAnsi="Arial Narrow"/>
                <w:color w:val="333333"/>
                <w:sz w:val="20"/>
                <w:szCs w:val="20"/>
              </w:rPr>
              <w:t xml:space="preserve">The treatment must provide no more than the balance of up to </w:t>
            </w:r>
            <w:r w:rsidR="00573531">
              <w:rPr>
                <w:rFonts w:ascii="Arial Narrow" w:hAnsi="Arial Narrow"/>
                <w:color w:val="333333"/>
                <w:sz w:val="20"/>
                <w:szCs w:val="20"/>
              </w:rPr>
              <w:t>16</w:t>
            </w:r>
            <w:r w:rsidRPr="005E2177">
              <w:rPr>
                <w:rFonts w:ascii="Arial Narrow" w:hAnsi="Arial Narrow"/>
                <w:color w:val="333333"/>
                <w:sz w:val="20"/>
                <w:szCs w:val="20"/>
              </w:rPr>
              <w:t xml:space="preserve"> weeks treatment available under the above restrictions</w:t>
            </w:r>
          </w:p>
        </w:tc>
      </w:tr>
      <w:tr w:rsidR="00967577" w:rsidRPr="005E2177" w14:paraId="4FA83FEE"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7228AF8F" w14:textId="77777777"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1DE40533"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AND</w:t>
            </w:r>
          </w:p>
        </w:tc>
      </w:tr>
      <w:tr w:rsidR="00967577" w:rsidRPr="005E2177" w14:paraId="0D89AEAB"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04A97577" w14:textId="4AB43F7C"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740C0E33"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Treatment criteria:</w:t>
            </w:r>
          </w:p>
        </w:tc>
      </w:tr>
      <w:tr w:rsidR="00967577" w:rsidRPr="005E2177" w14:paraId="296F5C8A"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75FE9E93" w14:textId="7FF4581A"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4416600B" w14:textId="77777777" w:rsidR="00967577" w:rsidRPr="005E2177" w:rsidRDefault="00967577" w:rsidP="002C677E">
            <w:pPr>
              <w:autoSpaceDE w:val="0"/>
              <w:autoSpaceDN w:val="0"/>
              <w:adjustRightInd w:val="0"/>
              <w:rPr>
                <w:rFonts w:ascii="Arial Narrow" w:hAnsi="Arial Narrow" w:cs="Arial Narrow"/>
                <w:sz w:val="20"/>
                <w:szCs w:val="20"/>
              </w:rPr>
            </w:pPr>
            <w:r w:rsidRPr="005E2177">
              <w:rPr>
                <w:rFonts w:ascii="Arial Narrow" w:hAnsi="Arial Narrow" w:cs="Arial Narrow"/>
                <w:sz w:val="20"/>
                <w:szCs w:val="20"/>
              </w:rPr>
              <w:t xml:space="preserve">Must be treated by a rheumatologist; or </w:t>
            </w:r>
          </w:p>
        </w:tc>
      </w:tr>
      <w:tr w:rsidR="00967577" w:rsidRPr="005E2177" w14:paraId="1C7D81DC"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303DEC1B" w14:textId="5BE4D867"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529796B5" w14:textId="77777777" w:rsidR="00967577" w:rsidRPr="005E2177" w:rsidRDefault="00967577" w:rsidP="002C677E">
            <w:pPr>
              <w:autoSpaceDE w:val="0"/>
              <w:autoSpaceDN w:val="0"/>
              <w:adjustRightInd w:val="0"/>
              <w:rPr>
                <w:rFonts w:ascii="Arial Narrow" w:hAnsi="Arial Narrow" w:cs="Arial Narrow"/>
                <w:sz w:val="20"/>
                <w:szCs w:val="20"/>
              </w:rPr>
            </w:pPr>
            <w:r w:rsidRPr="005E2177">
              <w:rPr>
                <w:rFonts w:ascii="Arial Narrow" w:hAnsi="Arial Narrow" w:cs="Arial Narrow"/>
                <w:sz w:val="20"/>
                <w:szCs w:val="20"/>
              </w:rPr>
              <w:t>Must be treated by a clinical immunologist with expertise in the management of psoriatic arthritis</w:t>
            </w:r>
          </w:p>
        </w:tc>
      </w:tr>
      <w:tr w:rsidR="00967577" w:rsidRPr="005E2177" w14:paraId="7C575768" w14:textId="77777777" w:rsidTr="00240E28">
        <w:tc>
          <w:tcPr>
            <w:tcW w:w="553" w:type="pct"/>
            <w:tcBorders>
              <w:top w:val="single" w:sz="4" w:space="0" w:color="auto"/>
              <w:left w:val="single" w:sz="4" w:space="0" w:color="auto"/>
              <w:bottom w:val="single" w:sz="4" w:space="0" w:color="auto"/>
              <w:right w:val="single" w:sz="4" w:space="0" w:color="auto"/>
            </w:tcBorders>
            <w:vAlign w:val="center"/>
          </w:tcPr>
          <w:p w14:paraId="74C9FBFC" w14:textId="69C60DBB" w:rsidR="00967577" w:rsidRPr="005E2177" w:rsidRDefault="00967577" w:rsidP="002C677E">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03D4EFFB"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 xml:space="preserve">Administrative Advice: </w:t>
            </w:r>
          </w:p>
          <w:p w14:paraId="1B07265C" w14:textId="28B36079" w:rsidR="00967577" w:rsidRPr="005E2177" w:rsidRDefault="00967577" w:rsidP="002C677E">
            <w:pPr>
              <w:rPr>
                <w:rFonts w:ascii="Arial Narrow" w:hAnsi="Arial Narrow"/>
                <w:b/>
                <w:bCs/>
                <w:color w:val="333333"/>
                <w:sz w:val="20"/>
                <w:szCs w:val="20"/>
              </w:rPr>
            </w:pPr>
            <w:r w:rsidRPr="005E2177">
              <w:rPr>
                <w:rFonts w:ascii="Arial Narrow" w:hAnsi="Arial Narrow"/>
                <w:color w:val="333333"/>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bl>
    <w:p w14:paraId="21832984" w14:textId="14B9714A" w:rsidR="00967577" w:rsidRPr="005E2177" w:rsidRDefault="00967577" w:rsidP="00967577">
      <w:pPr>
        <w:rPr>
          <w:rFonts w:ascii="Arial Narrow" w:hAnsi="Arial Narrow"/>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7"/>
        <w:gridCol w:w="8020"/>
      </w:tblGrid>
      <w:tr w:rsidR="00967577" w:rsidRPr="005E2177" w14:paraId="030A874D" w14:textId="77777777" w:rsidTr="00240E28">
        <w:tc>
          <w:tcPr>
            <w:tcW w:w="553" w:type="pct"/>
            <w:tcBorders>
              <w:top w:val="single" w:sz="4" w:space="0" w:color="auto"/>
              <w:left w:val="single" w:sz="4" w:space="0" w:color="auto"/>
              <w:bottom w:val="single" w:sz="4" w:space="0" w:color="auto"/>
              <w:right w:val="single" w:sz="4" w:space="0" w:color="auto"/>
            </w:tcBorders>
          </w:tcPr>
          <w:p w14:paraId="3FDC69DF" w14:textId="77777777" w:rsidR="00967577" w:rsidRPr="005E2177" w:rsidRDefault="00967577" w:rsidP="002C677E">
            <w:pPr>
              <w:jc w:val="center"/>
              <w:rPr>
                <w:rFonts w:ascii="Arial Narrow" w:hAnsi="Arial Narrow"/>
                <w:b/>
                <w:sz w:val="20"/>
                <w:szCs w:val="20"/>
              </w:rPr>
            </w:pPr>
            <w:r w:rsidRPr="005E2177">
              <w:rPr>
                <w:rFonts w:ascii="Arial Narrow" w:hAnsi="Arial Narrow"/>
                <w:b/>
                <w:sz w:val="20"/>
                <w:szCs w:val="20"/>
              </w:rPr>
              <w:t>Concept ID</w:t>
            </w:r>
          </w:p>
        </w:tc>
        <w:tc>
          <w:tcPr>
            <w:tcW w:w="4447" w:type="pct"/>
            <w:tcBorders>
              <w:top w:val="single" w:sz="4" w:space="0" w:color="auto"/>
              <w:left w:val="single" w:sz="4" w:space="0" w:color="auto"/>
              <w:bottom w:val="single" w:sz="4" w:space="0" w:color="auto"/>
              <w:right w:val="single" w:sz="4" w:space="0" w:color="auto"/>
            </w:tcBorders>
          </w:tcPr>
          <w:p w14:paraId="05D65D57" w14:textId="77777777" w:rsidR="00967577" w:rsidRPr="005E2177" w:rsidRDefault="00967577" w:rsidP="002C677E">
            <w:pPr>
              <w:rPr>
                <w:rFonts w:ascii="Arial Narrow" w:hAnsi="Arial Narrow"/>
                <w:sz w:val="20"/>
                <w:szCs w:val="20"/>
              </w:rPr>
            </w:pPr>
            <w:r w:rsidRPr="005E2177">
              <w:rPr>
                <w:rFonts w:ascii="Arial Narrow" w:hAnsi="Arial Narrow"/>
                <w:b/>
                <w:sz w:val="20"/>
                <w:szCs w:val="20"/>
              </w:rPr>
              <w:t xml:space="preserve">Category / Program:   </w:t>
            </w:r>
          </w:p>
          <w:p w14:paraId="0BC79778" w14:textId="77777777" w:rsidR="00967577" w:rsidRPr="005E2177" w:rsidRDefault="00967577" w:rsidP="002C677E">
            <w:pPr>
              <w:rPr>
                <w:rFonts w:ascii="Arial Narrow" w:hAnsi="Arial Narrow"/>
                <w:sz w:val="20"/>
                <w:szCs w:val="20"/>
              </w:rPr>
            </w:pPr>
            <w:r w:rsidRPr="005E2177">
              <w:rPr>
                <w:rFonts w:ascii="Arial Narrow" w:hAnsi="Arial Narrow"/>
                <w:sz w:val="20"/>
                <w:szCs w:val="20"/>
              </w:rPr>
              <w:t xml:space="preserve">GENERAL – General Schedule (Code GE) </w:t>
            </w:r>
          </w:p>
        </w:tc>
      </w:tr>
      <w:tr w:rsidR="00967577" w:rsidRPr="005E2177" w14:paraId="4C0E7D74" w14:textId="77777777" w:rsidTr="00240E28">
        <w:trPr>
          <w:trHeight w:val="155"/>
        </w:trPr>
        <w:tc>
          <w:tcPr>
            <w:tcW w:w="553" w:type="pct"/>
            <w:tcBorders>
              <w:top w:val="single" w:sz="4" w:space="0" w:color="auto"/>
              <w:left w:val="single" w:sz="4" w:space="0" w:color="auto"/>
              <w:bottom w:val="single" w:sz="4" w:space="0" w:color="auto"/>
              <w:right w:val="single" w:sz="4" w:space="0" w:color="auto"/>
            </w:tcBorders>
          </w:tcPr>
          <w:p w14:paraId="45F54AFF" w14:textId="77777777" w:rsidR="00967577" w:rsidRPr="005E2177" w:rsidRDefault="00967577" w:rsidP="002C677E">
            <w:pPr>
              <w:rPr>
                <w:rFonts w:ascii="Arial Narrow" w:hAnsi="Arial Narrow"/>
                <w:sz w:val="20"/>
                <w:szCs w:val="20"/>
              </w:rPr>
            </w:pPr>
          </w:p>
        </w:tc>
        <w:tc>
          <w:tcPr>
            <w:tcW w:w="4447" w:type="pct"/>
            <w:tcBorders>
              <w:top w:val="single" w:sz="4" w:space="0" w:color="auto"/>
              <w:left w:val="single" w:sz="4" w:space="0" w:color="auto"/>
              <w:bottom w:val="single" w:sz="4" w:space="0" w:color="auto"/>
              <w:right w:val="single" w:sz="4" w:space="0" w:color="auto"/>
            </w:tcBorders>
          </w:tcPr>
          <w:p w14:paraId="6E4AF10D" w14:textId="77777777" w:rsidR="00967577" w:rsidRPr="005E2177" w:rsidRDefault="00967577" w:rsidP="002C677E">
            <w:pPr>
              <w:rPr>
                <w:rFonts w:ascii="Arial Narrow" w:hAnsi="Arial Narrow"/>
                <w:sz w:val="20"/>
                <w:szCs w:val="20"/>
              </w:rPr>
            </w:pPr>
            <w:r w:rsidRPr="005E2177">
              <w:rPr>
                <w:rFonts w:ascii="Arial Narrow" w:hAnsi="Arial Narrow"/>
                <w:b/>
                <w:sz w:val="20"/>
                <w:szCs w:val="20"/>
              </w:rPr>
              <w:t xml:space="preserve">Prescriber type:  </w:t>
            </w:r>
            <w:r w:rsidRPr="005E2177">
              <w:rPr>
                <w:rFonts w:ascii="Arial Narrow" w:hAnsi="Arial Narrow"/>
                <w:sz w:val="20"/>
                <w:szCs w:val="20"/>
              </w:rPr>
              <w:fldChar w:fldCharType="begin" w:fldLock="1">
                <w:ffData>
                  <w:name w:val=""/>
                  <w:enabled/>
                  <w:calcOnExit w:val="0"/>
                  <w:checkBox>
                    <w:sizeAuto/>
                    <w:default w:val="1"/>
                  </w:checkBox>
                </w:ffData>
              </w:fldChar>
            </w:r>
            <w:r w:rsidRPr="005E2177">
              <w:rPr>
                <w:rFonts w:ascii="Arial Narrow" w:hAnsi="Arial Narrow"/>
                <w:sz w:val="20"/>
                <w:szCs w:val="20"/>
              </w:rPr>
              <w:instrText xml:space="preserve"> FORMCHECKBOX </w:instrText>
            </w:r>
            <w:r w:rsidR="006269D6">
              <w:rPr>
                <w:rFonts w:ascii="Arial Narrow" w:hAnsi="Arial Narrow"/>
                <w:sz w:val="20"/>
                <w:szCs w:val="20"/>
              </w:rPr>
            </w:r>
            <w:r w:rsidR="006269D6">
              <w:rPr>
                <w:rFonts w:ascii="Arial Narrow" w:hAnsi="Arial Narrow"/>
                <w:sz w:val="20"/>
                <w:szCs w:val="20"/>
              </w:rPr>
              <w:fldChar w:fldCharType="separate"/>
            </w:r>
            <w:r w:rsidRPr="005E2177">
              <w:rPr>
                <w:rFonts w:ascii="Arial Narrow" w:hAnsi="Arial Narrow"/>
                <w:sz w:val="20"/>
                <w:szCs w:val="20"/>
              </w:rPr>
              <w:fldChar w:fldCharType="end"/>
            </w:r>
            <w:r w:rsidRPr="005E2177">
              <w:rPr>
                <w:rFonts w:ascii="Arial Narrow" w:hAnsi="Arial Narrow"/>
                <w:sz w:val="20"/>
                <w:szCs w:val="20"/>
              </w:rPr>
              <w:t xml:space="preserve">Medical Practitioners </w:t>
            </w:r>
          </w:p>
        </w:tc>
      </w:tr>
      <w:tr w:rsidR="00967577" w:rsidRPr="005E2177" w14:paraId="22746052" w14:textId="77777777" w:rsidTr="00240E28">
        <w:tc>
          <w:tcPr>
            <w:tcW w:w="553" w:type="pct"/>
            <w:tcBorders>
              <w:top w:val="single" w:sz="4" w:space="0" w:color="auto"/>
              <w:left w:val="single" w:sz="4" w:space="0" w:color="auto"/>
              <w:bottom w:val="single" w:sz="4" w:space="0" w:color="auto"/>
              <w:right w:val="single" w:sz="4" w:space="0" w:color="auto"/>
            </w:tcBorders>
          </w:tcPr>
          <w:p w14:paraId="62EF9D2F" w14:textId="77777777" w:rsidR="00967577" w:rsidRPr="005E2177" w:rsidRDefault="00967577" w:rsidP="002C677E">
            <w:pPr>
              <w:rPr>
                <w:rFonts w:ascii="Arial Narrow" w:hAnsi="Arial Narrow"/>
                <w:sz w:val="20"/>
                <w:szCs w:val="20"/>
              </w:rPr>
            </w:pPr>
          </w:p>
        </w:tc>
        <w:tc>
          <w:tcPr>
            <w:tcW w:w="4447" w:type="pct"/>
            <w:tcBorders>
              <w:top w:val="single" w:sz="4" w:space="0" w:color="auto"/>
              <w:left w:val="single" w:sz="4" w:space="0" w:color="auto"/>
              <w:bottom w:val="single" w:sz="4" w:space="0" w:color="auto"/>
              <w:right w:val="single" w:sz="4" w:space="0" w:color="auto"/>
            </w:tcBorders>
          </w:tcPr>
          <w:p w14:paraId="1D6E104F" w14:textId="77777777" w:rsidR="00967577" w:rsidRPr="005E2177" w:rsidRDefault="00967577" w:rsidP="002C677E">
            <w:pPr>
              <w:rPr>
                <w:rFonts w:ascii="Arial Narrow" w:hAnsi="Arial Narrow"/>
                <w:b/>
                <w:sz w:val="20"/>
                <w:szCs w:val="20"/>
              </w:rPr>
            </w:pPr>
            <w:r w:rsidRPr="005E2177">
              <w:rPr>
                <w:rFonts w:ascii="Arial Narrow" w:hAnsi="Arial Narrow"/>
                <w:b/>
                <w:sz w:val="20"/>
                <w:szCs w:val="20"/>
              </w:rPr>
              <w:t xml:space="preserve">Restriction Level / Method: </w:t>
            </w:r>
            <w:r w:rsidRPr="005E2177">
              <w:rPr>
                <w:rFonts w:ascii="Arial Narrow" w:hAnsi="Arial Narrow"/>
                <w:sz w:val="20"/>
                <w:szCs w:val="20"/>
              </w:rPr>
              <w:fldChar w:fldCharType="begin" w:fldLock="1">
                <w:ffData>
                  <w:name w:val=""/>
                  <w:enabled/>
                  <w:calcOnExit w:val="0"/>
                  <w:checkBox>
                    <w:sizeAuto/>
                    <w:default w:val="1"/>
                  </w:checkBox>
                </w:ffData>
              </w:fldChar>
            </w:r>
            <w:r w:rsidRPr="005E2177">
              <w:rPr>
                <w:rFonts w:ascii="Arial Narrow" w:hAnsi="Arial Narrow"/>
                <w:sz w:val="20"/>
                <w:szCs w:val="20"/>
              </w:rPr>
              <w:instrText xml:space="preserve"> FORMCHECKBOX </w:instrText>
            </w:r>
            <w:r w:rsidR="006269D6">
              <w:rPr>
                <w:rFonts w:ascii="Arial Narrow" w:hAnsi="Arial Narrow"/>
                <w:sz w:val="20"/>
                <w:szCs w:val="20"/>
              </w:rPr>
            </w:r>
            <w:r w:rsidR="006269D6">
              <w:rPr>
                <w:rFonts w:ascii="Arial Narrow" w:hAnsi="Arial Narrow"/>
                <w:sz w:val="20"/>
                <w:szCs w:val="20"/>
              </w:rPr>
              <w:fldChar w:fldCharType="separate"/>
            </w:r>
            <w:r w:rsidRPr="005E2177">
              <w:rPr>
                <w:rFonts w:ascii="Arial Narrow" w:hAnsi="Arial Narrow"/>
                <w:sz w:val="20"/>
                <w:szCs w:val="20"/>
              </w:rPr>
              <w:fldChar w:fldCharType="end"/>
            </w:r>
            <w:r w:rsidRPr="005E2177">
              <w:rPr>
                <w:rFonts w:ascii="Arial Narrow" w:hAnsi="Arial Narrow"/>
                <w:sz w:val="20"/>
                <w:szCs w:val="20"/>
              </w:rPr>
              <w:t>Authority Required – In Writing</w:t>
            </w:r>
          </w:p>
        </w:tc>
      </w:tr>
      <w:tr w:rsidR="00967577" w:rsidRPr="005E2177" w14:paraId="666ED71B" w14:textId="77777777" w:rsidTr="00240E28">
        <w:tc>
          <w:tcPr>
            <w:tcW w:w="553" w:type="pct"/>
            <w:vAlign w:val="center"/>
          </w:tcPr>
          <w:p w14:paraId="659FF76A" w14:textId="77777777" w:rsidR="00967577" w:rsidRPr="005E2177" w:rsidRDefault="00967577" w:rsidP="002C677E">
            <w:pPr>
              <w:jc w:val="center"/>
              <w:rPr>
                <w:rFonts w:ascii="Arial Narrow" w:hAnsi="Arial Narrow"/>
                <w:color w:val="333333"/>
                <w:sz w:val="20"/>
                <w:szCs w:val="20"/>
              </w:rPr>
            </w:pPr>
          </w:p>
        </w:tc>
        <w:tc>
          <w:tcPr>
            <w:tcW w:w="4447" w:type="pct"/>
            <w:vAlign w:val="center"/>
          </w:tcPr>
          <w:p w14:paraId="44E37E3E"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 xml:space="preserve">Severity: </w:t>
            </w:r>
            <w:r w:rsidRPr="005E2177">
              <w:rPr>
                <w:rFonts w:ascii="Arial Narrow" w:hAnsi="Arial Narrow"/>
                <w:color w:val="333333"/>
                <w:sz w:val="20"/>
                <w:szCs w:val="20"/>
              </w:rPr>
              <w:t>Severe</w:t>
            </w:r>
          </w:p>
        </w:tc>
      </w:tr>
      <w:tr w:rsidR="00967577" w:rsidRPr="005E2177" w14:paraId="347AF34E" w14:textId="77777777" w:rsidTr="00240E28">
        <w:tc>
          <w:tcPr>
            <w:tcW w:w="553" w:type="pct"/>
            <w:vAlign w:val="center"/>
          </w:tcPr>
          <w:p w14:paraId="453F04B2" w14:textId="77777777" w:rsidR="00967577" w:rsidRPr="005E2177" w:rsidRDefault="00967577" w:rsidP="002C677E">
            <w:pPr>
              <w:jc w:val="center"/>
              <w:rPr>
                <w:rFonts w:ascii="Arial Narrow" w:hAnsi="Arial Narrow"/>
                <w:color w:val="333333"/>
                <w:sz w:val="20"/>
                <w:szCs w:val="20"/>
              </w:rPr>
            </w:pPr>
          </w:p>
        </w:tc>
        <w:tc>
          <w:tcPr>
            <w:tcW w:w="4447" w:type="pct"/>
            <w:vAlign w:val="center"/>
          </w:tcPr>
          <w:p w14:paraId="1DA3EAFF"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 xml:space="preserve">Condition: </w:t>
            </w:r>
            <w:r w:rsidRPr="005E2177">
              <w:rPr>
                <w:rFonts w:ascii="Arial Narrow" w:hAnsi="Arial Narrow"/>
                <w:bCs/>
                <w:color w:val="333333"/>
                <w:sz w:val="20"/>
                <w:szCs w:val="20"/>
              </w:rPr>
              <w:t>Psoriatic arthritis</w:t>
            </w:r>
          </w:p>
        </w:tc>
      </w:tr>
      <w:tr w:rsidR="00967577" w:rsidRPr="005E2177" w14:paraId="198F93B6" w14:textId="77777777" w:rsidTr="00AF4912">
        <w:tc>
          <w:tcPr>
            <w:tcW w:w="553" w:type="pct"/>
            <w:vAlign w:val="center"/>
          </w:tcPr>
          <w:p w14:paraId="6BD4D9CA" w14:textId="6E09BB89" w:rsidR="00967577" w:rsidRPr="005E2177" w:rsidRDefault="00967577" w:rsidP="002C677E">
            <w:pPr>
              <w:jc w:val="center"/>
              <w:rPr>
                <w:rFonts w:ascii="Arial Narrow" w:hAnsi="Arial Narrow"/>
                <w:color w:val="333333"/>
                <w:sz w:val="20"/>
                <w:szCs w:val="20"/>
              </w:rPr>
            </w:pPr>
          </w:p>
        </w:tc>
        <w:tc>
          <w:tcPr>
            <w:tcW w:w="4447" w:type="pct"/>
            <w:vAlign w:val="center"/>
            <w:hideMark/>
          </w:tcPr>
          <w:p w14:paraId="5FB40E25" w14:textId="77777777" w:rsidR="00967577" w:rsidRPr="005E2177" w:rsidRDefault="00967577" w:rsidP="002C677E">
            <w:pPr>
              <w:rPr>
                <w:rFonts w:ascii="Arial Narrow" w:hAnsi="Arial Narrow"/>
                <w:color w:val="333333"/>
                <w:sz w:val="20"/>
                <w:szCs w:val="20"/>
              </w:rPr>
            </w:pPr>
            <w:r w:rsidRPr="005E2177">
              <w:rPr>
                <w:rFonts w:ascii="Arial Narrow" w:hAnsi="Arial Narrow"/>
                <w:b/>
                <w:bCs/>
                <w:color w:val="333333"/>
                <w:sz w:val="20"/>
                <w:szCs w:val="20"/>
              </w:rPr>
              <w:t>Indication:</w:t>
            </w:r>
            <w:r w:rsidRPr="005E2177">
              <w:rPr>
                <w:rFonts w:ascii="Arial Narrow" w:hAnsi="Arial Narrow"/>
                <w:color w:val="333333"/>
                <w:sz w:val="20"/>
                <w:szCs w:val="20"/>
              </w:rPr>
              <w:t xml:space="preserve"> Severe psoriatic arthritis</w:t>
            </w:r>
          </w:p>
        </w:tc>
      </w:tr>
      <w:tr w:rsidR="00967577" w:rsidRPr="005E2177" w14:paraId="1DD1061C" w14:textId="77777777" w:rsidTr="00AF4912">
        <w:tc>
          <w:tcPr>
            <w:tcW w:w="553" w:type="pct"/>
            <w:vAlign w:val="center"/>
          </w:tcPr>
          <w:p w14:paraId="342260AB" w14:textId="77777777" w:rsidR="00967577" w:rsidRPr="005E2177" w:rsidRDefault="00967577" w:rsidP="002C677E">
            <w:pPr>
              <w:jc w:val="center"/>
              <w:rPr>
                <w:rFonts w:ascii="Arial Narrow" w:hAnsi="Arial Narrow"/>
                <w:color w:val="333333"/>
                <w:sz w:val="20"/>
                <w:szCs w:val="20"/>
              </w:rPr>
            </w:pPr>
          </w:p>
        </w:tc>
        <w:tc>
          <w:tcPr>
            <w:tcW w:w="4447" w:type="pct"/>
            <w:vAlign w:val="center"/>
            <w:hideMark/>
          </w:tcPr>
          <w:p w14:paraId="25E358C3" w14:textId="77777777" w:rsidR="00967577" w:rsidRPr="005E2177" w:rsidRDefault="00967577" w:rsidP="002C677E">
            <w:pPr>
              <w:rPr>
                <w:rFonts w:ascii="Arial Narrow" w:hAnsi="Arial Narrow"/>
                <w:color w:val="333333"/>
                <w:sz w:val="20"/>
                <w:szCs w:val="20"/>
              </w:rPr>
            </w:pPr>
            <w:r w:rsidRPr="005E2177">
              <w:rPr>
                <w:rFonts w:ascii="Arial Narrow" w:hAnsi="Arial Narrow"/>
                <w:b/>
                <w:bCs/>
                <w:color w:val="333333"/>
                <w:sz w:val="20"/>
                <w:szCs w:val="20"/>
              </w:rPr>
              <w:t>Treatment Phase:</w:t>
            </w:r>
            <w:r w:rsidRPr="005E2177">
              <w:rPr>
                <w:rFonts w:ascii="Arial Narrow" w:hAnsi="Arial Narrow"/>
                <w:color w:val="333333"/>
                <w:sz w:val="20"/>
                <w:szCs w:val="20"/>
              </w:rPr>
              <w:t xml:space="preserve"> Continuing treatment</w:t>
            </w:r>
          </w:p>
        </w:tc>
      </w:tr>
      <w:tr w:rsidR="00967577" w:rsidRPr="005E2177" w14:paraId="67D544A1" w14:textId="77777777" w:rsidTr="00240E28">
        <w:tc>
          <w:tcPr>
            <w:tcW w:w="553" w:type="pct"/>
            <w:vAlign w:val="center"/>
          </w:tcPr>
          <w:p w14:paraId="76E42EC5" w14:textId="066C7999" w:rsidR="00967577" w:rsidRPr="005E2177" w:rsidRDefault="00967577" w:rsidP="002C677E">
            <w:pPr>
              <w:jc w:val="center"/>
              <w:rPr>
                <w:rFonts w:ascii="Arial Narrow" w:hAnsi="Arial Narrow"/>
                <w:color w:val="333333"/>
                <w:sz w:val="20"/>
                <w:szCs w:val="20"/>
              </w:rPr>
            </w:pPr>
          </w:p>
        </w:tc>
        <w:tc>
          <w:tcPr>
            <w:tcW w:w="4447" w:type="pct"/>
            <w:vAlign w:val="center"/>
            <w:hideMark/>
          </w:tcPr>
          <w:p w14:paraId="2AE32A2A" w14:textId="77777777" w:rsidR="00967577" w:rsidRPr="005E2177" w:rsidRDefault="00967577" w:rsidP="002C677E">
            <w:pPr>
              <w:rPr>
                <w:rFonts w:ascii="Arial Narrow" w:hAnsi="Arial Narrow"/>
                <w:color w:val="333333"/>
                <w:sz w:val="20"/>
                <w:szCs w:val="20"/>
              </w:rPr>
            </w:pPr>
            <w:r w:rsidRPr="005E2177">
              <w:rPr>
                <w:rFonts w:ascii="Arial Narrow" w:hAnsi="Arial Narrow"/>
                <w:b/>
                <w:bCs/>
                <w:color w:val="333333"/>
                <w:sz w:val="20"/>
                <w:szCs w:val="20"/>
              </w:rPr>
              <w:t>Clinical criteria:</w:t>
            </w:r>
          </w:p>
        </w:tc>
      </w:tr>
      <w:tr w:rsidR="00967577" w:rsidRPr="005E2177" w14:paraId="4E5EA9E4" w14:textId="77777777" w:rsidTr="00240E28">
        <w:tc>
          <w:tcPr>
            <w:tcW w:w="553" w:type="pct"/>
            <w:vAlign w:val="center"/>
          </w:tcPr>
          <w:p w14:paraId="7BB6B73E" w14:textId="0A819BC2" w:rsidR="00967577" w:rsidRPr="005E2177" w:rsidRDefault="00967577" w:rsidP="002C677E">
            <w:pPr>
              <w:jc w:val="center"/>
              <w:rPr>
                <w:rFonts w:ascii="Arial Narrow" w:hAnsi="Arial Narrow"/>
                <w:color w:val="333333"/>
                <w:sz w:val="20"/>
                <w:szCs w:val="20"/>
              </w:rPr>
            </w:pPr>
          </w:p>
        </w:tc>
        <w:tc>
          <w:tcPr>
            <w:tcW w:w="4447" w:type="pct"/>
            <w:vAlign w:val="center"/>
            <w:hideMark/>
          </w:tcPr>
          <w:p w14:paraId="2BA0AECD" w14:textId="77777777" w:rsidR="00967577" w:rsidRPr="005E2177" w:rsidRDefault="00967577" w:rsidP="002C677E">
            <w:pPr>
              <w:rPr>
                <w:rFonts w:ascii="Arial Narrow" w:hAnsi="Arial Narrow"/>
                <w:color w:val="333333"/>
                <w:sz w:val="20"/>
                <w:szCs w:val="20"/>
              </w:rPr>
            </w:pPr>
            <w:r w:rsidRPr="005E2177">
              <w:rPr>
                <w:rFonts w:ascii="Arial Narrow" w:hAnsi="Arial Narrow"/>
                <w:color w:val="333333"/>
                <w:sz w:val="20"/>
                <w:szCs w:val="20"/>
              </w:rPr>
              <w:t>Patient must have received this drug as their most recent course of PBS-subsidised biological medicine treatment for this condition</w:t>
            </w:r>
          </w:p>
        </w:tc>
      </w:tr>
      <w:tr w:rsidR="00967577" w:rsidRPr="005E2177" w14:paraId="096E72D8" w14:textId="77777777" w:rsidTr="00240E28">
        <w:tc>
          <w:tcPr>
            <w:tcW w:w="553" w:type="pct"/>
            <w:vAlign w:val="center"/>
          </w:tcPr>
          <w:p w14:paraId="20A86B3E" w14:textId="77777777" w:rsidR="00967577" w:rsidRPr="005E2177" w:rsidRDefault="00967577" w:rsidP="002C677E">
            <w:pPr>
              <w:jc w:val="center"/>
              <w:rPr>
                <w:rFonts w:ascii="Arial Narrow" w:hAnsi="Arial Narrow"/>
                <w:color w:val="333333"/>
                <w:sz w:val="20"/>
                <w:szCs w:val="20"/>
              </w:rPr>
            </w:pPr>
          </w:p>
        </w:tc>
        <w:tc>
          <w:tcPr>
            <w:tcW w:w="4447" w:type="pct"/>
            <w:vAlign w:val="center"/>
            <w:hideMark/>
          </w:tcPr>
          <w:p w14:paraId="7826F413" w14:textId="77777777" w:rsidR="00967577" w:rsidRPr="005E2177" w:rsidRDefault="00967577" w:rsidP="002C677E">
            <w:pPr>
              <w:rPr>
                <w:rFonts w:ascii="Arial Narrow" w:hAnsi="Arial Narrow"/>
                <w:color w:val="333333"/>
                <w:sz w:val="20"/>
                <w:szCs w:val="20"/>
              </w:rPr>
            </w:pPr>
            <w:r w:rsidRPr="005E2177">
              <w:rPr>
                <w:rFonts w:ascii="Arial Narrow" w:hAnsi="Arial Narrow"/>
                <w:b/>
                <w:bCs/>
                <w:color w:val="333333"/>
                <w:sz w:val="20"/>
                <w:szCs w:val="20"/>
              </w:rPr>
              <w:t>AND</w:t>
            </w:r>
          </w:p>
        </w:tc>
      </w:tr>
      <w:tr w:rsidR="00967577" w:rsidRPr="005E2177" w14:paraId="5109AD47" w14:textId="77777777" w:rsidTr="00240E28">
        <w:tc>
          <w:tcPr>
            <w:tcW w:w="553" w:type="pct"/>
            <w:vAlign w:val="center"/>
          </w:tcPr>
          <w:p w14:paraId="6D387858" w14:textId="2941054B" w:rsidR="00967577" w:rsidRPr="005E2177" w:rsidRDefault="00967577" w:rsidP="002C677E">
            <w:pPr>
              <w:jc w:val="center"/>
              <w:rPr>
                <w:rFonts w:ascii="Arial Narrow" w:hAnsi="Arial Narrow"/>
                <w:color w:val="333333"/>
                <w:sz w:val="20"/>
                <w:szCs w:val="20"/>
              </w:rPr>
            </w:pPr>
          </w:p>
        </w:tc>
        <w:tc>
          <w:tcPr>
            <w:tcW w:w="4447" w:type="pct"/>
            <w:vAlign w:val="center"/>
            <w:hideMark/>
          </w:tcPr>
          <w:p w14:paraId="2A6DCACC" w14:textId="77777777" w:rsidR="00967577" w:rsidRPr="005E2177" w:rsidRDefault="00967577" w:rsidP="002C677E">
            <w:pPr>
              <w:rPr>
                <w:rFonts w:ascii="Arial Narrow" w:hAnsi="Arial Narrow"/>
                <w:color w:val="333333"/>
                <w:sz w:val="20"/>
                <w:szCs w:val="20"/>
              </w:rPr>
            </w:pPr>
            <w:r w:rsidRPr="005E2177">
              <w:rPr>
                <w:rFonts w:ascii="Arial Narrow" w:hAnsi="Arial Narrow"/>
                <w:b/>
                <w:bCs/>
                <w:color w:val="333333"/>
                <w:sz w:val="20"/>
                <w:szCs w:val="20"/>
              </w:rPr>
              <w:t>Clinical criteria:</w:t>
            </w:r>
          </w:p>
        </w:tc>
      </w:tr>
      <w:tr w:rsidR="00967577" w:rsidRPr="005E2177" w14:paraId="19948105" w14:textId="77777777" w:rsidTr="00240E28">
        <w:tc>
          <w:tcPr>
            <w:tcW w:w="553" w:type="pct"/>
            <w:vAlign w:val="center"/>
          </w:tcPr>
          <w:p w14:paraId="7B496D55" w14:textId="3E74E158" w:rsidR="00967577" w:rsidRPr="005E2177" w:rsidRDefault="00967577" w:rsidP="002C677E">
            <w:pPr>
              <w:jc w:val="center"/>
              <w:rPr>
                <w:rFonts w:ascii="Arial Narrow" w:hAnsi="Arial Narrow"/>
                <w:color w:val="333333"/>
                <w:sz w:val="20"/>
                <w:szCs w:val="20"/>
              </w:rPr>
            </w:pPr>
          </w:p>
        </w:tc>
        <w:tc>
          <w:tcPr>
            <w:tcW w:w="4447" w:type="pct"/>
            <w:vAlign w:val="center"/>
            <w:hideMark/>
          </w:tcPr>
          <w:p w14:paraId="4AF44F56" w14:textId="77777777" w:rsidR="00967577" w:rsidRPr="005E2177" w:rsidRDefault="00967577" w:rsidP="002C677E">
            <w:pPr>
              <w:rPr>
                <w:rFonts w:ascii="Arial Narrow" w:hAnsi="Arial Narrow"/>
                <w:color w:val="333333"/>
                <w:sz w:val="20"/>
                <w:szCs w:val="20"/>
              </w:rPr>
            </w:pPr>
            <w:r w:rsidRPr="005E2177">
              <w:rPr>
                <w:rFonts w:ascii="Arial Narrow" w:hAnsi="Arial Narrow"/>
                <w:color w:val="333333"/>
                <w:sz w:val="20"/>
                <w:szCs w:val="20"/>
              </w:rPr>
              <w:t>Patient must have demonstrated an adequate response to treatment with this drug</w:t>
            </w:r>
          </w:p>
        </w:tc>
      </w:tr>
      <w:tr w:rsidR="00967577" w:rsidRPr="005E2177" w14:paraId="1451A1EA" w14:textId="77777777" w:rsidTr="00240E28">
        <w:tc>
          <w:tcPr>
            <w:tcW w:w="553" w:type="pct"/>
            <w:vAlign w:val="center"/>
          </w:tcPr>
          <w:p w14:paraId="71264A12" w14:textId="77777777" w:rsidR="00967577" w:rsidRPr="005E2177" w:rsidRDefault="00967577" w:rsidP="002C677E">
            <w:pPr>
              <w:jc w:val="center"/>
              <w:rPr>
                <w:rFonts w:ascii="Arial Narrow" w:hAnsi="Arial Narrow"/>
                <w:color w:val="333333"/>
                <w:sz w:val="20"/>
                <w:szCs w:val="20"/>
              </w:rPr>
            </w:pPr>
          </w:p>
        </w:tc>
        <w:tc>
          <w:tcPr>
            <w:tcW w:w="4447" w:type="pct"/>
            <w:vAlign w:val="center"/>
            <w:hideMark/>
          </w:tcPr>
          <w:p w14:paraId="64F489A6" w14:textId="77777777" w:rsidR="00967577" w:rsidRPr="005E2177" w:rsidRDefault="00967577" w:rsidP="002C677E">
            <w:pPr>
              <w:rPr>
                <w:rFonts w:ascii="Arial Narrow" w:hAnsi="Arial Narrow"/>
                <w:color w:val="333333"/>
                <w:sz w:val="20"/>
                <w:szCs w:val="20"/>
              </w:rPr>
            </w:pPr>
            <w:r w:rsidRPr="005E2177">
              <w:rPr>
                <w:rFonts w:ascii="Arial Narrow" w:hAnsi="Arial Narrow"/>
                <w:b/>
                <w:bCs/>
                <w:color w:val="333333"/>
                <w:sz w:val="20"/>
                <w:szCs w:val="20"/>
              </w:rPr>
              <w:t>AND</w:t>
            </w:r>
          </w:p>
        </w:tc>
      </w:tr>
      <w:tr w:rsidR="00967577" w:rsidRPr="005E2177" w14:paraId="68E9FD67" w14:textId="77777777" w:rsidTr="00240E28">
        <w:tc>
          <w:tcPr>
            <w:tcW w:w="553" w:type="pct"/>
            <w:vAlign w:val="center"/>
          </w:tcPr>
          <w:p w14:paraId="1ABD441C" w14:textId="24F5B14E" w:rsidR="00967577" w:rsidRPr="005E2177" w:rsidRDefault="00967577" w:rsidP="002C677E">
            <w:pPr>
              <w:jc w:val="center"/>
              <w:rPr>
                <w:rFonts w:ascii="Arial Narrow" w:hAnsi="Arial Narrow"/>
                <w:color w:val="333333"/>
                <w:sz w:val="20"/>
                <w:szCs w:val="20"/>
              </w:rPr>
            </w:pPr>
          </w:p>
        </w:tc>
        <w:tc>
          <w:tcPr>
            <w:tcW w:w="4447" w:type="pct"/>
            <w:vAlign w:val="center"/>
            <w:hideMark/>
          </w:tcPr>
          <w:p w14:paraId="69EA9F31" w14:textId="77777777" w:rsidR="00967577" w:rsidRPr="005E2177" w:rsidRDefault="00967577" w:rsidP="002C677E">
            <w:pPr>
              <w:rPr>
                <w:rFonts w:ascii="Arial Narrow" w:hAnsi="Arial Narrow"/>
                <w:color w:val="333333"/>
                <w:sz w:val="20"/>
                <w:szCs w:val="20"/>
              </w:rPr>
            </w:pPr>
            <w:r w:rsidRPr="005E2177">
              <w:rPr>
                <w:rFonts w:ascii="Arial Narrow" w:hAnsi="Arial Narrow"/>
                <w:b/>
                <w:bCs/>
                <w:color w:val="333333"/>
                <w:sz w:val="20"/>
                <w:szCs w:val="20"/>
              </w:rPr>
              <w:t>Clinical criteria:</w:t>
            </w:r>
          </w:p>
        </w:tc>
      </w:tr>
      <w:tr w:rsidR="00967577" w:rsidRPr="005E2177" w14:paraId="7EEBCAAC" w14:textId="77777777" w:rsidTr="00240E28">
        <w:tc>
          <w:tcPr>
            <w:tcW w:w="553" w:type="pct"/>
            <w:vAlign w:val="center"/>
          </w:tcPr>
          <w:p w14:paraId="73AB5A1E" w14:textId="009FC9FE" w:rsidR="00967577" w:rsidRPr="005E2177" w:rsidRDefault="00967577" w:rsidP="002C677E">
            <w:pPr>
              <w:jc w:val="center"/>
              <w:rPr>
                <w:rFonts w:ascii="Arial Narrow" w:hAnsi="Arial Narrow"/>
                <w:color w:val="333333"/>
                <w:sz w:val="20"/>
                <w:szCs w:val="20"/>
              </w:rPr>
            </w:pPr>
          </w:p>
        </w:tc>
        <w:tc>
          <w:tcPr>
            <w:tcW w:w="4447" w:type="pct"/>
            <w:vAlign w:val="center"/>
            <w:hideMark/>
          </w:tcPr>
          <w:p w14:paraId="0FAD1ADA" w14:textId="77777777" w:rsidR="00967577" w:rsidRPr="005E2177" w:rsidRDefault="00967577" w:rsidP="002C677E">
            <w:pPr>
              <w:rPr>
                <w:rFonts w:ascii="Arial Narrow" w:hAnsi="Arial Narrow"/>
                <w:color w:val="333333"/>
                <w:sz w:val="20"/>
                <w:szCs w:val="20"/>
              </w:rPr>
            </w:pPr>
            <w:r w:rsidRPr="005E2177">
              <w:rPr>
                <w:rFonts w:ascii="Arial Narrow" w:hAnsi="Arial Narrow"/>
                <w:color w:val="333333"/>
                <w:sz w:val="20"/>
                <w:szCs w:val="20"/>
              </w:rPr>
              <w:t>Patient must not receive more than 24 weeks of treatment under this restriction</w:t>
            </w:r>
          </w:p>
        </w:tc>
      </w:tr>
      <w:tr w:rsidR="00967577" w:rsidRPr="005E2177" w14:paraId="11BF5E7C" w14:textId="77777777" w:rsidTr="00240E28">
        <w:tc>
          <w:tcPr>
            <w:tcW w:w="553" w:type="pct"/>
            <w:vAlign w:val="center"/>
          </w:tcPr>
          <w:p w14:paraId="36CB3281" w14:textId="77777777" w:rsidR="00967577" w:rsidRPr="005E2177" w:rsidRDefault="00967577" w:rsidP="002C677E">
            <w:pPr>
              <w:jc w:val="center"/>
              <w:rPr>
                <w:rFonts w:ascii="Arial Narrow" w:hAnsi="Arial Narrow"/>
                <w:color w:val="333333"/>
                <w:sz w:val="20"/>
                <w:szCs w:val="20"/>
              </w:rPr>
            </w:pPr>
          </w:p>
        </w:tc>
        <w:tc>
          <w:tcPr>
            <w:tcW w:w="4447" w:type="pct"/>
            <w:vAlign w:val="center"/>
            <w:hideMark/>
          </w:tcPr>
          <w:p w14:paraId="2C5D48D2" w14:textId="77777777" w:rsidR="00967577" w:rsidRPr="005E2177" w:rsidRDefault="00967577" w:rsidP="002C677E">
            <w:pPr>
              <w:rPr>
                <w:rFonts w:ascii="Arial Narrow" w:hAnsi="Arial Narrow"/>
                <w:color w:val="333333"/>
                <w:sz w:val="20"/>
                <w:szCs w:val="20"/>
              </w:rPr>
            </w:pPr>
            <w:r w:rsidRPr="005E2177">
              <w:rPr>
                <w:rFonts w:ascii="Arial Narrow" w:hAnsi="Arial Narrow"/>
                <w:b/>
                <w:bCs/>
                <w:color w:val="333333"/>
                <w:sz w:val="20"/>
                <w:szCs w:val="20"/>
              </w:rPr>
              <w:t>AND</w:t>
            </w:r>
          </w:p>
        </w:tc>
      </w:tr>
      <w:tr w:rsidR="00967577" w:rsidRPr="005E2177" w14:paraId="3A87CB6D" w14:textId="77777777" w:rsidTr="00240E28">
        <w:tc>
          <w:tcPr>
            <w:tcW w:w="553" w:type="pct"/>
            <w:vAlign w:val="center"/>
          </w:tcPr>
          <w:p w14:paraId="75986561" w14:textId="0D14C1C9" w:rsidR="00967577" w:rsidRPr="005E2177" w:rsidRDefault="00967577" w:rsidP="002C677E">
            <w:pPr>
              <w:jc w:val="center"/>
              <w:rPr>
                <w:rFonts w:ascii="Arial Narrow" w:hAnsi="Arial Narrow"/>
                <w:color w:val="333333"/>
                <w:sz w:val="20"/>
                <w:szCs w:val="20"/>
              </w:rPr>
            </w:pPr>
          </w:p>
        </w:tc>
        <w:tc>
          <w:tcPr>
            <w:tcW w:w="4447" w:type="pct"/>
            <w:vAlign w:val="center"/>
            <w:hideMark/>
          </w:tcPr>
          <w:p w14:paraId="72762C20" w14:textId="77777777" w:rsidR="00967577" w:rsidRPr="005E2177" w:rsidRDefault="00967577" w:rsidP="002C677E">
            <w:pPr>
              <w:rPr>
                <w:rFonts w:ascii="Arial Narrow" w:hAnsi="Arial Narrow"/>
                <w:color w:val="333333"/>
                <w:sz w:val="20"/>
                <w:szCs w:val="20"/>
              </w:rPr>
            </w:pPr>
            <w:r w:rsidRPr="005E2177">
              <w:rPr>
                <w:rFonts w:ascii="Arial Narrow" w:hAnsi="Arial Narrow"/>
                <w:b/>
                <w:bCs/>
                <w:color w:val="333333"/>
                <w:sz w:val="20"/>
                <w:szCs w:val="20"/>
              </w:rPr>
              <w:t>Treatment criteria:</w:t>
            </w:r>
          </w:p>
        </w:tc>
      </w:tr>
      <w:tr w:rsidR="00967577" w:rsidRPr="005E2177" w14:paraId="3F43365D" w14:textId="77777777" w:rsidTr="00240E28">
        <w:tc>
          <w:tcPr>
            <w:tcW w:w="553" w:type="pct"/>
            <w:vAlign w:val="center"/>
          </w:tcPr>
          <w:p w14:paraId="0693DB8F" w14:textId="705AEB73" w:rsidR="00967577" w:rsidRPr="005E2177" w:rsidRDefault="00967577" w:rsidP="002C677E">
            <w:pPr>
              <w:jc w:val="center"/>
              <w:rPr>
                <w:rFonts w:ascii="Arial Narrow" w:hAnsi="Arial Narrow"/>
                <w:color w:val="333333"/>
                <w:sz w:val="20"/>
                <w:szCs w:val="20"/>
              </w:rPr>
            </w:pPr>
          </w:p>
        </w:tc>
        <w:tc>
          <w:tcPr>
            <w:tcW w:w="4447" w:type="pct"/>
            <w:vAlign w:val="center"/>
            <w:hideMark/>
          </w:tcPr>
          <w:p w14:paraId="715AB0F2" w14:textId="77777777" w:rsidR="00967577" w:rsidRPr="005E2177" w:rsidRDefault="00967577" w:rsidP="002C677E">
            <w:pPr>
              <w:autoSpaceDE w:val="0"/>
              <w:autoSpaceDN w:val="0"/>
              <w:adjustRightInd w:val="0"/>
              <w:rPr>
                <w:rFonts w:ascii="Arial Narrow" w:hAnsi="Arial Narrow" w:cs="Arial Narrow"/>
                <w:sz w:val="20"/>
                <w:szCs w:val="20"/>
              </w:rPr>
            </w:pPr>
            <w:r w:rsidRPr="005E2177">
              <w:rPr>
                <w:rFonts w:ascii="Arial Narrow" w:hAnsi="Arial Narrow" w:cs="Arial Narrow"/>
                <w:sz w:val="20"/>
                <w:szCs w:val="20"/>
              </w:rPr>
              <w:t xml:space="preserve">Must be treated by a rheumatologist; or </w:t>
            </w:r>
          </w:p>
        </w:tc>
      </w:tr>
      <w:tr w:rsidR="00967577" w:rsidRPr="005E2177" w14:paraId="41268029" w14:textId="77777777" w:rsidTr="00240E28">
        <w:tc>
          <w:tcPr>
            <w:tcW w:w="553" w:type="pct"/>
            <w:vAlign w:val="center"/>
          </w:tcPr>
          <w:p w14:paraId="108970C5" w14:textId="6B077F4B" w:rsidR="00967577" w:rsidRPr="005E2177" w:rsidRDefault="00967577" w:rsidP="002C677E">
            <w:pPr>
              <w:jc w:val="center"/>
              <w:rPr>
                <w:rFonts w:ascii="Arial Narrow" w:hAnsi="Arial Narrow"/>
                <w:color w:val="333333"/>
                <w:sz w:val="20"/>
                <w:szCs w:val="20"/>
              </w:rPr>
            </w:pPr>
          </w:p>
        </w:tc>
        <w:tc>
          <w:tcPr>
            <w:tcW w:w="4447" w:type="pct"/>
            <w:vAlign w:val="center"/>
          </w:tcPr>
          <w:p w14:paraId="03B7E706" w14:textId="77777777" w:rsidR="00967577" w:rsidRPr="005E2177" w:rsidRDefault="00967577" w:rsidP="002C677E">
            <w:pPr>
              <w:autoSpaceDE w:val="0"/>
              <w:autoSpaceDN w:val="0"/>
              <w:adjustRightInd w:val="0"/>
              <w:rPr>
                <w:rFonts w:ascii="Arial Narrow" w:hAnsi="Arial Narrow" w:cs="Arial Narrow"/>
                <w:sz w:val="20"/>
                <w:szCs w:val="20"/>
              </w:rPr>
            </w:pPr>
            <w:r w:rsidRPr="005E2177">
              <w:rPr>
                <w:rFonts w:ascii="Arial Narrow" w:hAnsi="Arial Narrow" w:cs="Arial Narrow"/>
                <w:sz w:val="20"/>
                <w:szCs w:val="20"/>
              </w:rPr>
              <w:t>Must be treated by a clinical immunologist with expertise in the management of psoriatic arthritis</w:t>
            </w:r>
          </w:p>
        </w:tc>
      </w:tr>
      <w:tr w:rsidR="00967577" w:rsidRPr="005E2177" w14:paraId="242646CB" w14:textId="77777777" w:rsidTr="00240E28">
        <w:tc>
          <w:tcPr>
            <w:tcW w:w="553" w:type="pct"/>
            <w:vAlign w:val="center"/>
          </w:tcPr>
          <w:p w14:paraId="7D0F7A76" w14:textId="77777777" w:rsidR="00967577" w:rsidRPr="005E2177" w:rsidRDefault="00967577" w:rsidP="002C677E">
            <w:pPr>
              <w:jc w:val="center"/>
              <w:rPr>
                <w:rFonts w:ascii="Arial Narrow" w:hAnsi="Arial Narrow"/>
                <w:color w:val="333333"/>
                <w:sz w:val="20"/>
                <w:szCs w:val="20"/>
              </w:rPr>
            </w:pPr>
          </w:p>
        </w:tc>
        <w:tc>
          <w:tcPr>
            <w:tcW w:w="4447" w:type="pct"/>
            <w:vAlign w:val="center"/>
            <w:hideMark/>
          </w:tcPr>
          <w:p w14:paraId="55D9EB57" w14:textId="77777777" w:rsidR="00967577" w:rsidRPr="005E2177" w:rsidRDefault="00967577" w:rsidP="002C677E">
            <w:pPr>
              <w:rPr>
                <w:rFonts w:ascii="Arial Narrow" w:hAnsi="Arial Narrow"/>
                <w:color w:val="333333"/>
                <w:sz w:val="20"/>
                <w:szCs w:val="20"/>
              </w:rPr>
            </w:pPr>
            <w:r w:rsidRPr="005E2177">
              <w:rPr>
                <w:rFonts w:ascii="Arial Narrow" w:hAnsi="Arial Narrow"/>
                <w:b/>
                <w:bCs/>
                <w:color w:val="333333"/>
                <w:sz w:val="20"/>
                <w:szCs w:val="20"/>
              </w:rPr>
              <w:t>AND</w:t>
            </w:r>
          </w:p>
        </w:tc>
      </w:tr>
      <w:tr w:rsidR="00967577" w:rsidRPr="005E2177" w14:paraId="4A15C3A9" w14:textId="77777777" w:rsidTr="00240E28">
        <w:tc>
          <w:tcPr>
            <w:tcW w:w="553" w:type="pct"/>
            <w:vAlign w:val="center"/>
          </w:tcPr>
          <w:p w14:paraId="6B769995" w14:textId="19AB40AE" w:rsidR="00967577" w:rsidRPr="005E2177" w:rsidRDefault="00967577" w:rsidP="002C677E">
            <w:pPr>
              <w:jc w:val="center"/>
              <w:rPr>
                <w:rFonts w:ascii="Arial Narrow" w:hAnsi="Arial Narrow"/>
                <w:color w:val="333333"/>
                <w:sz w:val="20"/>
                <w:szCs w:val="20"/>
              </w:rPr>
            </w:pPr>
          </w:p>
        </w:tc>
        <w:tc>
          <w:tcPr>
            <w:tcW w:w="4447" w:type="pct"/>
            <w:vAlign w:val="center"/>
            <w:hideMark/>
          </w:tcPr>
          <w:p w14:paraId="3FEEE00A" w14:textId="77777777" w:rsidR="00967577" w:rsidRPr="005E2177" w:rsidRDefault="00967577" w:rsidP="002C677E">
            <w:pPr>
              <w:rPr>
                <w:rFonts w:ascii="Arial Narrow" w:hAnsi="Arial Narrow"/>
                <w:color w:val="333333"/>
                <w:sz w:val="20"/>
                <w:szCs w:val="20"/>
              </w:rPr>
            </w:pPr>
            <w:r w:rsidRPr="005E2177">
              <w:rPr>
                <w:rFonts w:ascii="Arial Narrow" w:hAnsi="Arial Narrow"/>
                <w:b/>
                <w:bCs/>
                <w:color w:val="333333"/>
                <w:sz w:val="20"/>
                <w:szCs w:val="20"/>
              </w:rPr>
              <w:t>Population criteria:</w:t>
            </w:r>
          </w:p>
        </w:tc>
      </w:tr>
      <w:tr w:rsidR="00967577" w:rsidRPr="005E2177" w14:paraId="0CC5FE8B" w14:textId="77777777" w:rsidTr="00AF4912">
        <w:tc>
          <w:tcPr>
            <w:tcW w:w="553" w:type="pct"/>
            <w:vAlign w:val="center"/>
          </w:tcPr>
          <w:p w14:paraId="4000170A" w14:textId="59DD245B" w:rsidR="00967577" w:rsidRPr="005E2177" w:rsidRDefault="00967577" w:rsidP="002C677E">
            <w:pPr>
              <w:jc w:val="center"/>
              <w:rPr>
                <w:rFonts w:ascii="Arial Narrow" w:hAnsi="Arial Narrow"/>
                <w:color w:val="333333"/>
                <w:sz w:val="20"/>
                <w:szCs w:val="20"/>
              </w:rPr>
            </w:pPr>
          </w:p>
        </w:tc>
        <w:tc>
          <w:tcPr>
            <w:tcW w:w="4447" w:type="pct"/>
            <w:vAlign w:val="center"/>
            <w:hideMark/>
          </w:tcPr>
          <w:p w14:paraId="5E80C302" w14:textId="30021CEA" w:rsidR="00967577" w:rsidRPr="005E2177" w:rsidRDefault="00967577" w:rsidP="002C677E">
            <w:pPr>
              <w:rPr>
                <w:rFonts w:ascii="Arial Narrow" w:hAnsi="Arial Narrow"/>
                <w:color w:val="333333"/>
                <w:sz w:val="20"/>
                <w:szCs w:val="20"/>
              </w:rPr>
            </w:pPr>
            <w:r w:rsidRPr="005E2177">
              <w:rPr>
                <w:rFonts w:ascii="Arial Narrow" w:hAnsi="Arial Narrow"/>
                <w:color w:val="333333"/>
                <w:sz w:val="20"/>
                <w:szCs w:val="20"/>
              </w:rPr>
              <w:t>Patient must be at least 18 years of age</w:t>
            </w:r>
          </w:p>
        </w:tc>
      </w:tr>
      <w:tr w:rsidR="00967577" w:rsidRPr="005E2177" w14:paraId="1FC898E0" w14:textId="77777777" w:rsidTr="00AF4912">
        <w:tc>
          <w:tcPr>
            <w:tcW w:w="553" w:type="pct"/>
            <w:vAlign w:val="center"/>
          </w:tcPr>
          <w:p w14:paraId="22C2D3AB" w14:textId="13C8AC66" w:rsidR="00967577" w:rsidRPr="005E2177" w:rsidRDefault="00967577" w:rsidP="002C677E">
            <w:pPr>
              <w:jc w:val="center"/>
              <w:rPr>
                <w:rFonts w:ascii="Arial Narrow" w:hAnsi="Arial Narrow"/>
                <w:color w:val="333333"/>
                <w:sz w:val="20"/>
                <w:szCs w:val="20"/>
              </w:rPr>
            </w:pPr>
          </w:p>
        </w:tc>
        <w:tc>
          <w:tcPr>
            <w:tcW w:w="4447" w:type="pct"/>
            <w:vAlign w:val="center"/>
            <w:hideMark/>
          </w:tcPr>
          <w:p w14:paraId="273F114D"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 xml:space="preserve">Prescribing Instructions: </w:t>
            </w:r>
          </w:p>
          <w:p w14:paraId="39878A12" w14:textId="77777777" w:rsidR="00967577" w:rsidRPr="005E2177" w:rsidRDefault="00967577" w:rsidP="002C677E">
            <w:pPr>
              <w:rPr>
                <w:rFonts w:ascii="Arial Narrow" w:hAnsi="Arial Narrow"/>
                <w:color w:val="333333"/>
                <w:sz w:val="20"/>
                <w:szCs w:val="20"/>
              </w:rPr>
            </w:pPr>
            <w:r w:rsidRPr="005E2177">
              <w:rPr>
                <w:rFonts w:ascii="Arial Narrow" w:hAnsi="Arial Narrow"/>
                <w:bCs/>
                <w:color w:val="333333"/>
                <w:sz w:val="20"/>
                <w:szCs w:val="20"/>
              </w:rPr>
              <w:t>An adequate response to treatment is defined as:, an erythrocyte sedimentation rate (ESR) no greater than 25 mm per hour or a C-reactive protein (CRP) level no greater than 15 mg per L or either marker reduced by at least 20% from baseline; and, either of the following:, (a) a reduction in the total active (swollen and tender) joint count by at least 50% from baseline, where baseline is at least 20 active joints; or, (b) a reduction in the number of the following major active joints, from at least 4, by at least 50%:, (i) elbow, wrist, knee and/or ankle (assessed as swollen and tender); and/or, (ii) shoulder and/or hip (assessed as pain in passive movement and restriction of passive movement, where pain and limitation of movement are due to active disease and not irreversible damage such as joint destruction or bony overgrowth).</w:t>
            </w:r>
          </w:p>
        </w:tc>
      </w:tr>
      <w:tr w:rsidR="00967577" w:rsidRPr="005E2177" w14:paraId="77A7FFBA" w14:textId="77777777" w:rsidTr="00240E28">
        <w:tc>
          <w:tcPr>
            <w:tcW w:w="553" w:type="pct"/>
            <w:vAlign w:val="center"/>
          </w:tcPr>
          <w:p w14:paraId="6D9D9606" w14:textId="148A89C4" w:rsidR="00967577" w:rsidRPr="005E2177" w:rsidRDefault="00967577" w:rsidP="002C677E">
            <w:pPr>
              <w:jc w:val="center"/>
              <w:rPr>
                <w:rFonts w:ascii="Arial Narrow" w:hAnsi="Arial Narrow"/>
                <w:color w:val="333333"/>
                <w:sz w:val="20"/>
                <w:szCs w:val="20"/>
              </w:rPr>
            </w:pPr>
          </w:p>
        </w:tc>
        <w:tc>
          <w:tcPr>
            <w:tcW w:w="4447" w:type="pct"/>
            <w:vAlign w:val="center"/>
          </w:tcPr>
          <w:p w14:paraId="51915D6A"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 xml:space="preserve">Prescribing Instructions: </w:t>
            </w:r>
          </w:p>
          <w:p w14:paraId="50B98173" w14:textId="77777777" w:rsidR="00967577" w:rsidRPr="005E2177" w:rsidRDefault="00967577" w:rsidP="002C677E">
            <w:pPr>
              <w:rPr>
                <w:rFonts w:ascii="Arial Narrow" w:hAnsi="Arial Narrow"/>
                <w:color w:val="333333"/>
                <w:sz w:val="20"/>
                <w:szCs w:val="20"/>
              </w:rPr>
            </w:pPr>
            <w:r w:rsidRPr="005E2177">
              <w:rPr>
                <w:rFonts w:ascii="Arial Narrow" w:hAnsi="Arial Narrow"/>
                <w:bCs/>
                <w:color w:val="333333"/>
                <w:sz w:val="20"/>
                <w:szCs w:val="20"/>
              </w:rPr>
              <w:t>The same indices of disease severity used to establish baseline at the commencement of treatment with each initial treatment application must be used to determine response for all subsequent continuing treatments.</w:t>
            </w:r>
          </w:p>
        </w:tc>
      </w:tr>
      <w:tr w:rsidR="00967577" w:rsidRPr="005E2177" w14:paraId="2CB14882" w14:textId="77777777" w:rsidTr="00240E28">
        <w:tc>
          <w:tcPr>
            <w:tcW w:w="553" w:type="pct"/>
            <w:vAlign w:val="center"/>
          </w:tcPr>
          <w:p w14:paraId="030A7271" w14:textId="5A44BA82" w:rsidR="00573531" w:rsidRPr="005E2177" w:rsidRDefault="00573531" w:rsidP="002C677E">
            <w:pPr>
              <w:jc w:val="center"/>
              <w:rPr>
                <w:rFonts w:ascii="Arial Narrow" w:hAnsi="Arial Narrow"/>
                <w:color w:val="333333"/>
                <w:sz w:val="20"/>
                <w:szCs w:val="20"/>
              </w:rPr>
            </w:pPr>
          </w:p>
        </w:tc>
        <w:tc>
          <w:tcPr>
            <w:tcW w:w="4447" w:type="pct"/>
            <w:vAlign w:val="center"/>
          </w:tcPr>
          <w:p w14:paraId="42D513DF"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 xml:space="preserve">Prescribing Instructions: </w:t>
            </w:r>
          </w:p>
          <w:p w14:paraId="03681C0C" w14:textId="77777777" w:rsidR="00967577" w:rsidRPr="005E2177" w:rsidRDefault="00967577" w:rsidP="002C677E">
            <w:pPr>
              <w:rPr>
                <w:rFonts w:ascii="Arial Narrow" w:hAnsi="Arial Narrow"/>
                <w:bCs/>
                <w:color w:val="333333"/>
                <w:sz w:val="20"/>
                <w:szCs w:val="20"/>
              </w:rPr>
            </w:pPr>
            <w:r w:rsidRPr="005E2177">
              <w:rPr>
                <w:rFonts w:ascii="Arial Narrow" w:hAnsi="Arial Narrow"/>
                <w:bCs/>
                <w:color w:val="333333"/>
                <w:sz w:val="20"/>
                <w:szCs w:val="20"/>
              </w:rPr>
              <w:t>The authority application must be made in writing and must include:</w:t>
            </w:r>
          </w:p>
          <w:p w14:paraId="4C08AE28" w14:textId="77777777" w:rsidR="00967577" w:rsidRPr="005E2177" w:rsidRDefault="00967577" w:rsidP="002C677E">
            <w:pPr>
              <w:rPr>
                <w:rFonts w:ascii="Arial Narrow" w:hAnsi="Arial Narrow"/>
                <w:bCs/>
                <w:color w:val="333333"/>
                <w:sz w:val="20"/>
                <w:szCs w:val="20"/>
              </w:rPr>
            </w:pPr>
            <w:r w:rsidRPr="005E2177">
              <w:rPr>
                <w:rFonts w:ascii="Arial Narrow" w:hAnsi="Arial Narrow"/>
                <w:bCs/>
                <w:color w:val="333333"/>
                <w:sz w:val="20"/>
                <w:szCs w:val="20"/>
              </w:rPr>
              <w:t xml:space="preserve">(a) a completed authority prescription form(s); and, </w:t>
            </w:r>
          </w:p>
          <w:p w14:paraId="040E1E69" w14:textId="77777777" w:rsidR="00967577" w:rsidRPr="005E2177" w:rsidRDefault="00967577" w:rsidP="002C677E">
            <w:pPr>
              <w:rPr>
                <w:rFonts w:ascii="Arial Narrow" w:hAnsi="Arial Narrow"/>
                <w:bCs/>
                <w:color w:val="333333"/>
                <w:sz w:val="20"/>
                <w:szCs w:val="20"/>
              </w:rPr>
            </w:pPr>
            <w:r w:rsidRPr="005E2177">
              <w:rPr>
                <w:rFonts w:ascii="Arial Narrow" w:hAnsi="Arial Narrow"/>
                <w:bCs/>
                <w:color w:val="333333"/>
                <w:sz w:val="20"/>
                <w:szCs w:val="20"/>
              </w:rPr>
              <w:t>(b) a completed authority application form relevant to the indication and treatment phase (the latest version is located on the website specified in the Administrative Advice).</w:t>
            </w:r>
          </w:p>
        </w:tc>
      </w:tr>
      <w:tr w:rsidR="00967577" w:rsidRPr="005E2177" w14:paraId="4A25FF9B" w14:textId="77777777" w:rsidTr="00240E28">
        <w:tc>
          <w:tcPr>
            <w:tcW w:w="553" w:type="pct"/>
            <w:vAlign w:val="center"/>
          </w:tcPr>
          <w:p w14:paraId="5CC60705" w14:textId="19B3E4E5" w:rsidR="00967577" w:rsidRPr="005E2177" w:rsidRDefault="00967577" w:rsidP="002C677E">
            <w:pPr>
              <w:jc w:val="center"/>
              <w:rPr>
                <w:rFonts w:ascii="Arial Narrow" w:hAnsi="Arial Narrow"/>
                <w:color w:val="333333"/>
                <w:sz w:val="20"/>
                <w:szCs w:val="20"/>
              </w:rPr>
            </w:pPr>
          </w:p>
        </w:tc>
        <w:tc>
          <w:tcPr>
            <w:tcW w:w="4447" w:type="pct"/>
            <w:vAlign w:val="center"/>
          </w:tcPr>
          <w:p w14:paraId="34083E22"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 xml:space="preserve">Prescribing Instructions: </w:t>
            </w:r>
          </w:p>
          <w:p w14:paraId="3B4466BC" w14:textId="77777777" w:rsidR="00967577" w:rsidRPr="005E2177" w:rsidRDefault="00967577" w:rsidP="002C677E">
            <w:pPr>
              <w:rPr>
                <w:rFonts w:ascii="Arial Narrow" w:hAnsi="Arial Narrow"/>
                <w:color w:val="333333"/>
                <w:sz w:val="20"/>
                <w:szCs w:val="20"/>
              </w:rPr>
            </w:pPr>
            <w:r w:rsidRPr="005E2177">
              <w:rPr>
                <w:rFonts w:ascii="Arial Narrow" w:hAnsi="Arial Narrow"/>
                <w:bCs/>
                <w:color w:val="333333"/>
                <w:sz w:val="20"/>
                <w:szCs w:val="20"/>
              </w:rP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p>
        </w:tc>
      </w:tr>
      <w:tr w:rsidR="00967577" w:rsidRPr="005E2177" w14:paraId="413E512B" w14:textId="77777777" w:rsidTr="00240E28">
        <w:tc>
          <w:tcPr>
            <w:tcW w:w="553" w:type="pct"/>
            <w:vAlign w:val="center"/>
          </w:tcPr>
          <w:p w14:paraId="2ECBB7D3" w14:textId="2560EC9A" w:rsidR="00967577" w:rsidRPr="005E2177" w:rsidRDefault="00967577" w:rsidP="002C677E">
            <w:pPr>
              <w:jc w:val="center"/>
              <w:rPr>
                <w:rFonts w:ascii="Arial Narrow" w:hAnsi="Arial Narrow"/>
                <w:color w:val="333333"/>
                <w:sz w:val="20"/>
                <w:szCs w:val="20"/>
              </w:rPr>
            </w:pPr>
          </w:p>
        </w:tc>
        <w:tc>
          <w:tcPr>
            <w:tcW w:w="4447" w:type="pct"/>
            <w:vAlign w:val="center"/>
          </w:tcPr>
          <w:p w14:paraId="5857DD50"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 xml:space="preserve">Prescribing Instructions: </w:t>
            </w:r>
          </w:p>
          <w:p w14:paraId="3DD220BA" w14:textId="77777777" w:rsidR="00967577" w:rsidRPr="005E2177" w:rsidRDefault="00967577" w:rsidP="002C677E">
            <w:pPr>
              <w:rPr>
                <w:rFonts w:ascii="Arial Narrow" w:hAnsi="Arial Narrow"/>
                <w:b/>
                <w:bCs/>
                <w:color w:val="333333"/>
                <w:sz w:val="20"/>
                <w:szCs w:val="20"/>
              </w:rPr>
            </w:pPr>
            <w:r w:rsidRPr="005E2177">
              <w:rPr>
                <w:rFonts w:ascii="Arial Narrow" w:hAnsi="Arial Narrow"/>
                <w:bCs/>
                <w:color w:val="333333"/>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967577" w:rsidRPr="005E2177" w14:paraId="5AB801FB" w14:textId="77777777" w:rsidTr="00240E28">
        <w:tc>
          <w:tcPr>
            <w:tcW w:w="553" w:type="pct"/>
            <w:vAlign w:val="center"/>
          </w:tcPr>
          <w:p w14:paraId="0EBCB10C" w14:textId="12618765" w:rsidR="00967577" w:rsidRPr="005E2177" w:rsidRDefault="00967577" w:rsidP="002C677E">
            <w:pPr>
              <w:jc w:val="center"/>
              <w:rPr>
                <w:rFonts w:ascii="Arial Narrow" w:hAnsi="Arial Narrow"/>
                <w:color w:val="333333"/>
                <w:sz w:val="20"/>
                <w:szCs w:val="20"/>
              </w:rPr>
            </w:pPr>
          </w:p>
        </w:tc>
        <w:tc>
          <w:tcPr>
            <w:tcW w:w="4447" w:type="pct"/>
            <w:vAlign w:val="center"/>
          </w:tcPr>
          <w:p w14:paraId="77E0C557"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 xml:space="preserve">Prescribing Instructions: </w:t>
            </w:r>
          </w:p>
          <w:p w14:paraId="04FF8C5A" w14:textId="77777777" w:rsidR="00967577" w:rsidRPr="005E2177" w:rsidRDefault="00967577" w:rsidP="002C677E">
            <w:pPr>
              <w:rPr>
                <w:rFonts w:ascii="Arial Narrow" w:hAnsi="Arial Narrow"/>
                <w:b/>
                <w:bCs/>
                <w:color w:val="333333"/>
                <w:sz w:val="20"/>
                <w:szCs w:val="20"/>
              </w:rPr>
            </w:pPr>
            <w:r w:rsidRPr="005E2177">
              <w:rPr>
                <w:rFonts w:ascii="Arial Narrow" w:hAnsi="Arial Narrow"/>
                <w:bCs/>
                <w:color w:val="333333"/>
                <w:sz w:val="20"/>
                <w:szCs w:val="20"/>
              </w:rPr>
              <w:t xml:space="preserve">If a patient fails to demonstrate a response to treatment with this </w:t>
            </w:r>
            <w:proofErr w:type="gramStart"/>
            <w:r w:rsidRPr="005E2177">
              <w:rPr>
                <w:rFonts w:ascii="Arial Narrow" w:hAnsi="Arial Narrow"/>
                <w:bCs/>
                <w:color w:val="333333"/>
                <w:sz w:val="20"/>
                <w:szCs w:val="20"/>
              </w:rPr>
              <w:t>drug</w:t>
            </w:r>
            <w:proofErr w:type="gramEnd"/>
            <w:r w:rsidRPr="005E2177">
              <w:rPr>
                <w:rFonts w:ascii="Arial Narrow" w:hAnsi="Arial Narrow"/>
                <w:bCs/>
                <w:color w:val="333333"/>
                <w:sz w:val="20"/>
                <w:szCs w:val="20"/>
              </w:rPr>
              <w:t xml:space="preserve">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967577" w:rsidRPr="005E2177" w14:paraId="7389886F" w14:textId="77777777" w:rsidTr="00240E28">
        <w:tc>
          <w:tcPr>
            <w:tcW w:w="553" w:type="pct"/>
            <w:vAlign w:val="center"/>
          </w:tcPr>
          <w:p w14:paraId="6030D73E" w14:textId="4293F10D" w:rsidR="00967577" w:rsidRPr="005E2177" w:rsidRDefault="00967577" w:rsidP="002C677E">
            <w:pPr>
              <w:jc w:val="center"/>
              <w:rPr>
                <w:rFonts w:ascii="Arial Narrow" w:hAnsi="Arial Narrow"/>
                <w:color w:val="333333"/>
                <w:sz w:val="20"/>
                <w:szCs w:val="20"/>
              </w:rPr>
            </w:pPr>
          </w:p>
        </w:tc>
        <w:tc>
          <w:tcPr>
            <w:tcW w:w="4447" w:type="pct"/>
            <w:vAlign w:val="center"/>
          </w:tcPr>
          <w:p w14:paraId="4CBE564A"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 xml:space="preserve">Prescribing Instructions: </w:t>
            </w:r>
          </w:p>
          <w:p w14:paraId="3D013CE2" w14:textId="77777777" w:rsidR="00967577" w:rsidRPr="005E2177" w:rsidRDefault="00967577" w:rsidP="002C677E">
            <w:pPr>
              <w:rPr>
                <w:rFonts w:ascii="Arial Narrow" w:hAnsi="Arial Narrow"/>
                <w:color w:val="333333"/>
                <w:sz w:val="20"/>
                <w:szCs w:val="20"/>
              </w:rPr>
            </w:pPr>
            <w:r w:rsidRPr="005E2177">
              <w:rPr>
                <w:rFonts w:ascii="Arial Narrow" w:hAnsi="Arial Narrow"/>
                <w:bCs/>
                <w:color w:val="333333"/>
                <w:sz w:val="20"/>
                <w:szCs w:val="20"/>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r>
      <w:tr w:rsidR="00967577" w:rsidRPr="005E2177" w14:paraId="323813C6" w14:textId="77777777" w:rsidTr="00AF4912">
        <w:tc>
          <w:tcPr>
            <w:tcW w:w="553" w:type="pct"/>
            <w:vAlign w:val="center"/>
          </w:tcPr>
          <w:p w14:paraId="1185E3B0" w14:textId="7191C774" w:rsidR="00967577" w:rsidRPr="005E2177" w:rsidRDefault="00967577" w:rsidP="002C677E">
            <w:pPr>
              <w:jc w:val="center"/>
              <w:rPr>
                <w:rFonts w:ascii="Arial Narrow" w:hAnsi="Arial Narrow"/>
                <w:color w:val="333333"/>
                <w:sz w:val="20"/>
                <w:szCs w:val="20"/>
              </w:rPr>
            </w:pPr>
          </w:p>
        </w:tc>
        <w:tc>
          <w:tcPr>
            <w:tcW w:w="4447" w:type="pct"/>
            <w:vAlign w:val="center"/>
            <w:hideMark/>
          </w:tcPr>
          <w:p w14:paraId="587CA34A" w14:textId="77777777" w:rsidR="00967577" w:rsidRPr="005E2177" w:rsidRDefault="00967577" w:rsidP="002C677E">
            <w:pPr>
              <w:rPr>
                <w:rFonts w:ascii="Arial Narrow" w:hAnsi="Arial Narrow"/>
                <w:bCs/>
                <w:color w:val="333333"/>
                <w:sz w:val="20"/>
                <w:szCs w:val="20"/>
              </w:rPr>
            </w:pPr>
            <w:r w:rsidRPr="005E2177">
              <w:rPr>
                <w:rFonts w:ascii="Arial Narrow" w:hAnsi="Arial Narrow"/>
                <w:b/>
                <w:bCs/>
                <w:color w:val="333333"/>
                <w:sz w:val="20"/>
                <w:szCs w:val="20"/>
              </w:rPr>
              <w:t>Administrative Advice:</w:t>
            </w:r>
            <w:r w:rsidRPr="005E2177">
              <w:rPr>
                <w:rFonts w:ascii="Arial Narrow" w:hAnsi="Arial Narrow"/>
                <w:bCs/>
                <w:color w:val="333333"/>
                <w:sz w:val="20"/>
                <w:szCs w:val="20"/>
              </w:rPr>
              <w:t xml:space="preserve"> </w:t>
            </w:r>
          </w:p>
          <w:p w14:paraId="40912B3E" w14:textId="0EBE914E" w:rsidR="00967577" w:rsidRPr="005E2177" w:rsidRDefault="00967577" w:rsidP="002C677E">
            <w:pPr>
              <w:rPr>
                <w:rFonts w:ascii="Arial Narrow" w:hAnsi="Arial Narrow"/>
                <w:bCs/>
                <w:color w:val="333333"/>
                <w:sz w:val="20"/>
                <w:szCs w:val="20"/>
              </w:rPr>
            </w:pPr>
            <w:r w:rsidRPr="005E2177">
              <w:rPr>
                <w:rFonts w:ascii="Arial Narrow" w:hAnsi="Arial Narrow"/>
                <w:bCs/>
                <w:color w:val="333333"/>
                <w:sz w:val="20"/>
                <w:szCs w:val="20"/>
              </w:rPr>
              <w:t>Any queries concerning the arrangements to prescribe may be directed to Services Australia on 1800 700 270 (hours of operation 8 a.m. to 5 p.m. Monday to Friday).</w:t>
            </w:r>
          </w:p>
          <w:p w14:paraId="1C34CFCE" w14:textId="77777777" w:rsidR="00967577" w:rsidRPr="005E2177" w:rsidRDefault="00967577" w:rsidP="002C677E">
            <w:pPr>
              <w:rPr>
                <w:rFonts w:ascii="Arial Narrow" w:hAnsi="Arial Narrow"/>
                <w:bCs/>
                <w:color w:val="333333"/>
                <w:sz w:val="20"/>
                <w:szCs w:val="20"/>
              </w:rPr>
            </w:pPr>
            <w:r w:rsidRPr="005E2177">
              <w:rPr>
                <w:rFonts w:ascii="Arial Narrow" w:hAnsi="Arial Narrow"/>
                <w:bCs/>
                <w:color w:val="333333"/>
                <w:sz w:val="20"/>
                <w:szCs w:val="20"/>
              </w:rPr>
              <w:t xml:space="preserve">Prescribing information (including Authority Application forms and other relevant documentation as applicable) is available on the Services Australia website at </w:t>
            </w:r>
            <w:hyperlink r:id="rId18" w:history="1">
              <w:r w:rsidRPr="005E2177">
                <w:rPr>
                  <w:rStyle w:val="Hyperlink"/>
                  <w:rFonts w:ascii="Arial Narrow" w:hAnsi="Arial Narrow"/>
                  <w:bCs/>
                  <w:sz w:val="20"/>
                  <w:szCs w:val="20"/>
                </w:rPr>
                <w:t>www.servicesaustralia.gov.au</w:t>
              </w:r>
            </w:hyperlink>
            <w:r w:rsidRPr="005E2177">
              <w:rPr>
                <w:rFonts w:ascii="Arial Narrow" w:hAnsi="Arial Narrow"/>
                <w:bCs/>
                <w:color w:val="333333"/>
                <w:sz w:val="20"/>
                <w:szCs w:val="20"/>
              </w:rPr>
              <w:t xml:space="preserve">, </w:t>
            </w:r>
          </w:p>
          <w:p w14:paraId="3114C2FD" w14:textId="77777777" w:rsidR="00967577" w:rsidRPr="005E2177" w:rsidRDefault="00967577" w:rsidP="002C677E">
            <w:pPr>
              <w:rPr>
                <w:rFonts w:ascii="Arial Narrow" w:hAnsi="Arial Narrow"/>
                <w:bCs/>
                <w:color w:val="333333"/>
                <w:sz w:val="20"/>
                <w:szCs w:val="20"/>
              </w:rPr>
            </w:pPr>
            <w:r w:rsidRPr="005E2177">
              <w:rPr>
                <w:rFonts w:ascii="Arial Narrow" w:hAnsi="Arial Narrow"/>
                <w:bCs/>
                <w:color w:val="333333"/>
                <w:sz w:val="20"/>
                <w:szCs w:val="20"/>
              </w:rPr>
              <w:t xml:space="preserve">Applications for authority to prescribe should be submitted online using the form upload facility in Health Professional Online Services (HPOS) at </w:t>
            </w:r>
            <w:hyperlink r:id="rId19" w:history="1">
              <w:r w:rsidRPr="005E2177">
                <w:rPr>
                  <w:rStyle w:val="Hyperlink"/>
                  <w:rFonts w:ascii="Arial Narrow" w:hAnsi="Arial Narrow"/>
                  <w:bCs/>
                  <w:sz w:val="20"/>
                  <w:szCs w:val="20"/>
                </w:rPr>
                <w:t>www.servicesaustralia.gov.au/hpos</w:t>
              </w:r>
            </w:hyperlink>
            <w:r w:rsidRPr="005E2177">
              <w:rPr>
                <w:rFonts w:ascii="Arial Narrow" w:hAnsi="Arial Narrow"/>
                <w:bCs/>
                <w:color w:val="333333"/>
                <w:sz w:val="20"/>
                <w:szCs w:val="20"/>
              </w:rPr>
              <w:t xml:space="preserve">, </w:t>
            </w:r>
          </w:p>
          <w:p w14:paraId="048943BF" w14:textId="77777777" w:rsidR="00967577" w:rsidRPr="005E2177" w:rsidRDefault="00967577" w:rsidP="002C677E">
            <w:pPr>
              <w:rPr>
                <w:rFonts w:ascii="Arial Narrow" w:hAnsi="Arial Narrow"/>
                <w:bCs/>
                <w:color w:val="333333"/>
                <w:sz w:val="20"/>
                <w:szCs w:val="20"/>
              </w:rPr>
            </w:pPr>
            <w:r w:rsidRPr="005E2177">
              <w:rPr>
                <w:rFonts w:ascii="Arial Narrow" w:hAnsi="Arial Narrow"/>
                <w:bCs/>
                <w:color w:val="333333"/>
                <w:sz w:val="20"/>
                <w:szCs w:val="20"/>
              </w:rPr>
              <w:t>Or mailed to:</w:t>
            </w:r>
          </w:p>
          <w:p w14:paraId="20F8B614" w14:textId="77777777" w:rsidR="00967577" w:rsidRPr="005E2177" w:rsidRDefault="00967577" w:rsidP="002C677E">
            <w:pPr>
              <w:rPr>
                <w:rFonts w:ascii="Arial Narrow" w:hAnsi="Arial Narrow"/>
                <w:bCs/>
                <w:color w:val="333333"/>
                <w:sz w:val="20"/>
                <w:szCs w:val="20"/>
              </w:rPr>
            </w:pPr>
            <w:r w:rsidRPr="005E2177">
              <w:rPr>
                <w:rFonts w:ascii="Arial Narrow" w:hAnsi="Arial Narrow"/>
                <w:bCs/>
                <w:color w:val="333333"/>
                <w:sz w:val="20"/>
                <w:szCs w:val="20"/>
              </w:rPr>
              <w:t xml:space="preserve">Services Australia, </w:t>
            </w:r>
          </w:p>
          <w:p w14:paraId="006DDFE2" w14:textId="77777777" w:rsidR="00967577" w:rsidRPr="005E2177" w:rsidRDefault="00967577" w:rsidP="002C677E">
            <w:pPr>
              <w:rPr>
                <w:rFonts w:ascii="Arial Narrow" w:hAnsi="Arial Narrow"/>
                <w:bCs/>
                <w:color w:val="333333"/>
                <w:sz w:val="20"/>
                <w:szCs w:val="20"/>
              </w:rPr>
            </w:pPr>
            <w:r w:rsidRPr="005E2177">
              <w:rPr>
                <w:rFonts w:ascii="Arial Narrow" w:hAnsi="Arial Narrow"/>
                <w:bCs/>
                <w:color w:val="333333"/>
                <w:sz w:val="20"/>
                <w:szCs w:val="20"/>
              </w:rPr>
              <w:t xml:space="preserve">Complex Drugs, </w:t>
            </w:r>
          </w:p>
          <w:p w14:paraId="12328093" w14:textId="77777777" w:rsidR="00967577" w:rsidRPr="005E2177" w:rsidRDefault="00967577" w:rsidP="002C677E">
            <w:pPr>
              <w:rPr>
                <w:rFonts w:ascii="Arial Narrow" w:hAnsi="Arial Narrow"/>
                <w:bCs/>
                <w:color w:val="333333"/>
                <w:sz w:val="20"/>
                <w:szCs w:val="20"/>
              </w:rPr>
            </w:pPr>
            <w:r w:rsidRPr="005E2177">
              <w:rPr>
                <w:rFonts w:ascii="Arial Narrow" w:hAnsi="Arial Narrow"/>
                <w:bCs/>
                <w:color w:val="333333"/>
                <w:sz w:val="20"/>
                <w:szCs w:val="20"/>
              </w:rPr>
              <w:t xml:space="preserve">Reply Paid 9826, </w:t>
            </w:r>
          </w:p>
          <w:p w14:paraId="367B45F8" w14:textId="77777777" w:rsidR="00967577" w:rsidRPr="005E2177" w:rsidRDefault="00967577" w:rsidP="002C677E">
            <w:pPr>
              <w:rPr>
                <w:rFonts w:ascii="Arial Narrow" w:hAnsi="Arial Narrow"/>
                <w:color w:val="333333"/>
                <w:sz w:val="20"/>
                <w:szCs w:val="20"/>
              </w:rPr>
            </w:pPr>
            <w:r w:rsidRPr="005E2177">
              <w:rPr>
                <w:rFonts w:ascii="Arial Narrow" w:hAnsi="Arial Narrow"/>
                <w:bCs/>
                <w:color w:val="333333"/>
                <w:sz w:val="20"/>
                <w:szCs w:val="20"/>
              </w:rPr>
              <w:t>HOBART TAS 7001</w:t>
            </w:r>
          </w:p>
        </w:tc>
      </w:tr>
      <w:tr w:rsidR="00967577" w:rsidRPr="005E2177" w14:paraId="6C5B4C2D" w14:textId="77777777" w:rsidTr="00240E28">
        <w:tc>
          <w:tcPr>
            <w:tcW w:w="553" w:type="pct"/>
            <w:shd w:val="clear" w:color="auto" w:fill="A6A6A6" w:themeFill="background1" w:themeFillShade="A6"/>
            <w:vAlign w:val="center"/>
          </w:tcPr>
          <w:p w14:paraId="2C5B5877" w14:textId="77777777" w:rsidR="00967577" w:rsidRPr="005E2177" w:rsidRDefault="00967577" w:rsidP="002C677E">
            <w:pPr>
              <w:jc w:val="center"/>
              <w:rPr>
                <w:rFonts w:ascii="Arial Narrow" w:hAnsi="Arial Narrow"/>
                <w:color w:val="333333"/>
                <w:sz w:val="20"/>
                <w:szCs w:val="20"/>
              </w:rPr>
            </w:pPr>
          </w:p>
        </w:tc>
        <w:tc>
          <w:tcPr>
            <w:tcW w:w="4447" w:type="pct"/>
            <w:shd w:val="clear" w:color="auto" w:fill="A6A6A6" w:themeFill="background1" w:themeFillShade="A6"/>
            <w:vAlign w:val="center"/>
          </w:tcPr>
          <w:p w14:paraId="475D9649" w14:textId="77777777" w:rsidR="00967577" w:rsidRPr="005E2177" w:rsidRDefault="00967577" w:rsidP="002C677E">
            <w:pPr>
              <w:rPr>
                <w:rFonts w:ascii="Arial Narrow" w:hAnsi="Arial Narrow"/>
                <w:b/>
                <w:bCs/>
                <w:color w:val="333333"/>
                <w:sz w:val="20"/>
                <w:szCs w:val="20"/>
              </w:rPr>
            </w:pPr>
          </w:p>
        </w:tc>
      </w:tr>
      <w:tr w:rsidR="00967577" w:rsidRPr="005E2177" w14:paraId="60885F9B" w14:textId="77777777" w:rsidTr="00240E28">
        <w:tc>
          <w:tcPr>
            <w:tcW w:w="553" w:type="pct"/>
            <w:vAlign w:val="center"/>
          </w:tcPr>
          <w:p w14:paraId="05865C81" w14:textId="77777777" w:rsidR="00967577" w:rsidRPr="005E2177" w:rsidRDefault="00967577" w:rsidP="002C677E">
            <w:pPr>
              <w:jc w:val="center"/>
              <w:rPr>
                <w:rFonts w:ascii="Arial Narrow" w:hAnsi="Arial Narrow"/>
                <w:color w:val="333333"/>
                <w:sz w:val="20"/>
                <w:szCs w:val="20"/>
              </w:rPr>
            </w:pPr>
          </w:p>
        </w:tc>
        <w:tc>
          <w:tcPr>
            <w:tcW w:w="4447" w:type="pct"/>
            <w:vAlign w:val="center"/>
          </w:tcPr>
          <w:p w14:paraId="0E97619C"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Treatment Phase:</w:t>
            </w:r>
            <w:r w:rsidRPr="005E2177">
              <w:rPr>
                <w:rFonts w:ascii="Arial Narrow" w:hAnsi="Arial Narrow"/>
                <w:color w:val="333333"/>
                <w:sz w:val="20"/>
                <w:szCs w:val="20"/>
              </w:rPr>
              <w:t xml:space="preserve"> Continuing treatment - balance of supply</w:t>
            </w:r>
          </w:p>
        </w:tc>
      </w:tr>
      <w:tr w:rsidR="00967577" w:rsidRPr="005E2177" w14:paraId="5F16F8A0" w14:textId="77777777" w:rsidTr="00240E28">
        <w:tc>
          <w:tcPr>
            <w:tcW w:w="553" w:type="pct"/>
            <w:vAlign w:val="center"/>
          </w:tcPr>
          <w:p w14:paraId="6AC8B784" w14:textId="009DA46E" w:rsidR="00967577" w:rsidRPr="005E2177" w:rsidRDefault="00967577" w:rsidP="002C677E">
            <w:pPr>
              <w:jc w:val="center"/>
              <w:rPr>
                <w:rFonts w:ascii="Arial Narrow" w:hAnsi="Arial Narrow"/>
                <w:color w:val="333333"/>
                <w:sz w:val="20"/>
                <w:szCs w:val="20"/>
              </w:rPr>
            </w:pPr>
          </w:p>
        </w:tc>
        <w:tc>
          <w:tcPr>
            <w:tcW w:w="4447" w:type="pct"/>
            <w:vAlign w:val="center"/>
          </w:tcPr>
          <w:p w14:paraId="3135269C"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Clinical criteria:</w:t>
            </w:r>
          </w:p>
        </w:tc>
      </w:tr>
      <w:tr w:rsidR="00967577" w:rsidRPr="005E2177" w14:paraId="1D0D532D" w14:textId="77777777" w:rsidTr="00240E28">
        <w:tc>
          <w:tcPr>
            <w:tcW w:w="553" w:type="pct"/>
            <w:vAlign w:val="center"/>
          </w:tcPr>
          <w:p w14:paraId="0F4CF6AF" w14:textId="3AB9CA08" w:rsidR="00967577" w:rsidRPr="005E2177" w:rsidRDefault="00967577" w:rsidP="002C677E">
            <w:pPr>
              <w:jc w:val="center"/>
              <w:rPr>
                <w:rFonts w:ascii="Arial Narrow" w:hAnsi="Arial Narrow"/>
                <w:color w:val="333333"/>
                <w:sz w:val="20"/>
                <w:szCs w:val="20"/>
              </w:rPr>
            </w:pPr>
          </w:p>
        </w:tc>
        <w:tc>
          <w:tcPr>
            <w:tcW w:w="4447" w:type="pct"/>
            <w:vAlign w:val="center"/>
          </w:tcPr>
          <w:p w14:paraId="16A041E9" w14:textId="77777777" w:rsidR="00967577" w:rsidRPr="005E2177" w:rsidRDefault="00967577" w:rsidP="002C677E">
            <w:pPr>
              <w:rPr>
                <w:rFonts w:ascii="Arial Narrow" w:hAnsi="Arial Narrow"/>
                <w:b/>
                <w:bCs/>
                <w:color w:val="333333"/>
                <w:sz w:val="20"/>
                <w:szCs w:val="20"/>
              </w:rPr>
            </w:pPr>
            <w:r w:rsidRPr="005E2177">
              <w:rPr>
                <w:rFonts w:ascii="Arial Narrow" w:hAnsi="Arial Narrow"/>
                <w:color w:val="333333"/>
                <w:sz w:val="20"/>
                <w:szCs w:val="20"/>
              </w:rPr>
              <w:t>Patient must have received insufficient therapy with this drug for this condition under the continuing treatment restriction to complete 24 weeks treatment</w:t>
            </w:r>
          </w:p>
        </w:tc>
      </w:tr>
      <w:tr w:rsidR="00967577" w:rsidRPr="005E2177" w14:paraId="0EDD2C4C" w14:textId="77777777" w:rsidTr="00240E28">
        <w:tc>
          <w:tcPr>
            <w:tcW w:w="553" w:type="pct"/>
            <w:vAlign w:val="center"/>
          </w:tcPr>
          <w:p w14:paraId="233C9C6C" w14:textId="77777777" w:rsidR="00967577" w:rsidRPr="005E2177" w:rsidRDefault="00967577" w:rsidP="002C677E">
            <w:pPr>
              <w:jc w:val="center"/>
              <w:rPr>
                <w:rFonts w:ascii="Arial Narrow" w:hAnsi="Arial Narrow"/>
                <w:color w:val="333333"/>
                <w:sz w:val="20"/>
                <w:szCs w:val="20"/>
              </w:rPr>
            </w:pPr>
          </w:p>
        </w:tc>
        <w:tc>
          <w:tcPr>
            <w:tcW w:w="4447" w:type="pct"/>
            <w:vAlign w:val="center"/>
          </w:tcPr>
          <w:p w14:paraId="6749A21D"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AND</w:t>
            </w:r>
          </w:p>
        </w:tc>
      </w:tr>
      <w:tr w:rsidR="00967577" w:rsidRPr="005E2177" w14:paraId="0246EFDC" w14:textId="77777777" w:rsidTr="00240E28">
        <w:tc>
          <w:tcPr>
            <w:tcW w:w="553" w:type="pct"/>
            <w:vAlign w:val="center"/>
          </w:tcPr>
          <w:p w14:paraId="55F91974" w14:textId="048865FC" w:rsidR="00967577" w:rsidRPr="005E2177" w:rsidRDefault="00967577" w:rsidP="002C677E">
            <w:pPr>
              <w:jc w:val="center"/>
              <w:rPr>
                <w:rFonts w:ascii="Arial Narrow" w:hAnsi="Arial Narrow"/>
                <w:color w:val="333333"/>
                <w:sz w:val="20"/>
                <w:szCs w:val="20"/>
              </w:rPr>
            </w:pPr>
          </w:p>
        </w:tc>
        <w:tc>
          <w:tcPr>
            <w:tcW w:w="4447" w:type="pct"/>
            <w:vAlign w:val="center"/>
          </w:tcPr>
          <w:p w14:paraId="505259AC"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Clinical criteria:</w:t>
            </w:r>
          </w:p>
        </w:tc>
      </w:tr>
      <w:tr w:rsidR="00967577" w:rsidRPr="005E2177" w14:paraId="77DF167E" w14:textId="77777777" w:rsidTr="00240E28">
        <w:tc>
          <w:tcPr>
            <w:tcW w:w="553" w:type="pct"/>
            <w:vAlign w:val="center"/>
          </w:tcPr>
          <w:p w14:paraId="766C6C43" w14:textId="7FBD21A6" w:rsidR="00967577" w:rsidRPr="005E2177" w:rsidRDefault="00967577" w:rsidP="002C677E">
            <w:pPr>
              <w:jc w:val="center"/>
              <w:rPr>
                <w:rFonts w:ascii="Arial Narrow" w:hAnsi="Arial Narrow"/>
                <w:color w:val="333333"/>
                <w:sz w:val="20"/>
                <w:szCs w:val="20"/>
              </w:rPr>
            </w:pPr>
          </w:p>
        </w:tc>
        <w:tc>
          <w:tcPr>
            <w:tcW w:w="4447" w:type="pct"/>
            <w:vAlign w:val="center"/>
          </w:tcPr>
          <w:p w14:paraId="38824007" w14:textId="77777777" w:rsidR="00967577" w:rsidRPr="005E2177" w:rsidRDefault="00967577" w:rsidP="002C677E">
            <w:pPr>
              <w:rPr>
                <w:rFonts w:ascii="Arial Narrow" w:hAnsi="Arial Narrow"/>
                <w:b/>
                <w:bCs/>
                <w:color w:val="333333"/>
                <w:sz w:val="20"/>
                <w:szCs w:val="20"/>
              </w:rPr>
            </w:pPr>
            <w:r w:rsidRPr="005E2177">
              <w:rPr>
                <w:rFonts w:ascii="Arial Narrow" w:hAnsi="Arial Narrow"/>
                <w:color w:val="333333"/>
                <w:sz w:val="20"/>
                <w:szCs w:val="20"/>
              </w:rPr>
              <w:t>The treatment must provide no more than the balance of up to 24 weeks treatment available under the above restriction</w:t>
            </w:r>
          </w:p>
        </w:tc>
      </w:tr>
      <w:tr w:rsidR="00967577" w:rsidRPr="005E2177" w14:paraId="031EE046" w14:textId="77777777" w:rsidTr="00240E28">
        <w:tc>
          <w:tcPr>
            <w:tcW w:w="553" w:type="pct"/>
            <w:vAlign w:val="center"/>
          </w:tcPr>
          <w:p w14:paraId="446EEAB1" w14:textId="77777777" w:rsidR="00967577" w:rsidRPr="005E2177" w:rsidRDefault="00967577" w:rsidP="002C677E">
            <w:pPr>
              <w:jc w:val="center"/>
              <w:rPr>
                <w:rFonts w:ascii="Arial Narrow" w:hAnsi="Arial Narrow"/>
                <w:color w:val="333333"/>
                <w:sz w:val="20"/>
                <w:szCs w:val="20"/>
              </w:rPr>
            </w:pPr>
          </w:p>
        </w:tc>
        <w:tc>
          <w:tcPr>
            <w:tcW w:w="4447" w:type="pct"/>
            <w:vAlign w:val="center"/>
          </w:tcPr>
          <w:p w14:paraId="6E2E5925"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AND</w:t>
            </w:r>
          </w:p>
        </w:tc>
      </w:tr>
      <w:tr w:rsidR="00967577" w:rsidRPr="005E2177" w14:paraId="3556E098" w14:textId="77777777" w:rsidTr="00240E28">
        <w:tc>
          <w:tcPr>
            <w:tcW w:w="553" w:type="pct"/>
            <w:vAlign w:val="center"/>
          </w:tcPr>
          <w:p w14:paraId="528E8C69" w14:textId="15C0EAD9" w:rsidR="00967577" w:rsidRPr="005E2177" w:rsidRDefault="00967577" w:rsidP="002C677E">
            <w:pPr>
              <w:jc w:val="center"/>
              <w:rPr>
                <w:rFonts w:ascii="Arial Narrow" w:hAnsi="Arial Narrow"/>
                <w:color w:val="333333"/>
                <w:sz w:val="20"/>
                <w:szCs w:val="20"/>
              </w:rPr>
            </w:pPr>
          </w:p>
        </w:tc>
        <w:tc>
          <w:tcPr>
            <w:tcW w:w="4447" w:type="pct"/>
            <w:vAlign w:val="center"/>
          </w:tcPr>
          <w:p w14:paraId="41AD6DB7"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Treatment criteria:</w:t>
            </w:r>
          </w:p>
        </w:tc>
      </w:tr>
      <w:tr w:rsidR="00967577" w:rsidRPr="005E2177" w14:paraId="5FFEFBA6" w14:textId="77777777" w:rsidTr="00240E28">
        <w:tc>
          <w:tcPr>
            <w:tcW w:w="553" w:type="pct"/>
            <w:vAlign w:val="center"/>
          </w:tcPr>
          <w:p w14:paraId="60F2FC43" w14:textId="24FE3EF5" w:rsidR="00967577" w:rsidRPr="005E2177" w:rsidRDefault="00967577" w:rsidP="002C677E">
            <w:pPr>
              <w:jc w:val="center"/>
              <w:rPr>
                <w:rFonts w:ascii="Arial Narrow" w:hAnsi="Arial Narrow"/>
                <w:color w:val="333333"/>
                <w:sz w:val="20"/>
                <w:szCs w:val="20"/>
              </w:rPr>
            </w:pPr>
          </w:p>
        </w:tc>
        <w:tc>
          <w:tcPr>
            <w:tcW w:w="4447" w:type="pct"/>
            <w:vAlign w:val="center"/>
          </w:tcPr>
          <w:p w14:paraId="64C47665" w14:textId="77777777" w:rsidR="00967577" w:rsidRPr="005E2177" w:rsidRDefault="00967577" w:rsidP="002C677E">
            <w:pPr>
              <w:autoSpaceDE w:val="0"/>
              <w:autoSpaceDN w:val="0"/>
              <w:adjustRightInd w:val="0"/>
              <w:rPr>
                <w:rFonts w:ascii="Arial Narrow" w:hAnsi="Arial Narrow" w:cs="Arial Narrow"/>
                <w:sz w:val="20"/>
                <w:szCs w:val="20"/>
              </w:rPr>
            </w:pPr>
            <w:r w:rsidRPr="005E2177">
              <w:rPr>
                <w:rFonts w:ascii="Arial Narrow" w:hAnsi="Arial Narrow" w:cs="Arial Narrow"/>
                <w:sz w:val="20"/>
                <w:szCs w:val="20"/>
              </w:rPr>
              <w:t xml:space="preserve">Must be treated by a rheumatologist; or </w:t>
            </w:r>
          </w:p>
        </w:tc>
      </w:tr>
      <w:tr w:rsidR="00967577" w:rsidRPr="005E2177" w14:paraId="00BC39E2" w14:textId="77777777" w:rsidTr="00240E28">
        <w:tc>
          <w:tcPr>
            <w:tcW w:w="553" w:type="pct"/>
            <w:vAlign w:val="center"/>
          </w:tcPr>
          <w:p w14:paraId="5408EBEA" w14:textId="48C1F25A" w:rsidR="00967577" w:rsidRPr="005E2177" w:rsidRDefault="00967577" w:rsidP="002C677E">
            <w:pPr>
              <w:jc w:val="center"/>
              <w:rPr>
                <w:rFonts w:ascii="Arial Narrow" w:hAnsi="Arial Narrow"/>
                <w:color w:val="333333"/>
                <w:sz w:val="20"/>
                <w:szCs w:val="20"/>
              </w:rPr>
            </w:pPr>
          </w:p>
        </w:tc>
        <w:tc>
          <w:tcPr>
            <w:tcW w:w="4447" w:type="pct"/>
            <w:vAlign w:val="center"/>
          </w:tcPr>
          <w:p w14:paraId="754F5D53" w14:textId="77777777" w:rsidR="00967577" w:rsidRPr="005E2177" w:rsidRDefault="00967577" w:rsidP="002C677E">
            <w:pPr>
              <w:autoSpaceDE w:val="0"/>
              <w:autoSpaceDN w:val="0"/>
              <w:adjustRightInd w:val="0"/>
              <w:rPr>
                <w:rFonts w:ascii="Arial Narrow" w:hAnsi="Arial Narrow" w:cs="Arial Narrow"/>
                <w:sz w:val="20"/>
                <w:szCs w:val="20"/>
              </w:rPr>
            </w:pPr>
            <w:r w:rsidRPr="005E2177">
              <w:rPr>
                <w:rFonts w:ascii="Arial Narrow" w:hAnsi="Arial Narrow" w:cs="Arial Narrow"/>
                <w:sz w:val="20"/>
                <w:szCs w:val="20"/>
              </w:rPr>
              <w:t>Must be treated by a clinical immunologist with expertise in the management of psoriatic arthritis</w:t>
            </w:r>
          </w:p>
        </w:tc>
      </w:tr>
      <w:tr w:rsidR="00967577" w:rsidRPr="005E2177" w14:paraId="409C1BD5" w14:textId="77777777" w:rsidTr="00240E28">
        <w:tc>
          <w:tcPr>
            <w:tcW w:w="553" w:type="pct"/>
            <w:vAlign w:val="center"/>
          </w:tcPr>
          <w:p w14:paraId="644D830A" w14:textId="3C4A83B7" w:rsidR="00967577" w:rsidRPr="005E2177" w:rsidRDefault="00967577" w:rsidP="002C677E">
            <w:pPr>
              <w:jc w:val="center"/>
              <w:rPr>
                <w:rFonts w:ascii="Arial Narrow" w:hAnsi="Arial Narrow"/>
                <w:color w:val="333333"/>
                <w:sz w:val="20"/>
                <w:szCs w:val="20"/>
              </w:rPr>
            </w:pPr>
          </w:p>
        </w:tc>
        <w:tc>
          <w:tcPr>
            <w:tcW w:w="4447" w:type="pct"/>
            <w:vAlign w:val="center"/>
          </w:tcPr>
          <w:p w14:paraId="0CA90F59" w14:textId="77777777" w:rsidR="00967577" w:rsidRPr="005E2177" w:rsidRDefault="00967577" w:rsidP="002C677E">
            <w:pPr>
              <w:rPr>
                <w:rFonts w:ascii="Arial Narrow" w:hAnsi="Arial Narrow"/>
                <w:bCs/>
                <w:color w:val="333333"/>
                <w:sz w:val="20"/>
                <w:szCs w:val="20"/>
              </w:rPr>
            </w:pPr>
            <w:r w:rsidRPr="005E2177">
              <w:rPr>
                <w:rFonts w:ascii="Arial Narrow" w:hAnsi="Arial Narrow"/>
                <w:b/>
                <w:bCs/>
                <w:color w:val="333333"/>
                <w:sz w:val="20"/>
                <w:szCs w:val="20"/>
              </w:rPr>
              <w:t>Administrative Advice:</w:t>
            </w:r>
            <w:r w:rsidRPr="005E2177">
              <w:rPr>
                <w:rFonts w:ascii="Arial Narrow" w:hAnsi="Arial Narrow"/>
                <w:bCs/>
                <w:color w:val="333333"/>
                <w:sz w:val="20"/>
                <w:szCs w:val="20"/>
              </w:rPr>
              <w:t xml:space="preserve"> </w:t>
            </w:r>
          </w:p>
          <w:p w14:paraId="4CBE6E59" w14:textId="075AF6BC" w:rsidR="00967577" w:rsidRPr="005E2177" w:rsidRDefault="00967577" w:rsidP="002C677E">
            <w:pPr>
              <w:rPr>
                <w:rFonts w:ascii="Arial Narrow" w:hAnsi="Arial Narrow"/>
                <w:color w:val="333333"/>
                <w:sz w:val="20"/>
                <w:szCs w:val="20"/>
              </w:rPr>
            </w:pPr>
            <w:r w:rsidRPr="005E2177">
              <w:rPr>
                <w:rFonts w:ascii="Arial Narrow" w:hAnsi="Arial Narrow"/>
                <w:bCs/>
                <w:color w:val="333333"/>
                <w:sz w:val="20"/>
                <w:szCs w:val="20"/>
              </w:rPr>
              <w:t xml:space="preserve">Applications for authorisation under this restriction may be made in real time using the Online PBS Authorities system (see </w:t>
            </w:r>
            <w:hyperlink r:id="rId20" w:history="1">
              <w:r w:rsidRPr="005E2177">
                <w:rPr>
                  <w:rStyle w:val="Hyperlink"/>
                  <w:rFonts w:ascii="Arial Narrow" w:hAnsi="Arial Narrow"/>
                  <w:bCs/>
                  <w:sz w:val="20"/>
                  <w:szCs w:val="20"/>
                </w:rPr>
                <w:t>www.servicesaustralia</w:t>
              </w:r>
            </w:hyperlink>
            <w:r w:rsidRPr="005E2177">
              <w:rPr>
                <w:rFonts w:ascii="Arial Narrow" w:hAnsi="Arial Narrow"/>
                <w:bCs/>
                <w:color w:val="333333"/>
                <w:sz w:val="20"/>
                <w:szCs w:val="20"/>
              </w:rPr>
              <w:t>.gov.au/HPOS) or by telephone by contacting Services Australia on 1800 700 270 (hours of operation 8 a.m. to 5 p.m. Monday to Friday).</w:t>
            </w:r>
          </w:p>
        </w:tc>
      </w:tr>
      <w:tr w:rsidR="00967577" w:rsidRPr="005E2177" w14:paraId="562D1E7A" w14:textId="77777777" w:rsidTr="00240E28">
        <w:tc>
          <w:tcPr>
            <w:tcW w:w="553" w:type="pct"/>
            <w:shd w:val="clear" w:color="auto" w:fill="A6A6A6" w:themeFill="background1" w:themeFillShade="A6"/>
            <w:vAlign w:val="center"/>
          </w:tcPr>
          <w:p w14:paraId="3FE48981" w14:textId="77777777" w:rsidR="00967577" w:rsidRPr="005E2177" w:rsidRDefault="00967577" w:rsidP="002C677E">
            <w:pPr>
              <w:jc w:val="center"/>
              <w:rPr>
                <w:rFonts w:ascii="Arial Narrow" w:hAnsi="Arial Narrow"/>
                <w:color w:val="333333"/>
                <w:sz w:val="20"/>
                <w:szCs w:val="20"/>
              </w:rPr>
            </w:pPr>
          </w:p>
        </w:tc>
        <w:tc>
          <w:tcPr>
            <w:tcW w:w="4447" w:type="pct"/>
            <w:shd w:val="clear" w:color="auto" w:fill="A6A6A6" w:themeFill="background1" w:themeFillShade="A6"/>
            <w:vAlign w:val="center"/>
          </w:tcPr>
          <w:p w14:paraId="3D7BEC82" w14:textId="77777777" w:rsidR="00967577" w:rsidRPr="005E2177" w:rsidRDefault="00967577" w:rsidP="002C677E">
            <w:pPr>
              <w:rPr>
                <w:rFonts w:ascii="Arial Narrow" w:hAnsi="Arial Narrow"/>
                <w:b/>
                <w:bCs/>
                <w:color w:val="333333"/>
                <w:sz w:val="20"/>
                <w:szCs w:val="20"/>
              </w:rPr>
            </w:pPr>
          </w:p>
        </w:tc>
      </w:tr>
      <w:tr w:rsidR="00967577" w:rsidRPr="005E2177" w14:paraId="65C2ED3A" w14:textId="77777777" w:rsidTr="00240E28">
        <w:tc>
          <w:tcPr>
            <w:tcW w:w="553" w:type="pct"/>
            <w:vAlign w:val="center"/>
          </w:tcPr>
          <w:p w14:paraId="1BF713B3" w14:textId="77777777" w:rsidR="00967577" w:rsidRPr="005E2177" w:rsidRDefault="00967577" w:rsidP="002C677E">
            <w:pPr>
              <w:jc w:val="center"/>
              <w:rPr>
                <w:rFonts w:ascii="Arial Narrow" w:hAnsi="Arial Narrow"/>
                <w:color w:val="333333"/>
                <w:sz w:val="20"/>
                <w:szCs w:val="20"/>
              </w:rPr>
            </w:pPr>
          </w:p>
        </w:tc>
        <w:tc>
          <w:tcPr>
            <w:tcW w:w="4447" w:type="pct"/>
            <w:vAlign w:val="center"/>
          </w:tcPr>
          <w:p w14:paraId="70BB8AA6"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Treatment Phase:</w:t>
            </w:r>
            <w:r w:rsidRPr="005E2177">
              <w:rPr>
                <w:rFonts w:ascii="Arial Narrow" w:hAnsi="Arial Narrow"/>
                <w:color w:val="333333"/>
                <w:sz w:val="20"/>
                <w:szCs w:val="20"/>
              </w:rPr>
              <w:t xml:space="preserve"> Transitioning from non-PBS to PBS-subsidised supply – Grandfather arrangements</w:t>
            </w:r>
          </w:p>
        </w:tc>
      </w:tr>
      <w:tr w:rsidR="00967577" w:rsidRPr="005E2177" w14:paraId="1BB54873" w14:textId="77777777" w:rsidTr="00240E28">
        <w:tc>
          <w:tcPr>
            <w:tcW w:w="553" w:type="pct"/>
            <w:vAlign w:val="center"/>
          </w:tcPr>
          <w:p w14:paraId="0213ABB5" w14:textId="11ABDB13" w:rsidR="00967577" w:rsidRPr="005E2177" w:rsidRDefault="00967577" w:rsidP="002C677E">
            <w:pPr>
              <w:jc w:val="center"/>
              <w:rPr>
                <w:rFonts w:ascii="Arial Narrow" w:hAnsi="Arial Narrow"/>
                <w:color w:val="333333"/>
                <w:sz w:val="20"/>
                <w:szCs w:val="20"/>
              </w:rPr>
            </w:pPr>
          </w:p>
        </w:tc>
        <w:tc>
          <w:tcPr>
            <w:tcW w:w="4447" w:type="pct"/>
            <w:vAlign w:val="center"/>
          </w:tcPr>
          <w:p w14:paraId="47AEE5DE"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Indication:</w:t>
            </w:r>
            <w:r w:rsidRPr="005E2177">
              <w:rPr>
                <w:rFonts w:ascii="Arial Narrow" w:hAnsi="Arial Narrow"/>
                <w:color w:val="333333"/>
                <w:sz w:val="20"/>
                <w:szCs w:val="20"/>
              </w:rPr>
              <w:t xml:space="preserve"> Severe psoriatic arthritis</w:t>
            </w:r>
          </w:p>
        </w:tc>
      </w:tr>
      <w:tr w:rsidR="00967577" w:rsidRPr="005E2177" w14:paraId="6F43FA6A" w14:textId="77777777" w:rsidTr="00240E28">
        <w:tc>
          <w:tcPr>
            <w:tcW w:w="553" w:type="pct"/>
            <w:vAlign w:val="center"/>
          </w:tcPr>
          <w:p w14:paraId="14A9233F" w14:textId="77777777" w:rsidR="00967577" w:rsidRPr="005E2177" w:rsidRDefault="00967577" w:rsidP="002C677E">
            <w:pPr>
              <w:jc w:val="center"/>
              <w:rPr>
                <w:rFonts w:ascii="Arial Narrow" w:hAnsi="Arial Narrow"/>
                <w:color w:val="333333"/>
                <w:sz w:val="20"/>
                <w:szCs w:val="20"/>
              </w:rPr>
            </w:pPr>
          </w:p>
        </w:tc>
        <w:tc>
          <w:tcPr>
            <w:tcW w:w="4447" w:type="pct"/>
            <w:vAlign w:val="center"/>
          </w:tcPr>
          <w:p w14:paraId="37B9D598"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Clinical criteria:</w:t>
            </w:r>
          </w:p>
        </w:tc>
      </w:tr>
      <w:tr w:rsidR="00967577" w:rsidRPr="005E2177" w14:paraId="3A120936" w14:textId="77777777" w:rsidTr="00240E28">
        <w:tc>
          <w:tcPr>
            <w:tcW w:w="553" w:type="pct"/>
            <w:vAlign w:val="center"/>
          </w:tcPr>
          <w:p w14:paraId="1DEA9851" w14:textId="09002858" w:rsidR="00967577" w:rsidRPr="005E2177" w:rsidRDefault="00967577" w:rsidP="002C677E">
            <w:pPr>
              <w:jc w:val="center"/>
              <w:rPr>
                <w:rFonts w:ascii="Arial Narrow" w:hAnsi="Arial Narrow"/>
                <w:color w:val="333333"/>
                <w:sz w:val="20"/>
                <w:szCs w:val="20"/>
              </w:rPr>
            </w:pPr>
          </w:p>
        </w:tc>
        <w:tc>
          <w:tcPr>
            <w:tcW w:w="4447" w:type="pct"/>
            <w:vAlign w:val="center"/>
          </w:tcPr>
          <w:p w14:paraId="4BE20CCE" w14:textId="03DB92F3" w:rsidR="00967577" w:rsidRPr="005E2177" w:rsidRDefault="00967577" w:rsidP="002C677E">
            <w:pPr>
              <w:rPr>
                <w:rFonts w:ascii="Arial Narrow" w:hAnsi="Arial Narrow"/>
                <w:b/>
                <w:bCs/>
                <w:color w:val="333333"/>
                <w:sz w:val="20"/>
                <w:szCs w:val="20"/>
              </w:rPr>
            </w:pPr>
            <w:r w:rsidRPr="005E2177">
              <w:rPr>
                <w:rFonts w:ascii="Arial Narrow" w:hAnsi="Arial Narrow"/>
                <w:color w:val="333333"/>
                <w:sz w:val="20"/>
                <w:szCs w:val="20"/>
              </w:rPr>
              <w:t xml:space="preserve">Patient must have received treatment with this drug for this PBS indication prior to listing date </w:t>
            </w:r>
          </w:p>
        </w:tc>
      </w:tr>
      <w:tr w:rsidR="00967577" w:rsidRPr="005E2177" w14:paraId="46A9DBF5" w14:textId="77777777" w:rsidTr="00240E28">
        <w:tc>
          <w:tcPr>
            <w:tcW w:w="553" w:type="pct"/>
            <w:vAlign w:val="center"/>
          </w:tcPr>
          <w:p w14:paraId="60F8364E" w14:textId="77777777" w:rsidR="00967577" w:rsidRPr="005E2177" w:rsidRDefault="00967577" w:rsidP="002C677E">
            <w:pPr>
              <w:jc w:val="center"/>
              <w:rPr>
                <w:rFonts w:ascii="Arial Narrow" w:hAnsi="Arial Narrow"/>
                <w:color w:val="333333"/>
                <w:sz w:val="20"/>
                <w:szCs w:val="20"/>
              </w:rPr>
            </w:pPr>
          </w:p>
        </w:tc>
        <w:tc>
          <w:tcPr>
            <w:tcW w:w="4447" w:type="pct"/>
            <w:vAlign w:val="center"/>
          </w:tcPr>
          <w:p w14:paraId="2D483870" w14:textId="77777777" w:rsidR="00967577" w:rsidRPr="005E2177" w:rsidRDefault="00967577" w:rsidP="002C677E">
            <w:pPr>
              <w:rPr>
                <w:rFonts w:ascii="Arial Narrow" w:hAnsi="Arial Narrow"/>
                <w:color w:val="333333"/>
                <w:sz w:val="20"/>
                <w:szCs w:val="20"/>
              </w:rPr>
            </w:pPr>
            <w:r w:rsidRPr="005E2177">
              <w:rPr>
                <w:rFonts w:ascii="Arial Narrow" w:hAnsi="Arial Narrow"/>
                <w:b/>
                <w:bCs/>
                <w:color w:val="333333"/>
                <w:sz w:val="20"/>
                <w:szCs w:val="20"/>
              </w:rPr>
              <w:t>AND</w:t>
            </w:r>
          </w:p>
        </w:tc>
      </w:tr>
      <w:tr w:rsidR="00967577" w:rsidRPr="005E2177" w14:paraId="12DDC596" w14:textId="77777777" w:rsidTr="00240E28">
        <w:tc>
          <w:tcPr>
            <w:tcW w:w="553" w:type="pct"/>
            <w:vAlign w:val="center"/>
          </w:tcPr>
          <w:p w14:paraId="7D68137A" w14:textId="66187389" w:rsidR="00967577" w:rsidRPr="005E2177" w:rsidRDefault="00967577" w:rsidP="002C677E">
            <w:pPr>
              <w:jc w:val="center"/>
              <w:rPr>
                <w:rFonts w:ascii="Arial Narrow" w:hAnsi="Arial Narrow"/>
                <w:color w:val="333333"/>
                <w:sz w:val="20"/>
                <w:szCs w:val="20"/>
              </w:rPr>
            </w:pPr>
          </w:p>
        </w:tc>
        <w:tc>
          <w:tcPr>
            <w:tcW w:w="4447" w:type="pct"/>
            <w:vAlign w:val="center"/>
          </w:tcPr>
          <w:p w14:paraId="1CC0287B"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Clinical criteria:</w:t>
            </w:r>
          </w:p>
        </w:tc>
      </w:tr>
      <w:tr w:rsidR="00967577" w:rsidRPr="005E2177" w14:paraId="4457409D" w14:textId="77777777" w:rsidTr="00240E28">
        <w:tc>
          <w:tcPr>
            <w:tcW w:w="553" w:type="pct"/>
            <w:vAlign w:val="center"/>
          </w:tcPr>
          <w:p w14:paraId="60F1C93B" w14:textId="5315381E" w:rsidR="00967577" w:rsidRPr="005E2177" w:rsidRDefault="00967577" w:rsidP="002C677E">
            <w:pPr>
              <w:jc w:val="center"/>
              <w:rPr>
                <w:rFonts w:ascii="Arial Narrow" w:hAnsi="Arial Narrow"/>
                <w:color w:val="333333"/>
                <w:sz w:val="20"/>
                <w:szCs w:val="20"/>
              </w:rPr>
            </w:pPr>
          </w:p>
        </w:tc>
        <w:tc>
          <w:tcPr>
            <w:tcW w:w="4447" w:type="pct"/>
            <w:vAlign w:val="center"/>
          </w:tcPr>
          <w:p w14:paraId="36C1D00D" w14:textId="77777777" w:rsidR="00967577" w:rsidRPr="005E2177" w:rsidRDefault="00967577" w:rsidP="002C677E">
            <w:pPr>
              <w:rPr>
                <w:rFonts w:ascii="Arial Narrow" w:hAnsi="Arial Narrow"/>
                <w:b/>
                <w:bCs/>
                <w:color w:val="333333"/>
                <w:sz w:val="20"/>
                <w:szCs w:val="20"/>
              </w:rPr>
            </w:pPr>
            <w:r w:rsidRPr="005E2177">
              <w:rPr>
                <w:rFonts w:ascii="Arial Narrow" w:hAnsi="Arial Narrow"/>
                <w:color w:val="333333"/>
                <w:sz w:val="20"/>
                <w:szCs w:val="20"/>
              </w:rPr>
              <w:t>Patient must be receiving treatment with this drug for this condition at the time of application</w:t>
            </w:r>
          </w:p>
        </w:tc>
      </w:tr>
      <w:tr w:rsidR="00967577" w:rsidRPr="005E2177" w14:paraId="28B1AEC8" w14:textId="77777777" w:rsidTr="00240E28">
        <w:tc>
          <w:tcPr>
            <w:tcW w:w="553" w:type="pct"/>
            <w:vAlign w:val="center"/>
          </w:tcPr>
          <w:p w14:paraId="6256A239" w14:textId="77777777" w:rsidR="00967577" w:rsidRPr="005E2177" w:rsidRDefault="00967577" w:rsidP="002C677E">
            <w:pPr>
              <w:jc w:val="center"/>
              <w:rPr>
                <w:rFonts w:ascii="Arial Narrow" w:hAnsi="Arial Narrow"/>
                <w:color w:val="333333"/>
                <w:sz w:val="20"/>
                <w:szCs w:val="20"/>
              </w:rPr>
            </w:pPr>
          </w:p>
        </w:tc>
        <w:tc>
          <w:tcPr>
            <w:tcW w:w="4447" w:type="pct"/>
            <w:vAlign w:val="center"/>
          </w:tcPr>
          <w:p w14:paraId="309A40B8" w14:textId="77777777" w:rsidR="00967577" w:rsidRPr="005E2177" w:rsidRDefault="00967577" w:rsidP="002C677E">
            <w:pPr>
              <w:rPr>
                <w:rFonts w:ascii="Arial Narrow" w:hAnsi="Arial Narrow"/>
                <w:color w:val="333333"/>
                <w:sz w:val="20"/>
                <w:szCs w:val="20"/>
              </w:rPr>
            </w:pPr>
            <w:r w:rsidRPr="005E2177">
              <w:rPr>
                <w:rFonts w:ascii="Arial Narrow" w:hAnsi="Arial Narrow"/>
                <w:b/>
                <w:bCs/>
                <w:color w:val="333333"/>
                <w:sz w:val="20"/>
                <w:szCs w:val="20"/>
              </w:rPr>
              <w:t>AND</w:t>
            </w:r>
          </w:p>
        </w:tc>
      </w:tr>
      <w:tr w:rsidR="00967577" w:rsidRPr="005E2177" w14:paraId="552418B2" w14:textId="77777777" w:rsidTr="00240E28">
        <w:tc>
          <w:tcPr>
            <w:tcW w:w="553" w:type="pct"/>
            <w:vAlign w:val="center"/>
          </w:tcPr>
          <w:p w14:paraId="438B03A0" w14:textId="7016BF92" w:rsidR="00967577" w:rsidRPr="005E2177" w:rsidRDefault="00967577" w:rsidP="002C677E">
            <w:pPr>
              <w:jc w:val="center"/>
              <w:rPr>
                <w:rFonts w:ascii="Arial Narrow" w:hAnsi="Arial Narrow"/>
                <w:color w:val="333333"/>
                <w:sz w:val="20"/>
                <w:szCs w:val="20"/>
              </w:rPr>
            </w:pPr>
          </w:p>
        </w:tc>
        <w:tc>
          <w:tcPr>
            <w:tcW w:w="4447" w:type="pct"/>
            <w:vAlign w:val="center"/>
          </w:tcPr>
          <w:p w14:paraId="4716EA37"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Clinical criteria:</w:t>
            </w:r>
          </w:p>
        </w:tc>
      </w:tr>
      <w:tr w:rsidR="00967577" w:rsidRPr="005E2177" w14:paraId="22AB19AA" w14:textId="77777777" w:rsidTr="00240E28">
        <w:tc>
          <w:tcPr>
            <w:tcW w:w="553" w:type="pct"/>
            <w:vAlign w:val="center"/>
          </w:tcPr>
          <w:p w14:paraId="64D440E6" w14:textId="33C03ABA" w:rsidR="00967577" w:rsidRPr="005E2177" w:rsidRDefault="00967577" w:rsidP="002C677E">
            <w:pPr>
              <w:jc w:val="center"/>
              <w:rPr>
                <w:rFonts w:ascii="Arial Narrow" w:hAnsi="Arial Narrow"/>
                <w:color w:val="333333"/>
                <w:sz w:val="20"/>
                <w:szCs w:val="20"/>
              </w:rPr>
            </w:pPr>
          </w:p>
        </w:tc>
        <w:tc>
          <w:tcPr>
            <w:tcW w:w="4447" w:type="pct"/>
            <w:vAlign w:val="center"/>
          </w:tcPr>
          <w:p w14:paraId="3DCAA866" w14:textId="77777777" w:rsidR="00967577" w:rsidRPr="005E2177" w:rsidRDefault="00967577" w:rsidP="002C677E">
            <w:pPr>
              <w:rPr>
                <w:rFonts w:ascii="Arial Narrow" w:hAnsi="Arial Narrow"/>
                <w:b/>
                <w:bCs/>
                <w:color w:val="333333"/>
                <w:sz w:val="20"/>
                <w:szCs w:val="20"/>
              </w:rPr>
            </w:pPr>
            <w:r w:rsidRPr="005E2177">
              <w:rPr>
                <w:rFonts w:ascii="Arial Narrow" w:hAnsi="Arial Narrow"/>
                <w:sz w:val="20"/>
                <w:szCs w:val="20"/>
              </w:rPr>
              <w:t>Patient must have failed to achieve an adequate response to methotrexate at a dose of at least 20 mg weekly for a minimum period of 3 months prior to initiating non-PBS subsidised treatment with this drug for this condition</w:t>
            </w:r>
          </w:p>
        </w:tc>
      </w:tr>
      <w:tr w:rsidR="00967577" w:rsidRPr="005E2177" w14:paraId="5D36EB6F" w14:textId="77777777" w:rsidTr="00240E28">
        <w:tc>
          <w:tcPr>
            <w:tcW w:w="553" w:type="pct"/>
            <w:vAlign w:val="center"/>
          </w:tcPr>
          <w:p w14:paraId="1904429C" w14:textId="77777777" w:rsidR="00967577" w:rsidRPr="005E2177" w:rsidRDefault="00967577" w:rsidP="002C677E">
            <w:pPr>
              <w:jc w:val="center"/>
              <w:rPr>
                <w:rFonts w:ascii="Arial Narrow" w:hAnsi="Arial Narrow"/>
                <w:color w:val="333333"/>
                <w:sz w:val="20"/>
                <w:szCs w:val="20"/>
              </w:rPr>
            </w:pPr>
          </w:p>
        </w:tc>
        <w:tc>
          <w:tcPr>
            <w:tcW w:w="4447" w:type="pct"/>
            <w:vAlign w:val="center"/>
          </w:tcPr>
          <w:p w14:paraId="537C28D2"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AND</w:t>
            </w:r>
          </w:p>
        </w:tc>
      </w:tr>
      <w:tr w:rsidR="00967577" w:rsidRPr="005E2177" w14:paraId="51B8A515" w14:textId="77777777" w:rsidTr="00240E28">
        <w:tc>
          <w:tcPr>
            <w:tcW w:w="553" w:type="pct"/>
            <w:vAlign w:val="center"/>
          </w:tcPr>
          <w:p w14:paraId="1EF2F7CA" w14:textId="7099C09E" w:rsidR="00967577" w:rsidRPr="005E2177" w:rsidRDefault="00967577" w:rsidP="002C677E">
            <w:pPr>
              <w:jc w:val="center"/>
              <w:rPr>
                <w:rFonts w:ascii="Arial Narrow" w:hAnsi="Arial Narrow"/>
                <w:color w:val="333333"/>
                <w:sz w:val="20"/>
                <w:szCs w:val="20"/>
              </w:rPr>
            </w:pPr>
          </w:p>
        </w:tc>
        <w:tc>
          <w:tcPr>
            <w:tcW w:w="4447" w:type="pct"/>
            <w:vAlign w:val="center"/>
          </w:tcPr>
          <w:p w14:paraId="6A18BA86"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Clinical criteria:</w:t>
            </w:r>
          </w:p>
        </w:tc>
      </w:tr>
      <w:tr w:rsidR="00967577" w:rsidRPr="005E2177" w14:paraId="06478927" w14:textId="77777777" w:rsidTr="00240E28">
        <w:tc>
          <w:tcPr>
            <w:tcW w:w="553" w:type="pct"/>
            <w:vAlign w:val="center"/>
          </w:tcPr>
          <w:p w14:paraId="33A200E1" w14:textId="557F5F70" w:rsidR="00967577" w:rsidRPr="005E2177" w:rsidRDefault="00967577" w:rsidP="002C677E">
            <w:pPr>
              <w:jc w:val="center"/>
              <w:rPr>
                <w:rFonts w:ascii="Arial Narrow" w:hAnsi="Arial Narrow"/>
                <w:color w:val="333333"/>
                <w:sz w:val="20"/>
                <w:szCs w:val="20"/>
              </w:rPr>
            </w:pPr>
          </w:p>
        </w:tc>
        <w:tc>
          <w:tcPr>
            <w:tcW w:w="4447" w:type="pct"/>
            <w:vAlign w:val="center"/>
          </w:tcPr>
          <w:p w14:paraId="690880F1" w14:textId="77777777" w:rsidR="00967577" w:rsidRPr="005E2177" w:rsidRDefault="00967577" w:rsidP="002C677E">
            <w:pPr>
              <w:rPr>
                <w:rFonts w:ascii="Arial Narrow" w:hAnsi="Arial Narrow"/>
                <w:color w:val="333333"/>
                <w:sz w:val="20"/>
                <w:szCs w:val="20"/>
              </w:rPr>
            </w:pPr>
            <w:r w:rsidRPr="005E2177">
              <w:rPr>
                <w:rFonts w:ascii="Arial Narrow" w:hAnsi="Arial Narrow"/>
                <w:color w:val="333333"/>
                <w:sz w:val="20"/>
                <w:szCs w:val="20"/>
              </w:rPr>
              <w:t xml:space="preserve">Patient must have failed to achieve an adequate response to sulfasalazine at a dose of at least 2 g per day for a minimum period of 3 months prior to initiating non-PBS subsidised treatment with this drug for this condition; or </w:t>
            </w:r>
          </w:p>
        </w:tc>
      </w:tr>
      <w:tr w:rsidR="00967577" w:rsidRPr="005E2177" w14:paraId="6FEAF09C" w14:textId="77777777" w:rsidTr="00240E28">
        <w:tc>
          <w:tcPr>
            <w:tcW w:w="553" w:type="pct"/>
            <w:vAlign w:val="center"/>
          </w:tcPr>
          <w:p w14:paraId="01654A5B" w14:textId="127D3736" w:rsidR="00967577" w:rsidRPr="005E2177" w:rsidRDefault="00967577" w:rsidP="002C677E">
            <w:pPr>
              <w:jc w:val="center"/>
              <w:rPr>
                <w:rFonts w:ascii="Arial Narrow" w:hAnsi="Arial Narrow"/>
                <w:color w:val="333333"/>
                <w:sz w:val="20"/>
                <w:szCs w:val="20"/>
              </w:rPr>
            </w:pPr>
          </w:p>
        </w:tc>
        <w:tc>
          <w:tcPr>
            <w:tcW w:w="4447" w:type="pct"/>
            <w:vAlign w:val="center"/>
          </w:tcPr>
          <w:p w14:paraId="25E2267B" w14:textId="77777777" w:rsidR="00967577" w:rsidRPr="005E2177" w:rsidRDefault="00967577" w:rsidP="002C677E">
            <w:pPr>
              <w:rPr>
                <w:rFonts w:ascii="Arial Narrow" w:hAnsi="Arial Narrow"/>
                <w:color w:val="333333"/>
                <w:sz w:val="20"/>
                <w:szCs w:val="20"/>
              </w:rPr>
            </w:pPr>
            <w:r w:rsidRPr="005E2177">
              <w:rPr>
                <w:rFonts w:ascii="Arial Narrow" w:hAnsi="Arial Narrow"/>
                <w:color w:val="333333"/>
                <w:sz w:val="20"/>
                <w:szCs w:val="20"/>
              </w:rPr>
              <w:t>Patient must have failed to achieve an adequate response to leflunomide at a dose of up to 20 mg daily for a minimum period of 3 months prior to initiating non-PBS subsidised treatment with this drug for this condition</w:t>
            </w:r>
          </w:p>
        </w:tc>
      </w:tr>
      <w:tr w:rsidR="00967577" w:rsidRPr="005E2177" w14:paraId="2232C3C6" w14:textId="77777777" w:rsidTr="00240E28">
        <w:tc>
          <w:tcPr>
            <w:tcW w:w="553" w:type="pct"/>
            <w:vAlign w:val="center"/>
          </w:tcPr>
          <w:p w14:paraId="231D714B" w14:textId="77777777" w:rsidR="00967577" w:rsidRPr="005E2177" w:rsidRDefault="00967577" w:rsidP="002C677E">
            <w:pPr>
              <w:jc w:val="center"/>
              <w:rPr>
                <w:rFonts w:ascii="Arial Narrow" w:hAnsi="Arial Narrow"/>
                <w:color w:val="333333"/>
                <w:sz w:val="20"/>
                <w:szCs w:val="20"/>
              </w:rPr>
            </w:pPr>
          </w:p>
        </w:tc>
        <w:tc>
          <w:tcPr>
            <w:tcW w:w="4447" w:type="pct"/>
            <w:vAlign w:val="center"/>
          </w:tcPr>
          <w:p w14:paraId="3B901999"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AND</w:t>
            </w:r>
          </w:p>
        </w:tc>
      </w:tr>
      <w:tr w:rsidR="00967577" w:rsidRPr="005E2177" w14:paraId="3D50D700" w14:textId="77777777" w:rsidTr="00240E28">
        <w:tc>
          <w:tcPr>
            <w:tcW w:w="553" w:type="pct"/>
            <w:vAlign w:val="center"/>
          </w:tcPr>
          <w:p w14:paraId="108D3775" w14:textId="19A11AB8" w:rsidR="00967577" w:rsidRPr="005E2177" w:rsidRDefault="00967577" w:rsidP="002C677E">
            <w:pPr>
              <w:jc w:val="center"/>
              <w:rPr>
                <w:rFonts w:ascii="Arial Narrow" w:hAnsi="Arial Narrow"/>
                <w:color w:val="333333"/>
                <w:sz w:val="20"/>
                <w:szCs w:val="20"/>
              </w:rPr>
            </w:pPr>
          </w:p>
        </w:tc>
        <w:tc>
          <w:tcPr>
            <w:tcW w:w="4447" w:type="pct"/>
            <w:vAlign w:val="center"/>
          </w:tcPr>
          <w:p w14:paraId="149543A5"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Clinical criteria:</w:t>
            </w:r>
          </w:p>
        </w:tc>
      </w:tr>
      <w:tr w:rsidR="00967577" w:rsidRPr="005E2177" w14:paraId="3C535BFA" w14:textId="77777777" w:rsidTr="00240E28">
        <w:tc>
          <w:tcPr>
            <w:tcW w:w="553" w:type="pct"/>
            <w:vAlign w:val="center"/>
          </w:tcPr>
          <w:p w14:paraId="6154EE78" w14:textId="68BBDF31" w:rsidR="00967577" w:rsidRPr="005E2177" w:rsidRDefault="00967577" w:rsidP="002C677E">
            <w:pPr>
              <w:jc w:val="center"/>
              <w:rPr>
                <w:rFonts w:ascii="Arial Narrow" w:hAnsi="Arial Narrow"/>
                <w:color w:val="333333"/>
                <w:sz w:val="20"/>
                <w:szCs w:val="20"/>
              </w:rPr>
            </w:pPr>
          </w:p>
        </w:tc>
        <w:tc>
          <w:tcPr>
            <w:tcW w:w="4447" w:type="pct"/>
            <w:vAlign w:val="center"/>
          </w:tcPr>
          <w:p w14:paraId="124D58C6" w14:textId="27E46BFC" w:rsidR="00967577" w:rsidRPr="005E2177" w:rsidRDefault="00967577" w:rsidP="002C677E">
            <w:pPr>
              <w:rPr>
                <w:rFonts w:ascii="Arial Narrow" w:hAnsi="Arial Narrow"/>
                <w:color w:val="333333"/>
                <w:sz w:val="20"/>
                <w:szCs w:val="20"/>
              </w:rPr>
            </w:pPr>
            <w:r w:rsidRPr="005E2177">
              <w:rPr>
                <w:rFonts w:ascii="Arial Narrow" w:hAnsi="Arial Narrow"/>
                <w:color w:val="333333"/>
                <w:sz w:val="20"/>
                <w:szCs w:val="20"/>
              </w:rPr>
              <w:t xml:space="preserve">Patient must have demonstrated an adequate response </w:t>
            </w:r>
            <w:r w:rsidR="00383C15">
              <w:rPr>
                <w:rFonts w:ascii="Arial Narrow" w:hAnsi="Arial Narrow"/>
                <w:color w:val="333333"/>
                <w:sz w:val="20"/>
                <w:szCs w:val="20"/>
              </w:rPr>
              <w:t xml:space="preserve">to </w:t>
            </w:r>
            <w:r w:rsidRPr="005E2177">
              <w:rPr>
                <w:rFonts w:ascii="Arial Narrow" w:hAnsi="Arial Narrow"/>
                <w:color w:val="333333"/>
                <w:sz w:val="20"/>
                <w:szCs w:val="20"/>
              </w:rPr>
              <w:t>treatment with this drug for this condition</w:t>
            </w:r>
            <w:r w:rsidR="00383C15">
              <w:rPr>
                <w:rFonts w:ascii="Arial Narrow" w:hAnsi="Arial Narrow"/>
                <w:color w:val="333333"/>
                <w:sz w:val="20"/>
                <w:szCs w:val="20"/>
              </w:rPr>
              <w:t xml:space="preserve"> if the patient has received non-PBS-subsidised treatment for at least 12 weeks</w:t>
            </w:r>
          </w:p>
        </w:tc>
      </w:tr>
      <w:tr w:rsidR="00967577" w:rsidRPr="005E2177" w14:paraId="53FE4D00" w14:textId="77777777" w:rsidTr="00240E28">
        <w:tc>
          <w:tcPr>
            <w:tcW w:w="553" w:type="pct"/>
            <w:vAlign w:val="center"/>
          </w:tcPr>
          <w:p w14:paraId="64FC5A90" w14:textId="0A6E4D12" w:rsidR="00967577" w:rsidRPr="005E2177" w:rsidRDefault="00967577" w:rsidP="002C677E">
            <w:pPr>
              <w:jc w:val="center"/>
              <w:rPr>
                <w:rFonts w:ascii="Arial Narrow" w:hAnsi="Arial Narrow"/>
                <w:color w:val="333333"/>
                <w:sz w:val="20"/>
                <w:szCs w:val="20"/>
              </w:rPr>
            </w:pPr>
          </w:p>
        </w:tc>
        <w:tc>
          <w:tcPr>
            <w:tcW w:w="4447" w:type="pct"/>
            <w:vAlign w:val="center"/>
          </w:tcPr>
          <w:p w14:paraId="402B30DC"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Clinical criteria:</w:t>
            </w:r>
          </w:p>
        </w:tc>
      </w:tr>
      <w:tr w:rsidR="00967577" w:rsidRPr="005E2177" w14:paraId="63F4DAD2" w14:textId="77777777" w:rsidTr="00240E28">
        <w:tc>
          <w:tcPr>
            <w:tcW w:w="553" w:type="pct"/>
            <w:vAlign w:val="center"/>
          </w:tcPr>
          <w:p w14:paraId="5DDCD41C" w14:textId="448F5F17" w:rsidR="00967577" w:rsidRPr="005E2177" w:rsidRDefault="00967577" w:rsidP="002C677E">
            <w:pPr>
              <w:jc w:val="center"/>
              <w:rPr>
                <w:rFonts w:ascii="Arial Narrow" w:hAnsi="Arial Narrow"/>
                <w:color w:val="333333"/>
                <w:sz w:val="20"/>
                <w:szCs w:val="20"/>
              </w:rPr>
            </w:pPr>
          </w:p>
        </w:tc>
        <w:tc>
          <w:tcPr>
            <w:tcW w:w="4447" w:type="pct"/>
            <w:vAlign w:val="center"/>
          </w:tcPr>
          <w:p w14:paraId="7BC23193" w14:textId="77777777" w:rsidR="00967577" w:rsidRPr="005E2177" w:rsidRDefault="00967577" w:rsidP="002C677E">
            <w:pPr>
              <w:rPr>
                <w:rFonts w:ascii="Arial Narrow" w:hAnsi="Arial Narrow"/>
                <w:b/>
                <w:bCs/>
                <w:color w:val="333333"/>
                <w:sz w:val="20"/>
                <w:szCs w:val="20"/>
              </w:rPr>
            </w:pPr>
            <w:r w:rsidRPr="005E2177">
              <w:rPr>
                <w:rFonts w:ascii="Arial Narrow" w:hAnsi="Arial Narrow"/>
                <w:color w:val="333333"/>
                <w:sz w:val="20"/>
                <w:szCs w:val="20"/>
              </w:rPr>
              <w:t>Patient must not receive more than 24 weeks of treatment under this restriction</w:t>
            </w:r>
          </w:p>
        </w:tc>
      </w:tr>
      <w:tr w:rsidR="00967577" w:rsidRPr="005E2177" w14:paraId="7E1A4F3C" w14:textId="77777777" w:rsidTr="00240E28">
        <w:tc>
          <w:tcPr>
            <w:tcW w:w="553" w:type="pct"/>
            <w:vAlign w:val="center"/>
          </w:tcPr>
          <w:p w14:paraId="437BA565" w14:textId="77777777" w:rsidR="00967577" w:rsidRPr="005E2177" w:rsidRDefault="00967577" w:rsidP="002C677E">
            <w:pPr>
              <w:jc w:val="center"/>
              <w:rPr>
                <w:rFonts w:ascii="Arial Narrow" w:hAnsi="Arial Narrow"/>
                <w:color w:val="333333"/>
                <w:sz w:val="20"/>
                <w:szCs w:val="20"/>
              </w:rPr>
            </w:pPr>
          </w:p>
        </w:tc>
        <w:tc>
          <w:tcPr>
            <w:tcW w:w="4447" w:type="pct"/>
            <w:vAlign w:val="center"/>
          </w:tcPr>
          <w:p w14:paraId="7984FE3C" w14:textId="77777777" w:rsidR="00967577" w:rsidRPr="005E2177" w:rsidRDefault="00967577" w:rsidP="002C677E">
            <w:pPr>
              <w:rPr>
                <w:rFonts w:ascii="Arial Narrow" w:hAnsi="Arial Narrow"/>
                <w:color w:val="333333"/>
                <w:sz w:val="20"/>
                <w:szCs w:val="20"/>
              </w:rPr>
            </w:pPr>
            <w:r w:rsidRPr="005E2177">
              <w:rPr>
                <w:rFonts w:ascii="Arial Narrow" w:hAnsi="Arial Narrow"/>
                <w:b/>
                <w:bCs/>
                <w:color w:val="333333"/>
                <w:sz w:val="20"/>
                <w:szCs w:val="20"/>
              </w:rPr>
              <w:t>AND</w:t>
            </w:r>
          </w:p>
        </w:tc>
      </w:tr>
      <w:tr w:rsidR="00967577" w:rsidRPr="005E2177" w14:paraId="3AD0D7C7" w14:textId="77777777" w:rsidTr="00240E28">
        <w:tc>
          <w:tcPr>
            <w:tcW w:w="553" w:type="pct"/>
            <w:vAlign w:val="center"/>
          </w:tcPr>
          <w:p w14:paraId="525EB259" w14:textId="4B3FCDFF" w:rsidR="00967577" w:rsidRPr="005E2177" w:rsidRDefault="00967577" w:rsidP="002C677E">
            <w:pPr>
              <w:jc w:val="center"/>
              <w:rPr>
                <w:rFonts w:ascii="Arial Narrow" w:hAnsi="Arial Narrow"/>
                <w:color w:val="333333"/>
                <w:sz w:val="20"/>
                <w:szCs w:val="20"/>
              </w:rPr>
            </w:pPr>
          </w:p>
        </w:tc>
        <w:tc>
          <w:tcPr>
            <w:tcW w:w="4447" w:type="pct"/>
            <w:vAlign w:val="center"/>
          </w:tcPr>
          <w:p w14:paraId="15ECDC6C"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Treatment criteria:</w:t>
            </w:r>
          </w:p>
        </w:tc>
      </w:tr>
      <w:tr w:rsidR="00967577" w:rsidRPr="005E2177" w14:paraId="14D35DD8" w14:textId="77777777" w:rsidTr="00240E28">
        <w:tc>
          <w:tcPr>
            <w:tcW w:w="553" w:type="pct"/>
            <w:vAlign w:val="center"/>
          </w:tcPr>
          <w:p w14:paraId="78F2BE23" w14:textId="69CE84E7" w:rsidR="00967577" w:rsidRPr="005E2177" w:rsidRDefault="00967577" w:rsidP="002C677E">
            <w:pPr>
              <w:jc w:val="center"/>
              <w:rPr>
                <w:rFonts w:ascii="Arial Narrow" w:hAnsi="Arial Narrow"/>
                <w:color w:val="333333"/>
                <w:sz w:val="20"/>
                <w:szCs w:val="20"/>
              </w:rPr>
            </w:pPr>
          </w:p>
        </w:tc>
        <w:tc>
          <w:tcPr>
            <w:tcW w:w="4447" w:type="pct"/>
            <w:vAlign w:val="center"/>
          </w:tcPr>
          <w:p w14:paraId="1375448C" w14:textId="77777777" w:rsidR="00967577" w:rsidRPr="005E2177" w:rsidRDefault="00967577" w:rsidP="002C677E">
            <w:pPr>
              <w:autoSpaceDE w:val="0"/>
              <w:autoSpaceDN w:val="0"/>
              <w:adjustRightInd w:val="0"/>
              <w:rPr>
                <w:rFonts w:ascii="Arial Narrow" w:hAnsi="Arial Narrow" w:cs="Arial Narrow"/>
                <w:sz w:val="20"/>
                <w:szCs w:val="20"/>
              </w:rPr>
            </w:pPr>
            <w:r w:rsidRPr="005E2177">
              <w:rPr>
                <w:rFonts w:ascii="Arial Narrow" w:hAnsi="Arial Narrow" w:cs="Arial Narrow"/>
                <w:sz w:val="20"/>
                <w:szCs w:val="20"/>
              </w:rPr>
              <w:t xml:space="preserve">Must be treated by a rheumatologist; or </w:t>
            </w:r>
          </w:p>
        </w:tc>
      </w:tr>
      <w:tr w:rsidR="00967577" w:rsidRPr="005E2177" w14:paraId="32208B1D" w14:textId="77777777" w:rsidTr="00240E28">
        <w:tc>
          <w:tcPr>
            <w:tcW w:w="553" w:type="pct"/>
            <w:vAlign w:val="center"/>
          </w:tcPr>
          <w:p w14:paraId="0BC3D6AD" w14:textId="32CD86E2" w:rsidR="00967577" w:rsidRPr="005E2177" w:rsidRDefault="00967577" w:rsidP="002C677E">
            <w:pPr>
              <w:jc w:val="center"/>
              <w:rPr>
                <w:rFonts w:ascii="Arial Narrow" w:hAnsi="Arial Narrow"/>
                <w:color w:val="333333"/>
                <w:sz w:val="20"/>
                <w:szCs w:val="20"/>
              </w:rPr>
            </w:pPr>
          </w:p>
        </w:tc>
        <w:tc>
          <w:tcPr>
            <w:tcW w:w="4447" w:type="pct"/>
            <w:vAlign w:val="center"/>
          </w:tcPr>
          <w:p w14:paraId="730F6EF4" w14:textId="77777777" w:rsidR="00967577" w:rsidRPr="005E2177" w:rsidRDefault="00967577" w:rsidP="002C677E">
            <w:pPr>
              <w:autoSpaceDE w:val="0"/>
              <w:autoSpaceDN w:val="0"/>
              <w:adjustRightInd w:val="0"/>
              <w:rPr>
                <w:rFonts w:ascii="Arial Narrow" w:hAnsi="Arial Narrow" w:cs="Arial Narrow"/>
                <w:sz w:val="20"/>
                <w:szCs w:val="20"/>
              </w:rPr>
            </w:pPr>
            <w:r w:rsidRPr="005E2177">
              <w:rPr>
                <w:rFonts w:ascii="Arial Narrow" w:hAnsi="Arial Narrow" w:cs="Arial Narrow"/>
                <w:sz w:val="20"/>
                <w:szCs w:val="20"/>
              </w:rPr>
              <w:t>Must be treated by a clinical immunologist with expertise in the management of psoriatic arthritis</w:t>
            </w:r>
          </w:p>
        </w:tc>
      </w:tr>
      <w:tr w:rsidR="00967577" w:rsidRPr="005E2177" w14:paraId="3A2E7961" w14:textId="77777777" w:rsidTr="00240E28">
        <w:tc>
          <w:tcPr>
            <w:tcW w:w="553" w:type="pct"/>
            <w:vAlign w:val="center"/>
          </w:tcPr>
          <w:p w14:paraId="2585B6C5" w14:textId="77777777" w:rsidR="00967577" w:rsidRPr="005E2177" w:rsidRDefault="00967577" w:rsidP="002C677E">
            <w:pPr>
              <w:jc w:val="center"/>
              <w:rPr>
                <w:rFonts w:ascii="Arial Narrow" w:hAnsi="Arial Narrow"/>
                <w:color w:val="333333"/>
                <w:sz w:val="20"/>
                <w:szCs w:val="20"/>
              </w:rPr>
            </w:pPr>
          </w:p>
        </w:tc>
        <w:tc>
          <w:tcPr>
            <w:tcW w:w="4447" w:type="pct"/>
            <w:vAlign w:val="center"/>
          </w:tcPr>
          <w:p w14:paraId="15C1783D" w14:textId="77777777" w:rsidR="00967577" w:rsidRPr="005E2177" w:rsidRDefault="00967577" w:rsidP="002C677E">
            <w:pPr>
              <w:autoSpaceDE w:val="0"/>
              <w:autoSpaceDN w:val="0"/>
              <w:adjustRightInd w:val="0"/>
              <w:rPr>
                <w:rFonts w:ascii="Arial Narrow" w:hAnsi="Arial Narrow" w:cs="Arial Narrow"/>
                <w:sz w:val="20"/>
                <w:szCs w:val="20"/>
              </w:rPr>
            </w:pPr>
            <w:r w:rsidRPr="005E2177">
              <w:rPr>
                <w:rFonts w:ascii="Arial Narrow" w:hAnsi="Arial Narrow"/>
                <w:b/>
                <w:bCs/>
                <w:color w:val="333333"/>
                <w:sz w:val="20"/>
                <w:szCs w:val="20"/>
              </w:rPr>
              <w:t>AND</w:t>
            </w:r>
          </w:p>
        </w:tc>
      </w:tr>
      <w:tr w:rsidR="00967577" w:rsidRPr="005E2177" w14:paraId="14667C25" w14:textId="77777777" w:rsidTr="00240E28">
        <w:tc>
          <w:tcPr>
            <w:tcW w:w="553" w:type="pct"/>
            <w:vAlign w:val="center"/>
          </w:tcPr>
          <w:p w14:paraId="23F34114" w14:textId="11BC5456" w:rsidR="00967577" w:rsidRPr="005E2177" w:rsidRDefault="00967577" w:rsidP="002C677E">
            <w:pPr>
              <w:jc w:val="center"/>
              <w:rPr>
                <w:rFonts w:ascii="Arial Narrow" w:hAnsi="Arial Narrow"/>
                <w:color w:val="333333"/>
                <w:sz w:val="20"/>
                <w:szCs w:val="20"/>
              </w:rPr>
            </w:pPr>
          </w:p>
        </w:tc>
        <w:tc>
          <w:tcPr>
            <w:tcW w:w="4447" w:type="pct"/>
            <w:vAlign w:val="center"/>
          </w:tcPr>
          <w:p w14:paraId="461450A4" w14:textId="77777777" w:rsidR="00967577" w:rsidRPr="005E2177" w:rsidRDefault="00967577" w:rsidP="002C677E">
            <w:pPr>
              <w:autoSpaceDE w:val="0"/>
              <w:autoSpaceDN w:val="0"/>
              <w:adjustRightInd w:val="0"/>
              <w:rPr>
                <w:rFonts w:ascii="Arial Narrow" w:hAnsi="Arial Narrow"/>
                <w:b/>
                <w:bCs/>
                <w:color w:val="333333"/>
                <w:sz w:val="20"/>
                <w:szCs w:val="20"/>
              </w:rPr>
            </w:pPr>
            <w:r w:rsidRPr="005E2177">
              <w:rPr>
                <w:rFonts w:ascii="Arial Narrow" w:hAnsi="Arial Narrow"/>
                <w:b/>
                <w:bCs/>
                <w:color w:val="333333"/>
                <w:sz w:val="20"/>
                <w:szCs w:val="20"/>
              </w:rPr>
              <w:t>Population criteria:</w:t>
            </w:r>
          </w:p>
        </w:tc>
      </w:tr>
      <w:tr w:rsidR="00967577" w:rsidRPr="005E2177" w14:paraId="7948F33D" w14:textId="77777777" w:rsidTr="00240E28">
        <w:tc>
          <w:tcPr>
            <w:tcW w:w="553" w:type="pct"/>
            <w:vAlign w:val="center"/>
          </w:tcPr>
          <w:p w14:paraId="3AB565BE" w14:textId="00FC1E9E" w:rsidR="00967577" w:rsidRPr="005E2177" w:rsidRDefault="00967577" w:rsidP="002C677E">
            <w:pPr>
              <w:jc w:val="center"/>
              <w:rPr>
                <w:rFonts w:ascii="Arial Narrow" w:hAnsi="Arial Narrow"/>
                <w:color w:val="333333"/>
                <w:sz w:val="20"/>
                <w:szCs w:val="20"/>
              </w:rPr>
            </w:pPr>
          </w:p>
        </w:tc>
        <w:tc>
          <w:tcPr>
            <w:tcW w:w="4447" w:type="pct"/>
            <w:vAlign w:val="center"/>
          </w:tcPr>
          <w:p w14:paraId="5C0CFCBE" w14:textId="6D38CE18" w:rsidR="00967577" w:rsidRPr="005E2177" w:rsidRDefault="00967577" w:rsidP="002C677E">
            <w:pPr>
              <w:autoSpaceDE w:val="0"/>
              <w:autoSpaceDN w:val="0"/>
              <w:adjustRightInd w:val="0"/>
              <w:rPr>
                <w:rFonts w:ascii="Arial Narrow" w:hAnsi="Arial Narrow"/>
                <w:b/>
                <w:bCs/>
                <w:color w:val="333333"/>
                <w:sz w:val="20"/>
                <w:szCs w:val="20"/>
              </w:rPr>
            </w:pPr>
            <w:r w:rsidRPr="005E2177">
              <w:rPr>
                <w:rFonts w:ascii="Arial Narrow" w:hAnsi="Arial Narrow"/>
                <w:color w:val="333333"/>
                <w:sz w:val="20"/>
                <w:szCs w:val="20"/>
              </w:rPr>
              <w:t>Patient must be at least 18 years of age</w:t>
            </w:r>
          </w:p>
        </w:tc>
      </w:tr>
      <w:tr w:rsidR="00967577" w:rsidRPr="005E2177" w14:paraId="6011B424" w14:textId="77777777" w:rsidTr="00240E28">
        <w:tc>
          <w:tcPr>
            <w:tcW w:w="553" w:type="pct"/>
            <w:vAlign w:val="center"/>
          </w:tcPr>
          <w:p w14:paraId="7EA872C7" w14:textId="632F4FCA" w:rsidR="00967577" w:rsidRPr="005E2177" w:rsidRDefault="00967577" w:rsidP="002C677E">
            <w:pPr>
              <w:jc w:val="center"/>
              <w:rPr>
                <w:rFonts w:ascii="Arial Narrow" w:hAnsi="Arial Narrow"/>
                <w:color w:val="333333"/>
                <w:sz w:val="20"/>
                <w:szCs w:val="20"/>
              </w:rPr>
            </w:pPr>
          </w:p>
        </w:tc>
        <w:tc>
          <w:tcPr>
            <w:tcW w:w="4447" w:type="pct"/>
            <w:vAlign w:val="center"/>
          </w:tcPr>
          <w:p w14:paraId="1F4833CE"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 xml:space="preserve">Prescribing Instructions: </w:t>
            </w:r>
          </w:p>
          <w:p w14:paraId="2FF834E3" w14:textId="77777777" w:rsidR="00967577" w:rsidRPr="005E2177" w:rsidRDefault="00967577" w:rsidP="002C677E">
            <w:pPr>
              <w:autoSpaceDE w:val="0"/>
              <w:autoSpaceDN w:val="0"/>
              <w:adjustRightInd w:val="0"/>
              <w:rPr>
                <w:rFonts w:ascii="Arial Narrow" w:hAnsi="Arial Narrow"/>
                <w:color w:val="333333"/>
                <w:sz w:val="20"/>
                <w:szCs w:val="20"/>
              </w:rPr>
            </w:pPr>
            <w:r w:rsidRPr="005E2177">
              <w:rPr>
                <w:rFonts w:ascii="Arial Narrow" w:hAnsi="Arial Narrow"/>
                <w:bCs/>
                <w:color w:val="333333"/>
                <w:sz w:val="20"/>
                <w:szCs w:val="20"/>
              </w:rPr>
              <w:t>Where treatment with methotrexate, sulfasalazine or leflunomide is contraindicated according to the relevant TGA-approved Product Information, details must be provided at the time of application.</w:t>
            </w:r>
          </w:p>
        </w:tc>
      </w:tr>
      <w:tr w:rsidR="00967577" w:rsidRPr="005E2177" w14:paraId="100251B7" w14:textId="77777777" w:rsidTr="00240E28">
        <w:tc>
          <w:tcPr>
            <w:tcW w:w="553" w:type="pct"/>
            <w:vAlign w:val="center"/>
          </w:tcPr>
          <w:p w14:paraId="2238B474" w14:textId="2914E1A9" w:rsidR="00967577" w:rsidRPr="005E2177" w:rsidRDefault="00967577" w:rsidP="002C677E">
            <w:pPr>
              <w:jc w:val="center"/>
              <w:rPr>
                <w:rFonts w:ascii="Arial Narrow" w:hAnsi="Arial Narrow"/>
                <w:color w:val="333333"/>
                <w:sz w:val="20"/>
                <w:szCs w:val="20"/>
              </w:rPr>
            </w:pPr>
          </w:p>
        </w:tc>
        <w:tc>
          <w:tcPr>
            <w:tcW w:w="4447" w:type="pct"/>
            <w:vAlign w:val="center"/>
          </w:tcPr>
          <w:p w14:paraId="746F84C7"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 xml:space="preserve">Prescribing Instructions: </w:t>
            </w:r>
          </w:p>
          <w:p w14:paraId="7545C0CC" w14:textId="77777777" w:rsidR="00967577" w:rsidRPr="005E2177" w:rsidRDefault="00967577" w:rsidP="002C677E">
            <w:pPr>
              <w:autoSpaceDE w:val="0"/>
              <w:autoSpaceDN w:val="0"/>
              <w:adjustRightInd w:val="0"/>
              <w:rPr>
                <w:rFonts w:ascii="Arial Narrow" w:hAnsi="Arial Narrow"/>
                <w:color w:val="333333"/>
                <w:sz w:val="20"/>
                <w:szCs w:val="20"/>
              </w:rPr>
            </w:pPr>
            <w:r w:rsidRPr="005E2177">
              <w:rPr>
                <w:rFonts w:ascii="Arial Narrow" w:hAnsi="Arial Narrow"/>
                <w:bCs/>
                <w:color w:val="333333"/>
                <w:sz w:val="20"/>
                <w:szCs w:val="20"/>
              </w:rPr>
              <w:t>Where intolerance to treatment with methotrexate, sulfasalazine or leflunomide developed during the relevant period of use, which was of a severity to necessitate permanent treatment withdrawal, details of the degree of this toxicity must be provided at the time of application.</w:t>
            </w:r>
          </w:p>
        </w:tc>
      </w:tr>
      <w:tr w:rsidR="00967577" w:rsidRPr="005E2177" w14:paraId="1B7A0214" w14:textId="77777777" w:rsidTr="00240E28">
        <w:tc>
          <w:tcPr>
            <w:tcW w:w="553" w:type="pct"/>
            <w:vAlign w:val="center"/>
          </w:tcPr>
          <w:p w14:paraId="440599D8" w14:textId="2121D734" w:rsidR="00967577" w:rsidRPr="005E2177" w:rsidRDefault="00967577" w:rsidP="002C677E">
            <w:pPr>
              <w:jc w:val="center"/>
              <w:rPr>
                <w:rFonts w:ascii="Arial Narrow" w:hAnsi="Arial Narrow"/>
                <w:color w:val="333333"/>
                <w:sz w:val="20"/>
                <w:szCs w:val="20"/>
              </w:rPr>
            </w:pPr>
          </w:p>
        </w:tc>
        <w:tc>
          <w:tcPr>
            <w:tcW w:w="4447" w:type="pct"/>
            <w:vAlign w:val="center"/>
          </w:tcPr>
          <w:p w14:paraId="25EBCE6F"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 xml:space="preserve">Prescribing Instructions: </w:t>
            </w:r>
          </w:p>
          <w:p w14:paraId="625B3F6E" w14:textId="77777777" w:rsidR="00967577" w:rsidRPr="005E2177" w:rsidRDefault="00967577" w:rsidP="002C677E">
            <w:pPr>
              <w:autoSpaceDE w:val="0"/>
              <w:autoSpaceDN w:val="0"/>
              <w:adjustRightInd w:val="0"/>
              <w:rPr>
                <w:rFonts w:ascii="Arial Narrow" w:hAnsi="Arial Narrow"/>
                <w:bCs/>
                <w:color w:val="333333"/>
                <w:sz w:val="20"/>
                <w:szCs w:val="20"/>
              </w:rPr>
            </w:pPr>
            <w:r w:rsidRPr="005E2177">
              <w:rPr>
                <w:rFonts w:ascii="Arial Narrow" w:hAnsi="Arial Narrow"/>
                <w:bCs/>
                <w:color w:val="333333"/>
                <w:sz w:val="20"/>
                <w:szCs w:val="20"/>
              </w:rPr>
              <w:t xml:space="preserve">The following initiation criteria indicate failure to achieve an adequate response and must be demonstrated in all patients at the time of the initial application: </w:t>
            </w:r>
          </w:p>
          <w:p w14:paraId="619D4742" w14:textId="77777777" w:rsidR="00967577" w:rsidRPr="005E2177" w:rsidRDefault="00967577" w:rsidP="002C677E">
            <w:pPr>
              <w:autoSpaceDE w:val="0"/>
              <w:autoSpaceDN w:val="0"/>
              <w:adjustRightInd w:val="0"/>
              <w:rPr>
                <w:rFonts w:ascii="Arial Narrow" w:hAnsi="Arial Narrow"/>
                <w:bCs/>
                <w:color w:val="333333"/>
                <w:sz w:val="20"/>
                <w:szCs w:val="20"/>
              </w:rPr>
            </w:pPr>
            <w:r w:rsidRPr="005E2177">
              <w:rPr>
                <w:rFonts w:ascii="Arial Narrow" w:hAnsi="Arial Narrow"/>
                <w:bCs/>
                <w:color w:val="333333"/>
                <w:sz w:val="20"/>
                <w:szCs w:val="20"/>
              </w:rPr>
              <w:t xml:space="preserve">an elevated erythrocyte sedimentation rate (ESR) greater than 25 mm per hour or a C-reactive protein (CRP) level greater than 15 mg per L; and, either, </w:t>
            </w:r>
          </w:p>
          <w:p w14:paraId="69C3A92F" w14:textId="77777777" w:rsidR="00967577" w:rsidRPr="005E2177" w:rsidRDefault="00967577" w:rsidP="002C677E">
            <w:pPr>
              <w:autoSpaceDE w:val="0"/>
              <w:autoSpaceDN w:val="0"/>
              <w:adjustRightInd w:val="0"/>
              <w:rPr>
                <w:rFonts w:ascii="Arial Narrow" w:hAnsi="Arial Narrow"/>
                <w:bCs/>
                <w:color w:val="333333"/>
                <w:sz w:val="20"/>
                <w:szCs w:val="20"/>
              </w:rPr>
            </w:pPr>
            <w:r w:rsidRPr="005E2177">
              <w:rPr>
                <w:rFonts w:ascii="Arial Narrow" w:hAnsi="Arial Narrow"/>
                <w:bCs/>
                <w:color w:val="333333"/>
                <w:sz w:val="20"/>
                <w:szCs w:val="20"/>
              </w:rPr>
              <w:t xml:space="preserve">(a) an active joint count of at least 20 active (swollen and tender) joints; or, </w:t>
            </w:r>
          </w:p>
          <w:p w14:paraId="123E53BB" w14:textId="77777777" w:rsidR="00967577" w:rsidRPr="005E2177" w:rsidRDefault="00967577" w:rsidP="002C677E">
            <w:pPr>
              <w:autoSpaceDE w:val="0"/>
              <w:autoSpaceDN w:val="0"/>
              <w:adjustRightInd w:val="0"/>
              <w:rPr>
                <w:rFonts w:ascii="Arial Narrow" w:hAnsi="Arial Narrow"/>
                <w:bCs/>
                <w:color w:val="333333"/>
                <w:sz w:val="20"/>
                <w:szCs w:val="20"/>
              </w:rPr>
            </w:pPr>
            <w:r w:rsidRPr="005E2177">
              <w:rPr>
                <w:rFonts w:ascii="Arial Narrow" w:hAnsi="Arial Narrow"/>
                <w:bCs/>
                <w:color w:val="333333"/>
                <w:sz w:val="20"/>
                <w:szCs w:val="20"/>
              </w:rPr>
              <w:t>(b) at least 4 active joints from the following list of major joints:</w:t>
            </w:r>
          </w:p>
          <w:p w14:paraId="7C1EF6BC" w14:textId="77777777" w:rsidR="00967577" w:rsidRPr="005E2177" w:rsidRDefault="00967577" w:rsidP="002C677E">
            <w:pPr>
              <w:autoSpaceDE w:val="0"/>
              <w:autoSpaceDN w:val="0"/>
              <w:adjustRightInd w:val="0"/>
              <w:rPr>
                <w:rFonts w:ascii="Arial Narrow" w:hAnsi="Arial Narrow"/>
                <w:bCs/>
                <w:color w:val="333333"/>
                <w:sz w:val="20"/>
                <w:szCs w:val="20"/>
              </w:rPr>
            </w:pPr>
            <w:r w:rsidRPr="005E2177">
              <w:rPr>
                <w:rFonts w:ascii="Arial Narrow" w:hAnsi="Arial Narrow"/>
                <w:bCs/>
                <w:color w:val="333333"/>
                <w:sz w:val="20"/>
                <w:szCs w:val="20"/>
              </w:rPr>
              <w:t xml:space="preserve">(i) elbow, wrist, knee and/or ankle (assessed as swollen and tender); and/or, </w:t>
            </w:r>
          </w:p>
          <w:p w14:paraId="4AEC8747" w14:textId="77777777" w:rsidR="00967577" w:rsidRPr="005E2177" w:rsidRDefault="00967577" w:rsidP="002C677E">
            <w:pPr>
              <w:autoSpaceDE w:val="0"/>
              <w:autoSpaceDN w:val="0"/>
              <w:adjustRightInd w:val="0"/>
              <w:rPr>
                <w:rFonts w:ascii="Arial Narrow" w:hAnsi="Arial Narrow"/>
                <w:bCs/>
                <w:color w:val="333333"/>
                <w:sz w:val="20"/>
                <w:szCs w:val="20"/>
              </w:rPr>
            </w:pPr>
            <w:r w:rsidRPr="005E2177">
              <w:rPr>
                <w:rFonts w:ascii="Arial Narrow" w:hAnsi="Arial Narrow"/>
                <w:bCs/>
                <w:color w:val="333333"/>
                <w:sz w:val="20"/>
                <w:szCs w:val="20"/>
              </w:rPr>
              <w:t>(ii) shoulder and/or hip (assessed as pain in passive movement and restriction of passive movement, where pain and limitation of movement are due to active disease and not irreversible damage such as joint destruction or bony overgrowth).</w:t>
            </w:r>
          </w:p>
          <w:p w14:paraId="6F0E87BB" w14:textId="77777777" w:rsidR="00967577" w:rsidRPr="005E2177" w:rsidRDefault="00967577" w:rsidP="002C677E">
            <w:pPr>
              <w:autoSpaceDE w:val="0"/>
              <w:autoSpaceDN w:val="0"/>
              <w:adjustRightInd w:val="0"/>
              <w:rPr>
                <w:rFonts w:ascii="Arial Narrow" w:hAnsi="Arial Narrow"/>
                <w:color w:val="333333"/>
                <w:sz w:val="20"/>
                <w:szCs w:val="20"/>
              </w:rPr>
            </w:pPr>
            <w:r w:rsidRPr="005E2177">
              <w:rPr>
                <w:rFonts w:ascii="Arial Narrow" w:hAnsi="Arial Narrow"/>
                <w:bCs/>
                <w:color w:val="333333"/>
                <w:sz w:val="20"/>
                <w:szCs w:val="20"/>
              </w:rPr>
              <w:t>If the above requirement to demonstrate an elevated ESR or CRP cannot be met, the application must state the reasons why this criterion cannot be satisfied. Treatment with prednisolone dosed at 7.5 mg or higher daily (or equivalent) or a parenteral steroid within the past month (intramuscular or intravenous methylprednisolone or equivalent) is an acceptable reason.</w:t>
            </w:r>
          </w:p>
        </w:tc>
      </w:tr>
      <w:tr w:rsidR="00967577" w:rsidRPr="005E2177" w14:paraId="38CAF926" w14:textId="77777777" w:rsidTr="00240E28">
        <w:tc>
          <w:tcPr>
            <w:tcW w:w="553" w:type="pct"/>
            <w:vAlign w:val="center"/>
          </w:tcPr>
          <w:p w14:paraId="32AE7788" w14:textId="2A49B252" w:rsidR="00967577" w:rsidRPr="005E2177" w:rsidDel="00FF7FBB" w:rsidRDefault="00967577" w:rsidP="002C677E">
            <w:pPr>
              <w:jc w:val="center"/>
              <w:rPr>
                <w:rFonts w:ascii="Arial Narrow" w:hAnsi="Arial Narrow"/>
                <w:color w:val="333333"/>
                <w:sz w:val="20"/>
                <w:szCs w:val="20"/>
              </w:rPr>
            </w:pPr>
          </w:p>
        </w:tc>
        <w:tc>
          <w:tcPr>
            <w:tcW w:w="4447" w:type="pct"/>
            <w:vAlign w:val="center"/>
          </w:tcPr>
          <w:p w14:paraId="6A2C7412"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 xml:space="preserve">Prescribing Instructions: </w:t>
            </w:r>
          </w:p>
          <w:p w14:paraId="466DC44F" w14:textId="77777777" w:rsidR="00967577" w:rsidRPr="005E2177" w:rsidRDefault="00967577" w:rsidP="002C677E">
            <w:pPr>
              <w:rPr>
                <w:rFonts w:ascii="Arial Narrow" w:hAnsi="Arial Narrow"/>
                <w:sz w:val="20"/>
                <w:szCs w:val="20"/>
              </w:rPr>
            </w:pPr>
            <w:r w:rsidRPr="005E2177">
              <w:rPr>
                <w:rFonts w:ascii="Arial Narrow" w:hAnsi="Arial Narrow"/>
                <w:sz w:val="20"/>
                <w:szCs w:val="20"/>
              </w:rPr>
              <w:t>An adequate response to treatment is defined as:</w:t>
            </w:r>
          </w:p>
          <w:p w14:paraId="7C10E882" w14:textId="77777777" w:rsidR="00967577" w:rsidRPr="005E2177" w:rsidRDefault="00967577" w:rsidP="002C677E">
            <w:pPr>
              <w:rPr>
                <w:rFonts w:ascii="Arial Narrow" w:hAnsi="Arial Narrow"/>
                <w:sz w:val="20"/>
                <w:szCs w:val="20"/>
              </w:rPr>
            </w:pPr>
            <w:r w:rsidRPr="005E2177">
              <w:rPr>
                <w:rFonts w:ascii="Arial Narrow" w:hAnsi="Arial Narrow"/>
                <w:sz w:val="20"/>
                <w:szCs w:val="20"/>
              </w:rPr>
              <w:t>an erythrocyte sedimentation rate (ESR) no greater than 25 mm per hour or a C-reactive protein (CRP) level no greater than 15 mg per L or either marker reduced by at least 20% from baseline; and</w:t>
            </w:r>
          </w:p>
          <w:p w14:paraId="2FB4ACF4" w14:textId="77777777" w:rsidR="00967577" w:rsidRPr="005E2177" w:rsidRDefault="00967577" w:rsidP="002C677E">
            <w:pPr>
              <w:rPr>
                <w:rFonts w:ascii="Arial Narrow" w:hAnsi="Arial Narrow"/>
                <w:sz w:val="20"/>
                <w:szCs w:val="20"/>
              </w:rPr>
            </w:pPr>
            <w:r w:rsidRPr="005E2177">
              <w:rPr>
                <w:rFonts w:ascii="Arial Narrow" w:hAnsi="Arial Narrow"/>
                <w:sz w:val="20"/>
                <w:szCs w:val="20"/>
              </w:rPr>
              <w:t>either of the following:</w:t>
            </w:r>
          </w:p>
          <w:p w14:paraId="415BCB81" w14:textId="77777777" w:rsidR="00967577" w:rsidRPr="005E2177" w:rsidRDefault="00967577" w:rsidP="002C677E">
            <w:pPr>
              <w:rPr>
                <w:rFonts w:ascii="Arial Narrow" w:hAnsi="Arial Narrow"/>
                <w:sz w:val="20"/>
                <w:szCs w:val="20"/>
              </w:rPr>
            </w:pPr>
            <w:r w:rsidRPr="005E2177">
              <w:rPr>
                <w:rFonts w:ascii="Arial Narrow" w:hAnsi="Arial Narrow"/>
                <w:sz w:val="20"/>
                <w:szCs w:val="20"/>
              </w:rPr>
              <w:t>(a) a reduction in the total active (swollen and tender) joint count by at least 50% from baseline, where baseline is at least 20 active joints; or</w:t>
            </w:r>
          </w:p>
          <w:p w14:paraId="799AFCE9" w14:textId="77777777" w:rsidR="00967577" w:rsidRPr="005E2177" w:rsidRDefault="00967577" w:rsidP="002C677E">
            <w:pPr>
              <w:rPr>
                <w:rFonts w:ascii="Arial Narrow" w:hAnsi="Arial Narrow"/>
                <w:sz w:val="20"/>
                <w:szCs w:val="20"/>
              </w:rPr>
            </w:pPr>
            <w:r w:rsidRPr="005E2177">
              <w:rPr>
                <w:rFonts w:ascii="Arial Narrow" w:hAnsi="Arial Narrow"/>
                <w:sz w:val="20"/>
                <w:szCs w:val="20"/>
              </w:rPr>
              <w:t>(b) a reduction in the number of the following major active joints, from at least 4, by at least 50%:</w:t>
            </w:r>
          </w:p>
          <w:p w14:paraId="49E569CF" w14:textId="77777777" w:rsidR="00967577" w:rsidRPr="005E2177" w:rsidRDefault="00967577" w:rsidP="002C677E">
            <w:pPr>
              <w:rPr>
                <w:rFonts w:ascii="Arial Narrow" w:hAnsi="Arial Narrow"/>
                <w:sz w:val="20"/>
                <w:szCs w:val="20"/>
              </w:rPr>
            </w:pPr>
            <w:r w:rsidRPr="005E2177">
              <w:rPr>
                <w:rFonts w:ascii="Arial Narrow" w:hAnsi="Arial Narrow"/>
                <w:sz w:val="20"/>
                <w:szCs w:val="20"/>
              </w:rPr>
              <w:t>(i) elbow, wrist, knee and/or ankle (assessed as swollen and tender); and/or</w:t>
            </w:r>
          </w:p>
          <w:p w14:paraId="01190B16" w14:textId="77777777" w:rsidR="00967577" w:rsidRPr="005E2177" w:rsidRDefault="00967577" w:rsidP="002C677E">
            <w:pPr>
              <w:rPr>
                <w:rFonts w:ascii="Arial Narrow" w:hAnsi="Arial Narrow"/>
                <w:b/>
                <w:bCs/>
                <w:color w:val="333333"/>
                <w:sz w:val="20"/>
                <w:szCs w:val="20"/>
              </w:rPr>
            </w:pPr>
            <w:r w:rsidRPr="005E2177">
              <w:rPr>
                <w:rFonts w:ascii="Arial Narrow" w:hAnsi="Arial Narrow"/>
                <w:sz w:val="20"/>
                <w:szCs w:val="20"/>
              </w:rPr>
              <w:t>(ii) shoulder and/or hip (assessed as pain in passive movement and restriction of passive movement, where pain and limitation of movement are due to active disease and not irreversible damage such as joint destruction or bony overgrowth).</w:t>
            </w:r>
          </w:p>
        </w:tc>
      </w:tr>
      <w:tr w:rsidR="00967577" w:rsidRPr="005E2177" w14:paraId="62855044" w14:textId="77777777" w:rsidTr="00240E28">
        <w:tc>
          <w:tcPr>
            <w:tcW w:w="553" w:type="pct"/>
            <w:vAlign w:val="center"/>
          </w:tcPr>
          <w:p w14:paraId="69159E51" w14:textId="14921B46" w:rsidR="00383C15" w:rsidRPr="005E2177" w:rsidRDefault="00383C15" w:rsidP="002C677E">
            <w:pPr>
              <w:jc w:val="center"/>
              <w:rPr>
                <w:rFonts w:ascii="Arial Narrow" w:hAnsi="Arial Narrow"/>
                <w:color w:val="333333"/>
                <w:sz w:val="20"/>
                <w:szCs w:val="20"/>
              </w:rPr>
            </w:pPr>
          </w:p>
        </w:tc>
        <w:tc>
          <w:tcPr>
            <w:tcW w:w="4447" w:type="pct"/>
            <w:vAlign w:val="center"/>
          </w:tcPr>
          <w:p w14:paraId="7D6781C2"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 xml:space="preserve">Prescribing Instructions: </w:t>
            </w:r>
          </w:p>
          <w:p w14:paraId="06E9E4BE" w14:textId="77777777" w:rsidR="00967577" w:rsidRPr="005E2177" w:rsidRDefault="00967577" w:rsidP="002C677E">
            <w:pPr>
              <w:autoSpaceDE w:val="0"/>
              <w:autoSpaceDN w:val="0"/>
              <w:adjustRightInd w:val="0"/>
              <w:rPr>
                <w:rFonts w:ascii="Arial Narrow" w:hAnsi="Arial Narrow"/>
                <w:bCs/>
                <w:color w:val="333333"/>
                <w:sz w:val="20"/>
                <w:szCs w:val="20"/>
              </w:rPr>
            </w:pPr>
            <w:r w:rsidRPr="005E2177">
              <w:rPr>
                <w:rFonts w:ascii="Arial Narrow" w:hAnsi="Arial Narrow"/>
                <w:bCs/>
                <w:color w:val="333333"/>
                <w:sz w:val="20"/>
                <w:szCs w:val="20"/>
              </w:rPr>
              <w:t>The authority application must be made in writing and must include:</w:t>
            </w:r>
          </w:p>
          <w:p w14:paraId="55F90AD7" w14:textId="43E7126E" w:rsidR="00967577" w:rsidRPr="005E2177" w:rsidRDefault="00967577" w:rsidP="002C677E">
            <w:pPr>
              <w:autoSpaceDE w:val="0"/>
              <w:autoSpaceDN w:val="0"/>
              <w:adjustRightInd w:val="0"/>
              <w:rPr>
                <w:rFonts w:ascii="Arial Narrow" w:hAnsi="Arial Narrow"/>
                <w:bCs/>
                <w:color w:val="333333"/>
                <w:sz w:val="20"/>
                <w:szCs w:val="20"/>
              </w:rPr>
            </w:pPr>
            <w:r w:rsidRPr="005E2177">
              <w:rPr>
                <w:rFonts w:ascii="Arial Narrow" w:hAnsi="Arial Narrow"/>
                <w:bCs/>
                <w:color w:val="333333"/>
                <w:sz w:val="20"/>
                <w:szCs w:val="20"/>
              </w:rPr>
              <w:t xml:space="preserve">(a) a completed authority prescription form; and, </w:t>
            </w:r>
          </w:p>
          <w:p w14:paraId="4E21AE53" w14:textId="77777777" w:rsidR="00967577" w:rsidRPr="005E2177" w:rsidRDefault="00967577" w:rsidP="002C677E">
            <w:pPr>
              <w:autoSpaceDE w:val="0"/>
              <w:autoSpaceDN w:val="0"/>
              <w:adjustRightInd w:val="0"/>
              <w:rPr>
                <w:rFonts w:ascii="Arial Narrow" w:hAnsi="Arial Narrow"/>
                <w:bCs/>
                <w:color w:val="333333"/>
                <w:sz w:val="20"/>
                <w:szCs w:val="20"/>
              </w:rPr>
            </w:pPr>
            <w:r w:rsidRPr="005E2177">
              <w:rPr>
                <w:rFonts w:ascii="Arial Narrow" w:hAnsi="Arial Narrow"/>
                <w:bCs/>
                <w:color w:val="333333"/>
                <w:sz w:val="20"/>
                <w:szCs w:val="20"/>
              </w:rPr>
              <w:t>(b) a completed authority application form relevant to the indication and treatment phase (the latest version is located on the website specified in the Administrative Advice).</w:t>
            </w:r>
          </w:p>
          <w:p w14:paraId="7D298648" w14:textId="77777777" w:rsidR="00967577" w:rsidRPr="005E2177" w:rsidRDefault="00967577" w:rsidP="002C677E">
            <w:pPr>
              <w:autoSpaceDE w:val="0"/>
              <w:autoSpaceDN w:val="0"/>
              <w:adjustRightInd w:val="0"/>
              <w:rPr>
                <w:rFonts w:ascii="Arial Narrow" w:hAnsi="Arial Narrow"/>
                <w:color w:val="333333"/>
                <w:sz w:val="20"/>
                <w:szCs w:val="20"/>
              </w:rPr>
            </w:pPr>
            <w:r w:rsidRPr="005E2177">
              <w:rPr>
                <w:rFonts w:ascii="Arial Narrow" w:hAnsi="Arial Narrow"/>
                <w:color w:val="333333"/>
                <w:sz w:val="20"/>
                <w:szCs w:val="20"/>
              </w:rPr>
              <w:t xml:space="preserve">(c) the date of commencement of this drug; and </w:t>
            </w:r>
          </w:p>
          <w:p w14:paraId="3D117A15" w14:textId="77777777" w:rsidR="00967577" w:rsidRPr="005E2177" w:rsidRDefault="00967577" w:rsidP="002C677E">
            <w:pPr>
              <w:autoSpaceDE w:val="0"/>
              <w:autoSpaceDN w:val="0"/>
              <w:adjustRightInd w:val="0"/>
              <w:rPr>
                <w:rFonts w:ascii="Arial Narrow" w:hAnsi="Arial Narrow"/>
                <w:color w:val="333333"/>
                <w:sz w:val="20"/>
                <w:szCs w:val="20"/>
              </w:rPr>
            </w:pPr>
            <w:r w:rsidRPr="005E2177">
              <w:rPr>
                <w:rFonts w:ascii="Arial Narrow" w:hAnsi="Arial Narrow"/>
                <w:color w:val="333333"/>
                <w:sz w:val="20"/>
                <w:szCs w:val="20"/>
              </w:rPr>
              <w:t>(d) results of the baseline patient assessment prior to initiation of non-PBS subsidised therapy with this drug</w:t>
            </w:r>
          </w:p>
        </w:tc>
      </w:tr>
      <w:tr w:rsidR="00967577" w:rsidRPr="005E2177" w14:paraId="73E5A3C3" w14:textId="77777777" w:rsidTr="00240E28">
        <w:tc>
          <w:tcPr>
            <w:tcW w:w="553" w:type="pct"/>
            <w:vAlign w:val="center"/>
          </w:tcPr>
          <w:p w14:paraId="2F653C56" w14:textId="442CFDF5" w:rsidR="00967577" w:rsidRPr="005E2177" w:rsidDel="00C74561" w:rsidRDefault="00967577" w:rsidP="002C677E">
            <w:pPr>
              <w:jc w:val="center"/>
              <w:rPr>
                <w:rFonts w:ascii="Arial Narrow" w:hAnsi="Arial Narrow"/>
                <w:color w:val="333333"/>
                <w:sz w:val="20"/>
                <w:szCs w:val="20"/>
              </w:rPr>
            </w:pPr>
          </w:p>
        </w:tc>
        <w:tc>
          <w:tcPr>
            <w:tcW w:w="4447" w:type="pct"/>
            <w:vAlign w:val="center"/>
          </w:tcPr>
          <w:p w14:paraId="59C87DD7"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 xml:space="preserve">Prescribing Instructions: </w:t>
            </w:r>
          </w:p>
          <w:p w14:paraId="7B908FB2" w14:textId="77777777" w:rsidR="00967577" w:rsidRPr="005E2177" w:rsidRDefault="00967577" w:rsidP="002C677E">
            <w:pPr>
              <w:rPr>
                <w:rFonts w:ascii="Arial Narrow" w:hAnsi="Arial Narrow"/>
                <w:b/>
                <w:bCs/>
                <w:color w:val="333333"/>
                <w:sz w:val="20"/>
                <w:szCs w:val="20"/>
              </w:rPr>
            </w:pPr>
            <w:r w:rsidRPr="005E2177">
              <w:rPr>
                <w:rFonts w:ascii="Arial Narrow" w:hAnsi="Arial Narrow"/>
                <w:sz w:val="20"/>
                <w:szCs w:val="20"/>
              </w:rPr>
              <w:t>The same indices of disease severity used to establish baseline at the commencement of treatment with each initial treatment application must be used to determine response for all subsequent continuing treatments.</w:t>
            </w:r>
          </w:p>
        </w:tc>
      </w:tr>
      <w:tr w:rsidR="00967577" w:rsidRPr="005E2177" w14:paraId="271C9E39" w14:textId="77777777" w:rsidTr="00240E28">
        <w:tc>
          <w:tcPr>
            <w:tcW w:w="553" w:type="pct"/>
            <w:vAlign w:val="center"/>
          </w:tcPr>
          <w:p w14:paraId="4BC852AB" w14:textId="0D177C52" w:rsidR="00967577" w:rsidRPr="005E2177" w:rsidDel="00C74561" w:rsidRDefault="00967577" w:rsidP="002C677E">
            <w:pPr>
              <w:jc w:val="center"/>
              <w:rPr>
                <w:rFonts w:ascii="Arial Narrow" w:hAnsi="Arial Narrow"/>
                <w:color w:val="333333"/>
                <w:sz w:val="20"/>
                <w:szCs w:val="20"/>
              </w:rPr>
            </w:pPr>
          </w:p>
        </w:tc>
        <w:tc>
          <w:tcPr>
            <w:tcW w:w="4447" w:type="pct"/>
            <w:vAlign w:val="center"/>
          </w:tcPr>
          <w:p w14:paraId="5F185A70"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 xml:space="preserve">Prescribing Instructions: </w:t>
            </w:r>
          </w:p>
          <w:p w14:paraId="44525F3E" w14:textId="77777777" w:rsidR="00967577" w:rsidRPr="005E2177" w:rsidRDefault="00967577" w:rsidP="002C677E">
            <w:pPr>
              <w:rPr>
                <w:rFonts w:ascii="Arial Narrow" w:hAnsi="Arial Narrow"/>
                <w:b/>
                <w:bCs/>
                <w:color w:val="333333"/>
                <w:sz w:val="20"/>
                <w:szCs w:val="20"/>
              </w:rPr>
            </w:pPr>
            <w:r w:rsidRPr="005E2177">
              <w:rPr>
                <w:rFonts w:ascii="Arial Narrow" w:hAnsi="Arial Narrow"/>
                <w:sz w:val="20"/>
                <w:szCs w:val="20"/>
              </w:rPr>
              <w:t>The assessment of the patient's response to this PBS-subsidised course of therapy must be conducted no later than 4 weeks from the cessation of the treatment course.</w:t>
            </w:r>
          </w:p>
        </w:tc>
      </w:tr>
      <w:tr w:rsidR="00967577" w:rsidRPr="005E2177" w14:paraId="3F88B99B" w14:textId="77777777" w:rsidTr="00240E28">
        <w:tc>
          <w:tcPr>
            <w:tcW w:w="553" w:type="pct"/>
            <w:vAlign w:val="center"/>
          </w:tcPr>
          <w:p w14:paraId="0FEEBC3D" w14:textId="590900DF" w:rsidR="00967577" w:rsidRPr="005E2177" w:rsidRDefault="00967577" w:rsidP="002C677E">
            <w:pPr>
              <w:jc w:val="center"/>
              <w:rPr>
                <w:rFonts w:ascii="Arial Narrow" w:hAnsi="Arial Narrow"/>
                <w:color w:val="333333"/>
                <w:sz w:val="20"/>
                <w:szCs w:val="20"/>
              </w:rPr>
            </w:pPr>
          </w:p>
        </w:tc>
        <w:tc>
          <w:tcPr>
            <w:tcW w:w="4447" w:type="pct"/>
            <w:vAlign w:val="center"/>
          </w:tcPr>
          <w:p w14:paraId="54B8273B"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 xml:space="preserve">Prescribing Instructions: </w:t>
            </w:r>
          </w:p>
          <w:p w14:paraId="37C5EFAE" w14:textId="77777777" w:rsidR="00967577" w:rsidRPr="005E2177" w:rsidRDefault="00967577" w:rsidP="002C677E">
            <w:pPr>
              <w:autoSpaceDE w:val="0"/>
              <w:autoSpaceDN w:val="0"/>
              <w:adjustRightInd w:val="0"/>
              <w:rPr>
                <w:rFonts w:ascii="Arial Narrow" w:hAnsi="Arial Narrow"/>
                <w:color w:val="333333"/>
                <w:sz w:val="20"/>
                <w:szCs w:val="20"/>
              </w:rPr>
            </w:pPr>
            <w:r w:rsidRPr="005E2177">
              <w:rPr>
                <w:rFonts w:ascii="Arial Narrow" w:hAnsi="Arial Narrow"/>
                <w:bCs/>
                <w:color w:val="333333"/>
                <w:sz w:val="20"/>
                <w:szCs w:val="20"/>
              </w:rPr>
              <w:t>An assessment of a patient's response to this initial course of treatment must be conducted following a minimum of 12 weeks of therapy and no later than 4 weeks prior the completion of this course of treatment.</w:t>
            </w:r>
          </w:p>
        </w:tc>
      </w:tr>
      <w:tr w:rsidR="00967577" w:rsidRPr="005E2177" w14:paraId="0A58DA74" w14:textId="77777777" w:rsidTr="00240E28">
        <w:tc>
          <w:tcPr>
            <w:tcW w:w="553" w:type="pct"/>
            <w:vAlign w:val="center"/>
          </w:tcPr>
          <w:p w14:paraId="7B454F83" w14:textId="497355DC" w:rsidR="00967577" w:rsidRPr="005E2177" w:rsidRDefault="00967577" w:rsidP="002C677E">
            <w:pPr>
              <w:jc w:val="center"/>
              <w:rPr>
                <w:rFonts w:ascii="Arial Narrow" w:hAnsi="Arial Narrow"/>
                <w:color w:val="333333"/>
                <w:sz w:val="20"/>
                <w:szCs w:val="20"/>
              </w:rPr>
            </w:pPr>
          </w:p>
        </w:tc>
        <w:tc>
          <w:tcPr>
            <w:tcW w:w="4447" w:type="pct"/>
            <w:vAlign w:val="center"/>
          </w:tcPr>
          <w:p w14:paraId="2D085D7C"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 xml:space="preserve">Prescribing Instructions: </w:t>
            </w:r>
          </w:p>
          <w:p w14:paraId="34F7327E" w14:textId="77777777" w:rsidR="00967577" w:rsidRPr="005E2177" w:rsidRDefault="00967577" w:rsidP="002C677E">
            <w:pPr>
              <w:autoSpaceDE w:val="0"/>
              <w:autoSpaceDN w:val="0"/>
              <w:adjustRightInd w:val="0"/>
              <w:rPr>
                <w:rFonts w:ascii="Arial Narrow" w:hAnsi="Arial Narrow"/>
                <w:color w:val="333333"/>
                <w:sz w:val="20"/>
                <w:szCs w:val="20"/>
              </w:rPr>
            </w:pPr>
            <w:r w:rsidRPr="005E2177">
              <w:rPr>
                <w:rFonts w:ascii="Arial Narrow" w:hAnsi="Arial Narrow"/>
                <w:bCs/>
                <w:color w:val="333333"/>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967577" w:rsidRPr="005E2177" w14:paraId="35CC94E5" w14:textId="77777777" w:rsidTr="00240E28">
        <w:tc>
          <w:tcPr>
            <w:tcW w:w="553" w:type="pct"/>
            <w:vAlign w:val="center"/>
          </w:tcPr>
          <w:p w14:paraId="0DC13CFB" w14:textId="68B1B382" w:rsidR="00967577" w:rsidRPr="005E2177" w:rsidRDefault="00967577" w:rsidP="002C677E">
            <w:pPr>
              <w:jc w:val="center"/>
              <w:rPr>
                <w:rFonts w:ascii="Arial Narrow" w:hAnsi="Arial Narrow"/>
                <w:color w:val="333333"/>
                <w:sz w:val="20"/>
                <w:szCs w:val="20"/>
              </w:rPr>
            </w:pPr>
          </w:p>
        </w:tc>
        <w:tc>
          <w:tcPr>
            <w:tcW w:w="4447" w:type="pct"/>
            <w:vAlign w:val="center"/>
          </w:tcPr>
          <w:p w14:paraId="494D1C6F"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 xml:space="preserve">Prescribing Instructions: </w:t>
            </w:r>
          </w:p>
          <w:p w14:paraId="2E48B175" w14:textId="77777777" w:rsidR="00967577" w:rsidRPr="005E2177" w:rsidRDefault="00967577" w:rsidP="002C677E">
            <w:pPr>
              <w:autoSpaceDE w:val="0"/>
              <w:autoSpaceDN w:val="0"/>
              <w:adjustRightInd w:val="0"/>
              <w:rPr>
                <w:rFonts w:ascii="Arial Narrow" w:hAnsi="Arial Narrow"/>
                <w:color w:val="333333"/>
                <w:sz w:val="20"/>
                <w:szCs w:val="20"/>
              </w:rPr>
            </w:pPr>
            <w:r w:rsidRPr="005E2177">
              <w:rPr>
                <w:rFonts w:ascii="Arial Narrow" w:hAnsi="Arial Narrow"/>
                <w:bCs/>
                <w:color w:val="333333"/>
                <w:sz w:val="20"/>
                <w:szCs w:val="20"/>
              </w:rPr>
              <w:t xml:space="preserve">If a patient fails to demonstrate a response to treatment with this </w:t>
            </w:r>
            <w:proofErr w:type="gramStart"/>
            <w:r w:rsidRPr="005E2177">
              <w:rPr>
                <w:rFonts w:ascii="Arial Narrow" w:hAnsi="Arial Narrow"/>
                <w:bCs/>
                <w:color w:val="333333"/>
                <w:sz w:val="20"/>
                <w:szCs w:val="20"/>
              </w:rPr>
              <w:t>drug</w:t>
            </w:r>
            <w:proofErr w:type="gramEnd"/>
            <w:r w:rsidRPr="005E2177">
              <w:rPr>
                <w:rFonts w:ascii="Arial Narrow" w:hAnsi="Arial Narrow"/>
                <w:bCs/>
                <w:color w:val="333333"/>
                <w:sz w:val="20"/>
                <w:szCs w:val="20"/>
              </w:rPr>
              <w:t xml:space="preserve">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967577" w:rsidRPr="005E2177" w14:paraId="7D366C22" w14:textId="77777777" w:rsidTr="00240E28">
        <w:tc>
          <w:tcPr>
            <w:tcW w:w="553" w:type="pct"/>
            <w:vAlign w:val="center"/>
          </w:tcPr>
          <w:p w14:paraId="2D6CA780" w14:textId="04407339" w:rsidR="00967577" w:rsidRPr="005E2177" w:rsidRDefault="00967577" w:rsidP="002C677E">
            <w:pPr>
              <w:jc w:val="center"/>
              <w:rPr>
                <w:rFonts w:ascii="Arial Narrow" w:hAnsi="Arial Narrow"/>
                <w:color w:val="333333"/>
                <w:sz w:val="20"/>
                <w:szCs w:val="20"/>
              </w:rPr>
            </w:pPr>
          </w:p>
        </w:tc>
        <w:tc>
          <w:tcPr>
            <w:tcW w:w="4447" w:type="pct"/>
            <w:vAlign w:val="center"/>
          </w:tcPr>
          <w:p w14:paraId="3C62B151"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 xml:space="preserve">Prescribing Instructions: </w:t>
            </w:r>
          </w:p>
          <w:p w14:paraId="313945C5" w14:textId="77777777" w:rsidR="00967577" w:rsidRPr="005E2177" w:rsidRDefault="00967577" w:rsidP="002C677E">
            <w:pPr>
              <w:rPr>
                <w:rFonts w:ascii="Arial Narrow" w:hAnsi="Arial Narrow"/>
                <w:color w:val="333333"/>
                <w:sz w:val="20"/>
                <w:szCs w:val="20"/>
              </w:rPr>
            </w:pPr>
            <w:r w:rsidRPr="005E2177">
              <w:rPr>
                <w:rFonts w:ascii="Arial Narrow" w:hAnsi="Arial Narrow"/>
                <w:color w:val="333333"/>
                <w:sz w:val="20"/>
                <w:szCs w:val="20"/>
              </w:rPr>
              <w:t xml:space="preserve">Patients may qualify for PBS-subsidised treatment under this restriction once only. For continuing PBS-subsidised treatment, a ‘Grandfathered’ patient must qualify under the ‘Continuing treatment’ criteria. </w:t>
            </w:r>
          </w:p>
        </w:tc>
      </w:tr>
      <w:tr w:rsidR="00967577" w:rsidRPr="005E2177" w14:paraId="36766176" w14:textId="77777777" w:rsidTr="00240E28">
        <w:tc>
          <w:tcPr>
            <w:tcW w:w="553" w:type="pct"/>
            <w:vAlign w:val="center"/>
          </w:tcPr>
          <w:p w14:paraId="2BDF3ED4" w14:textId="379101E3" w:rsidR="00967577" w:rsidRPr="005E2177" w:rsidRDefault="00967577" w:rsidP="002C677E">
            <w:pPr>
              <w:jc w:val="center"/>
              <w:rPr>
                <w:rFonts w:ascii="Arial Narrow" w:hAnsi="Arial Narrow"/>
                <w:color w:val="333333"/>
                <w:sz w:val="20"/>
                <w:szCs w:val="20"/>
              </w:rPr>
            </w:pPr>
          </w:p>
        </w:tc>
        <w:tc>
          <w:tcPr>
            <w:tcW w:w="4447" w:type="pct"/>
            <w:vAlign w:val="center"/>
          </w:tcPr>
          <w:p w14:paraId="2E7A02D7" w14:textId="77777777" w:rsidR="00967577" w:rsidRPr="005E2177" w:rsidRDefault="00967577" w:rsidP="002C677E">
            <w:pPr>
              <w:rPr>
                <w:rFonts w:ascii="Arial Narrow" w:hAnsi="Arial Narrow"/>
                <w:bCs/>
                <w:color w:val="333333"/>
                <w:sz w:val="20"/>
                <w:szCs w:val="20"/>
              </w:rPr>
            </w:pPr>
            <w:r w:rsidRPr="005E2177">
              <w:rPr>
                <w:rFonts w:ascii="Arial Narrow" w:hAnsi="Arial Narrow"/>
                <w:b/>
                <w:bCs/>
                <w:color w:val="333333"/>
                <w:sz w:val="20"/>
                <w:szCs w:val="20"/>
              </w:rPr>
              <w:t>Administrative Advice:</w:t>
            </w:r>
            <w:r w:rsidRPr="005E2177">
              <w:rPr>
                <w:rFonts w:ascii="Arial Narrow" w:hAnsi="Arial Narrow"/>
                <w:bCs/>
                <w:color w:val="333333"/>
                <w:sz w:val="20"/>
                <w:szCs w:val="20"/>
              </w:rPr>
              <w:t xml:space="preserve"> </w:t>
            </w:r>
          </w:p>
          <w:p w14:paraId="19CBB1F2" w14:textId="77777777" w:rsidR="00967577" w:rsidRPr="005E2177" w:rsidRDefault="00967577" w:rsidP="002C677E">
            <w:pPr>
              <w:autoSpaceDE w:val="0"/>
              <w:autoSpaceDN w:val="0"/>
              <w:adjustRightInd w:val="0"/>
              <w:rPr>
                <w:rFonts w:ascii="Arial Narrow" w:hAnsi="Arial Narrow"/>
                <w:color w:val="333333"/>
                <w:sz w:val="20"/>
                <w:szCs w:val="20"/>
              </w:rPr>
            </w:pPr>
            <w:r w:rsidRPr="005E2177">
              <w:rPr>
                <w:rFonts w:ascii="Arial Narrow" w:hAnsi="Arial Narrow"/>
                <w:bCs/>
                <w:color w:val="333333"/>
                <w:sz w:val="20"/>
                <w:szCs w:val="20"/>
              </w:rPr>
              <w:t>The Services Australia website (www.servicesaustralia.gov.au) has details of the toxicities, including severity, which will be accepted where one is claimed.</w:t>
            </w:r>
          </w:p>
        </w:tc>
      </w:tr>
      <w:tr w:rsidR="00967577" w:rsidRPr="005E2177" w14:paraId="56AFAB61" w14:textId="77777777" w:rsidTr="00240E28">
        <w:tc>
          <w:tcPr>
            <w:tcW w:w="553" w:type="pct"/>
            <w:vAlign w:val="center"/>
          </w:tcPr>
          <w:p w14:paraId="7685CFD2" w14:textId="51023370" w:rsidR="00967577" w:rsidRPr="005E2177" w:rsidRDefault="00967577" w:rsidP="002C677E">
            <w:pPr>
              <w:jc w:val="center"/>
              <w:rPr>
                <w:rFonts w:ascii="Arial Narrow" w:hAnsi="Arial Narrow"/>
                <w:color w:val="333333"/>
                <w:sz w:val="20"/>
                <w:szCs w:val="20"/>
              </w:rPr>
            </w:pPr>
          </w:p>
        </w:tc>
        <w:tc>
          <w:tcPr>
            <w:tcW w:w="4447" w:type="pct"/>
            <w:vAlign w:val="center"/>
          </w:tcPr>
          <w:p w14:paraId="068290F8" w14:textId="77777777" w:rsidR="00967577" w:rsidRPr="005E2177" w:rsidRDefault="00967577" w:rsidP="002C677E">
            <w:pPr>
              <w:rPr>
                <w:rFonts w:ascii="Arial Narrow" w:hAnsi="Arial Narrow"/>
                <w:bCs/>
                <w:color w:val="333333"/>
                <w:sz w:val="20"/>
                <w:szCs w:val="20"/>
              </w:rPr>
            </w:pPr>
            <w:r w:rsidRPr="005E2177">
              <w:rPr>
                <w:rFonts w:ascii="Arial Narrow" w:hAnsi="Arial Narrow"/>
                <w:b/>
                <w:bCs/>
                <w:color w:val="333333"/>
                <w:sz w:val="20"/>
                <w:szCs w:val="20"/>
              </w:rPr>
              <w:t>Administrative Advice:</w:t>
            </w:r>
            <w:r w:rsidRPr="005E2177">
              <w:rPr>
                <w:rFonts w:ascii="Arial Narrow" w:hAnsi="Arial Narrow"/>
                <w:bCs/>
                <w:color w:val="333333"/>
                <w:sz w:val="20"/>
                <w:szCs w:val="20"/>
              </w:rPr>
              <w:t xml:space="preserve"> </w:t>
            </w:r>
          </w:p>
          <w:p w14:paraId="5A00404D" w14:textId="77777777" w:rsidR="00967577" w:rsidRPr="005E2177" w:rsidRDefault="00967577" w:rsidP="002C677E">
            <w:pPr>
              <w:rPr>
                <w:rFonts w:ascii="Arial Narrow" w:hAnsi="Arial Narrow"/>
                <w:b/>
                <w:bCs/>
                <w:color w:val="333333"/>
                <w:sz w:val="20"/>
                <w:szCs w:val="20"/>
              </w:rPr>
            </w:pPr>
            <w:r w:rsidRPr="005E2177">
              <w:rPr>
                <w:rFonts w:ascii="Arial Narrow" w:hAnsi="Arial Narrow"/>
                <w:color w:val="333333"/>
                <w:sz w:val="20"/>
                <w:szCs w:val="20"/>
              </w:rPr>
              <w:t xml:space="preserve">This grandfather restriction will cease to operate from 12 months after the date specified in the clinical criteria. </w:t>
            </w:r>
          </w:p>
        </w:tc>
      </w:tr>
      <w:tr w:rsidR="00967577" w:rsidRPr="005E2177" w14:paraId="671C75D0" w14:textId="77777777" w:rsidTr="00240E28">
        <w:tc>
          <w:tcPr>
            <w:tcW w:w="553" w:type="pct"/>
            <w:vAlign w:val="center"/>
          </w:tcPr>
          <w:p w14:paraId="5BA48224" w14:textId="20AE4499" w:rsidR="00967577" w:rsidRPr="005E2177" w:rsidRDefault="00967577" w:rsidP="002C677E">
            <w:pPr>
              <w:jc w:val="center"/>
              <w:rPr>
                <w:rFonts w:ascii="Arial Narrow" w:hAnsi="Arial Narrow"/>
                <w:color w:val="333333"/>
                <w:sz w:val="20"/>
                <w:szCs w:val="20"/>
              </w:rPr>
            </w:pPr>
          </w:p>
        </w:tc>
        <w:tc>
          <w:tcPr>
            <w:tcW w:w="4447" w:type="pct"/>
            <w:vAlign w:val="center"/>
          </w:tcPr>
          <w:p w14:paraId="51219324" w14:textId="77777777" w:rsidR="00967577" w:rsidRPr="005E2177" w:rsidRDefault="00967577" w:rsidP="002C677E">
            <w:pPr>
              <w:rPr>
                <w:rFonts w:ascii="Arial Narrow" w:hAnsi="Arial Narrow"/>
                <w:b/>
                <w:bCs/>
                <w:color w:val="333333"/>
                <w:sz w:val="20"/>
                <w:szCs w:val="20"/>
              </w:rPr>
            </w:pPr>
            <w:r w:rsidRPr="005E2177">
              <w:rPr>
                <w:rFonts w:ascii="Arial Narrow" w:hAnsi="Arial Narrow"/>
                <w:b/>
                <w:bCs/>
                <w:color w:val="333333"/>
                <w:sz w:val="20"/>
                <w:szCs w:val="20"/>
              </w:rPr>
              <w:t xml:space="preserve">Administrative Advice: </w:t>
            </w:r>
          </w:p>
          <w:p w14:paraId="1016B3C8" w14:textId="23CCE84E" w:rsidR="00967577" w:rsidRPr="005E2177" w:rsidRDefault="00967577" w:rsidP="002C677E">
            <w:pPr>
              <w:rPr>
                <w:rFonts w:ascii="Arial Narrow" w:hAnsi="Arial Narrow"/>
                <w:bCs/>
                <w:color w:val="333333"/>
                <w:sz w:val="20"/>
                <w:szCs w:val="20"/>
              </w:rPr>
            </w:pPr>
            <w:r w:rsidRPr="005E2177">
              <w:rPr>
                <w:rFonts w:ascii="Arial Narrow" w:hAnsi="Arial Narrow"/>
                <w:bCs/>
                <w:color w:val="333333"/>
                <w:sz w:val="20"/>
                <w:szCs w:val="20"/>
              </w:rPr>
              <w:t>Any queries concerning the arrangements to prescribe may be directed to Services Australia on 1800 700 270 (hours of operation 8 a.m. to 5 p.m. Monday to Friday).</w:t>
            </w:r>
          </w:p>
          <w:p w14:paraId="51FBC21E" w14:textId="77777777" w:rsidR="00967577" w:rsidRPr="005E2177" w:rsidRDefault="00967577" w:rsidP="002C677E">
            <w:pPr>
              <w:rPr>
                <w:rFonts w:ascii="Arial Narrow" w:hAnsi="Arial Narrow"/>
                <w:bCs/>
                <w:color w:val="333333"/>
                <w:sz w:val="20"/>
                <w:szCs w:val="20"/>
              </w:rPr>
            </w:pPr>
            <w:r w:rsidRPr="005E2177">
              <w:rPr>
                <w:rFonts w:ascii="Arial Narrow" w:hAnsi="Arial Narrow"/>
                <w:bCs/>
                <w:color w:val="333333"/>
                <w:sz w:val="20"/>
                <w:szCs w:val="20"/>
              </w:rPr>
              <w:t xml:space="preserve">Prescribing information (including Authority Application forms and other relevant documentation as applicable) is available on the Services Australia website at </w:t>
            </w:r>
            <w:hyperlink r:id="rId21" w:history="1">
              <w:r w:rsidRPr="005E2177">
                <w:rPr>
                  <w:rStyle w:val="Hyperlink"/>
                  <w:rFonts w:ascii="Arial Narrow" w:hAnsi="Arial Narrow"/>
                  <w:bCs/>
                  <w:sz w:val="20"/>
                  <w:szCs w:val="20"/>
                </w:rPr>
                <w:t>www.servicesaustralia.gov.au</w:t>
              </w:r>
            </w:hyperlink>
            <w:r w:rsidRPr="005E2177">
              <w:rPr>
                <w:rFonts w:ascii="Arial Narrow" w:hAnsi="Arial Narrow"/>
                <w:bCs/>
                <w:color w:val="333333"/>
                <w:sz w:val="20"/>
                <w:szCs w:val="20"/>
              </w:rPr>
              <w:t xml:space="preserve">, </w:t>
            </w:r>
          </w:p>
          <w:p w14:paraId="4252D729" w14:textId="77777777" w:rsidR="00967577" w:rsidRPr="005E2177" w:rsidRDefault="00967577" w:rsidP="002C677E">
            <w:pPr>
              <w:rPr>
                <w:rFonts w:ascii="Arial Narrow" w:hAnsi="Arial Narrow"/>
                <w:bCs/>
                <w:color w:val="333333"/>
                <w:sz w:val="20"/>
                <w:szCs w:val="20"/>
              </w:rPr>
            </w:pPr>
            <w:r w:rsidRPr="005E2177">
              <w:rPr>
                <w:rFonts w:ascii="Arial Narrow" w:hAnsi="Arial Narrow"/>
                <w:bCs/>
                <w:color w:val="333333"/>
                <w:sz w:val="20"/>
                <w:szCs w:val="20"/>
              </w:rPr>
              <w:t xml:space="preserve">Applications for authority to prescribe should be submitted online using the form upload facility in Health Professional Online Services (HPOS) at </w:t>
            </w:r>
            <w:hyperlink r:id="rId22" w:history="1">
              <w:r w:rsidRPr="005E2177">
                <w:rPr>
                  <w:rStyle w:val="Hyperlink"/>
                  <w:rFonts w:ascii="Arial Narrow" w:hAnsi="Arial Narrow"/>
                  <w:bCs/>
                  <w:sz w:val="20"/>
                  <w:szCs w:val="20"/>
                </w:rPr>
                <w:t>www.servicesaustralia.gov.au/hpos</w:t>
              </w:r>
            </w:hyperlink>
            <w:r w:rsidRPr="005E2177">
              <w:rPr>
                <w:rFonts w:ascii="Arial Narrow" w:hAnsi="Arial Narrow"/>
                <w:bCs/>
                <w:color w:val="333333"/>
                <w:sz w:val="20"/>
                <w:szCs w:val="20"/>
              </w:rPr>
              <w:t xml:space="preserve">, </w:t>
            </w:r>
          </w:p>
          <w:p w14:paraId="7F1506B3" w14:textId="77777777" w:rsidR="00967577" w:rsidRPr="005E2177" w:rsidRDefault="00967577" w:rsidP="002C677E">
            <w:pPr>
              <w:rPr>
                <w:rFonts w:ascii="Arial Narrow" w:hAnsi="Arial Narrow"/>
                <w:bCs/>
                <w:color w:val="333333"/>
                <w:sz w:val="20"/>
                <w:szCs w:val="20"/>
              </w:rPr>
            </w:pPr>
            <w:r w:rsidRPr="005E2177">
              <w:rPr>
                <w:rFonts w:ascii="Arial Narrow" w:hAnsi="Arial Narrow"/>
                <w:bCs/>
                <w:color w:val="333333"/>
                <w:sz w:val="20"/>
                <w:szCs w:val="20"/>
              </w:rPr>
              <w:t>Or mailed to:</w:t>
            </w:r>
          </w:p>
          <w:p w14:paraId="64AEF3D1" w14:textId="77777777" w:rsidR="00967577" w:rsidRPr="005E2177" w:rsidRDefault="00967577" w:rsidP="002C677E">
            <w:pPr>
              <w:rPr>
                <w:rFonts w:ascii="Arial Narrow" w:hAnsi="Arial Narrow"/>
                <w:bCs/>
                <w:color w:val="333333"/>
                <w:sz w:val="20"/>
                <w:szCs w:val="20"/>
              </w:rPr>
            </w:pPr>
            <w:r w:rsidRPr="005E2177">
              <w:rPr>
                <w:rFonts w:ascii="Arial Narrow" w:hAnsi="Arial Narrow"/>
                <w:bCs/>
                <w:color w:val="333333"/>
                <w:sz w:val="20"/>
                <w:szCs w:val="20"/>
              </w:rPr>
              <w:t xml:space="preserve">Services Australia, </w:t>
            </w:r>
          </w:p>
          <w:p w14:paraId="26CC7D42" w14:textId="77777777" w:rsidR="00967577" w:rsidRPr="005E2177" w:rsidRDefault="00967577" w:rsidP="002C677E">
            <w:pPr>
              <w:rPr>
                <w:rFonts w:ascii="Arial Narrow" w:hAnsi="Arial Narrow"/>
                <w:bCs/>
                <w:color w:val="333333"/>
                <w:sz w:val="20"/>
                <w:szCs w:val="20"/>
              </w:rPr>
            </w:pPr>
            <w:r w:rsidRPr="005E2177">
              <w:rPr>
                <w:rFonts w:ascii="Arial Narrow" w:hAnsi="Arial Narrow"/>
                <w:bCs/>
                <w:color w:val="333333"/>
                <w:sz w:val="20"/>
                <w:szCs w:val="20"/>
              </w:rPr>
              <w:t xml:space="preserve">Complex Drugs, </w:t>
            </w:r>
          </w:p>
          <w:p w14:paraId="0DEE08C6" w14:textId="77777777" w:rsidR="00967577" w:rsidRPr="005E2177" w:rsidRDefault="00967577" w:rsidP="002C677E">
            <w:pPr>
              <w:rPr>
                <w:rFonts w:ascii="Arial Narrow" w:hAnsi="Arial Narrow"/>
                <w:bCs/>
                <w:color w:val="333333"/>
                <w:sz w:val="20"/>
                <w:szCs w:val="20"/>
              </w:rPr>
            </w:pPr>
            <w:r w:rsidRPr="005E2177">
              <w:rPr>
                <w:rFonts w:ascii="Arial Narrow" w:hAnsi="Arial Narrow"/>
                <w:bCs/>
                <w:color w:val="333333"/>
                <w:sz w:val="20"/>
                <w:szCs w:val="20"/>
              </w:rPr>
              <w:t xml:space="preserve">Reply Paid 9826, </w:t>
            </w:r>
          </w:p>
          <w:p w14:paraId="7FD34574" w14:textId="77777777" w:rsidR="00967577" w:rsidRPr="005E2177" w:rsidRDefault="00967577" w:rsidP="002C677E">
            <w:pPr>
              <w:rPr>
                <w:rFonts w:ascii="Arial Narrow" w:hAnsi="Arial Narrow"/>
                <w:bCs/>
                <w:color w:val="333333"/>
                <w:sz w:val="20"/>
                <w:szCs w:val="20"/>
              </w:rPr>
            </w:pPr>
            <w:r w:rsidRPr="005E2177">
              <w:rPr>
                <w:rFonts w:ascii="Arial Narrow" w:hAnsi="Arial Narrow"/>
                <w:bCs/>
                <w:color w:val="333333"/>
                <w:sz w:val="20"/>
                <w:szCs w:val="20"/>
              </w:rPr>
              <w:t>HOBART TAS 7001</w:t>
            </w:r>
          </w:p>
        </w:tc>
      </w:tr>
    </w:tbl>
    <w:p w14:paraId="32369303" w14:textId="77777777" w:rsidR="00967577" w:rsidRPr="005E2177" w:rsidRDefault="00967577" w:rsidP="00967577"/>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1468"/>
        <w:gridCol w:w="7539"/>
      </w:tblGrid>
      <w:tr w:rsidR="00967577" w:rsidRPr="005E2177" w14:paraId="755F0A1D" w14:textId="77777777" w:rsidTr="00240E28">
        <w:tc>
          <w:tcPr>
            <w:tcW w:w="815" w:type="pct"/>
          </w:tcPr>
          <w:p w14:paraId="72B2A4B7" w14:textId="77777777" w:rsidR="00967577" w:rsidRPr="005E2177" w:rsidRDefault="00967577" w:rsidP="002C677E">
            <w:pPr>
              <w:rPr>
                <w:rFonts w:ascii="Arial Narrow" w:hAnsi="Arial Narrow"/>
                <w:b/>
                <w:sz w:val="20"/>
                <w:szCs w:val="20"/>
              </w:rPr>
            </w:pPr>
            <w:r w:rsidRPr="005E2177">
              <w:rPr>
                <w:rFonts w:ascii="Arial Narrow" w:hAnsi="Arial Narrow"/>
                <w:b/>
                <w:sz w:val="20"/>
                <w:szCs w:val="20"/>
              </w:rPr>
              <w:t xml:space="preserve">Administrative Advice </w:t>
            </w:r>
          </w:p>
          <w:p w14:paraId="45B69103" w14:textId="51CAC5A2" w:rsidR="00967577" w:rsidRPr="005E2177" w:rsidRDefault="00383C15" w:rsidP="002C677E">
            <w:pPr>
              <w:rPr>
                <w:rFonts w:ascii="Arial Narrow" w:hAnsi="Arial Narrow"/>
                <w:sz w:val="20"/>
                <w:szCs w:val="20"/>
              </w:rPr>
            </w:pPr>
            <w:r>
              <w:rPr>
                <w:rFonts w:ascii="Arial Narrow" w:hAnsi="Arial Narrow"/>
                <w:bCs/>
                <w:sz w:val="20"/>
                <w:szCs w:val="20"/>
              </w:rPr>
              <w:t xml:space="preserve"> </w:t>
            </w:r>
            <w:r w:rsidR="00967577" w:rsidRPr="005E2177">
              <w:rPr>
                <w:rFonts w:ascii="Arial Narrow" w:hAnsi="Arial Narrow"/>
                <w:sz w:val="20"/>
                <w:szCs w:val="20"/>
              </w:rPr>
              <w:br/>
            </w:r>
          </w:p>
        </w:tc>
        <w:tc>
          <w:tcPr>
            <w:tcW w:w="4185" w:type="pct"/>
          </w:tcPr>
          <w:p w14:paraId="07E5F5F6" w14:textId="362A400C" w:rsidR="00967577" w:rsidRPr="005E2177" w:rsidRDefault="00967577" w:rsidP="002C677E">
            <w:pPr>
              <w:rPr>
                <w:rFonts w:ascii="Arial Narrow" w:hAnsi="Arial Narrow"/>
                <w:b/>
                <w:bCs/>
                <w:sz w:val="20"/>
                <w:szCs w:val="20"/>
              </w:rPr>
            </w:pPr>
            <w:r w:rsidRPr="005E2177">
              <w:rPr>
                <w:rFonts w:ascii="Arial Narrow" w:hAnsi="Arial Narrow"/>
                <w:b/>
                <w:bCs/>
                <w:sz w:val="20"/>
                <w:szCs w:val="20"/>
              </w:rPr>
              <w:t xml:space="preserve">TREATMENT OF ADULT PATIENTS WITH SEVERE PSORIATIC ARTHRITIS, </w:t>
            </w:r>
          </w:p>
          <w:p w14:paraId="1C1997FD" w14:textId="48492B7F" w:rsidR="00967577" w:rsidRPr="005E2177" w:rsidRDefault="00967577" w:rsidP="002C677E">
            <w:pPr>
              <w:rPr>
                <w:rFonts w:ascii="Arial Narrow" w:hAnsi="Arial Narrow"/>
                <w:sz w:val="20"/>
                <w:szCs w:val="20"/>
              </w:rPr>
            </w:pPr>
            <w:r w:rsidRPr="005E2177">
              <w:rPr>
                <w:rFonts w:ascii="Arial Narrow" w:hAnsi="Arial Narrow"/>
                <w:sz w:val="20"/>
                <w:szCs w:val="20"/>
              </w:rPr>
              <w:t xml:space="preserve">The following information applies to Pharmaceutical Benefits Scheme (PBS) </w:t>
            </w:r>
            <w:r w:rsidR="00383C15">
              <w:rPr>
                <w:rFonts w:ascii="Arial Narrow" w:hAnsi="Arial Narrow"/>
                <w:sz w:val="20"/>
                <w:szCs w:val="20"/>
              </w:rPr>
              <w:t xml:space="preserve">listed for adult patients with severe psoriatic arthritis. </w:t>
            </w:r>
          </w:p>
          <w:p w14:paraId="2F553BBD" w14:textId="1B331D27" w:rsidR="00383C15" w:rsidRDefault="00383C15" w:rsidP="002C677E">
            <w:pPr>
              <w:rPr>
                <w:rFonts w:ascii="Arial Narrow" w:hAnsi="Arial Narrow"/>
                <w:sz w:val="20"/>
                <w:szCs w:val="20"/>
              </w:rPr>
            </w:pPr>
            <w:r>
              <w:rPr>
                <w:rFonts w:ascii="Arial Narrow" w:hAnsi="Arial Narrow"/>
                <w:sz w:val="20"/>
                <w:szCs w:val="20"/>
              </w:rPr>
              <w:t>W</w:t>
            </w:r>
            <w:r w:rsidR="00967577" w:rsidRPr="005E2177">
              <w:rPr>
                <w:rFonts w:ascii="Arial Narrow" w:hAnsi="Arial Narrow"/>
                <w:sz w:val="20"/>
                <w:szCs w:val="20"/>
              </w:rPr>
              <w:t>here the term 'biological medicine' appears in notes and restrictions, it refers to</w:t>
            </w:r>
            <w:r>
              <w:rPr>
                <w:rFonts w:ascii="Arial Narrow" w:hAnsi="Arial Narrow"/>
                <w:sz w:val="20"/>
                <w:szCs w:val="20"/>
              </w:rPr>
              <w:t xml:space="preserve"> any PBS benefit where the PBS indication specifies: Severe Psoriatic Arthritis.</w:t>
            </w:r>
            <w:r w:rsidR="00967577" w:rsidRPr="005E2177">
              <w:rPr>
                <w:rFonts w:ascii="Arial Narrow" w:hAnsi="Arial Narrow"/>
                <w:sz w:val="20"/>
                <w:szCs w:val="20"/>
              </w:rPr>
              <w:t xml:space="preserve"> </w:t>
            </w:r>
            <w:r>
              <w:rPr>
                <w:rFonts w:ascii="Arial Narrow" w:hAnsi="Arial Narrow"/>
                <w:sz w:val="20"/>
                <w:szCs w:val="20"/>
              </w:rPr>
              <w:t xml:space="preserve"> Some benefits are not biological </w:t>
            </w:r>
            <w:proofErr w:type="gramStart"/>
            <w:r>
              <w:rPr>
                <w:rFonts w:ascii="Arial Narrow" w:hAnsi="Arial Narrow"/>
                <w:sz w:val="20"/>
                <w:szCs w:val="20"/>
              </w:rPr>
              <w:t>medicines, but</w:t>
            </w:r>
            <w:proofErr w:type="gramEnd"/>
            <w:r>
              <w:rPr>
                <w:rFonts w:ascii="Arial Narrow" w:hAnsi="Arial Narrow"/>
                <w:sz w:val="20"/>
                <w:szCs w:val="20"/>
              </w:rPr>
              <w:t xml:space="preserve"> are small molecules. However, for administrative purposes, these benefits are included within the term ‘biological medicine’. </w:t>
            </w:r>
          </w:p>
          <w:p w14:paraId="19AF5326" w14:textId="77777777" w:rsidR="00383C15" w:rsidRPr="005E2177" w:rsidRDefault="00383C15" w:rsidP="002C677E">
            <w:pPr>
              <w:rPr>
                <w:rFonts w:ascii="Arial Narrow" w:hAnsi="Arial Narrow"/>
                <w:sz w:val="20"/>
                <w:szCs w:val="20"/>
              </w:rPr>
            </w:pPr>
          </w:p>
          <w:p w14:paraId="214A7281" w14:textId="09497C18" w:rsidR="00967577" w:rsidRDefault="00967577" w:rsidP="002C677E">
            <w:pPr>
              <w:rPr>
                <w:rFonts w:ascii="Arial Narrow" w:hAnsi="Arial Narrow"/>
                <w:sz w:val="20"/>
                <w:szCs w:val="20"/>
              </w:rPr>
            </w:pPr>
            <w:r w:rsidRPr="005E2177">
              <w:rPr>
                <w:rFonts w:ascii="Arial Narrow" w:hAnsi="Arial Narrow"/>
                <w:sz w:val="20"/>
                <w:szCs w:val="20"/>
              </w:rPr>
              <w:t xml:space="preserve">A patient is eligible for PBS-subsidised treatment with only 1 of the above biological medicines at any </w:t>
            </w:r>
            <w:r w:rsidR="00383C15">
              <w:rPr>
                <w:rFonts w:ascii="Arial Narrow" w:hAnsi="Arial Narrow"/>
                <w:sz w:val="20"/>
                <w:szCs w:val="20"/>
              </w:rPr>
              <w:t>one</w:t>
            </w:r>
            <w:r w:rsidRPr="005E2177">
              <w:rPr>
                <w:rFonts w:ascii="Arial Narrow" w:hAnsi="Arial Narrow"/>
                <w:sz w:val="20"/>
                <w:szCs w:val="20"/>
              </w:rPr>
              <w:t xml:space="preserve"> time.</w:t>
            </w:r>
          </w:p>
          <w:p w14:paraId="2BEBE8C8" w14:textId="77777777" w:rsidR="00383C15" w:rsidRPr="005E2177" w:rsidRDefault="00383C15" w:rsidP="002C677E">
            <w:pPr>
              <w:rPr>
                <w:rFonts w:ascii="Arial Narrow" w:hAnsi="Arial Narrow"/>
                <w:sz w:val="20"/>
                <w:szCs w:val="20"/>
              </w:rPr>
            </w:pPr>
          </w:p>
          <w:p w14:paraId="40178572" w14:textId="6A9D46CD" w:rsidR="00967577" w:rsidRDefault="00967577" w:rsidP="002C677E">
            <w:pPr>
              <w:rPr>
                <w:rFonts w:ascii="Arial Narrow" w:hAnsi="Arial Narrow"/>
                <w:sz w:val="20"/>
                <w:szCs w:val="20"/>
              </w:rPr>
            </w:pPr>
            <w:r w:rsidRPr="005E2177">
              <w:rPr>
                <w:rFonts w:ascii="Arial Narrow" w:hAnsi="Arial Narrow"/>
                <w:sz w:val="20"/>
                <w:szCs w:val="20"/>
              </w:rPr>
              <w:t xml:space="preserve">Under these arrangements, within a single </w:t>
            </w:r>
            <w:r w:rsidR="00383C15">
              <w:rPr>
                <w:rFonts w:ascii="Arial Narrow" w:hAnsi="Arial Narrow"/>
                <w:sz w:val="20"/>
                <w:szCs w:val="20"/>
              </w:rPr>
              <w:t xml:space="preserve">treatment </w:t>
            </w:r>
            <w:r w:rsidRPr="005E2177">
              <w:rPr>
                <w:rFonts w:ascii="Arial Narrow" w:hAnsi="Arial Narrow"/>
                <w:sz w:val="20"/>
                <w:szCs w:val="20"/>
              </w:rPr>
              <w:t xml:space="preserve">cycle, a patient may receive long-term treatment with a biological medicine </w:t>
            </w:r>
            <w:proofErr w:type="gramStart"/>
            <w:r w:rsidRPr="005E2177">
              <w:rPr>
                <w:rFonts w:ascii="Arial Narrow" w:hAnsi="Arial Narrow"/>
                <w:sz w:val="20"/>
                <w:szCs w:val="20"/>
              </w:rPr>
              <w:t>as long as</w:t>
            </w:r>
            <w:proofErr w:type="gramEnd"/>
            <w:r w:rsidRPr="005E2177">
              <w:rPr>
                <w:rFonts w:ascii="Arial Narrow" w:hAnsi="Arial Narrow"/>
                <w:sz w:val="20"/>
                <w:szCs w:val="20"/>
              </w:rPr>
              <w:t xml:space="preserve"> they sustain a response to therapy., A patient who received PBS-subsidised adalimumab, certolizumab pegol, etanercept, golimumab, guselkumab, infliximab, ixekizumab, secukinumab, tofacitinib or ustekinumab treatment prior to 1 October 2021 is considered to start their first cycle as of 1 October 2021.</w:t>
            </w:r>
          </w:p>
          <w:p w14:paraId="4FFB5BA1" w14:textId="77777777" w:rsidR="00383C15" w:rsidRPr="005E2177" w:rsidRDefault="00383C15" w:rsidP="002C677E">
            <w:pPr>
              <w:rPr>
                <w:rFonts w:ascii="Arial Narrow" w:hAnsi="Arial Narrow"/>
                <w:sz w:val="20"/>
                <w:szCs w:val="20"/>
              </w:rPr>
            </w:pPr>
          </w:p>
          <w:p w14:paraId="6167444C" w14:textId="7E808632" w:rsidR="00967577" w:rsidRPr="005E2177" w:rsidRDefault="00967577" w:rsidP="002C677E">
            <w:pPr>
              <w:rPr>
                <w:rFonts w:ascii="Arial Narrow" w:hAnsi="Arial Narrow"/>
                <w:sz w:val="20"/>
                <w:szCs w:val="20"/>
              </w:rPr>
            </w:pPr>
            <w:r w:rsidRPr="005E2177">
              <w:rPr>
                <w:rFonts w:ascii="Arial Narrow" w:hAnsi="Arial Narrow"/>
                <w:sz w:val="20"/>
                <w:szCs w:val="20"/>
              </w:rPr>
              <w:t xml:space="preserve">Within the same treatment cycle, a patient cannot trial and fail, or cease to respond to, the same PBS-subsidised biological medicine more than once. </w:t>
            </w:r>
          </w:p>
          <w:p w14:paraId="51B4084D" w14:textId="77777777" w:rsidR="00967577" w:rsidRPr="005E2177" w:rsidRDefault="00967577" w:rsidP="002C677E">
            <w:pPr>
              <w:rPr>
                <w:rFonts w:ascii="Arial Narrow" w:hAnsi="Arial Narrow"/>
                <w:sz w:val="20"/>
                <w:szCs w:val="20"/>
              </w:rPr>
            </w:pPr>
            <w:r w:rsidRPr="005E2177">
              <w:rPr>
                <w:rFonts w:ascii="Arial Narrow" w:hAnsi="Arial Narrow"/>
                <w:sz w:val="20"/>
                <w:szCs w:val="20"/>
              </w:rPr>
              <w:t>Serious adverse reaction of a severity resulting in the necessity for permanent withdrawal of treatment, including serious infusion or injection related reactions, Steven's Johnson Syndrome, development of a demyelinating lesion, progressive multifocal leukoencephalopathy and malignancy related to treatment with the biological medicine, is not considered as a treatment failure.</w:t>
            </w:r>
          </w:p>
          <w:p w14:paraId="02AF5302" w14:textId="23A92879" w:rsidR="00967577" w:rsidRPr="005E2177" w:rsidRDefault="00967577" w:rsidP="002C677E">
            <w:pPr>
              <w:rPr>
                <w:rFonts w:ascii="Arial Narrow" w:hAnsi="Arial Narrow"/>
                <w:sz w:val="20"/>
                <w:szCs w:val="20"/>
              </w:rPr>
            </w:pPr>
            <w:r w:rsidRPr="005E2177">
              <w:rPr>
                <w:rFonts w:ascii="Arial Narrow" w:hAnsi="Arial Narrow"/>
                <w:sz w:val="20"/>
                <w:szCs w:val="20"/>
              </w:rPr>
              <w:t>Once a patient has either failed or ceased to sustain a response to treatment 3 times, they are deemed to have completed a single cycle and they must have, at a minimum, a 5-year break in PBS-subsidised biological medicine therapy before they are eligible to commence another cycle.</w:t>
            </w:r>
          </w:p>
          <w:p w14:paraId="1B102FD2" w14:textId="77777777" w:rsidR="00967577" w:rsidRPr="005E2177" w:rsidRDefault="00967577" w:rsidP="002C677E">
            <w:pPr>
              <w:rPr>
                <w:rFonts w:ascii="Arial Narrow" w:hAnsi="Arial Narrow"/>
                <w:sz w:val="20"/>
                <w:szCs w:val="20"/>
              </w:rPr>
            </w:pPr>
            <w:r w:rsidRPr="005E2177">
              <w:rPr>
                <w:rFonts w:ascii="Arial Narrow" w:hAnsi="Arial Narrow"/>
                <w:sz w:val="20"/>
                <w:szCs w:val="20"/>
              </w:rPr>
              <w:t>The duration of the break in therapy will be measured from the date the last prescription for PBS-subsidised treatment was approved in the most recent cycle to the date of the first application for initial treatment with a biological medicine under the new cycle.</w:t>
            </w:r>
          </w:p>
          <w:p w14:paraId="4FE26121" w14:textId="77777777" w:rsidR="00967577" w:rsidRPr="005E2177" w:rsidRDefault="00967577" w:rsidP="002C677E">
            <w:pPr>
              <w:rPr>
                <w:rFonts w:ascii="Arial Narrow" w:hAnsi="Arial Narrow"/>
                <w:sz w:val="20"/>
                <w:szCs w:val="20"/>
              </w:rPr>
            </w:pPr>
            <w:r w:rsidRPr="005E2177">
              <w:rPr>
                <w:rFonts w:ascii="Arial Narrow" w:hAnsi="Arial Narrow"/>
                <w:sz w:val="20"/>
                <w:szCs w:val="20"/>
              </w:rPr>
              <w:t xml:space="preserve">There is no limit to the number of </w:t>
            </w:r>
            <w:proofErr w:type="gramStart"/>
            <w:r w:rsidRPr="005E2177">
              <w:rPr>
                <w:rFonts w:ascii="Arial Narrow" w:hAnsi="Arial Narrow"/>
                <w:sz w:val="20"/>
                <w:szCs w:val="20"/>
              </w:rPr>
              <w:t>treatment</w:t>
            </w:r>
            <w:proofErr w:type="gramEnd"/>
            <w:r w:rsidRPr="005E2177">
              <w:rPr>
                <w:rFonts w:ascii="Arial Narrow" w:hAnsi="Arial Narrow"/>
                <w:sz w:val="20"/>
                <w:szCs w:val="20"/>
              </w:rPr>
              <w:t xml:space="preserve"> cycles a patient may undertake in their lifetime.</w:t>
            </w:r>
          </w:p>
          <w:p w14:paraId="0D2D82EA" w14:textId="03ABEA76" w:rsidR="00383C15" w:rsidRDefault="00967577" w:rsidP="002C677E">
            <w:pPr>
              <w:rPr>
                <w:rFonts w:ascii="Arial Narrow" w:hAnsi="Arial Narrow"/>
                <w:sz w:val="20"/>
                <w:szCs w:val="20"/>
              </w:rPr>
            </w:pPr>
            <w:r w:rsidRPr="005E2177">
              <w:rPr>
                <w:rFonts w:ascii="Arial Narrow" w:hAnsi="Arial Narrow"/>
                <w:sz w:val="20"/>
                <w:szCs w:val="20"/>
              </w:rPr>
              <w:t xml:space="preserve">How to prescribe PBS-subsidised biological medicine treatment for severe psoriatic arthritis. </w:t>
            </w:r>
          </w:p>
          <w:p w14:paraId="3AB51F3B" w14:textId="09C2B1D9" w:rsidR="00967577" w:rsidRPr="005E2177" w:rsidRDefault="00967577" w:rsidP="002C677E">
            <w:pPr>
              <w:rPr>
                <w:rFonts w:ascii="Arial Narrow" w:hAnsi="Arial Narrow"/>
                <w:sz w:val="20"/>
                <w:szCs w:val="20"/>
              </w:rPr>
            </w:pPr>
            <w:r w:rsidRPr="005E2177">
              <w:rPr>
                <w:rFonts w:ascii="Arial Narrow" w:hAnsi="Arial Narrow"/>
                <w:sz w:val="20"/>
                <w:szCs w:val="20"/>
              </w:rPr>
              <w:t>(1) Initial treatment.</w:t>
            </w:r>
          </w:p>
          <w:p w14:paraId="517BF805" w14:textId="77777777" w:rsidR="00967577" w:rsidRPr="005E2177" w:rsidRDefault="00967577" w:rsidP="002C677E">
            <w:pPr>
              <w:rPr>
                <w:rFonts w:ascii="Arial Narrow" w:hAnsi="Arial Narrow"/>
                <w:sz w:val="20"/>
                <w:szCs w:val="20"/>
              </w:rPr>
            </w:pPr>
            <w:r w:rsidRPr="005E2177">
              <w:rPr>
                <w:rFonts w:ascii="Arial Narrow" w:hAnsi="Arial Narrow"/>
                <w:sz w:val="20"/>
                <w:szCs w:val="20"/>
              </w:rPr>
              <w:t>Applications for initial treatment should be made where:</w:t>
            </w:r>
          </w:p>
          <w:p w14:paraId="1BE6ACA3" w14:textId="77777777" w:rsidR="00967577" w:rsidRPr="005E2177" w:rsidRDefault="00967577" w:rsidP="002C677E">
            <w:pPr>
              <w:rPr>
                <w:rFonts w:ascii="Arial Narrow" w:hAnsi="Arial Narrow"/>
                <w:sz w:val="20"/>
                <w:szCs w:val="20"/>
              </w:rPr>
            </w:pPr>
            <w:r w:rsidRPr="005E2177">
              <w:rPr>
                <w:rFonts w:ascii="Arial Narrow" w:hAnsi="Arial Narrow"/>
                <w:sz w:val="20"/>
                <w:szCs w:val="20"/>
              </w:rPr>
              <w:t xml:space="preserve">(i) a patient has not received prior PBS-subsidised biological medicine treatment and wishes to commence such therapy (Initial 1 - New patient); or, </w:t>
            </w:r>
          </w:p>
          <w:p w14:paraId="7B79B45D" w14:textId="77777777" w:rsidR="00967577" w:rsidRPr="005E2177" w:rsidRDefault="00967577" w:rsidP="002C677E">
            <w:pPr>
              <w:rPr>
                <w:rFonts w:ascii="Arial Narrow" w:hAnsi="Arial Narrow"/>
                <w:sz w:val="20"/>
                <w:szCs w:val="20"/>
              </w:rPr>
            </w:pPr>
            <w:r w:rsidRPr="005E2177">
              <w:rPr>
                <w:rFonts w:ascii="Arial Narrow" w:hAnsi="Arial Narrow"/>
                <w:sz w:val="20"/>
                <w:szCs w:val="20"/>
              </w:rPr>
              <w:t xml:space="preserve">(ii) a patient has received prior PBS-subsidised biological medicine therapy (initial or continuing) and wishes to trial an alternate medicine (Initial 2 - Change or Recommencement of treatment after a break in therapy of less than 5 years) [further details are under 'Swapping therapy' below]; or, </w:t>
            </w:r>
          </w:p>
          <w:p w14:paraId="07095B1C" w14:textId="77777777" w:rsidR="00967577" w:rsidRPr="005E2177" w:rsidRDefault="00967577" w:rsidP="002C677E">
            <w:pPr>
              <w:rPr>
                <w:rFonts w:ascii="Arial Narrow" w:hAnsi="Arial Narrow"/>
                <w:sz w:val="20"/>
                <w:szCs w:val="20"/>
              </w:rPr>
            </w:pPr>
            <w:r w:rsidRPr="005E2177">
              <w:rPr>
                <w:rFonts w:ascii="Arial Narrow" w:hAnsi="Arial Narrow"/>
                <w:sz w:val="20"/>
                <w:szCs w:val="20"/>
              </w:rPr>
              <w:t>(iii) a patient wishes to recommence treatment with a specific biological medicine following a break in PBS-subsidised therapy of less than 5 years with the same medicine (Initial 2 - Change or Recommencement of treatment after a break in biological medicine of less than 5 years).</w:t>
            </w:r>
          </w:p>
          <w:p w14:paraId="0CF8F673" w14:textId="77777777" w:rsidR="00967577" w:rsidRPr="005E2177" w:rsidRDefault="00967577" w:rsidP="002C677E">
            <w:pPr>
              <w:rPr>
                <w:rFonts w:ascii="Arial Narrow" w:hAnsi="Arial Narrow"/>
                <w:sz w:val="20"/>
                <w:szCs w:val="20"/>
              </w:rPr>
            </w:pPr>
            <w:r w:rsidRPr="005E2177">
              <w:rPr>
                <w:rFonts w:ascii="Arial Narrow" w:hAnsi="Arial Narrow"/>
                <w:sz w:val="20"/>
                <w:szCs w:val="20"/>
              </w:rPr>
              <w:t xml:space="preserve">(iv) a patient wishes to recommence treatment with a biological medicine following a break in PBS-subsidised therapy of more than 5 years (Initial 3 - Recommencement of treatment after a break in biological medicine of more than 5 years) or, </w:t>
            </w:r>
          </w:p>
          <w:p w14:paraId="6E5F1E95" w14:textId="77777777" w:rsidR="00967577" w:rsidRPr="005E2177" w:rsidRDefault="00967577" w:rsidP="002C677E">
            <w:pPr>
              <w:rPr>
                <w:rFonts w:ascii="Arial Narrow" w:hAnsi="Arial Narrow"/>
                <w:sz w:val="20"/>
                <w:szCs w:val="20"/>
              </w:rPr>
            </w:pPr>
            <w:r w:rsidRPr="005E2177">
              <w:rPr>
                <w:rFonts w:ascii="Arial Narrow" w:hAnsi="Arial Narrow"/>
                <w:sz w:val="20"/>
                <w:szCs w:val="20"/>
              </w:rPr>
              <w:t>A patient must be assessed for response to a course of PBS-subsidised initial treatment following a minimum of 12 weeks of therapy and conducted no later than 4 weeks from the cessation of the treatment course. If the response assessment is not conducted within these timeframes, the patient will be deemed to have failed this course of treatment.</w:t>
            </w:r>
          </w:p>
          <w:p w14:paraId="522537B5" w14:textId="77777777" w:rsidR="00967577" w:rsidRPr="005E2177" w:rsidRDefault="00967577" w:rsidP="002C677E">
            <w:pPr>
              <w:rPr>
                <w:rFonts w:ascii="Arial Narrow" w:hAnsi="Arial Narrow"/>
                <w:sz w:val="20"/>
                <w:szCs w:val="20"/>
              </w:rPr>
            </w:pPr>
            <w:r w:rsidRPr="005E2177">
              <w:rPr>
                <w:rFonts w:ascii="Arial Narrow" w:hAnsi="Arial Narrow"/>
                <w:sz w:val="20"/>
                <w:szCs w:val="20"/>
              </w:rPr>
              <w:t xml:space="preserve">(2) Continuing treatment. </w:t>
            </w:r>
          </w:p>
          <w:p w14:paraId="78D70513" w14:textId="77777777" w:rsidR="00967577" w:rsidRPr="005E2177" w:rsidRDefault="00967577" w:rsidP="002C677E">
            <w:pPr>
              <w:rPr>
                <w:rFonts w:ascii="Arial Narrow" w:hAnsi="Arial Narrow"/>
                <w:sz w:val="20"/>
                <w:szCs w:val="20"/>
              </w:rPr>
            </w:pPr>
            <w:r w:rsidRPr="005E2177">
              <w:rPr>
                <w:rFonts w:ascii="Arial Narrow" w:hAnsi="Arial Narrow"/>
                <w:sz w:val="20"/>
                <w:szCs w:val="20"/>
              </w:rPr>
              <w:t>Following the completion of an initial treatment course with a specific biological medicine, a patient may qualify to receive up to 24 weeks of continuing treatment with that drug providing they have demonstrated an adequate response to treatment. The patient remains eligible to receive continuing biological medicine treatment with the same drug in courses of up to 24 weeks providing they continue to sustain the response. It is recommended that a patient be reviewed for response following a minimum of 12 weeks of therapy and no later than the 4 weeks from the completion of the most recent course of treatment.</w:t>
            </w:r>
          </w:p>
          <w:p w14:paraId="6BEAA070" w14:textId="77777777" w:rsidR="00967577" w:rsidRPr="005E2177" w:rsidRDefault="00967577" w:rsidP="002C677E">
            <w:pPr>
              <w:rPr>
                <w:rFonts w:ascii="Arial Narrow" w:hAnsi="Arial Narrow"/>
                <w:sz w:val="20"/>
                <w:szCs w:val="20"/>
              </w:rPr>
            </w:pPr>
            <w:r w:rsidRPr="005E2177">
              <w:rPr>
                <w:rFonts w:ascii="Arial Narrow" w:hAnsi="Arial Narrow"/>
                <w:sz w:val="20"/>
                <w:szCs w:val="20"/>
              </w:rPr>
              <w:t>A patient must be assessed for response to a course of continuing therapy, and the assessment must be submitted to Services Australia where applicable. Where a response assessment is not submitted where applicable, the patient will be deemed to have failed to respond to treatment with that biological medicine, unless the patient has experienced a serious adverse reaction of a severity resulting in the necessity for permanent withdrawal of treatment.</w:t>
            </w:r>
          </w:p>
          <w:p w14:paraId="1C0C8F70" w14:textId="77777777" w:rsidR="00967577" w:rsidRPr="005E2177" w:rsidRDefault="00967577" w:rsidP="002C677E">
            <w:pPr>
              <w:rPr>
                <w:rFonts w:ascii="Arial Narrow" w:hAnsi="Arial Narrow"/>
                <w:sz w:val="20"/>
                <w:szCs w:val="20"/>
              </w:rPr>
            </w:pPr>
            <w:r w:rsidRPr="005E2177">
              <w:rPr>
                <w:rFonts w:ascii="Arial Narrow" w:hAnsi="Arial Narrow"/>
                <w:sz w:val="20"/>
                <w:szCs w:val="20"/>
              </w:rPr>
              <w:t>(3) Swapping therapy.</w:t>
            </w:r>
          </w:p>
          <w:p w14:paraId="28E78C16" w14:textId="5B720F2E" w:rsidR="00967577" w:rsidRPr="005E2177" w:rsidRDefault="00967577" w:rsidP="002C677E">
            <w:pPr>
              <w:rPr>
                <w:rFonts w:ascii="Arial Narrow" w:hAnsi="Arial Narrow"/>
                <w:sz w:val="20"/>
                <w:szCs w:val="20"/>
              </w:rPr>
            </w:pPr>
            <w:r w:rsidRPr="005E2177">
              <w:rPr>
                <w:rFonts w:ascii="Arial Narrow" w:hAnsi="Arial Narrow"/>
                <w:sz w:val="20"/>
                <w:szCs w:val="20"/>
              </w:rPr>
              <w:t>Once initial treatment with the first PBS-subsidised biological medicine is approved, a patient may swap to an alternate biological medicine without having to re-qualify with respect to either the indices of disease severity (i.e. erythrocyte sedimentation rate (ESR) or C-reactive protein (CRP) level, and active joint count) or the prior non-biological therapy requirements</w:t>
            </w:r>
            <w:r w:rsidR="00240E28">
              <w:rPr>
                <w:rFonts w:ascii="Arial Narrow" w:hAnsi="Arial Narrow"/>
                <w:sz w:val="20"/>
                <w:szCs w:val="20"/>
              </w:rPr>
              <w:t>. An authority application must be made under the ‘Initial 2’ treatment phase.</w:t>
            </w:r>
            <w:r w:rsidRPr="005E2177">
              <w:rPr>
                <w:rFonts w:ascii="Arial Narrow" w:hAnsi="Arial Narrow"/>
                <w:sz w:val="20"/>
                <w:szCs w:val="20"/>
              </w:rPr>
              <w:t xml:space="preserve"> </w:t>
            </w:r>
          </w:p>
          <w:p w14:paraId="55F5FE02" w14:textId="77777777" w:rsidR="00967577" w:rsidRPr="005E2177" w:rsidRDefault="00967577" w:rsidP="002C677E">
            <w:pPr>
              <w:rPr>
                <w:rFonts w:ascii="Arial Narrow" w:hAnsi="Arial Narrow"/>
                <w:sz w:val="20"/>
                <w:szCs w:val="20"/>
              </w:rPr>
            </w:pPr>
            <w:r w:rsidRPr="005E2177">
              <w:rPr>
                <w:rFonts w:ascii="Arial Narrow" w:hAnsi="Arial Narrow"/>
                <w:sz w:val="20"/>
                <w:szCs w:val="20"/>
              </w:rPr>
              <w:t>A patient who is not able to complete a minimum of 12 weeks of an initial treatment course will be deemed to have failed treatment with that biological medicine unless the patient has experienced a serious adverse reaction of a severity resulting in the necessity for permanent withdrawal of treatment.</w:t>
            </w:r>
          </w:p>
          <w:p w14:paraId="591E80A5" w14:textId="77777777" w:rsidR="00967577" w:rsidRPr="005E2177" w:rsidRDefault="00967577" w:rsidP="002C677E">
            <w:pPr>
              <w:rPr>
                <w:rFonts w:ascii="Arial Narrow" w:hAnsi="Arial Narrow"/>
                <w:sz w:val="20"/>
                <w:szCs w:val="20"/>
              </w:rPr>
            </w:pPr>
            <w:r w:rsidRPr="005E2177">
              <w:rPr>
                <w:rFonts w:ascii="Arial Narrow" w:hAnsi="Arial Narrow"/>
                <w:sz w:val="20"/>
                <w:szCs w:val="20"/>
              </w:rPr>
              <w:t xml:space="preserve">A patient may trial an alternate biological medicine at any time, regardless of whether they are receiving therapy (initial or continuing) with a biological medicine at the time of the application. </w:t>
            </w:r>
          </w:p>
          <w:p w14:paraId="023A25B1" w14:textId="77777777" w:rsidR="00967577" w:rsidRPr="005E2177" w:rsidRDefault="00967577" w:rsidP="002C677E">
            <w:pPr>
              <w:rPr>
                <w:rFonts w:ascii="Arial Narrow" w:hAnsi="Arial Narrow"/>
                <w:sz w:val="20"/>
                <w:szCs w:val="20"/>
              </w:rPr>
            </w:pPr>
            <w:r w:rsidRPr="005E2177">
              <w:rPr>
                <w:rFonts w:ascii="Arial Narrow" w:hAnsi="Arial Narrow"/>
                <w:sz w:val="20"/>
                <w:szCs w:val="20"/>
              </w:rPr>
              <w:t>However, they cannot swap to a particular biological medicine if they have failed to respond to prior treatment with that drug within the same treatment cycle.</w:t>
            </w:r>
          </w:p>
          <w:p w14:paraId="204F1A7E" w14:textId="77777777" w:rsidR="00967577" w:rsidRPr="005E2177" w:rsidRDefault="00967577" w:rsidP="002C677E">
            <w:pPr>
              <w:rPr>
                <w:rFonts w:ascii="Arial Narrow" w:hAnsi="Arial Narrow"/>
                <w:sz w:val="20"/>
                <w:szCs w:val="20"/>
              </w:rPr>
            </w:pPr>
            <w:r w:rsidRPr="005E2177">
              <w:rPr>
                <w:rFonts w:ascii="Arial Narrow" w:hAnsi="Arial Narrow"/>
                <w:sz w:val="20"/>
                <w:szCs w:val="20"/>
              </w:rPr>
              <w:t>(4) Baseline measurements to determine response.</w:t>
            </w:r>
          </w:p>
          <w:p w14:paraId="15B826FD" w14:textId="77777777" w:rsidR="00967577" w:rsidRPr="005E2177" w:rsidRDefault="00967577" w:rsidP="002C677E">
            <w:pPr>
              <w:rPr>
                <w:rFonts w:ascii="Arial Narrow" w:hAnsi="Arial Narrow"/>
                <w:sz w:val="20"/>
                <w:szCs w:val="20"/>
              </w:rPr>
            </w:pPr>
            <w:r w:rsidRPr="005E2177">
              <w:rPr>
                <w:rFonts w:ascii="Arial Narrow" w:hAnsi="Arial Narrow"/>
                <w:sz w:val="20"/>
                <w:szCs w:val="20"/>
              </w:rPr>
              <w:t>A response to treatment is to be determined by comparison of current disease activity measurements relative to the baseline measurements of the indices of disease severity submitted with the first authority application for a biological medicine. However, prescribers may provide new baseline measurements any time that an initial or change or recommencement treatment application is submitted within a treatment cycle and these revised baseline measurements will be used to assess response to the PBS-subsidised treatment., To ensure consistency in determining response, the same indices of disease severity used to establish baseline at the commencement of treatment with each initial treatment application must be used to determine response for all subsequent continuing treatments. Therefore, where only an ESR or CRP level is provided at baseline, an ESR or CRP level respectively must be used to determine response. Similarly, where the baseline active joint count is based on total active joints (i.e. 20 or more active joints), response will be determined according to a reduction in the total number of active joints.</w:t>
            </w:r>
          </w:p>
          <w:p w14:paraId="54BC6428" w14:textId="77777777" w:rsidR="00967577" w:rsidRPr="005E2177" w:rsidRDefault="00967577" w:rsidP="002C677E">
            <w:pPr>
              <w:rPr>
                <w:rFonts w:ascii="Arial Narrow" w:hAnsi="Arial Narrow"/>
                <w:sz w:val="20"/>
                <w:szCs w:val="20"/>
              </w:rPr>
            </w:pPr>
            <w:r w:rsidRPr="005E2177">
              <w:rPr>
                <w:rFonts w:ascii="Arial Narrow" w:hAnsi="Arial Narrow"/>
                <w:sz w:val="20"/>
                <w:szCs w:val="20"/>
              </w:rPr>
              <w:t>(5) Re-commencement of treatment after a 5-year break in PBS-subsidised therapy.</w:t>
            </w:r>
          </w:p>
          <w:p w14:paraId="5A5B231E" w14:textId="77777777" w:rsidR="00967577" w:rsidRPr="005E2177" w:rsidRDefault="00967577" w:rsidP="002C677E">
            <w:pPr>
              <w:rPr>
                <w:rFonts w:ascii="Arial Narrow" w:hAnsi="Arial Narrow"/>
                <w:sz w:val="20"/>
                <w:szCs w:val="20"/>
              </w:rPr>
            </w:pPr>
            <w:r w:rsidRPr="005E2177">
              <w:rPr>
                <w:rFonts w:ascii="Arial Narrow" w:hAnsi="Arial Narrow"/>
                <w:sz w:val="20"/>
                <w:szCs w:val="20"/>
              </w:rPr>
              <w:t>A patient who wishes to trial a second or subsequent course of treatment following a break in PBS-subsidised biological therapy of at least 5 years, must qualify under Initial 3 treatment restriction according to the criteria of the relevant restriction and index of disease severity. The application must include a joint count and ESR and/or CRP measurement that is no more than 4 weeks old at the time of application.</w:t>
            </w:r>
          </w:p>
        </w:tc>
      </w:tr>
    </w:tbl>
    <w:p w14:paraId="5A140108" w14:textId="67393547" w:rsidR="00967577" w:rsidRDefault="00967577" w:rsidP="00967577">
      <w:pPr>
        <w:rPr>
          <w:rFonts w:asciiTheme="minorHAnsi" w:hAnsiTheme="minorHAnsi" w:cstheme="minorHAnsi"/>
          <w:color w:val="365F91" w:themeColor="accent1" w:themeShade="BF"/>
        </w:rPr>
      </w:pPr>
    </w:p>
    <w:p w14:paraId="34EB025A" w14:textId="77777777" w:rsidR="008F71E4" w:rsidRDefault="008F71E4" w:rsidP="008F71E4">
      <w:pPr>
        <w:rPr>
          <w:rFonts w:asciiTheme="minorHAnsi" w:hAnsiTheme="minorHAnsi" w:cstheme="minorHAnsi"/>
          <w:b/>
          <w:i/>
        </w:rPr>
      </w:pPr>
      <w:r w:rsidRPr="008F71E4">
        <w:rPr>
          <w:rFonts w:asciiTheme="minorHAnsi" w:hAnsiTheme="minorHAnsi" w:cstheme="minorHAnsi"/>
          <w:b/>
          <w:i/>
        </w:rPr>
        <w:t>This restriction may be subject to further review. Should there be any changes made to the restriction the Sponsor will be informed.</w:t>
      </w:r>
    </w:p>
    <w:p w14:paraId="5052BC7D" w14:textId="0DE7E108" w:rsidR="00204CA7" w:rsidRPr="006E4C46" w:rsidRDefault="00204CA7" w:rsidP="00AF4912">
      <w:pPr>
        <w:pStyle w:val="2-SectionHeading"/>
        <w:numPr>
          <w:ilvl w:val="0"/>
          <w:numId w:val="1"/>
        </w:numPr>
        <w:rPr>
          <w:bCs/>
          <w:lang w:val="en-GB"/>
        </w:rPr>
      </w:pPr>
      <w:r w:rsidRPr="006E4C46">
        <w:rPr>
          <w:bCs/>
        </w:rPr>
        <w:t>Context for Decision</w:t>
      </w:r>
    </w:p>
    <w:p w14:paraId="1115F51C" w14:textId="77777777" w:rsidR="00204CA7" w:rsidRPr="006E4C46" w:rsidRDefault="00204CA7" w:rsidP="00204CA7">
      <w:pPr>
        <w:spacing w:after="120"/>
        <w:ind w:left="720"/>
        <w:rPr>
          <w:rFonts w:asciiTheme="minorHAnsi" w:hAnsiTheme="minorHAnsi"/>
          <w:bCs/>
          <w:lang w:val="en-GB"/>
        </w:rPr>
      </w:pPr>
      <w:r w:rsidRPr="006E4C46">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268E3A7" w14:textId="77777777" w:rsidR="00204CA7" w:rsidRPr="006E4C46" w:rsidRDefault="00204CA7" w:rsidP="00AF4912">
      <w:pPr>
        <w:pStyle w:val="2-SectionHeading"/>
        <w:numPr>
          <w:ilvl w:val="0"/>
          <w:numId w:val="1"/>
        </w:numPr>
      </w:pPr>
      <w:r w:rsidRPr="006E4C46">
        <w:t>Sponsor’s Comment</w:t>
      </w:r>
    </w:p>
    <w:p w14:paraId="487D9A36" w14:textId="73DD5168" w:rsidR="00204CA7" w:rsidRPr="008F71E4" w:rsidRDefault="00204CA7" w:rsidP="00437E6C">
      <w:pPr>
        <w:spacing w:after="120" w:line="276" w:lineRule="auto"/>
        <w:ind w:left="720"/>
        <w:rPr>
          <w:rFonts w:asciiTheme="minorHAnsi" w:hAnsiTheme="minorHAnsi" w:cstheme="minorHAnsi"/>
          <w:b/>
          <w:i/>
        </w:rPr>
      </w:pPr>
      <w:r w:rsidRPr="006E4C46">
        <w:rPr>
          <w:rFonts w:asciiTheme="minorHAnsi" w:eastAsiaTheme="minorHAnsi" w:hAnsiTheme="minorHAnsi"/>
          <w:bCs/>
          <w:szCs w:val="22"/>
          <w:lang w:eastAsia="en-US"/>
        </w:rPr>
        <w:t>The sponsor had no comment.</w:t>
      </w:r>
    </w:p>
    <w:bookmarkEnd w:id="55"/>
    <w:sectPr w:rsidR="00204CA7" w:rsidRPr="008F71E4" w:rsidSect="009412C8">
      <w:headerReference w:type="even" r:id="rId23"/>
      <w:headerReference w:type="default" r:id="rId24"/>
      <w:footerReference w:type="even" r:id="rId25"/>
      <w:footerReference w:type="default" r:id="rId26"/>
      <w:headerReference w:type="first" r:id="rId27"/>
      <w:footerReference w:type="first" r:id="rId28"/>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DDF78" w14:textId="77777777" w:rsidR="004B02F9" w:rsidRDefault="004B02F9" w:rsidP="00124A51">
      <w:r>
        <w:separator/>
      </w:r>
    </w:p>
    <w:p w14:paraId="6EE2A04F" w14:textId="77777777" w:rsidR="004B02F9" w:rsidRDefault="004B02F9"/>
  </w:endnote>
  <w:endnote w:type="continuationSeparator" w:id="0">
    <w:p w14:paraId="61879EFE" w14:textId="77777777" w:rsidR="004B02F9" w:rsidRDefault="004B02F9" w:rsidP="00124A51">
      <w:r>
        <w:continuationSeparator/>
      </w:r>
    </w:p>
    <w:p w14:paraId="2AEB65C5" w14:textId="77777777" w:rsidR="004B02F9" w:rsidRDefault="004B02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ScalaLancetPro">
    <w:altName w:val="Cambria"/>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14CC6" w14:textId="77777777" w:rsidR="0028081E" w:rsidRDefault="002808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7B189" w14:textId="77777777" w:rsidR="004B02F9" w:rsidRDefault="004B02F9" w:rsidP="00753B29">
    <w:pPr>
      <w:pStyle w:val="Footer"/>
      <w:jc w:val="center"/>
    </w:pPr>
  </w:p>
  <w:p w14:paraId="41F28014" w14:textId="60B9A4AC" w:rsidR="004B02F9" w:rsidRPr="00BA22F4" w:rsidRDefault="00BA22F4" w:rsidP="00BA22F4">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Pr>
        <w:b/>
      </w:rPr>
      <w:t>1</w:t>
    </w:r>
    <w:r w:rsidRPr="00836F75">
      <w:rPr>
        <w:b/>
        <w:noProof/>
      </w:rPr>
      <w:fldChar w:fldCharType="end"/>
    </w:r>
    <w:r>
      <w:rPr>
        <w:b/>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564B6" w14:textId="77777777" w:rsidR="0028081E" w:rsidRDefault="00280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17E87" w14:textId="77777777" w:rsidR="004B02F9" w:rsidRDefault="004B02F9" w:rsidP="00124A51">
      <w:r>
        <w:separator/>
      </w:r>
    </w:p>
    <w:p w14:paraId="104FC77B" w14:textId="77777777" w:rsidR="004B02F9" w:rsidRDefault="004B02F9"/>
  </w:footnote>
  <w:footnote w:type="continuationSeparator" w:id="0">
    <w:p w14:paraId="408120A3" w14:textId="77777777" w:rsidR="004B02F9" w:rsidRDefault="004B02F9" w:rsidP="00124A51">
      <w:r>
        <w:continuationSeparator/>
      </w:r>
    </w:p>
    <w:p w14:paraId="34CDED80" w14:textId="77777777" w:rsidR="004B02F9" w:rsidRDefault="004B02F9"/>
  </w:footnote>
  <w:footnote w:id="1">
    <w:p w14:paraId="45D28DCE" w14:textId="22E4A175" w:rsidR="00791F44" w:rsidRDefault="00791F44">
      <w:pPr>
        <w:pStyle w:val="FootnoteText"/>
      </w:pPr>
      <w:r>
        <w:rPr>
          <w:rStyle w:val="FootnoteReference"/>
        </w:rPr>
        <w:footnoteRef/>
      </w:r>
      <w:r>
        <w:t xml:space="preserve"> </w:t>
      </w:r>
      <w:r w:rsidRPr="00791F44">
        <w:t>Kokolakis et al. Bimekizumab efficacy and safety in patients with moderate-to-severe plaque psoriasis who switched from adalimumab, ustekinumab or secukinumab: results from phase III/IIIb trials. British Journal of Dermatology, Volume 188, Issue 3, March 2023, Pages 330–340, https://doi.org/10.1093/bjd/ljac089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675D4" w14:textId="77777777" w:rsidR="0028081E" w:rsidRDefault="002808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54679" w14:textId="70BD7E2D" w:rsidR="0028081E" w:rsidRPr="0028081E" w:rsidRDefault="0028081E" w:rsidP="0028081E">
    <w:pPr>
      <w:pStyle w:val="Header"/>
      <w:ind w:left="360"/>
      <w:rPr>
        <w:rFonts w:asciiTheme="minorHAnsi" w:hAnsiTheme="minorHAnsi"/>
        <w:i/>
      </w:rPr>
    </w:pPr>
    <w:bookmarkStart w:id="61" w:name="_Hlk165280167"/>
    <w:bookmarkStart w:id="62" w:name="_Hlk76375146"/>
    <w:r w:rsidRPr="0028081E">
      <w:rPr>
        <w:rFonts w:cs="Calibri"/>
        <w:i/>
      </w:rPr>
      <w:t>Public Summary Document</w:t>
    </w:r>
    <w:bookmarkEnd w:id="61"/>
    <w:r w:rsidRPr="0028081E">
      <w:rPr>
        <w:rFonts w:cs="Calibri"/>
        <w:i/>
      </w:rPr>
      <w:t xml:space="preserve"> </w:t>
    </w:r>
    <w:r w:rsidRPr="0028081E">
      <w:rPr>
        <w:rFonts w:asciiTheme="minorHAnsi" w:hAnsiTheme="minorHAnsi"/>
        <w:i/>
      </w:rPr>
      <w:t>– March 2024 PBAC Meeting</w:t>
    </w:r>
  </w:p>
  <w:bookmarkEnd w:id="62"/>
  <w:p w14:paraId="7480ADB7" w14:textId="77777777" w:rsidR="004B02F9" w:rsidRPr="008C7ECB" w:rsidRDefault="004B02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B9673" w14:textId="77777777" w:rsidR="0028081E" w:rsidRDefault="002808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82D21E5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9E4453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FC65AA4"/>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1886289"/>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89D2EAE"/>
    <w:multiLevelType w:val="multilevel"/>
    <w:tmpl w:val="611E4A24"/>
    <w:styleLink w:val="CurrentList4"/>
    <w:lvl w:ilvl="0">
      <w:start w:val="1"/>
      <w:numFmt w:val="none"/>
      <w:lvlText w:val=""/>
      <w:lvlJc w:val="left"/>
      <w:pPr>
        <w:ind w:left="432" w:hanging="432"/>
      </w:pPr>
      <w:rPr>
        <w:rFonts w:hint="default"/>
      </w:rPr>
    </w:lvl>
    <w:lvl w:ilvl="1">
      <w:start w:val="1"/>
      <w:numFmt w:val="decimal"/>
      <w:lvlText w:val="Section %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E.%3"/>
      <w:lvlJc w:val="left"/>
      <w:pPr>
        <w:ind w:left="720" w:hanging="720"/>
      </w:pPr>
      <w:rPr>
        <w:rFonts w:hint="default"/>
      </w:rPr>
    </w:lvl>
    <w:lvl w:ilvl="3">
      <w:start w:val="1"/>
      <w:numFmt w:val="decimal"/>
      <w:lvlText w:val="E.%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743C87"/>
    <w:multiLevelType w:val="multilevel"/>
    <w:tmpl w:val="8C8E8902"/>
    <w:styleLink w:val="CurrentList15"/>
    <w:lvl w:ilvl="0">
      <w:start w:val="1"/>
      <w:numFmt w:val="decimal"/>
      <w:lvlText w:val="Section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8F7622F"/>
    <w:multiLevelType w:val="multilevel"/>
    <w:tmpl w:val="0809001D"/>
    <w:styleLink w:val="CurrentList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DB3717"/>
    <w:multiLevelType w:val="multilevel"/>
    <w:tmpl w:val="249031CC"/>
    <w:styleLink w:val="CurrentList5"/>
    <w:lvl w:ilvl="0">
      <w:start w:val="1"/>
      <w:numFmt w:val="none"/>
      <w:lvlText w:val=""/>
      <w:lvlJc w:val="left"/>
      <w:pPr>
        <w:ind w:left="432" w:hanging="432"/>
      </w:pPr>
      <w:rPr>
        <w:rFonts w:hint="default"/>
      </w:rPr>
    </w:lvl>
    <w:lvl w:ilvl="1">
      <w:start w:val="1"/>
      <w:numFmt w:val="decimal"/>
      <w:lvlText w:val="Section %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6FD6C8B"/>
    <w:multiLevelType w:val="hybridMultilevel"/>
    <w:tmpl w:val="42725A06"/>
    <w:lvl w:ilvl="0" w:tplc="222C7B64">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287B3E50"/>
    <w:multiLevelType w:val="multilevel"/>
    <w:tmpl w:val="714CEC08"/>
    <w:styleLink w:val="CurrentList6"/>
    <w:lvl w:ilvl="0">
      <w:start w:val="1"/>
      <w:numFmt w:val="decimal"/>
      <w:lvlText w:val="Section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B0519B1"/>
    <w:multiLevelType w:val="multilevel"/>
    <w:tmpl w:val="A48054F4"/>
    <w:styleLink w:val="CurrentList19"/>
    <w:lvl w:ilvl="0">
      <w:start w:val="1"/>
      <w:numFmt w:val="none"/>
      <w:lvlText w:val=""/>
      <w:lvlJc w:val="left"/>
      <w:pPr>
        <w:ind w:left="432" w:hanging="432"/>
      </w:pPr>
      <w:rPr>
        <w:rFonts w:hint="default"/>
      </w:rPr>
    </w:lvl>
    <w:lvl w:ilvl="1">
      <w:start w:val="1"/>
      <w:numFmt w:val="decimal"/>
      <w:lvlText w:val="Section %2"/>
      <w:lvlJc w:val="left"/>
      <w:pPr>
        <w:ind w:left="576" w:hanging="576"/>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ES.%3"/>
      <w:lvlJc w:val="left"/>
      <w:pPr>
        <w:ind w:left="720" w:hanging="720"/>
      </w:pPr>
      <w:rPr>
        <w:rFonts w:hint="default"/>
      </w:rPr>
    </w:lvl>
    <w:lvl w:ilvl="3">
      <w:start w:val="1"/>
      <w:numFmt w:val="decimal"/>
      <w:lvlText w:val="E.%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A6126F"/>
    <w:multiLevelType w:val="multilevel"/>
    <w:tmpl w:val="8956382C"/>
    <w:styleLink w:val="CurrentList7"/>
    <w:lvl w:ilvl="0">
      <w:start w:val="1"/>
      <w:numFmt w:val="decimal"/>
      <w:lvlText w:val="Section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4364AEE"/>
    <w:multiLevelType w:val="multilevel"/>
    <w:tmpl w:val="0809001D"/>
    <w:styleLink w:val="CurrentLi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57F10D6"/>
    <w:multiLevelType w:val="multilevel"/>
    <w:tmpl w:val="611E4A24"/>
    <w:styleLink w:val="CurrentList3"/>
    <w:lvl w:ilvl="0">
      <w:start w:val="1"/>
      <w:numFmt w:val="none"/>
      <w:lvlText w:val=""/>
      <w:lvlJc w:val="left"/>
      <w:pPr>
        <w:ind w:left="432" w:hanging="432"/>
      </w:pPr>
      <w:rPr>
        <w:rFonts w:hint="default"/>
      </w:rPr>
    </w:lvl>
    <w:lvl w:ilvl="1">
      <w:start w:val="1"/>
      <w:numFmt w:val="decimal"/>
      <w:lvlText w:val="Section %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E.%3"/>
      <w:lvlJc w:val="left"/>
      <w:pPr>
        <w:ind w:left="720" w:hanging="720"/>
      </w:pPr>
      <w:rPr>
        <w:rFonts w:hint="default"/>
      </w:rPr>
    </w:lvl>
    <w:lvl w:ilvl="3">
      <w:start w:val="1"/>
      <w:numFmt w:val="decimal"/>
      <w:lvlText w:val="E.%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D82567A"/>
    <w:multiLevelType w:val="multilevel"/>
    <w:tmpl w:val="BC4A0B36"/>
    <w:styleLink w:val="CurrentList16"/>
    <w:lvl w:ilvl="0">
      <w:start w:val="1"/>
      <w:numFmt w:val="decimal"/>
      <w:lvlText w:val="Section %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B143C7"/>
    <w:multiLevelType w:val="multilevel"/>
    <w:tmpl w:val="D7AEBBC0"/>
    <w:styleLink w:val="CurrentList2"/>
    <w:lvl w:ilvl="0">
      <w:start w:val="1"/>
      <w:numFmt w:val="none"/>
      <w:lvlText w:val=""/>
      <w:lvlJc w:val="left"/>
      <w:pPr>
        <w:ind w:left="432" w:hanging="432"/>
      </w:pPr>
      <w:rPr>
        <w:rFonts w:hint="default"/>
      </w:rPr>
    </w:lvl>
    <w:lvl w:ilvl="1">
      <w:start w:val="1"/>
      <w:numFmt w:val="decimal"/>
      <w:lvlText w:val="Section %2"/>
      <w:lvlJc w:val="left"/>
      <w:pPr>
        <w:ind w:left="576" w:hanging="576"/>
      </w:pPr>
      <w:rPr>
        <w:rFonts w:hint="default"/>
      </w:rPr>
    </w:lvl>
    <w:lvl w:ilvl="2">
      <w:start w:val="1"/>
      <w:numFmt w:val="decimal"/>
      <w:lvlText w:val="%1E.%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413727E5"/>
    <w:multiLevelType w:val="multilevel"/>
    <w:tmpl w:val="4E86C55E"/>
    <w:styleLink w:val="CurrentList18"/>
    <w:lvl w:ilvl="0">
      <w:start w:val="1"/>
      <w:numFmt w:val="none"/>
      <w:lvlText w:val=""/>
      <w:lvlJc w:val="left"/>
      <w:pPr>
        <w:ind w:left="432" w:hanging="432"/>
      </w:pPr>
      <w:rPr>
        <w:rFonts w:hint="default"/>
      </w:rPr>
    </w:lvl>
    <w:lvl w:ilvl="1">
      <w:start w:val="1"/>
      <w:numFmt w:val="decimal"/>
      <w:lvlText w:val="Section %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E.%3"/>
      <w:lvlJc w:val="left"/>
      <w:pPr>
        <w:ind w:left="720" w:hanging="720"/>
      </w:pPr>
      <w:rPr>
        <w:rFonts w:hint="default"/>
      </w:rPr>
    </w:lvl>
    <w:lvl w:ilvl="3">
      <w:start w:val="1"/>
      <w:numFmt w:val="decimal"/>
      <w:lvlText w:val="E.%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EF1137"/>
    <w:multiLevelType w:val="hybridMultilevel"/>
    <w:tmpl w:val="5DD89A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BD26E2D"/>
    <w:multiLevelType w:val="multilevel"/>
    <w:tmpl w:val="824AE24E"/>
    <w:styleLink w:val="CurrentList1"/>
    <w:lvl w:ilvl="0">
      <w:start w:val="1"/>
      <w:numFmt w:val="none"/>
      <w:lvlText w:val=""/>
      <w:lvlJc w:val="left"/>
      <w:pPr>
        <w:ind w:left="432" w:hanging="432"/>
      </w:pPr>
      <w:rPr>
        <w:rFonts w:hint="default"/>
      </w:rPr>
    </w:lvl>
    <w:lvl w:ilvl="1">
      <w:start w:val="1"/>
      <w:numFmt w:val="decimal"/>
      <w:lvlText w:val="Section %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547A026B"/>
    <w:multiLevelType w:val="multilevel"/>
    <w:tmpl w:val="3732F718"/>
    <w:styleLink w:val="CurrentList9"/>
    <w:lvl w:ilvl="0">
      <w:start w:val="1"/>
      <w:numFmt w:val="none"/>
      <w:lvlText w:val=""/>
      <w:lvlJc w:val="left"/>
      <w:pPr>
        <w:ind w:left="432" w:hanging="432"/>
      </w:pPr>
      <w:rPr>
        <w:rFonts w:hint="default"/>
      </w:rPr>
    </w:lvl>
    <w:lvl w:ilvl="1">
      <w:start w:val="1"/>
      <w:numFmt w:val="decimal"/>
      <w:lvlText w:val="Section %2"/>
      <w:lvlJc w:val="left"/>
      <w:pPr>
        <w:ind w:left="576" w:hanging="576"/>
      </w:pPr>
      <w:rPr>
        <w:rFonts w:hint="default"/>
      </w:rPr>
    </w:lvl>
    <w:lvl w:ilvl="2">
      <w:start w:val="1"/>
      <w:numFmt w:val="decimal"/>
      <w:lvlText w:val="%1E.%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54E6A5B"/>
    <w:multiLevelType w:val="multilevel"/>
    <w:tmpl w:val="8A6E0AF8"/>
    <w:styleLink w:val="CurrentList17"/>
    <w:lvl w:ilvl="0">
      <w:start w:val="1"/>
      <w:numFmt w:val="decimal"/>
      <w:lvlText w:val="Section %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58055C9"/>
    <w:multiLevelType w:val="multilevel"/>
    <w:tmpl w:val="8304A480"/>
    <w:styleLink w:val="CurrentList8"/>
    <w:lvl w:ilvl="0">
      <w:start w:val="1"/>
      <w:numFmt w:val="decimal"/>
      <w:lvlText w:val="Section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6C05DF8"/>
    <w:multiLevelType w:val="multilevel"/>
    <w:tmpl w:val="3C74A664"/>
    <w:lvl w:ilvl="0">
      <w:start w:val="1"/>
      <w:numFmt w:val="none"/>
      <w:lvlText w:val=""/>
      <w:lvlJc w:val="left"/>
      <w:pPr>
        <w:ind w:left="432" w:hanging="432"/>
      </w:pPr>
      <w:rPr>
        <w:rFonts w:hint="default"/>
      </w:rPr>
    </w:lvl>
    <w:lvl w:ilvl="1">
      <w:start w:val="1"/>
      <w:numFmt w:val="decimal"/>
      <w:lvlText w:val="Section %2"/>
      <w:lvlJc w:val="left"/>
      <w:pPr>
        <w:ind w:left="576" w:hanging="576"/>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ESHeading3"/>
      <w:lvlText w:val="%1ES.%3"/>
      <w:lvlJc w:val="left"/>
      <w:pPr>
        <w:ind w:left="720" w:hanging="720"/>
      </w:pPr>
      <w:rPr>
        <w:rFonts w:hint="default"/>
      </w:rPr>
    </w:lvl>
    <w:lvl w:ilvl="3">
      <w:start w:val="1"/>
      <w:numFmt w:val="decimal"/>
      <w:pStyle w:val="ESHeading4"/>
      <w:lvlText w:val="ES.%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4"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6814129C"/>
    <w:multiLevelType w:val="multilevel"/>
    <w:tmpl w:val="08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F5A2F4F"/>
    <w:multiLevelType w:val="multilevel"/>
    <w:tmpl w:val="0809001D"/>
    <w:styleLink w:val="CurrentList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1220092"/>
    <w:multiLevelType w:val="hybridMultilevel"/>
    <w:tmpl w:val="0A3AA8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77635C10"/>
    <w:multiLevelType w:val="hybridMultilevel"/>
    <w:tmpl w:val="37006A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91310E9"/>
    <w:multiLevelType w:val="hybridMultilevel"/>
    <w:tmpl w:val="9ABA5CBA"/>
    <w:lvl w:ilvl="0" w:tplc="DE56150E">
      <w:start w:val="1"/>
      <w:numFmt w:val="decimal"/>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16cid:durableId="1144658956">
    <w:abstractNumId w:val="41"/>
  </w:num>
  <w:num w:numId="2" w16cid:durableId="7564296">
    <w:abstractNumId w:val="23"/>
  </w:num>
  <w:num w:numId="3" w16cid:durableId="1623615863">
    <w:abstractNumId w:val="24"/>
  </w:num>
  <w:num w:numId="4" w16cid:durableId="1321537679">
    <w:abstractNumId w:val="3"/>
  </w:num>
  <w:num w:numId="5" w16cid:durableId="2074309761">
    <w:abstractNumId w:val="41"/>
  </w:num>
  <w:num w:numId="6" w16cid:durableId="2008089738">
    <w:abstractNumId w:val="43"/>
  </w:num>
  <w:num w:numId="7" w16cid:durableId="711081889">
    <w:abstractNumId w:val="34"/>
  </w:num>
  <w:num w:numId="8" w16cid:durableId="2006548299">
    <w:abstractNumId w:val="8"/>
  </w:num>
  <w:num w:numId="9" w16cid:durableId="724990921">
    <w:abstractNumId w:val="0"/>
  </w:num>
  <w:num w:numId="10" w16cid:durableId="1069884254">
    <w:abstractNumId w:val="1"/>
  </w:num>
  <w:num w:numId="11" w16cid:durableId="1920363674">
    <w:abstractNumId w:val="2"/>
  </w:num>
  <w:num w:numId="12" w16cid:durableId="1484932837">
    <w:abstractNumId w:val="26"/>
  </w:num>
  <w:num w:numId="13" w16cid:durableId="1379474418">
    <w:abstractNumId w:val="21"/>
  </w:num>
  <w:num w:numId="14" w16cid:durableId="1683125765">
    <w:abstractNumId w:val="32"/>
  </w:num>
  <w:num w:numId="15" w16cid:durableId="1439369557">
    <w:abstractNumId w:val="19"/>
  </w:num>
  <w:num w:numId="16" w16cid:durableId="287132099">
    <w:abstractNumId w:val="6"/>
  </w:num>
  <w:num w:numId="17" w16cid:durableId="1412240596">
    <w:abstractNumId w:val="11"/>
  </w:num>
  <w:num w:numId="18" w16cid:durableId="711002452">
    <w:abstractNumId w:val="14"/>
  </w:num>
  <w:num w:numId="19" w16cid:durableId="631209837">
    <w:abstractNumId w:val="17"/>
  </w:num>
  <w:num w:numId="20" w16cid:durableId="1704289234">
    <w:abstractNumId w:val="31"/>
  </w:num>
  <w:num w:numId="21" w16cid:durableId="2003384488">
    <w:abstractNumId w:val="27"/>
  </w:num>
  <w:num w:numId="22" w16cid:durableId="1768884258">
    <w:abstractNumId w:val="5"/>
  </w:num>
  <w:num w:numId="23" w16cid:durableId="1160460401">
    <w:abstractNumId w:val="35"/>
  </w:num>
  <w:num w:numId="24" w16cid:durableId="1066102433">
    <w:abstractNumId w:val="18"/>
  </w:num>
  <w:num w:numId="25" w16cid:durableId="118648599">
    <w:abstractNumId w:val="9"/>
  </w:num>
  <w:num w:numId="26" w16cid:durableId="478806363">
    <w:abstractNumId w:val="38"/>
  </w:num>
  <w:num w:numId="27" w16cid:durableId="1929774769">
    <w:abstractNumId w:val="20"/>
  </w:num>
  <w:num w:numId="28" w16cid:durableId="167142720">
    <w:abstractNumId w:val="30"/>
  </w:num>
  <w:num w:numId="29" w16cid:durableId="1040009845">
    <w:abstractNumId w:val="22"/>
  </w:num>
  <w:num w:numId="30" w16cid:durableId="1804544916">
    <w:abstractNumId w:val="15"/>
  </w:num>
  <w:num w:numId="31" w16cid:durableId="1693146232">
    <w:abstractNumId w:val="25"/>
  </w:num>
  <w:num w:numId="32" w16cid:durableId="1678146200">
    <w:abstractNumId w:val="13"/>
  </w:num>
  <w:num w:numId="33" w16cid:durableId="2110615546">
    <w:abstractNumId w:val="39"/>
  </w:num>
  <w:num w:numId="34" w16cid:durableId="1186405786">
    <w:abstractNumId w:val="44"/>
  </w:num>
  <w:num w:numId="35" w16cid:durableId="23409900">
    <w:abstractNumId w:val="42"/>
  </w:num>
  <w:num w:numId="36" w16cid:durableId="777145053">
    <w:abstractNumId w:val="24"/>
  </w:num>
  <w:num w:numId="37" w16cid:durableId="268391006">
    <w:abstractNumId w:val="36"/>
  </w:num>
  <w:num w:numId="38" w16cid:durableId="272564917">
    <w:abstractNumId w:val="28"/>
  </w:num>
  <w:num w:numId="39" w16cid:durableId="73285243">
    <w:abstractNumId w:val="29"/>
  </w:num>
  <w:num w:numId="40" w16cid:durableId="897865782">
    <w:abstractNumId w:val="7"/>
  </w:num>
  <w:num w:numId="41" w16cid:durableId="1570336545">
    <w:abstractNumId w:val="4"/>
  </w:num>
  <w:num w:numId="42" w16cid:durableId="273903935">
    <w:abstractNumId w:val="12"/>
  </w:num>
  <w:num w:numId="43" w16cid:durableId="1604534425">
    <w:abstractNumId w:val="16"/>
  </w:num>
  <w:num w:numId="44" w16cid:durableId="1732776493">
    <w:abstractNumId w:val="10"/>
  </w:num>
  <w:num w:numId="45" w16cid:durableId="1297443176">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91784724">
    <w:abstractNumId w:val="37"/>
  </w:num>
  <w:num w:numId="47" w16cid:durableId="1367146873">
    <w:abstractNumId w:val="40"/>
  </w:num>
  <w:num w:numId="48" w16cid:durableId="647053693">
    <w:abstractNumId w:val="41"/>
  </w:num>
  <w:num w:numId="49" w16cid:durableId="1499494067">
    <w:abstractNumId w:val="41"/>
  </w:num>
  <w:num w:numId="50" w16cid:durableId="109982077">
    <w:abstractNumId w:val="41"/>
  </w:num>
  <w:num w:numId="51" w16cid:durableId="1108893061">
    <w:abstractNumId w:val="41"/>
  </w:num>
  <w:num w:numId="52" w16cid:durableId="457577748">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removePersonalInformation/>
  <w:removeDateAndTime/>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GB"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7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EwNDIwMTYyNrE0NzZV0lEKTi0uzszPAykwrAUAKkldYywAAAA="/>
    <w:docVar w:name="EN.InstantFormat" w:val="&lt;ENInstantFormat&gt;&lt;Enabled&gt;1&lt;/Enabled&gt;&lt;ScanUnformatted&gt;1&lt;/ScanUnformatted&gt;&lt;ScanChanges&gt;1&lt;/ScanChanges&gt;&lt;Suspended&gt;1&lt;/Suspended&gt;&lt;/ENInstantFormat&gt;"/>
    <w:docVar w:name="EN.Layout" w:val="&lt;ENLayout&gt;&lt;Style&gt;Social Science and Medicin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E65E79"/>
    <w:rsid w:val="00000790"/>
    <w:rsid w:val="00000982"/>
    <w:rsid w:val="0000110B"/>
    <w:rsid w:val="00001427"/>
    <w:rsid w:val="00001721"/>
    <w:rsid w:val="0000213C"/>
    <w:rsid w:val="0000303A"/>
    <w:rsid w:val="000033DC"/>
    <w:rsid w:val="00003499"/>
    <w:rsid w:val="000039B7"/>
    <w:rsid w:val="00004FD6"/>
    <w:rsid w:val="00005177"/>
    <w:rsid w:val="000056B9"/>
    <w:rsid w:val="0000639A"/>
    <w:rsid w:val="00006BB3"/>
    <w:rsid w:val="00006D4D"/>
    <w:rsid w:val="000079BD"/>
    <w:rsid w:val="00010D2A"/>
    <w:rsid w:val="00012D2C"/>
    <w:rsid w:val="00013247"/>
    <w:rsid w:val="00013600"/>
    <w:rsid w:val="000137D9"/>
    <w:rsid w:val="00015886"/>
    <w:rsid w:val="000162EF"/>
    <w:rsid w:val="00016635"/>
    <w:rsid w:val="000207C9"/>
    <w:rsid w:val="00021031"/>
    <w:rsid w:val="0002225F"/>
    <w:rsid w:val="00023763"/>
    <w:rsid w:val="0002449F"/>
    <w:rsid w:val="00024EB5"/>
    <w:rsid w:val="00025030"/>
    <w:rsid w:val="000274B8"/>
    <w:rsid w:val="00032A81"/>
    <w:rsid w:val="00033863"/>
    <w:rsid w:val="00033925"/>
    <w:rsid w:val="00035DC0"/>
    <w:rsid w:val="00036829"/>
    <w:rsid w:val="00040895"/>
    <w:rsid w:val="000410A0"/>
    <w:rsid w:val="000421A3"/>
    <w:rsid w:val="000435EE"/>
    <w:rsid w:val="00043C37"/>
    <w:rsid w:val="00045017"/>
    <w:rsid w:val="00045A2B"/>
    <w:rsid w:val="0004698F"/>
    <w:rsid w:val="00046D64"/>
    <w:rsid w:val="000508C2"/>
    <w:rsid w:val="00052E07"/>
    <w:rsid w:val="000539D0"/>
    <w:rsid w:val="00054621"/>
    <w:rsid w:val="000546D7"/>
    <w:rsid w:val="00054A5A"/>
    <w:rsid w:val="00054A8D"/>
    <w:rsid w:val="00055478"/>
    <w:rsid w:val="000557C9"/>
    <w:rsid w:val="00055F16"/>
    <w:rsid w:val="00056000"/>
    <w:rsid w:val="0005652C"/>
    <w:rsid w:val="00056ECF"/>
    <w:rsid w:val="000604DF"/>
    <w:rsid w:val="0006361B"/>
    <w:rsid w:val="000638A0"/>
    <w:rsid w:val="00063D81"/>
    <w:rsid w:val="0006484A"/>
    <w:rsid w:val="000653B5"/>
    <w:rsid w:val="000657ED"/>
    <w:rsid w:val="00065D6D"/>
    <w:rsid w:val="00066360"/>
    <w:rsid w:val="00066AF8"/>
    <w:rsid w:val="00067162"/>
    <w:rsid w:val="00071248"/>
    <w:rsid w:val="00071605"/>
    <w:rsid w:val="000720B9"/>
    <w:rsid w:val="000734F3"/>
    <w:rsid w:val="000737F7"/>
    <w:rsid w:val="000741B3"/>
    <w:rsid w:val="000748C3"/>
    <w:rsid w:val="0007532C"/>
    <w:rsid w:val="0007672F"/>
    <w:rsid w:val="00076B54"/>
    <w:rsid w:val="00076FC3"/>
    <w:rsid w:val="000774F0"/>
    <w:rsid w:val="00077D54"/>
    <w:rsid w:val="0008078D"/>
    <w:rsid w:val="00080909"/>
    <w:rsid w:val="000812CA"/>
    <w:rsid w:val="00081A09"/>
    <w:rsid w:val="00081E63"/>
    <w:rsid w:val="0008258D"/>
    <w:rsid w:val="00083E99"/>
    <w:rsid w:val="00084FA8"/>
    <w:rsid w:val="000854AF"/>
    <w:rsid w:val="000856C5"/>
    <w:rsid w:val="00085C31"/>
    <w:rsid w:val="00085C65"/>
    <w:rsid w:val="00085DD1"/>
    <w:rsid w:val="00087B2B"/>
    <w:rsid w:val="000902D9"/>
    <w:rsid w:val="00090C7E"/>
    <w:rsid w:val="000911AC"/>
    <w:rsid w:val="00092600"/>
    <w:rsid w:val="0009262B"/>
    <w:rsid w:val="0009328C"/>
    <w:rsid w:val="00093310"/>
    <w:rsid w:val="00093E39"/>
    <w:rsid w:val="0009445C"/>
    <w:rsid w:val="00095200"/>
    <w:rsid w:val="00095FE5"/>
    <w:rsid w:val="00096284"/>
    <w:rsid w:val="000A03EA"/>
    <w:rsid w:val="000A1BC0"/>
    <w:rsid w:val="000A2F9E"/>
    <w:rsid w:val="000A3E47"/>
    <w:rsid w:val="000A3EAC"/>
    <w:rsid w:val="000A4A48"/>
    <w:rsid w:val="000A522B"/>
    <w:rsid w:val="000A5975"/>
    <w:rsid w:val="000A6039"/>
    <w:rsid w:val="000A7453"/>
    <w:rsid w:val="000A7D08"/>
    <w:rsid w:val="000B0121"/>
    <w:rsid w:val="000B0670"/>
    <w:rsid w:val="000B0E75"/>
    <w:rsid w:val="000B2DCB"/>
    <w:rsid w:val="000B30BF"/>
    <w:rsid w:val="000B32D0"/>
    <w:rsid w:val="000B4E32"/>
    <w:rsid w:val="000B57BD"/>
    <w:rsid w:val="000B5CE0"/>
    <w:rsid w:val="000B6CAC"/>
    <w:rsid w:val="000B70F8"/>
    <w:rsid w:val="000B7612"/>
    <w:rsid w:val="000B78AE"/>
    <w:rsid w:val="000C05C8"/>
    <w:rsid w:val="000C3DF9"/>
    <w:rsid w:val="000C492F"/>
    <w:rsid w:val="000C4CF2"/>
    <w:rsid w:val="000C6713"/>
    <w:rsid w:val="000C7909"/>
    <w:rsid w:val="000D082A"/>
    <w:rsid w:val="000D0B4C"/>
    <w:rsid w:val="000D1A5C"/>
    <w:rsid w:val="000D1BFC"/>
    <w:rsid w:val="000D1D5D"/>
    <w:rsid w:val="000D281A"/>
    <w:rsid w:val="000D2848"/>
    <w:rsid w:val="000D2F1E"/>
    <w:rsid w:val="000D326A"/>
    <w:rsid w:val="000D4F43"/>
    <w:rsid w:val="000D51FB"/>
    <w:rsid w:val="000E0640"/>
    <w:rsid w:val="000E135D"/>
    <w:rsid w:val="000E1C82"/>
    <w:rsid w:val="000E2393"/>
    <w:rsid w:val="000E24D9"/>
    <w:rsid w:val="000E3CF7"/>
    <w:rsid w:val="000E564D"/>
    <w:rsid w:val="000E7176"/>
    <w:rsid w:val="000E79F9"/>
    <w:rsid w:val="000F00BA"/>
    <w:rsid w:val="000F2F54"/>
    <w:rsid w:val="000F316A"/>
    <w:rsid w:val="000F38B4"/>
    <w:rsid w:val="000F3939"/>
    <w:rsid w:val="000F3C74"/>
    <w:rsid w:val="000F3C7E"/>
    <w:rsid w:val="000F3E60"/>
    <w:rsid w:val="000F4262"/>
    <w:rsid w:val="000F4BB8"/>
    <w:rsid w:val="000F4FA9"/>
    <w:rsid w:val="000F53FB"/>
    <w:rsid w:val="000F5EAF"/>
    <w:rsid w:val="000F7127"/>
    <w:rsid w:val="000F7B54"/>
    <w:rsid w:val="001000B3"/>
    <w:rsid w:val="00100F8A"/>
    <w:rsid w:val="00101A71"/>
    <w:rsid w:val="0010452E"/>
    <w:rsid w:val="00105AE2"/>
    <w:rsid w:val="00105BFA"/>
    <w:rsid w:val="00105EAB"/>
    <w:rsid w:val="001060C6"/>
    <w:rsid w:val="00106B80"/>
    <w:rsid w:val="00110120"/>
    <w:rsid w:val="0011032E"/>
    <w:rsid w:val="00112CAD"/>
    <w:rsid w:val="0011348B"/>
    <w:rsid w:val="00115982"/>
    <w:rsid w:val="001162A4"/>
    <w:rsid w:val="00116C53"/>
    <w:rsid w:val="00116D79"/>
    <w:rsid w:val="00120233"/>
    <w:rsid w:val="00120A19"/>
    <w:rsid w:val="00120EFB"/>
    <w:rsid w:val="001213D5"/>
    <w:rsid w:val="00121799"/>
    <w:rsid w:val="00121ABF"/>
    <w:rsid w:val="001222FC"/>
    <w:rsid w:val="001227D0"/>
    <w:rsid w:val="001232EE"/>
    <w:rsid w:val="00123902"/>
    <w:rsid w:val="00124A51"/>
    <w:rsid w:val="001255CF"/>
    <w:rsid w:val="00125D40"/>
    <w:rsid w:val="00126621"/>
    <w:rsid w:val="00126B1D"/>
    <w:rsid w:val="00127C0E"/>
    <w:rsid w:val="001301E9"/>
    <w:rsid w:val="00130B02"/>
    <w:rsid w:val="00130FCE"/>
    <w:rsid w:val="00131A09"/>
    <w:rsid w:val="00131D82"/>
    <w:rsid w:val="001323B0"/>
    <w:rsid w:val="00132B22"/>
    <w:rsid w:val="00132F9D"/>
    <w:rsid w:val="00133D36"/>
    <w:rsid w:val="00133E03"/>
    <w:rsid w:val="00134400"/>
    <w:rsid w:val="00135418"/>
    <w:rsid w:val="00137645"/>
    <w:rsid w:val="0014015A"/>
    <w:rsid w:val="00140431"/>
    <w:rsid w:val="00140E99"/>
    <w:rsid w:val="00141176"/>
    <w:rsid w:val="00141630"/>
    <w:rsid w:val="00141635"/>
    <w:rsid w:val="00141F5F"/>
    <w:rsid w:val="00143652"/>
    <w:rsid w:val="00143F67"/>
    <w:rsid w:val="00144868"/>
    <w:rsid w:val="00144DF6"/>
    <w:rsid w:val="00144F20"/>
    <w:rsid w:val="00145234"/>
    <w:rsid w:val="0014549B"/>
    <w:rsid w:val="00145540"/>
    <w:rsid w:val="001456B0"/>
    <w:rsid w:val="00145E79"/>
    <w:rsid w:val="00146C11"/>
    <w:rsid w:val="0015132E"/>
    <w:rsid w:val="00154771"/>
    <w:rsid w:val="001547AB"/>
    <w:rsid w:val="001562B0"/>
    <w:rsid w:val="00156F8F"/>
    <w:rsid w:val="00157130"/>
    <w:rsid w:val="001576B1"/>
    <w:rsid w:val="00157D55"/>
    <w:rsid w:val="0016047B"/>
    <w:rsid w:val="00160A4C"/>
    <w:rsid w:val="001610E3"/>
    <w:rsid w:val="00161225"/>
    <w:rsid w:val="0016219D"/>
    <w:rsid w:val="00162913"/>
    <w:rsid w:val="00163EFF"/>
    <w:rsid w:val="00163F66"/>
    <w:rsid w:val="0016478E"/>
    <w:rsid w:val="0016591E"/>
    <w:rsid w:val="00165EC4"/>
    <w:rsid w:val="001661FB"/>
    <w:rsid w:val="001671A0"/>
    <w:rsid w:val="0016767F"/>
    <w:rsid w:val="001710A2"/>
    <w:rsid w:val="001712B1"/>
    <w:rsid w:val="00173565"/>
    <w:rsid w:val="00173B07"/>
    <w:rsid w:val="001751FA"/>
    <w:rsid w:val="00176382"/>
    <w:rsid w:val="00176991"/>
    <w:rsid w:val="00176C21"/>
    <w:rsid w:val="0017703C"/>
    <w:rsid w:val="00181C10"/>
    <w:rsid w:val="00181D9C"/>
    <w:rsid w:val="001837FF"/>
    <w:rsid w:val="00184274"/>
    <w:rsid w:val="00184A75"/>
    <w:rsid w:val="00184B0E"/>
    <w:rsid w:val="001852E7"/>
    <w:rsid w:val="001858EB"/>
    <w:rsid w:val="001863A4"/>
    <w:rsid w:val="0018712F"/>
    <w:rsid w:val="0018752F"/>
    <w:rsid w:val="00190153"/>
    <w:rsid w:val="00192020"/>
    <w:rsid w:val="00192B52"/>
    <w:rsid w:val="00193185"/>
    <w:rsid w:val="00193838"/>
    <w:rsid w:val="001939B9"/>
    <w:rsid w:val="00194348"/>
    <w:rsid w:val="00194AD8"/>
    <w:rsid w:val="00195222"/>
    <w:rsid w:val="00195452"/>
    <w:rsid w:val="001975D8"/>
    <w:rsid w:val="001A0742"/>
    <w:rsid w:val="001A178E"/>
    <w:rsid w:val="001A35CA"/>
    <w:rsid w:val="001A43FA"/>
    <w:rsid w:val="001A47C5"/>
    <w:rsid w:val="001A5186"/>
    <w:rsid w:val="001A59FB"/>
    <w:rsid w:val="001A5E9E"/>
    <w:rsid w:val="001A6354"/>
    <w:rsid w:val="001A6366"/>
    <w:rsid w:val="001A6873"/>
    <w:rsid w:val="001A77AA"/>
    <w:rsid w:val="001A7AE8"/>
    <w:rsid w:val="001A7C7D"/>
    <w:rsid w:val="001B004D"/>
    <w:rsid w:val="001B0467"/>
    <w:rsid w:val="001B1C05"/>
    <w:rsid w:val="001B204E"/>
    <w:rsid w:val="001B2372"/>
    <w:rsid w:val="001B26DF"/>
    <w:rsid w:val="001B3443"/>
    <w:rsid w:val="001B3B00"/>
    <w:rsid w:val="001B4006"/>
    <w:rsid w:val="001B4AFE"/>
    <w:rsid w:val="001B4D20"/>
    <w:rsid w:val="001B7BF7"/>
    <w:rsid w:val="001B7F84"/>
    <w:rsid w:val="001C0CB9"/>
    <w:rsid w:val="001C1B50"/>
    <w:rsid w:val="001C2A9B"/>
    <w:rsid w:val="001C3DD6"/>
    <w:rsid w:val="001C4299"/>
    <w:rsid w:val="001C4874"/>
    <w:rsid w:val="001C49D2"/>
    <w:rsid w:val="001C4A64"/>
    <w:rsid w:val="001C5F94"/>
    <w:rsid w:val="001C6E66"/>
    <w:rsid w:val="001D1100"/>
    <w:rsid w:val="001D1391"/>
    <w:rsid w:val="001D25D7"/>
    <w:rsid w:val="001D2713"/>
    <w:rsid w:val="001D2F19"/>
    <w:rsid w:val="001D310F"/>
    <w:rsid w:val="001D3D88"/>
    <w:rsid w:val="001D50B2"/>
    <w:rsid w:val="001D5D19"/>
    <w:rsid w:val="001D71F4"/>
    <w:rsid w:val="001D7645"/>
    <w:rsid w:val="001E1E86"/>
    <w:rsid w:val="001E238E"/>
    <w:rsid w:val="001E2479"/>
    <w:rsid w:val="001E2483"/>
    <w:rsid w:val="001E2B1E"/>
    <w:rsid w:val="001E2CFF"/>
    <w:rsid w:val="001E2F24"/>
    <w:rsid w:val="001E30D4"/>
    <w:rsid w:val="001E34DF"/>
    <w:rsid w:val="001E4822"/>
    <w:rsid w:val="001E48BC"/>
    <w:rsid w:val="001E52EB"/>
    <w:rsid w:val="001E5DC9"/>
    <w:rsid w:val="001E61D2"/>
    <w:rsid w:val="001E740C"/>
    <w:rsid w:val="001F11D3"/>
    <w:rsid w:val="001F1235"/>
    <w:rsid w:val="001F1CB3"/>
    <w:rsid w:val="001F2563"/>
    <w:rsid w:val="001F259E"/>
    <w:rsid w:val="001F297C"/>
    <w:rsid w:val="001F3599"/>
    <w:rsid w:val="001F38B5"/>
    <w:rsid w:val="001F4081"/>
    <w:rsid w:val="001F7361"/>
    <w:rsid w:val="001F7452"/>
    <w:rsid w:val="00200891"/>
    <w:rsid w:val="002011B0"/>
    <w:rsid w:val="002011D8"/>
    <w:rsid w:val="002012DF"/>
    <w:rsid w:val="00203181"/>
    <w:rsid w:val="002033A6"/>
    <w:rsid w:val="00203783"/>
    <w:rsid w:val="0020385F"/>
    <w:rsid w:val="00204CA7"/>
    <w:rsid w:val="00205E92"/>
    <w:rsid w:val="002068A0"/>
    <w:rsid w:val="00207021"/>
    <w:rsid w:val="0020732F"/>
    <w:rsid w:val="00207589"/>
    <w:rsid w:val="00207D00"/>
    <w:rsid w:val="002105C1"/>
    <w:rsid w:val="002116FD"/>
    <w:rsid w:val="00212E63"/>
    <w:rsid w:val="002132E5"/>
    <w:rsid w:val="0021370B"/>
    <w:rsid w:val="00213A20"/>
    <w:rsid w:val="00213EF5"/>
    <w:rsid w:val="00214C51"/>
    <w:rsid w:val="00215AE5"/>
    <w:rsid w:val="00216226"/>
    <w:rsid w:val="00216BF5"/>
    <w:rsid w:val="00217373"/>
    <w:rsid w:val="0022026F"/>
    <w:rsid w:val="00220706"/>
    <w:rsid w:val="00220A1F"/>
    <w:rsid w:val="00220F19"/>
    <w:rsid w:val="00221CA9"/>
    <w:rsid w:val="00223B49"/>
    <w:rsid w:val="00223CBD"/>
    <w:rsid w:val="00223D5A"/>
    <w:rsid w:val="00224CCC"/>
    <w:rsid w:val="00224DD4"/>
    <w:rsid w:val="00225FD1"/>
    <w:rsid w:val="002274FC"/>
    <w:rsid w:val="002278A0"/>
    <w:rsid w:val="002309CC"/>
    <w:rsid w:val="00231BA9"/>
    <w:rsid w:val="0023209F"/>
    <w:rsid w:val="00232482"/>
    <w:rsid w:val="00232D1A"/>
    <w:rsid w:val="00233C01"/>
    <w:rsid w:val="0023413C"/>
    <w:rsid w:val="002346F0"/>
    <w:rsid w:val="0023629D"/>
    <w:rsid w:val="002362B6"/>
    <w:rsid w:val="0023724D"/>
    <w:rsid w:val="00237255"/>
    <w:rsid w:val="00240E28"/>
    <w:rsid w:val="002424AF"/>
    <w:rsid w:val="002439DC"/>
    <w:rsid w:val="002441D2"/>
    <w:rsid w:val="00244246"/>
    <w:rsid w:val="00244CA2"/>
    <w:rsid w:val="00244DC8"/>
    <w:rsid w:val="002458BA"/>
    <w:rsid w:val="00245CE9"/>
    <w:rsid w:val="0024636C"/>
    <w:rsid w:val="00247105"/>
    <w:rsid w:val="00247925"/>
    <w:rsid w:val="00251006"/>
    <w:rsid w:val="002517AC"/>
    <w:rsid w:val="002524D5"/>
    <w:rsid w:val="00253B1D"/>
    <w:rsid w:val="00254DCF"/>
    <w:rsid w:val="0025534B"/>
    <w:rsid w:val="00255BB7"/>
    <w:rsid w:val="00257541"/>
    <w:rsid w:val="00257A39"/>
    <w:rsid w:val="00257AC4"/>
    <w:rsid w:val="00257BBE"/>
    <w:rsid w:val="00261330"/>
    <w:rsid w:val="00261EEF"/>
    <w:rsid w:val="00261F22"/>
    <w:rsid w:val="00262A1A"/>
    <w:rsid w:val="00262A87"/>
    <w:rsid w:val="002635EB"/>
    <w:rsid w:val="00264D26"/>
    <w:rsid w:val="00267642"/>
    <w:rsid w:val="00267AEA"/>
    <w:rsid w:val="002700E6"/>
    <w:rsid w:val="00271271"/>
    <w:rsid w:val="0027294B"/>
    <w:rsid w:val="00272E62"/>
    <w:rsid w:val="00273EB4"/>
    <w:rsid w:val="00274682"/>
    <w:rsid w:val="00275158"/>
    <w:rsid w:val="00275C5A"/>
    <w:rsid w:val="00275EEA"/>
    <w:rsid w:val="00275FAC"/>
    <w:rsid w:val="00276980"/>
    <w:rsid w:val="0028024F"/>
    <w:rsid w:val="002805DD"/>
    <w:rsid w:val="0028081E"/>
    <w:rsid w:val="00281014"/>
    <w:rsid w:val="0028275B"/>
    <w:rsid w:val="0028540B"/>
    <w:rsid w:val="00285BCE"/>
    <w:rsid w:val="0028665D"/>
    <w:rsid w:val="00287497"/>
    <w:rsid w:val="0029213C"/>
    <w:rsid w:val="00294161"/>
    <w:rsid w:val="002A0BD9"/>
    <w:rsid w:val="002A14AB"/>
    <w:rsid w:val="002A2ADE"/>
    <w:rsid w:val="002A2F50"/>
    <w:rsid w:val="002A4D98"/>
    <w:rsid w:val="002A584C"/>
    <w:rsid w:val="002A5CC4"/>
    <w:rsid w:val="002A61C4"/>
    <w:rsid w:val="002A7847"/>
    <w:rsid w:val="002A7943"/>
    <w:rsid w:val="002A7B3B"/>
    <w:rsid w:val="002A7F7B"/>
    <w:rsid w:val="002B05A1"/>
    <w:rsid w:val="002B09A4"/>
    <w:rsid w:val="002B1C1F"/>
    <w:rsid w:val="002B3623"/>
    <w:rsid w:val="002B3C96"/>
    <w:rsid w:val="002B432F"/>
    <w:rsid w:val="002B4C3B"/>
    <w:rsid w:val="002B50C6"/>
    <w:rsid w:val="002B62B3"/>
    <w:rsid w:val="002B6754"/>
    <w:rsid w:val="002B6CCE"/>
    <w:rsid w:val="002C22B4"/>
    <w:rsid w:val="002C2510"/>
    <w:rsid w:val="002C2775"/>
    <w:rsid w:val="002C27C1"/>
    <w:rsid w:val="002C36E3"/>
    <w:rsid w:val="002C5099"/>
    <w:rsid w:val="002C5889"/>
    <w:rsid w:val="002C5E2C"/>
    <w:rsid w:val="002C6423"/>
    <w:rsid w:val="002C71CE"/>
    <w:rsid w:val="002D08F8"/>
    <w:rsid w:val="002D30AF"/>
    <w:rsid w:val="002D4912"/>
    <w:rsid w:val="002D4C65"/>
    <w:rsid w:val="002D577C"/>
    <w:rsid w:val="002D5B63"/>
    <w:rsid w:val="002D6B4B"/>
    <w:rsid w:val="002D7832"/>
    <w:rsid w:val="002E02D3"/>
    <w:rsid w:val="002E0D94"/>
    <w:rsid w:val="002E1071"/>
    <w:rsid w:val="002E15B9"/>
    <w:rsid w:val="002E1C89"/>
    <w:rsid w:val="002E2158"/>
    <w:rsid w:val="002E3214"/>
    <w:rsid w:val="002E38F1"/>
    <w:rsid w:val="002E4F02"/>
    <w:rsid w:val="002E640A"/>
    <w:rsid w:val="002E7722"/>
    <w:rsid w:val="002F07BA"/>
    <w:rsid w:val="002F0DA9"/>
    <w:rsid w:val="002F1014"/>
    <w:rsid w:val="002F1E3B"/>
    <w:rsid w:val="002F22E0"/>
    <w:rsid w:val="002F4648"/>
    <w:rsid w:val="002F643C"/>
    <w:rsid w:val="002F683E"/>
    <w:rsid w:val="002F71C0"/>
    <w:rsid w:val="002F74F1"/>
    <w:rsid w:val="00301017"/>
    <w:rsid w:val="0030155F"/>
    <w:rsid w:val="00301809"/>
    <w:rsid w:val="003026CF"/>
    <w:rsid w:val="00304D88"/>
    <w:rsid w:val="003052D4"/>
    <w:rsid w:val="0030587B"/>
    <w:rsid w:val="003058E5"/>
    <w:rsid w:val="003062DA"/>
    <w:rsid w:val="00306D98"/>
    <w:rsid w:val="0030781C"/>
    <w:rsid w:val="0030786C"/>
    <w:rsid w:val="0031031A"/>
    <w:rsid w:val="0031061D"/>
    <w:rsid w:val="003107C3"/>
    <w:rsid w:val="00310981"/>
    <w:rsid w:val="00311D9B"/>
    <w:rsid w:val="003124D9"/>
    <w:rsid w:val="00312594"/>
    <w:rsid w:val="003133C7"/>
    <w:rsid w:val="00313469"/>
    <w:rsid w:val="00313A8E"/>
    <w:rsid w:val="00314216"/>
    <w:rsid w:val="00315498"/>
    <w:rsid w:val="00316474"/>
    <w:rsid w:val="00320935"/>
    <w:rsid w:val="00322107"/>
    <w:rsid w:val="00322355"/>
    <w:rsid w:val="00322846"/>
    <w:rsid w:val="00323AAD"/>
    <w:rsid w:val="00324DC4"/>
    <w:rsid w:val="0032574B"/>
    <w:rsid w:val="00326DA7"/>
    <w:rsid w:val="003270E4"/>
    <w:rsid w:val="00330623"/>
    <w:rsid w:val="00330DAA"/>
    <w:rsid w:val="00330F5C"/>
    <w:rsid w:val="00331B03"/>
    <w:rsid w:val="0033312B"/>
    <w:rsid w:val="00333BC2"/>
    <w:rsid w:val="003366C9"/>
    <w:rsid w:val="0033699A"/>
    <w:rsid w:val="003371B0"/>
    <w:rsid w:val="00340DF1"/>
    <w:rsid w:val="003436F4"/>
    <w:rsid w:val="003444FE"/>
    <w:rsid w:val="00344726"/>
    <w:rsid w:val="003517F9"/>
    <w:rsid w:val="00351889"/>
    <w:rsid w:val="00351A2B"/>
    <w:rsid w:val="00351BA9"/>
    <w:rsid w:val="00354CFB"/>
    <w:rsid w:val="00354F64"/>
    <w:rsid w:val="003550E2"/>
    <w:rsid w:val="0035620E"/>
    <w:rsid w:val="00356BEC"/>
    <w:rsid w:val="003572A1"/>
    <w:rsid w:val="003575BE"/>
    <w:rsid w:val="0035795A"/>
    <w:rsid w:val="00360345"/>
    <w:rsid w:val="0036034E"/>
    <w:rsid w:val="00361A05"/>
    <w:rsid w:val="00362021"/>
    <w:rsid w:val="003624C4"/>
    <w:rsid w:val="00363B00"/>
    <w:rsid w:val="003646E5"/>
    <w:rsid w:val="003654AC"/>
    <w:rsid w:val="00365A75"/>
    <w:rsid w:val="003710CF"/>
    <w:rsid w:val="003721E9"/>
    <w:rsid w:val="0037358A"/>
    <w:rsid w:val="00374863"/>
    <w:rsid w:val="003750F6"/>
    <w:rsid w:val="003760FC"/>
    <w:rsid w:val="00377140"/>
    <w:rsid w:val="0038365C"/>
    <w:rsid w:val="0038369B"/>
    <w:rsid w:val="00383B78"/>
    <w:rsid w:val="00383C15"/>
    <w:rsid w:val="0038487C"/>
    <w:rsid w:val="003848E2"/>
    <w:rsid w:val="00384B9E"/>
    <w:rsid w:val="00385A9D"/>
    <w:rsid w:val="00386C54"/>
    <w:rsid w:val="00387121"/>
    <w:rsid w:val="003902B1"/>
    <w:rsid w:val="00390959"/>
    <w:rsid w:val="0039179C"/>
    <w:rsid w:val="003918E3"/>
    <w:rsid w:val="00392EE5"/>
    <w:rsid w:val="0039452A"/>
    <w:rsid w:val="00394D89"/>
    <w:rsid w:val="00395858"/>
    <w:rsid w:val="00396896"/>
    <w:rsid w:val="00396FD0"/>
    <w:rsid w:val="003A119F"/>
    <w:rsid w:val="003A1A7A"/>
    <w:rsid w:val="003A2392"/>
    <w:rsid w:val="003A2831"/>
    <w:rsid w:val="003A3CB6"/>
    <w:rsid w:val="003A3ED1"/>
    <w:rsid w:val="003A44DB"/>
    <w:rsid w:val="003A4C14"/>
    <w:rsid w:val="003A52CE"/>
    <w:rsid w:val="003B097E"/>
    <w:rsid w:val="003B2148"/>
    <w:rsid w:val="003B3971"/>
    <w:rsid w:val="003B3AA3"/>
    <w:rsid w:val="003B460D"/>
    <w:rsid w:val="003B55D1"/>
    <w:rsid w:val="003B5B61"/>
    <w:rsid w:val="003C11B3"/>
    <w:rsid w:val="003C1654"/>
    <w:rsid w:val="003C2725"/>
    <w:rsid w:val="003C3A30"/>
    <w:rsid w:val="003C5542"/>
    <w:rsid w:val="003C795F"/>
    <w:rsid w:val="003C799A"/>
    <w:rsid w:val="003C7C15"/>
    <w:rsid w:val="003C7D19"/>
    <w:rsid w:val="003C7D2F"/>
    <w:rsid w:val="003D01D6"/>
    <w:rsid w:val="003D0C2E"/>
    <w:rsid w:val="003D0C5A"/>
    <w:rsid w:val="003D0E3E"/>
    <w:rsid w:val="003D1828"/>
    <w:rsid w:val="003D1A1D"/>
    <w:rsid w:val="003D1DE4"/>
    <w:rsid w:val="003D1E9A"/>
    <w:rsid w:val="003D2422"/>
    <w:rsid w:val="003D337D"/>
    <w:rsid w:val="003D39A1"/>
    <w:rsid w:val="003D3FBF"/>
    <w:rsid w:val="003D4A30"/>
    <w:rsid w:val="003D618C"/>
    <w:rsid w:val="003D62F1"/>
    <w:rsid w:val="003D65C0"/>
    <w:rsid w:val="003D7452"/>
    <w:rsid w:val="003D79BB"/>
    <w:rsid w:val="003D7C98"/>
    <w:rsid w:val="003D7D9D"/>
    <w:rsid w:val="003E0543"/>
    <w:rsid w:val="003E0FF9"/>
    <w:rsid w:val="003E1966"/>
    <w:rsid w:val="003E394B"/>
    <w:rsid w:val="003E51D0"/>
    <w:rsid w:val="003E5603"/>
    <w:rsid w:val="003E5969"/>
    <w:rsid w:val="003E749E"/>
    <w:rsid w:val="003E7E67"/>
    <w:rsid w:val="003F000B"/>
    <w:rsid w:val="003F038F"/>
    <w:rsid w:val="003F0887"/>
    <w:rsid w:val="003F1CFC"/>
    <w:rsid w:val="003F1DD6"/>
    <w:rsid w:val="003F3703"/>
    <w:rsid w:val="003F3C1E"/>
    <w:rsid w:val="003F4156"/>
    <w:rsid w:val="003F5864"/>
    <w:rsid w:val="003F5ADF"/>
    <w:rsid w:val="003F7ADD"/>
    <w:rsid w:val="00400B29"/>
    <w:rsid w:val="00402812"/>
    <w:rsid w:val="00404164"/>
    <w:rsid w:val="00404CAD"/>
    <w:rsid w:val="0040504B"/>
    <w:rsid w:val="004059F4"/>
    <w:rsid w:val="00407342"/>
    <w:rsid w:val="00407FE5"/>
    <w:rsid w:val="004101B0"/>
    <w:rsid w:val="00410326"/>
    <w:rsid w:val="00410708"/>
    <w:rsid w:val="00410EC7"/>
    <w:rsid w:val="00410F5A"/>
    <w:rsid w:val="004116DC"/>
    <w:rsid w:val="00411B39"/>
    <w:rsid w:val="004127A7"/>
    <w:rsid w:val="00413A1E"/>
    <w:rsid w:val="00413F28"/>
    <w:rsid w:val="00413F5C"/>
    <w:rsid w:val="00414476"/>
    <w:rsid w:val="00414C2E"/>
    <w:rsid w:val="00414E34"/>
    <w:rsid w:val="004151CF"/>
    <w:rsid w:val="00416364"/>
    <w:rsid w:val="00416F1C"/>
    <w:rsid w:val="00417893"/>
    <w:rsid w:val="0042047F"/>
    <w:rsid w:val="00420AA6"/>
    <w:rsid w:val="00420B9F"/>
    <w:rsid w:val="0042192C"/>
    <w:rsid w:val="00422236"/>
    <w:rsid w:val="00422260"/>
    <w:rsid w:val="00423101"/>
    <w:rsid w:val="004237F4"/>
    <w:rsid w:val="0042413F"/>
    <w:rsid w:val="004244D2"/>
    <w:rsid w:val="004272EB"/>
    <w:rsid w:val="004277FC"/>
    <w:rsid w:val="004319F8"/>
    <w:rsid w:val="00431E55"/>
    <w:rsid w:val="004321F6"/>
    <w:rsid w:val="00432D0A"/>
    <w:rsid w:val="00433044"/>
    <w:rsid w:val="00434088"/>
    <w:rsid w:val="0043458C"/>
    <w:rsid w:val="00436484"/>
    <w:rsid w:val="0043655F"/>
    <w:rsid w:val="004375B9"/>
    <w:rsid w:val="00437869"/>
    <w:rsid w:val="00437886"/>
    <w:rsid w:val="00437E6C"/>
    <w:rsid w:val="0044064A"/>
    <w:rsid w:val="004428D0"/>
    <w:rsid w:val="00444185"/>
    <w:rsid w:val="004443A7"/>
    <w:rsid w:val="0044442C"/>
    <w:rsid w:val="00445941"/>
    <w:rsid w:val="004464EB"/>
    <w:rsid w:val="00447D26"/>
    <w:rsid w:val="00447DFC"/>
    <w:rsid w:val="004522A4"/>
    <w:rsid w:val="00452708"/>
    <w:rsid w:val="0045286B"/>
    <w:rsid w:val="00454D41"/>
    <w:rsid w:val="00454E54"/>
    <w:rsid w:val="00455D45"/>
    <w:rsid w:val="00456597"/>
    <w:rsid w:val="00456852"/>
    <w:rsid w:val="00461EFA"/>
    <w:rsid w:val="00462708"/>
    <w:rsid w:val="00462969"/>
    <w:rsid w:val="00464595"/>
    <w:rsid w:val="004658B5"/>
    <w:rsid w:val="00466A9D"/>
    <w:rsid w:val="004674E8"/>
    <w:rsid w:val="00470A79"/>
    <w:rsid w:val="00471EA5"/>
    <w:rsid w:val="00472A79"/>
    <w:rsid w:val="004738E0"/>
    <w:rsid w:val="00473B10"/>
    <w:rsid w:val="00473F19"/>
    <w:rsid w:val="0047508B"/>
    <w:rsid w:val="00475E22"/>
    <w:rsid w:val="0047626F"/>
    <w:rsid w:val="004765B7"/>
    <w:rsid w:val="004765E8"/>
    <w:rsid w:val="0048057E"/>
    <w:rsid w:val="0048088E"/>
    <w:rsid w:val="00480F2B"/>
    <w:rsid w:val="0048201F"/>
    <w:rsid w:val="00482720"/>
    <w:rsid w:val="00482951"/>
    <w:rsid w:val="004835E7"/>
    <w:rsid w:val="00483B56"/>
    <w:rsid w:val="004850F9"/>
    <w:rsid w:val="004859E1"/>
    <w:rsid w:val="004861BD"/>
    <w:rsid w:val="004867E2"/>
    <w:rsid w:val="00487A6C"/>
    <w:rsid w:val="00487CEB"/>
    <w:rsid w:val="00490B17"/>
    <w:rsid w:val="00491B3A"/>
    <w:rsid w:val="0049287C"/>
    <w:rsid w:val="00492A38"/>
    <w:rsid w:val="00492CFD"/>
    <w:rsid w:val="00494207"/>
    <w:rsid w:val="00494DD5"/>
    <w:rsid w:val="00495D93"/>
    <w:rsid w:val="004962D2"/>
    <w:rsid w:val="004A0DA1"/>
    <w:rsid w:val="004A13D6"/>
    <w:rsid w:val="004A270D"/>
    <w:rsid w:val="004A361F"/>
    <w:rsid w:val="004A4226"/>
    <w:rsid w:val="004A47F0"/>
    <w:rsid w:val="004A49BC"/>
    <w:rsid w:val="004A5278"/>
    <w:rsid w:val="004A52E9"/>
    <w:rsid w:val="004A5312"/>
    <w:rsid w:val="004A6040"/>
    <w:rsid w:val="004A6087"/>
    <w:rsid w:val="004A6597"/>
    <w:rsid w:val="004A70ED"/>
    <w:rsid w:val="004A7848"/>
    <w:rsid w:val="004A793B"/>
    <w:rsid w:val="004B02F9"/>
    <w:rsid w:val="004B1CB4"/>
    <w:rsid w:val="004B25C8"/>
    <w:rsid w:val="004B2733"/>
    <w:rsid w:val="004B2F18"/>
    <w:rsid w:val="004B3DDB"/>
    <w:rsid w:val="004B44FD"/>
    <w:rsid w:val="004B4613"/>
    <w:rsid w:val="004B53A1"/>
    <w:rsid w:val="004B5CFC"/>
    <w:rsid w:val="004B6F79"/>
    <w:rsid w:val="004B774D"/>
    <w:rsid w:val="004C02C9"/>
    <w:rsid w:val="004C1BB3"/>
    <w:rsid w:val="004C2AC2"/>
    <w:rsid w:val="004C33D1"/>
    <w:rsid w:val="004C3B5F"/>
    <w:rsid w:val="004C4488"/>
    <w:rsid w:val="004C4AED"/>
    <w:rsid w:val="004C7310"/>
    <w:rsid w:val="004D062A"/>
    <w:rsid w:val="004D0A5A"/>
    <w:rsid w:val="004D0AE4"/>
    <w:rsid w:val="004D2C2D"/>
    <w:rsid w:val="004D4C8E"/>
    <w:rsid w:val="004D4DB1"/>
    <w:rsid w:val="004D658B"/>
    <w:rsid w:val="004D666F"/>
    <w:rsid w:val="004D675F"/>
    <w:rsid w:val="004D69B5"/>
    <w:rsid w:val="004D7227"/>
    <w:rsid w:val="004D7B5E"/>
    <w:rsid w:val="004D7BD1"/>
    <w:rsid w:val="004D7BF5"/>
    <w:rsid w:val="004E091C"/>
    <w:rsid w:val="004E0E7F"/>
    <w:rsid w:val="004E0EB8"/>
    <w:rsid w:val="004E18E9"/>
    <w:rsid w:val="004E1EC4"/>
    <w:rsid w:val="004E2ADC"/>
    <w:rsid w:val="004E31B9"/>
    <w:rsid w:val="004E43B2"/>
    <w:rsid w:val="004E63AA"/>
    <w:rsid w:val="004E66E9"/>
    <w:rsid w:val="004E712E"/>
    <w:rsid w:val="004F1D02"/>
    <w:rsid w:val="004F1EB9"/>
    <w:rsid w:val="004F2679"/>
    <w:rsid w:val="004F2F21"/>
    <w:rsid w:val="004F3DE5"/>
    <w:rsid w:val="004F428A"/>
    <w:rsid w:val="004F42B0"/>
    <w:rsid w:val="004F6913"/>
    <w:rsid w:val="004F6A4F"/>
    <w:rsid w:val="004F77B6"/>
    <w:rsid w:val="004F7865"/>
    <w:rsid w:val="0050174E"/>
    <w:rsid w:val="00501854"/>
    <w:rsid w:val="00501C94"/>
    <w:rsid w:val="00501D0D"/>
    <w:rsid w:val="0050219B"/>
    <w:rsid w:val="00503269"/>
    <w:rsid w:val="005036BB"/>
    <w:rsid w:val="00503B3C"/>
    <w:rsid w:val="00503F17"/>
    <w:rsid w:val="00503F3A"/>
    <w:rsid w:val="005067F2"/>
    <w:rsid w:val="00506928"/>
    <w:rsid w:val="005077EF"/>
    <w:rsid w:val="00510C04"/>
    <w:rsid w:val="00511AD5"/>
    <w:rsid w:val="00511DC7"/>
    <w:rsid w:val="005134C5"/>
    <w:rsid w:val="005142C5"/>
    <w:rsid w:val="005142FD"/>
    <w:rsid w:val="0051501B"/>
    <w:rsid w:val="005152B5"/>
    <w:rsid w:val="005156BF"/>
    <w:rsid w:val="00515886"/>
    <w:rsid w:val="005167E5"/>
    <w:rsid w:val="00516924"/>
    <w:rsid w:val="0052051A"/>
    <w:rsid w:val="0052123C"/>
    <w:rsid w:val="00521319"/>
    <w:rsid w:val="0052262C"/>
    <w:rsid w:val="00522BC8"/>
    <w:rsid w:val="00523C28"/>
    <w:rsid w:val="00523D16"/>
    <w:rsid w:val="0052485B"/>
    <w:rsid w:val="00526CEA"/>
    <w:rsid w:val="0053176B"/>
    <w:rsid w:val="005320CE"/>
    <w:rsid w:val="005325C6"/>
    <w:rsid w:val="00532D60"/>
    <w:rsid w:val="005341B3"/>
    <w:rsid w:val="00534265"/>
    <w:rsid w:val="00534824"/>
    <w:rsid w:val="00536F42"/>
    <w:rsid w:val="00537182"/>
    <w:rsid w:val="005371EB"/>
    <w:rsid w:val="0053782F"/>
    <w:rsid w:val="00541EDD"/>
    <w:rsid w:val="005422CC"/>
    <w:rsid w:val="0054254E"/>
    <w:rsid w:val="00542743"/>
    <w:rsid w:val="00542B91"/>
    <w:rsid w:val="00542C2D"/>
    <w:rsid w:val="00542D9C"/>
    <w:rsid w:val="00543CF1"/>
    <w:rsid w:val="00544FFF"/>
    <w:rsid w:val="00546E89"/>
    <w:rsid w:val="005478BD"/>
    <w:rsid w:val="005479E3"/>
    <w:rsid w:val="00551985"/>
    <w:rsid w:val="005521A2"/>
    <w:rsid w:val="005527AE"/>
    <w:rsid w:val="00552BD3"/>
    <w:rsid w:val="005532A0"/>
    <w:rsid w:val="00555109"/>
    <w:rsid w:val="00556B35"/>
    <w:rsid w:val="0055741A"/>
    <w:rsid w:val="005602B9"/>
    <w:rsid w:val="0056068F"/>
    <w:rsid w:val="005607ED"/>
    <w:rsid w:val="005611B7"/>
    <w:rsid w:val="005618D4"/>
    <w:rsid w:val="00562FE3"/>
    <w:rsid w:val="00563625"/>
    <w:rsid w:val="00563E9B"/>
    <w:rsid w:val="00564867"/>
    <w:rsid w:val="00564C6E"/>
    <w:rsid w:val="00565C79"/>
    <w:rsid w:val="00565DF0"/>
    <w:rsid w:val="005662F0"/>
    <w:rsid w:val="0056696F"/>
    <w:rsid w:val="00567E9E"/>
    <w:rsid w:val="0057072E"/>
    <w:rsid w:val="00572269"/>
    <w:rsid w:val="0057244A"/>
    <w:rsid w:val="00572F26"/>
    <w:rsid w:val="00573531"/>
    <w:rsid w:val="005747DF"/>
    <w:rsid w:val="005750C5"/>
    <w:rsid w:val="005752DE"/>
    <w:rsid w:val="00575D60"/>
    <w:rsid w:val="00575D8D"/>
    <w:rsid w:val="005764F2"/>
    <w:rsid w:val="00576972"/>
    <w:rsid w:val="00577248"/>
    <w:rsid w:val="00583699"/>
    <w:rsid w:val="005843E5"/>
    <w:rsid w:val="00585CDD"/>
    <w:rsid w:val="005860EF"/>
    <w:rsid w:val="00586C7B"/>
    <w:rsid w:val="00587058"/>
    <w:rsid w:val="005903EA"/>
    <w:rsid w:val="005912B6"/>
    <w:rsid w:val="00591957"/>
    <w:rsid w:val="00592245"/>
    <w:rsid w:val="00592D82"/>
    <w:rsid w:val="005935B9"/>
    <w:rsid w:val="005938C0"/>
    <w:rsid w:val="0059452B"/>
    <w:rsid w:val="005945E7"/>
    <w:rsid w:val="00594708"/>
    <w:rsid w:val="00594AFB"/>
    <w:rsid w:val="00594D03"/>
    <w:rsid w:val="005960A0"/>
    <w:rsid w:val="00597BF9"/>
    <w:rsid w:val="00597F98"/>
    <w:rsid w:val="005A0927"/>
    <w:rsid w:val="005A09CD"/>
    <w:rsid w:val="005A0C11"/>
    <w:rsid w:val="005A14C6"/>
    <w:rsid w:val="005A255E"/>
    <w:rsid w:val="005A309A"/>
    <w:rsid w:val="005A373D"/>
    <w:rsid w:val="005A4055"/>
    <w:rsid w:val="005A4777"/>
    <w:rsid w:val="005A4F40"/>
    <w:rsid w:val="005A710D"/>
    <w:rsid w:val="005B0B58"/>
    <w:rsid w:val="005B2A7D"/>
    <w:rsid w:val="005B4E53"/>
    <w:rsid w:val="005B5857"/>
    <w:rsid w:val="005B5F9F"/>
    <w:rsid w:val="005B60BD"/>
    <w:rsid w:val="005B6D7B"/>
    <w:rsid w:val="005B6D9E"/>
    <w:rsid w:val="005C0B7F"/>
    <w:rsid w:val="005C19C4"/>
    <w:rsid w:val="005C1B83"/>
    <w:rsid w:val="005C25FF"/>
    <w:rsid w:val="005C2D55"/>
    <w:rsid w:val="005C346B"/>
    <w:rsid w:val="005C3FF2"/>
    <w:rsid w:val="005C46EC"/>
    <w:rsid w:val="005C5800"/>
    <w:rsid w:val="005C5ABC"/>
    <w:rsid w:val="005D044D"/>
    <w:rsid w:val="005D0ABD"/>
    <w:rsid w:val="005D13A0"/>
    <w:rsid w:val="005D18AD"/>
    <w:rsid w:val="005D25B1"/>
    <w:rsid w:val="005D26B4"/>
    <w:rsid w:val="005D4A48"/>
    <w:rsid w:val="005E12BD"/>
    <w:rsid w:val="005E177E"/>
    <w:rsid w:val="005E1995"/>
    <w:rsid w:val="005E1B36"/>
    <w:rsid w:val="005E2177"/>
    <w:rsid w:val="005E43DE"/>
    <w:rsid w:val="005E6939"/>
    <w:rsid w:val="005E6C7E"/>
    <w:rsid w:val="005E6CBC"/>
    <w:rsid w:val="005E72FF"/>
    <w:rsid w:val="005E73C0"/>
    <w:rsid w:val="005E7AA1"/>
    <w:rsid w:val="005F07ED"/>
    <w:rsid w:val="005F16E7"/>
    <w:rsid w:val="005F1899"/>
    <w:rsid w:val="005F202C"/>
    <w:rsid w:val="005F2706"/>
    <w:rsid w:val="005F66D6"/>
    <w:rsid w:val="005F6A8F"/>
    <w:rsid w:val="005F6BB7"/>
    <w:rsid w:val="005F7588"/>
    <w:rsid w:val="0060088F"/>
    <w:rsid w:val="006012E6"/>
    <w:rsid w:val="00601CE3"/>
    <w:rsid w:val="00602116"/>
    <w:rsid w:val="00602ACA"/>
    <w:rsid w:val="00603DB9"/>
    <w:rsid w:val="00605028"/>
    <w:rsid w:val="006057B4"/>
    <w:rsid w:val="00605984"/>
    <w:rsid w:val="00605CA2"/>
    <w:rsid w:val="006066A0"/>
    <w:rsid w:val="00606FBA"/>
    <w:rsid w:val="00607669"/>
    <w:rsid w:val="006076F4"/>
    <w:rsid w:val="00607A27"/>
    <w:rsid w:val="00607AFD"/>
    <w:rsid w:val="00611B12"/>
    <w:rsid w:val="00612DBC"/>
    <w:rsid w:val="00612F97"/>
    <w:rsid w:val="0061345D"/>
    <w:rsid w:val="006143FB"/>
    <w:rsid w:val="0061549B"/>
    <w:rsid w:val="00615D46"/>
    <w:rsid w:val="00616802"/>
    <w:rsid w:val="00617E12"/>
    <w:rsid w:val="00620C25"/>
    <w:rsid w:val="00620D98"/>
    <w:rsid w:val="00621477"/>
    <w:rsid w:val="00621ADA"/>
    <w:rsid w:val="00621EA3"/>
    <w:rsid w:val="00623F7B"/>
    <w:rsid w:val="006241E1"/>
    <w:rsid w:val="006242F1"/>
    <w:rsid w:val="00624BD4"/>
    <w:rsid w:val="00625D09"/>
    <w:rsid w:val="00626398"/>
    <w:rsid w:val="006265BE"/>
    <w:rsid w:val="006269D6"/>
    <w:rsid w:val="0063158F"/>
    <w:rsid w:val="00631D6B"/>
    <w:rsid w:val="00632183"/>
    <w:rsid w:val="0063250A"/>
    <w:rsid w:val="00632D2D"/>
    <w:rsid w:val="006330A1"/>
    <w:rsid w:val="00633A07"/>
    <w:rsid w:val="0063479F"/>
    <w:rsid w:val="00634E79"/>
    <w:rsid w:val="00635254"/>
    <w:rsid w:val="006353F0"/>
    <w:rsid w:val="006357B5"/>
    <w:rsid w:val="006364A1"/>
    <w:rsid w:val="0063678E"/>
    <w:rsid w:val="00637931"/>
    <w:rsid w:val="00637BFD"/>
    <w:rsid w:val="00637C5C"/>
    <w:rsid w:val="00640A87"/>
    <w:rsid w:val="006413B6"/>
    <w:rsid w:val="00641C4E"/>
    <w:rsid w:val="00641FB3"/>
    <w:rsid w:val="006440E4"/>
    <w:rsid w:val="0064434C"/>
    <w:rsid w:val="006471CC"/>
    <w:rsid w:val="006472FE"/>
    <w:rsid w:val="00647A29"/>
    <w:rsid w:val="0065049B"/>
    <w:rsid w:val="0065073E"/>
    <w:rsid w:val="0065079F"/>
    <w:rsid w:val="006518AE"/>
    <w:rsid w:val="00652A28"/>
    <w:rsid w:val="0065379F"/>
    <w:rsid w:val="0065431F"/>
    <w:rsid w:val="00654AD6"/>
    <w:rsid w:val="00655131"/>
    <w:rsid w:val="00655276"/>
    <w:rsid w:val="00655636"/>
    <w:rsid w:val="0065617D"/>
    <w:rsid w:val="00656188"/>
    <w:rsid w:val="00656E6C"/>
    <w:rsid w:val="0065715A"/>
    <w:rsid w:val="006610F1"/>
    <w:rsid w:val="006615C7"/>
    <w:rsid w:val="00661C6B"/>
    <w:rsid w:val="00662A99"/>
    <w:rsid w:val="00662D3E"/>
    <w:rsid w:val="00665EA2"/>
    <w:rsid w:val="00666805"/>
    <w:rsid w:val="00666EB5"/>
    <w:rsid w:val="00667BE3"/>
    <w:rsid w:val="006701EC"/>
    <w:rsid w:val="00670860"/>
    <w:rsid w:val="00670F2D"/>
    <w:rsid w:val="00671004"/>
    <w:rsid w:val="00671E20"/>
    <w:rsid w:val="00672646"/>
    <w:rsid w:val="00673CA4"/>
    <w:rsid w:val="00673CFD"/>
    <w:rsid w:val="00674089"/>
    <w:rsid w:val="00674B42"/>
    <w:rsid w:val="00674E42"/>
    <w:rsid w:val="00676563"/>
    <w:rsid w:val="00676E69"/>
    <w:rsid w:val="006801AF"/>
    <w:rsid w:val="006813F8"/>
    <w:rsid w:val="00681CE5"/>
    <w:rsid w:val="00682112"/>
    <w:rsid w:val="00682886"/>
    <w:rsid w:val="00682BA6"/>
    <w:rsid w:val="00683B94"/>
    <w:rsid w:val="0068486B"/>
    <w:rsid w:val="0068486E"/>
    <w:rsid w:val="006866E6"/>
    <w:rsid w:val="00686957"/>
    <w:rsid w:val="00686D54"/>
    <w:rsid w:val="00687033"/>
    <w:rsid w:val="006872BA"/>
    <w:rsid w:val="00690795"/>
    <w:rsid w:val="00690F76"/>
    <w:rsid w:val="00691648"/>
    <w:rsid w:val="0069167B"/>
    <w:rsid w:val="006917D7"/>
    <w:rsid w:val="00691C2C"/>
    <w:rsid w:val="0069434C"/>
    <w:rsid w:val="00694F44"/>
    <w:rsid w:val="00696EF9"/>
    <w:rsid w:val="00696F51"/>
    <w:rsid w:val="006979A5"/>
    <w:rsid w:val="006A016F"/>
    <w:rsid w:val="006A0DF7"/>
    <w:rsid w:val="006A13D1"/>
    <w:rsid w:val="006A20CA"/>
    <w:rsid w:val="006A2DF3"/>
    <w:rsid w:val="006A2E6C"/>
    <w:rsid w:val="006A3F2D"/>
    <w:rsid w:val="006A4321"/>
    <w:rsid w:val="006A43D9"/>
    <w:rsid w:val="006A53E5"/>
    <w:rsid w:val="006A5C9E"/>
    <w:rsid w:val="006A6B99"/>
    <w:rsid w:val="006A796A"/>
    <w:rsid w:val="006A7E5F"/>
    <w:rsid w:val="006B0099"/>
    <w:rsid w:val="006B261B"/>
    <w:rsid w:val="006B2C90"/>
    <w:rsid w:val="006B3457"/>
    <w:rsid w:val="006B35E6"/>
    <w:rsid w:val="006B465A"/>
    <w:rsid w:val="006B67A2"/>
    <w:rsid w:val="006B6CA1"/>
    <w:rsid w:val="006B6DD0"/>
    <w:rsid w:val="006C0399"/>
    <w:rsid w:val="006C1704"/>
    <w:rsid w:val="006C1E9B"/>
    <w:rsid w:val="006C2A8E"/>
    <w:rsid w:val="006C3255"/>
    <w:rsid w:val="006C3D4B"/>
    <w:rsid w:val="006C3F26"/>
    <w:rsid w:val="006C7168"/>
    <w:rsid w:val="006D0D17"/>
    <w:rsid w:val="006D0FF6"/>
    <w:rsid w:val="006D1FBA"/>
    <w:rsid w:val="006D3C7D"/>
    <w:rsid w:val="006D3E51"/>
    <w:rsid w:val="006D4344"/>
    <w:rsid w:val="006D4659"/>
    <w:rsid w:val="006D506D"/>
    <w:rsid w:val="006D5D5F"/>
    <w:rsid w:val="006D68FB"/>
    <w:rsid w:val="006D6944"/>
    <w:rsid w:val="006D6CC4"/>
    <w:rsid w:val="006E0690"/>
    <w:rsid w:val="006E0756"/>
    <w:rsid w:val="006E17B7"/>
    <w:rsid w:val="006E2868"/>
    <w:rsid w:val="006E2ACA"/>
    <w:rsid w:val="006E32B2"/>
    <w:rsid w:val="006E3591"/>
    <w:rsid w:val="006E46EB"/>
    <w:rsid w:val="006E685A"/>
    <w:rsid w:val="006E7793"/>
    <w:rsid w:val="006F306C"/>
    <w:rsid w:val="006F5917"/>
    <w:rsid w:val="006F61CE"/>
    <w:rsid w:val="006F63A5"/>
    <w:rsid w:val="006F7157"/>
    <w:rsid w:val="006F741F"/>
    <w:rsid w:val="00700988"/>
    <w:rsid w:val="0070142B"/>
    <w:rsid w:val="0070276E"/>
    <w:rsid w:val="00702F8F"/>
    <w:rsid w:val="00704D5B"/>
    <w:rsid w:val="00705F7D"/>
    <w:rsid w:val="00706735"/>
    <w:rsid w:val="00707823"/>
    <w:rsid w:val="007079FC"/>
    <w:rsid w:val="0071008A"/>
    <w:rsid w:val="007101C5"/>
    <w:rsid w:val="00710BA1"/>
    <w:rsid w:val="00711A36"/>
    <w:rsid w:val="00712428"/>
    <w:rsid w:val="007125D3"/>
    <w:rsid w:val="0071275E"/>
    <w:rsid w:val="00712BDE"/>
    <w:rsid w:val="00714229"/>
    <w:rsid w:val="00714C26"/>
    <w:rsid w:val="0071529C"/>
    <w:rsid w:val="0071564B"/>
    <w:rsid w:val="007170DA"/>
    <w:rsid w:val="007172AD"/>
    <w:rsid w:val="00717546"/>
    <w:rsid w:val="00717A25"/>
    <w:rsid w:val="00720354"/>
    <w:rsid w:val="00720801"/>
    <w:rsid w:val="00720C25"/>
    <w:rsid w:val="0072240E"/>
    <w:rsid w:val="00722B1B"/>
    <w:rsid w:val="0072416F"/>
    <w:rsid w:val="00726194"/>
    <w:rsid w:val="00726BE4"/>
    <w:rsid w:val="00727C94"/>
    <w:rsid w:val="00730954"/>
    <w:rsid w:val="00731B0A"/>
    <w:rsid w:val="00731EAE"/>
    <w:rsid w:val="007324D0"/>
    <w:rsid w:val="00733073"/>
    <w:rsid w:val="00733690"/>
    <w:rsid w:val="00734306"/>
    <w:rsid w:val="0073456D"/>
    <w:rsid w:val="00734B1A"/>
    <w:rsid w:val="00735033"/>
    <w:rsid w:val="00735328"/>
    <w:rsid w:val="00736812"/>
    <w:rsid w:val="0073685B"/>
    <w:rsid w:val="00737386"/>
    <w:rsid w:val="0074005D"/>
    <w:rsid w:val="00740062"/>
    <w:rsid w:val="00741D51"/>
    <w:rsid w:val="007449BF"/>
    <w:rsid w:val="00745071"/>
    <w:rsid w:val="007458A0"/>
    <w:rsid w:val="00745FAD"/>
    <w:rsid w:val="007463FE"/>
    <w:rsid w:val="00746BC0"/>
    <w:rsid w:val="007470AF"/>
    <w:rsid w:val="0075070F"/>
    <w:rsid w:val="00750D66"/>
    <w:rsid w:val="007510B4"/>
    <w:rsid w:val="00751B24"/>
    <w:rsid w:val="00752142"/>
    <w:rsid w:val="007523F9"/>
    <w:rsid w:val="0075357E"/>
    <w:rsid w:val="0075383B"/>
    <w:rsid w:val="00753B29"/>
    <w:rsid w:val="007573E8"/>
    <w:rsid w:val="00760C4E"/>
    <w:rsid w:val="00760F9E"/>
    <w:rsid w:val="007616E6"/>
    <w:rsid w:val="00762556"/>
    <w:rsid w:val="0076264D"/>
    <w:rsid w:val="007627BE"/>
    <w:rsid w:val="00764F03"/>
    <w:rsid w:val="00765AFF"/>
    <w:rsid w:val="00765B1A"/>
    <w:rsid w:val="00765DC1"/>
    <w:rsid w:val="007702C1"/>
    <w:rsid w:val="00770B78"/>
    <w:rsid w:val="007713E1"/>
    <w:rsid w:val="0077521F"/>
    <w:rsid w:val="00776BDB"/>
    <w:rsid w:val="00776F4A"/>
    <w:rsid w:val="00777335"/>
    <w:rsid w:val="007830E2"/>
    <w:rsid w:val="007843F2"/>
    <w:rsid w:val="007846FA"/>
    <w:rsid w:val="007849ED"/>
    <w:rsid w:val="00785A9F"/>
    <w:rsid w:val="00785F68"/>
    <w:rsid w:val="007875FD"/>
    <w:rsid w:val="00787AEA"/>
    <w:rsid w:val="0079060C"/>
    <w:rsid w:val="00790674"/>
    <w:rsid w:val="007913DD"/>
    <w:rsid w:val="00791F44"/>
    <w:rsid w:val="007925DF"/>
    <w:rsid w:val="00795233"/>
    <w:rsid w:val="007976FE"/>
    <w:rsid w:val="00797CF7"/>
    <w:rsid w:val="007A08AA"/>
    <w:rsid w:val="007A0A12"/>
    <w:rsid w:val="007A132D"/>
    <w:rsid w:val="007A1345"/>
    <w:rsid w:val="007A20AF"/>
    <w:rsid w:val="007A215E"/>
    <w:rsid w:val="007A2DDB"/>
    <w:rsid w:val="007A4A2F"/>
    <w:rsid w:val="007A4AFE"/>
    <w:rsid w:val="007A4CA9"/>
    <w:rsid w:val="007A5AFE"/>
    <w:rsid w:val="007A70BA"/>
    <w:rsid w:val="007A757D"/>
    <w:rsid w:val="007A7C5D"/>
    <w:rsid w:val="007B042A"/>
    <w:rsid w:val="007B0D68"/>
    <w:rsid w:val="007B1A3D"/>
    <w:rsid w:val="007B251D"/>
    <w:rsid w:val="007B3533"/>
    <w:rsid w:val="007B3945"/>
    <w:rsid w:val="007B3DFD"/>
    <w:rsid w:val="007B4F58"/>
    <w:rsid w:val="007B5209"/>
    <w:rsid w:val="007B528D"/>
    <w:rsid w:val="007B60E3"/>
    <w:rsid w:val="007B63CA"/>
    <w:rsid w:val="007B77D1"/>
    <w:rsid w:val="007C07C7"/>
    <w:rsid w:val="007C10D8"/>
    <w:rsid w:val="007C1317"/>
    <w:rsid w:val="007C13A0"/>
    <w:rsid w:val="007C17F1"/>
    <w:rsid w:val="007C1CD9"/>
    <w:rsid w:val="007C2FDC"/>
    <w:rsid w:val="007C32EF"/>
    <w:rsid w:val="007C361D"/>
    <w:rsid w:val="007C39F5"/>
    <w:rsid w:val="007C492B"/>
    <w:rsid w:val="007C4B84"/>
    <w:rsid w:val="007C6FAC"/>
    <w:rsid w:val="007C70FF"/>
    <w:rsid w:val="007C7C25"/>
    <w:rsid w:val="007D004F"/>
    <w:rsid w:val="007D035F"/>
    <w:rsid w:val="007D06B2"/>
    <w:rsid w:val="007D0B38"/>
    <w:rsid w:val="007D1B34"/>
    <w:rsid w:val="007D2AF2"/>
    <w:rsid w:val="007D4526"/>
    <w:rsid w:val="007D5440"/>
    <w:rsid w:val="007D61F2"/>
    <w:rsid w:val="007D69EB"/>
    <w:rsid w:val="007D6A05"/>
    <w:rsid w:val="007D6CCD"/>
    <w:rsid w:val="007D7FAE"/>
    <w:rsid w:val="007E128F"/>
    <w:rsid w:val="007E1EC7"/>
    <w:rsid w:val="007E65FA"/>
    <w:rsid w:val="007E6FF6"/>
    <w:rsid w:val="007E7236"/>
    <w:rsid w:val="007E7AC8"/>
    <w:rsid w:val="007E7C04"/>
    <w:rsid w:val="007F1017"/>
    <w:rsid w:val="007F4A3F"/>
    <w:rsid w:val="007F4A61"/>
    <w:rsid w:val="007F4BB8"/>
    <w:rsid w:val="007F5255"/>
    <w:rsid w:val="007F56CC"/>
    <w:rsid w:val="007F61C2"/>
    <w:rsid w:val="00800B41"/>
    <w:rsid w:val="00801567"/>
    <w:rsid w:val="00802A56"/>
    <w:rsid w:val="00805142"/>
    <w:rsid w:val="0080567E"/>
    <w:rsid w:val="0080596E"/>
    <w:rsid w:val="00805FCE"/>
    <w:rsid w:val="00807A8B"/>
    <w:rsid w:val="00811383"/>
    <w:rsid w:val="00812149"/>
    <w:rsid w:val="00812CAC"/>
    <w:rsid w:val="00816361"/>
    <w:rsid w:val="00816534"/>
    <w:rsid w:val="008166EF"/>
    <w:rsid w:val="00816C28"/>
    <w:rsid w:val="00816FEF"/>
    <w:rsid w:val="00820A8C"/>
    <w:rsid w:val="008215FB"/>
    <w:rsid w:val="008220CC"/>
    <w:rsid w:val="00823174"/>
    <w:rsid w:val="00824DFF"/>
    <w:rsid w:val="00824F75"/>
    <w:rsid w:val="00825751"/>
    <w:rsid w:val="00825836"/>
    <w:rsid w:val="008264EB"/>
    <w:rsid w:val="008268CE"/>
    <w:rsid w:val="00827C23"/>
    <w:rsid w:val="0083347E"/>
    <w:rsid w:val="00833B05"/>
    <w:rsid w:val="00833E8E"/>
    <w:rsid w:val="00834C22"/>
    <w:rsid w:val="008362B4"/>
    <w:rsid w:val="0083698D"/>
    <w:rsid w:val="00837537"/>
    <w:rsid w:val="00840A48"/>
    <w:rsid w:val="00840CA2"/>
    <w:rsid w:val="008417B7"/>
    <w:rsid w:val="00841BAF"/>
    <w:rsid w:val="0084374F"/>
    <w:rsid w:val="008439F7"/>
    <w:rsid w:val="00844A22"/>
    <w:rsid w:val="00844DE1"/>
    <w:rsid w:val="008457ED"/>
    <w:rsid w:val="00846AF3"/>
    <w:rsid w:val="00847703"/>
    <w:rsid w:val="00847D64"/>
    <w:rsid w:val="00847DF5"/>
    <w:rsid w:val="00852F37"/>
    <w:rsid w:val="00852F91"/>
    <w:rsid w:val="0085309D"/>
    <w:rsid w:val="00853C81"/>
    <w:rsid w:val="00854913"/>
    <w:rsid w:val="00854C7E"/>
    <w:rsid w:val="00856897"/>
    <w:rsid w:val="00856E9A"/>
    <w:rsid w:val="00857749"/>
    <w:rsid w:val="0086075D"/>
    <w:rsid w:val="00862502"/>
    <w:rsid w:val="00862CC1"/>
    <w:rsid w:val="00863259"/>
    <w:rsid w:val="00863C1A"/>
    <w:rsid w:val="008642A7"/>
    <w:rsid w:val="00865671"/>
    <w:rsid w:val="00865E91"/>
    <w:rsid w:val="008660D4"/>
    <w:rsid w:val="00866D1E"/>
    <w:rsid w:val="008673E9"/>
    <w:rsid w:val="00867819"/>
    <w:rsid w:val="008717EE"/>
    <w:rsid w:val="00871FA9"/>
    <w:rsid w:val="008728E9"/>
    <w:rsid w:val="00877086"/>
    <w:rsid w:val="00877901"/>
    <w:rsid w:val="0088099A"/>
    <w:rsid w:val="00880E68"/>
    <w:rsid w:val="00881532"/>
    <w:rsid w:val="00881B79"/>
    <w:rsid w:val="00882334"/>
    <w:rsid w:val="00882874"/>
    <w:rsid w:val="00882E3C"/>
    <w:rsid w:val="0088308A"/>
    <w:rsid w:val="00883787"/>
    <w:rsid w:val="00883948"/>
    <w:rsid w:val="008855E4"/>
    <w:rsid w:val="0088674A"/>
    <w:rsid w:val="00886AC1"/>
    <w:rsid w:val="00886CD2"/>
    <w:rsid w:val="00887441"/>
    <w:rsid w:val="0089030D"/>
    <w:rsid w:val="00891E6F"/>
    <w:rsid w:val="0089275D"/>
    <w:rsid w:val="008928CB"/>
    <w:rsid w:val="00892A36"/>
    <w:rsid w:val="00893239"/>
    <w:rsid w:val="00894489"/>
    <w:rsid w:val="008945D5"/>
    <w:rsid w:val="00894CD6"/>
    <w:rsid w:val="008959F0"/>
    <w:rsid w:val="008963A5"/>
    <w:rsid w:val="00896D5D"/>
    <w:rsid w:val="008A0670"/>
    <w:rsid w:val="008A3158"/>
    <w:rsid w:val="008A3363"/>
    <w:rsid w:val="008A3371"/>
    <w:rsid w:val="008A3486"/>
    <w:rsid w:val="008A3AEA"/>
    <w:rsid w:val="008A3C3E"/>
    <w:rsid w:val="008A4E16"/>
    <w:rsid w:val="008A74B1"/>
    <w:rsid w:val="008A79DE"/>
    <w:rsid w:val="008A7D17"/>
    <w:rsid w:val="008B1757"/>
    <w:rsid w:val="008B1C33"/>
    <w:rsid w:val="008B20AA"/>
    <w:rsid w:val="008B2678"/>
    <w:rsid w:val="008B38B5"/>
    <w:rsid w:val="008B3D01"/>
    <w:rsid w:val="008B41C4"/>
    <w:rsid w:val="008B4368"/>
    <w:rsid w:val="008B4B6F"/>
    <w:rsid w:val="008B6E2A"/>
    <w:rsid w:val="008B74D4"/>
    <w:rsid w:val="008B7992"/>
    <w:rsid w:val="008B7D7E"/>
    <w:rsid w:val="008C40D2"/>
    <w:rsid w:val="008C41EF"/>
    <w:rsid w:val="008C52DF"/>
    <w:rsid w:val="008C5610"/>
    <w:rsid w:val="008C5739"/>
    <w:rsid w:val="008C6392"/>
    <w:rsid w:val="008C7282"/>
    <w:rsid w:val="008C7ECB"/>
    <w:rsid w:val="008D10A4"/>
    <w:rsid w:val="008D18DA"/>
    <w:rsid w:val="008D29E8"/>
    <w:rsid w:val="008D2D33"/>
    <w:rsid w:val="008D3B86"/>
    <w:rsid w:val="008D4063"/>
    <w:rsid w:val="008D43FD"/>
    <w:rsid w:val="008D46FB"/>
    <w:rsid w:val="008D4755"/>
    <w:rsid w:val="008D4C3D"/>
    <w:rsid w:val="008D57DE"/>
    <w:rsid w:val="008D743C"/>
    <w:rsid w:val="008E069F"/>
    <w:rsid w:val="008E0C50"/>
    <w:rsid w:val="008E0D3C"/>
    <w:rsid w:val="008E1B9E"/>
    <w:rsid w:val="008E2977"/>
    <w:rsid w:val="008E40C7"/>
    <w:rsid w:val="008E55AB"/>
    <w:rsid w:val="008E6DE8"/>
    <w:rsid w:val="008F120A"/>
    <w:rsid w:val="008F1CC6"/>
    <w:rsid w:val="008F27E0"/>
    <w:rsid w:val="008F2ACF"/>
    <w:rsid w:val="008F3A6C"/>
    <w:rsid w:val="008F3E10"/>
    <w:rsid w:val="008F48EB"/>
    <w:rsid w:val="008F4AFB"/>
    <w:rsid w:val="008F4F0B"/>
    <w:rsid w:val="008F6C1F"/>
    <w:rsid w:val="008F71E4"/>
    <w:rsid w:val="008F7746"/>
    <w:rsid w:val="008F7EC1"/>
    <w:rsid w:val="009011C5"/>
    <w:rsid w:val="009016D3"/>
    <w:rsid w:val="009046C4"/>
    <w:rsid w:val="009062A5"/>
    <w:rsid w:val="00907699"/>
    <w:rsid w:val="009107A1"/>
    <w:rsid w:val="00910FA7"/>
    <w:rsid w:val="00911272"/>
    <w:rsid w:val="00911339"/>
    <w:rsid w:val="0091212C"/>
    <w:rsid w:val="00912672"/>
    <w:rsid w:val="009135D6"/>
    <w:rsid w:val="009139FD"/>
    <w:rsid w:val="00914561"/>
    <w:rsid w:val="00914C77"/>
    <w:rsid w:val="00915DC1"/>
    <w:rsid w:val="00920B9B"/>
    <w:rsid w:val="00921AAF"/>
    <w:rsid w:val="00921ACB"/>
    <w:rsid w:val="009228EA"/>
    <w:rsid w:val="0092369B"/>
    <w:rsid w:val="009237BD"/>
    <w:rsid w:val="00925432"/>
    <w:rsid w:val="00926FFB"/>
    <w:rsid w:val="00927C92"/>
    <w:rsid w:val="0093160A"/>
    <w:rsid w:val="009336B6"/>
    <w:rsid w:val="0093383A"/>
    <w:rsid w:val="00933F5E"/>
    <w:rsid w:val="00934988"/>
    <w:rsid w:val="00935646"/>
    <w:rsid w:val="00937089"/>
    <w:rsid w:val="009371A9"/>
    <w:rsid w:val="009412C8"/>
    <w:rsid w:val="00944F8A"/>
    <w:rsid w:val="0094602F"/>
    <w:rsid w:val="00946435"/>
    <w:rsid w:val="00947F94"/>
    <w:rsid w:val="00950243"/>
    <w:rsid w:val="009510A2"/>
    <w:rsid w:val="009516DD"/>
    <w:rsid w:val="00952738"/>
    <w:rsid w:val="00953257"/>
    <w:rsid w:val="00953B28"/>
    <w:rsid w:val="0095474C"/>
    <w:rsid w:val="00954EF5"/>
    <w:rsid w:val="00956875"/>
    <w:rsid w:val="00957D92"/>
    <w:rsid w:val="00962CB9"/>
    <w:rsid w:val="00962FB5"/>
    <w:rsid w:val="00962FD2"/>
    <w:rsid w:val="00964312"/>
    <w:rsid w:val="009646D5"/>
    <w:rsid w:val="00964D49"/>
    <w:rsid w:val="00965B8A"/>
    <w:rsid w:val="0096674B"/>
    <w:rsid w:val="00966B54"/>
    <w:rsid w:val="00967577"/>
    <w:rsid w:val="0096758F"/>
    <w:rsid w:val="00967A5B"/>
    <w:rsid w:val="00967BCC"/>
    <w:rsid w:val="00967BDD"/>
    <w:rsid w:val="0097057E"/>
    <w:rsid w:val="0097071F"/>
    <w:rsid w:val="009717AC"/>
    <w:rsid w:val="00972CB5"/>
    <w:rsid w:val="00972ED0"/>
    <w:rsid w:val="00974DA8"/>
    <w:rsid w:val="00974E27"/>
    <w:rsid w:val="009751C1"/>
    <w:rsid w:val="00975D86"/>
    <w:rsid w:val="009803D5"/>
    <w:rsid w:val="00980974"/>
    <w:rsid w:val="009811F1"/>
    <w:rsid w:val="00983E57"/>
    <w:rsid w:val="0098447E"/>
    <w:rsid w:val="00985113"/>
    <w:rsid w:val="00985DE2"/>
    <w:rsid w:val="00986093"/>
    <w:rsid w:val="0098675D"/>
    <w:rsid w:val="00987BA4"/>
    <w:rsid w:val="00987BD1"/>
    <w:rsid w:val="00987E98"/>
    <w:rsid w:val="00990958"/>
    <w:rsid w:val="00990DA7"/>
    <w:rsid w:val="0099218D"/>
    <w:rsid w:val="009926E0"/>
    <w:rsid w:val="00992C9F"/>
    <w:rsid w:val="0099451E"/>
    <w:rsid w:val="00996B1A"/>
    <w:rsid w:val="009A18F6"/>
    <w:rsid w:val="009A2DCC"/>
    <w:rsid w:val="009A5ABC"/>
    <w:rsid w:val="009A7F10"/>
    <w:rsid w:val="009B2FFA"/>
    <w:rsid w:val="009B347C"/>
    <w:rsid w:val="009B3C27"/>
    <w:rsid w:val="009B3E26"/>
    <w:rsid w:val="009B4BDA"/>
    <w:rsid w:val="009B551C"/>
    <w:rsid w:val="009B5FAF"/>
    <w:rsid w:val="009B654B"/>
    <w:rsid w:val="009B6F31"/>
    <w:rsid w:val="009B7CE8"/>
    <w:rsid w:val="009C1271"/>
    <w:rsid w:val="009C30EE"/>
    <w:rsid w:val="009C3706"/>
    <w:rsid w:val="009C3A3A"/>
    <w:rsid w:val="009C3EE8"/>
    <w:rsid w:val="009C43E7"/>
    <w:rsid w:val="009C5249"/>
    <w:rsid w:val="009C6399"/>
    <w:rsid w:val="009C6CEA"/>
    <w:rsid w:val="009C7B85"/>
    <w:rsid w:val="009D0254"/>
    <w:rsid w:val="009D115B"/>
    <w:rsid w:val="009D1492"/>
    <w:rsid w:val="009D1A64"/>
    <w:rsid w:val="009D332C"/>
    <w:rsid w:val="009D5ADA"/>
    <w:rsid w:val="009D5B91"/>
    <w:rsid w:val="009D792E"/>
    <w:rsid w:val="009D79AC"/>
    <w:rsid w:val="009E08AB"/>
    <w:rsid w:val="009E0DFE"/>
    <w:rsid w:val="009E0F19"/>
    <w:rsid w:val="009E1D12"/>
    <w:rsid w:val="009E25BB"/>
    <w:rsid w:val="009E31F6"/>
    <w:rsid w:val="009E48B3"/>
    <w:rsid w:val="009E4C07"/>
    <w:rsid w:val="009E5F78"/>
    <w:rsid w:val="009E777F"/>
    <w:rsid w:val="009F0385"/>
    <w:rsid w:val="009F2680"/>
    <w:rsid w:val="009F6120"/>
    <w:rsid w:val="00A00D76"/>
    <w:rsid w:val="00A01184"/>
    <w:rsid w:val="00A013EE"/>
    <w:rsid w:val="00A01449"/>
    <w:rsid w:val="00A0362B"/>
    <w:rsid w:val="00A037C2"/>
    <w:rsid w:val="00A03D43"/>
    <w:rsid w:val="00A04380"/>
    <w:rsid w:val="00A04786"/>
    <w:rsid w:val="00A05472"/>
    <w:rsid w:val="00A056A1"/>
    <w:rsid w:val="00A05C32"/>
    <w:rsid w:val="00A0653F"/>
    <w:rsid w:val="00A07799"/>
    <w:rsid w:val="00A11524"/>
    <w:rsid w:val="00A11CD0"/>
    <w:rsid w:val="00A13948"/>
    <w:rsid w:val="00A13B28"/>
    <w:rsid w:val="00A13C49"/>
    <w:rsid w:val="00A14CBB"/>
    <w:rsid w:val="00A1555B"/>
    <w:rsid w:val="00A155C5"/>
    <w:rsid w:val="00A156E8"/>
    <w:rsid w:val="00A16AD8"/>
    <w:rsid w:val="00A17B2F"/>
    <w:rsid w:val="00A2021E"/>
    <w:rsid w:val="00A20977"/>
    <w:rsid w:val="00A20EA8"/>
    <w:rsid w:val="00A2182C"/>
    <w:rsid w:val="00A21C95"/>
    <w:rsid w:val="00A21CF3"/>
    <w:rsid w:val="00A24813"/>
    <w:rsid w:val="00A24903"/>
    <w:rsid w:val="00A27AEC"/>
    <w:rsid w:val="00A30E53"/>
    <w:rsid w:val="00A314AA"/>
    <w:rsid w:val="00A320DB"/>
    <w:rsid w:val="00A35472"/>
    <w:rsid w:val="00A3591B"/>
    <w:rsid w:val="00A35D16"/>
    <w:rsid w:val="00A37BCD"/>
    <w:rsid w:val="00A40D8A"/>
    <w:rsid w:val="00A40FB1"/>
    <w:rsid w:val="00A41689"/>
    <w:rsid w:val="00A42592"/>
    <w:rsid w:val="00A43773"/>
    <w:rsid w:val="00A43C59"/>
    <w:rsid w:val="00A46389"/>
    <w:rsid w:val="00A46C08"/>
    <w:rsid w:val="00A46D0E"/>
    <w:rsid w:val="00A4736E"/>
    <w:rsid w:val="00A474CE"/>
    <w:rsid w:val="00A503EE"/>
    <w:rsid w:val="00A50ECD"/>
    <w:rsid w:val="00A5115B"/>
    <w:rsid w:val="00A51876"/>
    <w:rsid w:val="00A518F3"/>
    <w:rsid w:val="00A521C3"/>
    <w:rsid w:val="00A52729"/>
    <w:rsid w:val="00A53675"/>
    <w:rsid w:val="00A53AA7"/>
    <w:rsid w:val="00A55466"/>
    <w:rsid w:val="00A5591C"/>
    <w:rsid w:val="00A564D7"/>
    <w:rsid w:val="00A56B6A"/>
    <w:rsid w:val="00A578DC"/>
    <w:rsid w:val="00A57A3D"/>
    <w:rsid w:val="00A57EB5"/>
    <w:rsid w:val="00A610AD"/>
    <w:rsid w:val="00A62F7F"/>
    <w:rsid w:val="00A63C8C"/>
    <w:rsid w:val="00A63FA3"/>
    <w:rsid w:val="00A640E2"/>
    <w:rsid w:val="00A64432"/>
    <w:rsid w:val="00A64D65"/>
    <w:rsid w:val="00A667E2"/>
    <w:rsid w:val="00A6725B"/>
    <w:rsid w:val="00A70605"/>
    <w:rsid w:val="00A71DD8"/>
    <w:rsid w:val="00A72F34"/>
    <w:rsid w:val="00A73134"/>
    <w:rsid w:val="00A7339E"/>
    <w:rsid w:val="00A7365A"/>
    <w:rsid w:val="00A74F55"/>
    <w:rsid w:val="00A76001"/>
    <w:rsid w:val="00A76B0A"/>
    <w:rsid w:val="00A777B2"/>
    <w:rsid w:val="00A825D4"/>
    <w:rsid w:val="00A828F6"/>
    <w:rsid w:val="00A82B73"/>
    <w:rsid w:val="00A82B8B"/>
    <w:rsid w:val="00A83E25"/>
    <w:rsid w:val="00A85A5A"/>
    <w:rsid w:val="00A86E8B"/>
    <w:rsid w:val="00A87164"/>
    <w:rsid w:val="00A877AF"/>
    <w:rsid w:val="00A878A0"/>
    <w:rsid w:val="00A914AB"/>
    <w:rsid w:val="00A918EA"/>
    <w:rsid w:val="00A92429"/>
    <w:rsid w:val="00A93072"/>
    <w:rsid w:val="00A938BD"/>
    <w:rsid w:val="00A93953"/>
    <w:rsid w:val="00A959D8"/>
    <w:rsid w:val="00A969B1"/>
    <w:rsid w:val="00A97CB9"/>
    <w:rsid w:val="00AA08BB"/>
    <w:rsid w:val="00AA0D0B"/>
    <w:rsid w:val="00AA0F72"/>
    <w:rsid w:val="00AA113D"/>
    <w:rsid w:val="00AA2439"/>
    <w:rsid w:val="00AA312D"/>
    <w:rsid w:val="00AA41CA"/>
    <w:rsid w:val="00AA6BD5"/>
    <w:rsid w:val="00AA6BD8"/>
    <w:rsid w:val="00AA6C7D"/>
    <w:rsid w:val="00AA6CD7"/>
    <w:rsid w:val="00AA77CD"/>
    <w:rsid w:val="00AA79AA"/>
    <w:rsid w:val="00AA7FD6"/>
    <w:rsid w:val="00AB042A"/>
    <w:rsid w:val="00AB11AD"/>
    <w:rsid w:val="00AB19EF"/>
    <w:rsid w:val="00AB2054"/>
    <w:rsid w:val="00AB2495"/>
    <w:rsid w:val="00AB2D34"/>
    <w:rsid w:val="00AB3430"/>
    <w:rsid w:val="00AB37B9"/>
    <w:rsid w:val="00AB4AD1"/>
    <w:rsid w:val="00AB4B1F"/>
    <w:rsid w:val="00AB5674"/>
    <w:rsid w:val="00AB5E07"/>
    <w:rsid w:val="00AB7935"/>
    <w:rsid w:val="00AB7CFA"/>
    <w:rsid w:val="00AC177F"/>
    <w:rsid w:val="00AC27E7"/>
    <w:rsid w:val="00AC3342"/>
    <w:rsid w:val="00AC3714"/>
    <w:rsid w:val="00AC39C2"/>
    <w:rsid w:val="00AC4AE3"/>
    <w:rsid w:val="00AC5B42"/>
    <w:rsid w:val="00AC5B48"/>
    <w:rsid w:val="00AC5DB7"/>
    <w:rsid w:val="00AC6AE7"/>
    <w:rsid w:val="00AC76AA"/>
    <w:rsid w:val="00AD007D"/>
    <w:rsid w:val="00AD0AA3"/>
    <w:rsid w:val="00AD13DF"/>
    <w:rsid w:val="00AD1450"/>
    <w:rsid w:val="00AD15E8"/>
    <w:rsid w:val="00AD2992"/>
    <w:rsid w:val="00AD356D"/>
    <w:rsid w:val="00AD5C51"/>
    <w:rsid w:val="00AD6502"/>
    <w:rsid w:val="00AE0007"/>
    <w:rsid w:val="00AE052C"/>
    <w:rsid w:val="00AE0695"/>
    <w:rsid w:val="00AE11BB"/>
    <w:rsid w:val="00AE2E66"/>
    <w:rsid w:val="00AE3A3F"/>
    <w:rsid w:val="00AE3E7E"/>
    <w:rsid w:val="00AE4E9B"/>
    <w:rsid w:val="00AE4F79"/>
    <w:rsid w:val="00AE5777"/>
    <w:rsid w:val="00AE5AE3"/>
    <w:rsid w:val="00AE5BB2"/>
    <w:rsid w:val="00AE7385"/>
    <w:rsid w:val="00AE7752"/>
    <w:rsid w:val="00AE77D1"/>
    <w:rsid w:val="00AE7E53"/>
    <w:rsid w:val="00AF1315"/>
    <w:rsid w:val="00AF19BF"/>
    <w:rsid w:val="00AF2DC3"/>
    <w:rsid w:val="00AF420D"/>
    <w:rsid w:val="00AF4912"/>
    <w:rsid w:val="00AF5B60"/>
    <w:rsid w:val="00AF5C32"/>
    <w:rsid w:val="00AF61F8"/>
    <w:rsid w:val="00AF691B"/>
    <w:rsid w:val="00AF7261"/>
    <w:rsid w:val="00B00EE5"/>
    <w:rsid w:val="00B02DBA"/>
    <w:rsid w:val="00B033E5"/>
    <w:rsid w:val="00B03A63"/>
    <w:rsid w:val="00B0629D"/>
    <w:rsid w:val="00B072C6"/>
    <w:rsid w:val="00B105FE"/>
    <w:rsid w:val="00B11AAF"/>
    <w:rsid w:val="00B11AF5"/>
    <w:rsid w:val="00B129A4"/>
    <w:rsid w:val="00B14630"/>
    <w:rsid w:val="00B14695"/>
    <w:rsid w:val="00B170CA"/>
    <w:rsid w:val="00B201A4"/>
    <w:rsid w:val="00B201D1"/>
    <w:rsid w:val="00B20CA8"/>
    <w:rsid w:val="00B213A6"/>
    <w:rsid w:val="00B235B0"/>
    <w:rsid w:val="00B24DF6"/>
    <w:rsid w:val="00B267F2"/>
    <w:rsid w:val="00B279FD"/>
    <w:rsid w:val="00B27A61"/>
    <w:rsid w:val="00B30354"/>
    <w:rsid w:val="00B31E31"/>
    <w:rsid w:val="00B33205"/>
    <w:rsid w:val="00B33D31"/>
    <w:rsid w:val="00B342A9"/>
    <w:rsid w:val="00B34FE2"/>
    <w:rsid w:val="00B35166"/>
    <w:rsid w:val="00B357D8"/>
    <w:rsid w:val="00B357EF"/>
    <w:rsid w:val="00B360F4"/>
    <w:rsid w:val="00B36563"/>
    <w:rsid w:val="00B36A00"/>
    <w:rsid w:val="00B3792B"/>
    <w:rsid w:val="00B37BFC"/>
    <w:rsid w:val="00B40358"/>
    <w:rsid w:val="00B409E2"/>
    <w:rsid w:val="00B41614"/>
    <w:rsid w:val="00B427FD"/>
    <w:rsid w:val="00B42851"/>
    <w:rsid w:val="00B42A96"/>
    <w:rsid w:val="00B42C91"/>
    <w:rsid w:val="00B42F80"/>
    <w:rsid w:val="00B435CB"/>
    <w:rsid w:val="00B44171"/>
    <w:rsid w:val="00B44D5E"/>
    <w:rsid w:val="00B465EC"/>
    <w:rsid w:val="00B466EA"/>
    <w:rsid w:val="00B46DA1"/>
    <w:rsid w:val="00B505C8"/>
    <w:rsid w:val="00B50619"/>
    <w:rsid w:val="00B50DB8"/>
    <w:rsid w:val="00B53654"/>
    <w:rsid w:val="00B53905"/>
    <w:rsid w:val="00B5425D"/>
    <w:rsid w:val="00B546D1"/>
    <w:rsid w:val="00B546DB"/>
    <w:rsid w:val="00B54B5B"/>
    <w:rsid w:val="00B54C74"/>
    <w:rsid w:val="00B54E61"/>
    <w:rsid w:val="00B5562E"/>
    <w:rsid w:val="00B55862"/>
    <w:rsid w:val="00B55D65"/>
    <w:rsid w:val="00B56305"/>
    <w:rsid w:val="00B56549"/>
    <w:rsid w:val="00B56FFB"/>
    <w:rsid w:val="00B57000"/>
    <w:rsid w:val="00B57E19"/>
    <w:rsid w:val="00B60088"/>
    <w:rsid w:val="00B60939"/>
    <w:rsid w:val="00B60AFD"/>
    <w:rsid w:val="00B61C00"/>
    <w:rsid w:val="00B62715"/>
    <w:rsid w:val="00B63A75"/>
    <w:rsid w:val="00B65193"/>
    <w:rsid w:val="00B65611"/>
    <w:rsid w:val="00B66FCF"/>
    <w:rsid w:val="00B70B2B"/>
    <w:rsid w:val="00B70E8E"/>
    <w:rsid w:val="00B712E4"/>
    <w:rsid w:val="00B721F7"/>
    <w:rsid w:val="00B73C05"/>
    <w:rsid w:val="00B7403B"/>
    <w:rsid w:val="00B7405F"/>
    <w:rsid w:val="00B75C53"/>
    <w:rsid w:val="00B76C92"/>
    <w:rsid w:val="00B76F03"/>
    <w:rsid w:val="00B80C04"/>
    <w:rsid w:val="00B80EFD"/>
    <w:rsid w:val="00B8167F"/>
    <w:rsid w:val="00B818A4"/>
    <w:rsid w:val="00B82AA1"/>
    <w:rsid w:val="00B83739"/>
    <w:rsid w:val="00B84117"/>
    <w:rsid w:val="00B84BE4"/>
    <w:rsid w:val="00B858F0"/>
    <w:rsid w:val="00B85AA2"/>
    <w:rsid w:val="00B85DFA"/>
    <w:rsid w:val="00B8649C"/>
    <w:rsid w:val="00B8695D"/>
    <w:rsid w:val="00B87F0A"/>
    <w:rsid w:val="00B87FF0"/>
    <w:rsid w:val="00B92988"/>
    <w:rsid w:val="00B92D0B"/>
    <w:rsid w:val="00B93F56"/>
    <w:rsid w:val="00B94945"/>
    <w:rsid w:val="00B94DD6"/>
    <w:rsid w:val="00B97650"/>
    <w:rsid w:val="00BA0F65"/>
    <w:rsid w:val="00BA22F4"/>
    <w:rsid w:val="00BA322D"/>
    <w:rsid w:val="00BA34F9"/>
    <w:rsid w:val="00BA5073"/>
    <w:rsid w:val="00BA63FA"/>
    <w:rsid w:val="00BB00B3"/>
    <w:rsid w:val="00BB0BDD"/>
    <w:rsid w:val="00BB176C"/>
    <w:rsid w:val="00BB1A39"/>
    <w:rsid w:val="00BB2A73"/>
    <w:rsid w:val="00BB3A45"/>
    <w:rsid w:val="00BB3E27"/>
    <w:rsid w:val="00BB4ACC"/>
    <w:rsid w:val="00BB5175"/>
    <w:rsid w:val="00BB5640"/>
    <w:rsid w:val="00BB6ADE"/>
    <w:rsid w:val="00BB6B43"/>
    <w:rsid w:val="00BB6E2C"/>
    <w:rsid w:val="00BB6EAB"/>
    <w:rsid w:val="00BB703E"/>
    <w:rsid w:val="00BB732D"/>
    <w:rsid w:val="00BB732F"/>
    <w:rsid w:val="00BB7405"/>
    <w:rsid w:val="00BB799E"/>
    <w:rsid w:val="00BC172F"/>
    <w:rsid w:val="00BC20A0"/>
    <w:rsid w:val="00BC3631"/>
    <w:rsid w:val="00BC407A"/>
    <w:rsid w:val="00BC45D8"/>
    <w:rsid w:val="00BC4C03"/>
    <w:rsid w:val="00BC591F"/>
    <w:rsid w:val="00BC6824"/>
    <w:rsid w:val="00BC7D6D"/>
    <w:rsid w:val="00BD0156"/>
    <w:rsid w:val="00BD058A"/>
    <w:rsid w:val="00BD1476"/>
    <w:rsid w:val="00BD2108"/>
    <w:rsid w:val="00BD27A5"/>
    <w:rsid w:val="00BD68A3"/>
    <w:rsid w:val="00BD6938"/>
    <w:rsid w:val="00BD6998"/>
    <w:rsid w:val="00BD6CF3"/>
    <w:rsid w:val="00BD7B6B"/>
    <w:rsid w:val="00BD7F72"/>
    <w:rsid w:val="00BE0ECA"/>
    <w:rsid w:val="00BE1C93"/>
    <w:rsid w:val="00BE2180"/>
    <w:rsid w:val="00BE21F2"/>
    <w:rsid w:val="00BE22DD"/>
    <w:rsid w:val="00BE22FF"/>
    <w:rsid w:val="00BE2647"/>
    <w:rsid w:val="00BE2990"/>
    <w:rsid w:val="00BE4275"/>
    <w:rsid w:val="00BE589E"/>
    <w:rsid w:val="00BE6101"/>
    <w:rsid w:val="00BE7778"/>
    <w:rsid w:val="00BF06AE"/>
    <w:rsid w:val="00BF0874"/>
    <w:rsid w:val="00BF0ABA"/>
    <w:rsid w:val="00BF0F95"/>
    <w:rsid w:val="00BF2433"/>
    <w:rsid w:val="00BF2E6E"/>
    <w:rsid w:val="00BF331C"/>
    <w:rsid w:val="00BF3743"/>
    <w:rsid w:val="00BF61C9"/>
    <w:rsid w:val="00BF6226"/>
    <w:rsid w:val="00BF69B7"/>
    <w:rsid w:val="00BF6C36"/>
    <w:rsid w:val="00BF6C94"/>
    <w:rsid w:val="00C00424"/>
    <w:rsid w:val="00C00BB0"/>
    <w:rsid w:val="00C020D0"/>
    <w:rsid w:val="00C02940"/>
    <w:rsid w:val="00C0419F"/>
    <w:rsid w:val="00C04399"/>
    <w:rsid w:val="00C04D1B"/>
    <w:rsid w:val="00C05617"/>
    <w:rsid w:val="00C05B2B"/>
    <w:rsid w:val="00C05EEF"/>
    <w:rsid w:val="00C07253"/>
    <w:rsid w:val="00C11680"/>
    <w:rsid w:val="00C1179F"/>
    <w:rsid w:val="00C127B9"/>
    <w:rsid w:val="00C128FA"/>
    <w:rsid w:val="00C12C14"/>
    <w:rsid w:val="00C15D8E"/>
    <w:rsid w:val="00C15F04"/>
    <w:rsid w:val="00C16135"/>
    <w:rsid w:val="00C169AD"/>
    <w:rsid w:val="00C179B3"/>
    <w:rsid w:val="00C17E3F"/>
    <w:rsid w:val="00C200AA"/>
    <w:rsid w:val="00C21454"/>
    <w:rsid w:val="00C230A3"/>
    <w:rsid w:val="00C237ED"/>
    <w:rsid w:val="00C24632"/>
    <w:rsid w:val="00C25418"/>
    <w:rsid w:val="00C256A1"/>
    <w:rsid w:val="00C25D9C"/>
    <w:rsid w:val="00C2778B"/>
    <w:rsid w:val="00C30399"/>
    <w:rsid w:val="00C31649"/>
    <w:rsid w:val="00C342E0"/>
    <w:rsid w:val="00C3434C"/>
    <w:rsid w:val="00C34618"/>
    <w:rsid w:val="00C34A6F"/>
    <w:rsid w:val="00C36B86"/>
    <w:rsid w:val="00C37C56"/>
    <w:rsid w:val="00C40385"/>
    <w:rsid w:val="00C414DF"/>
    <w:rsid w:val="00C41768"/>
    <w:rsid w:val="00C42D8B"/>
    <w:rsid w:val="00C43D6F"/>
    <w:rsid w:val="00C44C9F"/>
    <w:rsid w:val="00C471C8"/>
    <w:rsid w:val="00C475AA"/>
    <w:rsid w:val="00C527C7"/>
    <w:rsid w:val="00C52F46"/>
    <w:rsid w:val="00C53084"/>
    <w:rsid w:val="00C536A3"/>
    <w:rsid w:val="00C53C98"/>
    <w:rsid w:val="00C56D1B"/>
    <w:rsid w:val="00C56FCF"/>
    <w:rsid w:val="00C57B6C"/>
    <w:rsid w:val="00C60BB0"/>
    <w:rsid w:val="00C60FEF"/>
    <w:rsid w:val="00C61918"/>
    <w:rsid w:val="00C61A59"/>
    <w:rsid w:val="00C628A6"/>
    <w:rsid w:val="00C62FD1"/>
    <w:rsid w:val="00C63C05"/>
    <w:rsid w:val="00C63CEE"/>
    <w:rsid w:val="00C64344"/>
    <w:rsid w:val="00C646F8"/>
    <w:rsid w:val="00C65108"/>
    <w:rsid w:val="00C65576"/>
    <w:rsid w:val="00C66165"/>
    <w:rsid w:val="00C7060A"/>
    <w:rsid w:val="00C7102B"/>
    <w:rsid w:val="00C71230"/>
    <w:rsid w:val="00C7151A"/>
    <w:rsid w:val="00C717E3"/>
    <w:rsid w:val="00C71F60"/>
    <w:rsid w:val="00C72241"/>
    <w:rsid w:val="00C7297B"/>
    <w:rsid w:val="00C72A4C"/>
    <w:rsid w:val="00C750C8"/>
    <w:rsid w:val="00C7560F"/>
    <w:rsid w:val="00C760A9"/>
    <w:rsid w:val="00C80A0E"/>
    <w:rsid w:val="00C8213F"/>
    <w:rsid w:val="00C8299F"/>
    <w:rsid w:val="00C8303F"/>
    <w:rsid w:val="00C85154"/>
    <w:rsid w:val="00C85A70"/>
    <w:rsid w:val="00C86C94"/>
    <w:rsid w:val="00C8797A"/>
    <w:rsid w:val="00C900B8"/>
    <w:rsid w:val="00C90197"/>
    <w:rsid w:val="00C903C6"/>
    <w:rsid w:val="00C90C71"/>
    <w:rsid w:val="00C917E9"/>
    <w:rsid w:val="00C919C3"/>
    <w:rsid w:val="00C91B21"/>
    <w:rsid w:val="00C91FD1"/>
    <w:rsid w:val="00C931CF"/>
    <w:rsid w:val="00C938CF"/>
    <w:rsid w:val="00C93F2D"/>
    <w:rsid w:val="00C94053"/>
    <w:rsid w:val="00C9425B"/>
    <w:rsid w:val="00C9624D"/>
    <w:rsid w:val="00C969DA"/>
    <w:rsid w:val="00CA0ABC"/>
    <w:rsid w:val="00CA2C77"/>
    <w:rsid w:val="00CA3BA3"/>
    <w:rsid w:val="00CA444F"/>
    <w:rsid w:val="00CA5245"/>
    <w:rsid w:val="00CA52AC"/>
    <w:rsid w:val="00CA5AD9"/>
    <w:rsid w:val="00CA625E"/>
    <w:rsid w:val="00CA71F4"/>
    <w:rsid w:val="00CA7B09"/>
    <w:rsid w:val="00CB02DC"/>
    <w:rsid w:val="00CB0718"/>
    <w:rsid w:val="00CB12A5"/>
    <w:rsid w:val="00CB15C0"/>
    <w:rsid w:val="00CB1CAC"/>
    <w:rsid w:val="00CB1F1F"/>
    <w:rsid w:val="00CB2398"/>
    <w:rsid w:val="00CB23E9"/>
    <w:rsid w:val="00CB2A88"/>
    <w:rsid w:val="00CB2F2A"/>
    <w:rsid w:val="00CB2FBE"/>
    <w:rsid w:val="00CB5B1A"/>
    <w:rsid w:val="00CB6685"/>
    <w:rsid w:val="00CB6B22"/>
    <w:rsid w:val="00CB6DFA"/>
    <w:rsid w:val="00CB7F5F"/>
    <w:rsid w:val="00CC05C4"/>
    <w:rsid w:val="00CC1B39"/>
    <w:rsid w:val="00CC1BFA"/>
    <w:rsid w:val="00CC1FD0"/>
    <w:rsid w:val="00CC2E38"/>
    <w:rsid w:val="00CC2E9F"/>
    <w:rsid w:val="00CC2F2F"/>
    <w:rsid w:val="00CC35EA"/>
    <w:rsid w:val="00CC3848"/>
    <w:rsid w:val="00CC5700"/>
    <w:rsid w:val="00CC5979"/>
    <w:rsid w:val="00CC62A1"/>
    <w:rsid w:val="00CC6A5D"/>
    <w:rsid w:val="00CC6D5E"/>
    <w:rsid w:val="00CC6EEC"/>
    <w:rsid w:val="00CD0200"/>
    <w:rsid w:val="00CD35BA"/>
    <w:rsid w:val="00CD3F77"/>
    <w:rsid w:val="00CD5AB9"/>
    <w:rsid w:val="00CD6ADC"/>
    <w:rsid w:val="00CD6F28"/>
    <w:rsid w:val="00CD7193"/>
    <w:rsid w:val="00CE22AD"/>
    <w:rsid w:val="00CE2C69"/>
    <w:rsid w:val="00CE38C8"/>
    <w:rsid w:val="00CE524F"/>
    <w:rsid w:val="00CE58CC"/>
    <w:rsid w:val="00CE5963"/>
    <w:rsid w:val="00CE6274"/>
    <w:rsid w:val="00CE77B6"/>
    <w:rsid w:val="00CF0613"/>
    <w:rsid w:val="00CF0712"/>
    <w:rsid w:val="00CF2B8D"/>
    <w:rsid w:val="00CF3A1B"/>
    <w:rsid w:val="00CF456B"/>
    <w:rsid w:val="00CF5547"/>
    <w:rsid w:val="00CF5A22"/>
    <w:rsid w:val="00CF7004"/>
    <w:rsid w:val="00D00A02"/>
    <w:rsid w:val="00D0222D"/>
    <w:rsid w:val="00D0262E"/>
    <w:rsid w:val="00D02FE8"/>
    <w:rsid w:val="00D03679"/>
    <w:rsid w:val="00D03A1F"/>
    <w:rsid w:val="00D03D44"/>
    <w:rsid w:val="00D05630"/>
    <w:rsid w:val="00D05E3D"/>
    <w:rsid w:val="00D06139"/>
    <w:rsid w:val="00D07B7C"/>
    <w:rsid w:val="00D110BD"/>
    <w:rsid w:val="00D11376"/>
    <w:rsid w:val="00D11741"/>
    <w:rsid w:val="00D12544"/>
    <w:rsid w:val="00D13675"/>
    <w:rsid w:val="00D141E1"/>
    <w:rsid w:val="00D15314"/>
    <w:rsid w:val="00D15B48"/>
    <w:rsid w:val="00D15E19"/>
    <w:rsid w:val="00D17D6C"/>
    <w:rsid w:val="00D20916"/>
    <w:rsid w:val="00D20F2D"/>
    <w:rsid w:val="00D2155B"/>
    <w:rsid w:val="00D23D11"/>
    <w:rsid w:val="00D24445"/>
    <w:rsid w:val="00D244B6"/>
    <w:rsid w:val="00D26650"/>
    <w:rsid w:val="00D26BB9"/>
    <w:rsid w:val="00D272C3"/>
    <w:rsid w:val="00D2754D"/>
    <w:rsid w:val="00D27B27"/>
    <w:rsid w:val="00D30D5B"/>
    <w:rsid w:val="00D3115C"/>
    <w:rsid w:val="00D33BE9"/>
    <w:rsid w:val="00D33F93"/>
    <w:rsid w:val="00D34DD7"/>
    <w:rsid w:val="00D3540A"/>
    <w:rsid w:val="00D357FF"/>
    <w:rsid w:val="00D36515"/>
    <w:rsid w:val="00D36E24"/>
    <w:rsid w:val="00D37BE9"/>
    <w:rsid w:val="00D37FD3"/>
    <w:rsid w:val="00D419E4"/>
    <w:rsid w:val="00D424C7"/>
    <w:rsid w:val="00D427EA"/>
    <w:rsid w:val="00D43495"/>
    <w:rsid w:val="00D43B2A"/>
    <w:rsid w:val="00D43BFD"/>
    <w:rsid w:val="00D43CF1"/>
    <w:rsid w:val="00D43D83"/>
    <w:rsid w:val="00D44132"/>
    <w:rsid w:val="00D45022"/>
    <w:rsid w:val="00D450A6"/>
    <w:rsid w:val="00D451F8"/>
    <w:rsid w:val="00D4533C"/>
    <w:rsid w:val="00D47575"/>
    <w:rsid w:val="00D50188"/>
    <w:rsid w:val="00D5123C"/>
    <w:rsid w:val="00D512BD"/>
    <w:rsid w:val="00D5243B"/>
    <w:rsid w:val="00D531BF"/>
    <w:rsid w:val="00D533EC"/>
    <w:rsid w:val="00D5445D"/>
    <w:rsid w:val="00D54C74"/>
    <w:rsid w:val="00D562FC"/>
    <w:rsid w:val="00D56A95"/>
    <w:rsid w:val="00D6076E"/>
    <w:rsid w:val="00D61987"/>
    <w:rsid w:val="00D61CD0"/>
    <w:rsid w:val="00D63638"/>
    <w:rsid w:val="00D65FD5"/>
    <w:rsid w:val="00D70516"/>
    <w:rsid w:val="00D707BB"/>
    <w:rsid w:val="00D70F16"/>
    <w:rsid w:val="00D71DA7"/>
    <w:rsid w:val="00D71EED"/>
    <w:rsid w:val="00D72617"/>
    <w:rsid w:val="00D728D3"/>
    <w:rsid w:val="00D72F57"/>
    <w:rsid w:val="00D73FDC"/>
    <w:rsid w:val="00D74307"/>
    <w:rsid w:val="00D76A44"/>
    <w:rsid w:val="00D77816"/>
    <w:rsid w:val="00D80346"/>
    <w:rsid w:val="00D80C43"/>
    <w:rsid w:val="00D80CAA"/>
    <w:rsid w:val="00D815EF"/>
    <w:rsid w:val="00D81949"/>
    <w:rsid w:val="00D81F26"/>
    <w:rsid w:val="00D822E2"/>
    <w:rsid w:val="00D82414"/>
    <w:rsid w:val="00D843F2"/>
    <w:rsid w:val="00D85F2F"/>
    <w:rsid w:val="00D86231"/>
    <w:rsid w:val="00D8773C"/>
    <w:rsid w:val="00D87DA9"/>
    <w:rsid w:val="00D87DAD"/>
    <w:rsid w:val="00D87E65"/>
    <w:rsid w:val="00D9015B"/>
    <w:rsid w:val="00D912AB"/>
    <w:rsid w:val="00D91482"/>
    <w:rsid w:val="00D91923"/>
    <w:rsid w:val="00D93753"/>
    <w:rsid w:val="00D93A2B"/>
    <w:rsid w:val="00D95A52"/>
    <w:rsid w:val="00DA0C47"/>
    <w:rsid w:val="00DA1EBC"/>
    <w:rsid w:val="00DA3167"/>
    <w:rsid w:val="00DA3228"/>
    <w:rsid w:val="00DA4A7E"/>
    <w:rsid w:val="00DA4DC3"/>
    <w:rsid w:val="00DA76AF"/>
    <w:rsid w:val="00DA77A5"/>
    <w:rsid w:val="00DA7A1C"/>
    <w:rsid w:val="00DB0E36"/>
    <w:rsid w:val="00DB3DBF"/>
    <w:rsid w:val="00DB3E66"/>
    <w:rsid w:val="00DB484F"/>
    <w:rsid w:val="00DB4D9A"/>
    <w:rsid w:val="00DB578C"/>
    <w:rsid w:val="00DB6175"/>
    <w:rsid w:val="00DB6CCC"/>
    <w:rsid w:val="00DC04F6"/>
    <w:rsid w:val="00DC0690"/>
    <w:rsid w:val="00DC0DEB"/>
    <w:rsid w:val="00DC1D65"/>
    <w:rsid w:val="00DC33DF"/>
    <w:rsid w:val="00DC3C57"/>
    <w:rsid w:val="00DC487F"/>
    <w:rsid w:val="00DC4960"/>
    <w:rsid w:val="00DC504A"/>
    <w:rsid w:val="00DC5143"/>
    <w:rsid w:val="00DC5347"/>
    <w:rsid w:val="00DC5501"/>
    <w:rsid w:val="00DC5DE4"/>
    <w:rsid w:val="00DC7154"/>
    <w:rsid w:val="00DC7E8A"/>
    <w:rsid w:val="00DD0F78"/>
    <w:rsid w:val="00DD273C"/>
    <w:rsid w:val="00DD27E5"/>
    <w:rsid w:val="00DD28F3"/>
    <w:rsid w:val="00DD3F28"/>
    <w:rsid w:val="00DD4446"/>
    <w:rsid w:val="00DD4537"/>
    <w:rsid w:val="00DD480B"/>
    <w:rsid w:val="00DD4863"/>
    <w:rsid w:val="00DD4E15"/>
    <w:rsid w:val="00DE0710"/>
    <w:rsid w:val="00DE13E4"/>
    <w:rsid w:val="00DE22CB"/>
    <w:rsid w:val="00DE2304"/>
    <w:rsid w:val="00DE3018"/>
    <w:rsid w:val="00DE3138"/>
    <w:rsid w:val="00DE37F8"/>
    <w:rsid w:val="00DE4273"/>
    <w:rsid w:val="00DE43FD"/>
    <w:rsid w:val="00DE4C41"/>
    <w:rsid w:val="00DE4FCB"/>
    <w:rsid w:val="00DE5D07"/>
    <w:rsid w:val="00DE64F5"/>
    <w:rsid w:val="00DE72A7"/>
    <w:rsid w:val="00DE7832"/>
    <w:rsid w:val="00DF018C"/>
    <w:rsid w:val="00DF18FC"/>
    <w:rsid w:val="00DF2B00"/>
    <w:rsid w:val="00DF3862"/>
    <w:rsid w:val="00DF5D2B"/>
    <w:rsid w:val="00DF6086"/>
    <w:rsid w:val="00DF61AD"/>
    <w:rsid w:val="00DF6341"/>
    <w:rsid w:val="00DF71E4"/>
    <w:rsid w:val="00E00271"/>
    <w:rsid w:val="00E0047A"/>
    <w:rsid w:val="00E009D7"/>
    <w:rsid w:val="00E00DF0"/>
    <w:rsid w:val="00E00E8E"/>
    <w:rsid w:val="00E025C0"/>
    <w:rsid w:val="00E05630"/>
    <w:rsid w:val="00E06868"/>
    <w:rsid w:val="00E06DBB"/>
    <w:rsid w:val="00E07FFD"/>
    <w:rsid w:val="00E10149"/>
    <w:rsid w:val="00E10E5E"/>
    <w:rsid w:val="00E10EF1"/>
    <w:rsid w:val="00E11340"/>
    <w:rsid w:val="00E121C1"/>
    <w:rsid w:val="00E122A1"/>
    <w:rsid w:val="00E137AD"/>
    <w:rsid w:val="00E14B0E"/>
    <w:rsid w:val="00E16372"/>
    <w:rsid w:val="00E164D3"/>
    <w:rsid w:val="00E16AD8"/>
    <w:rsid w:val="00E17D09"/>
    <w:rsid w:val="00E17FFA"/>
    <w:rsid w:val="00E2013A"/>
    <w:rsid w:val="00E20CF9"/>
    <w:rsid w:val="00E20D3F"/>
    <w:rsid w:val="00E20E4D"/>
    <w:rsid w:val="00E20ED6"/>
    <w:rsid w:val="00E211C5"/>
    <w:rsid w:val="00E21358"/>
    <w:rsid w:val="00E2249B"/>
    <w:rsid w:val="00E22A0D"/>
    <w:rsid w:val="00E235E8"/>
    <w:rsid w:val="00E244F6"/>
    <w:rsid w:val="00E24CAC"/>
    <w:rsid w:val="00E258DB"/>
    <w:rsid w:val="00E2771E"/>
    <w:rsid w:val="00E309F5"/>
    <w:rsid w:val="00E311EF"/>
    <w:rsid w:val="00E32180"/>
    <w:rsid w:val="00E33560"/>
    <w:rsid w:val="00E34948"/>
    <w:rsid w:val="00E36C64"/>
    <w:rsid w:val="00E37569"/>
    <w:rsid w:val="00E401B2"/>
    <w:rsid w:val="00E40A54"/>
    <w:rsid w:val="00E41161"/>
    <w:rsid w:val="00E41E30"/>
    <w:rsid w:val="00E42F73"/>
    <w:rsid w:val="00E43D70"/>
    <w:rsid w:val="00E447FD"/>
    <w:rsid w:val="00E466F3"/>
    <w:rsid w:val="00E46CE2"/>
    <w:rsid w:val="00E47B2C"/>
    <w:rsid w:val="00E51560"/>
    <w:rsid w:val="00E51821"/>
    <w:rsid w:val="00E53FC8"/>
    <w:rsid w:val="00E54347"/>
    <w:rsid w:val="00E55424"/>
    <w:rsid w:val="00E55915"/>
    <w:rsid w:val="00E55BB5"/>
    <w:rsid w:val="00E55F5C"/>
    <w:rsid w:val="00E56CB1"/>
    <w:rsid w:val="00E574D1"/>
    <w:rsid w:val="00E60627"/>
    <w:rsid w:val="00E61120"/>
    <w:rsid w:val="00E611DF"/>
    <w:rsid w:val="00E61B4A"/>
    <w:rsid w:val="00E6269C"/>
    <w:rsid w:val="00E63976"/>
    <w:rsid w:val="00E64793"/>
    <w:rsid w:val="00E65E79"/>
    <w:rsid w:val="00E6665E"/>
    <w:rsid w:val="00E66BA2"/>
    <w:rsid w:val="00E66EBE"/>
    <w:rsid w:val="00E67141"/>
    <w:rsid w:val="00E67416"/>
    <w:rsid w:val="00E70832"/>
    <w:rsid w:val="00E7168F"/>
    <w:rsid w:val="00E718B6"/>
    <w:rsid w:val="00E723BA"/>
    <w:rsid w:val="00E725DF"/>
    <w:rsid w:val="00E7294D"/>
    <w:rsid w:val="00E72E7A"/>
    <w:rsid w:val="00E733F7"/>
    <w:rsid w:val="00E73581"/>
    <w:rsid w:val="00E740B9"/>
    <w:rsid w:val="00E75172"/>
    <w:rsid w:val="00E75C16"/>
    <w:rsid w:val="00E76925"/>
    <w:rsid w:val="00E771A8"/>
    <w:rsid w:val="00E778B4"/>
    <w:rsid w:val="00E81073"/>
    <w:rsid w:val="00E82B3E"/>
    <w:rsid w:val="00E833F7"/>
    <w:rsid w:val="00E8386B"/>
    <w:rsid w:val="00E83A46"/>
    <w:rsid w:val="00E83BDF"/>
    <w:rsid w:val="00E84C6B"/>
    <w:rsid w:val="00E84DC8"/>
    <w:rsid w:val="00E85D34"/>
    <w:rsid w:val="00E86FCC"/>
    <w:rsid w:val="00E87A1D"/>
    <w:rsid w:val="00E90390"/>
    <w:rsid w:val="00E9094A"/>
    <w:rsid w:val="00E91D35"/>
    <w:rsid w:val="00E926A5"/>
    <w:rsid w:val="00E937C2"/>
    <w:rsid w:val="00E9492F"/>
    <w:rsid w:val="00E962CC"/>
    <w:rsid w:val="00EA10B1"/>
    <w:rsid w:val="00EA114D"/>
    <w:rsid w:val="00EA17C3"/>
    <w:rsid w:val="00EA1F7F"/>
    <w:rsid w:val="00EA20CB"/>
    <w:rsid w:val="00EA2CAA"/>
    <w:rsid w:val="00EA2D10"/>
    <w:rsid w:val="00EA3864"/>
    <w:rsid w:val="00EA3A7F"/>
    <w:rsid w:val="00EA69D0"/>
    <w:rsid w:val="00EA7456"/>
    <w:rsid w:val="00EA7F1C"/>
    <w:rsid w:val="00EB02C7"/>
    <w:rsid w:val="00EB15B6"/>
    <w:rsid w:val="00EB1AC2"/>
    <w:rsid w:val="00EB22B7"/>
    <w:rsid w:val="00EB2C9B"/>
    <w:rsid w:val="00EB3D06"/>
    <w:rsid w:val="00EB4916"/>
    <w:rsid w:val="00EB49C5"/>
    <w:rsid w:val="00EB76D3"/>
    <w:rsid w:val="00EC00C9"/>
    <w:rsid w:val="00EC0DD9"/>
    <w:rsid w:val="00EC232F"/>
    <w:rsid w:val="00EC2649"/>
    <w:rsid w:val="00EC2844"/>
    <w:rsid w:val="00EC31ED"/>
    <w:rsid w:val="00EC4AA9"/>
    <w:rsid w:val="00EC5836"/>
    <w:rsid w:val="00EC6718"/>
    <w:rsid w:val="00EC688C"/>
    <w:rsid w:val="00ED0ABB"/>
    <w:rsid w:val="00ED12E3"/>
    <w:rsid w:val="00ED1942"/>
    <w:rsid w:val="00ED254B"/>
    <w:rsid w:val="00ED495F"/>
    <w:rsid w:val="00ED4B04"/>
    <w:rsid w:val="00ED57EA"/>
    <w:rsid w:val="00ED5BD4"/>
    <w:rsid w:val="00EE037C"/>
    <w:rsid w:val="00EE059E"/>
    <w:rsid w:val="00EE07D3"/>
    <w:rsid w:val="00EE0868"/>
    <w:rsid w:val="00EE0A64"/>
    <w:rsid w:val="00EE0B1D"/>
    <w:rsid w:val="00EE0F05"/>
    <w:rsid w:val="00EE1996"/>
    <w:rsid w:val="00EE1C01"/>
    <w:rsid w:val="00EE22AF"/>
    <w:rsid w:val="00EE3A16"/>
    <w:rsid w:val="00EE6D52"/>
    <w:rsid w:val="00EE6D5F"/>
    <w:rsid w:val="00EF0171"/>
    <w:rsid w:val="00EF1B25"/>
    <w:rsid w:val="00EF1DA0"/>
    <w:rsid w:val="00EF2BDC"/>
    <w:rsid w:val="00EF4747"/>
    <w:rsid w:val="00EF4BF8"/>
    <w:rsid w:val="00EF5427"/>
    <w:rsid w:val="00EF5A86"/>
    <w:rsid w:val="00EF6200"/>
    <w:rsid w:val="00EF6632"/>
    <w:rsid w:val="00EF6A46"/>
    <w:rsid w:val="00EF6B11"/>
    <w:rsid w:val="00EF702A"/>
    <w:rsid w:val="00EF7CC5"/>
    <w:rsid w:val="00F02253"/>
    <w:rsid w:val="00F02F20"/>
    <w:rsid w:val="00F036DA"/>
    <w:rsid w:val="00F037F9"/>
    <w:rsid w:val="00F03C2E"/>
    <w:rsid w:val="00F0456F"/>
    <w:rsid w:val="00F04A66"/>
    <w:rsid w:val="00F04B4B"/>
    <w:rsid w:val="00F04FE7"/>
    <w:rsid w:val="00F0516C"/>
    <w:rsid w:val="00F061FF"/>
    <w:rsid w:val="00F067A2"/>
    <w:rsid w:val="00F06CF8"/>
    <w:rsid w:val="00F074B0"/>
    <w:rsid w:val="00F07B9E"/>
    <w:rsid w:val="00F07D8E"/>
    <w:rsid w:val="00F10687"/>
    <w:rsid w:val="00F1116F"/>
    <w:rsid w:val="00F1263A"/>
    <w:rsid w:val="00F12E8B"/>
    <w:rsid w:val="00F139C5"/>
    <w:rsid w:val="00F157D3"/>
    <w:rsid w:val="00F15B77"/>
    <w:rsid w:val="00F17EF0"/>
    <w:rsid w:val="00F21236"/>
    <w:rsid w:val="00F21343"/>
    <w:rsid w:val="00F23B84"/>
    <w:rsid w:val="00F24837"/>
    <w:rsid w:val="00F25204"/>
    <w:rsid w:val="00F2575F"/>
    <w:rsid w:val="00F25A20"/>
    <w:rsid w:val="00F27565"/>
    <w:rsid w:val="00F27C39"/>
    <w:rsid w:val="00F27CED"/>
    <w:rsid w:val="00F3031B"/>
    <w:rsid w:val="00F310D4"/>
    <w:rsid w:val="00F31D5A"/>
    <w:rsid w:val="00F323A3"/>
    <w:rsid w:val="00F32B55"/>
    <w:rsid w:val="00F33975"/>
    <w:rsid w:val="00F33DE9"/>
    <w:rsid w:val="00F344A6"/>
    <w:rsid w:val="00F35DE6"/>
    <w:rsid w:val="00F35E6D"/>
    <w:rsid w:val="00F35EF4"/>
    <w:rsid w:val="00F3619A"/>
    <w:rsid w:val="00F36305"/>
    <w:rsid w:val="00F368A5"/>
    <w:rsid w:val="00F374A0"/>
    <w:rsid w:val="00F37A3A"/>
    <w:rsid w:val="00F40AAA"/>
    <w:rsid w:val="00F40BA7"/>
    <w:rsid w:val="00F40F9D"/>
    <w:rsid w:val="00F41ACD"/>
    <w:rsid w:val="00F41CFB"/>
    <w:rsid w:val="00F4360E"/>
    <w:rsid w:val="00F46CB6"/>
    <w:rsid w:val="00F4756D"/>
    <w:rsid w:val="00F47DDA"/>
    <w:rsid w:val="00F47DE8"/>
    <w:rsid w:val="00F50002"/>
    <w:rsid w:val="00F50328"/>
    <w:rsid w:val="00F51DDC"/>
    <w:rsid w:val="00F542C1"/>
    <w:rsid w:val="00F544CB"/>
    <w:rsid w:val="00F5467E"/>
    <w:rsid w:val="00F54E8F"/>
    <w:rsid w:val="00F550E3"/>
    <w:rsid w:val="00F556F4"/>
    <w:rsid w:val="00F55E73"/>
    <w:rsid w:val="00F55EDA"/>
    <w:rsid w:val="00F56C80"/>
    <w:rsid w:val="00F5704D"/>
    <w:rsid w:val="00F5729E"/>
    <w:rsid w:val="00F60092"/>
    <w:rsid w:val="00F6088A"/>
    <w:rsid w:val="00F61C18"/>
    <w:rsid w:val="00F61D56"/>
    <w:rsid w:val="00F6371C"/>
    <w:rsid w:val="00F64DE4"/>
    <w:rsid w:val="00F65F4B"/>
    <w:rsid w:val="00F66123"/>
    <w:rsid w:val="00F66680"/>
    <w:rsid w:val="00F67A69"/>
    <w:rsid w:val="00F70BFF"/>
    <w:rsid w:val="00F70C9D"/>
    <w:rsid w:val="00F72C4A"/>
    <w:rsid w:val="00F73200"/>
    <w:rsid w:val="00F73C7E"/>
    <w:rsid w:val="00F73E08"/>
    <w:rsid w:val="00F74CD9"/>
    <w:rsid w:val="00F768CC"/>
    <w:rsid w:val="00F7788E"/>
    <w:rsid w:val="00F804C3"/>
    <w:rsid w:val="00F8067A"/>
    <w:rsid w:val="00F80A7B"/>
    <w:rsid w:val="00F80E5D"/>
    <w:rsid w:val="00F81E78"/>
    <w:rsid w:val="00F824FB"/>
    <w:rsid w:val="00F83266"/>
    <w:rsid w:val="00F83916"/>
    <w:rsid w:val="00F851CE"/>
    <w:rsid w:val="00F8549C"/>
    <w:rsid w:val="00F8737F"/>
    <w:rsid w:val="00F90414"/>
    <w:rsid w:val="00F91219"/>
    <w:rsid w:val="00F912FD"/>
    <w:rsid w:val="00F9212D"/>
    <w:rsid w:val="00F92444"/>
    <w:rsid w:val="00F9393E"/>
    <w:rsid w:val="00F9465D"/>
    <w:rsid w:val="00F963BD"/>
    <w:rsid w:val="00F96617"/>
    <w:rsid w:val="00F96FD0"/>
    <w:rsid w:val="00F9709E"/>
    <w:rsid w:val="00F97140"/>
    <w:rsid w:val="00F97A78"/>
    <w:rsid w:val="00FA09CE"/>
    <w:rsid w:val="00FA0B20"/>
    <w:rsid w:val="00FA2436"/>
    <w:rsid w:val="00FA24E7"/>
    <w:rsid w:val="00FA2A34"/>
    <w:rsid w:val="00FA2A40"/>
    <w:rsid w:val="00FA5EE6"/>
    <w:rsid w:val="00FA6ED7"/>
    <w:rsid w:val="00FA7956"/>
    <w:rsid w:val="00FB0824"/>
    <w:rsid w:val="00FB2FCB"/>
    <w:rsid w:val="00FB3650"/>
    <w:rsid w:val="00FB4150"/>
    <w:rsid w:val="00FB4C9C"/>
    <w:rsid w:val="00FB5156"/>
    <w:rsid w:val="00FB5BE6"/>
    <w:rsid w:val="00FB6E87"/>
    <w:rsid w:val="00FB716F"/>
    <w:rsid w:val="00FB7C55"/>
    <w:rsid w:val="00FB7CE1"/>
    <w:rsid w:val="00FC1074"/>
    <w:rsid w:val="00FC1884"/>
    <w:rsid w:val="00FC2A44"/>
    <w:rsid w:val="00FC371D"/>
    <w:rsid w:val="00FC42C0"/>
    <w:rsid w:val="00FC436C"/>
    <w:rsid w:val="00FC5F0B"/>
    <w:rsid w:val="00FC6528"/>
    <w:rsid w:val="00FC6E84"/>
    <w:rsid w:val="00FD1DAA"/>
    <w:rsid w:val="00FD2100"/>
    <w:rsid w:val="00FD2A49"/>
    <w:rsid w:val="00FD436C"/>
    <w:rsid w:val="00FD446D"/>
    <w:rsid w:val="00FD4F2C"/>
    <w:rsid w:val="00FD6394"/>
    <w:rsid w:val="00FD6E91"/>
    <w:rsid w:val="00FE0D9D"/>
    <w:rsid w:val="00FE0E6C"/>
    <w:rsid w:val="00FE1CDC"/>
    <w:rsid w:val="00FE70C3"/>
    <w:rsid w:val="00FE77D1"/>
    <w:rsid w:val="00FF1A8B"/>
    <w:rsid w:val="00FF1C9C"/>
    <w:rsid w:val="00FF2AD9"/>
    <w:rsid w:val="00FF359F"/>
    <w:rsid w:val="00FF3DCF"/>
    <w:rsid w:val="00FF492C"/>
    <w:rsid w:val="00FF4A21"/>
    <w:rsid w:val="00FF4C25"/>
    <w:rsid w:val="00FF5A37"/>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aliases w:val="Subsection Headings"/>
    <w:basedOn w:val="Normal"/>
    <w:next w:val="Normal"/>
    <w:link w:val="Heading2Char"/>
    <w:uiPriority w:val="1"/>
    <w:qFormat/>
    <w:rsid w:val="001B204E"/>
    <w:pPr>
      <w:outlineLvl w:val="1"/>
    </w:pPr>
    <w:rPr>
      <w:b/>
      <w:i/>
      <w:sz w:val="28"/>
    </w:rPr>
  </w:style>
  <w:style w:type="paragraph" w:styleId="Heading3">
    <w:name w:val="heading 3"/>
    <w:basedOn w:val="Normal"/>
    <w:next w:val="Normal"/>
    <w:link w:val="Heading3Char"/>
    <w:uiPriority w:val="9"/>
    <w:qFormat/>
    <w:rsid w:val="001F7361"/>
    <w:pPr>
      <w:outlineLvl w:val="2"/>
    </w:pPr>
    <w:rPr>
      <w:u w:val="single"/>
    </w:rPr>
  </w:style>
  <w:style w:type="paragraph" w:styleId="Heading4">
    <w:name w:val="heading 4"/>
    <w:basedOn w:val="Normal"/>
    <w:next w:val="Normal"/>
    <w:link w:val="Heading4Char"/>
    <w:uiPriority w:val="9"/>
    <w:qFormat/>
    <w:rsid w:val="00124A51"/>
    <w:pPr>
      <w:keepNext/>
      <w:spacing w:before="240" w:after="60"/>
      <w:outlineLvl w:val="3"/>
    </w:pPr>
    <w:rPr>
      <w:b/>
      <w:bCs/>
      <w:i/>
      <w:sz w:val="26"/>
      <w:szCs w:val="28"/>
    </w:rPr>
  </w:style>
  <w:style w:type="paragraph" w:styleId="Heading5">
    <w:name w:val="heading 5"/>
    <w:basedOn w:val="Normal"/>
    <w:next w:val="Normal"/>
    <w:link w:val="Heading5Char"/>
    <w:uiPriority w:val="9"/>
    <w:qFormat/>
    <w:rsid w:val="00124A51"/>
    <w:pPr>
      <w:spacing w:before="240" w:after="60"/>
      <w:outlineLvl w:val="4"/>
    </w:pPr>
    <w:rPr>
      <w:b/>
      <w:bCs/>
      <w:iCs/>
      <w:sz w:val="26"/>
      <w:szCs w:val="26"/>
    </w:rPr>
  </w:style>
  <w:style w:type="paragraph" w:styleId="Heading6">
    <w:name w:val="heading 6"/>
    <w:basedOn w:val="Normal"/>
    <w:next w:val="Normal"/>
    <w:link w:val="Heading6Char"/>
    <w:uiPriority w:val="9"/>
    <w:qFormat/>
    <w:rsid w:val="00124A51"/>
    <w:pPr>
      <w:spacing w:before="240" w:after="60"/>
      <w:outlineLvl w:val="5"/>
    </w:pPr>
    <w:rPr>
      <w:b/>
      <w:bCs/>
      <w:i/>
    </w:rPr>
  </w:style>
  <w:style w:type="paragraph" w:styleId="Heading7">
    <w:name w:val="heading 7"/>
    <w:basedOn w:val="Normal"/>
    <w:next w:val="Normal"/>
    <w:link w:val="Heading7Char"/>
    <w:uiPriority w:val="9"/>
    <w:qFormat/>
    <w:rsid w:val="00124A51"/>
    <w:pPr>
      <w:keepNext/>
      <w:jc w:val="center"/>
      <w:outlineLvl w:val="6"/>
    </w:pPr>
    <w:rPr>
      <w:b/>
      <w:sz w:val="20"/>
    </w:rPr>
  </w:style>
  <w:style w:type="paragraph" w:styleId="Heading8">
    <w:name w:val="heading 8"/>
    <w:basedOn w:val="Normal"/>
    <w:next w:val="Normal"/>
    <w:link w:val="Heading8Char"/>
    <w:uiPriority w:val="9"/>
    <w:qFormat/>
    <w:rsid w:val="00124A51"/>
    <w:pPr>
      <w:keepNext/>
      <w:jc w:val="right"/>
      <w:outlineLvl w:val="7"/>
    </w:pPr>
    <w:rPr>
      <w:b/>
    </w:rPr>
  </w:style>
  <w:style w:type="paragraph" w:styleId="Heading9">
    <w:name w:val="heading 9"/>
    <w:basedOn w:val="Normal"/>
    <w:next w:val="Normal"/>
    <w:link w:val="Heading9Char"/>
    <w:uiPriority w:val="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section Headings Char"/>
    <w:link w:val="Heading2"/>
    <w:uiPriority w:val="1"/>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uiPriority w:val="9"/>
    <w:rsid w:val="00124A51"/>
    <w:rPr>
      <w:rFonts w:ascii="Arial" w:hAnsi="Arial"/>
      <w:b/>
      <w:snapToGrid w:val="0"/>
      <w:lang w:eastAsia="en-US"/>
    </w:rPr>
  </w:style>
  <w:style w:type="character" w:customStyle="1" w:styleId="Heading8Char">
    <w:name w:val="Heading 8 Char"/>
    <w:basedOn w:val="DefaultParagraphFont"/>
    <w:link w:val="Heading8"/>
    <w:uiPriority w:val="9"/>
    <w:rsid w:val="00124A51"/>
    <w:rPr>
      <w:b/>
      <w:snapToGrid w:val="0"/>
      <w:sz w:val="24"/>
      <w:lang w:eastAsia="en-US"/>
    </w:rPr>
  </w:style>
  <w:style w:type="character" w:customStyle="1" w:styleId="Heading9Char">
    <w:name w:val="Heading 9 Char"/>
    <w:basedOn w:val="DefaultParagraphFont"/>
    <w:link w:val="Heading9"/>
    <w:uiPriority w:val="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qFormat/>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rsid w:val="00E16AD8"/>
    <w:rPr>
      <w:rFonts w:ascii="Arial Narrow" w:hAnsi="Arial Narrow" w:cs="Arial"/>
      <w:b/>
      <w:bCs/>
      <w:szCs w:val="18"/>
    </w:rPr>
  </w:style>
  <w:style w:type="paragraph" w:styleId="Title">
    <w:name w:val="Title"/>
    <w:basedOn w:val="Normal"/>
    <w:next w:val="Normal"/>
    <w:link w:val="TitleChar"/>
    <w:uiPriority w:val="10"/>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124A51"/>
    <w:rPr>
      <w:rFonts w:ascii="Cambria" w:hAnsi="Cambria"/>
      <w:b/>
      <w:bCs/>
      <w:snapToGrid w:val="0"/>
      <w:kern w:val="28"/>
      <w:sz w:val="32"/>
      <w:szCs w:val="32"/>
      <w:lang w:eastAsia="en-US"/>
    </w:rPr>
  </w:style>
  <w:style w:type="paragraph" w:styleId="BodyText">
    <w:name w:val="Body Text"/>
    <w:basedOn w:val="Normal"/>
    <w:link w:val="BodyTextChar"/>
    <w:uiPriority w:val="99"/>
    <w:rsid w:val="004B3DDB"/>
    <w:pPr>
      <w:jc w:val="left"/>
    </w:pPr>
  </w:style>
  <w:style w:type="character" w:customStyle="1" w:styleId="BodyTextChar">
    <w:name w:val="Body Text Char"/>
    <w:basedOn w:val="DefaultParagraphFont"/>
    <w:link w:val="BodyText"/>
    <w:uiPriority w:val="99"/>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Table Legend,Bullet1,Bullet 1,Bullet List,Section 5,ES Paragraph,PBAC ES Paragraph,PBAC normal points"/>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Table Legend Char,Bullet1 Char,Bullet 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HTAtableplain,PBAC table,MSD 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8D10A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CommentText">
    <w:name w:val="annotation text"/>
    <w:aliases w:val="Comment Text Char Char Char,Comment Text Char Char"/>
    <w:basedOn w:val="Normal"/>
    <w:link w:val="CommentTextChar"/>
    <w:uiPriority w:val="99"/>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uiPriority w:val="11"/>
    <w:rsid w:val="00B50DB8"/>
    <w:rPr>
      <w:lang w:eastAsia="en-US"/>
    </w:rPr>
  </w:style>
  <w:style w:type="paragraph" w:styleId="Subtitle">
    <w:name w:val="Subtitle"/>
    <w:basedOn w:val="Normal"/>
    <w:link w:val="SubtitleChar"/>
    <w:uiPriority w:val="11"/>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536F42"/>
    <w:rPr>
      <w:color w:val="800080" w:themeColor="followedHyperlink"/>
      <w:u w:val="single"/>
    </w:rPr>
  </w:style>
  <w:style w:type="character" w:styleId="PageNumber">
    <w:name w:val="page number"/>
    <w:basedOn w:val="DefaultParagraphFont"/>
    <w:uiPriority w:val="99"/>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7"/>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link w:val="TableFigureFooterChar"/>
    <w:qFormat/>
    <w:rsid w:val="00093E39"/>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093E39"/>
    <w:rPr>
      <w:rFonts w:ascii="Arial Narrow" w:hAnsi="Arial Narrow" w:cs="Arial"/>
      <w:snapToGrid w:val="0"/>
      <w:sz w:val="18"/>
      <w:szCs w:val="22"/>
    </w:rPr>
  </w:style>
  <w:style w:type="paragraph" w:customStyle="1" w:styleId="3Bodytext">
    <w:name w:val="3. Body text"/>
    <w:basedOn w:val="ListParagraph"/>
    <w:link w:val="3BodytextChar"/>
    <w:qFormat/>
    <w:rsid w:val="00454E54"/>
    <w:pPr>
      <w:numPr>
        <w:numId w:val="0"/>
      </w:numPr>
      <w:ind w:left="862" w:hanging="720"/>
      <w:jc w:val="left"/>
    </w:pPr>
    <w:rPr>
      <w:rFonts w:eastAsiaTheme="minorHAnsi" w:cstheme="minorBidi"/>
      <w:snapToGrid/>
      <w:szCs w:val="22"/>
    </w:rPr>
  </w:style>
  <w:style w:type="character" w:customStyle="1" w:styleId="3BodytextChar">
    <w:name w:val="3. Body text Char"/>
    <w:basedOn w:val="DefaultParagraphFont"/>
    <w:link w:val="3Bodytext"/>
    <w:rsid w:val="00454E54"/>
    <w:rPr>
      <w:rFonts w:asciiTheme="minorHAnsi" w:eastAsiaTheme="minorHAnsi" w:hAnsiTheme="minorHAnsi" w:cstheme="minorBidi"/>
      <w:sz w:val="24"/>
      <w:szCs w:val="22"/>
    </w:rPr>
  </w:style>
  <w:style w:type="paragraph" w:styleId="FootnoteText">
    <w:name w:val="footnote text"/>
    <w:basedOn w:val="Normal"/>
    <w:link w:val="FootnoteTextChar"/>
    <w:uiPriority w:val="99"/>
    <w:semiHidden/>
    <w:unhideWhenUsed/>
    <w:rsid w:val="00010D2A"/>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010D2A"/>
    <w:rPr>
      <w:rFonts w:ascii="Calibri" w:eastAsiaTheme="minorHAnsi" w:hAnsi="Calibri" w:cstheme="minorBidi"/>
      <w:lang w:eastAsia="en-US"/>
    </w:rPr>
  </w:style>
  <w:style w:type="character" w:styleId="FootnoteReference">
    <w:name w:val="footnote reference"/>
    <w:basedOn w:val="DefaultParagraphFont"/>
    <w:uiPriority w:val="99"/>
    <w:semiHidden/>
    <w:unhideWhenUsed/>
    <w:rsid w:val="00010D2A"/>
    <w:rPr>
      <w:vertAlign w:val="superscript"/>
    </w:rPr>
  </w:style>
  <w:style w:type="character" w:customStyle="1" w:styleId="TableTextChar1">
    <w:name w:val="TableText Char"/>
    <w:link w:val="TableText1"/>
    <w:locked/>
    <w:rsid w:val="007E7AC8"/>
    <w:rPr>
      <w:iCs/>
      <w:szCs w:val="18"/>
    </w:rPr>
  </w:style>
  <w:style w:type="paragraph" w:customStyle="1" w:styleId="TableText1">
    <w:name w:val="TableText"/>
    <w:basedOn w:val="Normal"/>
    <w:link w:val="TableTextChar1"/>
    <w:qFormat/>
    <w:rsid w:val="007E7AC8"/>
    <w:pPr>
      <w:spacing w:before="40" w:after="40"/>
      <w:jc w:val="left"/>
    </w:pPr>
    <w:rPr>
      <w:rFonts w:ascii="Times New Roman" w:hAnsi="Times New Roman" w:cs="Times New Roman"/>
      <w:iCs/>
      <w:sz w:val="20"/>
      <w:szCs w:val="18"/>
    </w:rPr>
  </w:style>
  <w:style w:type="numbering" w:customStyle="1" w:styleId="CurrentList15">
    <w:name w:val="Current List15"/>
    <w:uiPriority w:val="99"/>
    <w:rsid w:val="005A0927"/>
    <w:pPr>
      <w:numPr>
        <w:numId w:val="8"/>
      </w:numPr>
    </w:pPr>
  </w:style>
  <w:style w:type="character" w:styleId="Strong">
    <w:name w:val="Strong"/>
    <w:basedOn w:val="DefaultParagraphFont"/>
    <w:uiPriority w:val="22"/>
    <w:qFormat/>
    <w:rsid w:val="005A0927"/>
    <w:rPr>
      <w:b/>
      <w:bCs/>
    </w:rPr>
  </w:style>
  <w:style w:type="paragraph" w:customStyle="1" w:styleId="TableNotes">
    <w:name w:val="Table Notes"/>
    <w:basedOn w:val="Normal"/>
    <w:link w:val="TableNotesChar"/>
    <w:qFormat/>
    <w:rsid w:val="005A0927"/>
    <w:pPr>
      <w:spacing w:after="40" w:line="276" w:lineRule="auto"/>
      <w:jc w:val="left"/>
    </w:pPr>
    <w:rPr>
      <w:rFonts w:eastAsiaTheme="majorEastAsia" w:cstheme="majorBidi"/>
      <w:sz w:val="16"/>
      <w:szCs w:val="22"/>
      <w:lang w:eastAsia="en-US" w:bidi="en-US"/>
    </w:rPr>
  </w:style>
  <w:style w:type="character" w:customStyle="1" w:styleId="TableNotesChar">
    <w:name w:val="Table Notes Char"/>
    <w:basedOn w:val="DefaultParagraphFont"/>
    <w:link w:val="TableNotes"/>
    <w:rsid w:val="005A0927"/>
    <w:rPr>
      <w:rFonts w:ascii="Calibri" w:eastAsiaTheme="majorEastAsia" w:hAnsi="Calibri" w:cstheme="majorBidi"/>
      <w:sz w:val="16"/>
      <w:szCs w:val="22"/>
      <w:lang w:eastAsia="en-US" w:bidi="en-US"/>
    </w:rPr>
  </w:style>
  <w:style w:type="paragraph" w:customStyle="1" w:styleId="Body">
    <w:name w:val="Body"/>
    <w:basedOn w:val="Normal"/>
    <w:link w:val="BodyChar"/>
    <w:qFormat/>
    <w:rsid w:val="005A0927"/>
    <w:pPr>
      <w:spacing w:before="120" w:after="200" w:line="276" w:lineRule="auto"/>
    </w:pPr>
    <w:rPr>
      <w:rFonts w:eastAsia="Calibri" w:cs="Calibri"/>
      <w:sz w:val="22"/>
      <w:szCs w:val="22"/>
      <w:lang w:eastAsia="en-US"/>
    </w:rPr>
  </w:style>
  <w:style w:type="character" w:customStyle="1" w:styleId="BodyChar">
    <w:name w:val="Body Char"/>
    <w:link w:val="Body"/>
    <w:rsid w:val="005A0927"/>
    <w:rPr>
      <w:rFonts w:ascii="Calibri" w:eastAsia="Calibri" w:hAnsi="Calibri" w:cs="Calibri"/>
      <w:sz w:val="22"/>
      <w:szCs w:val="22"/>
      <w:lang w:eastAsia="en-US"/>
    </w:rPr>
  </w:style>
  <w:style w:type="paragraph" w:customStyle="1" w:styleId="BodyText0">
    <w:name w:val="BodyText"/>
    <w:basedOn w:val="Normal"/>
    <w:link w:val="BodyTextChar0"/>
    <w:qFormat/>
    <w:rsid w:val="005A0927"/>
    <w:pPr>
      <w:spacing w:before="120" w:after="240" w:line="288" w:lineRule="auto"/>
    </w:pPr>
    <w:rPr>
      <w:rFonts w:cs="Tahoma"/>
      <w:sz w:val="22"/>
      <w:szCs w:val="22"/>
    </w:rPr>
  </w:style>
  <w:style w:type="character" w:customStyle="1" w:styleId="BodyTextChar0">
    <w:name w:val="BodyText Char"/>
    <w:basedOn w:val="DefaultParagraphFont"/>
    <w:link w:val="BodyText0"/>
    <w:rsid w:val="005A0927"/>
    <w:rPr>
      <w:rFonts w:ascii="Calibri" w:hAnsi="Calibri" w:cs="Tahoma"/>
      <w:sz w:val="22"/>
      <w:szCs w:val="22"/>
    </w:rPr>
  </w:style>
  <w:style w:type="character" w:customStyle="1" w:styleId="Heading1Char">
    <w:name w:val="Heading 1 Char"/>
    <w:basedOn w:val="DefaultParagraphFont"/>
    <w:link w:val="Heading1"/>
    <w:uiPriority w:val="1"/>
    <w:rsid w:val="00D02FE8"/>
    <w:rPr>
      <w:rFonts w:ascii="Calibri" w:hAnsi="Calibri" w:cs="Arial"/>
      <w:b/>
      <w:caps/>
      <w:sz w:val="32"/>
      <w:szCs w:val="24"/>
    </w:rPr>
  </w:style>
  <w:style w:type="character" w:customStyle="1" w:styleId="Heading3Char">
    <w:name w:val="Heading 3 Char"/>
    <w:basedOn w:val="DefaultParagraphFont"/>
    <w:link w:val="Heading3"/>
    <w:uiPriority w:val="9"/>
    <w:rsid w:val="00D02FE8"/>
    <w:rPr>
      <w:rFonts w:ascii="Calibri" w:hAnsi="Calibri" w:cs="Arial"/>
      <w:sz w:val="24"/>
      <w:szCs w:val="24"/>
      <w:u w:val="single"/>
    </w:rPr>
  </w:style>
  <w:style w:type="character" w:customStyle="1" w:styleId="Heading4Char">
    <w:name w:val="Heading 4 Char"/>
    <w:basedOn w:val="DefaultParagraphFont"/>
    <w:link w:val="Heading4"/>
    <w:uiPriority w:val="9"/>
    <w:rsid w:val="00D02FE8"/>
    <w:rPr>
      <w:rFonts w:ascii="Calibri" w:hAnsi="Calibri" w:cs="Arial"/>
      <w:b/>
      <w:bCs/>
      <w:i/>
      <w:sz w:val="26"/>
      <w:szCs w:val="28"/>
    </w:rPr>
  </w:style>
  <w:style w:type="character" w:customStyle="1" w:styleId="Heading5Char">
    <w:name w:val="Heading 5 Char"/>
    <w:basedOn w:val="DefaultParagraphFont"/>
    <w:link w:val="Heading5"/>
    <w:uiPriority w:val="9"/>
    <w:rsid w:val="00D02FE8"/>
    <w:rPr>
      <w:rFonts w:ascii="Calibri" w:hAnsi="Calibri" w:cs="Arial"/>
      <w:b/>
      <w:bCs/>
      <w:iCs/>
      <w:sz w:val="26"/>
      <w:szCs w:val="26"/>
    </w:rPr>
  </w:style>
  <w:style w:type="character" w:customStyle="1" w:styleId="Heading6Char">
    <w:name w:val="Heading 6 Char"/>
    <w:basedOn w:val="DefaultParagraphFont"/>
    <w:link w:val="Heading6"/>
    <w:uiPriority w:val="9"/>
    <w:rsid w:val="00D02FE8"/>
    <w:rPr>
      <w:rFonts w:ascii="Calibri" w:hAnsi="Calibri" w:cs="Arial"/>
      <w:b/>
      <w:bCs/>
      <w:i/>
      <w:sz w:val="24"/>
      <w:szCs w:val="24"/>
    </w:rPr>
  </w:style>
  <w:style w:type="paragraph" w:customStyle="1" w:styleId="TableFootnote">
    <w:name w:val="Table Footnote"/>
    <w:basedOn w:val="Normal"/>
    <w:qFormat/>
    <w:rsid w:val="00D02FE8"/>
    <w:pPr>
      <w:spacing w:after="240"/>
      <w:contextualSpacing/>
      <w:jc w:val="left"/>
    </w:pPr>
    <w:rPr>
      <w:rFonts w:eastAsia="Calibri"/>
      <w:i/>
      <w:sz w:val="16"/>
      <w:lang w:eastAsia="en-US"/>
    </w:rPr>
  </w:style>
  <w:style w:type="character" w:customStyle="1" w:styleId="UnresolvedMention1">
    <w:name w:val="Unresolved Mention1"/>
    <w:uiPriority w:val="99"/>
    <w:semiHidden/>
    <w:unhideWhenUsed/>
    <w:rsid w:val="00D02FE8"/>
    <w:rPr>
      <w:color w:val="605E5C"/>
      <w:shd w:val="clear" w:color="auto" w:fill="E1DFDD"/>
    </w:rPr>
  </w:style>
  <w:style w:type="numbering" w:customStyle="1" w:styleId="CurrentList17">
    <w:name w:val="Current List17"/>
    <w:uiPriority w:val="99"/>
    <w:rsid w:val="00D02FE8"/>
    <w:pPr>
      <w:numPr>
        <w:numId w:val="28"/>
      </w:numPr>
    </w:pPr>
  </w:style>
  <w:style w:type="paragraph" w:customStyle="1" w:styleId="EndNoteBibliography">
    <w:name w:val="EndNote Bibliography"/>
    <w:basedOn w:val="Normal"/>
    <w:link w:val="EndNoteBibliographyChar"/>
    <w:rsid w:val="00D02FE8"/>
    <w:pPr>
      <w:spacing w:after="240"/>
      <w:jc w:val="left"/>
    </w:pPr>
    <w:rPr>
      <w:rFonts w:eastAsia="Calibri" w:cs="Calibri"/>
      <w:lang w:val="en-US" w:eastAsia="en-US"/>
    </w:rPr>
  </w:style>
  <w:style w:type="character" w:customStyle="1" w:styleId="EndNoteBibliographyChar">
    <w:name w:val="EndNote Bibliography Char"/>
    <w:link w:val="EndNoteBibliography"/>
    <w:rsid w:val="00D02FE8"/>
    <w:rPr>
      <w:rFonts w:ascii="Calibri" w:eastAsia="Calibri" w:hAnsi="Calibri" w:cs="Calibri"/>
      <w:sz w:val="24"/>
      <w:szCs w:val="24"/>
      <w:lang w:val="en-US" w:eastAsia="en-US"/>
    </w:rPr>
  </w:style>
  <w:style w:type="paragraph" w:styleId="TableofFigures">
    <w:name w:val="table of figures"/>
    <w:basedOn w:val="Normal"/>
    <w:next w:val="Normal"/>
    <w:uiPriority w:val="99"/>
    <w:unhideWhenUsed/>
    <w:rsid w:val="00D02FE8"/>
    <w:pPr>
      <w:jc w:val="left"/>
    </w:pPr>
    <w:rPr>
      <w:rFonts w:eastAsia="Calibri"/>
      <w:lang w:eastAsia="en-US"/>
    </w:rPr>
  </w:style>
  <w:style w:type="paragraph" w:customStyle="1" w:styleId="ESHeading3">
    <w:name w:val="ES Heading 3"/>
    <w:basedOn w:val="Heading3"/>
    <w:next w:val="Normal"/>
    <w:link w:val="ESHeading3Char"/>
    <w:qFormat/>
    <w:rsid w:val="00D02FE8"/>
    <w:pPr>
      <w:keepNext/>
      <w:keepLines/>
      <w:numPr>
        <w:ilvl w:val="2"/>
        <w:numId w:val="14"/>
      </w:numPr>
      <w:spacing w:before="40" w:after="240"/>
      <w:jc w:val="left"/>
    </w:pPr>
    <w:rPr>
      <w:rFonts w:cs="Times New Roman"/>
      <w:b/>
      <w:color w:val="000000"/>
      <w:u w:val="none"/>
      <w:lang w:eastAsia="en-US"/>
    </w:rPr>
  </w:style>
  <w:style w:type="numbering" w:customStyle="1" w:styleId="CurrentList1">
    <w:name w:val="Current List1"/>
    <w:uiPriority w:val="99"/>
    <w:rsid w:val="00D02FE8"/>
    <w:pPr>
      <w:numPr>
        <w:numId w:val="12"/>
      </w:numPr>
    </w:pPr>
  </w:style>
  <w:style w:type="character" w:customStyle="1" w:styleId="ESHeading3Char">
    <w:name w:val="ES Heading 3 Char"/>
    <w:link w:val="ESHeading3"/>
    <w:rsid w:val="00D02FE8"/>
    <w:rPr>
      <w:rFonts w:ascii="Calibri" w:hAnsi="Calibri"/>
      <w:b/>
      <w:color w:val="000000"/>
      <w:sz w:val="24"/>
      <w:szCs w:val="24"/>
      <w:lang w:eastAsia="en-US"/>
    </w:rPr>
  </w:style>
  <w:style w:type="paragraph" w:customStyle="1" w:styleId="ESHeading4">
    <w:name w:val="ES Heading 4"/>
    <w:basedOn w:val="ESHeading3"/>
    <w:next w:val="Normal"/>
    <w:link w:val="ESHeading4Char"/>
    <w:qFormat/>
    <w:rsid w:val="00D02FE8"/>
    <w:pPr>
      <w:numPr>
        <w:ilvl w:val="3"/>
      </w:numPr>
    </w:pPr>
  </w:style>
  <w:style w:type="numbering" w:customStyle="1" w:styleId="CurrentList2">
    <w:name w:val="Current List2"/>
    <w:uiPriority w:val="99"/>
    <w:rsid w:val="00D02FE8"/>
    <w:pPr>
      <w:numPr>
        <w:numId w:val="13"/>
      </w:numPr>
    </w:pPr>
  </w:style>
  <w:style w:type="character" w:customStyle="1" w:styleId="ESHeading4Char">
    <w:name w:val="ES Heading 4 Char"/>
    <w:link w:val="ESHeading4"/>
    <w:rsid w:val="00D02FE8"/>
    <w:rPr>
      <w:rFonts w:ascii="Calibri" w:hAnsi="Calibri"/>
      <w:b/>
      <w:color w:val="000000"/>
      <w:sz w:val="24"/>
      <w:szCs w:val="24"/>
      <w:lang w:eastAsia="en-US"/>
    </w:rPr>
  </w:style>
  <w:style w:type="paragraph" w:styleId="ListBullet2">
    <w:name w:val="List Bullet 2"/>
    <w:basedOn w:val="Normal"/>
    <w:uiPriority w:val="99"/>
    <w:unhideWhenUsed/>
    <w:rsid w:val="00D02FE8"/>
    <w:pPr>
      <w:numPr>
        <w:numId w:val="11"/>
      </w:numPr>
      <w:spacing w:after="240"/>
      <w:contextualSpacing/>
      <w:jc w:val="left"/>
    </w:pPr>
    <w:rPr>
      <w:rFonts w:eastAsia="Calibri"/>
      <w:lang w:eastAsia="en-US"/>
    </w:rPr>
  </w:style>
  <w:style w:type="paragraph" w:styleId="ListBullet3">
    <w:name w:val="List Bullet 3"/>
    <w:basedOn w:val="Normal"/>
    <w:uiPriority w:val="99"/>
    <w:unhideWhenUsed/>
    <w:rsid w:val="00D02FE8"/>
    <w:pPr>
      <w:numPr>
        <w:numId w:val="10"/>
      </w:numPr>
      <w:spacing w:after="240"/>
      <w:contextualSpacing/>
      <w:jc w:val="left"/>
    </w:pPr>
    <w:rPr>
      <w:rFonts w:eastAsia="Calibri"/>
      <w:lang w:eastAsia="en-US"/>
    </w:rPr>
  </w:style>
  <w:style w:type="paragraph" w:styleId="ListBullet4">
    <w:name w:val="List Bullet 4"/>
    <w:basedOn w:val="Normal"/>
    <w:uiPriority w:val="99"/>
    <w:unhideWhenUsed/>
    <w:rsid w:val="00D02FE8"/>
    <w:pPr>
      <w:numPr>
        <w:numId w:val="9"/>
      </w:numPr>
      <w:spacing w:after="240"/>
      <w:contextualSpacing/>
      <w:jc w:val="left"/>
    </w:pPr>
    <w:rPr>
      <w:rFonts w:eastAsia="Calibri"/>
      <w:lang w:eastAsia="en-US"/>
    </w:rPr>
  </w:style>
  <w:style w:type="paragraph" w:customStyle="1" w:styleId="Heading1nonumber">
    <w:name w:val="Heading 1 (no number)"/>
    <w:basedOn w:val="Heading1"/>
    <w:next w:val="Normal"/>
    <w:link w:val="Heading1nonumberChar"/>
    <w:qFormat/>
    <w:rsid w:val="00D02FE8"/>
    <w:pPr>
      <w:keepNext/>
      <w:keepLines/>
      <w:pageBreakBefore/>
      <w:pBdr>
        <w:bottom w:val="single" w:sz="4" w:space="1" w:color="auto"/>
      </w:pBdr>
      <w:spacing w:before="240" w:after="240"/>
      <w:ind w:left="0" w:firstLine="0"/>
      <w:jc w:val="left"/>
    </w:pPr>
    <w:rPr>
      <w:rFonts w:ascii="Calibri Light" w:hAnsi="Calibri Light" w:cs="Times New Roman"/>
      <w:caps w:val="0"/>
      <w:color w:val="000000"/>
      <w:sz w:val="36"/>
      <w:szCs w:val="32"/>
      <w:lang w:eastAsia="en-US"/>
    </w:rPr>
  </w:style>
  <w:style w:type="numbering" w:customStyle="1" w:styleId="CurrentList3">
    <w:name w:val="Current List3"/>
    <w:uiPriority w:val="99"/>
    <w:rsid w:val="00D02FE8"/>
    <w:pPr>
      <w:numPr>
        <w:numId w:val="15"/>
      </w:numPr>
    </w:pPr>
  </w:style>
  <w:style w:type="character" w:customStyle="1" w:styleId="Heading1nonumberChar">
    <w:name w:val="Heading 1 (no number) Char"/>
    <w:link w:val="Heading1nonumber"/>
    <w:rsid w:val="00D02FE8"/>
    <w:rPr>
      <w:rFonts w:ascii="Calibri Light" w:hAnsi="Calibri Light"/>
      <w:b/>
      <w:color w:val="000000"/>
      <w:sz w:val="36"/>
      <w:szCs w:val="32"/>
      <w:lang w:eastAsia="en-US"/>
    </w:rPr>
  </w:style>
  <w:style w:type="numbering" w:customStyle="1" w:styleId="CurrentList4">
    <w:name w:val="Current List4"/>
    <w:uiPriority w:val="99"/>
    <w:rsid w:val="00D02FE8"/>
    <w:pPr>
      <w:numPr>
        <w:numId w:val="16"/>
      </w:numPr>
    </w:pPr>
  </w:style>
  <w:style w:type="numbering" w:customStyle="1" w:styleId="CurrentList5">
    <w:name w:val="Current List5"/>
    <w:uiPriority w:val="99"/>
    <w:rsid w:val="00D02FE8"/>
    <w:pPr>
      <w:numPr>
        <w:numId w:val="17"/>
      </w:numPr>
    </w:pPr>
  </w:style>
  <w:style w:type="numbering" w:customStyle="1" w:styleId="CurrentList6">
    <w:name w:val="Current List6"/>
    <w:uiPriority w:val="99"/>
    <w:rsid w:val="00D02FE8"/>
    <w:pPr>
      <w:numPr>
        <w:numId w:val="18"/>
      </w:numPr>
    </w:pPr>
  </w:style>
  <w:style w:type="numbering" w:customStyle="1" w:styleId="CurrentList7">
    <w:name w:val="Current List7"/>
    <w:uiPriority w:val="99"/>
    <w:rsid w:val="00D02FE8"/>
    <w:pPr>
      <w:numPr>
        <w:numId w:val="19"/>
      </w:numPr>
    </w:pPr>
  </w:style>
  <w:style w:type="numbering" w:customStyle="1" w:styleId="CurrentList8">
    <w:name w:val="Current List8"/>
    <w:uiPriority w:val="99"/>
    <w:rsid w:val="00D02FE8"/>
    <w:pPr>
      <w:numPr>
        <w:numId w:val="20"/>
      </w:numPr>
    </w:pPr>
  </w:style>
  <w:style w:type="numbering" w:customStyle="1" w:styleId="CurrentList9">
    <w:name w:val="Current List9"/>
    <w:uiPriority w:val="99"/>
    <w:rsid w:val="00D02FE8"/>
    <w:pPr>
      <w:numPr>
        <w:numId w:val="21"/>
      </w:numPr>
    </w:pPr>
  </w:style>
  <w:style w:type="numbering" w:customStyle="1" w:styleId="CurrentList10">
    <w:name w:val="Current List10"/>
    <w:uiPriority w:val="99"/>
    <w:rsid w:val="00D02FE8"/>
    <w:pPr>
      <w:numPr>
        <w:numId w:val="22"/>
      </w:numPr>
    </w:pPr>
  </w:style>
  <w:style w:type="numbering" w:customStyle="1" w:styleId="CurrentList11">
    <w:name w:val="Current List11"/>
    <w:uiPriority w:val="99"/>
    <w:rsid w:val="00D02FE8"/>
    <w:pPr>
      <w:numPr>
        <w:numId w:val="23"/>
      </w:numPr>
    </w:pPr>
  </w:style>
  <w:style w:type="numbering" w:customStyle="1" w:styleId="CurrentList12">
    <w:name w:val="Current List12"/>
    <w:uiPriority w:val="99"/>
    <w:rsid w:val="00D02FE8"/>
    <w:pPr>
      <w:numPr>
        <w:numId w:val="24"/>
      </w:numPr>
    </w:pPr>
  </w:style>
  <w:style w:type="numbering" w:customStyle="1" w:styleId="CurrentList13">
    <w:name w:val="Current List13"/>
    <w:uiPriority w:val="99"/>
    <w:rsid w:val="00D02FE8"/>
    <w:pPr>
      <w:numPr>
        <w:numId w:val="25"/>
      </w:numPr>
    </w:pPr>
  </w:style>
  <w:style w:type="numbering" w:customStyle="1" w:styleId="CurrentList14">
    <w:name w:val="Current List14"/>
    <w:uiPriority w:val="99"/>
    <w:rsid w:val="00D02FE8"/>
    <w:pPr>
      <w:numPr>
        <w:numId w:val="26"/>
      </w:numPr>
    </w:pPr>
  </w:style>
  <w:style w:type="numbering" w:customStyle="1" w:styleId="CurrentList16">
    <w:name w:val="Current List16"/>
    <w:uiPriority w:val="99"/>
    <w:rsid w:val="00D02FE8"/>
    <w:pPr>
      <w:numPr>
        <w:numId w:val="27"/>
      </w:numPr>
    </w:pPr>
  </w:style>
  <w:style w:type="numbering" w:customStyle="1" w:styleId="CurrentList18">
    <w:name w:val="Current List18"/>
    <w:uiPriority w:val="99"/>
    <w:rsid w:val="00D02FE8"/>
    <w:pPr>
      <w:numPr>
        <w:numId w:val="29"/>
      </w:numPr>
    </w:pPr>
  </w:style>
  <w:style w:type="numbering" w:customStyle="1" w:styleId="CurrentList19">
    <w:name w:val="Current List19"/>
    <w:uiPriority w:val="99"/>
    <w:rsid w:val="00D02FE8"/>
    <w:pPr>
      <w:numPr>
        <w:numId w:val="30"/>
      </w:numPr>
    </w:pPr>
  </w:style>
  <w:style w:type="paragraph" w:customStyle="1" w:styleId="Heading50">
    <w:name w:val="Heading5"/>
    <w:basedOn w:val="Normal"/>
    <w:uiPriority w:val="99"/>
    <w:qFormat/>
    <w:rsid w:val="00D02FE8"/>
    <w:pPr>
      <w:keepNext/>
      <w:tabs>
        <w:tab w:val="left" w:pos="1430"/>
      </w:tabs>
      <w:spacing w:before="120" w:after="120"/>
      <w:outlineLvl w:val="4"/>
    </w:pPr>
    <w:rPr>
      <w:rFonts w:cs="Times New Roman"/>
      <w:bCs/>
      <w:i/>
      <w:sz w:val="22"/>
      <w:szCs w:val="32"/>
      <w:lang w:eastAsia="en-US"/>
    </w:rPr>
  </w:style>
  <w:style w:type="character" w:styleId="PlaceholderText">
    <w:name w:val="Placeholder Text"/>
    <w:basedOn w:val="DefaultParagraphFont"/>
    <w:uiPriority w:val="99"/>
    <w:semiHidden/>
    <w:rsid w:val="00D02FE8"/>
    <w:rPr>
      <w:color w:val="808080"/>
    </w:rPr>
  </w:style>
  <w:style w:type="paragraph" w:customStyle="1" w:styleId="Heading40">
    <w:name w:val="Heading4"/>
    <w:basedOn w:val="Normal"/>
    <w:link w:val="Heading4Char0"/>
    <w:uiPriority w:val="99"/>
    <w:qFormat/>
    <w:rsid w:val="00D02FE8"/>
    <w:pPr>
      <w:keepNext/>
      <w:tabs>
        <w:tab w:val="left" w:pos="1430"/>
      </w:tabs>
      <w:spacing w:before="120" w:after="120"/>
      <w:outlineLvl w:val="3"/>
    </w:pPr>
    <w:rPr>
      <w:rFonts w:ascii="Arial Bold" w:hAnsi="Arial Bold" w:cs="Times New Roman"/>
      <w:b/>
      <w:bCs/>
      <w:i/>
      <w:sz w:val="22"/>
      <w:szCs w:val="32"/>
      <w:lang w:eastAsia="en-US"/>
    </w:rPr>
  </w:style>
  <w:style w:type="character" w:customStyle="1" w:styleId="Heading4Char0">
    <w:name w:val="Heading4 Char"/>
    <w:link w:val="Heading40"/>
    <w:uiPriority w:val="99"/>
    <w:locked/>
    <w:rsid w:val="00D02FE8"/>
    <w:rPr>
      <w:rFonts w:ascii="Arial Bold" w:hAnsi="Arial Bold"/>
      <w:b/>
      <w:bCs/>
      <w:i/>
      <w:sz w:val="22"/>
      <w:szCs w:val="32"/>
      <w:lang w:eastAsia="en-US"/>
    </w:rPr>
  </w:style>
  <w:style w:type="paragraph" w:customStyle="1" w:styleId="Style4">
    <w:name w:val="Style4"/>
    <w:basedOn w:val="Normal"/>
    <w:link w:val="Style4Char"/>
    <w:qFormat/>
    <w:rsid w:val="00D02FE8"/>
    <w:pPr>
      <w:keepNext/>
      <w:keepLines/>
      <w:spacing w:before="40" w:line="259" w:lineRule="auto"/>
      <w:jc w:val="left"/>
      <w:outlineLvl w:val="1"/>
    </w:pPr>
    <w:rPr>
      <w:rFonts w:asciiTheme="minorHAnsi" w:eastAsiaTheme="majorEastAsia" w:hAnsiTheme="minorHAnsi" w:cstheme="majorBidi"/>
      <w:b/>
      <w:sz w:val="28"/>
      <w:szCs w:val="26"/>
      <w:lang w:eastAsia="en-US"/>
    </w:rPr>
  </w:style>
  <w:style w:type="paragraph" w:customStyle="1" w:styleId="Style5">
    <w:name w:val="Style5"/>
    <w:basedOn w:val="Heading3"/>
    <w:link w:val="Style5Char"/>
    <w:qFormat/>
    <w:rsid w:val="00D02FE8"/>
    <w:pPr>
      <w:keepNext/>
      <w:keepLines/>
      <w:spacing w:before="40" w:line="259" w:lineRule="auto"/>
      <w:jc w:val="left"/>
    </w:pPr>
    <w:rPr>
      <w:rFonts w:asciiTheme="majorHAnsi" w:eastAsiaTheme="majorEastAsia" w:hAnsiTheme="majorHAnsi" w:cstheme="majorBidi"/>
      <w:b/>
      <w:color w:val="243F60" w:themeColor="accent1" w:themeShade="7F"/>
      <w:lang w:eastAsia="en-US"/>
    </w:rPr>
  </w:style>
  <w:style w:type="character" w:customStyle="1" w:styleId="Style4Char">
    <w:name w:val="Style4 Char"/>
    <w:basedOn w:val="DefaultParagraphFont"/>
    <w:link w:val="Style4"/>
    <w:rsid w:val="00D02FE8"/>
    <w:rPr>
      <w:rFonts w:asciiTheme="minorHAnsi" w:eastAsiaTheme="majorEastAsia" w:hAnsiTheme="minorHAnsi" w:cstheme="majorBidi"/>
      <w:b/>
      <w:sz w:val="28"/>
      <w:szCs w:val="26"/>
      <w:lang w:eastAsia="en-US"/>
    </w:rPr>
  </w:style>
  <w:style w:type="character" w:customStyle="1" w:styleId="Style5Char">
    <w:name w:val="Style5 Char"/>
    <w:basedOn w:val="Heading3Char"/>
    <w:link w:val="Style5"/>
    <w:rsid w:val="00D02FE8"/>
    <w:rPr>
      <w:rFonts w:asciiTheme="majorHAnsi" w:eastAsiaTheme="majorEastAsia" w:hAnsiTheme="majorHAnsi" w:cstheme="majorBidi"/>
      <w:b/>
      <w:color w:val="243F60" w:themeColor="accent1" w:themeShade="7F"/>
      <w:sz w:val="24"/>
      <w:szCs w:val="24"/>
      <w:u w:val="single"/>
      <w:lang w:eastAsia="en-US"/>
    </w:rPr>
  </w:style>
  <w:style w:type="paragraph" w:customStyle="1" w:styleId="Style1">
    <w:name w:val="Style1"/>
    <w:basedOn w:val="Heading1"/>
    <w:link w:val="Style1Char"/>
    <w:qFormat/>
    <w:rsid w:val="00D02FE8"/>
    <w:pPr>
      <w:keepNext/>
      <w:keepLines/>
      <w:spacing w:before="240" w:line="259" w:lineRule="auto"/>
      <w:ind w:left="0" w:firstLine="0"/>
      <w:jc w:val="left"/>
    </w:pPr>
    <w:rPr>
      <w:rFonts w:asciiTheme="majorHAnsi" w:eastAsiaTheme="majorEastAsia" w:hAnsiTheme="majorHAnsi" w:cstheme="majorBidi"/>
      <w:caps w:val="0"/>
      <w:color w:val="365F91" w:themeColor="accent1" w:themeShade="BF"/>
      <w:sz w:val="28"/>
      <w:szCs w:val="32"/>
      <w:lang w:eastAsia="en-US"/>
    </w:rPr>
  </w:style>
  <w:style w:type="character" w:customStyle="1" w:styleId="Style1Char">
    <w:name w:val="Style1 Char"/>
    <w:basedOn w:val="Heading1Char"/>
    <w:link w:val="Style1"/>
    <w:rsid w:val="00D02FE8"/>
    <w:rPr>
      <w:rFonts w:asciiTheme="majorHAnsi" w:eastAsiaTheme="majorEastAsia" w:hAnsiTheme="majorHAnsi" w:cstheme="majorBidi"/>
      <w:b/>
      <w:caps w:val="0"/>
      <w:color w:val="365F91" w:themeColor="accent1" w:themeShade="BF"/>
      <w:sz w:val="28"/>
      <w:szCs w:val="32"/>
      <w:lang w:eastAsia="en-US"/>
    </w:rPr>
  </w:style>
  <w:style w:type="paragraph" w:customStyle="1" w:styleId="Style2">
    <w:name w:val="Style2"/>
    <w:basedOn w:val="Heading2"/>
    <w:link w:val="Style2Char"/>
    <w:qFormat/>
    <w:rsid w:val="00D02FE8"/>
    <w:pPr>
      <w:keepNext/>
      <w:keepLines/>
      <w:spacing w:before="40" w:line="259" w:lineRule="auto"/>
      <w:jc w:val="left"/>
    </w:pPr>
    <w:rPr>
      <w:rFonts w:asciiTheme="majorHAnsi" w:eastAsiaTheme="majorEastAsia" w:hAnsiTheme="majorHAnsi" w:cstheme="majorBidi"/>
      <w:b w:val="0"/>
      <w:i w:val="0"/>
      <w:color w:val="365F91" w:themeColor="accent1" w:themeShade="BF"/>
      <w:sz w:val="26"/>
      <w:szCs w:val="26"/>
      <w:lang w:eastAsia="en-US"/>
    </w:rPr>
  </w:style>
  <w:style w:type="paragraph" w:customStyle="1" w:styleId="Style3">
    <w:name w:val="Style3"/>
    <w:basedOn w:val="Style2"/>
    <w:link w:val="Style3Char"/>
    <w:qFormat/>
    <w:rsid w:val="00D02FE8"/>
    <w:rPr>
      <w:rFonts w:ascii="Arial" w:hAnsi="Arial"/>
      <w:b/>
    </w:rPr>
  </w:style>
  <w:style w:type="character" w:customStyle="1" w:styleId="Style2Char">
    <w:name w:val="Style2 Char"/>
    <w:basedOn w:val="Heading2Char"/>
    <w:link w:val="Style2"/>
    <w:rsid w:val="00D02FE8"/>
    <w:rPr>
      <w:rFonts w:asciiTheme="majorHAnsi" w:eastAsiaTheme="majorEastAsia" w:hAnsiTheme="majorHAnsi" w:cstheme="majorBidi"/>
      <w:b w:val="0"/>
      <w:i w:val="0"/>
      <w:snapToGrid/>
      <w:color w:val="365F91" w:themeColor="accent1" w:themeShade="BF"/>
      <w:sz w:val="26"/>
      <w:szCs w:val="26"/>
      <w:lang w:eastAsia="en-US"/>
    </w:rPr>
  </w:style>
  <w:style w:type="character" w:customStyle="1" w:styleId="Style3Char">
    <w:name w:val="Style3 Char"/>
    <w:basedOn w:val="Style2Char"/>
    <w:link w:val="Style3"/>
    <w:rsid w:val="00D02FE8"/>
    <w:rPr>
      <w:rFonts w:ascii="Arial" w:eastAsiaTheme="majorEastAsia" w:hAnsi="Arial" w:cstheme="majorBidi"/>
      <w:b/>
      <w:i w:val="0"/>
      <w:snapToGrid/>
      <w:color w:val="365F91" w:themeColor="accent1" w:themeShade="BF"/>
      <w:sz w:val="26"/>
      <w:szCs w:val="26"/>
      <w:lang w:eastAsia="en-US"/>
    </w:rPr>
  </w:style>
  <w:style w:type="paragraph" w:customStyle="1" w:styleId="Style6">
    <w:name w:val="Style6"/>
    <w:basedOn w:val="FootnoteText"/>
    <w:next w:val="FootnoteText"/>
    <w:link w:val="Style6Char"/>
    <w:qFormat/>
    <w:rsid w:val="00D02FE8"/>
    <w:pPr>
      <w:jc w:val="left"/>
    </w:pPr>
    <w:rPr>
      <w:rFonts w:asciiTheme="minorHAnsi" w:hAnsiTheme="minorHAnsi"/>
    </w:rPr>
  </w:style>
  <w:style w:type="character" w:customStyle="1" w:styleId="Style6Char">
    <w:name w:val="Style6 Char"/>
    <w:basedOn w:val="FootnoteTextChar"/>
    <w:link w:val="Style6"/>
    <w:rsid w:val="00D02FE8"/>
    <w:rPr>
      <w:rFonts w:asciiTheme="minorHAnsi" w:eastAsiaTheme="minorHAnsi" w:hAnsiTheme="minorHAnsi" w:cstheme="minorBidi"/>
      <w:lang w:eastAsia="en-US"/>
    </w:rPr>
  </w:style>
  <w:style w:type="paragraph" w:customStyle="1" w:styleId="Style7">
    <w:name w:val="Style7"/>
    <w:basedOn w:val="Style6"/>
    <w:link w:val="Style7Char"/>
    <w:qFormat/>
    <w:rsid w:val="00D02FE8"/>
    <w:rPr>
      <w:rFonts w:asciiTheme="majorHAnsi" w:hAnsiTheme="majorHAnsi"/>
      <w:b/>
      <w:sz w:val="24"/>
    </w:rPr>
  </w:style>
  <w:style w:type="character" w:customStyle="1" w:styleId="Style7Char">
    <w:name w:val="Style7 Char"/>
    <w:basedOn w:val="Style6Char"/>
    <w:link w:val="Style7"/>
    <w:rsid w:val="00D02FE8"/>
    <w:rPr>
      <w:rFonts w:asciiTheme="majorHAnsi" w:eastAsiaTheme="minorHAnsi" w:hAnsiTheme="majorHAnsi" w:cstheme="minorBidi"/>
      <w:b/>
      <w:sz w:val="24"/>
      <w:lang w:eastAsia="en-US"/>
    </w:rPr>
  </w:style>
  <w:style w:type="paragraph" w:customStyle="1" w:styleId="Table">
    <w:name w:val="Table"/>
    <w:basedOn w:val="Normal"/>
    <w:qFormat/>
    <w:rsid w:val="00D02FE8"/>
    <w:pPr>
      <w:jc w:val="left"/>
    </w:pPr>
    <w:rPr>
      <w:rFonts w:eastAsiaTheme="majorEastAsia" w:cstheme="majorBidi"/>
      <w:sz w:val="20"/>
      <w:szCs w:val="22"/>
      <w:lang w:eastAsia="en-US" w:bidi="en-US"/>
    </w:rPr>
  </w:style>
  <w:style w:type="character" w:customStyle="1" w:styleId="NormalFont">
    <w:name w:val="Normal Font"/>
    <w:basedOn w:val="DefaultParagraphFont"/>
    <w:uiPriority w:val="99"/>
    <w:qFormat/>
    <w:rsid w:val="00D02FE8"/>
    <w:rPr>
      <w:rFonts w:ascii="Calibri" w:hAnsi="Calibri" w:cs="Times New Roman"/>
      <w:sz w:val="24"/>
    </w:rPr>
  </w:style>
  <w:style w:type="paragraph" w:customStyle="1" w:styleId="TableFigNotes0">
    <w:name w:val="TableFigNotes+0"/>
    <w:basedOn w:val="Normal"/>
    <w:uiPriority w:val="4"/>
    <w:rsid w:val="00D02FE8"/>
    <w:pPr>
      <w:keepNext/>
      <w:keepLines/>
      <w:jc w:val="left"/>
    </w:pPr>
    <w:rPr>
      <w:rFonts w:cs="Tahoma"/>
      <w:color w:val="000000"/>
      <w:sz w:val="16"/>
      <w:szCs w:val="18"/>
    </w:rPr>
  </w:style>
  <w:style w:type="character" w:customStyle="1" w:styleId="Mention1">
    <w:name w:val="Mention1"/>
    <w:basedOn w:val="DefaultParagraphFont"/>
    <w:uiPriority w:val="99"/>
    <w:unhideWhenUsed/>
    <w:rsid w:val="00D02FE8"/>
    <w:rPr>
      <w:color w:val="2B579A"/>
      <w:shd w:val="clear" w:color="auto" w:fill="E1DFDD"/>
    </w:rPr>
  </w:style>
  <w:style w:type="character" w:customStyle="1" w:styleId="A5">
    <w:name w:val="A5"/>
    <w:uiPriority w:val="99"/>
    <w:rsid w:val="00D02FE8"/>
    <w:rPr>
      <w:rFonts w:cs="ScalaLancetPro"/>
      <w:color w:val="000000"/>
      <w:sz w:val="9"/>
      <w:szCs w:val="9"/>
    </w:rPr>
  </w:style>
  <w:style w:type="character" w:customStyle="1" w:styleId="UnresolvedMention11">
    <w:name w:val="Unresolved Mention11"/>
    <w:uiPriority w:val="99"/>
    <w:semiHidden/>
    <w:unhideWhenUsed/>
    <w:rsid w:val="009412C8"/>
    <w:rPr>
      <w:color w:val="605E5C"/>
      <w:shd w:val="clear" w:color="auto" w:fill="E1DFDD"/>
    </w:rPr>
  </w:style>
  <w:style w:type="character" w:customStyle="1" w:styleId="Mention11">
    <w:name w:val="Mention11"/>
    <w:basedOn w:val="DefaultParagraphFont"/>
    <w:uiPriority w:val="99"/>
    <w:unhideWhenUsed/>
    <w:rsid w:val="009412C8"/>
    <w:rPr>
      <w:color w:val="2B579A"/>
      <w:shd w:val="clear" w:color="auto" w:fill="E1DFDD"/>
    </w:rPr>
  </w:style>
  <w:style w:type="table" w:customStyle="1" w:styleId="CMATableTemplate1">
    <w:name w:val="CMA Table Template1"/>
    <w:basedOn w:val="TableNormal"/>
    <w:next w:val="TableGrid"/>
    <w:uiPriority w:val="39"/>
    <w:rsid w:val="00941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semiHidden/>
    <w:unhideWhenUsed/>
    <w:rsid w:val="00BE22DD"/>
    <w:rPr>
      <w:vertAlign w:val="superscript"/>
    </w:rPr>
  </w:style>
  <w:style w:type="character" w:styleId="UnresolvedMention">
    <w:name w:val="Unresolved Mention"/>
    <w:basedOn w:val="DefaultParagraphFont"/>
    <w:uiPriority w:val="99"/>
    <w:semiHidden/>
    <w:unhideWhenUsed/>
    <w:rsid w:val="0021370B"/>
    <w:rPr>
      <w:color w:val="605E5C"/>
      <w:shd w:val="clear" w:color="auto" w:fill="E1DFDD"/>
    </w:rPr>
  </w:style>
  <w:style w:type="character" w:customStyle="1" w:styleId="label-">
    <w:name w:val="label-"/>
    <w:basedOn w:val="DefaultParagraphFont"/>
    <w:rsid w:val="000557C9"/>
  </w:style>
  <w:style w:type="paragraph" w:customStyle="1" w:styleId="TableLeft">
    <w:name w:val="Table Left"/>
    <w:basedOn w:val="Normal"/>
    <w:link w:val="TableLeftChar"/>
    <w:uiPriority w:val="99"/>
    <w:qFormat/>
    <w:rsid w:val="005A255E"/>
    <w:pPr>
      <w:jc w:val="left"/>
    </w:pPr>
    <w:rPr>
      <w:rFonts w:eastAsiaTheme="majorEastAsia" w:cstheme="majorBidi"/>
      <w:sz w:val="18"/>
      <w:szCs w:val="22"/>
      <w:lang w:eastAsia="en-US" w:bidi="en-US"/>
    </w:rPr>
  </w:style>
  <w:style w:type="character" w:customStyle="1" w:styleId="TableLeftChar">
    <w:name w:val="Table Left Char"/>
    <w:basedOn w:val="DefaultParagraphFont"/>
    <w:link w:val="TableLeft"/>
    <w:uiPriority w:val="99"/>
    <w:locked/>
    <w:rsid w:val="005A255E"/>
    <w:rPr>
      <w:rFonts w:ascii="Calibri" w:eastAsiaTheme="majorEastAsia" w:hAnsi="Calibri" w:cstheme="majorBidi"/>
      <w:sz w:val="18"/>
      <w:szCs w:val="22"/>
      <w:lang w:eastAsia="en-US" w:bidi="en-US"/>
    </w:rPr>
  </w:style>
  <w:style w:type="table" w:customStyle="1" w:styleId="TableGrid1">
    <w:name w:val="Table Grid1"/>
    <w:basedOn w:val="TableNormal"/>
    <w:next w:val="TableGrid"/>
    <w:uiPriority w:val="59"/>
    <w:rsid w:val="005A255E"/>
    <w:rPr>
      <w:rFonts w:eastAsia="Batang"/>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Centre">
    <w:name w:val="Table Centre"/>
    <w:basedOn w:val="Normal"/>
    <w:qFormat/>
    <w:rsid w:val="005A255E"/>
    <w:pPr>
      <w:jc w:val="center"/>
    </w:pPr>
    <w:rPr>
      <w:rFonts w:eastAsiaTheme="majorEastAsia" w:cstheme="majorBidi"/>
      <w:sz w:val="18"/>
      <w:szCs w:val="22"/>
      <w:lang w:eastAsia="en-US" w:bidi="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646F8"/>
    <w:pPr>
      <w:spacing w:after="160" w:line="240" w:lineRule="exact"/>
      <w:jc w:val="left"/>
    </w:pPr>
    <w:rPr>
      <w:rFonts w:ascii="Verdana" w:eastAsia="MS Mincho" w:hAnsi="Verdana" w:cs="Verdana"/>
      <w:sz w:val="20"/>
      <w:szCs w:val="20"/>
      <w:lang w:val="en-US" w:eastAsia="en-US"/>
    </w:rPr>
  </w:style>
  <w:style w:type="character" w:customStyle="1" w:styleId="text-widget">
    <w:name w:val="text-widget"/>
    <w:basedOn w:val="DefaultParagraphFont"/>
    <w:rsid w:val="00C646F8"/>
  </w:style>
  <w:style w:type="paragraph" w:customStyle="1" w:styleId="C-BodyText">
    <w:name w:val="C-Body Text"/>
    <w:link w:val="C-BodyTextChar"/>
    <w:rsid w:val="00C646F8"/>
    <w:pPr>
      <w:spacing w:before="120" w:after="120" w:line="280" w:lineRule="atLeast"/>
    </w:pPr>
    <w:rPr>
      <w:sz w:val="24"/>
      <w:lang w:val="en-US" w:eastAsia="en-US"/>
    </w:rPr>
  </w:style>
  <w:style w:type="character" w:customStyle="1" w:styleId="C-BodyTextChar">
    <w:name w:val="C-Body Text Char"/>
    <w:link w:val="C-BodyText"/>
    <w:rsid w:val="00C646F8"/>
    <w:rPr>
      <w:sz w:val="24"/>
      <w:lang w:val="en-US" w:eastAsia="en-US"/>
    </w:rPr>
  </w:style>
  <w:style w:type="paragraph" w:customStyle="1" w:styleId="3-SubsectionHeading">
    <w:name w:val="3-Subsection Heading"/>
    <w:basedOn w:val="Heading2"/>
    <w:next w:val="Normal"/>
    <w:link w:val="3-SubsectionHeadingChar"/>
    <w:qFormat/>
    <w:rsid w:val="00ED254B"/>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ED254B"/>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9924">
      <w:bodyDiv w:val="1"/>
      <w:marLeft w:val="0"/>
      <w:marRight w:val="0"/>
      <w:marTop w:val="0"/>
      <w:marBottom w:val="0"/>
      <w:divBdr>
        <w:top w:val="none" w:sz="0" w:space="0" w:color="auto"/>
        <w:left w:val="none" w:sz="0" w:space="0" w:color="auto"/>
        <w:bottom w:val="none" w:sz="0" w:space="0" w:color="auto"/>
        <w:right w:val="none" w:sz="0" w:space="0" w:color="auto"/>
      </w:divBdr>
    </w:div>
    <w:div w:id="12583897">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84177645">
      <w:bodyDiv w:val="1"/>
      <w:marLeft w:val="0"/>
      <w:marRight w:val="0"/>
      <w:marTop w:val="0"/>
      <w:marBottom w:val="0"/>
      <w:divBdr>
        <w:top w:val="none" w:sz="0" w:space="0" w:color="auto"/>
        <w:left w:val="none" w:sz="0" w:space="0" w:color="auto"/>
        <w:bottom w:val="none" w:sz="0" w:space="0" w:color="auto"/>
        <w:right w:val="none" w:sz="0" w:space="0" w:color="auto"/>
      </w:divBdr>
    </w:div>
    <w:div w:id="210265797">
      <w:bodyDiv w:val="1"/>
      <w:marLeft w:val="0"/>
      <w:marRight w:val="0"/>
      <w:marTop w:val="0"/>
      <w:marBottom w:val="0"/>
      <w:divBdr>
        <w:top w:val="none" w:sz="0" w:space="0" w:color="auto"/>
        <w:left w:val="none" w:sz="0" w:space="0" w:color="auto"/>
        <w:bottom w:val="none" w:sz="0" w:space="0" w:color="auto"/>
        <w:right w:val="none" w:sz="0" w:space="0" w:color="auto"/>
      </w:divBdr>
    </w:div>
    <w:div w:id="296762448">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36277753">
      <w:bodyDiv w:val="1"/>
      <w:marLeft w:val="0"/>
      <w:marRight w:val="0"/>
      <w:marTop w:val="0"/>
      <w:marBottom w:val="0"/>
      <w:divBdr>
        <w:top w:val="none" w:sz="0" w:space="0" w:color="auto"/>
        <w:left w:val="none" w:sz="0" w:space="0" w:color="auto"/>
        <w:bottom w:val="none" w:sz="0" w:space="0" w:color="auto"/>
        <w:right w:val="none" w:sz="0" w:space="0" w:color="auto"/>
      </w:divBdr>
    </w:div>
    <w:div w:id="345794942">
      <w:bodyDiv w:val="1"/>
      <w:marLeft w:val="0"/>
      <w:marRight w:val="0"/>
      <w:marTop w:val="0"/>
      <w:marBottom w:val="0"/>
      <w:divBdr>
        <w:top w:val="none" w:sz="0" w:space="0" w:color="auto"/>
        <w:left w:val="none" w:sz="0" w:space="0" w:color="auto"/>
        <w:bottom w:val="none" w:sz="0" w:space="0" w:color="auto"/>
        <w:right w:val="none" w:sz="0" w:space="0" w:color="auto"/>
      </w:divBdr>
    </w:div>
    <w:div w:id="399988408">
      <w:bodyDiv w:val="1"/>
      <w:marLeft w:val="0"/>
      <w:marRight w:val="0"/>
      <w:marTop w:val="0"/>
      <w:marBottom w:val="0"/>
      <w:divBdr>
        <w:top w:val="none" w:sz="0" w:space="0" w:color="auto"/>
        <w:left w:val="none" w:sz="0" w:space="0" w:color="auto"/>
        <w:bottom w:val="none" w:sz="0" w:space="0" w:color="auto"/>
        <w:right w:val="none" w:sz="0" w:space="0" w:color="auto"/>
      </w:divBdr>
    </w:div>
    <w:div w:id="463430796">
      <w:bodyDiv w:val="1"/>
      <w:marLeft w:val="0"/>
      <w:marRight w:val="0"/>
      <w:marTop w:val="0"/>
      <w:marBottom w:val="0"/>
      <w:divBdr>
        <w:top w:val="none" w:sz="0" w:space="0" w:color="auto"/>
        <w:left w:val="none" w:sz="0" w:space="0" w:color="auto"/>
        <w:bottom w:val="none" w:sz="0" w:space="0" w:color="auto"/>
        <w:right w:val="none" w:sz="0" w:space="0" w:color="auto"/>
      </w:divBdr>
    </w:div>
    <w:div w:id="469401529">
      <w:bodyDiv w:val="1"/>
      <w:marLeft w:val="0"/>
      <w:marRight w:val="0"/>
      <w:marTop w:val="0"/>
      <w:marBottom w:val="0"/>
      <w:divBdr>
        <w:top w:val="none" w:sz="0" w:space="0" w:color="auto"/>
        <w:left w:val="none" w:sz="0" w:space="0" w:color="auto"/>
        <w:bottom w:val="none" w:sz="0" w:space="0" w:color="auto"/>
        <w:right w:val="none" w:sz="0" w:space="0" w:color="auto"/>
      </w:divBdr>
    </w:div>
    <w:div w:id="492718721">
      <w:bodyDiv w:val="1"/>
      <w:marLeft w:val="0"/>
      <w:marRight w:val="0"/>
      <w:marTop w:val="0"/>
      <w:marBottom w:val="0"/>
      <w:divBdr>
        <w:top w:val="none" w:sz="0" w:space="0" w:color="auto"/>
        <w:left w:val="none" w:sz="0" w:space="0" w:color="auto"/>
        <w:bottom w:val="none" w:sz="0" w:space="0" w:color="auto"/>
        <w:right w:val="none" w:sz="0" w:space="0" w:color="auto"/>
      </w:divBdr>
    </w:div>
    <w:div w:id="496727914">
      <w:bodyDiv w:val="1"/>
      <w:marLeft w:val="0"/>
      <w:marRight w:val="0"/>
      <w:marTop w:val="0"/>
      <w:marBottom w:val="0"/>
      <w:divBdr>
        <w:top w:val="none" w:sz="0" w:space="0" w:color="auto"/>
        <w:left w:val="none" w:sz="0" w:space="0" w:color="auto"/>
        <w:bottom w:val="none" w:sz="0" w:space="0" w:color="auto"/>
        <w:right w:val="none" w:sz="0" w:space="0" w:color="auto"/>
      </w:divBdr>
    </w:div>
    <w:div w:id="559636597">
      <w:bodyDiv w:val="1"/>
      <w:marLeft w:val="0"/>
      <w:marRight w:val="0"/>
      <w:marTop w:val="0"/>
      <w:marBottom w:val="0"/>
      <w:divBdr>
        <w:top w:val="none" w:sz="0" w:space="0" w:color="auto"/>
        <w:left w:val="none" w:sz="0" w:space="0" w:color="auto"/>
        <w:bottom w:val="none" w:sz="0" w:space="0" w:color="auto"/>
        <w:right w:val="none" w:sz="0" w:space="0" w:color="auto"/>
      </w:divBdr>
    </w:div>
    <w:div w:id="562638487">
      <w:bodyDiv w:val="1"/>
      <w:marLeft w:val="0"/>
      <w:marRight w:val="0"/>
      <w:marTop w:val="0"/>
      <w:marBottom w:val="0"/>
      <w:divBdr>
        <w:top w:val="none" w:sz="0" w:space="0" w:color="auto"/>
        <w:left w:val="none" w:sz="0" w:space="0" w:color="auto"/>
        <w:bottom w:val="none" w:sz="0" w:space="0" w:color="auto"/>
        <w:right w:val="none" w:sz="0" w:space="0" w:color="auto"/>
      </w:divBdr>
    </w:div>
    <w:div w:id="574240507">
      <w:bodyDiv w:val="1"/>
      <w:marLeft w:val="0"/>
      <w:marRight w:val="0"/>
      <w:marTop w:val="0"/>
      <w:marBottom w:val="0"/>
      <w:divBdr>
        <w:top w:val="none" w:sz="0" w:space="0" w:color="auto"/>
        <w:left w:val="none" w:sz="0" w:space="0" w:color="auto"/>
        <w:bottom w:val="none" w:sz="0" w:space="0" w:color="auto"/>
        <w:right w:val="none" w:sz="0" w:space="0" w:color="auto"/>
      </w:divBdr>
    </w:div>
    <w:div w:id="612133572">
      <w:bodyDiv w:val="1"/>
      <w:marLeft w:val="0"/>
      <w:marRight w:val="0"/>
      <w:marTop w:val="0"/>
      <w:marBottom w:val="0"/>
      <w:divBdr>
        <w:top w:val="none" w:sz="0" w:space="0" w:color="auto"/>
        <w:left w:val="none" w:sz="0" w:space="0" w:color="auto"/>
        <w:bottom w:val="none" w:sz="0" w:space="0" w:color="auto"/>
        <w:right w:val="none" w:sz="0" w:space="0" w:color="auto"/>
      </w:divBdr>
    </w:div>
    <w:div w:id="618495067">
      <w:bodyDiv w:val="1"/>
      <w:marLeft w:val="0"/>
      <w:marRight w:val="0"/>
      <w:marTop w:val="0"/>
      <w:marBottom w:val="0"/>
      <w:divBdr>
        <w:top w:val="none" w:sz="0" w:space="0" w:color="auto"/>
        <w:left w:val="none" w:sz="0" w:space="0" w:color="auto"/>
        <w:bottom w:val="none" w:sz="0" w:space="0" w:color="auto"/>
        <w:right w:val="none" w:sz="0" w:space="0" w:color="auto"/>
      </w:divBdr>
    </w:div>
    <w:div w:id="630746722">
      <w:bodyDiv w:val="1"/>
      <w:marLeft w:val="0"/>
      <w:marRight w:val="0"/>
      <w:marTop w:val="0"/>
      <w:marBottom w:val="0"/>
      <w:divBdr>
        <w:top w:val="none" w:sz="0" w:space="0" w:color="auto"/>
        <w:left w:val="none" w:sz="0" w:space="0" w:color="auto"/>
        <w:bottom w:val="none" w:sz="0" w:space="0" w:color="auto"/>
        <w:right w:val="none" w:sz="0" w:space="0" w:color="auto"/>
      </w:divBdr>
    </w:div>
    <w:div w:id="81495266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41700694">
      <w:bodyDiv w:val="1"/>
      <w:marLeft w:val="0"/>
      <w:marRight w:val="0"/>
      <w:marTop w:val="0"/>
      <w:marBottom w:val="0"/>
      <w:divBdr>
        <w:top w:val="none" w:sz="0" w:space="0" w:color="auto"/>
        <w:left w:val="none" w:sz="0" w:space="0" w:color="auto"/>
        <w:bottom w:val="none" w:sz="0" w:space="0" w:color="auto"/>
        <w:right w:val="none" w:sz="0" w:space="0" w:color="auto"/>
      </w:divBdr>
    </w:div>
    <w:div w:id="896598331">
      <w:bodyDiv w:val="1"/>
      <w:marLeft w:val="0"/>
      <w:marRight w:val="0"/>
      <w:marTop w:val="0"/>
      <w:marBottom w:val="0"/>
      <w:divBdr>
        <w:top w:val="none" w:sz="0" w:space="0" w:color="auto"/>
        <w:left w:val="none" w:sz="0" w:space="0" w:color="auto"/>
        <w:bottom w:val="none" w:sz="0" w:space="0" w:color="auto"/>
        <w:right w:val="none" w:sz="0" w:space="0" w:color="auto"/>
      </w:divBdr>
    </w:div>
    <w:div w:id="980423050">
      <w:bodyDiv w:val="1"/>
      <w:marLeft w:val="0"/>
      <w:marRight w:val="0"/>
      <w:marTop w:val="0"/>
      <w:marBottom w:val="0"/>
      <w:divBdr>
        <w:top w:val="none" w:sz="0" w:space="0" w:color="auto"/>
        <w:left w:val="none" w:sz="0" w:space="0" w:color="auto"/>
        <w:bottom w:val="none" w:sz="0" w:space="0" w:color="auto"/>
        <w:right w:val="none" w:sz="0" w:space="0" w:color="auto"/>
      </w:divBdr>
    </w:div>
    <w:div w:id="982007617">
      <w:bodyDiv w:val="1"/>
      <w:marLeft w:val="0"/>
      <w:marRight w:val="0"/>
      <w:marTop w:val="0"/>
      <w:marBottom w:val="0"/>
      <w:divBdr>
        <w:top w:val="none" w:sz="0" w:space="0" w:color="auto"/>
        <w:left w:val="none" w:sz="0" w:space="0" w:color="auto"/>
        <w:bottom w:val="none" w:sz="0" w:space="0" w:color="auto"/>
        <w:right w:val="none" w:sz="0" w:space="0" w:color="auto"/>
      </w:divBdr>
    </w:div>
    <w:div w:id="1001464462">
      <w:bodyDiv w:val="1"/>
      <w:marLeft w:val="0"/>
      <w:marRight w:val="0"/>
      <w:marTop w:val="0"/>
      <w:marBottom w:val="0"/>
      <w:divBdr>
        <w:top w:val="none" w:sz="0" w:space="0" w:color="auto"/>
        <w:left w:val="none" w:sz="0" w:space="0" w:color="auto"/>
        <w:bottom w:val="none" w:sz="0" w:space="0" w:color="auto"/>
        <w:right w:val="none" w:sz="0" w:space="0" w:color="auto"/>
      </w:divBdr>
    </w:div>
    <w:div w:id="1029722035">
      <w:bodyDiv w:val="1"/>
      <w:marLeft w:val="0"/>
      <w:marRight w:val="0"/>
      <w:marTop w:val="0"/>
      <w:marBottom w:val="0"/>
      <w:divBdr>
        <w:top w:val="none" w:sz="0" w:space="0" w:color="auto"/>
        <w:left w:val="none" w:sz="0" w:space="0" w:color="auto"/>
        <w:bottom w:val="none" w:sz="0" w:space="0" w:color="auto"/>
        <w:right w:val="none" w:sz="0" w:space="0" w:color="auto"/>
      </w:divBdr>
    </w:div>
    <w:div w:id="1044479683">
      <w:bodyDiv w:val="1"/>
      <w:marLeft w:val="0"/>
      <w:marRight w:val="0"/>
      <w:marTop w:val="0"/>
      <w:marBottom w:val="0"/>
      <w:divBdr>
        <w:top w:val="none" w:sz="0" w:space="0" w:color="auto"/>
        <w:left w:val="none" w:sz="0" w:space="0" w:color="auto"/>
        <w:bottom w:val="none" w:sz="0" w:space="0" w:color="auto"/>
        <w:right w:val="none" w:sz="0" w:space="0" w:color="auto"/>
      </w:divBdr>
    </w:div>
    <w:div w:id="1080758632">
      <w:bodyDiv w:val="1"/>
      <w:marLeft w:val="0"/>
      <w:marRight w:val="0"/>
      <w:marTop w:val="0"/>
      <w:marBottom w:val="0"/>
      <w:divBdr>
        <w:top w:val="none" w:sz="0" w:space="0" w:color="auto"/>
        <w:left w:val="none" w:sz="0" w:space="0" w:color="auto"/>
        <w:bottom w:val="none" w:sz="0" w:space="0" w:color="auto"/>
        <w:right w:val="none" w:sz="0" w:space="0" w:color="auto"/>
      </w:divBdr>
    </w:div>
    <w:div w:id="1124078399">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27100">
      <w:bodyDiv w:val="1"/>
      <w:marLeft w:val="0"/>
      <w:marRight w:val="0"/>
      <w:marTop w:val="0"/>
      <w:marBottom w:val="0"/>
      <w:divBdr>
        <w:top w:val="none" w:sz="0" w:space="0" w:color="auto"/>
        <w:left w:val="none" w:sz="0" w:space="0" w:color="auto"/>
        <w:bottom w:val="none" w:sz="0" w:space="0" w:color="auto"/>
        <w:right w:val="none" w:sz="0" w:space="0" w:color="auto"/>
      </w:divBdr>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187451495">
      <w:bodyDiv w:val="1"/>
      <w:marLeft w:val="0"/>
      <w:marRight w:val="0"/>
      <w:marTop w:val="0"/>
      <w:marBottom w:val="0"/>
      <w:divBdr>
        <w:top w:val="none" w:sz="0" w:space="0" w:color="auto"/>
        <w:left w:val="none" w:sz="0" w:space="0" w:color="auto"/>
        <w:bottom w:val="none" w:sz="0" w:space="0" w:color="auto"/>
        <w:right w:val="none" w:sz="0" w:space="0" w:color="auto"/>
      </w:divBdr>
    </w:div>
    <w:div w:id="1188910076">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28436331">
      <w:bodyDiv w:val="1"/>
      <w:marLeft w:val="0"/>
      <w:marRight w:val="0"/>
      <w:marTop w:val="0"/>
      <w:marBottom w:val="0"/>
      <w:divBdr>
        <w:top w:val="none" w:sz="0" w:space="0" w:color="auto"/>
        <w:left w:val="none" w:sz="0" w:space="0" w:color="auto"/>
        <w:bottom w:val="none" w:sz="0" w:space="0" w:color="auto"/>
        <w:right w:val="none" w:sz="0" w:space="0" w:color="auto"/>
      </w:divBdr>
    </w:div>
    <w:div w:id="1368874146">
      <w:bodyDiv w:val="1"/>
      <w:marLeft w:val="0"/>
      <w:marRight w:val="0"/>
      <w:marTop w:val="0"/>
      <w:marBottom w:val="0"/>
      <w:divBdr>
        <w:top w:val="none" w:sz="0" w:space="0" w:color="auto"/>
        <w:left w:val="none" w:sz="0" w:space="0" w:color="auto"/>
        <w:bottom w:val="none" w:sz="0" w:space="0" w:color="auto"/>
        <w:right w:val="none" w:sz="0" w:space="0" w:color="auto"/>
      </w:divBdr>
    </w:div>
    <w:div w:id="1380208572">
      <w:bodyDiv w:val="1"/>
      <w:marLeft w:val="0"/>
      <w:marRight w:val="0"/>
      <w:marTop w:val="0"/>
      <w:marBottom w:val="0"/>
      <w:divBdr>
        <w:top w:val="none" w:sz="0" w:space="0" w:color="auto"/>
        <w:left w:val="none" w:sz="0" w:space="0" w:color="auto"/>
        <w:bottom w:val="none" w:sz="0" w:space="0" w:color="auto"/>
        <w:right w:val="none" w:sz="0" w:space="0" w:color="auto"/>
      </w:divBdr>
    </w:div>
    <w:div w:id="1394742254">
      <w:bodyDiv w:val="1"/>
      <w:marLeft w:val="0"/>
      <w:marRight w:val="0"/>
      <w:marTop w:val="0"/>
      <w:marBottom w:val="0"/>
      <w:divBdr>
        <w:top w:val="none" w:sz="0" w:space="0" w:color="auto"/>
        <w:left w:val="none" w:sz="0" w:space="0" w:color="auto"/>
        <w:bottom w:val="none" w:sz="0" w:space="0" w:color="auto"/>
        <w:right w:val="none" w:sz="0" w:space="0" w:color="auto"/>
      </w:divBdr>
    </w:div>
    <w:div w:id="1436828386">
      <w:bodyDiv w:val="1"/>
      <w:marLeft w:val="0"/>
      <w:marRight w:val="0"/>
      <w:marTop w:val="0"/>
      <w:marBottom w:val="0"/>
      <w:divBdr>
        <w:top w:val="none" w:sz="0" w:space="0" w:color="auto"/>
        <w:left w:val="none" w:sz="0" w:space="0" w:color="auto"/>
        <w:bottom w:val="none" w:sz="0" w:space="0" w:color="auto"/>
        <w:right w:val="none" w:sz="0" w:space="0" w:color="auto"/>
      </w:divBdr>
    </w:div>
    <w:div w:id="1477917563">
      <w:bodyDiv w:val="1"/>
      <w:marLeft w:val="0"/>
      <w:marRight w:val="0"/>
      <w:marTop w:val="0"/>
      <w:marBottom w:val="0"/>
      <w:divBdr>
        <w:top w:val="none" w:sz="0" w:space="0" w:color="auto"/>
        <w:left w:val="none" w:sz="0" w:space="0" w:color="auto"/>
        <w:bottom w:val="none" w:sz="0" w:space="0" w:color="auto"/>
        <w:right w:val="none" w:sz="0" w:space="0" w:color="auto"/>
      </w:divBdr>
    </w:div>
    <w:div w:id="1675108487">
      <w:bodyDiv w:val="1"/>
      <w:marLeft w:val="0"/>
      <w:marRight w:val="0"/>
      <w:marTop w:val="0"/>
      <w:marBottom w:val="0"/>
      <w:divBdr>
        <w:top w:val="none" w:sz="0" w:space="0" w:color="auto"/>
        <w:left w:val="none" w:sz="0" w:space="0" w:color="auto"/>
        <w:bottom w:val="none" w:sz="0" w:space="0" w:color="auto"/>
        <w:right w:val="none" w:sz="0" w:space="0" w:color="auto"/>
      </w:divBdr>
    </w:div>
    <w:div w:id="1850411155">
      <w:bodyDiv w:val="1"/>
      <w:marLeft w:val="0"/>
      <w:marRight w:val="0"/>
      <w:marTop w:val="0"/>
      <w:marBottom w:val="0"/>
      <w:divBdr>
        <w:top w:val="none" w:sz="0" w:space="0" w:color="auto"/>
        <w:left w:val="none" w:sz="0" w:space="0" w:color="auto"/>
        <w:bottom w:val="none" w:sz="0" w:space="0" w:color="auto"/>
        <w:right w:val="none" w:sz="0" w:space="0" w:color="auto"/>
      </w:divBdr>
    </w:div>
    <w:div w:id="1916620856">
      <w:bodyDiv w:val="1"/>
      <w:marLeft w:val="0"/>
      <w:marRight w:val="0"/>
      <w:marTop w:val="0"/>
      <w:marBottom w:val="0"/>
      <w:divBdr>
        <w:top w:val="none" w:sz="0" w:space="0" w:color="auto"/>
        <w:left w:val="none" w:sz="0" w:space="0" w:color="auto"/>
        <w:bottom w:val="none" w:sz="0" w:space="0" w:color="auto"/>
        <w:right w:val="none" w:sz="0" w:space="0" w:color="auto"/>
      </w:divBdr>
    </w:div>
    <w:div w:id="1945455546">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79452065">
      <w:bodyDiv w:val="1"/>
      <w:marLeft w:val="0"/>
      <w:marRight w:val="0"/>
      <w:marTop w:val="0"/>
      <w:marBottom w:val="0"/>
      <w:divBdr>
        <w:top w:val="none" w:sz="0" w:space="0" w:color="auto"/>
        <w:left w:val="none" w:sz="0" w:space="0" w:color="auto"/>
        <w:bottom w:val="none" w:sz="0" w:space="0" w:color="auto"/>
        <w:right w:val="none" w:sz="0" w:space="0" w:color="auto"/>
      </w:divBdr>
    </w:div>
    <w:div w:id="2123458031">
      <w:bodyDiv w:val="1"/>
      <w:marLeft w:val="0"/>
      <w:marRight w:val="0"/>
      <w:marTop w:val="0"/>
      <w:marBottom w:val="0"/>
      <w:divBdr>
        <w:top w:val="none" w:sz="0" w:space="0" w:color="auto"/>
        <w:left w:val="none" w:sz="0" w:space="0" w:color="auto"/>
        <w:bottom w:val="none" w:sz="0" w:space="0" w:color="auto"/>
        <w:right w:val="none" w:sz="0" w:space="0" w:color="auto"/>
      </w:divBdr>
    </w:div>
    <w:div w:id="2130857735">
      <w:bodyDiv w:val="1"/>
      <w:marLeft w:val="0"/>
      <w:marRight w:val="0"/>
      <w:marTop w:val="0"/>
      <w:marBottom w:val="0"/>
      <w:divBdr>
        <w:top w:val="none" w:sz="0" w:space="0" w:color="auto"/>
        <w:left w:val="none" w:sz="0" w:space="0" w:color="auto"/>
        <w:bottom w:val="none" w:sz="0" w:space="0" w:color="auto"/>
        <w:right w:val="none" w:sz="0" w:space="0" w:color="auto"/>
      </w:divBdr>
    </w:div>
    <w:div w:id="2143422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ervicesaustralia.gov.au/hpos" TargetMode="External"/><Relationship Id="rId18" Type="http://schemas.openxmlformats.org/officeDocument/2006/relationships/hyperlink" Target="http://www.servicesaustralia.gov.au"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servicesaustralia.gov.au" TargetMode="External"/><Relationship Id="rId7" Type="http://schemas.openxmlformats.org/officeDocument/2006/relationships/endnotes" Target="endnotes.xml"/><Relationship Id="rId12" Type="http://schemas.openxmlformats.org/officeDocument/2006/relationships/hyperlink" Target="http://www.servicesaustralia.gov.au" TargetMode="External"/><Relationship Id="rId17" Type="http://schemas.openxmlformats.org/officeDocument/2006/relationships/hyperlink" Target="http://www.servicesaustralia.gov.au/hpo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ervicesaustralia.gov.au" TargetMode="External"/><Relationship Id="rId20" Type="http://schemas.openxmlformats.org/officeDocument/2006/relationships/hyperlink" Target="http://www.servicesaustrali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servicesaustralia.gov.au/hpo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yperlink" Target="http://www.servicesaustralia.gov.au/hpo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servicesaustralia.gov.au" TargetMode="External"/><Relationship Id="rId22" Type="http://schemas.openxmlformats.org/officeDocument/2006/relationships/hyperlink" Target="http://www.servicesaustralia.gov.au/hpos"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9A11B-8734-4E63-B58C-EA931F6E2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14713</Words>
  <Characters>83868</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2024-07-02T05:54:00Z</dcterms:created>
  <dcterms:modified xsi:type="dcterms:W3CDTF">2024-07-02T05:54:00Z</dcterms:modified>
</cp:coreProperties>
</file>