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D1A95" w14:textId="24FC8E9C" w:rsidR="00DB5178" w:rsidRPr="0099114C" w:rsidRDefault="00E069A6" w:rsidP="00DB5178">
      <w:pPr>
        <w:pStyle w:val="1-MainHeading"/>
      </w:pPr>
      <w:bookmarkStart w:id="0" w:name="_Toc152591160"/>
      <w:bookmarkStart w:id="1" w:name="_Toc156913955"/>
      <w:r w:rsidRPr="0099114C">
        <w:t>7</w:t>
      </w:r>
      <w:r w:rsidR="00DB5178" w:rsidRPr="0099114C">
        <w:t>.</w:t>
      </w:r>
      <w:r w:rsidRPr="0099114C">
        <w:t>03</w:t>
      </w:r>
      <w:r w:rsidR="00DB5178" w:rsidRPr="0099114C">
        <w:tab/>
        <w:t>AVACOPAN,</w:t>
      </w:r>
      <w:r w:rsidR="00DB5178" w:rsidRPr="0099114C">
        <w:br/>
        <w:t>Capsule 10mg,</w:t>
      </w:r>
      <w:r w:rsidR="00DB5178" w:rsidRPr="0099114C">
        <w:br/>
        <w:t>Tavneos</w:t>
      </w:r>
      <w:r w:rsidR="00DB5178" w:rsidRPr="0099114C">
        <w:rPr>
          <w:rFonts w:cstheme="minorHAnsi"/>
        </w:rPr>
        <w:t>®</w:t>
      </w:r>
      <w:r w:rsidR="00DB5178" w:rsidRPr="0099114C">
        <w:t>,</w:t>
      </w:r>
      <w:r w:rsidR="00DB5178" w:rsidRPr="0099114C">
        <w:br/>
      </w:r>
      <w:r w:rsidR="001F0AB8" w:rsidRPr="0099114C">
        <w:t>Seqirus (Australia) Pty Ltd</w:t>
      </w:r>
      <w:bookmarkEnd w:id="0"/>
      <w:bookmarkEnd w:id="1"/>
    </w:p>
    <w:p w14:paraId="2E613BBA" w14:textId="77777777" w:rsidR="00DB5178" w:rsidRPr="0099114C" w:rsidRDefault="00DB5178" w:rsidP="00DB5178">
      <w:pPr>
        <w:pStyle w:val="2-SectionHeading"/>
      </w:pPr>
      <w:bookmarkStart w:id="2" w:name="_Toc152591162"/>
      <w:bookmarkStart w:id="3" w:name="_Toc156913957"/>
      <w:r w:rsidRPr="0099114C">
        <w:t>Purpose of submission</w:t>
      </w:r>
      <w:bookmarkEnd w:id="2"/>
      <w:bookmarkEnd w:id="3"/>
    </w:p>
    <w:p w14:paraId="633D18F9" w14:textId="4A700A15" w:rsidR="00DB5178" w:rsidRPr="0099114C" w:rsidRDefault="00DB5178" w:rsidP="00DB5178">
      <w:pPr>
        <w:pStyle w:val="3-BodyText"/>
      </w:pPr>
      <w:r w:rsidRPr="0099114C">
        <w:t xml:space="preserve">The </w:t>
      </w:r>
      <w:r w:rsidR="005402D8" w:rsidRPr="0099114C">
        <w:t>standard re-entry</w:t>
      </w:r>
      <w:r w:rsidRPr="0099114C">
        <w:t xml:space="preserve"> resubmission requested Section 85, Authority Required (Streamlined) listing for avacopan for the treatment of </w:t>
      </w:r>
      <w:r w:rsidRPr="0099114C">
        <w:rPr>
          <w:rStyle w:val="normaltextrun"/>
          <w:rFonts w:cs="Calibri"/>
          <w:color w:val="000000"/>
          <w:bdr w:val="none" w:sz="0" w:space="0" w:color="auto" w:frame="1"/>
        </w:rPr>
        <w:t>severe active granulomatosis with polyangiitis (GPA) and severe active microscopic polyangiitis (MPA) in combination with rituximab or cyclophosphamide/azathioprine.</w:t>
      </w:r>
    </w:p>
    <w:p w14:paraId="39F3F075" w14:textId="177A0252" w:rsidR="00DB5178" w:rsidRPr="0099114C" w:rsidRDefault="00DB5178" w:rsidP="00DB5178">
      <w:pPr>
        <w:pStyle w:val="3-BodyText"/>
      </w:pPr>
      <w:r w:rsidRPr="0099114C">
        <w:t>Listing was requested on the basis of a cost-effectiveness analysis versus glucocorticoid</w:t>
      </w:r>
      <w:r w:rsidR="00DC2146" w:rsidRPr="0099114C">
        <w:t>s</w:t>
      </w:r>
      <w:r w:rsidRPr="0099114C">
        <w:t>.</w:t>
      </w:r>
    </w:p>
    <w:p w14:paraId="5E5C96D6" w14:textId="07B63F09" w:rsidR="00DB5178" w:rsidRPr="0099114C" w:rsidRDefault="00DB5178" w:rsidP="00DB5178">
      <w:pPr>
        <w:pStyle w:val="TableFigureHeading"/>
        <w:rPr>
          <w:rStyle w:val="CommentReference"/>
          <w:b/>
        </w:rPr>
      </w:pPr>
      <w:bookmarkStart w:id="4" w:name="_Ref155608385"/>
      <w:r w:rsidRPr="0099114C">
        <w:t xml:space="preserve">Table </w:t>
      </w:r>
      <w:fldSimple w:instr=" SEQ Table \* ARABIC " w:fldLock="1">
        <w:r w:rsidR="00A04368" w:rsidRPr="00857B0D">
          <w:t>1</w:t>
        </w:r>
      </w:fldSimple>
      <w:bookmarkEnd w:id="4"/>
      <w:r w:rsidRPr="0099114C">
        <w:t>:</w:t>
      </w:r>
      <w:r w:rsidRPr="0099114C">
        <w:rPr>
          <w:rStyle w:val="CommentReference"/>
          <w:b/>
          <w:szCs w:val="24"/>
        </w:rPr>
        <w:t xml:space="preserve"> Key components of the clinical issue addressed by the </w:t>
      </w:r>
      <w:r w:rsidR="005402D8" w:rsidRPr="0099114C">
        <w:rPr>
          <w:rStyle w:val="CommentReference"/>
          <w:b/>
          <w:szCs w:val="24"/>
        </w:rPr>
        <w:t>re</w:t>
      </w:r>
      <w:r w:rsidRPr="0099114C">
        <w:rPr>
          <w:rStyle w:val="CommentReference"/>
          <w:b/>
          <w:szCs w:val="24"/>
        </w:rPr>
        <w:t xml:space="preserve">submission (as stated in the </w:t>
      </w:r>
      <w:r w:rsidR="005402D8" w:rsidRPr="0099114C">
        <w:rPr>
          <w:rStyle w:val="CommentReference"/>
          <w:b/>
          <w:szCs w:val="24"/>
        </w:rPr>
        <w:t>re</w:t>
      </w:r>
      <w:r w:rsidRPr="0099114C">
        <w:rPr>
          <w:rStyle w:val="CommentReference"/>
          <w:b/>
          <w:szCs w:val="24"/>
        </w:rPr>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resubmission (as stated in the resubmission)"/>
        <w:tblDescription w:val="Key components of the clinical issue addressed by the submission "/>
      </w:tblPr>
      <w:tblGrid>
        <w:gridCol w:w="1196"/>
        <w:gridCol w:w="7820"/>
      </w:tblGrid>
      <w:tr w:rsidR="00DB5178" w:rsidRPr="0099114C" w14:paraId="04BBA37D" w14:textId="77777777" w:rsidTr="0028314D">
        <w:trPr>
          <w:cantSplit/>
          <w:tblHeader/>
        </w:trPr>
        <w:tc>
          <w:tcPr>
            <w:tcW w:w="663" w:type="pct"/>
            <w:shd w:val="clear" w:color="auto" w:fill="auto"/>
          </w:tcPr>
          <w:p w14:paraId="211383E2" w14:textId="77777777" w:rsidR="00DB5178" w:rsidRPr="00857B0D" w:rsidRDefault="00DB5178">
            <w:pPr>
              <w:pStyle w:val="In-tableHeading"/>
              <w:rPr>
                <w:szCs w:val="20"/>
                <w:lang w:val="en-AU"/>
              </w:rPr>
            </w:pPr>
            <w:r w:rsidRPr="00857B0D">
              <w:rPr>
                <w:lang w:val="en-AU"/>
              </w:rPr>
              <w:t>Component</w:t>
            </w:r>
          </w:p>
        </w:tc>
        <w:tc>
          <w:tcPr>
            <w:tcW w:w="4337" w:type="pct"/>
            <w:shd w:val="clear" w:color="auto" w:fill="auto"/>
          </w:tcPr>
          <w:p w14:paraId="04B73D69" w14:textId="77777777" w:rsidR="00DB5178" w:rsidRPr="00857B0D" w:rsidRDefault="00DB5178">
            <w:pPr>
              <w:pStyle w:val="In-tableHeading"/>
              <w:rPr>
                <w:lang w:val="en-AU"/>
              </w:rPr>
            </w:pPr>
            <w:r w:rsidRPr="00857B0D">
              <w:rPr>
                <w:lang w:val="en-AU"/>
              </w:rPr>
              <w:t>Description</w:t>
            </w:r>
          </w:p>
        </w:tc>
      </w:tr>
      <w:tr w:rsidR="00DB5178" w:rsidRPr="0099114C" w14:paraId="1A59DC1C" w14:textId="77777777" w:rsidTr="0028314D">
        <w:trPr>
          <w:cantSplit/>
        </w:trPr>
        <w:tc>
          <w:tcPr>
            <w:tcW w:w="663" w:type="pct"/>
            <w:shd w:val="clear" w:color="auto" w:fill="auto"/>
          </w:tcPr>
          <w:p w14:paraId="2D7BAAAF" w14:textId="77777777" w:rsidR="00DB5178" w:rsidRPr="0099114C" w:rsidRDefault="00DB5178">
            <w:pPr>
              <w:pStyle w:val="TableText"/>
              <w:rPr>
                <w:b/>
                <w:bCs w:val="0"/>
              </w:rPr>
            </w:pPr>
            <w:r w:rsidRPr="0099114C">
              <w:rPr>
                <w:b/>
                <w:bCs w:val="0"/>
              </w:rPr>
              <w:t>Population</w:t>
            </w:r>
          </w:p>
        </w:tc>
        <w:tc>
          <w:tcPr>
            <w:tcW w:w="4337" w:type="pct"/>
            <w:shd w:val="clear" w:color="auto" w:fill="8EAADB" w:themeFill="accent1" w:themeFillTint="99"/>
          </w:tcPr>
          <w:p w14:paraId="7C4FBEDB" w14:textId="679D7A54" w:rsidR="00DB5178" w:rsidRPr="0099114C" w:rsidRDefault="00DB5178">
            <w:pPr>
              <w:pStyle w:val="TableText"/>
              <w:rPr>
                <w:szCs w:val="20"/>
              </w:rPr>
            </w:pPr>
            <w:r w:rsidRPr="0099114C">
              <w:rPr>
                <w:rStyle w:val="normaltextrun"/>
                <w:rFonts w:cs="Segoe UI"/>
                <w:szCs w:val="20"/>
              </w:rPr>
              <w:t>Adult patients with newly diagnosed or relapsed ANCA-associated vasculitis severe active GPA and severe active MPA defined as at least one major or three non-major items or at least two renal items of haematuria and proteinuria on the BVAS</w:t>
            </w:r>
            <w:r w:rsidRPr="0099114C">
              <w:rPr>
                <w:rStyle w:val="eop"/>
                <w:rFonts w:cs="Segoe UI"/>
                <w:szCs w:val="20"/>
              </w:rPr>
              <w:t> </w:t>
            </w:r>
          </w:p>
        </w:tc>
      </w:tr>
      <w:tr w:rsidR="00DB5178" w:rsidRPr="0099114C" w14:paraId="31C86010" w14:textId="77777777" w:rsidTr="0028314D">
        <w:trPr>
          <w:cantSplit/>
        </w:trPr>
        <w:tc>
          <w:tcPr>
            <w:tcW w:w="663" w:type="pct"/>
            <w:shd w:val="clear" w:color="auto" w:fill="auto"/>
          </w:tcPr>
          <w:p w14:paraId="045DDE17" w14:textId="77777777" w:rsidR="00DB5178" w:rsidRPr="0099114C" w:rsidRDefault="00DB5178">
            <w:pPr>
              <w:pStyle w:val="TableText"/>
              <w:rPr>
                <w:b/>
                <w:bCs w:val="0"/>
              </w:rPr>
            </w:pPr>
            <w:r w:rsidRPr="0099114C">
              <w:rPr>
                <w:b/>
                <w:bCs w:val="0"/>
              </w:rPr>
              <w:t>Intervention</w:t>
            </w:r>
          </w:p>
        </w:tc>
        <w:tc>
          <w:tcPr>
            <w:tcW w:w="4337" w:type="pct"/>
            <w:shd w:val="clear" w:color="auto" w:fill="8EAADB" w:themeFill="accent1" w:themeFillTint="99"/>
          </w:tcPr>
          <w:p w14:paraId="201DC983" w14:textId="77777777" w:rsidR="00DB5178" w:rsidRPr="0099114C" w:rsidRDefault="00DB5178">
            <w:pPr>
              <w:pStyle w:val="TableText"/>
            </w:pPr>
            <w:r w:rsidRPr="0099114C">
              <w:rPr>
                <w:rStyle w:val="normaltextrun"/>
                <w:rFonts w:cs="Segoe UI"/>
                <w:szCs w:val="20"/>
              </w:rPr>
              <w:t>Avacopan in combination with rituximab (induction)/rituximab (maintenance) or cyclophosphamide (induction)/azathioprine (maintenance)</w:t>
            </w:r>
            <w:r w:rsidRPr="0099114C">
              <w:rPr>
                <w:rStyle w:val="tabchar"/>
                <w:rFonts w:ascii="Calibri" w:hAnsi="Calibri" w:cs="Calibri"/>
                <w:szCs w:val="20"/>
              </w:rPr>
              <w:tab/>
            </w:r>
            <w:r w:rsidRPr="0099114C">
              <w:rPr>
                <w:rStyle w:val="eop"/>
                <w:rFonts w:cs="Segoe UI"/>
                <w:szCs w:val="20"/>
              </w:rPr>
              <w:t> </w:t>
            </w:r>
          </w:p>
        </w:tc>
      </w:tr>
      <w:tr w:rsidR="00DB5178" w:rsidRPr="0099114C" w14:paraId="5608DAF7" w14:textId="77777777" w:rsidTr="0028314D">
        <w:trPr>
          <w:cantSplit/>
        </w:trPr>
        <w:tc>
          <w:tcPr>
            <w:tcW w:w="663" w:type="pct"/>
            <w:shd w:val="clear" w:color="auto" w:fill="FFFFFF" w:themeFill="background1"/>
          </w:tcPr>
          <w:p w14:paraId="6F1A0580" w14:textId="77777777" w:rsidR="00DB5178" w:rsidRPr="0099114C" w:rsidRDefault="00DB5178">
            <w:pPr>
              <w:pStyle w:val="TableText"/>
              <w:rPr>
                <w:b/>
                <w:bCs w:val="0"/>
              </w:rPr>
            </w:pPr>
            <w:r w:rsidRPr="0099114C">
              <w:rPr>
                <w:b/>
                <w:bCs w:val="0"/>
              </w:rPr>
              <w:t>Comparator</w:t>
            </w:r>
          </w:p>
        </w:tc>
        <w:tc>
          <w:tcPr>
            <w:tcW w:w="4337" w:type="pct"/>
            <w:shd w:val="clear" w:color="auto" w:fill="FFFFFF" w:themeFill="background1"/>
          </w:tcPr>
          <w:p w14:paraId="5451E879" w14:textId="0299FEE0" w:rsidR="00DB5178" w:rsidRPr="0099114C" w:rsidRDefault="00E2473F" w:rsidP="00C2638C">
            <w:pPr>
              <w:pStyle w:val="TableText"/>
              <w:shd w:val="clear" w:color="auto" w:fill="FFFFFF" w:themeFill="background1"/>
              <w:jc w:val="both"/>
              <w:rPr>
                <w:rStyle w:val="normaltextrun"/>
                <w:rFonts w:cs="Segoe UI"/>
                <w:szCs w:val="20"/>
              </w:rPr>
            </w:pPr>
            <w:r w:rsidRPr="0099114C">
              <w:rPr>
                <w:rStyle w:val="normaltextrun"/>
                <w:rFonts w:cs="Segoe UI"/>
                <w:szCs w:val="20"/>
                <w:shd w:val="clear" w:color="auto" w:fill="8EAADB" w:themeFill="accent1" w:themeFillTint="99"/>
              </w:rPr>
              <w:t>GCs</w:t>
            </w:r>
            <w:r w:rsidR="00DB5178" w:rsidRPr="0099114C">
              <w:rPr>
                <w:rStyle w:val="normaltextrun"/>
                <w:rFonts w:cs="Segoe UI"/>
                <w:szCs w:val="20"/>
                <w:shd w:val="clear" w:color="auto" w:fill="8EAADB" w:themeFill="accent1" w:themeFillTint="99"/>
              </w:rPr>
              <w:t xml:space="preserve"> which is used as </w:t>
            </w:r>
            <w:r w:rsidR="00527DFF" w:rsidRPr="0099114C">
              <w:rPr>
                <w:rStyle w:val="normaltextrun"/>
                <w:rFonts w:cs="Segoe UI"/>
                <w:szCs w:val="20"/>
                <w:shd w:val="clear" w:color="auto" w:fill="8EAADB" w:themeFill="accent1" w:themeFillTint="99"/>
              </w:rPr>
              <w:t>SOC</w:t>
            </w:r>
            <w:r w:rsidR="00DB5178" w:rsidRPr="0099114C">
              <w:rPr>
                <w:rStyle w:val="normaltextrun"/>
                <w:rFonts w:cs="Segoe UI"/>
                <w:szCs w:val="20"/>
                <w:shd w:val="clear" w:color="auto" w:fill="8EAADB" w:themeFill="accent1" w:themeFillTint="99"/>
              </w:rPr>
              <w:t xml:space="preserve"> concomitantly with rituximab</w:t>
            </w:r>
            <w:r w:rsidR="00C20E53" w:rsidRPr="0099114C">
              <w:rPr>
                <w:rStyle w:val="normaltextrun"/>
                <w:rFonts w:cs="Segoe UI"/>
                <w:szCs w:val="20"/>
                <w:shd w:val="clear" w:color="auto" w:fill="8EAADB" w:themeFill="accent1" w:themeFillTint="99"/>
              </w:rPr>
              <w:t xml:space="preserve"> </w:t>
            </w:r>
            <w:r w:rsidR="009C2F0B" w:rsidRPr="0099114C">
              <w:rPr>
                <w:rStyle w:val="normaltextrun"/>
                <w:rFonts w:cs="Segoe UI"/>
                <w:szCs w:val="20"/>
                <w:shd w:val="clear" w:color="auto" w:fill="8EAADB" w:themeFill="accent1" w:themeFillTint="99"/>
              </w:rPr>
              <w:t>(induction</w:t>
            </w:r>
            <w:r w:rsidR="009C2F0B" w:rsidRPr="0099114C">
              <w:rPr>
                <w:rStyle w:val="normaltextrun"/>
                <w:rFonts w:cs="Segoe UI"/>
                <w:szCs w:val="20"/>
                <w:shd w:val="clear" w:color="auto" w:fill="B4C6E7" w:themeFill="accent1" w:themeFillTint="66"/>
              </w:rPr>
              <w:t>)</w:t>
            </w:r>
            <w:r w:rsidR="009C2F0B" w:rsidRPr="0099114C">
              <w:rPr>
                <w:rStyle w:val="normaltextrun"/>
                <w:rFonts w:cs="Segoe UI"/>
                <w:szCs w:val="20"/>
              </w:rPr>
              <w:t xml:space="preserve">/rituximab (maintenance) </w:t>
            </w:r>
            <w:r w:rsidR="00DB5178" w:rsidRPr="0099114C">
              <w:rPr>
                <w:rStyle w:val="normaltextrun"/>
                <w:rFonts w:cs="Segoe UI"/>
                <w:szCs w:val="20"/>
                <w:shd w:val="clear" w:color="auto" w:fill="B4C6E7" w:themeFill="accent1" w:themeFillTint="66"/>
              </w:rPr>
              <w:t xml:space="preserve">or </w:t>
            </w:r>
            <w:r w:rsidR="00DB5178" w:rsidRPr="0099114C">
              <w:rPr>
                <w:rStyle w:val="normaltextrun"/>
                <w:rFonts w:cs="Segoe UI"/>
                <w:szCs w:val="20"/>
                <w:shd w:val="clear" w:color="auto" w:fill="8EAADB" w:themeFill="accent1" w:themeFillTint="99"/>
              </w:rPr>
              <w:t>cyclophosphamide</w:t>
            </w:r>
            <w:r w:rsidR="00C20E53" w:rsidRPr="0099114C">
              <w:rPr>
                <w:rStyle w:val="normaltextrun"/>
                <w:rFonts w:cs="Segoe UI"/>
                <w:szCs w:val="20"/>
                <w:shd w:val="clear" w:color="auto" w:fill="8EAADB" w:themeFill="accent1" w:themeFillTint="99"/>
              </w:rPr>
              <w:t xml:space="preserve"> (induction)</w:t>
            </w:r>
            <w:r w:rsidR="00DB5178" w:rsidRPr="0099114C">
              <w:rPr>
                <w:rStyle w:val="normaltextrun"/>
                <w:rFonts w:cs="Segoe UI"/>
                <w:szCs w:val="20"/>
                <w:shd w:val="clear" w:color="auto" w:fill="8EAADB" w:themeFill="accent1" w:themeFillTint="99"/>
              </w:rPr>
              <w:t>/azathioprine</w:t>
            </w:r>
            <w:r w:rsidR="00C20E53" w:rsidRPr="0099114C">
              <w:rPr>
                <w:rStyle w:val="normaltextrun"/>
                <w:rFonts w:cs="Segoe UI"/>
                <w:szCs w:val="20"/>
                <w:shd w:val="clear" w:color="auto" w:fill="8EAADB" w:themeFill="accent1" w:themeFillTint="99"/>
              </w:rPr>
              <w:t xml:space="preserve"> (maintenance)</w:t>
            </w:r>
          </w:p>
          <w:p w14:paraId="6550563A" w14:textId="1663004C" w:rsidR="00DB5178" w:rsidRPr="0099114C" w:rsidRDefault="00DB5178">
            <w:pPr>
              <w:pStyle w:val="TableText"/>
            </w:pPr>
          </w:p>
        </w:tc>
      </w:tr>
      <w:tr w:rsidR="00DB5178" w:rsidRPr="0099114C" w14:paraId="39F338A4" w14:textId="77777777" w:rsidTr="0028314D">
        <w:trPr>
          <w:cantSplit/>
        </w:trPr>
        <w:tc>
          <w:tcPr>
            <w:tcW w:w="663" w:type="pct"/>
            <w:shd w:val="clear" w:color="auto" w:fill="auto"/>
          </w:tcPr>
          <w:p w14:paraId="2CC52526" w14:textId="77777777" w:rsidR="00DB5178" w:rsidRPr="0099114C" w:rsidRDefault="00DB5178">
            <w:pPr>
              <w:pStyle w:val="TableText"/>
              <w:rPr>
                <w:b/>
                <w:bCs w:val="0"/>
              </w:rPr>
            </w:pPr>
            <w:r w:rsidRPr="0099114C">
              <w:rPr>
                <w:b/>
                <w:bCs w:val="0"/>
              </w:rPr>
              <w:t>Outcomes</w:t>
            </w:r>
          </w:p>
        </w:tc>
        <w:tc>
          <w:tcPr>
            <w:tcW w:w="4337" w:type="pct"/>
            <w:shd w:val="clear" w:color="auto" w:fill="8EAADB" w:themeFill="accent1" w:themeFillTint="99"/>
          </w:tcPr>
          <w:p w14:paraId="222F0078" w14:textId="77777777" w:rsidR="00DB5178" w:rsidRPr="0099114C" w:rsidRDefault="00DB5178">
            <w:pPr>
              <w:pStyle w:val="paragraph"/>
              <w:spacing w:before="0" w:beforeAutospacing="0" w:after="0" w:afterAutospacing="0"/>
              <w:jc w:val="both"/>
              <w:textAlignment w:val="baseline"/>
              <w:rPr>
                <w:rFonts w:ascii="Segoe UI" w:hAnsi="Segoe UI" w:cs="Segoe UI"/>
                <w:sz w:val="18"/>
                <w:szCs w:val="18"/>
              </w:rPr>
            </w:pPr>
            <w:r w:rsidRPr="0099114C">
              <w:rPr>
                <w:rStyle w:val="normaltextrun"/>
                <w:rFonts w:ascii="Arial Narrow" w:hAnsi="Arial Narrow" w:cs="Segoe UI"/>
                <w:b/>
                <w:bCs/>
                <w:sz w:val="20"/>
                <w:szCs w:val="20"/>
              </w:rPr>
              <w:t>Primary</w:t>
            </w:r>
            <w:r w:rsidRPr="0099114C">
              <w:rPr>
                <w:rStyle w:val="eop"/>
                <w:rFonts w:ascii="Arial Narrow" w:hAnsi="Arial Narrow" w:cs="Segoe UI"/>
                <w:sz w:val="20"/>
                <w:szCs w:val="20"/>
              </w:rPr>
              <w:t> </w:t>
            </w:r>
          </w:p>
          <w:p w14:paraId="0031B106" w14:textId="330809F6" w:rsidR="00DB5178" w:rsidRPr="0099114C" w:rsidRDefault="00DB5178" w:rsidP="00DB5178">
            <w:pPr>
              <w:pStyle w:val="paragraph"/>
              <w:numPr>
                <w:ilvl w:val="0"/>
                <w:numId w:val="4"/>
              </w:numPr>
              <w:spacing w:before="0" w:beforeAutospacing="0" w:after="0" w:afterAutospacing="0"/>
              <w:jc w:val="both"/>
              <w:textAlignment w:val="baseline"/>
              <w:rPr>
                <w:rFonts w:ascii="Arial Narrow" w:hAnsi="Arial Narrow" w:cs="Segoe UI"/>
                <w:sz w:val="20"/>
                <w:szCs w:val="20"/>
              </w:rPr>
            </w:pPr>
            <w:r w:rsidRPr="0099114C">
              <w:rPr>
                <w:rStyle w:val="normaltextrun"/>
                <w:rFonts w:ascii="Arial Narrow" w:hAnsi="Arial Narrow" w:cs="Segoe UI"/>
                <w:sz w:val="20"/>
                <w:szCs w:val="20"/>
              </w:rPr>
              <w:t>Induce</w:t>
            </w:r>
            <w:r w:rsidR="004F3F3E" w:rsidRPr="0099114C">
              <w:rPr>
                <w:rStyle w:val="normaltextrun"/>
                <w:rFonts w:ascii="Arial Narrow" w:hAnsi="Arial Narrow" w:cs="Segoe UI"/>
                <w:sz w:val="20"/>
                <w:szCs w:val="20"/>
              </w:rPr>
              <w:t>d</w:t>
            </w:r>
            <w:r w:rsidRPr="0099114C">
              <w:rPr>
                <w:rStyle w:val="normaltextrun"/>
                <w:rFonts w:ascii="Arial Narrow" w:hAnsi="Arial Narrow" w:cs="Segoe UI"/>
                <w:sz w:val="20"/>
                <w:szCs w:val="20"/>
              </w:rPr>
              <w:t xml:space="preserve"> and sustain</w:t>
            </w:r>
            <w:r w:rsidR="004F3F3E" w:rsidRPr="0099114C">
              <w:rPr>
                <w:rStyle w:val="normaltextrun"/>
                <w:rFonts w:ascii="Arial Narrow" w:hAnsi="Arial Narrow" w:cs="Segoe UI"/>
                <w:sz w:val="20"/>
                <w:szCs w:val="20"/>
              </w:rPr>
              <w:t>ed</w:t>
            </w:r>
            <w:r w:rsidRPr="0099114C">
              <w:rPr>
                <w:rStyle w:val="normaltextrun"/>
                <w:rFonts w:ascii="Arial Narrow" w:hAnsi="Arial Narrow" w:cs="Segoe UI"/>
                <w:sz w:val="20"/>
                <w:szCs w:val="20"/>
              </w:rPr>
              <w:t xml:space="preserve"> </w:t>
            </w:r>
            <w:r w:rsidR="001507AE" w:rsidRPr="0099114C">
              <w:rPr>
                <w:rStyle w:val="normaltextrun"/>
                <w:rFonts w:ascii="Arial Narrow" w:hAnsi="Arial Narrow" w:cs="Segoe UI"/>
                <w:sz w:val="20"/>
                <w:szCs w:val="20"/>
              </w:rPr>
              <w:t xml:space="preserve">disease </w:t>
            </w:r>
            <w:r w:rsidRPr="0099114C">
              <w:rPr>
                <w:rStyle w:val="normaltextrun"/>
                <w:rFonts w:ascii="Arial Narrow" w:hAnsi="Arial Narrow" w:cs="Segoe UI"/>
                <w:sz w:val="20"/>
                <w:szCs w:val="20"/>
              </w:rPr>
              <w:t>remission</w:t>
            </w:r>
            <w:r w:rsidRPr="0099114C">
              <w:rPr>
                <w:rStyle w:val="eop"/>
                <w:rFonts w:ascii="Arial Narrow" w:hAnsi="Arial Narrow" w:cs="Segoe UI"/>
                <w:sz w:val="20"/>
                <w:szCs w:val="20"/>
              </w:rPr>
              <w:t> </w:t>
            </w:r>
          </w:p>
          <w:p w14:paraId="0D60D3DA" w14:textId="77777777" w:rsidR="00DB5178" w:rsidRPr="0099114C" w:rsidRDefault="00DB5178">
            <w:pPr>
              <w:pStyle w:val="paragraph"/>
              <w:spacing w:before="0" w:beforeAutospacing="0" w:after="0" w:afterAutospacing="0"/>
              <w:jc w:val="both"/>
              <w:textAlignment w:val="baseline"/>
              <w:rPr>
                <w:rFonts w:ascii="Segoe UI" w:hAnsi="Segoe UI" w:cs="Segoe UI"/>
                <w:sz w:val="18"/>
                <w:szCs w:val="18"/>
              </w:rPr>
            </w:pPr>
            <w:r w:rsidRPr="0099114C">
              <w:rPr>
                <w:rStyle w:val="normaltextrun"/>
                <w:rFonts w:ascii="Arial Narrow" w:hAnsi="Arial Narrow" w:cs="Segoe UI"/>
                <w:b/>
                <w:bCs/>
                <w:sz w:val="20"/>
                <w:szCs w:val="20"/>
              </w:rPr>
              <w:t>Secondary</w:t>
            </w:r>
            <w:r w:rsidRPr="0099114C">
              <w:rPr>
                <w:rStyle w:val="eop"/>
                <w:rFonts w:ascii="Arial Narrow" w:hAnsi="Arial Narrow" w:cs="Segoe UI"/>
                <w:sz w:val="20"/>
                <w:szCs w:val="20"/>
              </w:rPr>
              <w:t> </w:t>
            </w:r>
          </w:p>
          <w:p w14:paraId="56AC0D2A" w14:textId="6F0F0E3E" w:rsidR="00DB5178" w:rsidRPr="0099114C" w:rsidRDefault="00E2473F" w:rsidP="00DB5178">
            <w:pPr>
              <w:pStyle w:val="paragraph"/>
              <w:numPr>
                <w:ilvl w:val="0"/>
                <w:numId w:val="4"/>
              </w:numPr>
              <w:spacing w:before="0" w:beforeAutospacing="0" w:after="0" w:afterAutospacing="0"/>
              <w:jc w:val="both"/>
              <w:textAlignment w:val="baseline"/>
              <w:rPr>
                <w:rFonts w:ascii="Arial Narrow" w:hAnsi="Arial Narrow" w:cs="Segoe UI"/>
                <w:sz w:val="20"/>
                <w:szCs w:val="20"/>
              </w:rPr>
            </w:pPr>
            <w:r w:rsidRPr="0099114C">
              <w:rPr>
                <w:rStyle w:val="normaltextrun"/>
                <w:rFonts w:ascii="Arial Narrow" w:hAnsi="Arial Narrow" w:cs="Segoe UI"/>
                <w:sz w:val="20"/>
                <w:szCs w:val="20"/>
              </w:rPr>
              <w:t>GC</w:t>
            </w:r>
            <w:r w:rsidR="00DB5178" w:rsidRPr="0099114C">
              <w:rPr>
                <w:rStyle w:val="normaltextrun"/>
                <w:rFonts w:ascii="Arial Narrow" w:hAnsi="Arial Narrow" w:cs="Segoe UI"/>
                <w:sz w:val="20"/>
                <w:szCs w:val="20"/>
              </w:rPr>
              <w:t>-induced toxicity</w:t>
            </w:r>
            <w:r w:rsidR="00DB5178" w:rsidRPr="0099114C">
              <w:rPr>
                <w:rStyle w:val="eop"/>
                <w:rFonts w:ascii="Arial Narrow" w:hAnsi="Arial Narrow" w:cs="Segoe UI"/>
                <w:sz w:val="20"/>
                <w:szCs w:val="20"/>
              </w:rPr>
              <w:t> </w:t>
            </w:r>
          </w:p>
          <w:p w14:paraId="2181EA98" w14:textId="2FA247ED" w:rsidR="00DB5178" w:rsidRPr="0099114C" w:rsidRDefault="004F3F3E" w:rsidP="00DB5178">
            <w:pPr>
              <w:pStyle w:val="paragraph"/>
              <w:numPr>
                <w:ilvl w:val="0"/>
                <w:numId w:val="4"/>
              </w:numPr>
              <w:spacing w:before="0" w:beforeAutospacing="0" w:after="0" w:afterAutospacing="0"/>
              <w:jc w:val="both"/>
              <w:textAlignment w:val="baseline"/>
              <w:rPr>
                <w:rFonts w:ascii="Arial Narrow" w:hAnsi="Arial Narrow" w:cs="Segoe UI"/>
                <w:sz w:val="20"/>
                <w:szCs w:val="20"/>
              </w:rPr>
            </w:pPr>
            <w:r w:rsidRPr="00857B0D">
              <w:rPr>
                <w:rStyle w:val="normaltextrun"/>
                <w:rFonts w:ascii="Arial Narrow" w:hAnsi="Arial Narrow" w:cs="Segoe UI"/>
                <w:sz w:val="20"/>
                <w:szCs w:val="20"/>
              </w:rPr>
              <w:t>R</w:t>
            </w:r>
            <w:r w:rsidR="00DB5178" w:rsidRPr="00857B0D">
              <w:rPr>
                <w:rStyle w:val="normaltextrun"/>
                <w:rFonts w:ascii="Arial Narrow" w:hAnsi="Arial Narrow" w:cs="Segoe UI"/>
                <w:sz w:val="20"/>
                <w:szCs w:val="20"/>
              </w:rPr>
              <w:t>apidity of response in the avacopan group compared to the prednisone group</w:t>
            </w:r>
            <w:r w:rsidR="00DB5178" w:rsidRPr="0099114C">
              <w:rPr>
                <w:rStyle w:val="eop"/>
                <w:rFonts w:ascii="Arial Narrow" w:hAnsi="Arial Narrow" w:cs="Segoe UI"/>
                <w:sz w:val="20"/>
                <w:szCs w:val="20"/>
              </w:rPr>
              <w:t> </w:t>
            </w:r>
          </w:p>
          <w:p w14:paraId="10118936" w14:textId="7FAE1C0C" w:rsidR="00DB5178" w:rsidRPr="0099114C" w:rsidRDefault="004F3F3E" w:rsidP="00DB5178">
            <w:pPr>
              <w:pStyle w:val="paragraph"/>
              <w:numPr>
                <w:ilvl w:val="0"/>
                <w:numId w:val="4"/>
              </w:numPr>
              <w:spacing w:before="0" w:beforeAutospacing="0" w:after="0" w:afterAutospacing="0"/>
              <w:jc w:val="both"/>
              <w:textAlignment w:val="baseline"/>
              <w:rPr>
                <w:rFonts w:ascii="Arial Narrow" w:hAnsi="Arial Narrow" w:cs="Segoe UI"/>
                <w:sz w:val="20"/>
                <w:szCs w:val="20"/>
              </w:rPr>
            </w:pPr>
            <w:r w:rsidRPr="00857B0D">
              <w:rPr>
                <w:rStyle w:val="normaltextrun"/>
                <w:rFonts w:ascii="Arial Narrow" w:hAnsi="Arial Narrow" w:cs="Segoe UI"/>
                <w:sz w:val="20"/>
                <w:szCs w:val="20"/>
              </w:rPr>
              <w:t>S</w:t>
            </w:r>
            <w:r w:rsidR="00DB5178" w:rsidRPr="00857B0D">
              <w:rPr>
                <w:rStyle w:val="normaltextrun"/>
                <w:rFonts w:ascii="Arial Narrow" w:hAnsi="Arial Narrow" w:cs="Segoe UI"/>
                <w:sz w:val="20"/>
                <w:szCs w:val="20"/>
              </w:rPr>
              <w:t>afety in the avacopan group compared to the prednisone group</w:t>
            </w:r>
            <w:r w:rsidR="00DB5178" w:rsidRPr="0099114C">
              <w:rPr>
                <w:rStyle w:val="eop"/>
                <w:rFonts w:ascii="Arial Narrow" w:hAnsi="Arial Narrow" w:cs="Segoe UI"/>
                <w:sz w:val="20"/>
                <w:szCs w:val="20"/>
              </w:rPr>
              <w:t> </w:t>
            </w:r>
          </w:p>
          <w:p w14:paraId="0BC994BE" w14:textId="77777777" w:rsidR="00DB5178" w:rsidRPr="0099114C" w:rsidRDefault="00DB5178" w:rsidP="00DB5178">
            <w:pPr>
              <w:pStyle w:val="paragraph"/>
              <w:numPr>
                <w:ilvl w:val="0"/>
                <w:numId w:val="4"/>
              </w:numPr>
              <w:spacing w:before="0" w:beforeAutospacing="0" w:after="0" w:afterAutospacing="0"/>
              <w:jc w:val="both"/>
              <w:textAlignment w:val="baseline"/>
              <w:rPr>
                <w:rFonts w:ascii="Arial Narrow" w:hAnsi="Arial Narrow" w:cs="Segoe UI"/>
                <w:sz w:val="20"/>
                <w:szCs w:val="20"/>
              </w:rPr>
            </w:pPr>
            <w:r w:rsidRPr="00857B0D">
              <w:rPr>
                <w:rStyle w:val="normaltextrun"/>
                <w:rFonts w:ascii="Arial Narrow" w:hAnsi="Arial Narrow" w:cs="Segoe UI"/>
                <w:sz w:val="20"/>
                <w:szCs w:val="20"/>
              </w:rPr>
              <w:t>Health-related quality of life changes</w:t>
            </w:r>
            <w:r w:rsidRPr="0099114C">
              <w:rPr>
                <w:rStyle w:val="eop"/>
                <w:rFonts w:ascii="Arial Narrow" w:hAnsi="Arial Narrow" w:cs="Segoe UI"/>
                <w:sz w:val="20"/>
                <w:szCs w:val="20"/>
              </w:rPr>
              <w:t> </w:t>
            </w:r>
          </w:p>
          <w:p w14:paraId="4F5BF25F" w14:textId="5576E71A" w:rsidR="00DB5178" w:rsidRPr="0099114C" w:rsidRDefault="004F3F3E" w:rsidP="00DB5178">
            <w:pPr>
              <w:pStyle w:val="paragraph"/>
              <w:numPr>
                <w:ilvl w:val="0"/>
                <w:numId w:val="4"/>
              </w:numPr>
              <w:spacing w:before="0" w:beforeAutospacing="0" w:after="0" w:afterAutospacing="0"/>
              <w:jc w:val="both"/>
              <w:textAlignment w:val="baseline"/>
              <w:rPr>
                <w:rFonts w:ascii="Arial Narrow" w:hAnsi="Arial Narrow" w:cs="Segoe UI"/>
                <w:sz w:val="20"/>
                <w:szCs w:val="20"/>
              </w:rPr>
            </w:pPr>
            <w:r w:rsidRPr="00857B0D">
              <w:rPr>
                <w:rStyle w:val="normaltextrun"/>
                <w:rFonts w:ascii="Arial Narrow" w:hAnsi="Arial Narrow" w:cs="Segoe UI"/>
                <w:sz w:val="20"/>
                <w:szCs w:val="20"/>
              </w:rPr>
              <w:t>C</w:t>
            </w:r>
            <w:r w:rsidR="00DB5178" w:rsidRPr="00857B0D">
              <w:rPr>
                <w:rStyle w:val="normaltextrun"/>
                <w:rFonts w:ascii="Arial Narrow" w:hAnsi="Arial Narrow" w:cs="Segoe UI"/>
                <w:sz w:val="20"/>
                <w:szCs w:val="20"/>
              </w:rPr>
              <w:t>hanges in parameters of renal disease</w:t>
            </w:r>
            <w:r w:rsidR="00DB5178" w:rsidRPr="0099114C">
              <w:rPr>
                <w:rStyle w:val="eop"/>
                <w:rFonts w:ascii="Arial Narrow" w:hAnsi="Arial Narrow" w:cs="Segoe UI"/>
                <w:sz w:val="20"/>
                <w:szCs w:val="20"/>
              </w:rPr>
              <w:t> </w:t>
            </w:r>
          </w:p>
          <w:p w14:paraId="156E0CF1" w14:textId="4D8CBC44" w:rsidR="00DB5178" w:rsidRPr="0099114C" w:rsidRDefault="004F3F3E" w:rsidP="00C2638C">
            <w:pPr>
              <w:pStyle w:val="paragraph"/>
              <w:numPr>
                <w:ilvl w:val="0"/>
                <w:numId w:val="4"/>
              </w:numPr>
              <w:spacing w:before="0" w:beforeAutospacing="0" w:after="0" w:afterAutospacing="0"/>
              <w:jc w:val="both"/>
              <w:textAlignment w:val="baseline"/>
              <w:rPr>
                <w:rFonts w:cs="Arial"/>
                <w:snapToGrid w:val="0"/>
                <w:color w:val="0066FF"/>
                <w:szCs w:val="20"/>
              </w:rPr>
            </w:pPr>
            <w:r w:rsidRPr="00857B0D">
              <w:rPr>
                <w:rStyle w:val="normaltextrun"/>
                <w:rFonts w:ascii="Arial Narrow" w:hAnsi="Arial Narrow" w:cs="Segoe UI"/>
                <w:sz w:val="20"/>
                <w:szCs w:val="20"/>
              </w:rPr>
              <w:t>C</w:t>
            </w:r>
            <w:r w:rsidR="00DB5178" w:rsidRPr="00857B0D">
              <w:rPr>
                <w:rStyle w:val="normaltextrun"/>
                <w:rFonts w:ascii="Arial Narrow" w:hAnsi="Arial Narrow" w:cs="Segoe UI"/>
                <w:sz w:val="20"/>
                <w:szCs w:val="20"/>
              </w:rPr>
              <w:t>hanges in cumulative organ damage</w:t>
            </w:r>
            <w:r w:rsidR="00DB5178" w:rsidRPr="0099114C">
              <w:rPr>
                <w:rStyle w:val="eop"/>
                <w:rFonts w:ascii="Arial Narrow" w:hAnsi="Arial Narrow" w:cs="Segoe UI"/>
                <w:sz w:val="20"/>
                <w:szCs w:val="20"/>
              </w:rPr>
              <w:t> </w:t>
            </w:r>
          </w:p>
        </w:tc>
      </w:tr>
      <w:tr w:rsidR="00DB5178" w:rsidRPr="0099114C" w14:paraId="6314242A" w14:textId="77777777" w:rsidTr="0028314D">
        <w:trPr>
          <w:cantSplit/>
        </w:trPr>
        <w:tc>
          <w:tcPr>
            <w:tcW w:w="663" w:type="pct"/>
            <w:shd w:val="clear" w:color="auto" w:fill="auto"/>
          </w:tcPr>
          <w:p w14:paraId="42D0C32B" w14:textId="77777777" w:rsidR="00DB5178" w:rsidRPr="0099114C" w:rsidRDefault="00DB5178">
            <w:pPr>
              <w:pStyle w:val="TableText"/>
              <w:rPr>
                <w:b/>
                <w:bCs w:val="0"/>
              </w:rPr>
            </w:pPr>
            <w:r w:rsidRPr="0099114C">
              <w:rPr>
                <w:b/>
                <w:bCs w:val="0"/>
              </w:rPr>
              <w:t>Clinical claim</w:t>
            </w:r>
          </w:p>
        </w:tc>
        <w:tc>
          <w:tcPr>
            <w:tcW w:w="4337" w:type="pct"/>
            <w:shd w:val="clear" w:color="auto" w:fill="auto"/>
          </w:tcPr>
          <w:p w14:paraId="5DDC2F6C" w14:textId="1C1FF023" w:rsidR="00DB5178" w:rsidRPr="0099114C" w:rsidRDefault="00DB5178">
            <w:pPr>
              <w:pStyle w:val="TableText"/>
              <w:rPr>
                <w:rFonts w:eastAsia="Times New Roman" w:cs="Arial"/>
                <w:bCs w:val="0"/>
                <w:snapToGrid w:val="0"/>
                <w:color w:val="0066FF"/>
                <w:szCs w:val="20"/>
              </w:rPr>
            </w:pPr>
            <w:r w:rsidRPr="0099114C">
              <w:rPr>
                <w:rStyle w:val="normaltextrun"/>
                <w:rFonts w:cs="Segoe UI"/>
                <w:szCs w:val="20"/>
              </w:rPr>
              <w:t xml:space="preserve">In AAV, avacopan is superior compared to </w:t>
            </w:r>
            <w:r w:rsidR="00E2473F" w:rsidRPr="0099114C">
              <w:rPr>
                <w:rStyle w:val="normaltextrun"/>
                <w:rFonts w:cs="Segoe UI"/>
                <w:szCs w:val="20"/>
              </w:rPr>
              <w:t>GC</w:t>
            </w:r>
            <w:r w:rsidRPr="0099114C">
              <w:rPr>
                <w:rStyle w:val="normaltextrun"/>
                <w:rFonts w:cs="Segoe UI"/>
                <w:szCs w:val="20"/>
              </w:rPr>
              <w:t xml:space="preserve"> </w:t>
            </w:r>
            <w:r w:rsidR="009C4ECD" w:rsidRPr="0099114C">
              <w:rPr>
                <w:rStyle w:val="normaltextrun"/>
                <w:rFonts w:cs="Segoe UI"/>
                <w:szCs w:val="20"/>
              </w:rPr>
              <w:t>SOC</w:t>
            </w:r>
            <w:r w:rsidRPr="0099114C">
              <w:rPr>
                <w:rStyle w:val="normaltextrun"/>
                <w:rFonts w:cs="Segoe UI"/>
                <w:szCs w:val="20"/>
              </w:rPr>
              <w:t xml:space="preserve"> in terms of both efficacy and safety when administered for a treatment duration not exceeding 52 weeks per severe disease flare.</w:t>
            </w:r>
            <w:r w:rsidRPr="0099114C">
              <w:rPr>
                <w:rStyle w:val="eop"/>
                <w:rFonts w:cs="Segoe UI"/>
                <w:szCs w:val="20"/>
              </w:rPr>
              <w:t> </w:t>
            </w:r>
          </w:p>
        </w:tc>
      </w:tr>
    </w:tbl>
    <w:p w14:paraId="16BC489C" w14:textId="77777777" w:rsidR="00DB5178" w:rsidRPr="0099114C" w:rsidRDefault="00DB5178" w:rsidP="00DB5178">
      <w:pPr>
        <w:pStyle w:val="paragraph"/>
        <w:spacing w:before="0" w:beforeAutospacing="0" w:after="0" w:afterAutospacing="0"/>
        <w:ind w:right="-165"/>
        <w:jc w:val="both"/>
        <w:textAlignment w:val="baseline"/>
        <w:rPr>
          <w:rFonts w:ascii="Segoe UI" w:hAnsi="Segoe UI" w:cs="Segoe UI"/>
          <w:color w:val="000000"/>
          <w:sz w:val="18"/>
          <w:szCs w:val="18"/>
        </w:rPr>
      </w:pPr>
      <w:r w:rsidRPr="0099114C">
        <w:rPr>
          <w:rStyle w:val="normaltextrun"/>
          <w:rFonts w:ascii="Arial Narrow" w:hAnsi="Arial Narrow" w:cs="Segoe UI"/>
          <w:sz w:val="18"/>
          <w:szCs w:val="18"/>
        </w:rPr>
        <w:t>Source: Table 1.2, Avacopan resubmission</w:t>
      </w:r>
      <w:r w:rsidRPr="0099114C">
        <w:rPr>
          <w:rStyle w:val="eop"/>
          <w:rFonts w:ascii="Arial Narrow" w:hAnsi="Arial Narrow" w:cs="Segoe UI"/>
          <w:color w:val="000000"/>
          <w:sz w:val="18"/>
          <w:szCs w:val="18"/>
        </w:rPr>
        <w:t> </w:t>
      </w:r>
    </w:p>
    <w:p w14:paraId="503A4AFC" w14:textId="7856095E" w:rsidR="00DB5178" w:rsidRPr="0099114C" w:rsidRDefault="00DB5178" w:rsidP="00DB5178">
      <w:pPr>
        <w:pStyle w:val="paragraph"/>
        <w:spacing w:before="0" w:beforeAutospacing="0" w:after="0" w:afterAutospacing="0"/>
        <w:ind w:right="-165"/>
        <w:jc w:val="both"/>
        <w:textAlignment w:val="baseline"/>
        <w:rPr>
          <w:rFonts w:ascii="Segoe UI" w:hAnsi="Segoe UI" w:cs="Segoe UI"/>
          <w:color w:val="000000"/>
          <w:sz w:val="18"/>
          <w:szCs w:val="18"/>
        </w:rPr>
      </w:pPr>
      <w:r w:rsidRPr="0099114C">
        <w:rPr>
          <w:rStyle w:val="normaltextrun"/>
          <w:rFonts w:ascii="Arial Narrow" w:hAnsi="Arial Narrow" w:cs="Segoe UI"/>
          <w:sz w:val="18"/>
          <w:szCs w:val="18"/>
        </w:rPr>
        <w:t xml:space="preserve">Abbreviations: AAV ANCA-associated vasculitis; BVAS Birmingham Vasculitis Activity Score; </w:t>
      </w:r>
      <w:r w:rsidR="00E2473F" w:rsidRPr="0099114C">
        <w:rPr>
          <w:rStyle w:val="normaltextrun"/>
          <w:rFonts w:ascii="Arial Narrow" w:hAnsi="Arial Narrow" w:cs="Segoe UI"/>
          <w:sz w:val="18"/>
          <w:szCs w:val="18"/>
        </w:rPr>
        <w:t xml:space="preserve">GC, glucocorticoids; </w:t>
      </w:r>
      <w:r w:rsidRPr="0099114C">
        <w:rPr>
          <w:rStyle w:val="normaltextrun"/>
          <w:rFonts w:ascii="Arial Narrow" w:hAnsi="Arial Narrow" w:cs="Segoe UI"/>
          <w:sz w:val="18"/>
          <w:szCs w:val="18"/>
        </w:rPr>
        <w:t xml:space="preserve">GPA granulomatosis with polyangiitis; MPA microscopic polyangiitis; </w:t>
      </w:r>
      <w:r w:rsidR="009C4ECD" w:rsidRPr="0099114C">
        <w:rPr>
          <w:rStyle w:val="normaltextrun"/>
          <w:rFonts w:ascii="Arial Narrow" w:hAnsi="Arial Narrow" w:cs="Segoe UI"/>
          <w:sz w:val="18"/>
          <w:szCs w:val="18"/>
        </w:rPr>
        <w:t>SOC</w:t>
      </w:r>
      <w:r w:rsidRPr="0099114C">
        <w:rPr>
          <w:rStyle w:val="normaltextrun"/>
          <w:rFonts w:ascii="Arial Narrow" w:hAnsi="Arial Narrow" w:cs="Segoe UI"/>
          <w:sz w:val="18"/>
          <w:szCs w:val="18"/>
        </w:rPr>
        <w:t>, Standard of care;</w:t>
      </w:r>
    </w:p>
    <w:p w14:paraId="675B75DE" w14:textId="6C106D79" w:rsidR="00DB5178" w:rsidRPr="0099114C" w:rsidRDefault="00D27565" w:rsidP="00DB5178">
      <w:pPr>
        <w:pStyle w:val="FooterTableFigure"/>
        <w:rPr>
          <w:sz w:val="20"/>
        </w:rPr>
      </w:pPr>
      <w:r w:rsidRPr="0099114C">
        <w:rPr>
          <w:rStyle w:val="normaltextrun"/>
          <w:color w:val="000000"/>
          <w:szCs w:val="18"/>
          <w:shd w:val="clear" w:color="auto" w:fill="8EAADB" w:themeFill="accent1" w:themeFillTint="99"/>
        </w:rPr>
        <w:t>Blue shading</w:t>
      </w:r>
      <w:r w:rsidRPr="0099114C">
        <w:rPr>
          <w:rStyle w:val="normaltextrun"/>
          <w:color w:val="000000"/>
          <w:szCs w:val="18"/>
          <w:shd w:val="clear" w:color="auto" w:fill="FFFFFF"/>
        </w:rPr>
        <w:t xml:space="preserve"> indicates information previously seen by the PBAC</w:t>
      </w:r>
      <w:r w:rsidR="00A52A42" w:rsidRPr="0099114C">
        <w:rPr>
          <w:rStyle w:val="normaltextrun"/>
          <w:color w:val="000000"/>
          <w:szCs w:val="18"/>
          <w:shd w:val="clear" w:color="auto" w:fill="FFFFFF"/>
        </w:rPr>
        <w:t>.</w:t>
      </w:r>
      <w:r w:rsidRPr="0099114C">
        <w:rPr>
          <w:rStyle w:val="normaltextrun"/>
          <w:color w:val="000000"/>
          <w:szCs w:val="18"/>
          <w:shd w:val="clear" w:color="auto" w:fill="FFFFFF"/>
        </w:rPr>
        <w:t xml:space="preserve"> </w:t>
      </w:r>
      <w:r w:rsidR="00DB5178" w:rsidRPr="0099114C">
        <w:rPr>
          <w:rStyle w:val="normaltextrun"/>
          <w:color w:val="000000"/>
          <w:szCs w:val="18"/>
          <w:shd w:val="clear" w:color="auto" w:fill="FFFFFF"/>
        </w:rPr>
        <w:t xml:space="preserve">The resubmission maintained a claim of superiority over </w:t>
      </w:r>
      <w:r w:rsidR="00527DFF" w:rsidRPr="0099114C">
        <w:rPr>
          <w:rStyle w:val="normaltextrun"/>
          <w:color w:val="000000"/>
          <w:szCs w:val="18"/>
          <w:shd w:val="clear" w:color="auto" w:fill="FFFFFF"/>
        </w:rPr>
        <w:t>glucocorticoid</w:t>
      </w:r>
      <w:r w:rsidR="00DB5178" w:rsidRPr="0099114C">
        <w:rPr>
          <w:rStyle w:val="normaltextrun"/>
          <w:color w:val="000000"/>
          <w:szCs w:val="18"/>
          <w:shd w:val="clear" w:color="auto" w:fill="FFFFFF"/>
        </w:rPr>
        <w:t xml:space="preserve"> </w:t>
      </w:r>
      <w:r w:rsidR="009C4ECD" w:rsidRPr="0099114C">
        <w:rPr>
          <w:rStyle w:val="normaltextrun"/>
          <w:color w:val="000000"/>
          <w:szCs w:val="18"/>
          <w:shd w:val="clear" w:color="auto" w:fill="FFFFFF"/>
        </w:rPr>
        <w:t>SOC</w:t>
      </w:r>
      <w:r w:rsidR="00DB5178" w:rsidRPr="0099114C">
        <w:rPr>
          <w:rStyle w:val="normaltextrun"/>
          <w:color w:val="000000"/>
          <w:szCs w:val="18"/>
          <w:shd w:val="clear" w:color="auto" w:fill="FFFFFF"/>
        </w:rPr>
        <w:t xml:space="preserve"> in terms of both safety and efficacy but added the stipulation that this was only when avacopan was administered for a treatment duration not exceeding 52 weeks per severe disease flare.</w:t>
      </w:r>
    </w:p>
    <w:p w14:paraId="3AC5BB10" w14:textId="77777777" w:rsidR="00DB5178" w:rsidRPr="0099114C" w:rsidRDefault="00DB5178" w:rsidP="00DB5178">
      <w:pPr>
        <w:pStyle w:val="2-SectionHeading"/>
      </w:pPr>
      <w:bookmarkStart w:id="5" w:name="_Toc152591163"/>
      <w:bookmarkStart w:id="6" w:name="_Toc156913958"/>
      <w:r w:rsidRPr="0099114C">
        <w:t>Background</w:t>
      </w:r>
      <w:bookmarkEnd w:id="5"/>
      <w:bookmarkEnd w:id="6"/>
    </w:p>
    <w:p w14:paraId="4EA6207D" w14:textId="77777777" w:rsidR="00DB5178" w:rsidRPr="0099114C" w:rsidRDefault="00DB5178" w:rsidP="00DB5178">
      <w:pPr>
        <w:pStyle w:val="4-SubsectionHeading"/>
      </w:pPr>
      <w:bookmarkStart w:id="7" w:name="_Toc152591164"/>
      <w:bookmarkStart w:id="8" w:name="_Toc156913959"/>
      <w:r w:rsidRPr="0099114C">
        <w:t>Registration status</w:t>
      </w:r>
      <w:bookmarkEnd w:id="7"/>
      <w:bookmarkEnd w:id="8"/>
    </w:p>
    <w:p w14:paraId="563946C8" w14:textId="08B0B0C2" w:rsidR="00DB5178" w:rsidRPr="0099114C" w:rsidRDefault="00DB5178" w:rsidP="00DB5178">
      <w:pPr>
        <w:pStyle w:val="3-BodyText"/>
        <w:rPr>
          <w:rStyle w:val="normaltextrun"/>
        </w:rPr>
      </w:pPr>
      <w:r w:rsidRPr="0099114C">
        <w:rPr>
          <w:rStyle w:val="normaltextrun"/>
          <w:rFonts w:cs="Calibri"/>
          <w:color w:val="000000"/>
          <w:shd w:val="clear" w:color="auto" w:fill="FFFFFF"/>
        </w:rPr>
        <w:t xml:space="preserve">Avacopan received Therapeutic Goods Administration (TGA) registration on </w:t>
      </w:r>
      <w:r w:rsidR="00177DC3" w:rsidRPr="0099114C">
        <w:rPr>
          <w:rStyle w:val="normaltextrun"/>
          <w:rFonts w:cs="Calibri"/>
          <w:color w:val="000000"/>
          <w:shd w:val="clear" w:color="auto" w:fill="FFFFFF"/>
        </w:rPr>
        <w:t>17 </w:t>
      </w:r>
      <w:r w:rsidRPr="0099114C">
        <w:rPr>
          <w:rStyle w:val="normaltextrun"/>
          <w:rFonts w:cs="Calibri"/>
          <w:color w:val="000000"/>
          <w:shd w:val="clear" w:color="auto" w:fill="FFFFFF"/>
        </w:rPr>
        <w:t xml:space="preserve">January 2023 for use in combination with a rituximab or cyclophosphamide-based </w:t>
      </w:r>
      <w:r w:rsidRPr="0099114C">
        <w:rPr>
          <w:rStyle w:val="normaltextrun"/>
          <w:rFonts w:cs="Calibri"/>
          <w:color w:val="000000"/>
          <w:shd w:val="clear" w:color="auto" w:fill="FFFFFF"/>
        </w:rPr>
        <w:lastRenderedPageBreak/>
        <w:t>regimen, for the treatment of adults with anti-neutrophil cytoplasmic autoantibody (ANCA)-associated vasculitis (GPA and</w:t>
      </w:r>
      <w:r w:rsidR="005402D8" w:rsidRPr="0099114C">
        <w:rPr>
          <w:rStyle w:val="normaltextrun"/>
          <w:rFonts w:cs="Calibri"/>
          <w:color w:val="000000"/>
          <w:shd w:val="clear" w:color="auto" w:fill="FFFFFF"/>
        </w:rPr>
        <w:t xml:space="preserve"> </w:t>
      </w:r>
      <w:r w:rsidRPr="0099114C">
        <w:rPr>
          <w:rStyle w:val="normaltextrun"/>
          <w:rFonts w:cs="Calibri"/>
          <w:color w:val="000000"/>
          <w:shd w:val="clear" w:color="auto" w:fill="FFFFFF"/>
        </w:rPr>
        <w:t>MPA).</w:t>
      </w:r>
    </w:p>
    <w:p w14:paraId="0C2C668B" w14:textId="77777777" w:rsidR="00DB5178" w:rsidRPr="0099114C" w:rsidRDefault="00DB5178" w:rsidP="00DB5178">
      <w:pPr>
        <w:pStyle w:val="4-SubsectionHeading"/>
      </w:pPr>
      <w:bookmarkStart w:id="9" w:name="_Toc152591165"/>
      <w:bookmarkStart w:id="10" w:name="_Toc156913960"/>
      <w:r w:rsidRPr="0099114C">
        <w:t>Previous PBAC consideration</w:t>
      </w:r>
      <w:bookmarkEnd w:id="9"/>
      <w:bookmarkEnd w:id="10"/>
    </w:p>
    <w:p w14:paraId="0874F4F9" w14:textId="798128C8" w:rsidR="00E97D28" w:rsidRPr="0099114C" w:rsidRDefault="00DB5178" w:rsidP="00996E32">
      <w:pPr>
        <w:pStyle w:val="3-BodyText"/>
      </w:pPr>
      <w:r w:rsidRPr="0099114C">
        <w:t xml:space="preserve">This is the second PBAC consideration of avacopan for the treatment of severe active GPA and MPA. The previous submission for avacopan was considered by the PBAC in July 2023 and was not recommended. The main PBAC concerns and how they were addressed in the resubmission are summarised in </w:t>
      </w:r>
      <w:r w:rsidR="00996E32" w:rsidRPr="0099114C">
        <w:fldChar w:fldCharType="begin" w:fldLock="1"/>
      </w:r>
      <w:r w:rsidR="00996E32" w:rsidRPr="0099114C">
        <w:instrText xml:space="preserve"> REF _Ref153174139 \h </w:instrText>
      </w:r>
      <w:r w:rsidR="00996E32" w:rsidRPr="0099114C">
        <w:fldChar w:fldCharType="separate"/>
      </w:r>
      <w:r w:rsidR="00A04368" w:rsidRPr="0099114C">
        <w:t xml:space="preserve">Table </w:t>
      </w:r>
      <w:r w:rsidR="00A04368" w:rsidRPr="00857B0D">
        <w:t>2</w:t>
      </w:r>
      <w:r w:rsidR="00996E32" w:rsidRPr="0099114C">
        <w:fldChar w:fldCharType="end"/>
      </w:r>
      <w:r w:rsidRPr="0099114C">
        <w:t>.</w:t>
      </w:r>
    </w:p>
    <w:p w14:paraId="607D4429" w14:textId="4C700172" w:rsidR="00DB5178" w:rsidRPr="0099114C" w:rsidRDefault="00DB5178" w:rsidP="004A08BF">
      <w:pPr>
        <w:pStyle w:val="TableFigureHeading"/>
        <w:rPr>
          <w:rStyle w:val="CommentReference"/>
          <w:b/>
          <w:szCs w:val="24"/>
        </w:rPr>
      </w:pPr>
      <w:bookmarkStart w:id="11" w:name="_Ref153174139"/>
      <w:r w:rsidRPr="0099114C">
        <w:t xml:space="preserve">Table </w:t>
      </w:r>
      <w:fldSimple w:instr=" SEQ Table \* ARABIC " w:fldLock="1">
        <w:r w:rsidR="00A04368" w:rsidRPr="00857B0D">
          <w:t>2</w:t>
        </w:r>
      </w:fldSimple>
      <w:bookmarkEnd w:id="11"/>
      <w:r w:rsidRPr="0099114C">
        <w:t>:</w:t>
      </w:r>
      <w:r w:rsidRPr="0099114C">
        <w:rPr>
          <w:rStyle w:val="CommentReference"/>
          <w:b/>
          <w:szCs w:val="24"/>
        </w:rPr>
        <w:t xml:space="preserve"> Summary of key matters of concern</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Summary of key matters of concern"/>
      </w:tblPr>
      <w:tblGrid>
        <w:gridCol w:w="1394"/>
        <w:gridCol w:w="3780"/>
        <w:gridCol w:w="3842"/>
      </w:tblGrid>
      <w:tr w:rsidR="006A66DD" w:rsidRPr="0099114C" w14:paraId="3D839146" w14:textId="77777777" w:rsidTr="00F25882">
        <w:trPr>
          <w:cantSplit/>
          <w:tblHeader/>
        </w:trPr>
        <w:tc>
          <w:tcPr>
            <w:tcW w:w="0" w:type="auto"/>
            <w:vAlign w:val="center"/>
          </w:tcPr>
          <w:p w14:paraId="40ACD341" w14:textId="77777777" w:rsidR="00DB5178" w:rsidRPr="00857B0D" w:rsidRDefault="00DB5178">
            <w:pPr>
              <w:pStyle w:val="In-tableHeading"/>
              <w:rPr>
                <w:lang w:val="en-AU"/>
              </w:rPr>
            </w:pPr>
            <w:r w:rsidRPr="00857B0D">
              <w:rPr>
                <w:lang w:val="en-AU"/>
              </w:rPr>
              <w:t>Component</w:t>
            </w:r>
          </w:p>
        </w:tc>
        <w:tc>
          <w:tcPr>
            <w:tcW w:w="0" w:type="auto"/>
            <w:vAlign w:val="center"/>
          </w:tcPr>
          <w:p w14:paraId="41312FD7" w14:textId="77777777" w:rsidR="00DB5178" w:rsidRPr="00857B0D" w:rsidRDefault="00DB5178">
            <w:pPr>
              <w:pStyle w:val="In-tableHeading"/>
              <w:rPr>
                <w:lang w:val="en-AU"/>
              </w:rPr>
            </w:pPr>
            <w:r w:rsidRPr="00857B0D">
              <w:rPr>
                <w:lang w:val="en-AU"/>
              </w:rPr>
              <w:t>Matters of concern</w:t>
            </w:r>
          </w:p>
        </w:tc>
        <w:tc>
          <w:tcPr>
            <w:tcW w:w="0" w:type="auto"/>
            <w:vAlign w:val="center"/>
          </w:tcPr>
          <w:p w14:paraId="17053309" w14:textId="77777777" w:rsidR="00DB5178" w:rsidRPr="00857B0D" w:rsidRDefault="00DB5178">
            <w:pPr>
              <w:pStyle w:val="In-tableHeading"/>
              <w:rPr>
                <w:lang w:val="en-AU"/>
              </w:rPr>
            </w:pPr>
            <w:r w:rsidRPr="00857B0D">
              <w:rPr>
                <w:lang w:val="en-AU"/>
              </w:rPr>
              <w:t>How the resubmission addresses it</w:t>
            </w:r>
          </w:p>
        </w:tc>
      </w:tr>
      <w:tr w:rsidR="00005D80" w:rsidRPr="0099114C" w14:paraId="146700EF" w14:textId="77777777">
        <w:trPr>
          <w:cantSplit/>
        </w:trPr>
        <w:tc>
          <w:tcPr>
            <w:tcW w:w="0" w:type="auto"/>
            <w:vAlign w:val="center"/>
          </w:tcPr>
          <w:p w14:paraId="103DB7B7" w14:textId="7F5889A8" w:rsidR="00005D80" w:rsidRPr="0099114C" w:rsidRDefault="00005D80" w:rsidP="00ED2029">
            <w:pPr>
              <w:pStyle w:val="TableText"/>
            </w:pPr>
            <w:r w:rsidRPr="0099114C">
              <w:t>New evidence provided</w:t>
            </w:r>
          </w:p>
        </w:tc>
        <w:tc>
          <w:tcPr>
            <w:tcW w:w="0" w:type="auto"/>
            <w:vAlign w:val="center"/>
          </w:tcPr>
          <w:p w14:paraId="2ABDA573" w14:textId="02A5FFF3" w:rsidR="00005D80" w:rsidRPr="0099114C" w:rsidRDefault="00005D80" w:rsidP="00ED2029">
            <w:pPr>
              <w:pStyle w:val="TableText"/>
            </w:pPr>
            <w:r w:rsidRPr="0099114C">
              <w:t xml:space="preserve">The PBAC considered a resubmission for avacopan should be based on the benefits of reducing GC when used as induction therapy. Additional clinical evidence would be required to support broader benefits, including efficacy benefits, when used as induction therapy or to support use as maintenance therapy </w:t>
            </w:r>
            <w:r w:rsidRPr="0099114C">
              <w:rPr>
                <w:rFonts w:eastAsia="Arial Narrow" w:cs="Arial Narrow"/>
                <w:szCs w:val="20"/>
              </w:rPr>
              <w:t>(para 7.16, avacopan, PSD, July 2023 PBAC meeting).</w:t>
            </w:r>
          </w:p>
        </w:tc>
        <w:tc>
          <w:tcPr>
            <w:tcW w:w="0" w:type="auto"/>
            <w:vAlign w:val="center"/>
          </w:tcPr>
          <w:p w14:paraId="3558C1F4" w14:textId="77777777" w:rsidR="00005D80" w:rsidRPr="0099114C" w:rsidRDefault="00005D80" w:rsidP="00005D80">
            <w:pPr>
              <w:pStyle w:val="TableText"/>
            </w:pPr>
            <w:r w:rsidRPr="0099114C">
              <w:t>Partially addressed.</w:t>
            </w:r>
          </w:p>
          <w:p w14:paraId="29157BB8" w14:textId="77777777" w:rsidR="00005D80" w:rsidRPr="0099114C" w:rsidRDefault="00005D80" w:rsidP="00005D80">
            <w:pPr>
              <w:pStyle w:val="TableText"/>
            </w:pPr>
            <w:r w:rsidRPr="0099114C">
              <w:t>Additional evidence provided:</w:t>
            </w:r>
          </w:p>
          <w:p w14:paraId="5ACA42E9" w14:textId="77777777" w:rsidR="00005D80" w:rsidRPr="0099114C" w:rsidRDefault="00005D80" w:rsidP="00B677E7">
            <w:pPr>
              <w:pStyle w:val="TableText"/>
              <w:numPr>
                <w:ilvl w:val="0"/>
                <w:numId w:val="63"/>
              </w:numPr>
            </w:pPr>
            <w:r w:rsidRPr="0099114C">
              <w:t>Post-hoc analysis of time to 40% reduction in urinary albumin creatinine ratio (UACR)</w:t>
            </w:r>
          </w:p>
          <w:p w14:paraId="1C75C59B" w14:textId="77777777" w:rsidR="00005D80" w:rsidRPr="0099114C" w:rsidRDefault="00005D80" w:rsidP="00005D80">
            <w:pPr>
              <w:pStyle w:val="TableText"/>
              <w:numPr>
                <w:ilvl w:val="0"/>
                <w:numId w:val="63"/>
              </w:numPr>
            </w:pPr>
            <w:r w:rsidRPr="0099114C">
              <w:t>Post-hoc analysis of patient-reported health-related quality of life outcomes (already considered at the July 2023 meeting)</w:t>
            </w:r>
          </w:p>
          <w:p w14:paraId="6D2A806E" w14:textId="77777777" w:rsidR="00005D80" w:rsidRPr="0099114C" w:rsidRDefault="00005D80" w:rsidP="00005D80">
            <w:pPr>
              <w:pStyle w:val="TableText"/>
              <w:numPr>
                <w:ilvl w:val="0"/>
                <w:numId w:val="63"/>
              </w:numPr>
            </w:pPr>
            <w:r w:rsidRPr="0099114C">
              <w:t>A systematic review of GC-specific adverse events in patients with AAV</w:t>
            </w:r>
          </w:p>
          <w:p w14:paraId="128DF3D9" w14:textId="77777777" w:rsidR="00005D80" w:rsidRPr="0099114C" w:rsidRDefault="00005D80" w:rsidP="00005D80">
            <w:pPr>
              <w:pStyle w:val="TableText"/>
              <w:numPr>
                <w:ilvl w:val="0"/>
                <w:numId w:val="63"/>
              </w:numPr>
            </w:pPr>
            <w:r w:rsidRPr="0099114C">
              <w:t>Supplementary real-world evidence from the avacopan Expanded Access Program</w:t>
            </w:r>
          </w:p>
          <w:p w14:paraId="51FB5EBA" w14:textId="20A72DA4" w:rsidR="00005D80" w:rsidRPr="0099114C" w:rsidRDefault="00005D80" w:rsidP="00B9052B">
            <w:pPr>
              <w:pStyle w:val="TableText"/>
              <w:numPr>
                <w:ilvl w:val="0"/>
                <w:numId w:val="63"/>
              </w:numPr>
            </w:pPr>
            <w:r w:rsidRPr="0099114C">
              <w:t xml:space="preserve">Feasibility assessment of three randomised controlled trials (MAINRITSAN, MAINRITSAN 2 and RITZAREM) which considered the use of rituximab for </w:t>
            </w:r>
            <w:r w:rsidR="0078640B" w:rsidRPr="0099114C">
              <w:t>maintenance,</w:t>
            </w:r>
            <w:r w:rsidR="00A11896" w:rsidRPr="0099114C">
              <w:t xml:space="preserve"> but no </w:t>
            </w:r>
            <w:r w:rsidR="00583CE3" w:rsidRPr="0099114C">
              <w:t xml:space="preserve">indirect treatment comparison (ITC) undertaken. </w:t>
            </w:r>
          </w:p>
          <w:p w14:paraId="4880E892" w14:textId="60E3EAA6" w:rsidR="00521347" w:rsidRPr="0099114C" w:rsidRDefault="00A4640B" w:rsidP="00ED2029">
            <w:pPr>
              <w:pStyle w:val="TableText"/>
            </w:pPr>
            <w:r w:rsidRPr="0099114C">
              <w:t>The</w:t>
            </w:r>
            <w:r w:rsidR="00D0635C" w:rsidRPr="0099114C">
              <w:t xml:space="preserve"> new information provided in the resubmission</w:t>
            </w:r>
            <w:r w:rsidRPr="0099114C">
              <w:t xml:space="preserve"> </w:t>
            </w:r>
            <w:r w:rsidR="00BD6576" w:rsidRPr="0099114C">
              <w:t xml:space="preserve">does not </w:t>
            </w:r>
            <w:r w:rsidR="00B677E7" w:rsidRPr="0099114C">
              <w:t xml:space="preserve">adequately </w:t>
            </w:r>
            <w:r w:rsidR="00BD6576" w:rsidRPr="0099114C">
              <w:t>addre</w:t>
            </w:r>
            <w:r w:rsidR="00FF4259" w:rsidRPr="0099114C">
              <w:t xml:space="preserve">ss previous concerns raised </w:t>
            </w:r>
            <w:r w:rsidR="0026370F" w:rsidRPr="0099114C">
              <w:t>regarding</w:t>
            </w:r>
            <w:r w:rsidR="00B263EC" w:rsidRPr="0099114C">
              <w:t xml:space="preserve"> no comparative benefit for</w:t>
            </w:r>
            <w:r w:rsidR="0026370F" w:rsidRPr="0099114C">
              <w:t xml:space="preserve"> remission</w:t>
            </w:r>
            <w:r w:rsidR="00B263EC" w:rsidRPr="0099114C">
              <w:t xml:space="preserve"> at 26 weeks</w:t>
            </w:r>
            <w:r w:rsidR="0026370F" w:rsidRPr="0099114C">
              <w:t xml:space="preserve"> and </w:t>
            </w:r>
            <w:r w:rsidR="00B263EC" w:rsidRPr="0099114C">
              <w:t>no relevant comparative assessment of sustained remission for maintenance therapy from 26</w:t>
            </w:r>
            <w:r w:rsidR="00B263EC" w:rsidRPr="0099114C">
              <w:sym w:font="Symbol" w:char="F02D"/>
            </w:r>
            <w:r w:rsidR="00B263EC" w:rsidRPr="0099114C">
              <w:t>52 weeks</w:t>
            </w:r>
            <w:r w:rsidR="0026370F" w:rsidRPr="0099114C">
              <w:t>.</w:t>
            </w:r>
          </w:p>
        </w:tc>
      </w:tr>
      <w:tr w:rsidR="00005D80" w:rsidRPr="0099114C" w14:paraId="0F6DEDF5" w14:textId="77777777" w:rsidTr="00B263EC">
        <w:trPr>
          <w:cantSplit/>
        </w:trPr>
        <w:tc>
          <w:tcPr>
            <w:tcW w:w="0" w:type="auto"/>
            <w:vAlign w:val="center"/>
          </w:tcPr>
          <w:p w14:paraId="02A910B3" w14:textId="5F48A1FC" w:rsidR="00005D80" w:rsidRPr="0099114C" w:rsidRDefault="00005D80" w:rsidP="00B9052B">
            <w:pPr>
              <w:pStyle w:val="TableText"/>
            </w:pPr>
            <w:r w:rsidRPr="0099114C">
              <w:t>Restriction</w:t>
            </w:r>
          </w:p>
        </w:tc>
        <w:tc>
          <w:tcPr>
            <w:tcW w:w="0" w:type="auto"/>
          </w:tcPr>
          <w:p w14:paraId="007B3211" w14:textId="77777777" w:rsidR="00005D80" w:rsidRPr="0099114C" w:rsidRDefault="00005D80" w:rsidP="00005D80">
            <w:pPr>
              <w:pStyle w:val="TableText"/>
              <w:rPr>
                <w:rFonts w:eastAsia="Times New Roman" w:cs="Arial"/>
                <w:bCs w:val="0"/>
                <w:snapToGrid w:val="0"/>
                <w:szCs w:val="20"/>
              </w:rPr>
            </w:pPr>
            <w:r w:rsidRPr="0099114C">
              <w:rPr>
                <w:rFonts w:eastAsia="Times New Roman" w:cs="Arial"/>
                <w:bCs w:val="0"/>
                <w:snapToGrid w:val="0"/>
                <w:szCs w:val="20"/>
              </w:rPr>
              <w:t>The PBAC suggested that the restriction specifies that the ‘Patient must be undergoing concomitant therapy with at least another drug therapy as part of a regimen specified in this drug’s approved Product Information including either: i) cyclophosphamide; ii) rituximab.’ (para 7.5, avacopan, PSD, July 2023 PBAC meeting).</w:t>
            </w:r>
          </w:p>
          <w:p w14:paraId="7AD2FB1B" w14:textId="77777777" w:rsidR="00005D80" w:rsidRPr="0099114C" w:rsidRDefault="00005D80" w:rsidP="00B9052B">
            <w:pPr>
              <w:pStyle w:val="TableText"/>
              <w:rPr>
                <w:rFonts w:eastAsia="Times New Roman" w:cs="Arial"/>
                <w:bCs w:val="0"/>
                <w:snapToGrid w:val="0"/>
                <w:szCs w:val="20"/>
              </w:rPr>
            </w:pPr>
            <w:r w:rsidRPr="0099114C">
              <w:rPr>
                <w:rFonts w:eastAsia="Times New Roman" w:cs="Arial"/>
                <w:bCs w:val="0"/>
                <w:snapToGrid w:val="0"/>
                <w:szCs w:val="20"/>
              </w:rPr>
              <w:t>The PBAC noted the use of avacopan as monotherapy was not supported by its TGA indication or treatment guidelines (para 7.6, avacopan, PSD, July 2023 PBAC meeting). </w:t>
            </w:r>
          </w:p>
          <w:p w14:paraId="2E2179CD" w14:textId="77777777" w:rsidR="006C3109" w:rsidRPr="0099114C" w:rsidRDefault="006C3109" w:rsidP="00B9052B">
            <w:pPr>
              <w:pStyle w:val="TableText"/>
              <w:rPr>
                <w:rFonts w:eastAsia="Times New Roman" w:cs="Arial"/>
                <w:snapToGrid w:val="0"/>
                <w:szCs w:val="20"/>
              </w:rPr>
            </w:pPr>
          </w:p>
          <w:p w14:paraId="2AF248F1" w14:textId="367B9ED2" w:rsidR="00005D80" w:rsidRPr="0099114C" w:rsidRDefault="006C3109" w:rsidP="00D836B1">
            <w:pPr>
              <w:pStyle w:val="TableText"/>
              <w:rPr>
                <w:rFonts w:eastAsia="Times New Roman" w:cs="Arial"/>
                <w:snapToGrid w:val="0"/>
                <w:szCs w:val="20"/>
              </w:rPr>
            </w:pPr>
            <w:r w:rsidRPr="0099114C">
              <w:t xml:space="preserve">The PBAC considered that the claim of superior comparative effectiveness was highly uncertain for induction therapy and was not adequately supported by the data for maintenance therapy </w:t>
            </w:r>
            <w:r w:rsidRPr="0099114C">
              <w:rPr>
                <w:rFonts w:eastAsia="Times New Roman" w:cs="Arial"/>
                <w:bCs w:val="0"/>
                <w:snapToGrid w:val="0"/>
                <w:szCs w:val="20"/>
              </w:rPr>
              <w:t>(para 6.38, avacopan, PSD, July 2023 PBAC meeting). </w:t>
            </w:r>
          </w:p>
        </w:tc>
        <w:tc>
          <w:tcPr>
            <w:tcW w:w="0" w:type="auto"/>
          </w:tcPr>
          <w:p w14:paraId="7AFE231B" w14:textId="77777777" w:rsidR="00005D80" w:rsidRPr="0099114C" w:rsidRDefault="00005D80" w:rsidP="00005D80">
            <w:pPr>
              <w:pStyle w:val="TableText"/>
              <w:rPr>
                <w:rFonts w:eastAsia="Times New Roman" w:cs="Arial"/>
                <w:bCs w:val="0"/>
                <w:snapToGrid w:val="0"/>
                <w:szCs w:val="20"/>
              </w:rPr>
            </w:pPr>
            <w:r w:rsidRPr="0099114C">
              <w:rPr>
                <w:rFonts w:eastAsia="Times New Roman" w:cs="Arial"/>
                <w:bCs w:val="0"/>
                <w:snapToGrid w:val="0"/>
                <w:szCs w:val="20"/>
              </w:rPr>
              <w:t xml:space="preserve">Addressed. </w:t>
            </w:r>
          </w:p>
          <w:p w14:paraId="0295C33D" w14:textId="77777777" w:rsidR="00005D80" w:rsidRPr="0099114C" w:rsidRDefault="00005D80" w:rsidP="00005D80">
            <w:pPr>
              <w:pStyle w:val="TableText"/>
              <w:rPr>
                <w:rFonts w:eastAsia="Times New Roman" w:cs="Arial"/>
                <w:bCs w:val="0"/>
                <w:snapToGrid w:val="0"/>
                <w:szCs w:val="20"/>
              </w:rPr>
            </w:pPr>
            <w:r w:rsidRPr="0099114C">
              <w:rPr>
                <w:rFonts w:eastAsia="Times New Roman" w:cs="Arial"/>
                <w:bCs w:val="0"/>
                <w:snapToGrid w:val="0"/>
                <w:szCs w:val="20"/>
              </w:rPr>
              <w:t>Restriction amended with “Patient must be undergoing concomitant therapy with at least another drug therapy as part of a regimen specified in this drug’s approved Product Information including either: i) cyclophosphamide; or ii) rituximab”.</w:t>
            </w:r>
          </w:p>
          <w:p w14:paraId="466FBB86" w14:textId="77777777" w:rsidR="00005D80" w:rsidRPr="0099114C" w:rsidRDefault="00005D80" w:rsidP="00005D80">
            <w:pPr>
              <w:pStyle w:val="TableText"/>
              <w:rPr>
                <w:rFonts w:eastAsia="Times New Roman" w:cs="Arial"/>
                <w:snapToGrid w:val="0"/>
                <w:szCs w:val="20"/>
              </w:rPr>
            </w:pPr>
          </w:p>
          <w:p w14:paraId="75A4455C" w14:textId="77777777" w:rsidR="00B263EC" w:rsidRPr="0099114C" w:rsidRDefault="00B263EC" w:rsidP="00005D80">
            <w:pPr>
              <w:pStyle w:val="TableText"/>
              <w:rPr>
                <w:rFonts w:eastAsia="Times New Roman" w:cs="Arial"/>
                <w:bCs w:val="0"/>
                <w:snapToGrid w:val="0"/>
                <w:szCs w:val="20"/>
              </w:rPr>
            </w:pPr>
          </w:p>
          <w:p w14:paraId="0EDA4FB4" w14:textId="77777777" w:rsidR="00B263EC" w:rsidRPr="0099114C" w:rsidRDefault="00B263EC" w:rsidP="00005D80">
            <w:pPr>
              <w:pStyle w:val="TableText"/>
              <w:rPr>
                <w:rFonts w:eastAsia="Times New Roman" w:cs="Arial"/>
                <w:bCs w:val="0"/>
                <w:snapToGrid w:val="0"/>
                <w:szCs w:val="20"/>
              </w:rPr>
            </w:pPr>
          </w:p>
          <w:p w14:paraId="2475A6D4" w14:textId="77777777" w:rsidR="00B263EC" w:rsidRPr="0099114C" w:rsidRDefault="00B263EC" w:rsidP="00005D80">
            <w:pPr>
              <w:pStyle w:val="TableText"/>
              <w:rPr>
                <w:rFonts w:eastAsia="Times New Roman" w:cs="Arial"/>
                <w:bCs w:val="0"/>
                <w:snapToGrid w:val="0"/>
                <w:szCs w:val="20"/>
              </w:rPr>
            </w:pPr>
          </w:p>
          <w:p w14:paraId="453F4E9B" w14:textId="77777777" w:rsidR="00B263EC" w:rsidRPr="0099114C" w:rsidRDefault="00B263EC" w:rsidP="00005D80">
            <w:pPr>
              <w:pStyle w:val="TableText"/>
              <w:rPr>
                <w:rFonts w:eastAsia="Times New Roman" w:cs="Arial"/>
                <w:bCs w:val="0"/>
                <w:snapToGrid w:val="0"/>
                <w:szCs w:val="20"/>
              </w:rPr>
            </w:pPr>
          </w:p>
          <w:p w14:paraId="4779DEA5" w14:textId="51D25CC5" w:rsidR="00005D80" w:rsidRPr="0099114C" w:rsidRDefault="00005D80" w:rsidP="00005D80">
            <w:pPr>
              <w:pStyle w:val="TableText"/>
              <w:rPr>
                <w:rFonts w:eastAsia="Times New Roman" w:cs="Arial"/>
                <w:bCs w:val="0"/>
                <w:snapToGrid w:val="0"/>
                <w:szCs w:val="20"/>
              </w:rPr>
            </w:pPr>
            <w:r w:rsidRPr="0099114C">
              <w:rPr>
                <w:rFonts w:eastAsia="Times New Roman" w:cs="Arial"/>
                <w:bCs w:val="0"/>
                <w:snapToGrid w:val="0"/>
                <w:szCs w:val="20"/>
              </w:rPr>
              <w:t>Not adequately addressed.</w:t>
            </w:r>
          </w:p>
          <w:p w14:paraId="2BE51BF2" w14:textId="1DABCD38" w:rsidR="00005D80" w:rsidRPr="0099114C" w:rsidRDefault="00005D80" w:rsidP="00B9052B">
            <w:pPr>
              <w:pStyle w:val="TableText"/>
              <w:rPr>
                <w:i/>
                <w:iCs/>
              </w:rPr>
            </w:pPr>
            <w:r w:rsidRPr="0099114C">
              <w:rPr>
                <w:rFonts w:eastAsia="Arial Narrow" w:cs="Arial Narrow"/>
                <w:szCs w:val="20"/>
              </w:rPr>
              <w:t>The resubmission requested a single restriction for the use of avacopan in either induction, maintenance, or reinduction with the additional stipulation of a maximum treatment duration of 12 months per disease flare.</w:t>
            </w:r>
            <w:r w:rsidR="00B677E7" w:rsidRPr="0099114C">
              <w:rPr>
                <w:rFonts w:eastAsia="Arial Narrow" w:cs="Arial Narrow"/>
                <w:szCs w:val="20"/>
              </w:rPr>
              <w:t xml:space="preserve"> The ESC advised the uncertainties associated with other benefits </w:t>
            </w:r>
            <w:r w:rsidR="00B677E7" w:rsidRPr="0099114C">
              <w:rPr>
                <w:rFonts w:eastAsia="Arial Narrow" w:cs="Arial Narrow"/>
                <w:szCs w:val="20"/>
              </w:rPr>
              <w:lastRenderedPageBreak/>
              <w:t>outside of steroid sparing effect and use in the maintenance phase remain.</w:t>
            </w:r>
          </w:p>
        </w:tc>
      </w:tr>
      <w:tr w:rsidR="00005D80" w:rsidRPr="0099114C" w14:paraId="3EFFD756" w14:textId="77777777" w:rsidTr="00F25882">
        <w:trPr>
          <w:cantSplit/>
        </w:trPr>
        <w:tc>
          <w:tcPr>
            <w:tcW w:w="0" w:type="auto"/>
          </w:tcPr>
          <w:p w14:paraId="2BAC3AEB" w14:textId="73C0E206" w:rsidR="00005D80" w:rsidRPr="0099114C" w:rsidRDefault="00005D80" w:rsidP="00B9052B">
            <w:pPr>
              <w:pStyle w:val="TableText"/>
            </w:pPr>
            <w:r w:rsidRPr="0099114C">
              <w:lastRenderedPageBreak/>
              <w:t>Comparator</w:t>
            </w:r>
            <w:r w:rsidR="00E03D55" w:rsidRPr="0099114C">
              <w:t xml:space="preserve"> (maintenance setting)</w:t>
            </w:r>
          </w:p>
        </w:tc>
        <w:tc>
          <w:tcPr>
            <w:tcW w:w="0" w:type="auto"/>
          </w:tcPr>
          <w:p w14:paraId="095D09D0" w14:textId="312726AD" w:rsidR="00005D80" w:rsidRPr="0099114C" w:rsidRDefault="00005D80" w:rsidP="00B416A4">
            <w:pPr>
              <w:pStyle w:val="TableText"/>
            </w:pPr>
            <w:r w:rsidRPr="0099114C">
              <w:t xml:space="preserve">The PBAC suggested a resubmission requesting treatment in the maintenance of remission should consider comparison of avacopan with rituximab versus rituximab, noting that rituximab maintenance is recommended in the EULAR 2022 guidelines and used in current clinical practice </w:t>
            </w:r>
            <w:r w:rsidRPr="0099114C">
              <w:rPr>
                <w:rFonts w:eastAsia="Times New Roman" w:cs="Arial"/>
                <w:snapToGrid w:val="0"/>
                <w:szCs w:val="20"/>
              </w:rPr>
              <w:t>para 7.6, avacopan, PSD, July 2023 PBAC meeting)</w:t>
            </w:r>
          </w:p>
        </w:tc>
        <w:tc>
          <w:tcPr>
            <w:tcW w:w="0" w:type="auto"/>
          </w:tcPr>
          <w:p w14:paraId="0E21E704" w14:textId="2F794852" w:rsidR="00005D80" w:rsidRPr="0099114C" w:rsidRDefault="00005D80" w:rsidP="00005D80">
            <w:pPr>
              <w:pStyle w:val="TableText"/>
            </w:pPr>
            <w:r w:rsidRPr="0099114C">
              <w:t>Addressed</w:t>
            </w:r>
            <w:r w:rsidR="00B263EC" w:rsidRPr="0099114C">
              <w:t xml:space="preserve"> in the restriction and economic model</w:t>
            </w:r>
            <w:r w:rsidRPr="0099114C">
              <w:t>.</w:t>
            </w:r>
          </w:p>
          <w:p w14:paraId="514E2C21" w14:textId="37D4133B" w:rsidR="00005D80" w:rsidRPr="0099114C" w:rsidRDefault="00005D80" w:rsidP="00B9052B">
            <w:pPr>
              <w:pStyle w:val="TableText"/>
            </w:pPr>
            <w:r w:rsidRPr="0099114C">
              <w:rPr>
                <w:rFonts w:eastAsia="Arial Narrow" w:cs="Arial Narrow"/>
                <w:szCs w:val="20"/>
              </w:rPr>
              <w:t>The resubmission acknowledged that in clinical practice avacopan is unlikely to be used as monotherapy.</w:t>
            </w:r>
            <w:r w:rsidR="00312E4C" w:rsidRPr="0099114C">
              <w:rPr>
                <w:rFonts w:eastAsia="Arial Narrow" w:cs="Arial Narrow"/>
                <w:szCs w:val="20"/>
              </w:rPr>
              <w:t xml:space="preserve"> Rituximab as a comparator has been </w:t>
            </w:r>
            <w:r w:rsidR="00E7021B" w:rsidRPr="0099114C">
              <w:rPr>
                <w:rFonts w:eastAsia="Arial Narrow" w:cs="Arial Narrow"/>
                <w:szCs w:val="20"/>
              </w:rPr>
              <w:t xml:space="preserve">added to the economic model. </w:t>
            </w:r>
          </w:p>
        </w:tc>
      </w:tr>
      <w:tr w:rsidR="00005D80" w:rsidRPr="0099114C" w14:paraId="7C93DF87" w14:textId="77777777" w:rsidTr="00B263EC">
        <w:trPr>
          <w:cantSplit/>
        </w:trPr>
        <w:tc>
          <w:tcPr>
            <w:tcW w:w="0" w:type="auto"/>
          </w:tcPr>
          <w:p w14:paraId="7AE6341E" w14:textId="6198F594" w:rsidR="00005D80" w:rsidRPr="0099114C" w:rsidRDefault="00005D80" w:rsidP="00B9052B">
            <w:pPr>
              <w:pStyle w:val="TableText"/>
            </w:pPr>
            <w:r w:rsidRPr="0099114C">
              <w:rPr>
                <w:rFonts w:eastAsia="Arial Narrow" w:cs="Arial Narrow"/>
                <w:szCs w:val="20"/>
              </w:rPr>
              <w:t>Clinical claim</w:t>
            </w:r>
          </w:p>
        </w:tc>
        <w:tc>
          <w:tcPr>
            <w:tcW w:w="0" w:type="auto"/>
          </w:tcPr>
          <w:p w14:paraId="6C6A6BB7" w14:textId="4412236E" w:rsidR="00005D80" w:rsidRPr="0099114C" w:rsidRDefault="00005D80" w:rsidP="00B416A4">
            <w:pPr>
              <w:pStyle w:val="TableText"/>
            </w:pPr>
            <w:r w:rsidRPr="0099114C">
              <w:rPr>
                <w:iCs/>
              </w:rPr>
              <w:t>The</w:t>
            </w:r>
            <w:r w:rsidRPr="0099114C">
              <w:rPr>
                <w:szCs w:val="20"/>
              </w:rPr>
              <w:t xml:space="preserve"> PBAC considered that the claim of superior </w:t>
            </w:r>
            <w:r w:rsidRPr="0099114C">
              <w:t>comparative effectiveness was highly uncertain for induction therapy and was not adequately supported by the data for maintenance therapy</w:t>
            </w:r>
            <w:r w:rsidRPr="0099114C" w:rsidDel="00B7333C">
              <w:rPr>
                <w:rFonts w:eastAsia="Arial Narrow" w:cs="Arial Narrow"/>
                <w:szCs w:val="20"/>
              </w:rPr>
              <w:t xml:space="preserve"> </w:t>
            </w:r>
            <w:r w:rsidRPr="0099114C">
              <w:rPr>
                <w:rFonts w:eastAsia="Arial Narrow" w:cs="Arial Narrow"/>
                <w:szCs w:val="20"/>
              </w:rPr>
              <w:t>(para 6.38, avacopan, PSD, July 2023 PBAC meeting).</w:t>
            </w:r>
          </w:p>
        </w:tc>
        <w:tc>
          <w:tcPr>
            <w:tcW w:w="0" w:type="auto"/>
            <w:vAlign w:val="center"/>
          </w:tcPr>
          <w:p w14:paraId="2F8F3F46" w14:textId="77777777" w:rsidR="00807616" w:rsidRPr="0099114C" w:rsidRDefault="00807616" w:rsidP="00807616">
            <w:pPr>
              <w:pStyle w:val="TableText"/>
              <w:rPr>
                <w:rFonts w:eastAsia="Times New Roman" w:cs="Arial"/>
                <w:bCs w:val="0"/>
                <w:snapToGrid w:val="0"/>
                <w:szCs w:val="20"/>
              </w:rPr>
            </w:pPr>
            <w:r w:rsidRPr="0099114C">
              <w:rPr>
                <w:rFonts w:eastAsia="Times New Roman" w:cs="Arial"/>
                <w:bCs w:val="0"/>
                <w:snapToGrid w:val="0"/>
                <w:szCs w:val="20"/>
              </w:rPr>
              <w:t>Not adequately addressed.</w:t>
            </w:r>
          </w:p>
          <w:p w14:paraId="49B33F65" w14:textId="59A7C0D8" w:rsidR="00005D80" w:rsidRPr="0099114C" w:rsidRDefault="00005D80" w:rsidP="00B9052B">
            <w:pPr>
              <w:pStyle w:val="TableText"/>
            </w:pPr>
            <w:r w:rsidRPr="0099114C">
              <w:rPr>
                <w:rFonts w:eastAsia="Arial Narrow" w:cs="Arial Narrow"/>
                <w:szCs w:val="20"/>
              </w:rPr>
              <w:t xml:space="preserve">The resubmission revised the clinical claim to describe avacopan as superior for effectiveness and safety compared to GC </w:t>
            </w:r>
            <w:r w:rsidR="0012565A" w:rsidRPr="0099114C">
              <w:rPr>
                <w:rFonts w:eastAsia="Arial Narrow" w:cs="Arial Narrow"/>
                <w:szCs w:val="20"/>
              </w:rPr>
              <w:t xml:space="preserve">+ </w:t>
            </w:r>
            <w:r w:rsidRPr="0099114C">
              <w:rPr>
                <w:rFonts w:eastAsia="Arial Narrow" w:cs="Arial Narrow"/>
                <w:szCs w:val="20"/>
              </w:rPr>
              <w:t>SOC when administered for a duration of up to 52 weeks per severe disease flare.</w:t>
            </w:r>
            <w:r w:rsidR="00361B0E" w:rsidRPr="0099114C">
              <w:rPr>
                <w:rFonts w:eastAsia="Arial Narrow" w:cs="Arial Narrow"/>
                <w:szCs w:val="20"/>
              </w:rPr>
              <w:t xml:space="preserve"> However, </w:t>
            </w:r>
            <w:r w:rsidR="00361B0E" w:rsidRPr="0099114C">
              <w:t>despite new information provided in the resubmission, previous concerns and limitations to robust supportive data remain.</w:t>
            </w:r>
          </w:p>
        </w:tc>
      </w:tr>
      <w:tr w:rsidR="00005D80" w:rsidRPr="0099114C" w14:paraId="1CEF731C" w14:textId="77777777" w:rsidTr="00A031AE">
        <w:trPr>
          <w:cantSplit/>
        </w:trPr>
        <w:tc>
          <w:tcPr>
            <w:tcW w:w="0" w:type="auto"/>
          </w:tcPr>
          <w:p w14:paraId="2722826E" w14:textId="39B9A738" w:rsidR="00005D80" w:rsidRPr="0099114C" w:rsidRDefault="00005D80" w:rsidP="00B9052B">
            <w:pPr>
              <w:pStyle w:val="TableText"/>
            </w:pPr>
            <w:r w:rsidRPr="0099114C">
              <w:t>Comparative effectiveness (maintenance setting)</w:t>
            </w:r>
          </w:p>
        </w:tc>
        <w:tc>
          <w:tcPr>
            <w:tcW w:w="0" w:type="auto"/>
          </w:tcPr>
          <w:p w14:paraId="71F283F5" w14:textId="2250E058" w:rsidR="00005D80" w:rsidRPr="0099114C" w:rsidRDefault="00005D80" w:rsidP="00B416A4">
            <w:pPr>
              <w:pStyle w:val="TableText"/>
            </w:pPr>
            <w:r w:rsidRPr="0099114C">
              <w:t>The PBAC considered the clinical evidence provided was inadequate to assess remission at 52 weeks and did not support comparative assessment of use as maintenance therapy (para 7.1, avacopan, PSD, July 2023 PBAC meeting).</w:t>
            </w:r>
          </w:p>
        </w:tc>
        <w:tc>
          <w:tcPr>
            <w:tcW w:w="0" w:type="auto"/>
            <w:vAlign w:val="center"/>
          </w:tcPr>
          <w:p w14:paraId="13BB5102" w14:textId="77777777" w:rsidR="00005D80" w:rsidRPr="0099114C" w:rsidRDefault="00005D80" w:rsidP="00005D80">
            <w:pPr>
              <w:pStyle w:val="TableText"/>
            </w:pPr>
            <w:r w:rsidRPr="0099114C">
              <w:t>Partially addressed.</w:t>
            </w:r>
          </w:p>
          <w:p w14:paraId="7FBD5193" w14:textId="0D601EF9" w:rsidR="00005D80" w:rsidRPr="0099114C" w:rsidRDefault="00005D80" w:rsidP="00B9052B">
            <w:pPr>
              <w:pStyle w:val="TableText"/>
            </w:pPr>
            <w:r w:rsidRPr="0099114C">
              <w:t>The resubmission redefined the maintenance phase to be ‘maintenance of remission’ representing months 6-12 from start of induction. Additional analyses from the ADVOCATE trial (as described above) were used to demonstrate improvements in eGFR, time to 40% UACR reduction, improvements in health-related quality of life outcomes at week 52</w:t>
            </w:r>
            <w:r w:rsidR="00617F91" w:rsidRPr="0099114C">
              <w:t xml:space="preserve"> and EAP safety data for 30 patients (some with longer treatment)</w:t>
            </w:r>
            <w:r w:rsidRPr="0099114C">
              <w:t>. The resubmission considered an ITC between avacopan and rituximab maintenance treatment but did not undertake one citing limitations and transitivity issues. In the economic model, the resubmission applied an adjustment of the hazard ratio for relapse to account for the impact of adding rituximab to avacopan in maintenance.</w:t>
            </w:r>
          </w:p>
        </w:tc>
      </w:tr>
      <w:tr w:rsidR="00005D80" w:rsidRPr="0099114C" w14:paraId="4972AFB6" w14:textId="77777777" w:rsidTr="00317622">
        <w:trPr>
          <w:cantSplit/>
        </w:trPr>
        <w:tc>
          <w:tcPr>
            <w:tcW w:w="0" w:type="auto"/>
          </w:tcPr>
          <w:p w14:paraId="3FEBBF52" w14:textId="187E8998" w:rsidR="00005D80" w:rsidRPr="0099114C" w:rsidRDefault="00005D80" w:rsidP="00B9052B">
            <w:pPr>
              <w:pStyle w:val="TableText"/>
            </w:pPr>
            <w:r w:rsidRPr="0099114C">
              <w:t>Economic model</w:t>
            </w:r>
          </w:p>
        </w:tc>
        <w:tc>
          <w:tcPr>
            <w:tcW w:w="0" w:type="auto"/>
          </w:tcPr>
          <w:p w14:paraId="52178F3E" w14:textId="49715187" w:rsidR="00005D80" w:rsidRPr="0099114C" w:rsidRDefault="00005D80" w:rsidP="00B416A4">
            <w:pPr>
              <w:pStyle w:val="TableText"/>
            </w:pPr>
            <w:r w:rsidRPr="0099114C">
              <w:rPr>
                <w:rFonts w:eastAsia="Times New Roman" w:cs="Arial"/>
                <w:bCs w:val="0"/>
                <w:snapToGrid w:val="0"/>
                <w:szCs w:val="20"/>
              </w:rPr>
              <w:t>The PBAC considered the extrapolation of data from the 52-week ADVOCATE trial to impact renal disease progression and mortality over 30 years increased the uncertainty in the cost effectiveness estimates. The PBAC considered the benefits modelled for induction should be limited to the differences in the adverse event profiles (para 7.14, avacopan, PSD, July 2023 PBAC meeting). The PBAC considered a resubmission should be based on the benefits of reducing GC when used as induction therapy. Additional clinical evidence would be required to support broader benefits including efficacy benefits (para 7.16, avacopan, PSD, July 2023 PBAC meeting).</w:t>
            </w:r>
          </w:p>
        </w:tc>
        <w:tc>
          <w:tcPr>
            <w:tcW w:w="0" w:type="auto"/>
          </w:tcPr>
          <w:p w14:paraId="1B51828F" w14:textId="629AF5D9" w:rsidR="00005D80" w:rsidRPr="0099114C" w:rsidRDefault="0095292D" w:rsidP="00005D80">
            <w:pPr>
              <w:pStyle w:val="TableText"/>
              <w:rPr>
                <w:rFonts w:eastAsia="Times New Roman" w:cs="Arial"/>
              </w:rPr>
            </w:pPr>
            <w:r w:rsidRPr="0099114C">
              <w:rPr>
                <w:rFonts w:eastAsia="Times New Roman" w:cs="Arial"/>
              </w:rPr>
              <w:t>Partially</w:t>
            </w:r>
            <w:r w:rsidR="00005D80" w:rsidRPr="0099114C">
              <w:rPr>
                <w:rFonts w:eastAsia="Times New Roman" w:cs="Arial"/>
              </w:rPr>
              <w:t xml:space="preserve"> addressed. </w:t>
            </w:r>
          </w:p>
          <w:p w14:paraId="2C6CFD2E" w14:textId="0927CBDA" w:rsidR="00317622" w:rsidRPr="00857B0D" w:rsidRDefault="00B263EC" w:rsidP="00317622">
            <w:pPr>
              <w:pStyle w:val="TableText"/>
            </w:pPr>
            <w:r w:rsidRPr="0099114C">
              <w:rPr>
                <w:rFonts w:eastAsia="Times New Roman" w:cs="Arial"/>
              </w:rPr>
              <w:t xml:space="preserve">The resubmission </w:t>
            </w:r>
            <w:r w:rsidR="00317622" w:rsidRPr="0099114C">
              <w:rPr>
                <w:rFonts w:eastAsia="Times New Roman" w:cs="Arial"/>
              </w:rPr>
              <w:t>stated the sponsor was</w:t>
            </w:r>
            <w:r w:rsidR="00317622" w:rsidRPr="0099114C">
              <w:t xml:space="preserve"> </w:t>
            </w:r>
            <w:r w:rsidR="00317622" w:rsidRPr="0099114C">
              <w:rPr>
                <w:rFonts w:eastAsia="Times New Roman" w:cs="Arial"/>
              </w:rPr>
              <w:t>unable to proceed with a PBS listing for avacopan based on benefits of reducing glucocorticoids alone.</w:t>
            </w:r>
            <w:r w:rsidR="00317622" w:rsidRPr="00857B0D">
              <w:rPr>
                <w:rFonts w:asciiTheme="minorHAnsi" w:eastAsiaTheme="minorHAnsi" w:hAnsiTheme="minorHAnsi" w:cstheme="minorBidi"/>
                <w:sz w:val="22"/>
                <w:szCs w:val="22"/>
                <w:lang w:eastAsia="en-GB"/>
              </w:rPr>
              <w:t xml:space="preserve"> T</w:t>
            </w:r>
            <w:r w:rsidR="00317622" w:rsidRPr="00857B0D">
              <w:t>he following have been addressed in the revised economic evaluation:</w:t>
            </w:r>
          </w:p>
          <w:p w14:paraId="6C398861" w14:textId="77777777" w:rsidR="00317622" w:rsidRPr="00857B0D" w:rsidRDefault="00317622" w:rsidP="00317622">
            <w:pPr>
              <w:pStyle w:val="TableText"/>
              <w:numPr>
                <w:ilvl w:val="0"/>
                <w:numId w:val="75"/>
              </w:numPr>
              <w:ind w:left="169" w:hanging="169"/>
            </w:pPr>
            <w:bookmarkStart w:id="12" w:name="_Hlk148382278"/>
            <w:r w:rsidRPr="00857B0D">
              <w:t>The time horizon has been reduced from 30 to 20 years.</w:t>
            </w:r>
          </w:p>
          <w:p w14:paraId="7631D3B1" w14:textId="77777777" w:rsidR="00317622" w:rsidRPr="00857B0D" w:rsidRDefault="00317622" w:rsidP="00317622">
            <w:pPr>
              <w:pStyle w:val="TableText"/>
              <w:numPr>
                <w:ilvl w:val="0"/>
                <w:numId w:val="75"/>
              </w:numPr>
              <w:ind w:left="169" w:hanging="169"/>
            </w:pPr>
            <w:r w:rsidRPr="00857B0D">
              <w:t>The maximum avacopan treatment duration per disease flare has been reduced from 24 to 12 months, with 1 reinduction.</w:t>
            </w:r>
          </w:p>
          <w:p w14:paraId="70932136" w14:textId="77777777" w:rsidR="00317622" w:rsidRPr="00857B0D" w:rsidRDefault="00317622" w:rsidP="00317622">
            <w:pPr>
              <w:pStyle w:val="TableText"/>
              <w:numPr>
                <w:ilvl w:val="0"/>
                <w:numId w:val="75"/>
              </w:numPr>
              <w:ind w:left="169" w:hanging="169"/>
            </w:pPr>
            <w:r w:rsidRPr="00857B0D">
              <w:t>Treatment waning of avacopan has been reduced from 1 year to 6 months.</w:t>
            </w:r>
          </w:p>
          <w:p w14:paraId="576E14D2" w14:textId="77777777" w:rsidR="00317622" w:rsidRPr="00857B0D" w:rsidRDefault="00317622" w:rsidP="00317622">
            <w:pPr>
              <w:pStyle w:val="TableText"/>
              <w:numPr>
                <w:ilvl w:val="0"/>
                <w:numId w:val="75"/>
              </w:numPr>
              <w:ind w:left="169" w:hanging="169"/>
            </w:pPr>
            <w:r w:rsidRPr="00857B0D">
              <w:t>Rituximab use has been modelled in the maintenance phase for both treatment arms.</w:t>
            </w:r>
          </w:p>
          <w:p w14:paraId="35218E09" w14:textId="77777777" w:rsidR="00317622" w:rsidRPr="00857B0D" w:rsidRDefault="00317622" w:rsidP="00317622">
            <w:pPr>
              <w:pStyle w:val="TableText"/>
              <w:numPr>
                <w:ilvl w:val="0"/>
                <w:numId w:val="75"/>
              </w:numPr>
              <w:ind w:left="169" w:hanging="169"/>
            </w:pPr>
            <w:r w:rsidRPr="00857B0D">
              <w:t>The HR for eGFR improvement and ESRD risk has been increased from 0.90 to 0.955</w:t>
            </w:r>
            <w:bookmarkEnd w:id="12"/>
            <w:r w:rsidRPr="00857B0D">
              <w:t>.</w:t>
            </w:r>
          </w:p>
          <w:p w14:paraId="6352CFA0" w14:textId="2FFC48E2" w:rsidR="00317622" w:rsidRPr="00857B0D" w:rsidRDefault="00317622" w:rsidP="00317622">
            <w:pPr>
              <w:pStyle w:val="TableText"/>
              <w:numPr>
                <w:ilvl w:val="0"/>
                <w:numId w:val="75"/>
              </w:numPr>
              <w:ind w:left="169" w:hanging="169"/>
            </w:pPr>
            <w:r w:rsidRPr="00857B0D">
              <w:lastRenderedPageBreak/>
              <w:t xml:space="preserve">The effective price of avacopan has been reduced by </w:t>
            </w:r>
            <w:r w:rsidR="000D15F9" w:rsidRPr="000D15F9">
              <w:rPr>
                <w:color w:val="000000"/>
                <w:shd w:val="solid" w:color="000000" w:fill="000000"/>
                <w14:textFill>
                  <w14:solidFill>
                    <w14:srgbClr w14:val="000000">
                      <w14:alpha w14:val="100000"/>
                    </w14:srgbClr>
                  </w14:solidFill>
                </w14:textFill>
              </w:rPr>
              <w:t>|</w:t>
            </w:r>
            <w:r w:rsidRPr="00857B0D">
              <w:t>% from $</w:t>
            </w:r>
            <w:r w:rsidR="005F1F42" w:rsidRPr="005F1F42">
              <w:rPr>
                <w:color w:val="000000"/>
                <w:spacing w:val="76"/>
                <w:shd w:val="solid" w:color="000000" w:fill="000000"/>
                <w:fitText w:val="162" w:id="-961807872"/>
                <w14:textFill>
                  <w14:solidFill>
                    <w14:srgbClr w14:val="000000">
                      <w14:alpha w14:val="100000"/>
                    </w14:srgbClr>
                  </w14:solidFill>
                </w14:textFill>
              </w:rPr>
              <w:t>|</w:t>
            </w:r>
            <w:r w:rsidR="005F1F42" w:rsidRPr="005F1F42">
              <w:rPr>
                <w:color w:val="000000"/>
                <w:shd w:val="solid" w:color="000000" w:fill="000000"/>
                <w:fitText w:val="162" w:id="-961807872"/>
                <w14:textFill>
                  <w14:solidFill>
                    <w14:srgbClr w14:val="000000">
                      <w14:alpha w14:val="100000"/>
                    </w14:srgbClr>
                  </w14:solidFill>
                </w14:textFill>
              </w:rPr>
              <w:t>|</w:t>
            </w:r>
            <w:r w:rsidRPr="00857B0D">
              <w:t xml:space="preserve"> to $</w:t>
            </w:r>
            <w:r w:rsidR="005F1F42" w:rsidRPr="005F1F42">
              <w:rPr>
                <w:color w:val="000000"/>
                <w:spacing w:val="87"/>
                <w:shd w:val="solid" w:color="000000" w:fill="000000"/>
                <w:fitText w:val="163" w:id="-961807871"/>
                <w14:textFill>
                  <w14:solidFill>
                    <w14:srgbClr w14:val="000000">
                      <w14:alpha w14:val="100000"/>
                    </w14:srgbClr>
                  </w14:solidFill>
                </w14:textFill>
              </w:rPr>
              <w:t>|</w:t>
            </w:r>
            <w:r w:rsidR="005F1F42" w:rsidRPr="005F1F42">
              <w:rPr>
                <w:color w:val="000000"/>
                <w:shd w:val="solid" w:color="000000" w:fill="000000"/>
                <w:fitText w:val="163" w:id="-961807871"/>
                <w14:textFill>
                  <w14:solidFill>
                    <w14:srgbClr w14:val="000000">
                      <w14:alpha w14:val="100000"/>
                    </w14:srgbClr>
                  </w14:solidFill>
                </w14:textFill>
              </w:rPr>
              <w:t>|</w:t>
            </w:r>
            <w:r w:rsidRPr="00857B0D">
              <w:t xml:space="preserve"> per capsule (AEMP reduced from $</w:t>
            </w:r>
            <w:r w:rsidR="005F1F42" w:rsidRPr="005F1F42">
              <w:rPr>
                <w:color w:val="000000"/>
                <w:spacing w:val="89"/>
                <w:shd w:val="solid" w:color="000000" w:fill="000000"/>
                <w:fitText w:val="175" w:id="-961807870"/>
                <w14:textFill>
                  <w14:solidFill>
                    <w14:srgbClr w14:val="000000">
                      <w14:alpha w14:val="100000"/>
                    </w14:srgbClr>
                  </w14:solidFill>
                </w14:textFill>
              </w:rPr>
              <w:t>|</w:t>
            </w:r>
            <w:r w:rsidR="005F1F42" w:rsidRPr="005F1F42">
              <w:rPr>
                <w:color w:val="000000"/>
                <w:shd w:val="solid" w:color="000000" w:fill="000000"/>
                <w:fitText w:val="175" w:id="-961807870"/>
                <w14:textFill>
                  <w14:solidFill>
                    <w14:srgbClr w14:val="000000">
                      <w14:alpha w14:val="100000"/>
                    </w14:srgbClr>
                  </w14:solidFill>
                </w14:textFill>
              </w:rPr>
              <w:t>|</w:t>
            </w:r>
            <w:r w:rsidRPr="00857B0D">
              <w:t xml:space="preserve"> to $</w:t>
            </w:r>
            <w:r w:rsidR="005F1F42" w:rsidRPr="005F1F42">
              <w:rPr>
                <w:color w:val="000000"/>
                <w:spacing w:val="87"/>
                <w:shd w:val="solid" w:color="000000" w:fill="000000"/>
                <w:fitText w:val="163" w:id="-961807869"/>
                <w14:textFill>
                  <w14:solidFill>
                    <w14:srgbClr w14:val="000000">
                      <w14:alpha w14:val="100000"/>
                    </w14:srgbClr>
                  </w14:solidFill>
                </w14:textFill>
              </w:rPr>
              <w:t>|</w:t>
            </w:r>
            <w:r w:rsidR="005F1F42" w:rsidRPr="005F1F42">
              <w:rPr>
                <w:color w:val="000000"/>
                <w:shd w:val="solid" w:color="000000" w:fill="000000"/>
                <w:fitText w:val="163" w:id="-961807869"/>
                <w14:textFill>
                  <w14:solidFill>
                    <w14:srgbClr w14:val="000000">
                      <w14:alpha w14:val="100000"/>
                    </w14:srgbClr>
                  </w14:solidFill>
                </w14:textFill>
              </w:rPr>
              <w:t>|</w:t>
            </w:r>
            <w:r w:rsidRPr="00857B0D">
              <w:t>).</w:t>
            </w:r>
          </w:p>
          <w:p w14:paraId="6CDF3149" w14:textId="07A67B2C" w:rsidR="00005D80" w:rsidRPr="0099114C" w:rsidRDefault="00317622" w:rsidP="00B9052B">
            <w:pPr>
              <w:pStyle w:val="TableText"/>
              <w:numPr>
                <w:ilvl w:val="0"/>
                <w:numId w:val="75"/>
              </w:numPr>
              <w:ind w:left="169" w:hanging="169"/>
            </w:pPr>
            <w:r w:rsidRPr="00857B0D">
              <w:t xml:space="preserve">The resultant average treatment cost per patient per course of treatment is a reduction of </w:t>
            </w:r>
            <w:r w:rsidR="000D15F9" w:rsidRPr="000D15F9">
              <w:rPr>
                <w:color w:val="000000"/>
                <w:shd w:val="solid" w:color="000000" w:fill="000000"/>
                <w14:textFill>
                  <w14:solidFill>
                    <w14:srgbClr w14:val="000000">
                      <w14:alpha w14:val="100000"/>
                    </w14:srgbClr>
                  </w14:solidFill>
                </w14:textFill>
              </w:rPr>
              <w:t>|</w:t>
            </w:r>
            <w:r w:rsidRPr="00857B0D">
              <w:t>% from $</w:t>
            </w:r>
            <w:r w:rsidR="005F1F42" w:rsidRPr="005F1F42">
              <w:rPr>
                <w:color w:val="000000"/>
                <w:spacing w:val="76"/>
                <w:shd w:val="solid" w:color="000000" w:fill="000000"/>
                <w:fitText w:val="162" w:id="-961807868"/>
                <w14:textFill>
                  <w14:solidFill>
                    <w14:srgbClr w14:val="000000">
                      <w14:alpha w14:val="100000"/>
                    </w14:srgbClr>
                  </w14:solidFill>
                </w14:textFill>
              </w:rPr>
              <w:t>|</w:t>
            </w:r>
            <w:r w:rsidR="005F1F42" w:rsidRPr="005F1F42">
              <w:rPr>
                <w:color w:val="000000"/>
                <w:shd w:val="solid" w:color="000000" w:fill="000000"/>
                <w:fitText w:val="162" w:id="-961807868"/>
                <w14:textFill>
                  <w14:solidFill>
                    <w14:srgbClr w14:val="000000">
                      <w14:alpha w14:val="100000"/>
                    </w14:srgbClr>
                  </w14:solidFill>
                </w14:textFill>
              </w:rPr>
              <w:t>|</w:t>
            </w:r>
            <w:r w:rsidRPr="00857B0D">
              <w:t xml:space="preserve"> to $</w:t>
            </w:r>
            <w:r w:rsidR="005F1F42" w:rsidRPr="005F1F42">
              <w:rPr>
                <w:color w:val="000000"/>
                <w:spacing w:val="87"/>
                <w:shd w:val="solid" w:color="000000" w:fill="000000"/>
                <w:fitText w:val="163" w:id="-961807867"/>
                <w14:textFill>
                  <w14:solidFill>
                    <w14:srgbClr w14:val="000000">
                      <w14:alpha w14:val="100000"/>
                    </w14:srgbClr>
                  </w14:solidFill>
                </w14:textFill>
              </w:rPr>
              <w:t>|</w:t>
            </w:r>
            <w:r w:rsidR="005F1F42" w:rsidRPr="005F1F42">
              <w:rPr>
                <w:color w:val="000000"/>
                <w:shd w:val="solid" w:color="000000" w:fill="000000"/>
                <w:fitText w:val="163" w:id="-961807867"/>
                <w14:textFill>
                  <w14:solidFill>
                    <w14:srgbClr w14:val="000000">
                      <w14:alpha w14:val="100000"/>
                    </w14:srgbClr>
                  </w14:solidFill>
                </w14:textFill>
              </w:rPr>
              <w:t>|</w:t>
            </w:r>
            <w:r w:rsidRPr="00857B0D">
              <w:t>.</w:t>
            </w:r>
          </w:p>
        </w:tc>
      </w:tr>
      <w:tr w:rsidR="00005D80" w:rsidRPr="0099114C" w14:paraId="36FDCE6A" w14:textId="77777777" w:rsidTr="00F25882">
        <w:trPr>
          <w:cantSplit/>
        </w:trPr>
        <w:tc>
          <w:tcPr>
            <w:tcW w:w="0" w:type="auto"/>
          </w:tcPr>
          <w:p w14:paraId="2FBFB6C1" w14:textId="5208D887" w:rsidR="00005D80" w:rsidRPr="0099114C" w:rsidRDefault="00005D80" w:rsidP="00B9052B">
            <w:pPr>
              <w:pStyle w:val="TableText"/>
            </w:pPr>
            <w:r w:rsidRPr="0099114C">
              <w:lastRenderedPageBreak/>
              <w:t>Financial estimates</w:t>
            </w:r>
          </w:p>
        </w:tc>
        <w:tc>
          <w:tcPr>
            <w:tcW w:w="0" w:type="auto"/>
          </w:tcPr>
          <w:p w14:paraId="38678564" w14:textId="71DDA137" w:rsidR="00005D80" w:rsidRPr="0099114C" w:rsidRDefault="00005D80" w:rsidP="00005D80">
            <w:pPr>
              <w:pStyle w:val="TableText"/>
              <w:rPr>
                <w:rFonts w:eastAsia="Times New Roman" w:cs="Arial"/>
                <w:bCs w:val="0"/>
                <w:snapToGrid w:val="0"/>
                <w:szCs w:val="20"/>
              </w:rPr>
            </w:pPr>
            <w:r w:rsidRPr="0099114C">
              <w:rPr>
                <w:rFonts w:eastAsia="Times New Roman" w:cs="Arial"/>
                <w:bCs w:val="0"/>
                <w:snapToGrid w:val="0"/>
                <w:szCs w:val="20"/>
              </w:rPr>
              <w:t xml:space="preserve">The PBAC noted DUSC advice that the estimated use of avacopan was aligned with the previous use of rituximab for the same indications between 2016-2022 and that avacopan was unlikely to increase the patient population. </w:t>
            </w:r>
          </w:p>
          <w:p w14:paraId="4B83F9B9" w14:textId="77777777" w:rsidR="00317622" w:rsidRPr="0099114C" w:rsidRDefault="00317622" w:rsidP="00005D80">
            <w:pPr>
              <w:pStyle w:val="TableText"/>
              <w:rPr>
                <w:rFonts w:eastAsia="Times New Roman" w:cs="Arial"/>
                <w:bCs w:val="0"/>
                <w:snapToGrid w:val="0"/>
                <w:szCs w:val="20"/>
              </w:rPr>
            </w:pPr>
          </w:p>
          <w:p w14:paraId="68D2D437" w14:textId="767518B4" w:rsidR="00005D80" w:rsidRPr="0099114C" w:rsidRDefault="00005D80" w:rsidP="00B9052B">
            <w:pPr>
              <w:pStyle w:val="TableText"/>
            </w:pPr>
            <w:r w:rsidRPr="0099114C">
              <w:t>The PBAC noted that the duration of treatment included assumptions regarding maintenance therapy and reiterated that the clinical evidence provided did not adequately support such use (</w:t>
            </w:r>
            <w:r w:rsidRPr="0099114C">
              <w:rPr>
                <w:rFonts w:eastAsia="Times New Roman" w:cs="Arial"/>
                <w:bCs w:val="0"/>
                <w:snapToGrid w:val="0"/>
                <w:szCs w:val="20"/>
              </w:rPr>
              <w:t>para 7.15, avacopan, PSD, July 2023 PBAC meeting).</w:t>
            </w:r>
          </w:p>
        </w:tc>
        <w:tc>
          <w:tcPr>
            <w:tcW w:w="0" w:type="auto"/>
          </w:tcPr>
          <w:p w14:paraId="0541A742" w14:textId="4F3C210E" w:rsidR="00005D80" w:rsidRPr="0099114C" w:rsidRDefault="0012565A" w:rsidP="00005D80">
            <w:pPr>
              <w:pStyle w:val="TableText"/>
              <w:rPr>
                <w:rFonts w:eastAsia="Times New Roman" w:cs="Arial"/>
                <w:bCs w:val="0"/>
                <w:snapToGrid w:val="0"/>
                <w:szCs w:val="20"/>
              </w:rPr>
            </w:pPr>
            <w:r w:rsidRPr="0099114C">
              <w:rPr>
                <w:rFonts w:eastAsia="Times New Roman" w:cs="Arial"/>
                <w:bCs w:val="0"/>
                <w:snapToGrid w:val="0"/>
                <w:szCs w:val="20"/>
              </w:rPr>
              <w:t>New information</w:t>
            </w:r>
            <w:r w:rsidRPr="0099114C">
              <w:rPr>
                <w:rFonts w:eastAsia="Times New Roman" w:cs="Arial"/>
                <w:bCs w:val="0"/>
                <w:i/>
                <w:iCs/>
                <w:snapToGrid w:val="0"/>
                <w:szCs w:val="20"/>
              </w:rPr>
              <w:t>.</w:t>
            </w:r>
            <w:r w:rsidRPr="0099114C">
              <w:rPr>
                <w:rFonts w:eastAsia="Times New Roman" w:cs="Arial"/>
                <w:bCs w:val="0"/>
                <w:snapToGrid w:val="0"/>
                <w:szCs w:val="20"/>
              </w:rPr>
              <w:t xml:space="preserve"> </w:t>
            </w:r>
            <w:r w:rsidR="00005D80" w:rsidRPr="0099114C">
              <w:rPr>
                <w:rFonts w:eastAsia="Times New Roman" w:cs="Arial"/>
                <w:bCs w:val="0"/>
                <w:snapToGrid w:val="0"/>
                <w:szCs w:val="20"/>
              </w:rPr>
              <w:t>The resubmission provided new incidence figures from a new source (Queensland hospital admission data) which are substantially higher than the previous submission</w:t>
            </w:r>
            <w:r w:rsidR="0099114C">
              <w:rPr>
                <w:rFonts w:eastAsia="Times New Roman" w:cs="Arial"/>
                <w:bCs w:val="0"/>
                <w:snapToGrid w:val="0"/>
                <w:szCs w:val="20"/>
              </w:rPr>
              <w:t xml:space="preserve">. </w:t>
            </w:r>
            <w:r w:rsidR="00005D80" w:rsidRPr="0099114C">
              <w:rPr>
                <w:rFonts w:eastAsia="Times New Roman" w:cs="Arial"/>
                <w:bCs w:val="0"/>
                <w:snapToGrid w:val="0"/>
                <w:szCs w:val="20"/>
              </w:rPr>
              <w:t xml:space="preserve"> </w:t>
            </w:r>
          </w:p>
          <w:p w14:paraId="42BA37D0" w14:textId="77777777" w:rsidR="00005D80" w:rsidRPr="0099114C" w:rsidRDefault="00005D80" w:rsidP="00005D80">
            <w:pPr>
              <w:pStyle w:val="TableText"/>
              <w:rPr>
                <w:rFonts w:eastAsia="Times New Roman" w:cs="Arial"/>
                <w:bCs w:val="0"/>
                <w:snapToGrid w:val="0"/>
                <w:szCs w:val="20"/>
              </w:rPr>
            </w:pPr>
          </w:p>
          <w:p w14:paraId="7CFC002C" w14:textId="77777777" w:rsidR="00005D80" w:rsidRPr="0099114C" w:rsidRDefault="00005D80" w:rsidP="00005D80">
            <w:pPr>
              <w:pStyle w:val="TableText"/>
              <w:rPr>
                <w:rFonts w:eastAsia="Times New Roman" w:cs="Arial"/>
                <w:bCs w:val="0"/>
                <w:snapToGrid w:val="0"/>
                <w:szCs w:val="20"/>
              </w:rPr>
            </w:pPr>
          </w:p>
          <w:p w14:paraId="4E7105EF" w14:textId="77777777" w:rsidR="0012565A" w:rsidRPr="0099114C" w:rsidRDefault="0012565A" w:rsidP="00B9052B">
            <w:pPr>
              <w:pStyle w:val="TableText"/>
              <w:rPr>
                <w:rFonts w:eastAsia="Times New Roman" w:cs="Arial"/>
                <w:bCs w:val="0"/>
                <w:snapToGrid w:val="0"/>
                <w:szCs w:val="20"/>
              </w:rPr>
            </w:pPr>
          </w:p>
          <w:p w14:paraId="7B243478" w14:textId="1BCF226E" w:rsidR="00005D80" w:rsidRPr="0099114C" w:rsidRDefault="00A031AE" w:rsidP="00B9052B">
            <w:pPr>
              <w:pStyle w:val="TableText"/>
            </w:pPr>
            <w:r w:rsidRPr="0099114C">
              <w:rPr>
                <w:rFonts w:eastAsia="Times New Roman" w:cs="Arial"/>
                <w:bCs w:val="0"/>
                <w:snapToGrid w:val="0"/>
                <w:szCs w:val="20"/>
              </w:rPr>
              <w:t>Partially a</w:t>
            </w:r>
            <w:r w:rsidR="00005D80" w:rsidRPr="0099114C">
              <w:rPr>
                <w:rFonts w:eastAsia="Times New Roman" w:cs="Arial"/>
                <w:bCs w:val="0"/>
                <w:snapToGrid w:val="0"/>
                <w:szCs w:val="20"/>
              </w:rPr>
              <w:t xml:space="preserve">ddressed. The treatment duration in the financial estimates has been revised to </w:t>
            </w:r>
            <w:r w:rsidR="00172D38" w:rsidRPr="0099114C">
              <w:rPr>
                <w:rFonts w:eastAsia="Times New Roman" w:cs="Arial"/>
                <w:bCs w:val="0"/>
                <w:snapToGrid w:val="0"/>
                <w:szCs w:val="20"/>
              </w:rPr>
              <w:t>9.6</w:t>
            </w:r>
            <w:r w:rsidR="00F70238">
              <w:rPr>
                <w:rFonts w:eastAsia="Times New Roman" w:cs="Arial"/>
                <w:bCs w:val="0"/>
                <w:snapToGrid w:val="0"/>
                <w:szCs w:val="20"/>
              </w:rPr>
              <w:t> </w:t>
            </w:r>
            <w:r w:rsidR="00005D80" w:rsidRPr="0099114C">
              <w:rPr>
                <w:rFonts w:eastAsia="Times New Roman" w:cs="Arial"/>
                <w:bCs w:val="0"/>
                <w:snapToGrid w:val="0"/>
                <w:szCs w:val="20"/>
              </w:rPr>
              <w:t>months to reflect new restriction of a maximum 12</w:t>
            </w:r>
            <w:r w:rsidR="00F70238">
              <w:rPr>
                <w:rFonts w:eastAsia="Times New Roman" w:cs="Arial"/>
                <w:bCs w:val="0"/>
                <w:snapToGrid w:val="0"/>
                <w:szCs w:val="20"/>
              </w:rPr>
              <w:t> </w:t>
            </w:r>
            <w:r w:rsidR="00005D80" w:rsidRPr="0099114C">
              <w:rPr>
                <w:rFonts w:eastAsia="Times New Roman" w:cs="Arial"/>
                <w:bCs w:val="0"/>
                <w:snapToGrid w:val="0"/>
                <w:szCs w:val="20"/>
              </w:rPr>
              <w:t xml:space="preserve">months therapy. </w:t>
            </w:r>
            <w:r w:rsidRPr="0099114C">
              <w:rPr>
                <w:rFonts w:eastAsia="Times New Roman" w:cs="Arial"/>
                <w:bCs w:val="0"/>
                <w:snapToGrid w:val="0"/>
                <w:szCs w:val="20"/>
              </w:rPr>
              <w:t>It remains uncertain if the clinical evidence adequately supports such use.</w:t>
            </w:r>
          </w:p>
        </w:tc>
      </w:tr>
    </w:tbl>
    <w:p w14:paraId="1F809CED" w14:textId="68AE83E0" w:rsidR="00E97D28" w:rsidRPr="0099114C" w:rsidRDefault="00DB5178" w:rsidP="00DB5178">
      <w:pPr>
        <w:pStyle w:val="FooterTableFigure"/>
      </w:pPr>
      <w:r w:rsidRPr="0099114C">
        <w:t xml:space="preserve">Source: </w:t>
      </w:r>
      <w:r w:rsidR="00655E3B" w:rsidRPr="0099114C">
        <w:t>Compiled during the evaluation</w:t>
      </w:r>
    </w:p>
    <w:p w14:paraId="4A5E2BBB" w14:textId="7468A30F" w:rsidR="00845C54" w:rsidRPr="0099114C" w:rsidRDefault="00251D9F" w:rsidP="00DB5178">
      <w:pPr>
        <w:pStyle w:val="FooterTableFigure"/>
      </w:pPr>
      <w:r w:rsidRPr="0099114C">
        <w:t xml:space="preserve">Abbreviations: </w:t>
      </w:r>
      <w:r w:rsidR="00801068" w:rsidRPr="0099114C">
        <w:t xml:space="preserve">DUSC, Drug Utilisation Sub Committee; </w:t>
      </w:r>
      <w:r w:rsidR="00D0535B" w:rsidRPr="0099114C">
        <w:t xml:space="preserve">eGFR, estimated glomerular filtration rate; </w:t>
      </w:r>
      <w:r w:rsidR="00801068" w:rsidRPr="0099114C">
        <w:t xml:space="preserve">GC, glucocorticoid; </w:t>
      </w:r>
      <w:r w:rsidR="0089011C" w:rsidRPr="0099114C">
        <w:t>PBAC, Pharmaceutical Benefits Scheme</w:t>
      </w:r>
      <w:r w:rsidR="006F76FC" w:rsidRPr="0099114C">
        <w:t>; PSD, public summary document; SOC, standard of care</w:t>
      </w:r>
      <w:r w:rsidR="008801EB" w:rsidRPr="0099114C">
        <w:t xml:space="preserve">; </w:t>
      </w:r>
      <w:r w:rsidR="00F81E07" w:rsidRPr="0099114C">
        <w:t xml:space="preserve">TGA, Therapeutic Goods Administration; </w:t>
      </w:r>
      <w:r w:rsidR="008801EB" w:rsidRPr="0099114C">
        <w:t>UACR, urine albumin-creatinine ratio.</w:t>
      </w:r>
    </w:p>
    <w:p w14:paraId="2F552698" w14:textId="77777777" w:rsidR="00845C54" w:rsidRPr="0099114C" w:rsidRDefault="00845C54" w:rsidP="00845C54">
      <w:pPr>
        <w:pStyle w:val="3-BodyText"/>
        <w:numPr>
          <w:ilvl w:val="0"/>
          <w:numId w:val="0"/>
        </w:numPr>
        <w:ind w:left="720"/>
        <w:rPr>
          <w:i/>
          <w:iCs/>
        </w:rPr>
      </w:pPr>
      <w:bookmarkStart w:id="13" w:name="_Hlk76375324"/>
      <w:r w:rsidRPr="0099114C">
        <w:rPr>
          <w:i/>
          <w:iCs/>
        </w:rPr>
        <w:t>For more detail on PBAC’s view, see section 7 PBAC outcome.</w:t>
      </w:r>
    </w:p>
    <w:p w14:paraId="2410E84C" w14:textId="77777777" w:rsidR="00DB5178" w:rsidRPr="0099114C" w:rsidRDefault="00DB5178" w:rsidP="00DB5178">
      <w:pPr>
        <w:pStyle w:val="2-SectionHeading"/>
      </w:pPr>
      <w:bookmarkStart w:id="14" w:name="_Toc152591166"/>
      <w:bookmarkStart w:id="15" w:name="_Toc156913961"/>
      <w:bookmarkEnd w:id="13"/>
      <w:r w:rsidRPr="0099114C">
        <w:t>Requested listing</w:t>
      </w:r>
      <w:bookmarkEnd w:id="14"/>
      <w:bookmarkEnd w:id="15"/>
    </w:p>
    <w:p w14:paraId="7B5F00E0" w14:textId="06A42347" w:rsidR="00546D63" w:rsidRPr="0099114C" w:rsidRDefault="00192FB5" w:rsidP="00B53B3A">
      <w:pPr>
        <w:pStyle w:val="3-BodyText"/>
        <w:rPr>
          <w:rStyle w:val="normaltextrun"/>
          <w:rFonts w:cs="Calibri"/>
          <w:color w:val="000000"/>
          <w:bdr w:val="none" w:sz="0" w:space="0" w:color="auto" w:frame="1"/>
        </w:rPr>
      </w:pPr>
      <w:r w:rsidRPr="0099114C">
        <w:rPr>
          <w:rStyle w:val="normaltextrun"/>
          <w:rFonts w:cs="Calibri"/>
          <w:color w:val="000000"/>
          <w:bdr w:val="none" w:sz="0" w:space="0" w:color="auto" w:frame="1"/>
        </w:rPr>
        <w:t>Suggestions and additions proposed by the Secretariat are added in italics and suggested deletions are crossed out with strikethrough.</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282"/>
        <w:gridCol w:w="1560"/>
        <w:gridCol w:w="1134"/>
        <w:gridCol w:w="850"/>
        <w:gridCol w:w="851"/>
        <w:gridCol w:w="708"/>
        <w:gridCol w:w="1701"/>
      </w:tblGrid>
      <w:tr w:rsidR="00546D63" w:rsidRPr="0099114C" w14:paraId="7DAD0CB1" w14:textId="77777777" w:rsidTr="002E21D0">
        <w:trPr>
          <w:cantSplit/>
          <w:trHeight w:val="471"/>
        </w:trPr>
        <w:tc>
          <w:tcPr>
            <w:tcW w:w="2263" w:type="dxa"/>
            <w:gridSpan w:val="2"/>
          </w:tcPr>
          <w:p w14:paraId="560AD3B0" w14:textId="77777777" w:rsidR="00546D63" w:rsidRPr="0099114C" w:rsidRDefault="00546D63">
            <w:pPr>
              <w:keepNext/>
              <w:ind w:left="-57"/>
              <w:rPr>
                <w:rFonts w:ascii="Arial Narrow" w:eastAsia="Calibri" w:hAnsi="Arial Narrow"/>
                <w:b/>
                <w:bCs/>
                <w:sz w:val="20"/>
                <w:szCs w:val="20"/>
              </w:rPr>
            </w:pPr>
            <w:r w:rsidRPr="0099114C">
              <w:rPr>
                <w:rFonts w:ascii="Arial Narrow" w:eastAsia="Calibri" w:hAnsi="Arial Narrow"/>
                <w:b/>
                <w:bCs/>
                <w:sz w:val="20"/>
                <w:szCs w:val="20"/>
              </w:rPr>
              <w:t>MEDICINAL PRODUCT</w:t>
            </w:r>
          </w:p>
          <w:p w14:paraId="565952D7" w14:textId="66D84F3C" w:rsidR="00546D63" w:rsidRPr="0099114C" w:rsidRDefault="00546D63">
            <w:pPr>
              <w:keepNext/>
              <w:ind w:left="-57"/>
              <w:rPr>
                <w:rFonts w:ascii="Arial Narrow" w:eastAsia="Calibri" w:hAnsi="Arial Narrow"/>
                <w:b/>
                <w:bCs/>
                <w:sz w:val="20"/>
                <w:szCs w:val="20"/>
              </w:rPr>
            </w:pPr>
            <w:r w:rsidRPr="0099114C">
              <w:rPr>
                <w:rFonts w:ascii="Arial Narrow" w:eastAsia="Calibri" w:hAnsi="Arial Narrow"/>
                <w:b/>
                <w:bCs/>
                <w:sz w:val="20"/>
                <w:szCs w:val="20"/>
              </w:rPr>
              <w:t>medicinal product pack</w:t>
            </w:r>
          </w:p>
        </w:tc>
        <w:tc>
          <w:tcPr>
            <w:tcW w:w="1560" w:type="dxa"/>
          </w:tcPr>
          <w:p w14:paraId="3CB9016A" w14:textId="6BCEF0DA" w:rsidR="00546D63" w:rsidRPr="0099114C" w:rsidRDefault="00546D63" w:rsidP="00B53B3A">
            <w:pPr>
              <w:keepNext/>
              <w:ind w:left="-57"/>
              <w:jc w:val="center"/>
              <w:rPr>
                <w:rFonts w:ascii="Arial Narrow" w:eastAsia="Calibri" w:hAnsi="Arial Narrow"/>
                <w:b/>
                <w:sz w:val="20"/>
                <w:szCs w:val="20"/>
              </w:rPr>
            </w:pPr>
            <w:r w:rsidRPr="0099114C">
              <w:rPr>
                <w:rFonts w:ascii="Arial Narrow" w:eastAsia="Calibri" w:hAnsi="Arial Narrow"/>
                <w:b/>
                <w:sz w:val="20"/>
                <w:szCs w:val="20"/>
              </w:rPr>
              <w:t>Dispensed Price for Max. Qty</w:t>
            </w:r>
          </w:p>
        </w:tc>
        <w:tc>
          <w:tcPr>
            <w:tcW w:w="1134" w:type="dxa"/>
          </w:tcPr>
          <w:p w14:paraId="20781CCC" w14:textId="77777777" w:rsidR="00546D63" w:rsidRPr="0099114C" w:rsidRDefault="00546D63">
            <w:pPr>
              <w:keepNext/>
              <w:ind w:left="-57"/>
              <w:jc w:val="center"/>
              <w:rPr>
                <w:rFonts w:ascii="Arial Narrow" w:eastAsia="Calibri" w:hAnsi="Arial Narrow"/>
                <w:b/>
                <w:sz w:val="20"/>
                <w:szCs w:val="20"/>
              </w:rPr>
            </w:pPr>
            <w:r w:rsidRPr="0099114C">
              <w:rPr>
                <w:rFonts w:ascii="Arial Narrow" w:eastAsia="Calibri" w:hAnsi="Arial Narrow"/>
                <w:b/>
                <w:sz w:val="20"/>
                <w:szCs w:val="20"/>
              </w:rPr>
              <w:t>PBS item code</w:t>
            </w:r>
          </w:p>
        </w:tc>
        <w:tc>
          <w:tcPr>
            <w:tcW w:w="850" w:type="dxa"/>
          </w:tcPr>
          <w:p w14:paraId="3AF5770E" w14:textId="77777777" w:rsidR="00546D63" w:rsidRPr="0099114C" w:rsidRDefault="00546D63">
            <w:pPr>
              <w:keepNext/>
              <w:ind w:left="-57"/>
              <w:jc w:val="center"/>
              <w:rPr>
                <w:rFonts w:ascii="Arial Narrow" w:eastAsia="Calibri" w:hAnsi="Arial Narrow"/>
                <w:b/>
                <w:sz w:val="20"/>
                <w:szCs w:val="20"/>
              </w:rPr>
            </w:pPr>
            <w:r w:rsidRPr="0099114C">
              <w:rPr>
                <w:rFonts w:ascii="Arial Narrow" w:eastAsia="Calibri" w:hAnsi="Arial Narrow"/>
                <w:b/>
                <w:sz w:val="20"/>
                <w:szCs w:val="20"/>
              </w:rPr>
              <w:t>Max. qty packs</w:t>
            </w:r>
          </w:p>
        </w:tc>
        <w:tc>
          <w:tcPr>
            <w:tcW w:w="851" w:type="dxa"/>
          </w:tcPr>
          <w:p w14:paraId="75E52FB8" w14:textId="77777777" w:rsidR="00546D63" w:rsidRPr="0099114C" w:rsidRDefault="00546D63">
            <w:pPr>
              <w:keepNext/>
              <w:ind w:left="-57"/>
              <w:jc w:val="center"/>
              <w:rPr>
                <w:rFonts w:ascii="Arial Narrow" w:eastAsia="Calibri" w:hAnsi="Arial Narrow"/>
                <w:b/>
                <w:sz w:val="20"/>
                <w:szCs w:val="20"/>
              </w:rPr>
            </w:pPr>
            <w:r w:rsidRPr="0099114C">
              <w:rPr>
                <w:rFonts w:ascii="Arial Narrow" w:eastAsia="Calibri" w:hAnsi="Arial Narrow"/>
                <w:b/>
                <w:sz w:val="20"/>
                <w:szCs w:val="20"/>
              </w:rPr>
              <w:t>Max. qty units</w:t>
            </w:r>
          </w:p>
        </w:tc>
        <w:tc>
          <w:tcPr>
            <w:tcW w:w="708" w:type="dxa"/>
          </w:tcPr>
          <w:p w14:paraId="7464ABAA" w14:textId="77777777" w:rsidR="00546D63" w:rsidRPr="0099114C" w:rsidRDefault="00546D63">
            <w:pPr>
              <w:keepNext/>
              <w:ind w:left="-57"/>
              <w:jc w:val="center"/>
              <w:rPr>
                <w:rFonts w:ascii="Arial Narrow" w:eastAsia="Calibri" w:hAnsi="Arial Narrow"/>
                <w:b/>
                <w:sz w:val="20"/>
                <w:szCs w:val="20"/>
              </w:rPr>
            </w:pPr>
            <w:r w:rsidRPr="0099114C">
              <w:rPr>
                <w:rFonts w:ascii="Arial Narrow" w:eastAsia="Calibri" w:hAnsi="Arial Narrow"/>
                <w:b/>
                <w:sz w:val="20"/>
                <w:szCs w:val="20"/>
              </w:rPr>
              <w:t>№.of</w:t>
            </w:r>
          </w:p>
          <w:p w14:paraId="551A827B" w14:textId="77777777" w:rsidR="00546D63" w:rsidRPr="0099114C" w:rsidRDefault="00546D63">
            <w:pPr>
              <w:keepNext/>
              <w:ind w:left="-57"/>
              <w:jc w:val="center"/>
              <w:rPr>
                <w:rFonts w:ascii="Arial Narrow" w:eastAsia="Calibri" w:hAnsi="Arial Narrow"/>
                <w:b/>
                <w:sz w:val="20"/>
                <w:szCs w:val="20"/>
              </w:rPr>
            </w:pPr>
            <w:r w:rsidRPr="0099114C">
              <w:rPr>
                <w:rFonts w:ascii="Arial Narrow" w:eastAsia="Calibri" w:hAnsi="Arial Narrow"/>
                <w:b/>
                <w:sz w:val="20"/>
                <w:szCs w:val="20"/>
              </w:rPr>
              <w:t>Rpts</w:t>
            </w:r>
          </w:p>
        </w:tc>
        <w:tc>
          <w:tcPr>
            <w:tcW w:w="1701" w:type="dxa"/>
          </w:tcPr>
          <w:p w14:paraId="750C8DE9" w14:textId="77777777" w:rsidR="00546D63" w:rsidRPr="00857B0D" w:rsidRDefault="00546D63">
            <w:pPr>
              <w:keepNext/>
              <w:ind w:left="-57"/>
              <w:rPr>
                <w:rFonts w:ascii="Arial Narrow" w:eastAsia="Calibri" w:hAnsi="Arial Narrow"/>
                <w:b/>
                <w:sz w:val="20"/>
                <w:szCs w:val="20"/>
              </w:rPr>
            </w:pPr>
            <w:r w:rsidRPr="0099114C">
              <w:rPr>
                <w:rFonts w:ascii="Arial Narrow" w:eastAsia="Calibri" w:hAnsi="Arial Narrow"/>
                <w:b/>
                <w:sz w:val="20"/>
                <w:szCs w:val="20"/>
              </w:rPr>
              <w:t>Available brands</w:t>
            </w:r>
          </w:p>
        </w:tc>
      </w:tr>
      <w:tr w:rsidR="00546D63" w:rsidRPr="0099114C" w14:paraId="372BD6DB" w14:textId="77777777">
        <w:trPr>
          <w:cantSplit/>
          <w:trHeight w:val="224"/>
        </w:trPr>
        <w:tc>
          <w:tcPr>
            <w:tcW w:w="9067" w:type="dxa"/>
            <w:gridSpan w:val="8"/>
          </w:tcPr>
          <w:p w14:paraId="72CCD59D" w14:textId="23BEE7FF" w:rsidR="00546D63" w:rsidRPr="0099114C" w:rsidRDefault="0099114C">
            <w:pPr>
              <w:keepNext/>
              <w:ind w:left="-57"/>
              <w:rPr>
                <w:rFonts w:ascii="Arial Narrow" w:eastAsia="Calibri" w:hAnsi="Arial Narrow"/>
                <w:sz w:val="20"/>
                <w:szCs w:val="20"/>
              </w:rPr>
            </w:pPr>
            <w:r w:rsidRPr="0099114C">
              <w:rPr>
                <w:rFonts w:ascii="Arial Narrow" w:eastAsia="Calibri" w:hAnsi="Arial Narrow"/>
                <w:sz w:val="20"/>
                <w:szCs w:val="20"/>
              </w:rPr>
              <w:t>AVACOPAN</w:t>
            </w:r>
          </w:p>
        </w:tc>
      </w:tr>
      <w:tr w:rsidR="00546D63" w:rsidRPr="0099114C" w14:paraId="03B5765C" w14:textId="77777777" w:rsidTr="002E21D0">
        <w:trPr>
          <w:cantSplit/>
          <w:trHeight w:val="553"/>
        </w:trPr>
        <w:tc>
          <w:tcPr>
            <w:tcW w:w="2263" w:type="dxa"/>
            <w:gridSpan w:val="2"/>
          </w:tcPr>
          <w:p w14:paraId="45ADE283" w14:textId="77777777" w:rsidR="00546D63" w:rsidRPr="0099114C" w:rsidRDefault="00546D63">
            <w:pPr>
              <w:keepNext/>
              <w:ind w:left="-57"/>
              <w:rPr>
                <w:rFonts w:ascii="Arial Narrow" w:eastAsia="Calibri" w:hAnsi="Arial Narrow"/>
                <w:sz w:val="20"/>
                <w:szCs w:val="20"/>
              </w:rPr>
            </w:pPr>
            <w:r w:rsidRPr="0099114C">
              <w:rPr>
                <w:rFonts w:ascii="Arial Narrow" w:eastAsia="Calibri" w:hAnsi="Arial Narrow"/>
                <w:sz w:val="20"/>
                <w:szCs w:val="20"/>
              </w:rPr>
              <w:t xml:space="preserve">avacopan 10 mg capsule, 180 </w:t>
            </w:r>
          </w:p>
        </w:tc>
        <w:tc>
          <w:tcPr>
            <w:tcW w:w="1560" w:type="dxa"/>
          </w:tcPr>
          <w:p w14:paraId="1CC1C753" w14:textId="77777777" w:rsidR="00192FB5" w:rsidRPr="0099114C" w:rsidRDefault="00192FB5" w:rsidP="00192FB5">
            <w:pPr>
              <w:pStyle w:val="TableText"/>
              <w:keepLines/>
              <w:jc w:val="both"/>
              <w:rPr>
                <w:rFonts w:eastAsia="Calibri" w:cs="Arial"/>
                <w:bCs w:val="0"/>
                <w:szCs w:val="20"/>
              </w:rPr>
            </w:pPr>
            <w:r w:rsidRPr="0099114C">
              <w:rPr>
                <w:rFonts w:eastAsia="Calibri" w:cs="Arial"/>
                <w:bCs w:val="0"/>
                <w:szCs w:val="20"/>
              </w:rPr>
              <w:t>$8,485.33 published price</w:t>
            </w:r>
          </w:p>
          <w:p w14:paraId="27DE5BEA" w14:textId="44CC3E78" w:rsidR="00546D63" w:rsidRPr="0099114C" w:rsidRDefault="00192FB5" w:rsidP="00192FB5">
            <w:pPr>
              <w:keepNext/>
              <w:ind w:left="-57"/>
              <w:rPr>
                <w:rFonts w:ascii="Arial Narrow" w:eastAsia="Calibri" w:hAnsi="Arial Narrow"/>
                <w:sz w:val="20"/>
                <w:szCs w:val="20"/>
              </w:rPr>
            </w:pPr>
            <w:r w:rsidRPr="00BE21CE">
              <w:rPr>
                <w:rFonts w:ascii="Arial Narrow" w:eastAsia="Calibri" w:hAnsi="Arial Narrow"/>
                <w:sz w:val="20"/>
                <w:szCs w:val="20"/>
              </w:rPr>
              <w:t>$</w:t>
            </w:r>
            <w:r w:rsidR="005F1F42" w:rsidRPr="00A15694">
              <w:rPr>
                <w:rFonts w:ascii="Arial Narrow" w:eastAsia="Calibri" w:hAnsi="Arial Narrow"/>
                <w:color w:val="000000"/>
                <w:spacing w:val="23"/>
                <w:sz w:val="20"/>
                <w:szCs w:val="20"/>
                <w:shd w:val="solid" w:color="000000" w:fill="000000"/>
                <w:fitText w:val="381" w:id="-961807866"/>
                <w14:textFill>
                  <w14:solidFill>
                    <w14:srgbClr w14:val="000000">
                      <w14:alpha w14:val="100000"/>
                    </w14:srgbClr>
                  </w14:solidFill>
                </w14:textFill>
              </w:rPr>
              <w:t>||  |</w:t>
            </w:r>
            <w:r w:rsidR="005F1F42" w:rsidRPr="00A15694">
              <w:rPr>
                <w:rFonts w:ascii="Arial Narrow" w:eastAsia="Calibri" w:hAnsi="Arial Narrow"/>
                <w:color w:val="000000"/>
                <w:spacing w:val="5"/>
                <w:sz w:val="20"/>
                <w:szCs w:val="20"/>
                <w:shd w:val="solid" w:color="000000" w:fill="000000"/>
                <w:fitText w:val="381" w:id="-961807866"/>
                <w14:textFill>
                  <w14:solidFill>
                    <w14:srgbClr w14:val="000000">
                      <w14:alpha w14:val="100000"/>
                    </w14:srgbClr>
                  </w14:solidFill>
                </w14:textFill>
              </w:rPr>
              <w:t>|</w:t>
            </w:r>
            <w:r w:rsidRPr="0099114C">
              <w:rPr>
                <w:rFonts w:ascii="Arial Narrow" w:eastAsia="Calibri" w:hAnsi="Arial Narrow"/>
                <w:sz w:val="20"/>
                <w:szCs w:val="20"/>
              </w:rPr>
              <w:t>effective price</w:t>
            </w:r>
          </w:p>
        </w:tc>
        <w:tc>
          <w:tcPr>
            <w:tcW w:w="1134" w:type="dxa"/>
          </w:tcPr>
          <w:p w14:paraId="1878D702" w14:textId="77777777" w:rsidR="00546D63" w:rsidRPr="0099114C" w:rsidRDefault="00546D63">
            <w:pPr>
              <w:keepNext/>
              <w:ind w:left="-57"/>
              <w:jc w:val="center"/>
              <w:rPr>
                <w:rFonts w:ascii="Arial Narrow" w:eastAsia="Calibri" w:hAnsi="Arial Narrow"/>
                <w:sz w:val="20"/>
                <w:szCs w:val="20"/>
              </w:rPr>
            </w:pPr>
            <w:r w:rsidRPr="0099114C">
              <w:rPr>
                <w:rFonts w:ascii="Arial Narrow" w:eastAsia="Calibri" w:hAnsi="Arial Narrow"/>
                <w:sz w:val="20"/>
                <w:szCs w:val="20"/>
              </w:rPr>
              <w:t>NEW 1</w:t>
            </w:r>
          </w:p>
          <w:p w14:paraId="6EDD27A3" w14:textId="77777777" w:rsidR="00546D63" w:rsidRPr="0099114C" w:rsidRDefault="00546D63">
            <w:pPr>
              <w:keepNext/>
              <w:ind w:left="-57"/>
              <w:jc w:val="center"/>
              <w:rPr>
                <w:rFonts w:ascii="Arial Narrow" w:eastAsia="Calibri" w:hAnsi="Arial Narrow"/>
                <w:sz w:val="20"/>
                <w:szCs w:val="20"/>
                <w:vertAlign w:val="subscript"/>
              </w:rPr>
            </w:pPr>
            <w:r w:rsidRPr="0099114C">
              <w:rPr>
                <w:rFonts w:ascii="Arial Narrow" w:eastAsia="Calibri" w:hAnsi="Arial Narrow"/>
                <w:sz w:val="20"/>
                <w:szCs w:val="20"/>
                <w:vertAlign w:val="subscript"/>
              </w:rPr>
              <w:t>MP</w:t>
            </w:r>
          </w:p>
        </w:tc>
        <w:tc>
          <w:tcPr>
            <w:tcW w:w="850" w:type="dxa"/>
          </w:tcPr>
          <w:p w14:paraId="35469618" w14:textId="77777777" w:rsidR="00546D63" w:rsidRPr="0099114C" w:rsidRDefault="00546D63">
            <w:pPr>
              <w:keepNext/>
              <w:ind w:left="-57"/>
              <w:jc w:val="center"/>
              <w:rPr>
                <w:rFonts w:ascii="Arial Narrow" w:eastAsia="Calibri" w:hAnsi="Arial Narrow"/>
                <w:sz w:val="20"/>
                <w:szCs w:val="20"/>
              </w:rPr>
            </w:pPr>
            <w:r w:rsidRPr="0099114C">
              <w:rPr>
                <w:rFonts w:ascii="Arial Narrow" w:eastAsia="Calibri" w:hAnsi="Arial Narrow"/>
                <w:sz w:val="20"/>
                <w:szCs w:val="20"/>
              </w:rPr>
              <w:t>1</w:t>
            </w:r>
          </w:p>
        </w:tc>
        <w:tc>
          <w:tcPr>
            <w:tcW w:w="851" w:type="dxa"/>
          </w:tcPr>
          <w:p w14:paraId="6FF8F68D" w14:textId="77777777" w:rsidR="00546D63" w:rsidRPr="0099114C" w:rsidRDefault="00546D63">
            <w:pPr>
              <w:keepNext/>
              <w:ind w:left="-57"/>
              <w:jc w:val="center"/>
              <w:rPr>
                <w:rFonts w:ascii="Arial Narrow" w:eastAsia="Calibri" w:hAnsi="Arial Narrow"/>
                <w:sz w:val="20"/>
                <w:szCs w:val="20"/>
              </w:rPr>
            </w:pPr>
            <w:r w:rsidRPr="0099114C">
              <w:rPr>
                <w:rFonts w:ascii="Arial Narrow" w:eastAsia="Calibri" w:hAnsi="Arial Narrow"/>
                <w:sz w:val="20"/>
                <w:szCs w:val="20"/>
              </w:rPr>
              <w:t>180</w:t>
            </w:r>
          </w:p>
        </w:tc>
        <w:tc>
          <w:tcPr>
            <w:tcW w:w="708" w:type="dxa"/>
          </w:tcPr>
          <w:p w14:paraId="3D176547" w14:textId="77777777" w:rsidR="00546D63" w:rsidRPr="0099114C" w:rsidRDefault="00546D63">
            <w:pPr>
              <w:keepNext/>
              <w:ind w:left="-57"/>
              <w:jc w:val="center"/>
              <w:rPr>
                <w:rFonts w:ascii="Arial Narrow" w:eastAsia="Calibri" w:hAnsi="Arial Narrow"/>
                <w:sz w:val="20"/>
                <w:szCs w:val="20"/>
              </w:rPr>
            </w:pPr>
            <w:r w:rsidRPr="0099114C">
              <w:rPr>
                <w:rFonts w:ascii="Arial Narrow" w:eastAsia="Calibri" w:hAnsi="Arial Narrow"/>
                <w:sz w:val="20"/>
                <w:szCs w:val="20"/>
              </w:rPr>
              <w:t>5</w:t>
            </w:r>
          </w:p>
        </w:tc>
        <w:tc>
          <w:tcPr>
            <w:tcW w:w="1701" w:type="dxa"/>
          </w:tcPr>
          <w:p w14:paraId="4595178E" w14:textId="77777777" w:rsidR="00546D63" w:rsidRPr="0099114C" w:rsidRDefault="00546D63">
            <w:pPr>
              <w:keepNext/>
              <w:ind w:left="-57"/>
              <w:rPr>
                <w:rFonts w:ascii="Arial Narrow" w:eastAsia="Calibri" w:hAnsi="Arial Narrow"/>
                <w:sz w:val="20"/>
                <w:szCs w:val="20"/>
              </w:rPr>
            </w:pPr>
            <w:r w:rsidRPr="0099114C">
              <w:rPr>
                <w:rFonts w:ascii="Arial Narrow" w:eastAsia="Calibri" w:hAnsi="Arial Narrow"/>
                <w:sz w:val="20"/>
                <w:szCs w:val="20"/>
              </w:rPr>
              <w:t>Tavneos</w:t>
            </w:r>
          </w:p>
        </w:tc>
      </w:tr>
      <w:tr w:rsidR="00546D63" w:rsidRPr="0099114C" w14:paraId="4E3B3650" w14:textId="77777777">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638A5DBE" w14:textId="77777777" w:rsidR="00546D63" w:rsidRPr="0099114C" w:rsidRDefault="00546D63">
            <w:pPr>
              <w:jc w:val="right"/>
              <w:rPr>
                <w:rFonts w:ascii="Arial Narrow" w:eastAsia="Calibri" w:hAnsi="Arial Narrow"/>
                <w:bCs/>
                <w:sz w:val="18"/>
                <w:szCs w:val="18"/>
              </w:rPr>
            </w:pPr>
          </w:p>
        </w:tc>
      </w:tr>
      <w:tr w:rsidR="00546D63" w:rsidRPr="0099114C" w14:paraId="0FCA99CD" w14:textId="77777777">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bottom w:val="single" w:sz="4" w:space="0" w:color="auto"/>
              <w:right w:val="single" w:sz="4" w:space="0" w:color="auto"/>
            </w:tcBorders>
          </w:tcPr>
          <w:p w14:paraId="509F714E" w14:textId="77777777" w:rsidR="00546D63" w:rsidRPr="0099114C" w:rsidRDefault="00546D63">
            <w:pPr>
              <w:rPr>
                <w:rFonts w:ascii="Arial Narrow" w:eastAsia="Calibri" w:hAnsi="Arial Narrow"/>
                <w:b/>
                <w:sz w:val="18"/>
                <w:szCs w:val="18"/>
              </w:rPr>
            </w:pPr>
          </w:p>
        </w:tc>
      </w:tr>
      <w:tr w:rsidR="00546D63" w:rsidRPr="0099114C" w14:paraId="14C34E94" w14:textId="77777777">
        <w:tblPrEx>
          <w:tblCellMar>
            <w:top w:w="15" w:type="dxa"/>
            <w:left w:w="15" w:type="dxa"/>
            <w:bottom w:w="15" w:type="dxa"/>
            <w:right w:w="15" w:type="dxa"/>
          </w:tblCellMar>
          <w:tblLook w:val="04A0" w:firstRow="1" w:lastRow="0" w:firstColumn="1" w:lastColumn="0" w:noHBand="0" w:noVBand="1"/>
        </w:tblPrEx>
        <w:tc>
          <w:tcPr>
            <w:tcW w:w="9067" w:type="dxa"/>
            <w:gridSpan w:val="8"/>
            <w:vAlign w:val="center"/>
          </w:tcPr>
          <w:p w14:paraId="6A7B067E" w14:textId="77777777" w:rsidR="00546D63" w:rsidRPr="0099114C" w:rsidRDefault="00546D63">
            <w:pPr>
              <w:rPr>
                <w:rFonts w:ascii="Arial Narrow" w:hAnsi="Arial Narrow"/>
                <w:b/>
                <w:sz w:val="20"/>
                <w:szCs w:val="20"/>
              </w:rPr>
            </w:pPr>
            <w:r w:rsidRPr="0099114C">
              <w:rPr>
                <w:rFonts w:ascii="Arial Narrow" w:hAnsi="Arial Narrow"/>
                <w:b/>
                <w:sz w:val="20"/>
                <w:szCs w:val="20"/>
              </w:rPr>
              <w:t xml:space="preserve">Restriction Summary [new 1] / Treatment of Concept: [new 1.1] Authority Required (STREAMLINED) </w:t>
            </w:r>
          </w:p>
          <w:p w14:paraId="0CB4F262" w14:textId="77777777" w:rsidR="00546D63" w:rsidRPr="0099114C" w:rsidRDefault="00546D63">
            <w:pPr>
              <w:rPr>
                <w:rFonts w:ascii="Arial Narrow" w:hAnsi="Arial Narrow"/>
                <w:b/>
                <w:bCs/>
                <w:color w:val="333333"/>
                <w:sz w:val="20"/>
                <w:szCs w:val="20"/>
              </w:rPr>
            </w:pPr>
          </w:p>
        </w:tc>
      </w:tr>
      <w:tr w:rsidR="00546D63" w:rsidRPr="0099114C" w14:paraId="0BA7A10D" w14:textId="77777777">
        <w:tblPrEx>
          <w:tblCellMar>
            <w:top w:w="15" w:type="dxa"/>
            <w:left w:w="15" w:type="dxa"/>
            <w:bottom w:w="15" w:type="dxa"/>
            <w:right w:w="15" w:type="dxa"/>
          </w:tblCellMar>
          <w:tblLook w:val="04A0" w:firstRow="1" w:lastRow="0" w:firstColumn="1" w:lastColumn="0" w:noHBand="0" w:noVBand="1"/>
        </w:tblPrEx>
        <w:tc>
          <w:tcPr>
            <w:tcW w:w="981" w:type="dxa"/>
            <w:vAlign w:val="center"/>
          </w:tcPr>
          <w:p w14:paraId="23AA475A" w14:textId="77777777" w:rsidR="00546D63" w:rsidRPr="0099114C" w:rsidRDefault="00546D63">
            <w:pPr>
              <w:jc w:val="center"/>
              <w:rPr>
                <w:rFonts w:ascii="Arial Narrow" w:hAnsi="Arial Narrow"/>
                <w:color w:val="333333"/>
                <w:sz w:val="20"/>
                <w:szCs w:val="20"/>
              </w:rPr>
            </w:pPr>
          </w:p>
        </w:tc>
        <w:tc>
          <w:tcPr>
            <w:tcW w:w="8086" w:type="dxa"/>
            <w:gridSpan w:val="7"/>
            <w:vAlign w:val="center"/>
          </w:tcPr>
          <w:p w14:paraId="56801B64" w14:textId="77777777" w:rsidR="00546D63" w:rsidRPr="0099114C" w:rsidRDefault="00546D63">
            <w:pPr>
              <w:rPr>
                <w:rFonts w:ascii="Arial Narrow" w:hAnsi="Arial Narrow"/>
                <w:b/>
                <w:bCs/>
                <w:color w:val="BFBFBF" w:themeColor="background1" w:themeShade="BF"/>
                <w:sz w:val="20"/>
                <w:szCs w:val="20"/>
              </w:rPr>
            </w:pPr>
            <w:r w:rsidRPr="0099114C">
              <w:rPr>
                <w:rFonts w:ascii="Arial Narrow" w:hAnsi="Arial Narrow"/>
                <w:b/>
                <w:sz w:val="20"/>
                <w:szCs w:val="20"/>
              </w:rPr>
              <w:t xml:space="preserve">Category / Program: </w:t>
            </w:r>
            <w:r w:rsidRPr="0099114C">
              <w:rPr>
                <w:rFonts w:ascii="Arial Narrow" w:hAnsi="Arial Narrow"/>
                <w:sz w:val="20"/>
                <w:szCs w:val="20"/>
              </w:rPr>
              <w:t>GENERAL – General Schedule (Code GE)</w:t>
            </w:r>
          </w:p>
        </w:tc>
      </w:tr>
      <w:tr w:rsidR="00546D63" w:rsidRPr="0099114C" w14:paraId="7A88D249" w14:textId="77777777">
        <w:tblPrEx>
          <w:tblCellMar>
            <w:top w:w="15" w:type="dxa"/>
            <w:left w:w="15" w:type="dxa"/>
            <w:bottom w:w="15" w:type="dxa"/>
            <w:right w:w="15" w:type="dxa"/>
          </w:tblCellMar>
          <w:tblLook w:val="04A0" w:firstRow="1" w:lastRow="0" w:firstColumn="1" w:lastColumn="0" w:noHBand="0" w:noVBand="1"/>
        </w:tblPrEx>
        <w:tc>
          <w:tcPr>
            <w:tcW w:w="981" w:type="dxa"/>
            <w:vAlign w:val="center"/>
          </w:tcPr>
          <w:p w14:paraId="38DA1B68" w14:textId="77777777" w:rsidR="00546D63" w:rsidRPr="0099114C" w:rsidRDefault="00546D63">
            <w:pPr>
              <w:jc w:val="center"/>
              <w:rPr>
                <w:rFonts w:ascii="Arial Narrow" w:hAnsi="Arial Narrow"/>
                <w:color w:val="333333"/>
                <w:sz w:val="20"/>
                <w:szCs w:val="20"/>
              </w:rPr>
            </w:pPr>
          </w:p>
        </w:tc>
        <w:tc>
          <w:tcPr>
            <w:tcW w:w="8086" w:type="dxa"/>
            <w:gridSpan w:val="7"/>
            <w:vAlign w:val="center"/>
          </w:tcPr>
          <w:p w14:paraId="225A3AA7" w14:textId="77777777" w:rsidR="00546D63" w:rsidRPr="0099114C" w:rsidRDefault="00546D63">
            <w:pPr>
              <w:rPr>
                <w:rFonts w:ascii="Arial Narrow" w:hAnsi="Arial Narrow"/>
                <w:b/>
                <w:bCs/>
                <w:color w:val="BFBFBF" w:themeColor="background1" w:themeShade="BF"/>
                <w:sz w:val="20"/>
                <w:szCs w:val="20"/>
              </w:rPr>
            </w:pPr>
            <w:r w:rsidRPr="0099114C">
              <w:rPr>
                <w:rFonts w:ascii="Arial Narrow" w:hAnsi="Arial Narrow"/>
                <w:b/>
                <w:sz w:val="20"/>
                <w:szCs w:val="20"/>
              </w:rPr>
              <w:t xml:space="preserve">Prescriber type: </w:t>
            </w:r>
            <w:r w:rsidRPr="0099114C">
              <w:rPr>
                <w:rFonts w:ascii="Arial Narrow" w:hAnsi="Arial Narrow" w:cstheme="minorHAnsi"/>
                <w:b/>
                <w:sz w:val="20"/>
                <w:szCs w:val="20"/>
              </w:rPr>
              <w:t xml:space="preserve">Prescriber type: </w:t>
            </w:r>
            <w:r w:rsidRPr="0099114C">
              <w:rPr>
                <w:rFonts w:ascii="Arial Narrow" w:hAnsi="Arial Narrow" w:cstheme="minorHAnsi"/>
                <w:sz w:val="20"/>
                <w:szCs w:val="20"/>
              </w:rPr>
              <w:fldChar w:fldCharType="begin" w:fldLock="1">
                <w:ffData>
                  <w:name w:val="Check1"/>
                  <w:enabled/>
                  <w:calcOnExit w:val="0"/>
                  <w:checkBox>
                    <w:sizeAuto/>
                    <w:default w:val="0"/>
                  </w:checkBox>
                </w:ffData>
              </w:fldChar>
            </w:r>
            <w:r w:rsidRPr="0099114C">
              <w:rPr>
                <w:rFonts w:ascii="Arial Narrow" w:hAnsi="Arial Narrow" w:cstheme="minorHAnsi"/>
                <w:sz w:val="20"/>
                <w:szCs w:val="20"/>
              </w:rPr>
              <w:instrText xml:space="preserve"> FORMCHECKBOX </w:instrText>
            </w:r>
            <w:r w:rsidR="00000000">
              <w:rPr>
                <w:rFonts w:ascii="Arial Narrow" w:hAnsi="Arial Narrow" w:cstheme="minorHAnsi"/>
                <w:sz w:val="20"/>
                <w:szCs w:val="20"/>
              </w:rPr>
            </w:r>
            <w:r w:rsidR="00000000">
              <w:rPr>
                <w:rFonts w:ascii="Arial Narrow" w:hAnsi="Arial Narrow" w:cstheme="minorHAnsi"/>
                <w:sz w:val="20"/>
                <w:szCs w:val="20"/>
              </w:rPr>
              <w:fldChar w:fldCharType="separate"/>
            </w:r>
            <w:r w:rsidRPr="0099114C">
              <w:rPr>
                <w:rFonts w:ascii="Arial Narrow" w:hAnsi="Arial Narrow" w:cstheme="minorHAnsi"/>
                <w:sz w:val="20"/>
                <w:szCs w:val="20"/>
              </w:rPr>
              <w:fldChar w:fldCharType="end"/>
            </w:r>
            <w:r w:rsidRPr="0099114C">
              <w:rPr>
                <w:rFonts w:ascii="Arial Narrow" w:hAnsi="Arial Narrow" w:cstheme="minorHAnsi"/>
                <w:sz w:val="20"/>
                <w:szCs w:val="20"/>
              </w:rPr>
              <w:t xml:space="preserve">Dental </w:t>
            </w:r>
            <w:r w:rsidRPr="0099114C">
              <w:rPr>
                <w:rFonts w:ascii="Arial Narrow" w:hAnsi="Arial Narrow" w:cstheme="minorHAnsi"/>
                <w:sz w:val="20"/>
                <w:szCs w:val="20"/>
              </w:rPr>
              <w:fldChar w:fldCharType="begin" w:fldLock="1">
                <w:ffData>
                  <w:name w:val=""/>
                  <w:enabled/>
                  <w:calcOnExit w:val="0"/>
                  <w:checkBox>
                    <w:sizeAuto/>
                    <w:default w:val="1"/>
                  </w:checkBox>
                </w:ffData>
              </w:fldChar>
            </w:r>
            <w:r w:rsidRPr="0099114C">
              <w:rPr>
                <w:rFonts w:ascii="Arial Narrow" w:hAnsi="Arial Narrow" w:cstheme="minorHAnsi"/>
                <w:sz w:val="20"/>
                <w:szCs w:val="20"/>
              </w:rPr>
              <w:instrText xml:space="preserve"> FORMCHECKBOX </w:instrText>
            </w:r>
            <w:r w:rsidR="00000000">
              <w:rPr>
                <w:rFonts w:ascii="Arial Narrow" w:hAnsi="Arial Narrow" w:cstheme="minorHAnsi"/>
                <w:sz w:val="20"/>
                <w:szCs w:val="20"/>
              </w:rPr>
            </w:r>
            <w:r w:rsidR="00000000">
              <w:rPr>
                <w:rFonts w:ascii="Arial Narrow" w:hAnsi="Arial Narrow" w:cstheme="minorHAnsi"/>
                <w:sz w:val="20"/>
                <w:szCs w:val="20"/>
              </w:rPr>
              <w:fldChar w:fldCharType="separate"/>
            </w:r>
            <w:r w:rsidRPr="0099114C">
              <w:rPr>
                <w:rFonts w:ascii="Arial Narrow" w:hAnsi="Arial Narrow" w:cstheme="minorHAnsi"/>
                <w:sz w:val="20"/>
                <w:szCs w:val="20"/>
              </w:rPr>
              <w:fldChar w:fldCharType="end"/>
            </w:r>
            <w:r w:rsidRPr="0099114C">
              <w:rPr>
                <w:rFonts w:ascii="Arial Narrow" w:hAnsi="Arial Narrow" w:cstheme="minorHAnsi"/>
                <w:sz w:val="20"/>
                <w:szCs w:val="20"/>
              </w:rPr>
              <w:t xml:space="preserve">Medical Practitioners </w:t>
            </w:r>
            <w:r w:rsidRPr="0099114C">
              <w:rPr>
                <w:rFonts w:ascii="Arial Narrow" w:hAnsi="Arial Narrow" w:cstheme="minorHAnsi"/>
                <w:sz w:val="20"/>
                <w:szCs w:val="20"/>
              </w:rPr>
              <w:fldChar w:fldCharType="begin" w:fldLock="1">
                <w:ffData>
                  <w:name w:val="Check3"/>
                  <w:enabled/>
                  <w:calcOnExit w:val="0"/>
                  <w:checkBox>
                    <w:sizeAuto/>
                    <w:default w:val="0"/>
                  </w:checkBox>
                </w:ffData>
              </w:fldChar>
            </w:r>
            <w:r w:rsidRPr="0099114C">
              <w:rPr>
                <w:rFonts w:ascii="Arial Narrow" w:hAnsi="Arial Narrow" w:cstheme="minorHAnsi"/>
                <w:sz w:val="20"/>
                <w:szCs w:val="20"/>
              </w:rPr>
              <w:instrText xml:space="preserve"> FORMCHECKBOX </w:instrText>
            </w:r>
            <w:r w:rsidR="00000000">
              <w:rPr>
                <w:rFonts w:ascii="Arial Narrow" w:hAnsi="Arial Narrow" w:cstheme="minorHAnsi"/>
                <w:sz w:val="20"/>
                <w:szCs w:val="20"/>
              </w:rPr>
            </w:r>
            <w:r w:rsidR="00000000">
              <w:rPr>
                <w:rFonts w:ascii="Arial Narrow" w:hAnsi="Arial Narrow" w:cstheme="minorHAnsi"/>
                <w:sz w:val="20"/>
                <w:szCs w:val="20"/>
              </w:rPr>
              <w:fldChar w:fldCharType="separate"/>
            </w:r>
            <w:r w:rsidRPr="0099114C">
              <w:rPr>
                <w:rFonts w:ascii="Arial Narrow" w:hAnsi="Arial Narrow" w:cstheme="minorHAnsi"/>
                <w:sz w:val="20"/>
                <w:szCs w:val="20"/>
              </w:rPr>
              <w:fldChar w:fldCharType="end"/>
            </w:r>
            <w:r w:rsidRPr="0099114C">
              <w:rPr>
                <w:rFonts w:ascii="Arial Narrow" w:hAnsi="Arial Narrow" w:cstheme="minorHAnsi"/>
                <w:sz w:val="20"/>
                <w:szCs w:val="20"/>
              </w:rPr>
              <w:t xml:space="preserve">Nurse practitioners </w:t>
            </w:r>
            <w:r w:rsidRPr="0099114C">
              <w:rPr>
                <w:rFonts w:ascii="Arial Narrow" w:hAnsi="Arial Narrow" w:cstheme="minorHAnsi"/>
                <w:sz w:val="20"/>
                <w:szCs w:val="20"/>
              </w:rPr>
              <w:fldChar w:fldCharType="begin" w:fldLock="1">
                <w:ffData>
                  <w:name w:val=""/>
                  <w:enabled/>
                  <w:calcOnExit w:val="0"/>
                  <w:checkBox>
                    <w:sizeAuto/>
                    <w:default w:val="0"/>
                  </w:checkBox>
                </w:ffData>
              </w:fldChar>
            </w:r>
            <w:r w:rsidRPr="0099114C">
              <w:rPr>
                <w:rFonts w:ascii="Arial Narrow" w:hAnsi="Arial Narrow" w:cstheme="minorHAnsi"/>
                <w:sz w:val="20"/>
                <w:szCs w:val="20"/>
              </w:rPr>
              <w:instrText xml:space="preserve"> FORMCHECKBOX </w:instrText>
            </w:r>
            <w:r w:rsidR="00000000">
              <w:rPr>
                <w:rFonts w:ascii="Arial Narrow" w:hAnsi="Arial Narrow" w:cstheme="minorHAnsi"/>
                <w:sz w:val="20"/>
                <w:szCs w:val="20"/>
              </w:rPr>
            </w:r>
            <w:r w:rsidR="00000000">
              <w:rPr>
                <w:rFonts w:ascii="Arial Narrow" w:hAnsi="Arial Narrow" w:cstheme="minorHAnsi"/>
                <w:sz w:val="20"/>
                <w:szCs w:val="20"/>
              </w:rPr>
              <w:fldChar w:fldCharType="separate"/>
            </w:r>
            <w:r w:rsidRPr="0099114C">
              <w:rPr>
                <w:rFonts w:ascii="Arial Narrow" w:hAnsi="Arial Narrow" w:cstheme="minorHAnsi"/>
                <w:sz w:val="20"/>
                <w:szCs w:val="20"/>
              </w:rPr>
              <w:fldChar w:fldCharType="end"/>
            </w:r>
            <w:r w:rsidRPr="0099114C">
              <w:rPr>
                <w:rFonts w:ascii="Arial Narrow" w:hAnsi="Arial Narrow" w:cstheme="minorHAnsi"/>
                <w:sz w:val="20"/>
                <w:szCs w:val="20"/>
              </w:rPr>
              <w:t xml:space="preserve">Optometrists </w:t>
            </w:r>
            <w:r w:rsidRPr="0099114C">
              <w:rPr>
                <w:rFonts w:ascii="Arial Narrow" w:hAnsi="Arial Narrow" w:cstheme="minorHAnsi"/>
                <w:sz w:val="20"/>
                <w:szCs w:val="20"/>
              </w:rPr>
              <w:fldChar w:fldCharType="begin" w:fldLock="1">
                <w:ffData>
                  <w:name w:val="Check5"/>
                  <w:enabled/>
                  <w:calcOnExit w:val="0"/>
                  <w:checkBox>
                    <w:sizeAuto/>
                    <w:default w:val="0"/>
                  </w:checkBox>
                </w:ffData>
              </w:fldChar>
            </w:r>
            <w:r w:rsidRPr="0099114C">
              <w:rPr>
                <w:rFonts w:ascii="Arial Narrow" w:hAnsi="Arial Narrow" w:cstheme="minorHAnsi"/>
                <w:sz w:val="20"/>
                <w:szCs w:val="20"/>
              </w:rPr>
              <w:instrText xml:space="preserve"> FORMCHECKBOX </w:instrText>
            </w:r>
            <w:r w:rsidR="00000000">
              <w:rPr>
                <w:rFonts w:ascii="Arial Narrow" w:hAnsi="Arial Narrow" w:cstheme="minorHAnsi"/>
                <w:sz w:val="20"/>
                <w:szCs w:val="20"/>
              </w:rPr>
            </w:r>
            <w:r w:rsidR="00000000">
              <w:rPr>
                <w:rFonts w:ascii="Arial Narrow" w:hAnsi="Arial Narrow" w:cstheme="minorHAnsi"/>
                <w:sz w:val="20"/>
                <w:szCs w:val="20"/>
              </w:rPr>
              <w:fldChar w:fldCharType="separate"/>
            </w:r>
            <w:r w:rsidRPr="0099114C">
              <w:rPr>
                <w:rFonts w:ascii="Arial Narrow" w:hAnsi="Arial Narrow" w:cstheme="minorHAnsi"/>
                <w:sz w:val="20"/>
                <w:szCs w:val="20"/>
              </w:rPr>
              <w:fldChar w:fldCharType="end"/>
            </w:r>
            <w:r w:rsidRPr="0099114C">
              <w:rPr>
                <w:rFonts w:ascii="Arial Narrow" w:hAnsi="Arial Narrow" w:cstheme="minorHAnsi"/>
                <w:sz w:val="20"/>
                <w:szCs w:val="20"/>
              </w:rPr>
              <w:t>Midwives</w:t>
            </w:r>
          </w:p>
        </w:tc>
      </w:tr>
      <w:tr w:rsidR="00546D63" w:rsidRPr="0099114C" w14:paraId="2746D107" w14:textId="77777777">
        <w:tblPrEx>
          <w:tblCellMar>
            <w:top w:w="15" w:type="dxa"/>
            <w:left w:w="15" w:type="dxa"/>
            <w:bottom w:w="15" w:type="dxa"/>
            <w:right w:w="15" w:type="dxa"/>
          </w:tblCellMar>
          <w:tblLook w:val="04A0" w:firstRow="1" w:lastRow="0" w:firstColumn="1" w:lastColumn="0" w:noHBand="0" w:noVBand="1"/>
        </w:tblPrEx>
        <w:tc>
          <w:tcPr>
            <w:tcW w:w="981" w:type="dxa"/>
            <w:vAlign w:val="center"/>
          </w:tcPr>
          <w:p w14:paraId="6DF82E82" w14:textId="77777777" w:rsidR="00546D63" w:rsidRPr="0099114C" w:rsidRDefault="00546D63">
            <w:pPr>
              <w:jc w:val="center"/>
              <w:rPr>
                <w:rFonts w:ascii="Arial Narrow" w:hAnsi="Arial Narrow"/>
                <w:color w:val="333333"/>
                <w:sz w:val="20"/>
                <w:szCs w:val="20"/>
              </w:rPr>
            </w:pPr>
          </w:p>
        </w:tc>
        <w:tc>
          <w:tcPr>
            <w:tcW w:w="8086" w:type="dxa"/>
            <w:gridSpan w:val="7"/>
            <w:vAlign w:val="center"/>
          </w:tcPr>
          <w:p w14:paraId="651D11F5" w14:textId="77777777" w:rsidR="00546D63" w:rsidRPr="0099114C" w:rsidRDefault="00546D63">
            <w:pPr>
              <w:rPr>
                <w:rFonts w:ascii="Arial Narrow" w:hAnsi="Arial Narrow"/>
                <w:b/>
                <w:bCs/>
                <w:color w:val="BFBFBF" w:themeColor="background1" w:themeShade="BF"/>
                <w:sz w:val="20"/>
                <w:szCs w:val="20"/>
              </w:rPr>
            </w:pPr>
            <w:r w:rsidRPr="0099114C">
              <w:rPr>
                <w:rFonts w:ascii="Arial Narrow" w:hAnsi="Arial Narrow"/>
                <w:b/>
                <w:sz w:val="20"/>
                <w:szCs w:val="20"/>
              </w:rPr>
              <w:t xml:space="preserve">Restriction type: </w:t>
            </w:r>
            <w:r w:rsidRPr="0099114C">
              <w:rPr>
                <w:rFonts w:ascii="Arial Narrow" w:hAnsi="Arial Narrow"/>
                <w:sz w:val="20"/>
                <w:szCs w:val="20"/>
              </w:rPr>
              <w:fldChar w:fldCharType="begin" w:fldLock="1">
                <w:ffData>
                  <w:name w:val=""/>
                  <w:enabled/>
                  <w:calcOnExit w:val="0"/>
                  <w:checkBox>
                    <w:sizeAuto/>
                    <w:default w:val="1"/>
                  </w:checkBox>
                </w:ffData>
              </w:fldChar>
            </w:r>
            <w:r w:rsidRPr="0099114C">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99114C">
              <w:rPr>
                <w:rFonts w:ascii="Arial Narrow" w:hAnsi="Arial Narrow"/>
                <w:sz w:val="20"/>
                <w:szCs w:val="20"/>
              </w:rPr>
              <w:fldChar w:fldCharType="end"/>
            </w:r>
            <w:r w:rsidRPr="0099114C">
              <w:rPr>
                <w:rFonts w:ascii="Arial Narrow" w:hAnsi="Arial Narrow"/>
                <w:sz w:val="20"/>
                <w:szCs w:val="20"/>
              </w:rPr>
              <w:t xml:space="preserve">Authority Required (STREAMLINED) </w:t>
            </w:r>
          </w:p>
        </w:tc>
      </w:tr>
      <w:tr w:rsidR="00546D63" w:rsidRPr="0099114C" w14:paraId="4437E4BA" w14:textId="77777777">
        <w:tblPrEx>
          <w:tblCellMar>
            <w:top w:w="15" w:type="dxa"/>
            <w:left w:w="15" w:type="dxa"/>
            <w:bottom w:w="15" w:type="dxa"/>
            <w:right w:w="15" w:type="dxa"/>
          </w:tblCellMar>
          <w:tblLook w:val="04A0" w:firstRow="1" w:lastRow="0" w:firstColumn="1" w:lastColumn="0" w:noHBand="0" w:noVBand="1"/>
        </w:tblPrEx>
        <w:tc>
          <w:tcPr>
            <w:tcW w:w="981" w:type="dxa"/>
            <w:vMerge w:val="restart"/>
            <w:vAlign w:val="center"/>
          </w:tcPr>
          <w:p w14:paraId="62CDB808" w14:textId="77777777" w:rsidR="00546D63" w:rsidRPr="0099114C" w:rsidRDefault="00546D63">
            <w:pPr>
              <w:jc w:val="center"/>
              <w:rPr>
                <w:rFonts w:ascii="Arial Narrow" w:hAnsi="Arial Narrow"/>
                <w:color w:val="333333"/>
                <w:sz w:val="20"/>
                <w:szCs w:val="20"/>
              </w:rPr>
            </w:pPr>
          </w:p>
        </w:tc>
        <w:tc>
          <w:tcPr>
            <w:tcW w:w="8086" w:type="dxa"/>
            <w:gridSpan w:val="7"/>
            <w:vAlign w:val="center"/>
          </w:tcPr>
          <w:p w14:paraId="0919F77B" w14:textId="77777777" w:rsidR="00546D63" w:rsidRPr="0099114C" w:rsidRDefault="00546D63">
            <w:pPr>
              <w:rPr>
                <w:rFonts w:ascii="Arial Narrow" w:hAnsi="Arial Narrow"/>
                <w:b/>
                <w:bCs/>
                <w:color w:val="BFBFBF" w:themeColor="background1" w:themeShade="BF"/>
                <w:sz w:val="20"/>
                <w:szCs w:val="20"/>
              </w:rPr>
            </w:pPr>
            <w:r w:rsidRPr="0099114C">
              <w:rPr>
                <w:rFonts w:ascii="Arial Narrow" w:hAnsi="Arial Narrow"/>
                <w:b/>
                <w:bCs/>
                <w:color w:val="BFBFBF" w:themeColor="background1" w:themeShade="BF"/>
                <w:sz w:val="20"/>
                <w:szCs w:val="20"/>
              </w:rPr>
              <w:t xml:space="preserve">Episodicity: </w:t>
            </w:r>
            <w:r w:rsidRPr="0099114C">
              <w:rPr>
                <w:rFonts w:ascii="Arial Narrow" w:hAnsi="Arial Narrow"/>
                <w:color w:val="BFBFBF" w:themeColor="background1" w:themeShade="BF"/>
                <w:sz w:val="20"/>
                <w:szCs w:val="20"/>
              </w:rPr>
              <w:t>[blank]</w:t>
            </w:r>
          </w:p>
        </w:tc>
      </w:tr>
      <w:tr w:rsidR="00546D63" w:rsidRPr="0099114C" w14:paraId="51F339E1" w14:textId="77777777">
        <w:tblPrEx>
          <w:tblCellMar>
            <w:top w:w="15" w:type="dxa"/>
            <w:left w:w="15" w:type="dxa"/>
            <w:bottom w:w="15" w:type="dxa"/>
            <w:right w:w="15" w:type="dxa"/>
          </w:tblCellMar>
          <w:tblLook w:val="04A0" w:firstRow="1" w:lastRow="0" w:firstColumn="1" w:lastColumn="0" w:noHBand="0" w:noVBand="1"/>
        </w:tblPrEx>
        <w:tc>
          <w:tcPr>
            <w:tcW w:w="981" w:type="dxa"/>
            <w:vMerge/>
            <w:vAlign w:val="center"/>
          </w:tcPr>
          <w:p w14:paraId="2F4E9281" w14:textId="77777777" w:rsidR="00546D63" w:rsidRPr="0099114C" w:rsidRDefault="00546D63">
            <w:pPr>
              <w:jc w:val="center"/>
              <w:rPr>
                <w:rFonts w:ascii="Arial Narrow" w:hAnsi="Arial Narrow"/>
                <w:color w:val="333333"/>
                <w:sz w:val="20"/>
                <w:szCs w:val="20"/>
              </w:rPr>
            </w:pPr>
          </w:p>
        </w:tc>
        <w:tc>
          <w:tcPr>
            <w:tcW w:w="8086" w:type="dxa"/>
            <w:gridSpan w:val="7"/>
            <w:vAlign w:val="center"/>
          </w:tcPr>
          <w:p w14:paraId="74573E05" w14:textId="77777777" w:rsidR="00546D63" w:rsidRPr="0099114C" w:rsidRDefault="00546D63">
            <w:pPr>
              <w:rPr>
                <w:rFonts w:ascii="Arial Narrow" w:hAnsi="Arial Narrow"/>
                <w:b/>
                <w:bCs/>
                <w:color w:val="BFBFBF" w:themeColor="background1" w:themeShade="BF"/>
                <w:sz w:val="20"/>
                <w:szCs w:val="20"/>
              </w:rPr>
            </w:pPr>
            <w:r w:rsidRPr="0099114C">
              <w:rPr>
                <w:rFonts w:ascii="Arial Narrow" w:hAnsi="Arial Narrow"/>
                <w:b/>
                <w:bCs/>
                <w:color w:val="BFBFBF" w:themeColor="background1" w:themeShade="BF"/>
                <w:sz w:val="20"/>
                <w:szCs w:val="20"/>
              </w:rPr>
              <w:t xml:space="preserve">Severity: </w:t>
            </w:r>
            <w:r w:rsidRPr="0099114C">
              <w:rPr>
                <w:rFonts w:ascii="Arial Narrow" w:hAnsi="Arial Narrow"/>
                <w:bCs/>
                <w:color w:val="BFBFBF" w:themeColor="background1" w:themeShade="BF"/>
                <w:sz w:val="20"/>
                <w:szCs w:val="20"/>
              </w:rPr>
              <w:t xml:space="preserve"> [blank]</w:t>
            </w:r>
          </w:p>
        </w:tc>
      </w:tr>
      <w:tr w:rsidR="00546D63" w:rsidRPr="0099114C" w14:paraId="48BC2ABD" w14:textId="77777777">
        <w:tblPrEx>
          <w:tblCellMar>
            <w:top w:w="15" w:type="dxa"/>
            <w:left w:w="15" w:type="dxa"/>
            <w:bottom w:w="15" w:type="dxa"/>
            <w:right w:w="15" w:type="dxa"/>
          </w:tblCellMar>
          <w:tblLook w:val="04A0" w:firstRow="1" w:lastRow="0" w:firstColumn="1" w:lastColumn="0" w:noHBand="0" w:noVBand="1"/>
        </w:tblPrEx>
        <w:tc>
          <w:tcPr>
            <w:tcW w:w="981" w:type="dxa"/>
            <w:vMerge/>
            <w:vAlign w:val="center"/>
          </w:tcPr>
          <w:p w14:paraId="7B005483" w14:textId="77777777" w:rsidR="00546D63" w:rsidRPr="0099114C" w:rsidRDefault="00546D63">
            <w:pPr>
              <w:jc w:val="center"/>
              <w:rPr>
                <w:rFonts w:ascii="Arial Narrow" w:hAnsi="Arial Narrow"/>
                <w:color w:val="333333"/>
                <w:sz w:val="20"/>
                <w:szCs w:val="20"/>
              </w:rPr>
            </w:pPr>
          </w:p>
        </w:tc>
        <w:tc>
          <w:tcPr>
            <w:tcW w:w="8086" w:type="dxa"/>
            <w:gridSpan w:val="7"/>
            <w:vAlign w:val="center"/>
          </w:tcPr>
          <w:p w14:paraId="56B71562" w14:textId="77777777" w:rsidR="00546D63" w:rsidRPr="0099114C" w:rsidRDefault="00546D63">
            <w:pPr>
              <w:rPr>
                <w:rFonts w:ascii="Arial Narrow" w:hAnsi="Arial Narrow"/>
                <w:b/>
                <w:bCs/>
                <w:color w:val="BFBFBF" w:themeColor="background1" w:themeShade="BF"/>
                <w:sz w:val="20"/>
                <w:szCs w:val="20"/>
              </w:rPr>
            </w:pPr>
            <w:r w:rsidRPr="0099114C">
              <w:rPr>
                <w:rFonts w:ascii="Arial Narrow" w:hAnsi="Arial Narrow"/>
                <w:b/>
                <w:bCs/>
                <w:color w:val="BFBFBF" w:themeColor="background1" w:themeShade="BF"/>
                <w:sz w:val="20"/>
                <w:szCs w:val="20"/>
              </w:rPr>
              <w:t xml:space="preserve">Condition: </w:t>
            </w:r>
            <w:r w:rsidRPr="0099114C">
              <w:rPr>
                <w:rFonts w:ascii="Arial Narrow" w:hAnsi="Arial Narrow"/>
                <w:color w:val="BFBFBF" w:themeColor="background1" w:themeShade="BF"/>
                <w:sz w:val="20"/>
                <w:szCs w:val="20"/>
              </w:rPr>
              <w:t>Anti-neutrophil cytoplasmic autoantibody (ANCA) associated vasculitis</w:t>
            </w:r>
          </w:p>
        </w:tc>
      </w:tr>
      <w:tr w:rsidR="00546D63" w:rsidRPr="0099114C" w14:paraId="175698B2" w14:textId="77777777" w:rsidTr="009E5CCE">
        <w:tblPrEx>
          <w:tblCellMar>
            <w:top w:w="15" w:type="dxa"/>
            <w:left w:w="15" w:type="dxa"/>
            <w:bottom w:w="15" w:type="dxa"/>
            <w:right w:w="15" w:type="dxa"/>
          </w:tblCellMar>
        </w:tblPrEx>
        <w:tc>
          <w:tcPr>
            <w:tcW w:w="981" w:type="dxa"/>
            <w:vAlign w:val="center"/>
          </w:tcPr>
          <w:p w14:paraId="75C08234" w14:textId="6DFA0C29" w:rsidR="00546D63" w:rsidRPr="0099114C" w:rsidRDefault="00546D63">
            <w:pPr>
              <w:jc w:val="center"/>
              <w:rPr>
                <w:rFonts w:ascii="Arial Narrow" w:hAnsi="Arial Narrow"/>
                <w:color w:val="333333"/>
                <w:sz w:val="20"/>
                <w:szCs w:val="20"/>
              </w:rPr>
            </w:pPr>
          </w:p>
        </w:tc>
        <w:tc>
          <w:tcPr>
            <w:tcW w:w="8086" w:type="dxa"/>
            <w:gridSpan w:val="7"/>
            <w:vAlign w:val="center"/>
            <w:hideMark/>
          </w:tcPr>
          <w:p w14:paraId="754FF428" w14:textId="77777777" w:rsidR="00546D63" w:rsidRPr="0099114C" w:rsidRDefault="00546D63">
            <w:pPr>
              <w:rPr>
                <w:rFonts w:ascii="Arial Narrow" w:hAnsi="Arial Narrow"/>
                <w:color w:val="333333"/>
                <w:sz w:val="20"/>
                <w:szCs w:val="20"/>
              </w:rPr>
            </w:pPr>
            <w:r w:rsidRPr="0099114C">
              <w:rPr>
                <w:rFonts w:ascii="Arial Narrow" w:hAnsi="Arial Narrow"/>
                <w:b/>
                <w:bCs/>
                <w:color w:val="333333"/>
                <w:sz w:val="20"/>
                <w:szCs w:val="20"/>
              </w:rPr>
              <w:t>Indication:</w:t>
            </w:r>
            <w:r w:rsidRPr="0099114C">
              <w:rPr>
                <w:rFonts w:ascii="Arial Narrow" w:hAnsi="Arial Narrow"/>
                <w:color w:val="333333"/>
                <w:sz w:val="20"/>
                <w:szCs w:val="20"/>
              </w:rPr>
              <w:t xml:space="preserve"> Anti-neutrophil cytoplasmic autoantibody (ANCA) associated vasculitis </w:t>
            </w:r>
          </w:p>
        </w:tc>
      </w:tr>
      <w:tr w:rsidR="00546D63" w:rsidRPr="0099114C" w14:paraId="1F49B7FF" w14:textId="77777777">
        <w:tblPrEx>
          <w:tblCellMar>
            <w:top w:w="15" w:type="dxa"/>
            <w:left w:w="15" w:type="dxa"/>
            <w:bottom w:w="15" w:type="dxa"/>
            <w:right w:w="15" w:type="dxa"/>
          </w:tblCellMar>
          <w:tblLook w:val="04A0" w:firstRow="1" w:lastRow="0" w:firstColumn="1" w:lastColumn="0" w:noHBand="0" w:noVBand="1"/>
        </w:tblPrEx>
        <w:tc>
          <w:tcPr>
            <w:tcW w:w="981" w:type="dxa"/>
            <w:vAlign w:val="center"/>
          </w:tcPr>
          <w:p w14:paraId="702CA95F" w14:textId="77777777" w:rsidR="00546D63" w:rsidRPr="0099114C" w:rsidRDefault="00546D63">
            <w:pPr>
              <w:jc w:val="center"/>
              <w:rPr>
                <w:rFonts w:ascii="Arial Narrow" w:hAnsi="Arial Narrow"/>
                <w:color w:val="333333"/>
                <w:sz w:val="20"/>
                <w:szCs w:val="20"/>
              </w:rPr>
            </w:pPr>
          </w:p>
        </w:tc>
        <w:tc>
          <w:tcPr>
            <w:tcW w:w="8086" w:type="dxa"/>
            <w:gridSpan w:val="7"/>
            <w:vAlign w:val="center"/>
          </w:tcPr>
          <w:p w14:paraId="7C6A9100" w14:textId="77777777" w:rsidR="00546D63" w:rsidRPr="0099114C" w:rsidRDefault="00546D63">
            <w:pPr>
              <w:rPr>
                <w:rFonts w:ascii="Arial Narrow" w:hAnsi="Arial Narrow"/>
                <w:b/>
                <w:bCs/>
                <w:color w:val="333333"/>
                <w:sz w:val="20"/>
                <w:szCs w:val="20"/>
              </w:rPr>
            </w:pPr>
          </w:p>
        </w:tc>
      </w:tr>
      <w:tr w:rsidR="00546D63" w:rsidRPr="0099114C" w14:paraId="7CFDC4B4" w14:textId="77777777">
        <w:tblPrEx>
          <w:tblCellMar>
            <w:top w:w="15" w:type="dxa"/>
            <w:left w:w="15" w:type="dxa"/>
            <w:bottom w:w="15" w:type="dxa"/>
            <w:right w:w="15" w:type="dxa"/>
          </w:tblCellMar>
          <w:tblLook w:val="04A0" w:firstRow="1" w:lastRow="0" w:firstColumn="1" w:lastColumn="0" w:noHBand="0" w:noVBand="1"/>
        </w:tblPrEx>
        <w:tc>
          <w:tcPr>
            <w:tcW w:w="981" w:type="dxa"/>
            <w:vAlign w:val="center"/>
          </w:tcPr>
          <w:p w14:paraId="6A246303" w14:textId="2CB17662" w:rsidR="00546D63" w:rsidRPr="0099114C" w:rsidRDefault="00546D63">
            <w:pPr>
              <w:jc w:val="center"/>
              <w:rPr>
                <w:rFonts w:ascii="Arial Narrow" w:hAnsi="Arial Narrow"/>
                <w:color w:val="333333"/>
                <w:sz w:val="20"/>
                <w:szCs w:val="20"/>
              </w:rPr>
            </w:pPr>
          </w:p>
        </w:tc>
        <w:tc>
          <w:tcPr>
            <w:tcW w:w="8086" w:type="dxa"/>
            <w:gridSpan w:val="7"/>
            <w:vAlign w:val="center"/>
          </w:tcPr>
          <w:p w14:paraId="10F75ED5" w14:textId="77777777" w:rsidR="00546D63" w:rsidRPr="0099114C" w:rsidRDefault="00546D63">
            <w:pPr>
              <w:rPr>
                <w:rFonts w:ascii="Arial Narrow" w:hAnsi="Arial Narrow"/>
                <w:b/>
                <w:bCs/>
                <w:color w:val="333333"/>
                <w:sz w:val="20"/>
                <w:szCs w:val="20"/>
              </w:rPr>
            </w:pPr>
            <w:r w:rsidRPr="0099114C">
              <w:rPr>
                <w:rFonts w:ascii="Arial Narrow" w:hAnsi="Arial Narrow"/>
                <w:b/>
                <w:bCs/>
                <w:color w:val="333333"/>
                <w:sz w:val="20"/>
                <w:szCs w:val="20"/>
              </w:rPr>
              <w:t xml:space="preserve">Treatment phase: </w:t>
            </w:r>
            <w:r w:rsidRPr="0099114C">
              <w:rPr>
                <w:rFonts w:ascii="Arial Narrow" w:hAnsi="Arial Narrow" w:cstheme="minorHAnsi"/>
                <w:bCs/>
                <w:sz w:val="20"/>
                <w:szCs w:val="20"/>
              </w:rPr>
              <w:t xml:space="preserve">Induction </w:t>
            </w:r>
            <w:r w:rsidRPr="0099114C">
              <w:rPr>
                <w:rFonts w:ascii="Arial Narrow" w:hAnsi="Arial Narrow" w:cstheme="minorHAnsi"/>
                <w:bCs/>
                <w:strike/>
                <w:sz w:val="20"/>
                <w:szCs w:val="20"/>
              </w:rPr>
              <w:t>or</w:t>
            </w:r>
            <w:r w:rsidRPr="0099114C">
              <w:rPr>
                <w:rFonts w:ascii="Arial Narrow" w:hAnsi="Arial Narrow" w:cstheme="minorHAnsi"/>
                <w:bCs/>
                <w:i/>
                <w:iCs/>
                <w:sz w:val="20"/>
                <w:szCs w:val="20"/>
              </w:rPr>
              <w:t>,</w:t>
            </w:r>
            <w:r w:rsidRPr="0099114C">
              <w:rPr>
                <w:rFonts w:ascii="Arial Narrow" w:hAnsi="Arial Narrow" w:cstheme="minorHAnsi"/>
                <w:bCs/>
                <w:sz w:val="20"/>
                <w:szCs w:val="20"/>
              </w:rPr>
              <w:t xml:space="preserve"> reinduction or maintenance of remission</w:t>
            </w:r>
          </w:p>
        </w:tc>
      </w:tr>
      <w:tr w:rsidR="00546D63" w:rsidRPr="0099114C" w14:paraId="06D58B7A" w14:textId="77777777">
        <w:tblPrEx>
          <w:tblCellMar>
            <w:top w:w="15" w:type="dxa"/>
            <w:left w:w="15" w:type="dxa"/>
            <w:bottom w:w="15" w:type="dxa"/>
            <w:right w:w="15" w:type="dxa"/>
          </w:tblCellMar>
          <w:tblLook w:val="04A0" w:firstRow="1" w:lastRow="0" w:firstColumn="1" w:lastColumn="0" w:noHBand="0" w:noVBand="1"/>
        </w:tblPrEx>
        <w:tc>
          <w:tcPr>
            <w:tcW w:w="981" w:type="dxa"/>
            <w:vAlign w:val="center"/>
          </w:tcPr>
          <w:p w14:paraId="2E70177E" w14:textId="77777777" w:rsidR="00546D63" w:rsidRPr="0099114C" w:rsidRDefault="00546D63">
            <w:pPr>
              <w:jc w:val="center"/>
              <w:rPr>
                <w:rFonts w:ascii="Arial Narrow" w:hAnsi="Arial Narrow"/>
                <w:color w:val="333333"/>
                <w:sz w:val="20"/>
                <w:szCs w:val="20"/>
              </w:rPr>
            </w:pPr>
          </w:p>
        </w:tc>
        <w:tc>
          <w:tcPr>
            <w:tcW w:w="8086" w:type="dxa"/>
            <w:gridSpan w:val="7"/>
            <w:vAlign w:val="center"/>
          </w:tcPr>
          <w:p w14:paraId="1D41F80B" w14:textId="77777777" w:rsidR="00546D63" w:rsidRPr="0099114C" w:rsidRDefault="00546D63">
            <w:pPr>
              <w:rPr>
                <w:rFonts w:ascii="Arial Narrow" w:hAnsi="Arial Narrow"/>
                <w:b/>
                <w:bCs/>
                <w:color w:val="333333"/>
                <w:sz w:val="20"/>
                <w:szCs w:val="20"/>
              </w:rPr>
            </w:pPr>
          </w:p>
        </w:tc>
      </w:tr>
      <w:tr w:rsidR="00546D63" w:rsidRPr="0099114C" w14:paraId="642AB152" w14:textId="77777777" w:rsidTr="009E5CCE">
        <w:tblPrEx>
          <w:tblCellMar>
            <w:top w:w="15" w:type="dxa"/>
            <w:left w:w="15" w:type="dxa"/>
            <w:bottom w:w="15" w:type="dxa"/>
            <w:right w:w="15" w:type="dxa"/>
          </w:tblCellMar>
        </w:tblPrEx>
        <w:tc>
          <w:tcPr>
            <w:tcW w:w="981" w:type="dxa"/>
            <w:vAlign w:val="center"/>
          </w:tcPr>
          <w:p w14:paraId="495473C1" w14:textId="2F176040" w:rsidR="00546D63" w:rsidRPr="0099114C" w:rsidRDefault="00546D63">
            <w:pPr>
              <w:jc w:val="center"/>
              <w:rPr>
                <w:rFonts w:ascii="Arial Narrow" w:hAnsi="Arial Narrow"/>
                <w:color w:val="333333"/>
                <w:sz w:val="20"/>
                <w:szCs w:val="20"/>
              </w:rPr>
            </w:pPr>
          </w:p>
        </w:tc>
        <w:tc>
          <w:tcPr>
            <w:tcW w:w="8086" w:type="dxa"/>
            <w:gridSpan w:val="7"/>
            <w:vAlign w:val="center"/>
            <w:hideMark/>
          </w:tcPr>
          <w:p w14:paraId="47E981F0" w14:textId="77777777" w:rsidR="00546D63" w:rsidRPr="0099114C" w:rsidRDefault="00546D63">
            <w:pPr>
              <w:rPr>
                <w:rFonts w:ascii="Arial Narrow" w:hAnsi="Arial Narrow"/>
                <w:color w:val="333333"/>
                <w:sz w:val="20"/>
                <w:szCs w:val="20"/>
              </w:rPr>
            </w:pPr>
            <w:r w:rsidRPr="0099114C">
              <w:rPr>
                <w:rFonts w:ascii="Arial Narrow" w:hAnsi="Arial Narrow"/>
                <w:b/>
                <w:bCs/>
                <w:color w:val="333333"/>
                <w:sz w:val="20"/>
                <w:szCs w:val="20"/>
              </w:rPr>
              <w:t>Clinical criteria:</w:t>
            </w:r>
          </w:p>
        </w:tc>
      </w:tr>
      <w:tr w:rsidR="00546D63" w:rsidRPr="0099114C" w14:paraId="77DAE2A8" w14:textId="77777777" w:rsidTr="009E5CCE">
        <w:tblPrEx>
          <w:tblCellMar>
            <w:top w:w="15" w:type="dxa"/>
            <w:left w:w="15" w:type="dxa"/>
            <w:bottom w:w="15" w:type="dxa"/>
            <w:right w:w="15" w:type="dxa"/>
          </w:tblCellMar>
        </w:tblPrEx>
        <w:tc>
          <w:tcPr>
            <w:tcW w:w="981" w:type="dxa"/>
            <w:vAlign w:val="center"/>
          </w:tcPr>
          <w:p w14:paraId="54E18E86" w14:textId="2ED43824" w:rsidR="00546D63" w:rsidRPr="0099114C" w:rsidRDefault="00546D63">
            <w:pPr>
              <w:jc w:val="center"/>
              <w:rPr>
                <w:rFonts w:ascii="Arial Narrow" w:hAnsi="Arial Narrow"/>
                <w:color w:val="333333"/>
                <w:sz w:val="20"/>
                <w:szCs w:val="20"/>
              </w:rPr>
            </w:pPr>
          </w:p>
        </w:tc>
        <w:tc>
          <w:tcPr>
            <w:tcW w:w="8086" w:type="dxa"/>
            <w:gridSpan w:val="7"/>
            <w:vAlign w:val="center"/>
            <w:hideMark/>
          </w:tcPr>
          <w:p w14:paraId="6C258E8F" w14:textId="77777777" w:rsidR="00546D63" w:rsidRPr="0099114C" w:rsidRDefault="00546D63">
            <w:pPr>
              <w:rPr>
                <w:rFonts w:ascii="Arial Narrow" w:hAnsi="Arial Narrow"/>
                <w:color w:val="333333"/>
                <w:sz w:val="20"/>
                <w:szCs w:val="20"/>
              </w:rPr>
            </w:pPr>
            <w:r w:rsidRPr="0099114C">
              <w:rPr>
                <w:rFonts w:ascii="Arial Narrow" w:hAnsi="Arial Narrow" w:cs="Arial Narrow"/>
                <w:sz w:val="20"/>
                <w:szCs w:val="20"/>
              </w:rPr>
              <w:t>The condition must be severe granulomatosis with polyangiitis; or</w:t>
            </w:r>
          </w:p>
        </w:tc>
      </w:tr>
      <w:tr w:rsidR="00546D63" w:rsidRPr="0099114C" w14:paraId="469A9D99" w14:textId="77777777">
        <w:tblPrEx>
          <w:tblCellMar>
            <w:top w:w="15" w:type="dxa"/>
            <w:left w:w="15" w:type="dxa"/>
            <w:bottom w:w="15" w:type="dxa"/>
            <w:right w:w="15" w:type="dxa"/>
          </w:tblCellMar>
          <w:tblLook w:val="04A0" w:firstRow="1" w:lastRow="0" w:firstColumn="1" w:lastColumn="0" w:noHBand="0" w:noVBand="1"/>
        </w:tblPrEx>
        <w:tc>
          <w:tcPr>
            <w:tcW w:w="981" w:type="dxa"/>
            <w:vAlign w:val="center"/>
          </w:tcPr>
          <w:p w14:paraId="233637A7" w14:textId="1E7A7C18" w:rsidR="00546D63" w:rsidRPr="0099114C" w:rsidRDefault="00546D63">
            <w:pPr>
              <w:jc w:val="center"/>
              <w:rPr>
                <w:rFonts w:ascii="Arial Narrow" w:hAnsi="Arial Narrow"/>
                <w:color w:val="333333"/>
                <w:sz w:val="20"/>
                <w:szCs w:val="20"/>
              </w:rPr>
            </w:pPr>
          </w:p>
        </w:tc>
        <w:tc>
          <w:tcPr>
            <w:tcW w:w="8086" w:type="dxa"/>
            <w:gridSpan w:val="7"/>
            <w:vAlign w:val="center"/>
          </w:tcPr>
          <w:p w14:paraId="7201B571" w14:textId="77777777" w:rsidR="00546D63" w:rsidRPr="0099114C" w:rsidRDefault="00546D63">
            <w:pPr>
              <w:rPr>
                <w:rFonts w:ascii="Arial Narrow" w:hAnsi="Arial Narrow" w:cs="Arial Narrow"/>
                <w:sz w:val="20"/>
                <w:szCs w:val="20"/>
              </w:rPr>
            </w:pPr>
            <w:r w:rsidRPr="0099114C">
              <w:rPr>
                <w:rFonts w:ascii="Arial Narrow" w:hAnsi="Arial Narrow" w:cs="Arial Narrow"/>
                <w:sz w:val="20"/>
                <w:szCs w:val="20"/>
              </w:rPr>
              <w:t xml:space="preserve">The condition must be severe microscopic polyangiitis </w:t>
            </w:r>
          </w:p>
        </w:tc>
      </w:tr>
      <w:tr w:rsidR="00546D63" w:rsidRPr="0099114C" w14:paraId="09CB462A" w14:textId="77777777">
        <w:tblPrEx>
          <w:tblCellMar>
            <w:top w:w="15" w:type="dxa"/>
            <w:left w:w="15" w:type="dxa"/>
            <w:bottom w:w="15" w:type="dxa"/>
            <w:right w:w="15" w:type="dxa"/>
          </w:tblCellMar>
          <w:tblLook w:val="04A0" w:firstRow="1" w:lastRow="0" w:firstColumn="1" w:lastColumn="0" w:noHBand="0" w:noVBand="1"/>
        </w:tblPrEx>
        <w:tc>
          <w:tcPr>
            <w:tcW w:w="981" w:type="dxa"/>
            <w:vAlign w:val="center"/>
          </w:tcPr>
          <w:p w14:paraId="349CBFA3" w14:textId="77777777" w:rsidR="00546D63" w:rsidRPr="0099114C" w:rsidRDefault="00546D63">
            <w:pPr>
              <w:jc w:val="center"/>
              <w:rPr>
                <w:rFonts w:ascii="Arial Narrow" w:hAnsi="Arial Narrow"/>
                <w:color w:val="333333"/>
                <w:sz w:val="20"/>
                <w:szCs w:val="20"/>
              </w:rPr>
            </w:pPr>
          </w:p>
        </w:tc>
        <w:tc>
          <w:tcPr>
            <w:tcW w:w="8086" w:type="dxa"/>
            <w:gridSpan w:val="7"/>
            <w:vAlign w:val="center"/>
          </w:tcPr>
          <w:p w14:paraId="7C70ADDF" w14:textId="77777777" w:rsidR="00546D63" w:rsidRPr="0099114C" w:rsidRDefault="00546D63">
            <w:pPr>
              <w:rPr>
                <w:rFonts w:ascii="Arial Narrow" w:hAnsi="Arial Narrow" w:cs="Arial Narrow"/>
                <w:b/>
                <w:bCs/>
                <w:sz w:val="20"/>
                <w:szCs w:val="20"/>
              </w:rPr>
            </w:pPr>
            <w:r w:rsidRPr="0099114C">
              <w:rPr>
                <w:rFonts w:ascii="Arial Narrow" w:hAnsi="Arial Narrow" w:cs="Arial Narrow"/>
                <w:b/>
                <w:bCs/>
                <w:sz w:val="20"/>
                <w:szCs w:val="20"/>
              </w:rPr>
              <w:t>AND</w:t>
            </w:r>
          </w:p>
        </w:tc>
      </w:tr>
      <w:tr w:rsidR="00546D63" w:rsidRPr="0099114C" w14:paraId="65CC17D6" w14:textId="77777777">
        <w:tblPrEx>
          <w:tblCellMar>
            <w:top w:w="15" w:type="dxa"/>
            <w:left w:w="15" w:type="dxa"/>
            <w:bottom w:w="15" w:type="dxa"/>
            <w:right w:w="15" w:type="dxa"/>
          </w:tblCellMar>
          <w:tblLook w:val="04A0" w:firstRow="1" w:lastRow="0" w:firstColumn="1" w:lastColumn="0" w:noHBand="0" w:noVBand="1"/>
        </w:tblPrEx>
        <w:tc>
          <w:tcPr>
            <w:tcW w:w="981" w:type="dxa"/>
            <w:vAlign w:val="center"/>
          </w:tcPr>
          <w:p w14:paraId="564F805D" w14:textId="5BF77557" w:rsidR="00546D63" w:rsidRPr="0099114C" w:rsidRDefault="00546D63">
            <w:pPr>
              <w:jc w:val="center"/>
              <w:rPr>
                <w:rFonts w:ascii="Arial Narrow" w:hAnsi="Arial Narrow"/>
                <w:color w:val="333333"/>
                <w:sz w:val="20"/>
                <w:szCs w:val="20"/>
              </w:rPr>
            </w:pPr>
          </w:p>
        </w:tc>
        <w:tc>
          <w:tcPr>
            <w:tcW w:w="8086" w:type="dxa"/>
            <w:gridSpan w:val="7"/>
            <w:vAlign w:val="center"/>
          </w:tcPr>
          <w:p w14:paraId="42FC5816" w14:textId="77777777" w:rsidR="00546D63" w:rsidRPr="0099114C" w:rsidRDefault="00546D63">
            <w:pPr>
              <w:rPr>
                <w:rFonts w:ascii="Arial Narrow" w:hAnsi="Arial Narrow" w:cs="Arial Narrow"/>
                <w:sz w:val="20"/>
                <w:szCs w:val="20"/>
              </w:rPr>
            </w:pPr>
            <w:r w:rsidRPr="0099114C">
              <w:rPr>
                <w:rFonts w:ascii="Arial Narrow" w:hAnsi="Arial Narrow"/>
                <w:b/>
                <w:bCs/>
                <w:color w:val="333333"/>
                <w:sz w:val="20"/>
                <w:szCs w:val="20"/>
              </w:rPr>
              <w:t>Clinical criteria:</w:t>
            </w:r>
          </w:p>
        </w:tc>
      </w:tr>
      <w:tr w:rsidR="00546D63" w:rsidRPr="0099114C" w14:paraId="552E288A" w14:textId="77777777">
        <w:tblPrEx>
          <w:tblCellMar>
            <w:top w:w="15" w:type="dxa"/>
            <w:left w:w="15" w:type="dxa"/>
            <w:bottom w:w="15" w:type="dxa"/>
            <w:right w:w="15" w:type="dxa"/>
          </w:tblCellMar>
          <w:tblLook w:val="04A0" w:firstRow="1" w:lastRow="0" w:firstColumn="1" w:lastColumn="0" w:noHBand="0" w:noVBand="1"/>
        </w:tblPrEx>
        <w:tc>
          <w:tcPr>
            <w:tcW w:w="981" w:type="dxa"/>
            <w:vAlign w:val="center"/>
          </w:tcPr>
          <w:p w14:paraId="61BB5065" w14:textId="3F5D7587" w:rsidR="00546D63" w:rsidRPr="0099114C" w:rsidRDefault="00546D63">
            <w:pPr>
              <w:jc w:val="center"/>
              <w:rPr>
                <w:rFonts w:ascii="Arial Narrow" w:hAnsi="Arial Narrow"/>
                <w:color w:val="333333"/>
                <w:sz w:val="20"/>
                <w:szCs w:val="20"/>
              </w:rPr>
            </w:pPr>
          </w:p>
        </w:tc>
        <w:tc>
          <w:tcPr>
            <w:tcW w:w="8086" w:type="dxa"/>
            <w:gridSpan w:val="7"/>
            <w:vAlign w:val="center"/>
          </w:tcPr>
          <w:p w14:paraId="6A0822DB" w14:textId="77777777" w:rsidR="00546D63" w:rsidRPr="0099114C" w:rsidRDefault="00546D63">
            <w:pPr>
              <w:rPr>
                <w:rFonts w:ascii="Arial Narrow" w:hAnsi="Arial Narrow" w:cs="Arial Narrow"/>
                <w:sz w:val="20"/>
                <w:szCs w:val="20"/>
              </w:rPr>
            </w:pPr>
            <w:r w:rsidRPr="0099114C">
              <w:rPr>
                <w:rFonts w:ascii="Arial Narrow" w:hAnsi="Arial Narrow" w:cs="Arial Narrow"/>
                <w:sz w:val="20"/>
                <w:szCs w:val="20"/>
              </w:rPr>
              <w:t>The condition must be active at the time of the first prescription for this drug</w:t>
            </w:r>
          </w:p>
        </w:tc>
      </w:tr>
      <w:tr w:rsidR="00546D63" w:rsidRPr="0099114C" w14:paraId="3A2BF5B1" w14:textId="77777777">
        <w:tblPrEx>
          <w:tblCellMar>
            <w:top w:w="15" w:type="dxa"/>
            <w:left w:w="15" w:type="dxa"/>
            <w:bottom w:w="15" w:type="dxa"/>
            <w:right w:w="15" w:type="dxa"/>
          </w:tblCellMar>
          <w:tblLook w:val="04A0" w:firstRow="1" w:lastRow="0" w:firstColumn="1" w:lastColumn="0" w:noHBand="0" w:noVBand="1"/>
        </w:tblPrEx>
        <w:tc>
          <w:tcPr>
            <w:tcW w:w="981" w:type="dxa"/>
            <w:vAlign w:val="center"/>
          </w:tcPr>
          <w:p w14:paraId="66D60F12" w14:textId="77777777" w:rsidR="00546D63" w:rsidRPr="0099114C" w:rsidRDefault="00546D63">
            <w:pPr>
              <w:jc w:val="center"/>
              <w:rPr>
                <w:rFonts w:ascii="Arial Narrow" w:hAnsi="Arial Narrow"/>
                <w:i/>
                <w:iCs/>
                <w:color w:val="333333"/>
                <w:sz w:val="20"/>
                <w:szCs w:val="20"/>
              </w:rPr>
            </w:pPr>
          </w:p>
        </w:tc>
        <w:tc>
          <w:tcPr>
            <w:tcW w:w="8086" w:type="dxa"/>
            <w:gridSpan w:val="7"/>
            <w:vAlign w:val="center"/>
          </w:tcPr>
          <w:p w14:paraId="3D0D16AE" w14:textId="77777777" w:rsidR="00546D63" w:rsidRPr="0099114C" w:rsidRDefault="00546D63">
            <w:pPr>
              <w:rPr>
                <w:rFonts w:ascii="Arial Narrow" w:hAnsi="Arial Narrow"/>
                <w:i/>
                <w:iCs/>
                <w:color w:val="333333"/>
                <w:sz w:val="20"/>
                <w:szCs w:val="20"/>
              </w:rPr>
            </w:pPr>
          </w:p>
        </w:tc>
      </w:tr>
      <w:tr w:rsidR="00546D63" w:rsidRPr="0099114C" w14:paraId="74B677A5" w14:textId="77777777">
        <w:tblPrEx>
          <w:tblCellMar>
            <w:top w:w="15" w:type="dxa"/>
            <w:left w:w="15" w:type="dxa"/>
            <w:bottom w:w="15" w:type="dxa"/>
            <w:right w:w="15" w:type="dxa"/>
          </w:tblCellMar>
          <w:tblLook w:val="04A0" w:firstRow="1" w:lastRow="0" w:firstColumn="1" w:lastColumn="0" w:noHBand="0" w:noVBand="1"/>
        </w:tblPrEx>
        <w:tc>
          <w:tcPr>
            <w:tcW w:w="981" w:type="dxa"/>
            <w:vAlign w:val="center"/>
          </w:tcPr>
          <w:p w14:paraId="437D5108" w14:textId="7F729D99" w:rsidR="00546D63" w:rsidRPr="0099114C" w:rsidRDefault="00546D63">
            <w:pPr>
              <w:jc w:val="center"/>
              <w:rPr>
                <w:rFonts w:ascii="Arial Narrow" w:hAnsi="Arial Narrow"/>
                <w:color w:val="333333"/>
                <w:sz w:val="20"/>
                <w:szCs w:val="20"/>
              </w:rPr>
            </w:pPr>
          </w:p>
        </w:tc>
        <w:tc>
          <w:tcPr>
            <w:tcW w:w="8086" w:type="dxa"/>
            <w:gridSpan w:val="7"/>
            <w:vAlign w:val="center"/>
          </w:tcPr>
          <w:p w14:paraId="399A6F8E" w14:textId="77777777" w:rsidR="00546D63" w:rsidRPr="0099114C" w:rsidRDefault="00546D63">
            <w:pPr>
              <w:rPr>
                <w:rFonts w:ascii="Arial Narrow" w:hAnsi="Arial Narrow"/>
                <w:color w:val="333333"/>
                <w:sz w:val="20"/>
                <w:szCs w:val="20"/>
              </w:rPr>
            </w:pPr>
            <w:r w:rsidRPr="0099114C">
              <w:rPr>
                <w:rFonts w:ascii="Arial Narrow" w:hAnsi="Arial Narrow"/>
                <w:b/>
                <w:bCs/>
                <w:color w:val="333333"/>
                <w:sz w:val="20"/>
                <w:szCs w:val="20"/>
              </w:rPr>
              <w:t>Treatment criteria:</w:t>
            </w:r>
          </w:p>
        </w:tc>
      </w:tr>
      <w:tr w:rsidR="00546D63" w:rsidRPr="0099114C" w14:paraId="485E0252" w14:textId="77777777">
        <w:tblPrEx>
          <w:tblCellMar>
            <w:top w:w="15" w:type="dxa"/>
            <w:left w:w="15" w:type="dxa"/>
            <w:bottom w:w="15" w:type="dxa"/>
            <w:right w:w="15" w:type="dxa"/>
          </w:tblCellMar>
          <w:tblLook w:val="04A0" w:firstRow="1" w:lastRow="0" w:firstColumn="1" w:lastColumn="0" w:noHBand="0" w:noVBand="1"/>
        </w:tblPrEx>
        <w:tc>
          <w:tcPr>
            <w:tcW w:w="981" w:type="dxa"/>
            <w:vAlign w:val="center"/>
          </w:tcPr>
          <w:p w14:paraId="1718E5B6" w14:textId="6B14E373" w:rsidR="00546D63" w:rsidRPr="0099114C" w:rsidRDefault="00546D63">
            <w:pPr>
              <w:jc w:val="center"/>
              <w:rPr>
                <w:rFonts w:ascii="Arial Narrow" w:hAnsi="Arial Narrow"/>
                <w:i/>
                <w:iCs/>
                <w:color w:val="333333"/>
                <w:sz w:val="20"/>
                <w:szCs w:val="20"/>
              </w:rPr>
            </w:pPr>
          </w:p>
        </w:tc>
        <w:tc>
          <w:tcPr>
            <w:tcW w:w="8086" w:type="dxa"/>
            <w:gridSpan w:val="7"/>
            <w:vAlign w:val="center"/>
          </w:tcPr>
          <w:p w14:paraId="313138D5" w14:textId="77777777" w:rsidR="00546D63" w:rsidRPr="0099114C" w:rsidRDefault="00546D63">
            <w:pPr>
              <w:rPr>
                <w:rFonts w:ascii="Arial Narrow" w:hAnsi="Arial Narrow" w:cs="Arial Narrow"/>
                <w:sz w:val="20"/>
                <w:szCs w:val="20"/>
              </w:rPr>
            </w:pPr>
            <w:r w:rsidRPr="0099114C">
              <w:rPr>
                <w:rFonts w:ascii="Arial Narrow" w:hAnsi="Arial Narrow" w:cs="Arial Narrow"/>
                <w:i/>
                <w:iCs/>
                <w:sz w:val="20"/>
                <w:szCs w:val="20"/>
              </w:rPr>
              <w:t>Patient must be at risk of end-organ damage or mortality</w:t>
            </w:r>
          </w:p>
        </w:tc>
      </w:tr>
      <w:tr w:rsidR="00546D63" w:rsidRPr="0099114C" w14:paraId="5BFB14E6" w14:textId="77777777">
        <w:tblPrEx>
          <w:tblCellMar>
            <w:top w:w="15" w:type="dxa"/>
            <w:left w:w="15" w:type="dxa"/>
            <w:bottom w:w="15" w:type="dxa"/>
            <w:right w:w="15" w:type="dxa"/>
          </w:tblCellMar>
          <w:tblLook w:val="04A0" w:firstRow="1" w:lastRow="0" w:firstColumn="1" w:lastColumn="0" w:noHBand="0" w:noVBand="1"/>
        </w:tblPrEx>
        <w:tc>
          <w:tcPr>
            <w:tcW w:w="981" w:type="dxa"/>
            <w:vAlign w:val="center"/>
          </w:tcPr>
          <w:p w14:paraId="598BCD71" w14:textId="1B66B023" w:rsidR="00546D63" w:rsidRPr="0099114C" w:rsidRDefault="00546D63">
            <w:pPr>
              <w:jc w:val="center"/>
              <w:rPr>
                <w:rFonts w:ascii="Arial Narrow" w:hAnsi="Arial Narrow"/>
                <w:color w:val="333333"/>
                <w:sz w:val="20"/>
                <w:szCs w:val="20"/>
              </w:rPr>
            </w:pPr>
          </w:p>
        </w:tc>
        <w:tc>
          <w:tcPr>
            <w:tcW w:w="8086" w:type="dxa"/>
            <w:gridSpan w:val="7"/>
            <w:vAlign w:val="center"/>
          </w:tcPr>
          <w:p w14:paraId="63555718" w14:textId="77777777" w:rsidR="00546D63" w:rsidRPr="0099114C" w:rsidRDefault="00546D63">
            <w:pPr>
              <w:rPr>
                <w:rFonts w:ascii="Arial Narrow" w:hAnsi="Arial Narrow"/>
                <w:color w:val="333333"/>
                <w:sz w:val="20"/>
                <w:szCs w:val="20"/>
              </w:rPr>
            </w:pPr>
            <w:r w:rsidRPr="0099114C">
              <w:rPr>
                <w:rFonts w:ascii="Arial Narrow" w:hAnsi="Arial Narrow" w:cs="Arial Narrow"/>
                <w:sz w:val="20"/>
                <w:szCs w:val="20"/>
              </w:rPr>
              <w:t xml:space="preserve">Patient must be undergoing concomitant therapy with at least another drug therapy as part of a regimen specified in this drug’s approved Product Information </w:t>
            </w:r>
            <w:r w:rsidRPr="0099114C">
              <w:rPr>
                <w:rFonts w:ascii="Arial Narrow" w:hAnsi="Arial Narrow"/>
                <w:color w:val="333333"/>
                <w:sz w:val="20"/>
                <w:szCs w:val="20"/>
              </w:rPr>
              <w:t>including either: i) cyclophosphamide; ii) rituximab</w:t>
            </w:r>
          </w:p>
        </w:tc>
      </w:tr>
      <w:tr w:rsidR="00546D63" w:rsidRPr="0099114C" w14:paraId="68BFEB43" w14:textId="77777777">
        <w:tblPrEx>
          <w:tblCellMar>
            <w:top w:w="15" w:type="dxa"/>
            <w:left w:w="15" w:type="dxa"/>
            <w:bottom w:w="15" w:type="dxa"/>
            <w:right w:w="15" w:type="dxa"/>
          </w:tblCellMar>
          <w:tblLook w:val="04A0" w:firstRow="1" w:lastRow="0" w:firstColumn="1" w:lastColumn="0" w:noHBand="0" w:noVBand="1"/>
        </w:tblPrEx>
        <w:tc>
          <w:tcPr>
            <w:tcW w:w="981" w:type="dxa"/>
            <w:vAlign w:val="center"/>
          </w:tcPr>
          <w:p w14:paraId="4A5DABF2" w14:textId="77777777" w:rsidR="00546D63" w:rsidRPr="0099114C" w:rsidRDefault="00546D63">
            <w:pPr>
              <w:jc w:val="center"/>
              <w:rPr>
                <w:rFonts w:ascii="Arial Narrow" w:hAnsi="Arial Narrow"/>
                <w:i/>
                <w:iCs/>
                <w:color w:val="333333"/>
                <w:sz w:val="20"/>
                <w:szCs w:val="20"/>
              </w:rPr>
            </w:pPr>
          </w:p>
        </w:tc>
        <w:tc>
          <w:tcPr>
            <w:tcW w:w="8086" w:type="dxa"/>
            <w:gridSpan w:val="7"/>
            <w:vAlign w:val="center"/>
          </w:tcPr>
          <w:p w14:paraId="069A4E71" w14:textId="77777777" w:rsidR="00546D63" w:rsidRPr="0099114C" w:rsidRDefault="00546D63">
            <w:pPr>
              <w:rPr>
                <w:rFonts w:ascii="Arial Narrow" w:hAnsi="Arial Narrow"/>
                <w:b/>
                <w:bCs/>
                <w:color w:val="333333"/>
                <w:sz w:val="20"/>
                <w:szCs w:val="20"/>
              </w:rPr>
            </w:pPr>
            <w:r w:rsidRPr="0099114C">
              <w:rPr>
                <w:rFonts w:ascii="Arial Narrow" w:hAnsi="Arial Narrow"/>
                <w:b/>
                <w:bCs/>
                <w:color w:val="333333"/>
                <w:sz w:val="20"/>
                <w:szCs w:val="20"/>
              </w:rPr>
              <w:t>AND</w:t>
            </w:r>
          </w:p>
        </w:tc>
      </w:tr>
      <w:tr w:rsidR="00546D63" w:rsidRPr="0099114C" w14:paraId="3F981A59" w14:textId="77777777">
        <w:tblPrEx>
          <w:tblCellMar>
            <w:top w:w="15" w:type="dxa"/>
            <w:left w:w="15" w:type="dxa"/>
            <w:bottom w:w="15" w:type="dxa"/>
            <w:right w:w="15" w:type="dxa"/>
          </w:tblCellMar>
          <w:tblLook w:val="04A0" w:firstRow="1" w:lastRow="0" w:firstColumn="1" w:lastColumn="0" w:noHBand="0" w:noVBand="1"/>
        </w:tblPrEx>
        <w:tc>
          <w:tcPr>
            <w:tcW w:w="981" w:type="dxa"/>
            <w:vAlign w:val="center"/>
          </w:tcPr>
          <w:p w14:paraId="25B15B9B" w14:textId="4D7FDDD8" w:rsidR="00546D63" w:rsidRPr="0099114C" w:rsidRDefault="00546D63">
            <w:pPr>
              <w:jc w:val="center"/>
              <w:rPr>
                <w:rFonts w:ascii="Arial Narrow" w:hAnsi="Arial Narrow"/>
                <w:i/>
                <w:iCs/>
                <w:color w:val="333333"/>
                <w:sz w:val="20"/>
                <w:szCs w:val="20"/>
              </w:rPr>
            </w:pPr>
          </w:p>
        </w:tc>
        <w:tc>
          <w:tcPr>
            <w:tcW w:w="8086" w:type="dxa"/>
            <w:gridSpan w:val="7"/>
            <w:vAlign w:val="center"/>
            <w:hideMark/>
          </w:tcPr>
          <w:p w14:paraId="2014233A" w14:textId="77777777" w:rsidR="00546D63" w:rsidRPr="0099114C" w:rsidRDefault="00546D63">
            <w:pPr>
              <w:rPr>
                <w:rFonts w:ascii="Arial Narrow" w:hAnsi="Arial Narrow"/>
                <w:color w:val="333333"/>
                <w:sz w:val="20"/>
                <w:szCs w:val="20"/>
              </w:rPr>
            </w:pPr>
            <w:r w:rsidRPr="0099114C">
              <w:rPr>
                <w:rFonts w:ascii="Arial Narrow" w:hAnsi="Arial Narrow"/>
                <w:b/>
                <w:bCs/>
                <w:color w:val="333333"/>
                <w:sz w:val="20"/>
                <w:szCs w:val="20"/>
              </w:rPr>
              <w:t>Treatment criteria:</w:t>
            </w:r>
          </w:p>
        </w:tc>
      </w:tr>
      <w:tr w:rsidR="00546D63" w:rsidRPr="0099114C" w14:paraId="794A2216" w14:textId="77777777">
        <w:tblPrEx>
          <w:tblCellMar>
            <w:top w:w="15" w:type="dxa"/>
            <w:left w:w="15" w:type="dxa"/>
            <w:bottom w:w="15" w:type="dxa"/>
            <w:right w:w="15" w:type="dxa"/>
          </w:tblCellMar>
          <w:tblLook w:val="04A0" w:firstRow="1" w:lastRow="0" w:firstColumn="1" w:lastColumn="0" w:noHBand="0" w:noVBand="1"/>
        </w:tblPrEx>
        <w:tc>
          <w:tcPr>
            <w:tcW w:w="981" w:type="dxa"/>
            <w:vAlign w:val="center"/>
          </w:tcPr>
          <w:p w14:paraId="49379D9A" w14:textId="54D654B0" w:rsidR="00546D63" w:rsidRPr="0099114C" w:rsidRDefault="00546D63">
            <w:pPr>
              <w:jc w:val="center"/>
              <w:rPr>
                <w:rFonts w:ascii="Arial Narrow" w:hAnsi="Arial Narrow"/>
                <w:i/>
                <w:iCs/>
                <w:color w:val="333333"/>
                <w:sz w:val="20"/>
                <w:szCs w:val="20"/>
              </w:rPr>
            </w:pPr>
          </w:p>
        </w:tc>
        <w:tc>
          <w:tcPr>
            <w:tcW w:w="8086" w:type="dxa"/>
            <w:gridSpan w:val="7"/>
            <w:vAlign w:val="center"/>
            <w:hideMark/>
          </w:tcPr>
          <w:p w14:paraId="75A5EB8B" w14:textId="77777777" w:rsidR="00546D63" w:rsidRPr="0099114C" w:rsidRDefault="00546D63">
            <w:pPr>
              <w:autoSpaceDE w:val="0"/>
              <w:autoSpaceDN w:val="0"/>
              <w:adjustRightInd w:val="0"/>
              <w:rPr>
                <w:rFonts w:ascii="Arial Narrow" w:hAnsi="Arial Narrow" w:cs="Arial Narrow"/>
                <w:sz w:val="20"/>
                <w:szCs w:val="20"/>
              </w:rPr>
            </w:pPr>
            <w:r w:rsidRPr="0099114C">
              <w:rPr>
                <w:rFonts w:ascii="Arial Narrow" w:hAnsi="Arial Narrow" w:cs="Arial Narrow"/>
                <w:sz w:val="20"/>
                <w:szCs w:val="20"/>
              </w:rPr>
              <w:t>Patient must be undergoing initial treatment with this drug; or</w:t>
            </w:r>
          </w:p>
        </w:tc>
      </w:tr>
      <w:tr w:rsidR="00546D63" w:rsidRPr="0099114C" w14:paraId="26825652" w14:textId="77777777">
        <w:tblPrEx>
          <w:tblCellMar>
            <w:top w:w="15" w:type="dxa"/>
            <w:left w:w="15" w:type="dxa"/>
            <w:bottom w:w="15" w:type="dxa"/>
            <w:right w:w="15" w:type="dxa"/>
          </w:tblCellMar>
          <w:tblLook w:val="04A0" w:firstRow="1" w:lastRow="0" w:firstColumn="1" w:lastColumn="0" w:noHBand="0" w:noVBand="1"/>
        </w:tblPrEx>
        <w:tc>
          <w:tcPr>
            <w:tcW w:w="981" w:type="dxa"/>
            <w:vAlign w:val="center"/>
          </w:tcPr>
          <w:p w14:paraId="2C0AAA18" w14:textId="3D7BC2CC" w:rsidR="00546D63" w:rsidRPr="0099114C" w:rsidRDefault="00546D63">
            <w:pPr>
              <w:jc w:val="center"/>
              <w:rPr>
                <w:rFonts w:ascii="Arial Narrow" w:hAnsi="Arial Narrow"/>
                <w:i/>
                <w:iCs/>
                <w:color w:val="333333"/>
                <w:sz w:val="20"/>
                <w:szCs w:val="20"/>
              </w:rPr>
            </w:pPr>
          </w:p>
        </w:tc>
        <w:tc>
          <w:tcPr>
            <w:tcW w:w="8086" w:type="dxa"/>
            <w:gridSpan w:val="7"/>
            <w:vAlign w:val="center"/>
          </w:tcPr>
          <w:p w14:paraId="302C1730" w14:textId="77777777" w:rsidR="00546D63" w:rsidRPr="0099114C" w:rsidRDefault="00546D63">
            <w:pPr>
              <w:autoSpaceDE w:val="0"/>
              <w:autoSpaceDN w:val="0"/>
              <w:adjustRightInd w:val="0"/>
              <w:rPr>
                <w:rFonts w:ascii="Arial Narrow" w:hAnsi="Arial Narrow" w:cs="Arial Narrow"/>
                <w:sz w:val="20"/>
                <w:szCs w:val="20"/>
              </w:rPr>
            </w:pPr>
            <w:r w:rsidRPr="0099114C">
              <w:rPr>
                <w:rFonts w:ascii="Arial Narrow" w:hAnsi="Arial Narrow" w:cs="Arial Narrow"/>
                <w:sz w:val="20"/>
                <w:szCs w:val="20"/>
              </w:rPr>
              <w:t>Patient must be undergoing continuing treatment with this drug, with an improvement in the condition; or</w:t>
            </w:r>
          </w:p>
        </w:tc>
      </w:tr>
      <w:tr w:rsidR="00546D63" w:rsidRPr="0099114C" w14:paraId="58A6F7CC" w14:textId="77777777">
        <w:tblPrEx>
          <w:tblCellMar>
            <w:top w:w="15" w:type="dxa"/>
            <w:left w:w="15" w:type="dxa"/>
            <w:bottom w:w="15" w:type="dxa"/>
            <w:right w:w="15" w:type="dxa"/>
          </w:tblCellMar>
          <w:tblLook w:val="04A0" w:firstRow="1" w:lastRow="0" w:firstColumn="1" w:lastColumn="0" w:noHBand="0" w:noVBand="1"/>
        </w:tblPrEx>
        <w:tc>
          <w:tcPr>
            <w:tcW w:w="981" w:type="dxa"/>
            <w:vAlign w:val="center"/>
          </w:tcPr>
          <w:p w14:paraId="71363F02" w14:textId="4FECE44D" w:rsidR="00546D63" w:rsidRPr="0099114C" w:rsidRDefault="00546D63">
            <w:pPr>
              <w:jc w:val="center"/>
              <w:rPr>
                <w:rFonts w:ascii="Arial Narrow" w:hAnsi="Arial Narrow"/>
                <w:i/>
                <w:iCs/>
                <w:color w:val="333333"/>
                <w:sz w:val="20"/>
                <w:szCs w:val="20"/>
              </w:rPr>
            </w:pPr>
          </w:p>
        </w:tc>
        <w:tc>
          <w:tcPr>
            <w:tcW w:w="8086" w:type="dxa"/>
            <w:gridSpan w:val="7"/>
            <w:vAlign w:val="center"/>
          </w:tcPr>
          <w:p w14:paraId="491C2AE9" w14:textId="77777777" w:rsidR="00546D63" w:rsidRPr="0099114C" w:rsidRDefault="00546D63">
            <w:pPr>
              <w:autoSpaceDE w:val="0"/>
              <w:autoSpaceDN w:val="0"/>
              <w:adjustRightInd w:val="0"/>
              <w:rPr>
                <w:rFonts w:ascii="Arial Narrow" w:hAnsi="Arial Narrow" w:cs="Arial Narrow"/>
                <w:sz w:val="20"/>
                <w:szCs w:val="20"/>
              </w:rPr>
            </w:pPr>
            <w:r w:rsidRPr="0099114C">
              <w:rPr>
                <w:rFonts w:ascii="Arial Narrow" w:hAnsi="Arial Narrow" w:cs="Arial Narrow"/>
                <w:sz w:val="20"/>
                <w:szCs w:val="20"/>
              </w:rPr>
              <w:t>Patient must be undergoing a resumption of treatment with this drug, with a break in therapy having occurred for any reason other than a lack of drug effectiveness; or</w:t>
            </w:r>
          </w:p>
        </w:tc>
      </w:tr>
      <w:tr w:rsidR="00546D63" w:rsidRPr="0099114C" w14:paraId="3047D448" w14:textId="77777777">
        <w:tblPrEx>
          <w:tblCellMar>
            <w:top w:w="15" w:type="dxa"/>
            <w:left w:w="15" w:type="dxa"/>
            <w:bottom w:w="15" w:type="dxa"/>
            <w:right w:w="15" w:type="dxa"/>
          </w:tblCellMar>
          <w:tblLook w:val="04A0" w:firstRow="1" w:lastRow="0" w:firstColumn="1" w:lastColumn="0" w:noHBand="0" w:noVBand="1"/>
        </w:tblPrEx>
        <w:trPr>
          <w:trHeight w:val="493"/>
        </w:trPr>
        <w:tc>
          <w:tcPr>
            <w:tcW w:w="981" w:type="dxa"/>
            <w:vAlign w:val="center"/>
          </w:tcPr>
          <w:p w14:paraId="187D2E12" w14:textId="4DFF2FCB" w:rsidR="00546D63" w:rsidRPr="0099114C" w:rsidRDefault="00546D63">
            <w:pPr>
              <w:jc w:val="center"/>
              <w:rPr>
                <w:rFonts w:ascii="Arial Narrow" w:hAnsi="Arial Narrow"/>
                <w:i/>
                <w:iCs/>
                <w:color w:val="333333"/>
                <w:sz w:val="20"/>
                <w:szCs w:val="20"/>
              </w:rPr>
            </w:pPr>
          </w:p>
        </w:tc>
        <w:tc>
          <w:tcPr>
            <w:tcW w:w="8086" w:type="dxa"/>
            <w:gridSpan w:val="7"/>
            <w:vAlign w:val="center"/>
          </w:tcPr>
          <w:p w14:paraId="155D1DAB" w14:textId="77777777" w:rsidR="00546D63" w:rsidRPr="0099114C" w:rsidRDefault="00546D63">
            <w:pPr>
              <w:rPr>
                <w:rFonts w:ascii="Arial Narrow" w:hAnsi="Arial Narrow"/>
                <w:sz w:val="20"/>
                <w:szCs w:val="20"/>
              </w:rPr>
            </w:pPr>
            <w:r w:rsidRPr="0099114C">
              <w:rPr>
                <w:rFonts w:ascii="Arial Narrow" w:hAnsi="Arial Narrow" w:cstheme="minorHAnsi"/>
                <w:sz w:val="20"/>
                <w:szCs w:val="20"/>
              </w:rPr>
              <w:t>Patient must be undergoing continuing treatment, where current treatment is with non-PBS-subsidised supply, but the length of treatment duration has been reasonably insufficient for complete resolution of active disease symptoms</w:t>
            </w:r>
          </w:p>
        </w:tc>
      </w:tr>
      <w:tr w:rsidR="00546D63" w:rsidRPr="0099114C" w14:paraId="7BF04C14" w14:textId="77777777">
        <w:tblPrEx>
          <w:tblCellMar>
            <w:top w:w="15" w:type="dxa"/>
            <w:left w:w="15" w:type="dxa"/>
            <w:bottom w:w="15" w:type="dxa"/>
            <w:right w:w="15" w:type="dxa"/>
          </w:tblCellMar>
          <w:tblLook w:val="04A0" w:firstRow="1" w:lastRow="0" w:firstColumn="1" w:lastColumn="0" w:noHBand="0" w:noVBand="1"/>
        </w:tblPrEx>
        <w:tc>
          <w:tcPr>
            <w:tcW w:w="981" w:type="dxa"/>
            <w:vAlign w:val="center"/>
          </w:tcPr>
          <w:p w14:paraId="4EA7999C" w14:textId="77777777" w:rsidR="00546D63" w:rsidRPr="0099114C" w:rsidRDefault="00546D63">
            <w:pPr>
              <w:jc w:val="center"/>
              <w:rPr>
                <w:rFonts w:ascii="Arial Narrow" w:hAnsi="Arial Narrow"/>
                <w:i/>
                <w:iCs/>
                <w:color w:val="333333"/>
                <w:sz w:val="20"/>
                <w:szCs w:val="20"/>
              </w:rPr>
            </w:pPr>
          </w:p>
        </w:tc>
        <w:tc>
          <w:tcPr>
            <w:tcW w:w="8086" w:type="dxa"/>
            <w:gridSpan w:val="7"/>
            <w:vAlign w:val="center"/>
          </w:tcPr>
          <w:p w14:paraId="0EBCCC24" w14:textId="77777777" w:rsidR="00546D63" w:rsidRPr="0099114C" w:rsidRDefault="00546D63">
            <w:pPr>
              <w:pStyle w:val="Tabletextleft"/>
              <w:keepNext/>
              <w:jc w:val="left"/>
              <w:rPr>
                <w:rFonts w:ascii="Arial Narrow" w:hAnsi="Arial Narrow" w:cs="Arial Narrow"/>
                <w:sz w:val="20"/>
              </w:rPr>
            </w:pPr>
            <w:r w:rsidRPr="0099114C">
              <w:rPr>
                <w:rFonts w:ascii="Arial Narrow" w:hAnsi="Arial Narrow"/>
                <w:b/>
                <w:bCs/>
                <w:color w:val="333333"/>
                <w:sz w:val="20"/>
              </w:rPr>
              <w:t>AND</w:t>
            </w:r>
          </w:p>
        </w:tc>
      </w:tr>
      <w:tr w:rsidR="00546D63" w:rsidRPr="0099114C" w14:paraId="6F91920A" w14:textId="77777777">
        <w:tblPrEx>
          <w:tblCellMar>
            <w:top w:w="15" w:type="dxa"/>
            <w:left w:w="15" w:type="dxa"/>
            <w:bottom w:w="15" w:type="dxa"/>
            <w:right w:w="15" w:type="dxa"/>
          </w:tblCellMar>
          <w:tblLook w:val="04A0" w:firstRow="1" w:lastRow="0" w:firstColumn="1" w:lastColumn="0" w:noHBand="0" w:noVBand="1"/>
        </w:tblPrEx>
        <w:tc>
          <w:tcPr>
            <w:tcW w:w="981" w:type="dxa"/>
            <w:vAlign w:val="center"/>
          </w:tcPr>
          <w:p w14:paraId="4CA394A6" w14:textId="51D96612" w:rsidR="00546D63" w:rsidRPr="0099114C" w:rsidRDefault="00546D63">
            <w:pPr>
              <w:jc w:val="center"/>
              <w:rPr>
                <w:rFonts w:ascii="Arial Narrow" w:hAnsi="Arial Narrow"/>
                <w:i/>
                <w:iCs/>
                <w:color w:val="333333"/>
                <w:sz w:val="20"/>
                <w:szCs w:val="20"/>
              </w:rPr>
            </w:pPr>
          </w:p>
        </w:tc>
        <w:tc>
          <w:tcPr>
            <w:tcW w:w="8086" w:type="dxa"/>
            <w:gridSpan w:val="7"/>
            <w:vAlign w:val="center"/>
          </w:tcPr>
          <w:p w14:paraId="3A8A8809" w14:textId="77777777" w:rsidR="00546D63" w:rsidRPr="0099114C" w:rsidRDefault="00546D63">
            <w:pPr>
              <w:autoSpaceDE w:val="0"/>
              <w:autoSpaceDN w:val="0"/>
              <w:adjustRightInd w:val="0"/>
              <w:rPr>
                <w:rFonts w:ascii="Arial Narrow" w:hAnsi="Arial Narrow" w:cs="Arial Narrow"/>
                <w:sz w:val="20"/>
                <w:szCs w:val="20"/>
              </w:rPr>
            </w:pPr>
            <w:r w:rsidRPr="0099114C">
              <w:rPr>
                <w:rFonts w:ascii="Arial Narrow" w:hAnsi="Arial Narrow"/>
                <w:sz w:val="20"/>
                <w:szCs w:val="20"/>
              </w:rPr>
              <w:t>Patient must not receive more than 12 months of treatment with this drug</w:t>
            </w:r>
          </w:p>
        </w:tc>
      </w:tr>
    </w:tbl>
    <w:p w14:paraId="094FE38B" w14:textId="3DC7B293" w:rsidR="00DB5178" w:rsidRPr="0099114C" w:rsidRDefault="00DB5178" w:rsidP="002E21D0">
      <w:pPr>
        <w:pStyle w:val="ExecSumBodyText"/>
        <w:numPr>
          <w:ilvl w:val="1"/>
          <w:numId w:val="1"/>
        </w:numPr>
        <w:spacing w:before="120"/>
      </w:pPr>
      <w:r w:rsidRPr="0099114C">
        <w:rPr>
          <w:rStyle w:val="normaltextrun"/>
          <w:rFonts w:cs="Calibri"/>
          <w:color w:val="000000"/>
          <w:shd w:val="clear" w:color="auto" w:fill="FFFFFF"/>
        </w:rPr>
        <w:t xml:space="preserve">The resubmission proposed a special pricing arrangement (SPA). The </w:t>
      </w:r>
      <w:r w:rsidR="00F756F4" w:rsidRPr="0099114C">
        <w:rPr>
          <w:rStyle w:val="normaltextrun"/>
          <w:rFonts w:cs="Calibri"/>
          <w:color w:val="000000"/>
          <w:shd w:val="clear" w:color="auto" w:fill="FFFFFF"/>
        </w:rPr>
        <w:t xml:space="preserve">proposed </w:t>
      </w:r>
      <w:r w:rsidRPr="0099114C">
        <w:rPr>
          <w:rStyle w:val="normaltextrun"/>
          <w:rFonts w:cs="Calibri"/>
          <w:color w:val="000000"/>
          <w:shd w:val="clear" w:color="auto" w:fill="FFFFFF"/>
        </w:rPr>
        <w:t xml:space="preserve">effective EMP and DPMQ of avacopan </w:t>
      </w:r>
      <w:r w:rsidR="00DB74B1" w:rsidRPr="0099114C">
        <w:rPr>
          <w:rStyle w:val="normaltextrun"/>
          <w:rFonts w:cs="Calibri"/>
          <w:color w:val="000000"/>
          <w:shd w:val="clear" w:color="auto" w:fill="FFFFFF"/>
        </w:rPr>
        <w:t>wer</w:t>
      </w:r>
      <w:r w:rsidRPr="0099114C">
        <w:rPr>
          <w:rStyle w:val="normaltextrun"/>
          <w:rFonts w:cs="Calibri"/>
          <w:color w:val="000000"/>
          <w:shd w:val="clear" w:color="auto" w:fill="FFFFFF"/>
        </w:rPr>
        <w:t>e $</w:t>
      </w:r>
      <w:r w:rsidR="005F1F42" w:rsidRPr="000032E8">
        <w:rPr>
          <w:rStyle w:val="normaltextrun"/>
          <w:rFonts w:cs="Calibri"/>
          <w:color w:val="000000"/>
          <w:w w:val="15"/>
          <w:shd w:val="solid" w:color="000000" w:fill="000000"/>
          <w:fitText w:val="-20" w:id="-961807865"/>
          <w14:textFill>
            <w14:solidFill>
              <w14:srgbClr w14:val="000000">
                <w14:alpha w14:val="100000"/>
              </w14:srgbClr>
            </w14:solidFill>
          </w14:textFill>
        </w:rPr>
        <w:t xml:space="preserve">|  </w:t>
      </w:r>
      <w:r w:rsidR="005F1F42" w:rsidRPr="000032E8">
        <w:rPr>
          <w:rStyle w:val="normaltextrun"/>
          <w:rFonts w:cs="Calibri"/>
          <w:color w:val="000000"/>
          <w:spacing w:val="-69"/>
          <w:w w:val="15"/>
          <w:shd w:val="solid" w:color="000000" w:fill="000000"/>
          <w:fitText w:val="-20" w:id="-961807865"/>
          <w14:textFill>
            <w14:solidFill>
              <w14:srgbClr w14:val="000000">
                <w14:alpha w14:val="100000"/>
              </w14:srgbClr>
            </w14:solidFill>
          </w14:textFill>
        </w:rPr>
        <w:t>|</w:t>
      </w:r>
      <w:r w:rsidRPr="0099114C">
        <w:rPr>
          <w:rStyle w:val="normaltextrun"/>
          <w:rFonts w:cs="Calibri"/>
          <w:color w:val="000000"/>
          <w:shd w:val="clear" w:color="auto" w:fill="FFFFFF"/>
        </w:rPr>
        <w:t xml:space="preserve"> and $</w:t>
      </w:r>
      <w:r w:rsidR="005F1F42" w:rsidRPr="000032E8">
        <w:rPr>
          <w:rStyle w:val="normaltextrun"/>
          <w:rFonts w:cs="Calibri"/>
          <w:color w:val="000000"/>
          <w:w w:val="15"/>
          <w:shd w:val="solid" w:color="000000" w:fill="000000"/>
          <w:fitText w:val="-20" w:id="-961807864"/>
          <w14:textFill>
            <w14:solidFill>
              <w14:srgbClr w14:val="000000">
                <w14:alpha w14:val="100000"/>
              </w14:srgbClr>
            </w14:solidFill>
          </w14:textFill>
        </w:rPr>
        <w:t xml:space="preserve">|  </w:t>
      </w:r>
      <w:r w:rsidR="005F1F42" w:rsidRPr="000032E8">
        <w:rPr>
          <w:rStyle w:val="normaltextrun"/>
          <w:rFonts w:cs="Calibri"/>
          <w:color w:val="000000"/>
          <w:spacing w:val="-69"/>
          <w:w w:val="15"/>
          <w:shd w:val="solid" w:color="000000" w:fill="000000"/>
          <w:fitText w:val="-20" w:id="-961807864"/>
          <w14:textFill>
            <w14:solidFill>
              <w14:srgbClr w14:val="000000">
                <w14:alpha w14:val="100000"/>
              </w14:srgbClr>
            </w14:solidFill>
          </w14:textFill>
        </w:rPr>
        <w:t>|</w:t>
      </w:r>
      <w:r w:rsidRPr="0099114C">
        <w:rPr>
          <w:rStyle w:val="normaltextrun"/>
          <w:rFonts w:cs="Calibri"/>
          <w:color w:val="000000"/>
          <w:shd w:val="clear" w:color="auto" w:fill="FFFFFF"/>
        </w:rPr>
        <w:t>, respectively.</w:t>
      </w:r>
      <w:r w:rsidR="0021489C" w:rsidRPr="0099114C">
        <w:rPr>
          <w:rStyle w:val="normaltextrun"/>
          <w:rFonts w:cs="Calibri"/>
          <w:color w:val="000000"/>
          <w:shd w:val="clear" w:color="auto" w:fill="FFFFFF"/>
        </w:rPr>
        <w:t xml:space="preserve"> </w:t>
      </w:r>
      <w:r w:rsidRPr="0099114C">
        <w:t xml:space="preserve">The requested effective </w:t>
      </w:r>
      <w:r w:rsidR="006E2A1A" w:rsidRPr="0099114C">
        <w:t>EMP</w:t>
      </w:r>
      <w:r w:rsidRPr="0099114C">
        <w:t xml:space="preserve"> is </w:t>
      </w:r>
      <w:r w:rsidR="005F1F42" w:rsidRPr="000032E8">
        <w:rPr>
          <w:color w:val="000000"/>
          <w:w w:val="15"/>
          <w:shd w:val="solid" w:color="000000" w:fill="000000"/>
          <w:fitText w:val="-20" w:id="-961807863"/>
          <w14:textFill>
            <w14:solidFill>
              <w14:srgbClr w14:val="000000">
                <w14:alpha w14:val="100000"/>
              </w14:srgbClr>
            </w14:solidFill>
          </w14:textFill>
        </w:rPr>
        <w:t xml:space="preserve">|  </w:t>
      </w:r>
      <w:r w:rsidR="005F1F42" w:rsidRPr="000032E8">
        <w:rPr>
          <w:color w:val="000000"/>
          <w:spacing w:val="-69"/>
          <w:w w:val="15"/>
          <w:shd w:val="solid" w:color="000000" w:fill="000000"/>
          <w:fitText w:val="-20" w:id="-961807863"/>
          <w14:textFill>
            <w14:solidFill>
              <w14:srgbClr w14:val="000000">
                <w14:alpha w14:val="100000"/>
              </w14:srgbClr>
            </w14:solidFill>
          </w14:textFill>
        </w:rPr>
        <w:t>|</w:t>
      </w:r>
      <w:r w:rsidRPr="00BE21CE">
        <w:t xml:space="preserve">% </w:t>
      </w:r>
      <w:r w:rsidRPr="0099114C">
        <w:t xml:space="preserve">lower than the price proposed </w:t>
      </w:r>
      <w:r w:rsidR="006E2A1A" w:rsidRPr="0099114C">
        <w:t>in</w:t>
      </w:r>
      <w:r w:rsidRPr="0099114C">
        <w:t xml:space="preserve"> the previous submission</w:t>
      </w:r>
      <w:r w:rsidR="0021489C" w:rsidRPr="0099114C">
        <w:t xml:space="preserve"> (July 2023 submission EMP $</w:t>
      </w:r>
      <w:r w:rsidR="005F1F42" w:rsidRPr="000032E8">
        <w:rPr>
          <w:color w:val="000000"/>
          <w:w w:val="15"/>
          <w:shd w:val="solid" w:color="000000" w:fill="000000"/>
          <w:fitText w:val="-20" w:id="-961807862"/>
          <w14:textFill>
            <w14:solidFill>
              <w14:srgbClr w14:val="000000">
                <w14:alpha w14:val="100000"/>
              </w14:srgbClr>
            </w14:solidFill>
          </w14:textFill>
        </w:rPr>
        <w:t xml:space="preserve">|  </w:t>
      </w:r>
      <w:r w:rsidR="005F1F42" w:rsidRPr="000032E8">
        <w:rPr>
          <w:color w:val="000000"/>
          <w:spacing w:val="-69"/>
          <w:w w:val="15"/>
          <w:shd w:val="solid" w:color="000000" w:fill="000000"/>
          <w:fitText w:val="-20" w:id="-961807862"/>
          <w14:textFill>
            <w14:solidFill>
              <w14:srgbClr w14:val="000000">
                <w14:alpha w14:val="100000"/>
              </w14:srgbClr>
            </w14:solidFill>
          </w14:textFill>
        </w:rPr>
        <w:t>|</w:t>
      </w:r>
      <w:r w:rsidR="0021489C" w:rsidRPr="0099114C">
        <w:t>)</w:t>
      </w:r>
      <w:r w:rsidRPr="0099114C">
        <w:t>.</w:t>
      </w:r>
      <w:r w:rsidR="00DB74B1" w:rsidRPr="0099114C">
        <w:t xml:space="preserve"> The pre-PBAC response </w:t>
      </w:r>
      <w:r w:rsidR="00B22858" w:rsidRPr="0099114C">
        <w:t>offered</w:t>
      </w:r>
      <w:r w:rsidR="00DB74B1" w:rsidRPr="0099114C">
        <w:t xml:space="preserve"> a </w:t>
      </w:r>
      <w:r w:rsidR="00DB74B1" w:rsidRPr="00BE21CE">
        <w:t xml:space="preserve">further </w:t>
      </w:r>
      <w:r w:rsidR="005F1F42" w:rsidRPr="000032E8">
        <w:rPr>
          <w:color w:val="000000"/>
          <w:w w:val="15"/>
          <w:shd w:val="solid" w:color="000000" w:fill="000000"/>
          <w:fitText w:val="-20" w:id="-961807861"/>
          <w14:textFill>
            <w14:solidFill>
              <w14:srgbClr w14:val="000000">
                <w14:alpha w14:val="100000"/>
              </w14:srgbClr>
            </w14:solidFill>
          </w14:textFill>
        </w:rPr>
        <w:t xml:space="preserve">|  </w:t>
      </w:r>
      <w:r w:rsidR="005F1F42" w:rsidRPr="000032E8">
        <w:rPr>
          <w:color w:val="000000"/>
          <w:spacing w:val="-69"/>
          <w:w w:val="15"/>
          <w:shd w:val="solid" w:color="000000" w:fill="000000"/>
          <w:fitText w:val="-20" w:id="-961807861"/>
          <w14:textFill>
            <w14:solidFill>
              <w14:srgbClr w14:val="000000">
                <w14:alpha w14:val="100000"/>
              </w14:srgbClr>
            </w14:solidFill>
          </w14:textFill>
        </w:rPr>
        <w:t>|</w:t>
      </w:r>
      <w:r w:rsidR="00DB74B1" w:rsidRPr="00BE21CE">
        <w:t xml:space="preserve">% </w:t>
      </w:r>
      <w:r w:rsidR="00DB74B1" w:rsidRPr="0099114C">
        <w:t>price reduction from an EMP of $3</w:t>
      </w:r>
      <w:r w:rsidR="005F1F42" w:rsidRPr="000032E8">
        <w:rPr>
          <w:color w:val="000000"/>
          <w:w w:val="15"/>
          <w:shd w:val="solid" w:color="000000" w:fill="000000"/>
          <w:fitText w:val="-20" w:id="-961807860"/>
          <w14:textFill>
            <w14:solidFill>
              <w14:srgbClr w14:val="000000">
                <w14:alpha w14:val="100000"/>
              </w14:srgbClr>
            </w14:solidFill>
          </w14:textFill>
        </w:rPr>
        <w:t xml:space="preserve">|  </w:t>
      </w:r>
      <w:r w:rsidR="005F1F42" w:rsidRPr="000032E8">
        <w:rPr>
          <w:color w:val="000000"/>
          <w:spacing w:val="-69"/>
          <w:w w:val="15"/>
          <w:shd w:val="solid" w:color="000000" w:fill="000000"/>
          <w:fitText w:val="-20" w:id="-961807860"/>
          <w14:textFill>
            <w14:solidFill>
              <w14:srgbClr w14:val="000000">
                <w14:alpha w14:val="100000"/>
              </w14:srgbClr>
            </w14:solidFill>
          </w14:textFill>
        </w:rPr>
        <w:t>|</w:t>
      </w:r>
      <w:r w:rsidR="00DB74B1" w:rsidRPr="0099114C">
        <w:t xml:space="preserve"> to $</w:t>
      </w:r>
      <w:r w:rsidR="005F1F42" w:rsidRPr="000032E8">
        <w:rPr>
          <w:color w:val="000000"/>
          <w:w w:val="15"/>
          <w:shd w:val="solid" w:color="000000" w:fill="000000"/>
          <w:fitText w:val="-20" w:id="-961807859"/>
          <w14:textFill>
            <w14:solidFill>
              <w14:srgbClr w14:val="000000">
                <w14:alpha w14:val="100000"/>
              </w14:srgbClr>
            </w14:solidFill>
          </w14:textFill>
        </w:rPr>
        <w:t xml:space="preserve">|  </w:t>
      </w:r>
      <w:r w:rsidR="005F1F42" w:rsidRPr="000032E8">
        <w:rPr>
          <w:color w:val="000000"/>
          <w:spacing w:val="-69"/>
          <w:w w:val="15"/>
          <w:shd w:val="solid" w:color="000000" w:fill="000000"/>
          <w:fitText w:val="-20" w:id="-961807859"/>
          <w14:textFill>
            <w14:solidFill>
              <w14:srgbClr w14:val="000000">
                <w14:alpha w14:val="100000"/>
              </w14:srgbClr>
            </w14:solidFill>
          </w14:textFill>
        </w:rPr>
        <w:t>|</w:t>
      </w:r>
      <w:r w:rsidR="00DB74B1" w:rsidRPr="0099114C">
        <w:t xml:space="preserve"> and noted this was </w:t>
      </w:r>
      <w:r w:rsidR="00DB74B1" w:rsidRPr="00BE21CE">
        <w:t xml:space="preserve">a </w:t>
      </w:r>
      <w:r w:rsidR="005F1F42" w:rsidRPr="000032E8">
        <w:rPr>
          <w:color w:val="000000"/>
          <w:w w:val="15"/>
          <w:shd w:val="solid" w:color="000000" w:fill="000000"/>
          <w:fitText w:val="-20" w:id="-961807858"/>
          <w14:textFill>
            <w14:solidFill>
              <w14:srgbClr w14:val="000000">
                <w14:alpha w14:val="100000"/>
              </w14:srgbClr>
            </w14:solidFill>
          </w14:textFill>
        </w:rPr>
        <w:t xml:space="preserve">|  </w:t>
      </w:r>
      <w:r w:rsidR="005F1F42" w:rsidRPr="000032E8">
        <w:rPr>
          <w:color w:val="000000"/>
          <w:spacing w:val="-69"/>
          <w:w w:val="15"/>
          <w:shd w:val="solid" w:color="000000" w:fill="000000"/>
          <w:fitText w:val="-20" w:id="-961807858"/>
          <w14:textFill>
            <w14:solidFill>
              <w14:srgbClr w14:val="000000">
                <w14:alpha w14:val="100000"/>
              </w14:srgbClr>
            </w14:solidFill>
          </w14:textFill>
        </w:rPr>
        <w:t>|</w:t>
      </w:r>
      <w:r w:rsidR="00DB74B1" w:rsidRPr="00BE21CE">
        <w:t xml:space="preserve">% </w:t>
      </w:r>
      <w:r w:rsidR="00DB74B1" w:rsidRPr="0099114C">
        <w:t xml:space="preserve">reduction from the July 2023 submission. </w:t>
      </w:r>
    </w:p>
    <w:p w14:paraId="3ECB59F0" w14:textId="7C416993" w:rsidR="00CA046D" w:rsidRPr="0099114C" w:rsidRDefault="00CA046D" w:rsidP="00DB5178">
      <w:pPr>
        <w:pStyle w:val="3-BodyText"/>
        <w:rPr>
          <w:rStyle w:val="normaltextrun"/>
        </w:rPr>
      </w:pPr>
      <w:r w:rsidRPr="0099114C">
        <w:rPr>
          <w:rStyle w:val="normaltextrun"/>
        </w:rPr>
        <w:t xml:space="preserve">The proposed population in </w:t>
      </w:r>
      <w:r w:rsidRPr="0099114C">
        <w:rPr>
          <w:rStyle w:val="normaltextrun"/>
        </w:rPr>
        <w:fldChar w:fldCharType="begin" w:fldLock="1"/>
      </w:r>
      <w:r w:rsidRPr="0099114C">
        <w:rPr>
          <w:rStyle w:val="normaltextrun"/>
        </w:rPr>
        <w:instrText xml:space="preserve"> REF _Ref155608385 \h </w:instrText>
      </w:r>
      <w:r w:rsidR="003C1D5F" w:rsidRPr="0099114C">
        <w:rPr>
          <w:rStyle w:val="normaltextrun"/>
        </w:rPr>
        <w:instrText xml:space="preserve"> \* MERGEFORMAT </w:instrText>
      </w:r>
      <w:r w:rsidRPr="0099114C">
        <w:rPr>
          <w:rStyle w:val="normaltextrun"/>
        </w:rPr>
      </w:r>
      <w:r w:rsidRPr="0099114C">
        <w:rPr>
          <w:rStyle w:val="normaltextrun"/>
        </w:rPr>
        <w:fldChar w:fldCharType="separate"/>
      </w:r>
      <w:r w:rsidR="00A04368" w:rsidRPr="0099114C">
        <w:t xml:space="preserve">Table </w:t>
      </w:r>
      <w:r w:rsidR="00A04368" w:rsidRPr="00857B0D">
        <w:t>1</w:t>
      </w:r>
      <w:r w:rsidRPr="0099114C">
        <w:rPr>
          <w:rStyle w:val="normaltextrun"/>
        </w:rPr>
        <w:fldChar w:fldCharType="end"/>
      </w:r>
      <w:r w:rsidRPr="0099114C">
        <w:rPr>
          <w:rStyle w:val="normaltextrun"/>
        </w:rPr>
        <w:t xml:space="preserve"> is defined as </w:t>
      </w:r>
      <w:r w:rsidR="00BA1BEC" w:rsidRPr="0099114C">
        <w:rPr>
          <w:rStyle w:val="normaltextrun"/>
        </w:rPr>
        <w:t xml:space="preserve">severe active GPA or MPA. </w:t>
      </w:r>
      <w:r w:rsidR="00607830" w:rsidRPr="0099114C">
        <w:rPr>
          <w:rStyle w:val="normaltextrun"/>
        </w:rPr>
        <w:t>The</w:t>
      </w:r>
      <w:r w:rsidR="008D6299" w:rsidRPr="0099114C">
        <w:rPr>
          <w:rStyle w:val="normaltextrun"/>
        </w:rPr>
        <w:t xml:space="preserve"> 2022 update to the</w:t>
      </w:r>
      <w:r w:rsidR="00607830" w:rsidRPr="0099114C">
        <w:rPr>
          <w:rStyle w:val="normaltextrun"/>
        </w:rPr>
        <w:t xml:space="preserve"> EULAR </w:t>
      </w:r>
      <w:r w:rsidR="008D6299" w:rsidRPr="0099114C">
        <w:rPr>
          <w:rStyle w:val="normaltextrun"/>
        </w:rPr>
        <w:t xml:space="preserve">recommendations </w:t>
      </w:r>
      <w:r w:rsidR="006C31B5" w:rsidRPr="0099114C">
        <w:rPr>
          <w:rStyle w:val="normaltextrun"/>
        </w:rPr>
        <w:t xml:space="preserve">suggested that </w:t>
      </w:r>
      <w:r w:rsidR="00285B05" w:rsidRPr="0099114C">
        <w:rPr>
          <w:rStyle w:val="normaltextrun"/>
        </w:rPr>
        <w:t xml:space="preserve">‘severe/non-severe’ terms may be </w:t>
      </w:r>
      <w:r w:rsidR="00CC0365" w:rsidRPr="0099114C">
        <w:rPr>
          <w:rStyle w:val="normaltextrun"/>
        </w:rPr>
        <w:t xml:space="preserve">variably defined and misleading in clinical practice. </w:t>
      </w:r>
      <w:r w:rsidR="003D7227" w:rsidRPr="0099114C">
        <w:rPr>
          <w:rStyle w:val="normaltextrun"/>
        </w:rPr>
        <w:t>The guideline maintained the use of ‘active’ GPA or MPA.</w:t>
      </w:r>
      <w:r w:rsidR="009C7603" w:rsidRPr="0099114C">
        <w:rPr>
          <w:rStyle w:val="normaltextrun"/>
        </w:rPr>
        <w:t xml:space="preserve"> </w:t>
      </w:r>
      <w:r w:rsidR="00A82DCB" w:rsidRPr="0099114C">
        <w:t xml:space="preserve">The proposed restriction lacks clear definitions for both severe and active disease. Without clear definitions, this may lead to </w:t>
      </w:r>
      <w:r w:rsidR="00420ADE" w:rsidRPr="0099114C">
        <w:t>use outside of</w:t>
      </w:r>
      <w:r w:rsidR="00A82DCB" w:rsidRPr="0099114C">
        <w:t xml:space="preserve"> the proposed restriction. According to EULAR, active</w:t>
      </w:r>
      <w:r w:rsidR="009C7603" w:rsidRPr="0099114C">
        <w:t xml:space="preserve"> disease refers to the presence of typical signs, symptoms or other features (such as glomerulonephritis or pulmonary </w:t>
      </w:r>
      <w:r w:rsidR="00070B3E">
        <w:t>nodules</w:t>
      </w:r>
      <w:r w:rsidR="009C7603" w:rsidRPr="0099114C">
        <w:t>) of active AAV.</w:t>
      </w:r>
      <w:r w:rsidR="00CE5EEE" w:rsidRPr="0099114C">
        <w:t xml:space="preserve"> </w:t>
      </w:r>
      <w:r w:rsidR="00C42B4E" w:rsidRPr="0099114C">
        <w:t>The Pre-Sub-Committee Response (PSCR</w:t>
      </w:r>
      <w:r w:rsidR="00CD3EF2">
        <w:t xml:space="preserve">) </w:t>
      </w:r>
      <w:r w:rsidR="00C42B4E" w:rsidRPr="0099114C">
        <w:t>suggested the inclusion of a clinical criterion ‘Patient must be at risk of end-organ damage or mortality’ to align the eligible patient population with the intended definition of disease severity. The ESC considered the addition of this criterion appropriate and noted it was consiste</w:t>
      </w:r>
      <w:r w:rsidR="009E587C" w:rsidRPr="0099114C">
        <w:t xml:space="preserve">nt with the previous rituximab listing for this indication. </w:t>
      </w:r>
      <w:r w:rsidR="00420ADE" w:rsidRPr="0099114C">
        <w:t xml:space="preserve">The PBAC noted EULAR guidelines </w:t>
      </w:r>
      <w:r w:rsidR="00C612C2" w:rsidRPr="0099114C">
        <w:t xml:space="preserve">use the terminology </w:t>
      </w:r>
      <w:r w:rsidR="00E67C44" w:rsidRPr="0099114C">
        <w:t>‘</w:t>
      </w:r>
      <w:r w:rsidR="00C612C2" w:rsidRPr="0099114C">
        <w:t>organ-threatening or life threatening</w:t>
      </w:r>
      <w:r w:rsidR="00E67C44" w:rsidRPr="0099114C">
        <w:t>’</w:t>
      </w:r>
      <w:r w:rsidR="00C612C2" w:rsidRPr="0099114C">
        <w:t xml:space="preserve"> disease. </w:t>
      </w:r>
    </w:p>
    <w:p w14:paraId="58D8F202" w14:textId="0CCB4B60" w:rsidR="00DB5178" w:rsidRPr="0099114C" w:rsidRDefault="00DB5178" w:rsidP="00DB5178">
      <w:pPr>
        <w:pStyle w:val="3-BodyText"/>
        <w:rPr>
          <w:rStyle w:val="normaltextrun"/>
        </w:rPr>
      </w:pPr>
      <w:r w:rsidRPr="0099114C">
        <w:rPr>
          <w:rStyle w:val="normaltextrun"/>
          <w:rFonts w:cs="Calibri"/>
          <w:color w:val="000000"/>
          <w:shd w:val="clear" w:color="auto" w:fill="FFFFFF"/>
        </w:rPr>
        <w:lastRenderedPageBreak/>
        <w:t>The restriction for induction treatment does not specify a limit on the number of times avacopan may be used for reinduction following relapse.</w:t>
      </w:r>
      <w:r w:rsidR="00E41133" w:rsidRPr="0099114C">
        <w:t xml:space="preserve"> </w:t>
      </w:r>
      <w:r w:rsidR="00E41133" w:rsidRPr="0099114C">
        <w:rPr>
          <w:rStyle w:val="normaltextrun"/>
          <w:rFonts w:cs="Calibri"/>
          <w:color w:val="000000"/>
          <w:shd w:val="clear" w:color="auto" w:fill="FFFFFF"/>
        </w:rPr>
        <w:t xml:space="preserve">Given the limited longer-term safety and efficacy data for avacopan, it is unclear if unlimited reinductions is reasonable. However, DUSC considered the availability of avacopan beyond two reinductions would be clinically important and would have minimal impact on the financial estimates as few patients would likely require more than two reinductions (para 6.80, avacopan </w:t>
      </w:r>
      <w:r w:rsidR="00CD3EF2">
        <w:rPr>
          <w:rStyle w:val="normaltextrun"/>
          <w:rFonts w:cs="Calibri"/>
          <w:color w:val="000000"/>
          <w:shd w:val="clear" w:color="auto" w:fill="FFFFFF"/>
        </w:rPr>
        <w:t>P</w:t>
      </w:r>
      <w:r w:rsidR="00CD3EF2" w:rsidRPr="00CD3EF2">
        <w:rPr>
          <w:rStyle w:val="normaltextrun"/>
          <w:rFonts w:cs="Calibri"/>
          <w:color w:val="000000"/>
          <w:shd w:val="clear" w:color="auto" w:fill="FFFFFF"/>
        </w:rPr>
        <w:t xml:space="preserve">ublic </w:t>
      </w:r>
      <w:r w:rsidR="00CD3EF2">
        <w:rPr>
          <w:rStyle w:val="normaltextrun"/>
          <w:rFonts w:cs="Calibri"/>
          <w:color w:val="000000"/>
          <w:shd w:val="clear" w:color="auto" w:fill="FFFFFF"/>
        </w:rPr>
        <w:t>S</w:t>
      </w:r>
      <w:r w:rsidR="00CD3EF2" w:rsidRPr="00CD3EF2">
        <w:rPr>
          <w:rStyle w:val="normaltextrun"/>
          <w:rFonts w:cs="Calibri"/>
          <w:color w:val="000000"/>
          <w:shd w:val="clear" w:color="auto" w:fill="FFFFFF"/>
        </w:rPr>
        <w:t xml:space="preserve">ummary </w:t>
      </w:r>
      <w:r w:rsidR="00CD3EF2">
        <w:rPr>
          <w:rStyle w:val="normaltextrun"/>
          <w:rFonts w:cs="Calibri"/>
          <w:color w:val="000000"/>
          <w:shd w:val="clear" w:color="auto" w:fill="FFFFFF"/>
        </w:rPr>
        <w:t>D</w:t>
      </w:r>
      <w:r w:rsidR="00CD3EF2" w:rsidRPr="00CD3EF2">
        <w:rPr>
          <w:rStyle w:val="normaltextrun"/>
          <w:rFonts w:cs="Calibri"/>
          <w:color w:val="000000"/>
          <w:shd w:val="clear" w:color="auto" w:fill="FFFFFF"/>
        </w:rPr>
        <w:t xml:space="preserve">ocument </w:t>
      </w:r>
      <w:r w:rsidR="00CD3EF2">
        <w:rPr>
          <w:rStyle w:val="normaltextrun"/>
          <w:rFonts w:cs="Calibri"/>
          <w:color w:val="000000"/>
          <w:shd w:val="clear" w:color="auto" w:fill="FFFFFF"/>
        </w:rPr>
        <w:t>(</w:t>
      </w:r>
      <w:r w:rsidR="00E41133" w:rsidRPr="0099114C">
        <w:rPr>
          <w:rStyle w:val="normaltextrun"/>
          <w:rFonts w:cs="Calibri"/>
          <w:color w:val="000000"/>
          <w:shd w:val="clear" w:color="auto" w:fill="FFFFFF"/>
        </w:rPr>
        <w:t>PSD</w:t>
      </w:r>
      <w:r w:rsidR="00CD3EF2">
        <w:rPr>
          <w:rStyle w:val="normaltextrun"/>
          <w:rFonts w:cs="Calibri"/>
          <w:color w:val="000000"/>
          <w:shd w:val="clear" w:color="auto" w:fill="FFFFFF"/>
        </w:rPr>
        <w:t>)</w:t>
      </w:r>
      <w:r w:rsidR="00E41133" w:rsidRPr="0099114C">
        <w:rPr>
          <w:rStyle w:val="normaltextrun"/>
          <w:rFonts w:cs="Calibri"/>
          <w:color w:val="000000"/>
          <w:shd w:val="clear" w:color="auto" w:fill="FFFFFF"/>
        </w:rPr>
        <w:t>, July 2023 PBAC meeting).</w:t>
      </w:r>
      <w:r w:rsidR="00C42B4E" w:rsidRPr="0099114C">
        <w:rPr>
          <w:rStyle w:val="normaltextrun"/>
          <w:rFonts w:cs="Calibri"/>
          <w:color w:val="000000"/>
          <w:shd w:val="clear" w:color="auto" w:fill="FFFFFF"/>
        </w:rPr>
        <w:t xml:space="preserve"> </w:t>
      </w:r>
    </w:p>
    <w:p w14:paraId="62B8A462" w14:textId="799C84FA" w:rsidR="005F4E2B" w:rsidRPr="0099114C" w:rsidRDefault="00C418F4" w:rsidP="00DB5178">
      <w:pPr>
        <w:pStyle w:val="3-BodyText"/>
        <w:rPr>
          <w:rStyle w:val="normaltextrun"/>
        </w:rPr>
      </w:pPr>
      <w:r w:rsidRPr="0099114C">
        <w:rPr>
          <w:rStyle w:val="normaltextrun"/>
        </w:rPr>
        <w:t xml:space="preserve">The inclusion of maintenance treatment was not previously supported by the PBAC </w:t>
      </w:r>
      <w:r w:rsidR="00FB6E5A" w:rsidRPr="0099114C">
        <w:rPr>
          <w:rStyle w:val="normaltextrun"/>
        </w:rPr>
        <w:t>who at that time considered the</w:t>
      </w:r>
      <w:r w:rsidRPr="0099114C">
        <w:rPr>
          <w:rStyle w:val="normaltextrun"/>
        </w:rPr>
        <w:t xml:space="preserve"> evidence provided was inadequate to assess remission at 52 weeks and did not support comparative assessment of use as maintenance therapy</w:t>
      </w:r>
      <w:r w:rsidR="00FB6E5A" w:rsidRPr="0099114C">
        <w:rPr>
          <w:rStyle w:val="normaltextrun"/>
        </w:rPr>
        <w:t xml:space="preserve"> (para 7.1, avacopan PSD, July 2023 PBAC meeting)</w:t>
      </w:r>
      <w:r w:rsidRPr="0099114C">
        <w:rPr>
          <w:rStyle w:val="normaltextrun"/>
        </w:rPr>
        <w:t xml:space="preserve">. </w:t>
      </w:r>
      <w:r w:rsidRPr="0099114C">
        <w:rPr>
          <w:rStyle w:val="normaltextrun"/>
          <w:rFonts w:cs="Calibri"/>
          <w:color w:val="000000"/>
          <w:shd w:val="clear" w:color="auto" w:fill="FFFFFF"/>
        </w:rPr>
        <w:t xml:space="preserve">The proposed restriction in the resubmission has limited duration of treatment with avacopan to 12 months, however, it remains unclear whether the resubmission’s interpretation of the additive benefit of avacopan to rituximab is acceptable given no direct or indirect evidence </w:t>
      </w:r>
      <w:r w:rsidR="005F4E2B" w:rsidRPr="0099114C">
        <w:rPr>
          <w:rStyle w:val="normaltextrun"/>
          <w:rFonts w:cs="Calibri"/>
          <w:color w:val="000000"/>
          <w:shd w:val="clear" w:color="auto" w:fill="FFFFFF"/>
        </w:rPr>
        <w:t>is available for this assessment.</w:t>
      </w:r>
    </w:p>
    <w:p w14:paraId="15C91E81" w14:textId="5A8BAAD8" w:rsidR="00DB5178" w:rsidRPr="0099114C" w:rsidRDefault="00DB5178" w:rsidP="00A51493">
      <w:pPr>
        <w:pStyle w:val="3-BodyText"/>
        <w:rPr>
          <w:rStyle w:val="normaltextrun"/>
        </w:rPr>
      </w:pPr>
      <w:r w:rsidRPr="0099114C">
        <w:rPr>
          <w:rStyle w:val="normaltextrun"/>
          <w:rFonts w:cs="Calibri"/>
          <w:color w:val="000000"/>
          <w:shd w:val="clear" w:color="auto" w:fill="FFFFFF"/>
        </w:rPr>
        <w:t>Interpretation of the wording for the 12-month treatment limit is unclear in the requested listing. The requested listing does not specify if this is per disease flare. It is uncertain whether the proposed 12-month limit on treatment duration is expected to commence at the start of any of the three listed treatment phases, whether it is expected that treatment is allowed for any of these phases within a defined 12-month period or whether this is a total 12 month limit per patient.</w:t>
      </w:r>
      <w:r w:rsidR="005A107D" w:rsidRPr="0099114C">
        <w:rPr>
          <w:rStyle w:val="normaltextrun"/>
          <w:rFonts w:cs="Calibri"/>
          <w:color w:val="000000"/>
          <w:shd w:val="clear" w:color="auto" w:fill="FFFFFF"/>
        </w:rPr>
        <w:t xml:space="preserve"> </w:t>
      </w:r>
      <w:r w:rsidR="00C67966" w:rsidRPr="0099114C">
        <w:rPr>
          <w:rStyle w:val="normaltextrun"/>
          <w:rFonts w:cs="Calibri"/>
          <w:color w:val="000000"/>
          <w:shd w:val="clear" w:color="auto" w:fill="FFFFFF"/>
        </w:rPr>
        <w:t xml:space="preserve">The PSCR </w:t>
      </w:r>
      <w:r w:rsidR="00716AD8" w:rsidRPr="0099114C">
        <w:rPr>
          <w:rStyle w:val="normaltextrun"/>
          <w:rFonts w:cs="Calibri"/>
          <w:color w:val="000000"/>
          <w:shd w:val="clear" w:color="auto" w:fill="FFFFFF"/>
        </w:rPr>
        <w:t xml:space="preserve">clarified that the intent is to limit the duration of avacopan therapy to 12 months per treatment cycle, inclusive of induction or reinduction. The PSCR  </w:t>
      </w:r>
      <w:r w:rsidR="00C67966" w:rsidRPr="0099114C">
        <w:rPr>
          <w:rStyle w:val="normaltextrun"/>
          <w:rFonts w:cs="Calibri"/>
          <w:color w:val="000000"/>
          <w:shd w:val="clear" w:color="auto" w:fill="FFFFFF"/>
        </w:rPr>
        <w:t>proposed the addition of ‘per treatment cycle’</w:t>
      </w:r>
      <w:r w:rsidR="00716AD8" w:rsidRPr="0099114C">
        <w:rPr>
          <w:rStyle w:val="normaltextrun"/>
          <w:rFonts w:cs="Calibri"/>
          <w:color w:val="000000"/>
          <w:shd w:val="clear" w:color="auto" w:fill="FFFFFF"/>
        </w:rPr>
        <w:t xml:space="preserve"> to the wording of the treatment criterion</w:t>
      </w:r>
      <w:r w:rsidR="00C67966" w:rsidRPr="0099114C">
        <w:rPr>
          <w:rStyle w:val="normaltextrun"/>
          <w:rFonts w:cs="Calibri"/>
          <w:color w:val="000000"/>
          <w:shd w:val="clear" w:color="auto" w:fill="FFFFFF"/>
        </w:rPr>
        <w:t xml:space="preserve">. </w:t>
      </w:r>
      <w:r w:rsidR="00AC0B33" w:rsidRPr="0099114C">
        <w:rPr>
          <w:rStyle w:val="normaltextrun"/>
          <w:rFonts w:cs="Calibri"/>
          <w:color w:val="000000"/>
          <w:shd w:val="clear" w:color="auto" w:fill="FFFFFF"/>
        </w:rPr>
        <w:t xml:space="preserve">The ESC considered that </w:t>
      </w:r>
      <w:r w:rsidR="00467F20" w:rsidRPr="0099114C">
        <w:rPr>
          <w:rStyle w:val="normaltextrun"/>
          <w:rFonts w:cs="Calibri"/>
          <w:color w:val="000000" w:themeColor="text1"/>
        </w:rPr>
        <w:t>restricting</w:t>
      </w:r>
      <w:r w:rsidR="00467F20" w:rsidRPr="0099114C">
        <w:rPr>
          <w:rStyle w:val="normaltextrun"/>
        </w:rPr>
        <w:t xml:space="preserve"> use</w:t>
      </w:r>
      <w:r w:rsidR="00467F20" w:rsidRPr="0099114C">
        <w:rPr>
          <w:color w:val="000000" w:themeColor="text1"/>
        </w:rPr>
        <w:t xml:space="preserve"> to allow for 12 months of use after induction/re-induction may be reasonable</w:t>
      </w:r>
      <w:r w:rsidR="00467F20" w:rsidRPr="0099114C">
        <w:rPr>
          <w:rStyle w:val="normaltextrun"/>
          <w:rFonts w:cs="Calibri"/>
          <w:color w:val="000000"/>
          <w:shd w:val="clear" w:color="auto" w:fill="FFFFFF"/>
        </w:rPr>
        <w:t xml:space="preserve">, </w:t>
      </w:r>
      <w:r w:rsidR="00467F20" w:rsidRPr="0099114C">
        <w:rPr>
          <w:color w:val="000000" w:themeColor="text1"/>
        </w:rPr>
        <w:t>accepting there remain</w:t>
      </w:r>
      <w:r w:rsidR="00A04368" w:rsidRPr="0099114C">
        <w:rPr>
          <w:color w:val="000000" w:themeColor="text1"/>
        </w:rPr>
        <w:t>s</w:t>
      </w:r>
      <w:r w:rsidR="00467F20" w:rsidRPr="0099114C">
        <w:rPr>
          <w:color w:val="000000" w:themeColor="text1"/>
        </w:rPr>
        <w:t xml:space="preserve"> uncertainties associated with other benefits outside of steroid sparing effect and use in maintenance phase</w:t>
      </w:r>
      <w:r w:rsidR="00580968" w:rsidRPr="0099114C">
        <w:rPr>
          <w:rStyle w:val="normaltextrun"/>
          <w:rFonts w:cs="Calibri"/>
          <w:color w:val="000000"/>
          <w:shd w:val="clear" w:color="auto" w:fill="FFFFFF"/>
        </w:rPr>
        <w:t>.</w:t>
      </w:r>
      <w:r w:rsidR="00467F20" w:rsidRPr="0099114C">
        <w:rPr>
          <w:rStyle w:val="normaltextrun"/>
          <w:rFonts w:cs="Calibri"/>
          <w:color w:val="000000"/>
          <w:shd w:val="clear" w:color="auto" w:fill="FFFFFF"/>
        </w:rPr>
        <w:t xml:space="preserve"> </w:t>
      </w:r>
    </w:p>
    <w:p w14:paraId="6254956B" w14:textId="7666DE39" w:rsidR="00845C54" w:rsidRPr="0099114C" w:rsidRDefault="00845C54" w:rsidP="00845C54">
      <w:pPr>
        <w:pStyle w:val="3-BodyText"/>
        <w:numPr>
          <w:ilvl w:val="0"/>
          <w:numId w:val="0"/>
        </w:numPr>
        <w:ind w:left="720"/>
        <w:rPr>
          <w:rStyle w:val="normaltextrun"/>
          <w:i/>
          <w:iCs/>
          <w:snapToGrid/>
        </w:rPr>
      </w:pPr>
      <w:r w:rsidRPr="0099114C">
        <w:rPr>
          <w:i/>
          <w:iCs/>
          <w:snapToGrid/>
        </w:rPr>
        <w:t>For more detail on PBAC’s view, see section 7 PBAC outcome.</w:t>
      </w:r>
    </w:p>
    <w:p w14:paraId="5FA4044B" w14:textId="77777777" w:rsidR="00DB5178" w:rsidRPr="0099114C" w:rsidDel="00195452" w:rsidRDefault="00DB5178" w:rsidP="00DB5178">
      <w:pPr>
        <w:pStyle w:val="2-SectionHeading"/>
      </w:pPr>
      <w:bookmarkStart w:id="16" w:name="_Toc152591167"/>
      <w:bookmarkStart w:id="17" w:name="_Toc156913962"/>
      <w:r w:rsidRPr="0099114C" w:rsidDel="00195452">
        <w:t>Population and disease</w:t>
      </w:r>
      <w:bookmarkEnd w:id="16"/>
      <w:bookmarkEnd w:id="17"/>
    </w:p>
    <w:p w14:paraId="32458B63" w14:textId="5F6B07EA" w:rsidR="00DB5178" w:rsidRPr="0099114C" w:rsidDel="00195452" w:rsidRDefault="00DB5178" w:rsidP="00DB5178">
      <w:pPr>
        <w:pStyle w:val="3-BodyText"/>
        <w:rPr>
          <w:rStyle w:val="eop"/>
        </w:rPr>
      </w:pPr>
      <w:bookmarkStart w:id="18" w:name="_Ref159252720"/>
      <w:r w:rsidRPr="0099114C">
        <w:rPr>
          <w:rStyle w:val="normaltextrun"/>
          <w:rFonts w:cs="Calibri"/>
          <w:color w:val="000000"/>
          <w:shd w:val="clear" w:color="auto" w:fill="FFFFFF"/>
        </w:rPr>
        <w:t>ANCA-associated vasculitis (AAV) is a collection of relatively rare autoimmune diseases characterised by inflammatory cell infiltration causing necrosis of blood vessels. AAV is classified based on antibody status or clinical phenotype: status of PR3-ANCA+ is linked to GPA whereas MPO-ANCA+ is linked to MPA. AAV can involve many organs, with the kidneys, respiratory tract, nose/sinuses, eyes, skin, and nervous system commonly affected. Respiratory and kidney failure can occur in patients with very severe active disease. Other complications of the disease include hearing loss, nasal bridge collapse, and subglottic tracheal stenosis. If left untreated, 80% of patients with GPA or MPA die within 2 years of disease onset. AAV can present at any age, with diagnosis commonly occurring between the age of 55 to 74.</w:t>
      </w:r>
      <w:bookmarkEnd w:id="18"/>
      <w:r w:rsidRPr="0099114C">
        <w:rPr>
          <w:rStyle w:val="eop"/>
          <w:rFonts w:ascii="Calibri" w:hAnsi="Calibri" w:cs="Calibri"/>
          <w:shd w:val="clear" w:color="auto" w:fill="FFFFFF"/>
        </w:rPr>
        <w:t> </w:t>
      </w:r>
    </w:p>
    <w:p w14:paraId="7935D205" w14:textId="0B4970AD" w:rsidR="00066E01" w:rsidRPr="0099114C" w:rsidDel="00195452" w:rsidRDefault="00066E01" w:rsidP="00DB5178">
      <w:pPr>
        <w:pStyle w:val="3-BodyText"/>
      </w:pPr>
      <w:r w:rsidRPr="0099114C">
        <w:lastRenderedPageBreak/>
        <w:t>The lived experience of AAV patients is important to consider in disease management due to the systematic nature of the disease which can affect multiple organs. The resubmission included a report</w:t>
      </w:r>
      <w:r w:rsidR="00684DB7" w:rsidRPr="0099114C">
        <w:t xml:space="preserve"> presenting the perspectives of three AAV patients</w:t>
      </w:r>
      <w:r w:rsidR="000F6AB5" w:rsidRPr="0099114C">
        <w:t xml:space="preserve">. </w:t>
      </w:r>
      <w:r w:rsidR="0066492E" w:rsidRPr="0099114C">
        <w:t>Th</w:t>
      </w:r>
      <w:r w:rsidR="00B5332F" w:rsidRPr="0099114C">
        <w:t>e t</w:t>
      </w:r>
      <w:r w:rsidR="00337736" w:rsidRPr="0099114C">
        <w:t xml:space="preserve">hree key themes </w:t>
      </w:r>
      <w:r w:rsidR="006E6FB7" w:rsidRPr="0099114C">
        <w:t xml:space="preserve">that emerged from </w:t>
      </w:r>
      <w:r w:rsidR="00911165" w:rsidRPr="0099114C">
        <w:t>these</w:t>
      </w:r>
      <w:r w:rsidR="006E6FB7" w:rsidRPr="0099114C">
        <w:t xml:space="preserve"> patients </w:t>
      </w:r>
      <w:r w:rsidR="00B5332F" w:rsidRPr="0099114C">
        <w:t>were</w:t>
      </w:r>
      <w:r w:rsidR="00057337" w:rsidRPr="0099114C">
        <w:t>:</w:t>
      </w:r>
    </w:p>
    <w:p w14:paraId="7FEDFC38" w14:textId="2E748B5A" w:rsidR="006E6FB7" w:rsidRPr="0099114C" w:rsidRDefault="006E6FB7" w:rsidP="002E21D0">
      <w:pPr>
        <w:pStyle w:val="ListParagraph"/>
        <w:numPr>
          <w:ilvl w:val="0"/>
          <w:numId w:val="48"/>
        </w:numPr>
        <w:spacing w:after="120"/>
        <w:ind w:left="1077" w:hanging="357"/>
        <w:contextualSpacing w:val="0"/>
      </w:pPr>
      <w:r w:rsidRPr="0099114C">
        <w:t>Quality of life – experiencing life with reduced disease and treatment burden with improved disease management</w:t>
      </w:r>
      <w:r w:rsidR="00DD6DF1" w:rsidRPr="0099114C">
        <w:t>;</w:t>
      </w:r>
    </w:p>
    <w:p w14:paraId="67F1DCC3" w14:textId="551DF9BD" w:rsidR="006E6FB7" w:rsidRPr="0099114C" w:rsidRDefault="006E6FB7" w:rsidP="002E21D0">
      <w:pPr>
        <w:pStyle w:val="ListParagraph"/>
        <w:numPr>
          <w:ilvl w:val="0"/>
          <w:numId w:val="48"/>
        </w:numPr>
        <w:spacing w:after="120"/>
        <w:ind w:left="1077" w:hanging="357"/>
        <w:contextualSpacing w:val="0"/>
      </w:pPr>
      <w:r w:rsidRPr="0099114C">
        <w:t>Clinical improvement – the ability to feel well for longer periods of time</w:t>
      </w:r>
      <w:r w:rsidR="00DD6DF1" w:rsidRPr="0099114C">
        <w:t>; and</w:t>
      </w:r>
      <w:r w:rsidRPr="0099114C">
        <w:t xml:space="preserve"> </w:t>
      </w:r>
    </w:p>
    <w:p w14:paraId="5EF3052D" w14:textId="5B8222E3" w:rsidR="006E6FB7" w:rsidRPr="0099114C" w:rsidRDefault="006E6FB7" w:rsidP="002E21D0">
      <w:pPr>
        <w:pStyle w:val="ListParagraph"/>
        <w:numPr>
          <w:ilvl w:val="0"/>
          <w:numId w:val="48"/>
        </w:numPr>
        <w:spacing w:after="120"/>
        <w:ind w:left="1077" w:hanging="357"/>
        <w:contextualSpacing w:val="0"/>
      </w:pPr>
      <w:r w:rsidRPr="0099114C">
        <w:t>Hope for the future – representing potential, hope and redefining reality of living with a life-limiting disease.</w:t>
      </w:r>
    </w:p>
    <w:p w14:paraId="31011C26" w14:textId="3D1E0866" w:rsidR="00DB5178" w:rsidRPr="0099114C" w:rsidRDefault="00DB5178" w:rsidP="000F1CBD">
      <w:pPr>
        <w:pStyle w:val="3-BodyText"/>
        <w:spacing w:before="120"/>
      </w:pPr>
      <w:r w:rsidRPr="0099114C">
        <w:t xml:space="preserve">Treatment phases for AAV </w:t>
      </w:r>
      <w:r w:rsidR="009F455A" w:rsidRPr="0099114C">
        <w:t xml:space="preserve">are </w:t>
      </w:r>
      <w:r w:rsidRPr="0099114C">
        <w:t>induction, which aims to induce disease remission, maintenance, which aims to prevent disease relapse and further organ damage, and reinduction, which aims to reinduce remission following disease relapse. For induction treatment, either cyclophosphamide plus glucocorticoids</w:t>
      </w:r>
      <w:r w:rsidR="00555910" w:rsidRPr="0099114C">
        <w:t xml:space="preserve"> (GCs)</w:t>
      </w:r>
      <w:r w:rsidRPr="0099114C">
        <w:t xml:space="preserve"> or rituximab plus </w:t>
      </w:r>
      <w:r w:rsidR="00555910" w:rsidRPr="0099114C">
        <w:t xml:space="preserve">GCs </w:t>
      </w:r>
      <w:r w:rsidRPr="0099114C">
        <w:t>are considered</w:t>
      </w:r>
      <w:r w:rsidR="00527DFF" w:rsidRPr="0099114C">
        <w:t xml:space="preserve"> </w:t>
      </w:r>
      <w:r w:rsidRPr="0099114C">
        <w:t xml:space="preserve">SOC. For maintenance treatment, tapered </w:t>
      </w:r>
      <w:r w:rsidR="00555910" w:rsidRPr="0099114C">
        <w:t xml:space="preserve">GCs </w:t>
      </w:r>
      <w:r w:rsidRPr="0099114C">
        <w:t xml:space="preserve">in combination with either rituximab or azathioprine are </w:t>
      </w:r>
      <w:r w:rsidR="006068BD" w:rsidRPr="0099114C">
        <w:t xml:space="preserve">primarily </w:t>
      </w:r>
      <w:r w:rsidRPr="0099114C">
        <w:t xml:space="preserve">used. These treatments reduce mortality but are not curative and over one-third of patients will experience a relapse within 18 months of induction of remission. For patients in remission who have a subsequent relapse, treatment consists of reinduction with rituximab or cyclophosphamide (limited by its cumulative lifetime toxicity) in combination with high dose </w:t>
      </w:r>
      <w:r w:rsidR="00555910" w:rsidRPr="0099114C">
        <w:t>GCs</w:t>
      </w:r>
      <w:r w:rsidRPr="0099114C">
        <w:t xml:space="preserve">. </w:t>
      </w:r>
      <w:r w:rsidR="008D6299" w:rsidRPr="0099114C">
        <w:t>The PBAC noted that the EULAR guidelines recommend that therapy to maintain remission be continued for 24</w:t>
      </w:r>
      <w:r w:rsidR="00C3630A" w:rsidRPr="0099114C">
        <w:sym w:font="Symbol" w:char="F02D"/>
      </w:r>
      <w:r w:rsidR="008D6299" w:rsidRPr="0099114C">
        <w:t xml:space="preserve">48 months following induction of remission of new-onset disease. Longer duration of therapy should be considered in relapsing patients or those with an increased risk of relapse, but should be balanced against patient preferences and risks of continuing immunosuppression. </w:t>
      </w:r>
    </w:p>
    <w:p w14:paraId="12A1A6B7" w14:textId="2D76272F" w:rsidR="00DB5178" w:rsidRPr="0099114C" w:rsidDel="00195452" w:rsidRDefault="00DB5178" w:rsidP="006D1636">
      <w:pPr>
        <w:pStyle w:val="3-BodyText"/>
        <w:rPr>
          <w:lang w:eastAsia="en-US"/>
        </w:rPr>
      </w:pPr>
      <w:bookmarkStart w:id="19" w:name="_Ref162021228"/>
      <w:r w:rsidRPr="0099114C">
        <w:rPr>
          <w:lang w:eastAsia="en-US"/>
        </w:rPr>
        <w:t xml:space="preserve">Avacopan is proposed to be used concomitantly with other immunosuppressive therapy (rituximab, cyclophosphamide or azathioprine), in a similar manner to </w:t>
      </w:r>
      <w:r w:rsidR="00B84BCD" w:rsidRPr="0099114C">
        <w:rPr>
          <w:lang w:eastAsia="en-US"/>
        </w:rPr>
        <w:t>GCs</w:t>
      </w:r>
      <w:r w:rsidRPr="0099114C">
        <w:rPr>
          <w:lang w:eastAsia="en-US"/>
        </w:rPr>
        <w:t>.</w:t>
      </w:r>
      <w:r w:rsidR="00AA1E08" w:rsidRPr="0099114C">
        <w:rPr>
          <w:lang w:eastAsia="en-US"/>
        </w:rPr>
        <w:t xml:space="preserve"> </w:t>
      </w:r>
      <w:r w:rsidR="006D1636" w:rsidRPr="0099114C">
        <w:rPr>
          <w:lang w:eastAsia="en-US"/>
        </w:rPr>
        <w:t>The PBAC noted that the EULAR guidelines recommend that avacopan in combination with rituximab or cyclophosphamide may be considered for induction of remission in GPA or MPA, as part of a strategy to substantially reduce exposure to glucocorticoids.</w:t>
      </w:r>
      <w:r w:rsidR="00F95251" w:rsidRPr="0099114C">
        <w:rPr>
          <w:rStyle w:val="FootnoteReference"/>
          <w:lang w:eastAsia="en-US"/>
        </w:rPr>
        <w:footnoteReference w:id="2"/>
      </w:r>
      <w:r w:rsidR="00F95251" w:rsidRPr="0099114C">
        <w:rPr>
          <w:lang w:eastAsia="en-US"/>
        </w:rPr>
        <w:t xml:space="preserve"> The PBAC noted that the Kidney Disease Improving Global Outcomes (KDIGO) 2024 clinical practice guidelines stated that avacopan may be used as an alternative to GCs. In addition, the KDIGO guidelines stated that patients with an increased risk of GC toxicity are likely to receive the most benefit from avacopan and that patients with lower GFR may benefit from greater </w:t>
      </w:r>
      <w:r w:rsidR="00F95251" w:rsidRPr="0099114C">
        <w:t>glomerular filtration rate</w:t>
      </w:r>
      <w:r w:rsidR="00F95251" w:rsidRPr="0099114C">
        <w:rPr>
          <w:lang w:eastAsia="en-US"/>
        </w:rPr>
        <w:t xml:space="preserve"> recovery.</w:t>
      </w:r>
      <w:r w:rsidR="00F95251" w:rsidRPr="0099114C">
        <w:rPr>
          <w:rStyle w:val="FootnoteReference"/>
          <w:lang w:eastAsia="en-US"/>
        </w:rPr>
        <w:footnoteReference w:id="3"/>
      </w:r>
      <w:r w:rsidR="00C3630A" w:rsidRPr="0099114C">
        <w:rPr>
          <w:lang w:eastAsia="en-US"/>
        </w:rPr>
        <w:t xml:space="preserve"> Neither of these treatment guidelines include avacopan in the maintenance setting.</w:t>
      </w:r>
      <w:bookmarkEnd w:id="19"/>
    </w:p>
    <w:p w14:paraId="5E8563D7" w14:textId="77777777" w:rsidR="00DB5178" w:rsidRPr="0099114C" w:rsidRDefault="00DB5178" w:rsidP="00DB5178">
      <w:pPr>
        <w:pStyle w:val="3-BodyText"/>
        <w:rPr>
          <w:rStyle w:val="normaltextrun"/>
          <w:color w:val="0066FF"/>
        </w:rPr>
      </w:pPr>
      <w:r w:rsidRPr="0099114C">
        <w:rPr>
          <w:rStyle w:val="normaltextrun"/>
          <w:rFonts w:cs="Calibri"/>
          <w:color w:val="000000"/>
          <w:shd w:val="clear" w:color="auto" w:fill="FFFFFF"/>
        </w:rPr>
        <w:lastRenderedPageBreak/>
        <w:t>Avacopan is a selective antagonist of the human complement 5a receptor (C5aR1 or CD88) and competitively inhibits the interaction between C5aR1 and the anaphylatoxin C5a. The specific and selective blockade of C5aR1 by avacopan reduces the pro-inflammatory effects of C5a, which include neutrophil activation and migration, and decreases adherence to sites of small blood vessel inflammation, and vascular endothelial cell retraction and increased permeability.</w:t>
      </w:r>
    </w:p>
    <w:p w14:paraId="7787FC33" w14:textId="2994DAE0" w:rsidR="00845C54" w:rsidRPr="0099114C" w:rsidDel="00195452" w:rsidRDefault="00845C54" w:rsidP="00845C54">
      <w:pPr>
        <w:pStyle w:val="3-BodyText"/>
        <w:numPr>
          <w:ilvl w:val="0"/>
          <w:numId w:val="0"/>
        </w:numPr>
        <w:ind w:left="720"/>
      </w:pPr>
      <w:r w:rsidRPr="0099114C">
        <w:rPr>
          <w:i/>
          <w:iCs/>
          <w:snapToGrid/>
        </w:rPr>
        <w:t>For more detail on PBAC’s view, see section 7 PBAC outcome.</w:t>
      </w:r>
    </w:p>
    <w:p w14:paraId="3E541323" w14:textId="77777777" w:rsidR="00DB5178" w:rsidRPr="0099114C" w:rsidRDefault="00DB5178" w:rsidP="00DB5178">
      <w:pPr>
        <w:pStyle w:val="2-SectionHeading"/>
      </w:pPr>
      <w:bookmarkStart w:id="20" w:name="_Toc152591168"/>
      <w:bookmarkStart w:id="21" w:name="_Toc156913963"/>
      <w:r w:rsidRPr="0099114C">
        <w:t>Comparator</w:t>
      </w:r>
      <w:bookmarkEnd w:id="20"/>
      <w:bookmarkEnd w:id="21"/>
    </w:p>
    <w:p w14:paraId="613198D3" w14:textId="14013AD2" w:rsidR="000F1CBD" w:rsidRPr="00857B0D" w:rsidRDefault="00DB5178" w:rsidP="00DB5178">
      <w:pPr>
        <w:pStyle w:val="3-BodyText"/>
        <w:rPr>
          <w:snapToGrid/>
        </w:rPr>
      </w:pPr>
      <w:r w:rsidRPr="00857B0D">
        <w:rPr>
          <w:snapToGrid/>
        </w:rPr>
        <w:t>The resubmission nominated</w:t>
      </w:r>
      <w:r w:rsidRPr="0099114C">
        <w:rPr>
          <w:rStyle w:val="normaltextrun"/>
          <w:rFonts w:cs="Calibri"/>
          <w:color w:val="000000"/>
          <w:shd w:val="clear" w:color="auto" w:fill="FFFFFF"/>
        </w:rPr>
        <w:t xml:space="preserve"> </w:t>
      </w:r>
      <w:r w:rsidR="00037CC3" w:rsidRPr="0099114C">
        <w:rPr>
          <w:rStyle w:val="normaltextrun"/>
          <w:rFonts w:cs="Calibri"/>
          <w:color w:val="000000"/>
          <w:shd w:val="clear" w:color="auto" w:fill="FFFFFF"/>
        </w:rPr>
        <w:t xml:space="preserve">GCs </w:t>
      </w:r>
      <w:r w:rsidRPr="0099114C">
        <w:rPr>
          <w:rStyle w:val="normaltextrun"/>
          <w:rFonts w:cs="Calibri"/>
          <w:color w:val="000000"/>
          <w:shd w:val="clear" w:color="auto" w:fill="FFFFFF"/>
        </w:rPr>
        <w:t>as the comparator. This was unchanged from the previous submission. Th</w:t>
      </w:r>
      <w:r w:rsidR="00C3630A" w:rsidRPr="0099114C">
        <w:rPr>
          <w:rStyle w:val="normaltextrun"/>
          <w:rFonts w:cs="Calibri"/>
          <w:color w:val="000000"/>
          <w:shd w:val="clear" w:color="auto" w:fill="FFFFFF"/>
        </w:rPr>
        <w:t>at</w:t>
      </w:r>
      <w:r w:rsidRPr="0099114C">
        <w:rPr>
          <w:rStyle w:val="normaltextrun"/>
          <w:rFonts w:cs="Calibri"/>
          <w:color w:val="000000"/>
          <w:shd w:val="clear" w:color="auto" w:fill="FFFFFF"/>
        </w:rPr>
        <w:t xml:space="preserve"> submission suggested that to induce remission, avacopan should be administered with concomitant therapy (either rituximab or cyclophosphamide) at the choice of the treating physician to reduce or replace </w:t>
      </w:r>
      <w:r w:rsidR="00DD58AD" w:rsidRPr="0099114C">
        <w:rPr>
          <w:rStyle w:val="normaltextrun"/>
          <w:rFonts w:cs="Calibri"/>
          <w:color w:val="000000"/>
          <w:shd w:val="clear" w:color="auto" w:fill="FFFFFF"/>
        </w:rPr>
        <w:t>GCs</w:t>
      </w:r>
      <w:r w:rsidRPr="0099114C">
        <w:rPr>
          <w:rStyle w:val="normaltextrun"/>
          <w:rFonts w:cs="Calibri"/>
          <w:color w:val="000000"/>
          <w:shd w:val="clear" w:color="auto" w:fill="FFFFFF"/>
        </w:rPr>
        <w:t xml:space="preserve">. </w:t>
      </w:r>
      <w:r w:rsidR="000F1CBD" w:rsidRPr="0099114C">
        <w:rPr>
          <w:lang w:eastAsia="en-US"/>
        </w:rPr>
        <w:t>The PBAC previously considered that the nominated comparator GCs was appropriate in the induction phase (</w:t>
      </w:r>
      <w:r w:rsidR="000F1CBD" w:rsidRPr="0099114C">
        <w:rPr>
          <w:rStyle w:val="normaltextrun"/>
          <w:rFonts w:cs="Calibri"/>
          <w:color w:val="000000" w:themeColor="text1"/>
        </w:rPr>
        <w:t>para 7.6, avacopan, PSD, July 2023 PBAC meeting)</w:t>
      </w:r>
      <w:r w:rsidR="000F1CBD" w:rsidRPr="0099114C">
        <w:rPr>
          <w:lang w:eastAsia="en-US"/>
        </w:rPr>
        <w:t xml:space="preserve">. </w:t>
      </w:r>
    </w:p>
    <w:p w14:paraId="680BCDC2" w14:textId="465D8328" w:rsidR="00FC0091" w:rsidRPr="0099114C" w:rsidRDefault="00DB5178" w:rsidP="007A7C73">
      <w:pPr>
        <w:pStyle w:val="3-BodyText"/>
        <w:rPr>
          <w:rStyle w:val="normaltextrun"/>
        </w:rPr>
      </w:pPr>
      <w:r w:rsidRPr="0099114C">
        <w:rPr>
          <w:rStyle w:val="normaltextrun"/>
          <w:rFonts w:cs="Calibri"/>
          <w:color w:val="000000"/>
          <w:shd w:val="clear" w:color="auto" w:fill="FFFFFF"/>
        </w:rPr>
        <w:t xml:space="preserve">To </w:t>
      </w:r>
      <w:r w:rsidR="001B2EA5" w:rsidRPr="0099114C">
        <w:rPr>
          <w:rStyle w:val="normaltextrun"/>
          <w:rFonts w:cs="Calibri"/>
          <w:color w:val="000000"/>
          <w:shd w:val="clear" w:color="auto" w:fill="FFFFFF"/>
        </w:rPr>
        <w:t xml:space="preserve">maintain </w:t>
      </w:r>
      <w:r w:rsidRPr="0099114C">
        <w:rPr>
          <w:rStyle w:val="normaltextrun"/>
          <w:rFonts w:cs="Calibri"/>
          <w:color w:val="000000"/>
          <w:shd w:val="clear" w:color="auto" w:fill="FFFFFF"/>
        </w:rPr>
        <w:t>remission</w:t>
      </w:r>
      <w:r w:rsidR="000E5CFE" w:rsidRPr="0099114C">
        <w:rPr>
          <w:rStyle w:val="normaltextrun"/>
          <w:rFonts w:cs="Calibri"/>
          <w:color w:val="000000"/>
          <w:shd w:val="clear" w:color="auto" w:fill="FFFFFF"/>
        </w:rPr>
        <w:t xml:space="preserve"> (up to 12 months from start of </w:t>
      </w:r>
      <w:r w:rsidR="00464B6B" w:rsidRPr="0099114C">
        <w:rPr>
          <w:rStyle w:val="normaltextrun"/>
          <w:rFonts w:cs="Calibri"/>
          <w:color w:val="000000"/>
          <w:shd w:val="clear" w:color="auto" w:fill="FFFFFF"/>
        </w:rPr>
        <w:t>induction</w:t>
      </w:r>
      <w:r w:rsidR="000E5CFE" w:rsidRPr="0099114C">
        <w:rPr>
          <w:rStyle w:val="normaltextrun"/>
          <w:rFonts w:cs="Calibri"/>
          <w:color w:val="000000"/>
          <w:shd w:val="clear" w:color="auto" w:fill="FFFFFF"/>
        </w:rPr>
        <w:t>)</w:t>
      </w:r>
      <w:r w:rsidRPr="0099114C">
        <w:rPr>
          <w:rStyle w:val="normaltextrun"/>
          <w:rFonts w:cs="Calibri"/>
          <w:color w:val="000000"/>
          <w:shd w:val="clear" w:color="auto" w:fill="FFFFFF"/>
        </w:rPr>
        <w:t xml:space="preserve">, avacopan would be used concomitantly with a maintenance regimen (typically rituximab or azathioprine, and optionally </w:t>
      </w:r>
      <w:r w:rsidR="00DD58AD" w:rsidRPr="0099114C">
        <w:rPr>
          <w:rStyle w:val="normaltextrun"/>
          <w:rFonts w:cs="Calibri"/>
          <w:color w:val="000000"/>
          <w:shd w:val="clear" w:color="auto" w:fill="FFFFFF"/>
        </w:rPr>
        <w:t xml:space="preserve">GCs </w:t>
      </w:r>
      <w:r w:rsidRPr="0099114C">
        <w:rPr>
          <w:rStyle w:val="normaltextrun"/>
          <w:rFonts w:cs="Calibri"/>
          <w:color w:val="000000"/>
          <w:shd w:val="clear" w:color="auto" w:fill="FFFFFF"/>
        </w:rPr>
        <w:t>at reduced doses).</w:t>
      </w:r>
      <w:r w:rsidRPr="0099114C">
        <w:rPr>
          <w:rStyle w:val="normaltextrun"/>
          <w:rFonts w:cs="Calibri"/>
          <w:i/>
          <w:iCs/>
          <w:color w:val="000000"/>
          <w:shd w:val="clear" w:color="auto" w:fill="FFFFFF"/>
        </w:rPr>
        <w:t xml:space="preserve"> </w:t>
      </w:r>
      <w:r w:rsidRPr="0099114C">
        <w:rPr>
          <w:rStyle w:val="normaltextrun"/>
          <w:rFonts w:cs="Calibri"/>
          <w:color w:val="000000"/>
          <w:shd w:val="clear" w:color="auto" w:fill="FFFFFF"/>
        </w:rPr>
        <w:t xml:space="preserve">The 2022 EULAR guidelines recommend the use of rituximab monotherapy for the maintenance phase of AAV treatment. </w:t>
      </w:r>
      <w:r w:rsidR="00B30679" w:rsidRPr="0099114C">
        <w:rPr>
          <w:rStyle w:val="normaltextrun"/>
          <w:rFonts w:cs="Calibri"/>
          <w:color w:val="000000"/>
          <w:shd w:val="clear" w:color="auto" w:fill="FFFFFF"/>
        </w:rPr>
        <w:t xml:space="preserve">In July 2023, the PBAC considered that a comparison with ‘no treatment’ in the maintenance setting for those who had received rituximab induction was not consistent with clinical practice or clinical guidelines. </w:t>
      </w:r>
      <w:r w:rsidRPr="0099114C">
        <w:rPr>
          <w:rStyle w:val="normaltextrun"/>
          <w:rFonts w:cs="Calibri"/>
          <w:color w:val="000000" w:themeColor="text1"/>
        </w:rPr>
        <w:t xml:space="preserve">Consequently, the PBAC recommended that a </w:t>
      </w:r>
      <w:r w:rsidR="1BF17D5A" w:rsidRPr="0099114C">
        <w:rPr>
          <w:rStyle w:val="normaltextrun"/>
          <w:rFonts w:cs="Calibri"/>
          <w:color w:val="000000" w:themeColor="text1"/>
        </w:rPr>
        <w:t>resubmission</w:t>
      </w:r>
      <w:r w:rsidRPr="0099114C">
        <w:rPr>
          <w:rStyle w:val="normaltextrun"/>
          <w:rFonts w:cs="Calibri"/>
          <w:color w:val="000000" w:themeColor="text1"/>
        </w:rPr>
        <w:t xml:space="preserve"> </w:t>
      </w:r>
      <w:r w:rsidR="00B30679" w:rsidRPr="0099114C">
        <w:rPr>
          <w:rStyle w:val="normaltextrun"/>
          <w:rFonts w:cs="Calibri"/>
          <w:color w:val="000000" w:themeColor="text1"/>
        </w:rPr>
        <w:t xml:space="preserve">requesting treatment in the maintenance of remission </w:t>
      </w:r>
      <w:r w:rsidRPr="0099114C">
        <w:rPr>
          <w:rStyle w:val="normaltextrun"/>
          <w:rFonts w:cs="Calibri"/>
          <w:color w:val="000000" w:themeColor="text1"/>
        </w:rPr>
        <w:t xml:space="preserve">should consider </w:t>
      </w:r>
      <w:r w:rsidR="00B30679" w:rsidRPr="0099114C">
        <w:rPr>
          <w:rStyle w:val="normaltextrun"/>
          <w:rFonts w:cs="Calibri"/>
          <w:color w:val="000000" w:themeColor="text1"/>
        </w:rPr>
        <w:t>comparison of avacopan with rituximab versus rituximab</w:t>
      </w:r>
      <w:r w:rsidRPr="0099114C">
        <w:rPr>
          <w:rStyle w:val="normaltextrun"/>
          <w:rFonts w:cs="Calibri"/>
          <w:color w:val="000000" w:themeColor="text1"/>
        </w:rPr>
        <w:t xml:space="preserve"> (para 7.6, avacopan, PSD, July 2023 PBAC meeting).</w:t>
      </w:r>
      <w:r w:rsidR="00355E04" w:rsidRPr="0099114C">
        <w:rPr>
          <w:rStyle w:val="normaltextrun"/>
          <w:rFonts w:cs="Calibri"/>
          <w:i/>
          <w:iCs/>
          <w:color w:val="000000" w:themeColor="text1"/>
        </w:rPr>
        <w:t xml:space="preserve"> </w:t>
      </w:r>
      <w:r w:rsidR="004B48AD" w:rsidRPr="0099114C">
        <w:rPr>
          <w:rStyle w:val="normaltextrun"/>
          <w:rFonts w:cs="Calibri"/>
          <w:color w:val="000000" w:themeColor="text1"/>
        </w:rPr>
        <w:t xml:space="preserve">The </w:t>
      </w:r>
      <w:r w:rsidR="00DA512A" w:rsidRPr="0099114C">
        <w:rPr>
          <w:rStyle w:val="normaltextrun"/>
          <w:rFonts w:cs="Calibri"/>
          <w:color w:val="000000" w:themeColor="text1"/>
        </w:rPr>
        <w:t>re</w:t>
      </w:r>
      <w:r w:rsidR="004B48AD" w:rsidRPr="0099114C">
        <w:rPr>
          <w:rStyle w:val="normaltextrun"/>
          <w:rFonts w:cs="Calibri"/>
          <w:color w:val="000000" w:themeColor="text1"/>
        </w:rPr>
        <w:t>submission suggest</w:t>
      </w:r>
      <w:r w:rsidR="005149F2" w:rsidRPr="0099114C">
        <w:rPr>
          <w:rStyle w:val="normaltextrun"/>
          <w:rFonts w:cs="Calibri"/>
          <w:color w:val="000000" w:themeColor="text1"/>
        </w:rPr>
        <w:t xml:space="preserve">ed </w:t>
      </w:r>
      <w:r w:rsidR="00D5664F" w:rsidRPr="0099114C">
        <w:rPr>
          <w:rStyle w:val="normaltextrun"/>
          <w:rFonts w:cs="Calibri"/>
          <w:color w:val="000000" w:themeColor="text1"/>
        </w:rPr>
        <w:t>the clinically relevant comparators for avacopan in the maintenance phase are</w:t>
      </w:r>
      <w:r w:rsidR="0085337C" w:rsidRPr="0099114C">
        <w:rPr>
          <w:rStyle w:val="normaltextrun"/>
          <w:rFonts w:cs="Calibri"/>
          <w:color w:val="000000" w:themeColor="text1"/>
        </w:rPr>
        <w:t xml:space="preserve"> rituximab </w:t>
      </w:r>
      <w:r w:rsidR="00C95046" w:rsidRPr="0099114C">
        <w:rPr>
          <w:rStyle w:val="normaltextrun"/>
          <w:rFonts w:cs="Calibri"/>
          <w:color w:val="000000" w:themeColor="text1"/>
        </w:rPr>
        <w:t xml:space="preserve">(plus tapering GCs) for those on GCs and rituximab at </w:t>
      </w:r>
      <w:r w:rsidR="007A7C73" w:rsidRPr="0099114C">
        <w:rPr>
          <w:rStyle w:val="normaltextrun"/>
          <w:rFonts w:cs="Calibri"/>
          <w:color w:val="000000" w:themeColor="text1"/>
        </w:rPr>
        <w:t>induction and azathioprine (plus tapering GCs) for those on GCs and cyclophosphamide at induction.</w:t>
      </w:r>
    </w:p>
    <w:p w14:paraId="26D1FC34" w14:textId="5C9CA692" w:rsidR="00845C54" w:rsidRPr="0099114C" w:rsidRDefault="00845C54" w:rsidP="00845C54">
      <w:pPr>
        <w:pStyle w:val="3-BodyText"/>
        <w:numPr>
          <w:ilvl w:val="0"/>
          <w:numId w:val="0"/>
        </w:numPr>
        <w:ind w:left="720"/>
        <w:rPr>
          <w:i/>
          <w:iCs/>
          <w:snapToGrid/>
        </w:rPr>
      </w:pPr>
      <w:r w:rsidRPr="0099114C">
        <w:rPr>
          <w:i/>
          <w:iCs/>
          <w:snapToGrid/>
        </w:rPr>
        <w:t>For more detail on PBAC’s view, see section 7 PBAC outcome.</w:t>
      </w:r>
    </w:p>
    <w:p w14:paraId="1F3B6474" w14:textId="77777777" w:rsidR="00DB5178" w:rsidRPr="0099114C" w:rsidRDefault="00DB5178" w:rsidP="00DB5178">
      <w:pPr>
        <w:pStyle w:val="2-SectionHeading"/>
      </w:pPr>
      <w:bookmarkStart w:id="22" w:name="_Toc155955200"/>
      <w:bookmarkStart w:id="23" w:name="_Toc155955332"/>
      <w:bookmarkStart w:id="24" w:name="_Toc155969641"/>
      <w:bookmarkStart w:id="25" w:name="_Toc152591169"/>
      <w:bookmarkStart w:id="26" w:name="_Toc156913964"/>
      <w:bookmarkEnd w:id="22"/>
      <w:bookmarkEnd w:id="23"/>
      <w:bookmarkEnd w:id="24"/>
      <w:r w:rsidRPr="0099114C">
        <w:t>Consideration of the evidence</w:t>
      </w:r>
      <w:bookmarkEnd w:id="25"/>
      <w:bookmarkEnd w:id="26"/>
    </w:p>
    <w:p w14:paraId="234F1CD9" w14:textId="77777777" w:rsidR="00845C54" w:rsidRPr="0099114C" w:rsidRDefault="00845C54" w:rsidP="00E5029B">
      <w:pPr>
        <w:pStyle w:val="4-SubsectionHeading"/>
      </w:pPr>
      <w:bookmarkStart w:id="27" w:name="_Hlk76375935"/>
      <w:r w:rsidRPr="0099114C">
        <w:t>Sponsor hearing</w:t>
      </w:r>
    </w:p>
    <w:p w14:paraId="2D127697" w14:textId="6CE7FAC7" w:rsidR="00845C54" w:rsidRPr="0099114C" w:rsidRDefault="00845C54" w:rsidP="00845C54">
      <w:pPr>
        <w:widowControl w:val="0"/>
        <w:numPr>
          <w:ilvl w:val="1"/>
          <w:numId w:val="1"/>
        </w:numPr>
        <w:spacing w:after="120"/>
        <w:rPr>
          <w:rFonts w:asciiTheme="minorHAnsi" w:hAnsiTheme="minorHAnsi"/>
          <w:bCs/>
          <w:snapToGrid w:val="0"/>
        </w:rPr>
      </w:pPr>
      <w:bookmarkStart w:id="28" w:name="_Hlk76382586"/>
      <w:r w:rsidRPr="0099114C">
        <w:rPr>
          <w:rFonts w:asciiTheme="minorHAnsi" w:hAnsiTheme="minorHAnsi"/>
          <w:bCs/>
          <w:snapToGrid w:val="0"/>
        </w:rPr>
        <w:t>The sponsor requested a hearing for this item</w:t>
      </w:r>
      <w:r w:rsidR="0099114C">
        <w:rPr>
          <w:rFonts w:asciiTheme="minorHAnsi" w:hAnsiTheme="minorHAnsi"/>
          <w:bCs/>
          <w:snapToGrid w:val="0"/>
        </w:rPr>
        <w:t xml:space="preserve">. </w:t>
      </w:r>
      <w:r w:rsidRPr="0099114C">
        <w:rPr>
          <w:rFonts w:asciiTheme="minorHAnsi" w:hAnsiTheme="minorHAnsi"/>
          <w:bCs/>
          <w:snapToGrid w:val="0"/>
        </w:rPr>
        <w:t xml:space="preserve">The clinician </w:t>
      </w:r>
      <w:r w:rsidR="00504B5A" w:rsidRPr="0099114C">
        <w:rPr>
          <w:rFonts w:asciiTheme="minorHAnsi" w:hAnsiTheme="minorHAnsi"/>
          <w:bCs/>
          <w:snapToGrid w:val="0"/>
        </w:rPr>
        <w:t xml:space="preserve">discussed the mechanism of action for avacopan, how this is differed from currently available treatments, and its anticipated clinical place in practice. The clinician suggested that the majority of severe AAV patients being treated with rituximab or cyclophosphamide in Australian clinical practice </w:t>
      </w:r>
      <w:r w:rsidR="00533642" w:rsidRPr="0099114C">
        <w:rPr>
          <w:rFonts w:asciiTheme="minorHAnsi" w:hAnsiTheme="minorHAnsi"/>
          <w:bCs/>
          <w:snapToGrid w:val="0"/>
        </w:rPr>
        <w:t xml:space="preserve">have impaired renal function and are likely to derive the same outcomes </w:t>
      </w:r>
      <w:r w:rsidR="00EB68B7" w:rsidRPr="0099114C">
        <w:rPr>
          <w:rFonts w:asciiTheme="minorHAnsi" w:hAnsiTheme="minorHAnsi"/>
          <w:bCs/>
          <w:snapToGrid w:val="0"/>
        </w:rPr>
        <w:t xml:space="preserve">of early renal improvement </w:t>
      </w:r>
      <w:r w:rsidR="00533642" w:rsidRPr="0099114C">
        <w:rPr>
          <w:rFonts w:asciiTheme="minorHAnsi" w:hAnsiTheme="minorHAnsi"/>
          <w:bCs/>
          <w:snapToGrid w:val="0"/>
        </w:rPr>
        <w:t>as observed in the ADVOCATE trial</w:t>
      </w:r>
      <w:r w:rsidR="00EB68B7" w:rsidRPr="0099114C">
        <w:rPr>
          <w:rFonts w:asciiTheme="minorHAnsi" w:hAnsiTheme="minorHAnsi"/>
          <w:bCs/>
          <w:snapToGrid w:val="0"/>
        </w:rPr>
        <w:t xml:space="preserve">, especially for </w:t>
      </w:r>
      <w:r w:rsidR="00641368" w:rsidRPr="0099114C">
        <w:rPr>
          <w:rFonts w:asciiTheme="minorHAnsi" w:hAnsiTheme="minorHAnsi"/>
          <w:bCs/>
          <w:snapToGrid w:val="0"/>
        </w:rPr>
        <w:t xml:space="preserve">those </w:t>
      </w:r>
      <w:r w:rsidR="00EB68B7" w:rsidRPr="0099114C">
        <w:rPr>
          <w:rFonts w:asciiTheme="minorHAnsi" w:hAnsiTheme="minorHAnsi"/>
          <w:bCs/>
          <w:snapToGrid w:val="0"/>
        </w:rPr>
        <w:t>patients whose EGFR is at the lower end of the range</w:t>
      </w:r>
      <w:r w:rsidR="00533642" w:rsidRPr="0099114C">
        <w:rPr>
          <w:rFonts w:asciiTheme="minorHAnsi" w:hAnsiTheme="minorHAnsi"/>
          <w:bCs/>
          <w:snapToGrid w:val="0"/>
        </w:rPr>
        <w:t xml:space="preserve">. The clinician noted the importance of quality of life improvements </w:t>
      </w:r>
      <w:r w:rsidR="00EB68B7" w:rsidRPr="0099114C">
        <w:rPr>
          <w:rFonts w:asciiTheme="minorHAnsi" w:hAnsiTheme="minorHAnsi"/>
          <w:bCs/>
          <w:snapToGrid w:val="0"/>
        </w:rPr>
        <w:t xml:space="preserve">from reduced GC use </w:t>
      </w:r>
      <w:r w:rsidR="00533642" w:rsidRPr="0099114C">
        <w:rPr>
          <w:rFonts w:asciiTheme="minorHAnsi" w:hAnsiTheme="minorHAnsi"/>
          <w:bCs/>
          <w:snapToGrid w:val="0"/>
        </w:rPr>
        <w:t xml:space="preserve">in this population </w:t>
      </w:r>
      <w:r w:rsidR="00533642" w:rsidRPr="0099114C">
        <w:rPr>
          <w:rFonts w:asciiTheme="minorHAnsi" w:hAnsiTheme="minorHAnsi"/>
          <w:bCs/>
          <w:snapToGrid w:val="0"/>
        </w:rPr>
        <w:lastRenderedPageBreak/>
        <w:t xml:space="preserve">and </w:t>
      </w:r>
      <w:r w:rsidRPr="0099114C">
        <w:rPr>
          <w:rFonts w:asciiTheme="minorHAnsi" w:hAnsiTheme="minorHAnsi"/>
          <w:bCs/>
          <w:snapToGrid w:val="0"/>
        </w:rPr>
        <w:t xml:space="preserve">presented </w:t>
      </w:r>
      <w:r w:rsidR="00533642" w:rsidRPr="0099114C">
        <w:rPr>
          <w:rFonts w:asciiTheme="minorHAnsi" w:hAnsiTheme="minorHAnsi"/>
          <w:bCs/>
          <w:snapToGrid w:val="0"/>
        </w:rPr>
        <w:t xml:space="preserve">a </w:t>
      </w:r>
      <w:r w:rsidRPr="0099114C">
        <w:rPr>
          <w:rFonts w:asciiTheme="minorHAnsi" w:hAnsiTheme="minorHAnsi"/>
          <w:bCs/>
          <w:snapToGrid w:val="0"/>
        </w:rPr>
        <w:t>clinical case stud</w:t>
      </w:r>
      <w:r w:rsidR="00533642" w:rsidRPr="0099114C">
        <w:rPr>
          <w:rFonts w:asciiTheme="minorHAnsi" w:hAnsiTheme="minorHAnsi"/>
          <w:bCs/>
          <w:snapToGrid w:val="0"/>
        </w:rPr>
        <w:t>y. The PBAC considered that the hearing was informative as it provided a clinical perspective on treating this uncommon disease. The PBAC confirmed that data is not available on reinduction. However, the clinician proposed that avacopan</w:t>
      </w:r>
      <w:r w:rsidR="00533642" w:rsidRPr="0099114C">
        <w:rPr>
          <w:lang w:eastAsia="en-US"/>
        </w:rPr>
        <w:t xml:space="preserve"> would </w:t>
      </w:r>
      <w:r w:rsidR="00EB68B7" w:rsidRPr="0099114C">
        <w:rPr>
          <w:lang w:eastAsia="en-US"/>
        </w:rPr>
        <w:t xml:space="preserve">likely </w:t>
      </w:r>
      <w:r w:rsidR="00533642" w:rsidRPr="0099114C">
        <w:rPr>
          <w:lang w:eastAsia="en-US"/>
        </w:rPr>
        <w:t xml:space="preserve">be suitable for reinduction therapy based on its mechanism of action. </w:t>
      </w:r>
      <w:r w:rsidR="00EE4188" w:rsidRPr="0099114C">
        <w:rPr>
          <w:lang w:eastAsia="en-US"/>
        </w:rPr>
        <w:t xml:space="preserve">The PBAC also confirmed that the role of avacopan in maintenance therapy remains unclear as there are no further trial data on its safety and clinical effects beyond 52 weeks. </w:t>
      </w:r>
    </w:p>
    <w:bookmarkEnd w:id="28"/>
    <w:p w14:paraId="1BC05A9F" w14:textId="77777777" w:rsidR="00845C54" w:rsidRPr="0099114C" w:rsidRDefault="00845C54" w:rsidP="00E5029B">
      <w:pPr>
        <w:pStyle w:val="4-SubsectionHeading"/>
      </w:pPr>
      <w:r w:rsidRPr="0099114C">
        <w:t>Consumer comments</w:t>
      </w:r>
    </w:p>
    <w:p w14:paraId="3D61423B" w14:textId="16588566" w:rsidR="00845C54" w:rsidRPr="0099114C" w:rsidRDefault="00845C54" w:rsidP="00845C54">
      <w:pPr>
        <w:widowControl w:val="0"/>
        <w:numPr>
          <w:ilvl w:val="1"/>
          <w:numId w:val="1"/>
        </w:numPr>
        <w:spacing w:after="120"/>
        <w:rPr>
          <w:rFonts w:asciiTheme="minorHAnsi" w:hAnsiTheme="minorHAnsi"/>
          <w:bCs/>
          <w:snapToGrid w:val="0"/>
        </w:rPr>
      </w:pPr>
      <w:bookmarkStart w:id="29" w:name="_Hlk76382618"/>
      <w:r w:rsidRPr="0099114C">
        <w:rPr>
          <w:rFonts w:asciiTheme="minorHAnsi" w:hAnsiTheme="minorHAnsi"/>
          <w:bCs/>
          <w:snapToGrid w:val="0"/>
        </w:rPr>
        <w:t>The PBAC noted and welcomed the input from individuals (</w:t>
      </w:r>
      <w:r w:rsidR="00DF06E6" w:rsidRPr="0099114C">
        <w:rPr>
          <w:rFonts w:asciiTheme="minorHAnsi" w:hAnsiTheme="minorHAnsi"/>
          <w:bCs/>
          <w:snapToGrid w:val="0"/>
        </w:rPr>
        <w:t>17</w:t>
      </w:r>
      <w:r w:rsidRPr="0099114C">
        <w:rPr>
          <w:rFonts w:asciiTheme="minorHAnsi" w:hAnsiTheme="minorHAnsi"/>
          <w:bCs/>
          <w:snapToGrid w:val="0"/>
        </w:rPr>
        <w:t>) and organisations (</w:t>
      </w:r>
      <w:r w:rsidR="00DF06E6" w:rsidRPr="0099114C">
        <w:rPr>
          <w:rFonts w:asciiTheme="minorHAnsi" w:hAnsiTheme="minorHAnsi"/>
          <w:bCs/>
          <w:snapToGrid w:val="0"/>
        </w:rPr>
        <w:t>3</w:t>
      </w:r>
      <w:r w:rsidRPr="0099114C">
        <w:rPr>
          <w:rFonts w:asciiTheme="minorHAnsi" w:hAnsiTheme="minorHAnsi"/>
          <w:bCs/>
          <w:snapToGrid w:val="0"/>
        </w:rPr>
        <w:t xml:space="preserve">) via the Consumer Comments facility on the PBS website. The comments </w:t>
      </w:r>
      <w:r w:rsidR="00DF06E6" w:rsidRPr="0099114C">
        <w:rPr>
          <w:rFonts w:asciiTheme="minorHAnsi" w:hAnsiTheme="minorHAnsi"/>
          <w:bCs/>
          <w:snapToGrid w:val="0"/>
        </w:rPr>
        <w:t xml:space="preserve">from individuals who have used this medicine for their own health condition </w:t>
      </w:r>
      <w:r w:rsidRPr="0099114C">
        <w:rPr>
          <w:rFonts w:asciiTheme="minorHAnsi" w:hAnsiTheme="minorHAnsi"/>
          <w:bCs/>
          <w:snapToGrid w:val="0"/>
        </w:rPr>
        <w:t xml:space="preserve">described a range of benefits of treatment with </w:t>
      </w:r>
      <w:r w:rsidR="00DF06E6" w:rsidRPr="0099114C">
        <w:rPr>
          <w:rFonts w:asciiTheme="minorHAnsi" w:hAnsiTheme="minorHAnsi"/>
          <w:bCs/>
          <w:snapToGrid w:val="0"/>
        </w:rPr>
        <w:t>avacopan</w:t>
      </w:r>
      <w:r w:rsidRPr="0099114C">
        <w:rPr>
          <w:rFonts w:asciiTheme="minorHAnsi" w:hAnsiTheme="minorHAnsi"/>
          <w:bCs/>
          <w:snapToGrid w:val="0"/>
        </w:rPr>
        <w:t xml:space="preserve"> including</w:t>
      </w:r>
      <w:r w:rsidR="0063683E" w:rsidRPr="0099114C">
        <w:rPr>
          <w:rFonts w:asciiTheme="minorHAnsi" w:hAnsiTheme="minorHAnsi"/>
          <w:bCs/>
          <w:snapToGrid w:val="0"/>
        </w:rPr>
        <w:t xml:space="preserve"> the ability to halt other treatments</w:t>
      </w:r>
      <w:r w:rsidR="00D95594" w:rsidRPr="0099114C">
        <w:rPr>
          <w:rFonts w:asciiTheme="minorHAnsi" w:hAnsiTheme="minorHAnsi"/>
          <w:bCs/>
          <w:snapToGrid w:val="0"/>
        </w:rPr>
        <w:t xml:space="preserve"> (primarily GCs)</w:t>
      </w:r>
      <w:r w:rsidR="0063683E" w:rsidRPr="0099114C">
        <w:rPr>
          <w:rFonts w:asciiTheme="minorHAnsi" w:hAnsiTheme="minorHAnsi"/>
          <w:bCs/>
          <w:snapToGrid w:val="0"/>
        </w:rPr>
        <w:t xml:space="preserve"> th</w:t>
      </w:r>
      <w:r w:rsidR="00D95594" w:rsidRPr="0099114C">
        <w:rPr>
          <w:rFonts w:asciiTheme="minorHAnsi" w:hAnsiTheme="minorHAnsi"/>
          <w:bCs/>
          <w:snapToGrid w:val="0"/>
        </w:rPr>
        <w:t xml:space="preserve">at had been negatively impacting blood sugar levels, bone density and wound healing. Individuals who would like to access the medicine to treat their own health condition described the lack of efficacy of other treatment options in controlling GPA or MPA symptoms and expressed a hope that avacopan would address these treatment gaps. Input from a parent, partner or another person directly caring for an individual with this condition described the side effects associated with GCs and noted the reduced side effects reported during avacopan treatment in comparison. </w:t>
      </w:r>
      <w:r w:rsidR="008C1B4A" w:rsidRPr="0099114C">
        <w:rPr>
          <w:rFonts w:asciiTheme="minorHAnsi" w:hAnsiTheme="minorHAnsi"/>
          <w:bCs/>
          <w:snapToGrid w:val="0"/>
        </w:rPr>
        <w:t xml:space="preserve">The comments from the Australian &amp; New Zealand Vasculitis Society concord with the concerns raised by individuals regarding the side effect profile of GCs. </w:t>
      </w:r>
    </w:p>
    <w:p w14:paraId="57369B50" w14:textId="2FC1BB76" w:rsidR="00845C54" w:rsidRPr="0099114C" w:rsidRDefault="008C1B4A" w:rsidP="00845C54">
      <w:pPr>
        <w:widowControl w:val="0"/>
        <w:numPr>
          <w:ilvl w:val="1"/>
          <w:numId w:val="1"/>
        </w:numPr>
        <w:spacing w:after="120"/>
        <w:rPr>
          <w:rFonts w:asciiTheme="minorHAnsi" w:hAnsiTheme="minorHAnsi"/>
          <w:bCs/>
          <w:snapToGrid w:val="0"/>
        </w:rPr>
      </w:pPr>
      <w:r w:rsidRPr="0099114C">
        <w:rPr>
          <w:rFonts w:asciiTheme="minorHAnsi" w:hAnsiTheme="minorHAnsi"/>
          <w:bCs/>
          <w:snapToGrid w:val="0"/>
        </w:rPr>
        <w:t>The</w:t>
      </w:r>
      <w:r w:rsidR="00845C54" w:rsidRPr="0099114C">
        <w:rPr>
          <w:rFonts w:asciiTheme="minorHAnsi" w:hAnsiTheme="minorHAnsi"/>
          <w:bCs/>
          <w:snapToGrid w:val="0"/>
        </w:rPr>
        <w:t xml:space="preserve"> PBAC noted the advice received from </w:t>
      </w:r>
      <w:r w:rsidR="00DD1213" w:rsidRPr="0099114C">
        <w:rPr>
          <w:rFonts w:asciiTheme="minorHAnsi" w:hAnsiTheme="minorHAnsi"/>
          <w:bCs/>
          <w:snapToGrid w:val="0"/>
        </w:rPr>
        <w:t xml:space="preserve">the Australian Rheumatology Association and the Australasian Society of Clinical Immunology and Allergy </w:t>
      </w:r>
      <w:r w:rsidR="00845C54" w:rsidRPr="0099114C">
        <w:rPr>
          <w:rFonts w:asciiTheme="minorHAnsi" w:hAnsiTheme="minorHAnsi"/>
          <w:bCs/>
          <w:snapToGrid w:val="0"/>
        </w:rPr>
        <w:t xml:space="preserve">clarifying the likely use of </w:t>
      </w:r>
      <w:r w:rsidR="00DD1213" w:rsidRPr="0099114C">
        <w:rPr>
          <w:rFonts w:asciiTheme="minorHAnsi" w:hAnsiTheme="minorHAnsi"/>
          <w:bCs/>
          <w:snapToGrid w:val="0"/>
        </w:rPr>
        <w:t>avacopan</w:t>
      </w:r>
      <w:r w:rsidR="00845C54" w:rsidRPr="0099114C">
        <w:rPr>
          <w:rFonts w:asciiTheme="minorHAnsi" w:hAnsiTheme="minorHAnsi"/>
          <w:bCs/>
          <w:snapToGrid w:val="0"/>
        </w:rPr>
        <w:t xml:space="preserve"> in clinical practice</w:t>
      </w:r>
      <w:r w:rsidR="0099114C">
        <w:rPr>
          <w:rFonts w:asciiTheme="minorHAnsi" w:hAnsiTheme="minorHAnsi"/>
          <w:bCs/>
          <w:snapToGrid w:val="0"/>
        </w:rPr>
        <w:t xml:space="preserve">. </w:t>
      </w:r>
      <w:r w:rsidR="00845C54" w:rsidRPr="0099114C">
        <w:rPr>
          <w:rFonts w:asciiTheme="minorHAnsi" w:hAnsiTheme="minorHAnsi"/>
          <w:bCs/>
          <w:snapToGrid w:val="0"/>
        </w:rPr>
        <w:t xml:space="preserve">The PBAC specifically noted the advice </w:t>
      </w:r>
      <w:r w:rsidR="00DD1213" w:rsidRPr="0099114C">
        <w:rPr>
          <w:rFonts w:asciiTheme="minorHAnsi" w:hAnsiTheme="minorHAnsi"/>
          <w:bCs/>
          <w:snapToGrid w:val="0"/>
        </w:rPr>
        <w:t xml:space="preserve">from the Australian Rheumatology Association </w:t>
      </w:r>
      <w:r w:rsidR="00845C54" w:rsidRPr="0099114C">
        <w:rPr>
          <w:rFonts w:asciiTheme="minorHAnsi" w:hAnsiTheme="minorHAnsi"/>
          <w:bCs/>
          <w:snapToGrid w:val="0"/>
        </w:rPr>
        <w:t xml:space="preserve">that the use of </w:t>
      </w:r>
      <w:r w:rsidR="00DD1213" w:rsidRPr="0099114C">
        <w:rPr>
          <w:rFonts w:asciiTheme="minorHAnsi" w:hAnsiTheme="minorHAnsi"/>
          <w:bCs/>
          <w:snapToGrid w:val="0"/>
        </w:rPr>
        <w:t>avacopan</w:t>
      </w:r>
      <w:r w:rsidR="00845C54" w:rsidRPr="0099114C">
        <w:rPr>
          <w:rFonts w:asciiTheme="minorHAnsi" w:hAnsiTheme="minorHAnsi"/>
          <w:bCs/>
          <w:snapToGrid w:val="0"/>
        </w:rPr>
        <w:t xml:space="preserve"> may </w:t>
      </w:r>
      <w:r w:rsidR="00DD1213" w:rsidRPr="0099114C">
        <w:rPr>
          <w:rFonts w:asciiTheme="minorHAnsi" w:hAnsiTheme="minorHAnsi"/>
          <w:bCs/>
          <w:snapToGrid w:val="0"/>
        </w:rPr>
        <w:t xml:space="preserve">result in: longer time to relapse compared with standard of care; improvement in kidney function and delayed time to dialysis; and improved quality of life and reduced toxicity compared with current standard of care. </w:t>
      </w:r>
    </w:p>
    <w:p w14:paraId="44898052" w14:textId="4FDF4873" w:rsidR="00DB5178" w:rsidRPr="0099114C" w:rsidRDefault="00DB5178" w:rsidP="00DB5178">
      <w:pPr>
        <w:pStyle w:val="4-SubsectionHeading"/>
      </w:pPr>
      <w:bookmarkStart w:id="30" w:name="_Toc152591170"/>
      <w:bookmarkStart w:id="31" w:name="_Toc156913965"/>
      <w:bookmarkEnd w:id="27"/>
      <w:bookmarkEnd w:id="29"/>
      <w:r w:rsidRPr="0099114C">
        <w:t>Clinical trial</w:t>
      </w:r>
      <w:bookmarkEnd w:id="30"/>
      <w:r w:rsidR="00A96DEE" w:rsidRPr="0099114C">
        <w:t>s</w:t>
      </w:r>
      <w:bookmarkEnd w:id="31"/>
    </w:p>
    <w:p w14:paraId="6A0C9CE2" w14:textId="0BB32C1B" w:rsidR="00DB5178" w:rsidRPr="0099114C" w:rsidRDefault="00DB5178" w:rsidP="00DB5178">
      <w:pPr>
        <w:pStyle w:val="3-BodyText"/>
        <w:rPr>
          <w:color w:val="0066FF"/>
        </w:rPr>
      </w:pPr>
      <w:r w:rsidRPr="0099114C">
        <w:rPr>
          <w:rStyle w:val="normaltextrun"/>
          <w:rFonts w:cs="Calibri"/>
          <w:color w:val="000000"/>
          <w:shd w:val="clear" w:color="auto" w:fill="FFFFFF"/>
        </w:rPr>
        <w:t>The submission was based on one head-to-head trial (ADVOCATE) comparing avacopan + SOC to prednisone + SOC in patients with severe active GPA or MPA (N=331). All patients received one of three SOC regimens including IV or oral cyclophosphamide followed by azathioprine or mycophenolate mofetil from Week 15 onwards or weekly IV rituximab for the first 4 weeks. Although discouraged, the ADVOCATE trial protocol permitted the use of non-study supplied GCs (i.e., GC use other than the prednisone/prednisone-matching placebo provided under the protocol) in certain clinical situations. The GC used in the clinical trial was prednisone.</w:t>
      </w:r>
      <w:r w:rsidRPr="00857B0D">
        <w:rPr>
          <w:snapToGrid/>
        </w:rPr>
        <w:t xml:space="preserve"> The trial presented in the resubmission </w:t>
      </w:r>
      <w:r w:rsidR="00F76B9F" w:rsidRPr="00857B0D">
        <w:rPr>
          <w:snapToGrid/>
        </w:rPr>
        <w:t xml:space="preserve">was </w:t>
      </w:r>
      <w:r w:rsidRPr="00857B0D">
        <w:rPr>
          <w:snapToGrid/>
        </w:rPr>
        <w:t xml:space="preserve">the same as in the </w:t>
      </w:r>
      <w:r w:rsidRPr="00857B0D">
        <w:t xml:space="preserve">previous </w:t>
      </w:r>
      <w:r w:rsidRPr="00857B0D">
        <w:rPr>
          <w:snapToGrid/>
        </w:rPr>
        <w:t xml:space="preserve">submission. The duration of follow-up remains the same as in the </w:t>
      </w:r>
      <w:r w:rsidRPr="00857B0D">
        <w:t xml:space="preserve">previous </w:t>
      </w:r>
      <w:r w:rsidRPr="00857B0D">
        <w:rPr>
          <w:snapToGrid/>
        </w:rPr>
        <w:t>submission</w:t>
      </w:r>
      <w:r w:rsidR="0099114C">
        <w:rPr>
          <w:snapToGrid/>
        </w:rPr>
        <w:t xml:space="preserve">. </w:t>
      </w:r>
      <w:r w:rsidRPr="0099114C">
        <w:t xml:space="preserve">There are 6 new abstracts/publications included in the resubmission that are post hoc </w:t>
      </w:r>
      <w:r w:rsidR="434D03AD" w:rsidRPr="0099114C">
        <w:t xml:space="preserve">or </w:t>
      </w:r>
      <w:r w:rsidR="434D03AD" w:rsidRPr="0099114C">
        <w:lastRenderedPageBreak/>
        <w:t>subgroup</w:t>
      </w:r>
      <w:r w:rsidRPr="0099114C">
        <w:t xml:space="preserve"> analyses of the ADVOCATE trial data. </w:t>
      </w:r>
      <w:r w:rsidR="004331F2" w:rsidRPr="0099114C">
        <w:t>Some of t</w:t>
      </w:r>
      <w:r w:rsidRPr="0099114C">
        <w:t xml:space="preserve">hese analyses are newly presented in the resubmission. </w:t>
      </w:r>
    </w:p>
    <w:p w14:paraId="2624C167" w14:textId="27131853" w:rsidR="003E7D6E" w:rsidRPr="0099114C" w:rsidRDefault="00EC7B8A" w:rsidP="00DB5178">
      <w:pPr>
        <w:pStyle w:val="3-BodyText"/>
        <w:rPr>
          <w:color w:val="0066FF"/>
        </w:rPr>
      </w:pPr>
      <w:r w:rsidRPr="0099114C">
        <w:t>As there was no direct evidence</w:t>
      </w:r>
      <w:r w:rsidR="00BA4AD2" w:rsidRPr="0099114C">
        <w:t xml:space="preserve"> comparing avacopan and rituximab in the maintenance setting, the </w:t>
      </w:r>
      <w:r w:rsidR="004C5EC0" w:rsidRPr="0099114C">
        <w:t>resubmission included</w:t>
      </w:r>
      <w:r w:rsidR="000314F4" w:rsidRPr="0099114C">
        <w:t xml:space="preserve"> three </w:t>
      </w:r>
      <w:r w:rsidR="007E2238" w:rsidRPr="0099114C">
        <w:t>randomised controlled trials</w:t>
      </w:r>
      <w:r w:rsidR="00874C97" w:rsidRPr="0099114C">
        <w:t xml:space="preserve"> </w:t>
      </w:r>
      <w:r w:rsidR="00D87B88" w:rsidRPr="0099114C">
        <w:t xml:space="preserve">(MAINRITSAN, MAINRITSAN 2 and RITZAREM) </w:t>
      </w:r>
      <w:r w:rsidR="00DA76EF" w:rsidRPr="0099114C">
        <w:t xml:space="preserve">which considered the </w:t>
      </w:r>
      <w:r w:rsidR="00373046" w:rsidRPr="0099114C">
        <w:t xml:space="preserve">use of </w:t>
      </w:r>
      <w:r w:rsidR="00D87B88" w:rsidRPr="0099114C">
        <w:t>rituximab</w:t>
      </w:r>
      <w:r w:rsidR="000314F4" w:rsidRPr="0099114C">
        <w:t xml:space="preserve"> </w:t>
      </w:r>
      <w:r w:rsidR="00070F37" w:rsidRPr="0099114C">
        <w:t>for maintenance</w:t>
      </w:r>
      <w:r w:rsidR="008F6ED0" w:rsidRPr="0099114C">
        <w:t xml:space="preserve"> for con</w:t>
      </w:r>
      <w:r w:rsidR="00AC0DCD" w:rsidRPr="0099114C">
        <w:t>sideration of an ITC</w:t>
      </w:r>
      <w:r w:rsidR="0092091D" w:rsidRPr="0099114C">
        <w:t xml:space="preserve">. </w:t>
      </w:r>
      <w:r w:rsidR="002A01B1" w:rsidRPr="0099114C">
        <w:t>No ITC was undertaken in the resubmission</w:t>
      </w:r>
      <w:r w:rsidR="00137CCD" w:rsidRPr="0099114C">
        <w:t xml:space="preserve"> (see paragraph</w:t>
      </w:r>
      <w:r w:rsidR="0087163E" w:rsidRPr="0099114C">
        <w:t xml:space="preserve"> </w:t>
      </w:r>
      <w:r w:rsidR="0087163E" w:rsidRPr="0099114C">
        <w:fldChar w:fldCharType="begin" w:fldLock="1"/>
      </w:r>
      <w:r w:rsidR="0087163E" w:rsidRPr="0099114C">
        <w:instrText xml:space="preserve"> REF _Ref159151912 \r \h </w:instrText>
      </w:r>
      <w:r w:rsidR="00F76B9F" w:rsidRPr="0099114C">
        <w:instrText xml:space="preserve"> \* MERGEFORMAT </w:instrText>
      </w:r>
      <w:r w:rsidR="0087163E" w:rsidRPr="0099114C">
        <w:fldChar w:fldCharType="separate"/>
      </w:r>
      <w:r w:rsidR="00697594" w:rsidRPr="0099114C">
        <w:t>6.33</w:t>
      </w:r>
      <w:r w:rsidR="0087163E" w:rsidRPr="0099114C">
        <w:fldChar w:fldCharType="end"/>
      </w:r>
      <w:r w:rsidR="00137CCD" w:rsidRPr="0099114C">
        <w:t>)</w:t>
      </w:r>
      <w:r w:rsidR="002A01B1" w:rsidRPr="0099114C">
        <w:t xml:space="preserve">. </w:t>
      </w:r>
    </w:p>
    <w:p w14:paraId="1710B06A" w14:textId="400F066F" w:rsidR="001715FC" w:rsidRPr="00857B0D" w:rsidRDefault="00DB5178" w:rsidP="00DB5178">
      <w:pPr>
        <w:pStyle w:val="3-BodyText"/>
        <w:rPr>
          <w:snapToGrid/>
        </w:rPr>
      </w:pPr>
      <w:r w:rsidRPr="00857B0D">
        <w:rPr>
          <w:snapToGrid/>
        </w:rPr>
        <w:t>Details of the trial</w:t>
      </w:r>
      <w:r w:rsidR="004642CE" w:rsidRPr="00857B0D">
        <w:rPr>
          <w:snapToGrid/>
        </w:rPr>
        <w:t>s</w:t>
      </w:r>
      <w:r w:rsidRPr="00857B0D">
        <w:rPr>
          <w:snapToGrid/>
        </w:rPr>
        <w:t xml:space="preserve"> presented in the resubmission are provided in</w:t>
      </w:r>
      <w:r w:rsidR="00797B80" w:rsidRPr="00857B0D">
        <w:rPr>
          <w:snapToGrid/>
        </w:rPr>
        <w:t xml:space="preserve"> </w:t>
      </w:r>
      <w:r w:rsidR="00797B80" w:rsidRPr="00857B0D">
        <w:rPr>
          <w:snapToGrid/>
        </w:rPr>
        <w:fldChar w:fldCharType="begin" w:fldLock="1"/>
      </w:r>
      <w:r w:rsidR="00797B80" w:rsidRPr="00857B0D">
        <w:rPr>
          <w:snapToGrid/>
        </w:rPr>
        <w:instrText xml:space="preserve"> REF _Ref155863899 \h </w:instrText>
      </w:r>
      <w:r w:rsidR="00F76B9F" w:rsidRPr="00857B0D">
        <w:rPr>
          <w:snapToGrid/>
        </w:rPr>
        <w:instrText xml:space="preserve"> \* MERGEFORMAT </w:instrText>
      </w:r>
      <w:r w:rsidR="00797B80" w:rsidRPr="00857B0D">
        <w:rPr>
          <w:snapToGrid/>
        </w:rPr>
      </w:r>
      <w:r w:rsidR="00797B80" w:rsidRPr="00857B0D">
        <w:rPr>
          <w:snapToGrid/>
        </w:rPr>
        <w:fldChar w:fldCharType="separate"/>
      </w:r>
      <w:r w:rsidR="00A04368" w:rsidRPr="0099114C">
        <w:t xml:space="preserve">Table </w:t>
      </w:r>
      <w:r w:rsidR="00A04368" w:rsidRPr="00857B0D">
        <w:t>3</w:t>
      </w:r>
      <w:r w:rsidR="00797B80" w:rsidRPr="00857B0D">
        <w:rPr>
          <w:snapToGrid/>
        </w:rPr>
        <w:fldChar w:fldCharType="end"/>
      </w:r>
      <w:r w:rsidRPr="00857B0D">
        <w:rPr>
          <w:snapToGrid/>
        </w:rPr>
        <w:t>.</w:t>
      </w:r>
    </w:p>
    <w:p w14:paraId="63ECA91F" w14:textId="68E87807" w:rsidR="00DB5178" w:rsidRPr="0099114C" w:rsidRDefault="00DB5178" w:rsidP="002E21D0">
      <w:pPr>
        <w:pStyle w:val="TableFigureHeading"/>
      </w:pPr>
      <w:bookmarkStart w:id="32" w:name="_Ref155863899"/>
      <w:r w:rsidRPr="0099114C">
        <w:lastRenderedPageBreak/>
        <w:t xml:space="preserve">Table </w:t>
      </w:r>
      <w:fldSimple w:instr=" SEQ Table \* ARABIC " w:fldLock="1">
        <w:r w:rsidR="00A04368" w:rsidRPr="00857B0D">
          <w:t>3</w:t>
        </w:r>
      </w:fldSimple>
      <w:bookmarkEnd w:id="32"/>
      <w:r w:rsidRPr="0099114C">
        <w:t>:</w:t>
      </w:r>
      <w:r w:rsidRPr="0099114C">
        <w:rPr>
          <w:rStyle w:val="CommentReference"/>
          <w:b/>
          <w:szCs w:val="24"/>
        </w:rPr>
        <w:t xml:space="preserve"> Trials and associated reports presented in the </w:t>
      </w:r>
      <w:r w:rsidR="00924C08" w:rsidRPr="0099114C">
        <w:rPr>
          <w:rStyle w:val="CommentReference"/>
          <w:b/>
          <w:szCs w:val="24"/>
        </w:rPr>
        <w:t>re</w:t>
      </w:r>
      <w:r w:rsidRPr="0099114C">
        <w:rPr>
          <w:rStyle w:val="CommentReference"/>
          <w:b/>
          <w:szCs w:val="24"/>
        </w:rPr>
        <w:t>submission</w:t>
      </w:r>
    </w:p>
    <w:tbl>
      <w:tblPr>
        <w:tblW w:w="8985" w:type="dxa"/>
        <w:tblInd w:w="-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3: Trials and associated reports presented in the resubmission"/>
      </w:tblPr>
      <w:tblGrid>
        <w:gridCol w:w="1425"/>
        <w:gridCol w:w="5445"/>
        <w:gridCol w:w="2115"/>
      </w:tblGrid>
      <w:tr w:rsidR="00DB5178" w:rsidRPr="0099114C" w14:paraId="3D708E57" w14:textId="77777777">
        <w:trPr>
          <w:trHeight w:val="300"/>
        </w:trPr>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09210380" w14:textId="77777777" w:rsidR="00DB5178" w:rsidRPr="0099114C" w:rsidRDefault="00DB5178" w:rsidP="002E21D0">
            <w:pPr>
              <w:pStyle w:val="paragraph"/>
              <w:keepNext/>
              <w:spacing w:before="0" w:beforeAutospacing="0" w:after="0" w:afterAutospacing="0"/>
              <w:textAlignment w:val="baseline"/>
              <w:rPr>
                <w:rFonts w:ascii="Segoe UI" w:hAnsi="Segoe UI" w:cs="Segoe UI"/>
                <w:b/>
                <w:bCs/>
                <w:sz w:val="18"/>
                <w:szCs w:val="18"/>
              </w:rPr>
            </w:pPr>
            <w:r w:rsidRPr="00857B0D">
              <w:rPr>
                <w:rStyle w:val="normaltextrun"/>
                <w:rFonts w:ascii="Arial Narrow" w:hAnsi="Arial Narrow" w:cs="Segoe UI"/>
                <w:b/>
                <w:bCs/>
                <w:sz w:val="20"/>
                <w:szCs w:val="20"/>
              </w:rPr>
              <w:t>Trial ID</w:t>
            </w:r>
            <w:r w:rsidRPr="0099114C">
              <w:rPr>
                <w:rStyle w:val="eop"/>
                <w:rFonts w:ascii="Arial Narrow" w:hAnsi="Arial Narrow" w:cs="Segoe UI"/>
                <w:b/>
                <w:bCs/>
                <w:sz w:val="20"/>
                <w:szCs w:val="20"/>
              </w:rPr>
              <w:t> </w:t>
            </w:r>
          </w:p>
        </w:tc>
        <w:tc>
          <w:tcPr>
            <w:tcW w:w="5445" w:type="dxa"/>
            <w:tcBorders>
              <w:top w:val="single" w:sz="6" w:space="0" w:color="auto"/>
              <w:left w:val="single" w:sz="6" w:space="0" w:color="auto"/>
              <w:bottom w:val="single" w:sz="6" w:space="0" w:color="auto"/>
              <w:right w:val="single" w:sz="6" w:space="0" w:color="auto"/>
            </w:tcBorders>
            <w:shd w:val="clear" w:color="auto" w:fill="auto"/>
            <w:hideMark/>
          </w:tcPr>
          <w:p w14:paraId="52900065" w14:textId="77777777" w:rsidR="00DB5178" w:rsidRPr="0099114C" w:rsidRDefault="00DB5178" w:rsidP="002E21D0">
            <w:pPr>
              <w:pStyle w:val="paragraph"/>
              <w:keepNext/>
              <w:spacing w:before="0" w:beforeAutospacing="0" w:after="0" w:afterAutospacing="0"/>
              <w:textAlignment w:val="baseline"/>
              <w:rPr>
                <w:rFonts w:ascii="Segoe UI" w:hAnsi="Segoe UI" w:cs="Segoe UI"/>
                <w:b/>
                <w:bCs/>
                <w:sz w:val="18"/>
                <w:szCs w:val="18"/>
              </w:rPr>
            </w:pPr>
            <w:r w:rsidRPr="00857B0D">
              <w:rPr>
                <w:rStyle w:val="normaltextrun"/>
                <w:rFonts w:ascii="Arial Narrow" w:hAnsi="Arial Narrow" w:cs="Segoe UI"/>
                <w:b/>
                <w:bCs/>
                <w:sz w:val="20"/>
                <w:szCs w:val="20"/>
              </w:rPr>
              <w:t>Protocol title/ Publication title</w:t>
            </w:r>
            <w:r w:rsidRPr="0099114C">
              <w:rPr>
                <w:rStyle w:val="eop"/>
                <w:rFonts w:ascii="Arial Narrow" w:hAnsi="Arial Narrow" w:cs="Segoe UI"/>
                <w:b/>
                <w:bCs/>
                <w:sz w:val="20"/>
                <w:szCs w:val="20"/>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796BF3B0" w14:textId="77777777" w:rsidR="00DB5178" w:rsidRPr="0099114C" w:rsidRDefault="00DB5178" w:rsidP="002E21D0">
            <w:pPr>
              <w:pStyle w:val="paragraph"/>
              <w:keepNext/>
              <w:spacing w:before="0" w:beforeAutospacing="0" w:after="0" w:afterAutospacing="0"/>
              <w:textAlignment w:val="baseline"/>
              <w:rPr>
                <w:rFonts w:ascii="Segoe UI" w:hAnsi="Segoe UI" w:cs="Segoe UI"/>
                <w:b/>
                <w:bCs/>
                <w:sz w:val="18"/>
                <w:szCs w:val="18"/>
              </w:rPr>
            </w:pPr>
            <w:r w:rsidRPr="00857B0D">
              <w:rPr>
                <w:rStyle w:val="normaltextrun"/>
                <w:rFonts w:ascii="Arial Narrow" w:hAnsi="Arial Narrow" w:cs="Segoe UI"/>
                <w:b/>
                <w:bCs/>
                <w:sz w:val="20"/>
                <w:szCs w:val="20"/>
              </w:rPr>
              <w:t>Publication citation</w:t>
            </w:r>
            <w:r w:rsidRPr="0099114C">
              <w:rPr>
                <w:rStyle w:val="eop"/>
                <w:rFonts w:ascii="Arial Narrow" w:hAnsi="Arial Narrow" w:cs="Segoe UI"/>
                <w:b/>
                <w:bCs/>
                <w:sz w:val="20"/>
                <w:szCs w:val="20"/>
              </w:rPr>
              <w:t> </w:t>
            </w:r>
          </w:p>
        </w:tc>
      </w:tr>
      <w:tr w:rsidR="00DB5178" w:rsidRPr="0099114C" w14:paraId="1BA49F4E" w14:textId="77777777">
        <w:trPr>
          <w:trHeight w:val="300"/>
        </w:trPr>
        <w:tc>
          <w:tcPr>
            <w:tcW w:w="1425" w:type="dxa"/>
            <w:vMerge w:val="restart"/>
            <w:tcBorders>
              <w:top w:val="single" w:sz="6" w:space="0" w:color="auto"/>
              <w:left w:val="single" w:sz="6" w:space="0" w:color="auto"/>
              <w:right w:val="single" w:sz="6" w:space="0" w:color="auto"/>
            </w:tcBorders>
            <w:shd w:val="clear" w:color="auto" w:fill="auto"/>
            <w:hideMark/>
          </w:tcPr>
          <w:p w14:paraId="22116C8F" w14:textId="77777777" w:rsidR="00DB5178" w:rsidRPr="0099114C" w:rsidRDefault="00DB5178" w:rsidP="002E21D0">
            <w:pPr>
              <w:pStyle w:val="paragraph"/>
              <w:keepNext/>
              <w:spacing w:before="0" w:beforeAutospacing="0" w:after="0" w:afterAutospacing="0"/>
              <w:textAlignment w:val="baseline"/>
              <w:rPr>
                <w:rFonts w:ascii="Segoe UI" w:hAnsi="Segoe UI" w:cs="Segoe UI"/>
                <w:sz w:val="18"/>
                <w:szCs w:val="18"/>
              </w:rPr>
            </w:pPr>
            <w:r w:rsidRPr="0099114C">
              <w:rPr>
                <w:rStyle w:val="normaltextrun"/>
                <w:rFonts w:ascii="Arial Narrow" w:hAnsi="Arial Narrow" w:cs="Segoe UI"/>
                <w:sz w:val="20"/>
                <w:szCs w:val="20"/>
              </w:rPr>
              <w:t>ADVOCATE</w:t>
            </w:r>
            <w:r w:rsidRPr="0099114C">
              <w:rPr>
                <w:rStyle w:val="eop"/>
                <w:rFonts w:ascii="Arial Narrow" w:hAnsi="Arial Narrow" w:cs="Segoe UI"/>
                <w:sz w:val="20"/>
                <w:szCs w:val="20"/>
              </w:rPr>
              <w:t> </w:t>
            </w:r>
          </w:p>
          <w:p w14:paraId="117E7255" w14:textId="77777777" w:rsidR="00DB5178" w:rsidRPr="0099114C" w:rsidRDefault="00DB5178" w:rsidP="002E21D0">
            <w:pPr>
              <w:pStyle w:val="paragraph"/>
              <w:keepNext/>
              <w:spacing w:before="0" w:beforeAutospacing="0" w:after="0" w:afterAutospacing="0"/>
              <w:textAlignment w:val="baseline"/>
              <w:rPr>
                <w:rFonts w:ascii="Segoe UI" w:hAnsi="Segoe UI" w:cs="Segoe UI"/>
                <w:sz w:val="18"/>
                <w:szCs w:val="18"/>
              </w:rPr>
            </w:pPr>
            <w:r w:rsidRPr="0099114C">
              <w:rPr>
                <w:rStyle w:val="normaltextrun"/>
                <w:rFonts w:ascii="Arial Narrow" w:hAnsi="Arial Narrow" w:cs="Segoe UI"/>
                <w:sz w:val="20"/>
                <w:szCs w:val="20"/>
              </w:rPr>
              <w:t>NCT02994927</w:t>
            </w:r>
            <w:r w:rsidRPr="0099114C">
              <w:rPr>
                <w:rStyle w:val="eop"/>
                <w:rFonts w:ascii="Arial Narrow" w:hAnsi="Arial Narrow" w:cs="Segoe UI"/>
                <w:sz w:val="20"/>
                <w:szCs w:val="20"/>
              </w:rPr>
              <w:t> </w:t>
            </w:r>
          </w:p>
        </w:tc>
        <w:tc>
          <w:tcPr>
            <w:tcW w:w="5445" w:type="dxa"/>
            <w:tcBorders>
              <w:top w:val="single" w:sz="6" w:space="0" w:color="auto"/>
              <w:left w:val="single" w:sz="6" w:space="0" w:color="auto"/>
              <w:bottom w:val="nil"/>
              <w:right w:val="single" w:sz="6" w:space="0" w:color="auto"/>
            </w:tcBorders>
            <w:shd w:val="clear" w:color="auto" w:fill="8EAADB" w:themeFill="accent1" w:themeFillTint="99"/>
            <w:hideMark/>
          </w:tcPr>
          <w:p w14:paraId="3AF4EC30" w14:textId="77777777" w:rsidR="00DB5178" w:rsidRPr="0099114C" w:rsidRDefault="00DB5178" w:rsidP="002E21D0">
            <w:pPr>
              <w:pStyle w:val="paragraph"/>
              <w:keepNext/>
              <w:spacing w:before="0" w:beforeAutospacing="0" w:after="0" w:afterAutospacing="0"/>
              <w:textAlignment w:val="baseline"/>
              <w:rPr>
                <w:rFonts w:ascii="Segoe UI" w:hAnsi="Segoe UI" w:cs="Segoe UI"/>
                <w:sz w:val="18"/>
                <w:szCs w:val="18"/>
              </w:rPr>
            </w:pPr>
            <w:r w:rsidRPr="0099114C">
              <w:rPr>
                <w:rStyle w:val="normaltextrun"/>
                <w:rFonts w:ascii="Arial Narrow" w:hAnsi="Arial Narrow" w:cs="Segoe UI"/>
                <w:sz w:val="20"/>
                <w:szCs w:val="20"/>
              </w:rPr>
              <w:t>A Randomized, Double-blind, Active-controlled, Phase 3 study to Evaluate the Safety and Efficacy of CCX168 (Avacopan) in Patients with Anti-Neutrophil Cytoplasmic Antibody (ANCA)-Associated Vasculitis Treated Concomitantly with Rituximab or Cyclophosphamide/Azathioprine.</w:t>
            </w:r>
            <w:r w:rsidRPr="0099114C">
              <w:rPr>
                <w:rStyle w:val="eop"/>
                <w:rFonts w:ascii="Arial Narrow" w:hAnsi="Arial Narrow" w:cs="Segoe UI"/>
                <w:sz w:val="20"/>
                <w:szCs w:val="20"/>
              </w:rPr>
              <w:t> </w:t>
            </w:r>
          </w:p>
        </w:tc>
        <w:tc>
          <w:tcPr>
            <w:tcW w:w="2115" w:type="dxa"/>
            <w:tcBorders>
              <w:top w:val="single" w:sz="6" w:space="0" w:color="auto"/>
              <w:left w:val="single" w:sz="6" w:space="0" w:color="auto"/>
              <w:bottom w:val="nil"/>
              <w:right w:val="single" w:sz="6" w:space="0" w:color="auto"/>
            </w:tcBorders>
            <w:shd w:val="clear" w:color="auto" w:fill="8EAADB" w:themeFill="accent1" w:themeFillTint="99"/>
            <w:hideMark/>
          </w:tcPr>
          <w:p w14:paraId="6115C7F3" w14:textId="77777777" w:rsidR="00DB5178" w:rsidRPr="0099114C" w:rsidRDefault="00DB5178" w:rsidP="002E21D0">
            <w:pPr>
              <w:pStyle w:val="paragraph"/>
              <w:keepNext/>
              <w:spacing w:before="0" w:beforeAutospacing="0" w:after="0" w:afterAutospacing="0"/>
              <w:textAlignment w:val="baseline"/>
              <w:rPr>
                <w:rFonts w:ascii="Segoe UI" w:hAnsi="Segoe UI" w:cs="Segoe UI"/>
                <w:sz w:val="18"/>
                <w:szCs w:val="18"/>
              </w:rPr>
            </w:pPr>
            <w:r w:rsidRPr="0099114C">
              <w:rPr>
                <w:rStyle w:val="normaltextrun"/>
                <w:rFonts w:ascii="Arial Narrow" w:hAnsi="Arial Narrow" w:cs="Segoe UI"/>
                <w:sz w:val="20"/>
                <w:szCs w:val="20"/>
              </w:rPr>
              <w:t>June 2020</w:t>
            </w:r>
            <w:r w:rsidRPr="0099114C">
              <w:rPr>
                <w:rStyle w:val="eop"/>
                <w:rFonts w:ascii="Arial Narrow" w:hAnsi="Arial Narrow" w:cs="Segoe UI"/>
                <w:sz w:val="20"/>
                <w:szCs w:val="20"/>
              </w:rPr>
              <w:t> </w:t>
            </w:r>
          </w:p>
        </w:tc>
      </w:tr>
      <w:tr w:rsidR="00DB5178" w:rsidRPr="0099114C" w14:paraId="41B7EFE5" w14:textId="77777777">
        <w:trPr>
          <w:trHeight w:val="300"/>
        </w:trPr>
        <w:tc>
          <w:tcPr>
            <w:tcW w:w="1425" w:type="dxa"/>
            <w:vMerge/>
            <w:tcBorders>
              <w:left w:val="single" w:sz="6" w:space="0" w:color="auto"/>
              <w:right w:val="single" w:sz="6" w:space="0" w:color="auto"/>
            </w:tcBorders>
            <w:shd w:val="clear" w:color="auto" w:fill="auto"/>
            <w:vAlign w:val="center"/>
            <w:hideMark/>
          </w:tcPr>
          <w:p w14:paraId="158027A4" w14:textId="77777777" w:rsidR="00DB5178" w:rsidRPr="0099114C" w:rsidRDefault="00DB5178" w:rsidP="002E21D0">
            <w:pPr>
              <w:keepNext/>
              <w:rPr>
                <w:rFonts w:ascii="Segoe UI" w:hAnsi="Segoe UI" w:cs="Segoe UI"/>
                <w:sz w:val="18"/>
                <w:szCs w:val="18"/>
              </w:rPr>
            </w:pPr>
          </w:p>
        </w:tc>
        <w:tc>
          <w:tcPr>
            <w:tcW w:w="5445"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707D69CF" w14:textId="170A4D9F" w:rsidR="00DB5178" w:rsidRPr="0099114C" w:rsidRDefault="00DB5178" w:rsidP="002E21D0">
            <w:pPr>
              <w:pStyle w:val="paragraph"/>
              <w:keepNext/>
              <w:spacing w:before="0" w:beforeAutospacing="0" w:after="0" w:afterAutospacing="0"/>
              <w:textAlignment w:val="baseline"/>
              <w:rPr>
                <w:rFonts w:ascii="Segoe UI" w:hAnsi="Segoe UI" w:cs="Segoe UI"/>
                <w:sz w:val="18"/>
                <w:szCs w:val="18"/>
              </w:rPr>
            </w:pPr>
            <w:r w:rsidRPr="0099114C">
              <w:rPr>
                <w:rStyle w:val="normaltextrun"/>
                <w:rFonts w:ascii="Arial Narrow" w:hAnsi="Arial Narrow" w:cs="Segoe UI"/>
                <w:sz w:val="20"/>
                <w:szCs w:val="20"/>
              </w:rPr>
              <w:t>Cortazar FB, Niles JL, Jayne DRW et al. Renal recovery for patients with antineutrophil cytoplasmic autoantibody-associated vasculitis and low estimated GFR in the ADVOCATE trial of avacopan</w:t>
            </w:r>
            <w:r w:rsidR="0099114C">
              <w:rPr>
                <w:rStyle w:val="normaltextrun"/>
                <w:rFonts w:ascii="Arial Narrow" w:hAnsi="Arial Narrow" w:cs="Segoe UI"/>
                <w:sz w:val="20"/>
                <w:szCs w:val="20"/>
              </w:rPr>
              <w:t xml:space="preserve">. </w:t>
            </w:r>
          </w:p>
        </w:tc>
        <w:tc>
          <w:tcPr>
            <w:tcW w:w="2115"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165122FD" w14:textId="77777777" w:rsidR="00DB5178" w:rsidRPr="0099114C" w:rsidRDefault="00DB5178" w:rsidP="002E21D0">
            <w:pPr>
              <w:pStyle w:val="paragraph"/>
              <w:keepNext/>
              <w:spacing w:before="0" w:beforeAutospacing="0" w:after="0" w:afterAutospacing="0"/>
              <w:textAlignment w:val="baseline"/>
              <w:rPr>
                <w:rFonts w:ascii="Segoe UI" w:hAnsi="Segoe UI" w:cs="Segoe UI"/>
                <w:sz w:val="18"/>
                <w:szCs w:val="18"/>
              </w:rPr>
            </w:pPr>
            <w:r w:rsidRPr="00857B0D">
              <w:rPr>
                <w:rStyle w:val="normaltextrun"/>
                <w:rFonts w:ascii="Arial Narrow" w:hAnsi="Arial Narrow" w:cs="Segoe UI"/>
                <w:i/>
                <w:iCs/>
                <w:sz w:val="20"/>
                <w:szCs w:val="20"/>
              </w:rPr>
              <w:t xml:space="preserve">Kidney Int Rep </w:t>
            </w:r>
            <w:r w:rsidRPr="00857B0D">
              <w:rPr>
                <w:rStyle w:val="normaltextrun"/>
                <w:rFonts w:ascii="Arial Narrow" w:hAnsi="Arial Narrow" w:cs="Segoe UI"/>
                <w:sz w:val="20"/>
                <w:szCs w:val="20"/>
              </w:rPr>
              <w:t>2023 (in press)</w:t>
            </w:r>
            <w:r w:rsidRPr="0099114C">
              <w:rPr>
                <w:rStyle w:val="eop"/>
                <w:rFonts w:ascii="Arial Narrow" w:hAnsi="Arial Narrow" w:cs="Segoe UI"/>
                <w:sz w:val="20"/>
                <w:szCs w:val="20"/>
              </w:rPr>
              <w:t> </w:t>
            </w:r>
          </w:p>
        </w:tc>
      </w:tr>
      <w:tr w:rsidR="00DB5178" w:rsidRPr="0099114C" w14:paraId="1B19FAA0" w14:textId="77777777">
        <w:trPr>
          <w:trHeight w:val="300"/>
        </w:trPr>
        <w:tc>
          <w:tcPr>
            <w:tcW w:w="1425" w:type="dxa"/>
            <w:vMerge/>
            <w:tcBorders>
              <w:left w:val="single" w:sz="6" w:space="0" w:color="auto"/>
              <w:right w:val="single" w:sz="6" w:space="0" w:color="auto"/>
            </w:tcBorders>
            <w:shd w:val="clear" w:color="auto" w:fill="auto"/>
            <w:vAlign w:val="center"/>
            <w:hideMark/>
          </w:tcPr>
          <w:p w14:paraId="487AEF92" w14:textId="77777777" w:rsidR="00DB5178" w:rsidRPr="0099114C" w:rsidRDefault="00DB5178" w:rsidP="002E21D0">
            <w:pPr>
              <w:keepNext/>
              <w:rPr>
                <w:rFonts w:ascii="Segoe UI" w:hAnsi="Segoe UI" w:cs="Segoe UI"/>
                <w:sz w:val="18"/>
                <w:szCs w:val="18"/>
              </w:rPr>
            </w:pPr>
          </w:p>
        </w:tc>
        <w:tc>
          <w:tcPr>
            <w:tcW w:w="5445"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2F45838A" w14:textId="77777777" w:rsidR="00DB5178" w:rsidRPr="0099114C" w:rsidRDefault="00DB5178" w:rsidP="002E21D0">
            <w:pPr>
              <w:pStyle w:val="paragraph"/>
              <w:keepNext/>
              <w:spacing w:before="0" w:beforeAutospacing="0" w:after="0" w:afterAutospacing="0"/>
              <w:textAlignment w:val="baseline"/>
              <w:rPr>
                <w:rFonts w:ascii="Segoe UI" w:hAnsi="Segoe UI" w:cs="Segoe UI"/>
                <w:sz w:val="18"/>
                <w:szCs w:val="18"/>
              </w:rPr>
            </w:pPr>
            <w:r w:rsidRPr="0099114C">
              <w:rPr>
                <w:rStyle w:val="normaltextrun"/>
                <w:rFonts w:ascii="Arial Narrow" w:hAnsi="Arial Narrow" w:cs="Segoe UI"/>
                <w:sz w:val="20"/>
                <w:szCs w:val="20"/>
              </w:rPr>
              <w:t>Jayne DRW, Merkel PA, Schall TJ et al. Avacopan for the treatment of ANCA-associated vasculitis.</w:t>
            </w:r>
            <w:r w:rsidRPr="0099114C">
              <w:rPr>
                <w:rStyle w:val="eop"/>
                <w:rFonts w:ascii="Arial Narrow" w:hAnsi="Arial Narrow" w:cs="Segoe UI"/>
                <w:sz w:val="20"/>
                <w:szCs w:val="20"/>
              </w:rPr>
              <w:t> </w:t>
            </w:r>
          </w:p>
        </w:tc>
        <w:tc>
          <w:tcPr>
            <w:tcW w:w="2115"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18D41443" w14:textId="77777777" w:rsidR="00DB5178" w:rsidRPr="0099114C" w:rsidRDefault="00DB5178" w:rsidP="002E21D0">
            <w:pPr>
              <w:pStyle w:val="paragraph"/>
              <w:keepNext/>
              <w:spacing w:before="0" w:beforeAutospacing="0" w:after="0" w:afterAutospacing="0"/>
              <w:textAlignment w:val="baseline"/>
              <w:rPr>
                <w:rFonts w:ascii="Segoe UI" w:hAnsi="Segoe UI" w:cs="Segoe UI"/>
                <w:sz w:val="18"/>
                <w:szCs w:val="18"/>
              </w:rPr>
            </w:pPr>
            <w:r w:rsidRPr="0099114C">
              <w:rPr>
                <w:rStyle w:val="normaltextrun"/>
                <w:rFonts w:ascii="Arial Narrow" w:hAnsi="Arial Narrow" w:cs="Segoe UI"/>
                <w:i/>
                <w:iCs/>
                <w:sz w:val="20"/>
                <w:szCs w:val="20"/>
              </w:rPr>
              <w:t xml:space="preserve">NEJM </w:t>
            </w:r>
            <w:r w:rsidRPr="0099114C">
              <w:rPr>
                <w:rStyle w:val="normaltextrun"/>
                <w:rFonts w:ascii="Arial Narrow" w:hAnsi="Arial Narrow" w:cs="Segoe UI"/>
                <w:sz w:val="20"/>
                <w:szCs w:val="20"/>
              </w:rPr>
              <w:t>2021; 384:599-609</w:t>
            </w:r>
            <w:r w:rsidRPr="0099114C">
              <w:rPr>
                <w:rStyle w:val="eop"/>
                <w:rFonts w:ascii="Arial Narrow" w:hAnsi="Arial Narrow" w:cs="Segoe UI"/>
                <w:sz w:val="20"/>
                <w:szCs w:val="20"/>
              </w:rPr>
              <w:t> </w:t>
            </w:r>
          </w:p>
        </w:tc>
      </w:tr>
      <w:tr w:rsidR="00DB5178" w:rsidRPr="0099114C" w14:paraId="759A1DE6" w14:textId="77777777">
        <w:trPr>
          <w:trHeight w:val="300"/>
        </w:trPr>
        <w:tc>
          <w:tcPr>
            <w:tcW w:w="1425" w:type="dxa"/>
            <w:vMerge/>
            <w:tcBorders>
              <w:left w:val="single" w:sz="6" w:space="0" w:color="auto"/>
              <w:right w:val="single" w:sz="6" w:space="0" w:color="auto"/>
            </w:tcBorders>
            <w:shd w:val="clear" w:color="auto" w:fill="auto"/>
            <w:vAlign w:val="center"/>
          </w:tcPr>
          <w:p w14:paraId="4EB08D03" w14:textId="77777777" w:rsidR="00DB5178" w:rsidRPr="0099114C" w:rsidRDefault="00DB5178" w:rsidP="002E21D0">
            <w:pPr>
              <w:keepNext/>
              <w:rPr>
                <w:rFonts w:ascii="Segoe UI" w:hAnsi="Segoe UI" w:cs="Segoe UI"/>
                <w:sz w:val="18"/>
                <w:szCs w:val="18"/>
              </w:rPr>
            </w:pPr>
          </w:p>
        </w:tc>
        <w:tc>
          <w:tcPr>
            <w:tcW w:w="5445" w:type="dxa"/>
            <w:tcBorders>
              <w:top w:val="single" w:sz="6" w:space="0" w:color="auto"/>
              <w:left w:val="single" w:sz="6" w:space="0" w:color="auto"/>
              <w:bottom w:val="single" w:sz="6" w:space="0" w:color="auto"/>
              <w:right w:val="single" w:sz="6" w:space="0" w:color="auto"/>
            </w:tcBorders>
            <w:shd w:val="clear" w:color="auto" w:fill="auto"/>
          </w:tcPr>
          <w:p w14:paraId="661E9177" w14:textId="77777777" w:rsidR="00DB5178" w:rsidRPr="0099114C" w:rsidRDefault="00DB5178" w:rsidP="002E21D0">
            <w:pPr>
              <w:pStyle w:val="paragraph"/>
              <w:keepNext/>
              <w:spacing w:before="0" w:beforeAutospacing="0" w:after="0" w:afterAutospacing="0"/>
              <w:textAlignment w:val="baseline"/>
              <w:rPr>
                <w:rStyle w:val="normaltextrun"/>
                <w:rFonts w:ascii="Arial Narrow" w:hAnsi="Arial Narrow" w:cs="Segoe UI"/>
                <w:sz w:val="20"/>
                <w:szCs w:val="20"/>
              </w:rPr>
            </w:pPr>
            <w:r w:rsidRPr="0099114C">
              <w:rPr>
                <w:rStyle w:val="normaltextrun"/>
                <w:rFonts w:ascii="Arial Narrow" w:hAnsi="Arial Narrow" w:cs="Segoe UI"/>
                <w:sz w:val="20"/>
                <w:szCs w:val="20"/>
              </w:rPr>
              <w:t>Cortazar, F. B., Jayne, D. R., Bruchfeld, A., Bekker, P. 2022. Renal Recovery for Patients With Baseline eGFR &lt;=20 in Avacopan ADVOCATE Trial [abstract].</w:t>
            </w:r>
          </w:p>
        </w:tc>
        <w:tc>
          <w:tcPr>
            <w:tcW w:w="2115" w:type="dxa"/>
            <w:tcBorders>
              <w:top w:val="single" w:sz="6" w:space="0" w:color="auto"/>
              <w:left w:val="single" w:sz="6" w:space="0" w:color="auto"/>
              <w:bottom w:val="single" w:sz="6" w:space="0" w:color="auto"/>
              <w:right w:val="single" w:sz="6" w:space="0" w:color="auto"/>
            </w:tcBorders>
            <w:shd w:val="clear" w:color="auto" w:fill="auto"/>
          </w:tcPr>
          <w:p w14:paraId="3DBF7938" w14:textId="77777777" w:rsidR="00DB5178" w:rsidRPr="0099114C" w:rsidRDefault="00DB5178" w:rsidP="002E21D0">
            <w:pPr>
              <w:pStyle w:val="paragraph"/>
              <w:keepNext/>
              <w:spacing w:before="0" w:beforeAutospacing="0" w:after="0" w:afterAutospacing="0"/>
              <w:textAlignment w:val="baseline"/>
              <w:rPr>
                <w:rStyle w:val="normaltextrun"/>
                <w:rFonts w:ascii="Arial Narrow" w:hAnsi="Arial Narrow" w:cs="Segoe UI"/>
                <w:i/>
                <w:iCs/>
                <w:sz w:val="20"/>
                <w:szCs w:val="20"/>
              </w:rPr>
            </w:pPr>
            <w:r w:rsidRPr="0099114C">
              <w:rPr>
                <w:rStyle w:val="normaltextrun"/>
                <w:rFonts w:ascii="Arial Narrow" w:hAnsi="Arial Narrow" w:cs="Segoe UI"/>
                <w:i/>
                <w:iCs/>
                <w:sz w:val="20"/>
                <w:szCs w:val="20"/>
              </w:rPr>
              <w:t>J Am Soc Nephrol, 33:501.</w:t>
            </w:r>
          </w:p>
        </w:tc>
      </w:tr>
      <w:tr w:rsidR="00DB5178" w:rsidRPr="0099114C" w14:paraId="154DE80F" w14:textId="77777777">
        <w:trPr>
          <w:trHeight w:val="300"/>
        </w:trPr>
        <w:tc>
          <w:tcPr>
            <w:tcW w:w="1425" w:type="dxa"/>
            <w:vMerge/>
            <w:tcBorders>
              <w:left w:val="single" w:sz="6" w:space="0" w:color="auto"/>
              <w:right w:val="single" w:sz="6" w:space="0" w:color="auto"/>
            </w:tcBorders>
            <w:shd w:val="clear" w:color="auto" w:fill="auto"/>
            <w:vAlign w:val="center"/>
          </w:tcPr>
          <w:p w14:paraId="347A087A" w14:textId="77777777" w:rsidR="00DB5178" w:rsidRPr="0099114C" w:rsidRDefault="00DB5178" w:rsidP="002E21D0">
            <w:pPr>
              <w:keepNext/>
              <w:rPr>
                <w:rFonts w:ascii="Segoe UI" w:hAnsi="Segoe UI" w:cs="Segoe UI"/>
                <w:sz w:val="18"/>
                <w:szCs w:val="18"/>
              </w:rPr>
            </w:pPr>
          </w:p>
        </w:tc>
        <w:tc>
          <w:tcPr>
            <w:tcW w:w="5445" w:type="dxa"/>
            <w:tcBorders>
              <w:top w:val="single" w:sz="6" w:space="0" w:color="auto"/>
              <w:left w:val="single" w:sz="6" w:space="0" w:color="auto"/>
              <w:bottom w:val="single" w:sz="6" w:space="0" w:color="auto"/>
              <w:right w:val="single" w:sz="6" w:space="0" w:color="auto"/>
            </w:tcBorders>
            <w:shd w:val="clear" w:color="auto" w:fill="auto"/>
          </w:tcPr>
          <w:p w14:paraId="48A3F6FA" w14:textId="77777777" w:rsidR="00DB5178" w:rsidRPr="0099114C" w:rsidRDefault="00DB5178" w:rsidP="002E21D0">
            <w:pPr>
              <w:pStyle w:val="paragraph"/>
              <w:keepNext/>
              <w:spacing w:before="0" w:beforeAutospacing="0" w:after="0" w:afterAutospacing="0"/>
              <w:textAlignment w:val="baseline"/>
              <w:rPr>
                <w:rStyle w:val="normaltextrun"/>
                <w:rFonts w:ascii="Arial Narrow" w:hAnsi="Arial Narrow" w:cs="Segoe UI"/>
                <w:sz w:val="20"/>
                <w:szCs w:val="20"/>
              </w:rPr>
            </w:pPr>
            <w:r w:rsidRPr="0099114C">
              <w:rPr>
                <w:rStyle w:val="normaltextrun"/>
                <w:rFonts w:ascii="Arial Narrow" w:hAnsi="Arial Narrow" w:cs="Segoe UI"/>
                <w:sz w:val="20"/>
                <w:szCs w:val="20"/>
              </w:rPr>
              <w:t>Jayne D., Merkel P., Cortazar F., et al. 2022. Recovery of Renal Function Among ANCA-Associated Vasculitis Patients with Baseline eGFR ≤20 in the Avacopan ADVOCATE Trial [abstract].</w:t>
            </w:r>
          </w:p>
        </w:tc>
        <w:tc>
          <w:tcPr>
            <w:tcW w:w="2115" w:type="dxa"/>
            <w:tcBorders>
              <w:top w:val="single" w:sz="6" w:space="0" w:color="auto"/>
              <w:left w:val="single" w:sz="6" w:space="0" w:color="auto"/>
              <w:bottom w:val="single" w:sz="6" w:space="0" w:color="auto"/>
              <w:right w:val="single" w:sz="6" w:space="0" w:color="auto"/>
            </w:tcBorders>
            <w:shd w:val="clear" w:color="auto" w:fill="auto"/>
          </w:tcPr>
          <w:p w14:paraId="5546B9AC" w14:textId="77777777" w:rsidR="00DB5178" w:rsidRPr="0099114C" w:rsidRDefault="00DB5178" w:rsidP="002E21D0">
            <w:pPr>
              <w:pStyle w:val="paragraph"/>
              <w:keepNext/>
              <w:spacing w:before="0" w:beforeAutospacing="0" w:after="0" w:afterAutospacing="0"/>
              <w:textAlignment w:val="baseline"/>
              <w:rPr>
                <w:rStyle w:val="normaltextrun"/>
                <w:rFonts w:ascii="Arial Narrow" w:hAnsi="Arial Narrow" w:cs="Segoe UI"/>
                <w:i/>
                <w:iCs/>
                <w:sz w:val="20"/>
                <w:szCs w:val="20"/>
              </w:rPr>
            </w:pPr>
            <w:r w:rsidRPr="0099114C">
              <w:rPr>
                <w:rStyle w:val="normaltextrun"/>
                <w:rFonts w:ascii="Arial Narrow" w:hAnsi="Arial Narrow" w:cs="Segoe UI"/>
                <w:i/>
                <w:iCs/>
                <w:sz w:val="20"/>
                <w:szCs w:val="20"/>
              </w:rPr>
              <w:t>Arthritis Rheumatol. 74(Suppl 9):1056-1057.</w:t>
            </w:r>
          </w:p>
        </w:tc>
      </w:tr>
      <w:tr w:rsidR="00DB5178" w:rsidRPr="0099114C" w14:paraId="6AA62EDB" w14:textId="77777777">
        <w:trPr>
          <w:trHeight w:val="300"/>
        </w:trPr>
        <w:tc>
          <w:tcPr>
            <w:tcW w:w="1425" w:type="dxa"/>
            <w:vMerge/>
            <w:tcBorders>
              <w:left w:val="single" w:sz="6" w:space="0" w:color="auto"/>
              <w:right w:val="single" w:sz="6" w:space="0" w:color="auto"/>
            </w:tcBorders>
            <w:shd w:val="clear" w:color="auto" w:fill="auto"/>
            <w:vAlign w:val="center"/>
          </w:tcPr>
          <w:p w14:paraId="68CC427E" w14:textId="77777777" w:rsidR="00DB5178" w:rsidRPr="0099114C" w:rsidRDefault="00DB5178" w:rsidP="002E21D0">
            <w:pPr>
              <w:keepNext/>
              <w:rPr>
                <w:rFonts w:ascii="Segoe UI" w:hAnsi="Segoe UI" w:cs="Segoe UI"/>
                <w:sz w:val="18"/>
                <w:szCs w:val="18"/>
              </w:rPr>
            </w:pPr>
          </w:p>
        </w:tc>
        <w:tc>
          <w:tcPr>
            <w:tcW w:w="5445" w:type="dxa"/>
            <w:tcBorders>
              <w:top w:val="single" w:sz="6" w:space="0" w:color="auto"/>
              <w:left w:val="single" w:sz="6" w:space="0" w:color="auto"/>
              <w:bottom w:val="single" w:sz="6" w:space="0" w:color="auto"/>
              <w:right w:val="single" w:sz="6" w:space="0" w:color="auto"/>
            </w:tcBorders>
            <w:shd w:val="clear" w:color="auto" w:fill="auto"/>
          </w:tcPr>
          <w:p w14:paraId="7F1FBAB4" w14:textId="77777777" w:rsidR="00DB5178" w:rsidRPr="0099114C" w:rsidRDefault="00DB5178" w:rsidP="002E21D0">
            <w:pPr>
              <w:pStyle w:val="paragraph"/>
              <w:keepNext/>
              <w:spacing w:before="0" w:beforeAutospacing="0" w:after="0" w:afterAutospacing="0"/>
              <w:textAlignment w:val="baseline"/>
              <w:rPr>
                <w:rStyle w:val="normaltextrun"/>
                <w:rFonts w:ascii="Arial Narrow" w:hAnsi="Arial Narrow" w:cs="Segoe UI"/>
                <w:sz w:val="20"/>
                <w:szCs w:val="20"/>
              </w:rPr>
            </w:pPr>
            <w:r w:rsidRPr="0099114C">
              <w:rPr>
                <w:rStyle w:val="normaltextrun"/>
                <w:rFonts w:ascii="Arial Narrow" w:hAnsi="Arial Narrow" w:cs="Segoe UI"/>
                <w:sz w:val="20"/>
                <w:szCs w:val="20"/>
              </w:rPr>
              <w:t>Patel N., Jayne D., Merkel P., et al. 2022. ANCA-Associated Vasculitis Treated with Avacopan versus a Standard Prednisone Taper: Glucocorticoid Toxicity Index Scores by Domain [abstract].</w:t>
            </w:r>
          </w:p>
        </w:tc>
        <w:tc>
          <w:tcPr>
            <w:tcW w:w="2115" w:type="dxa"/>
            <w:tcBorders>
              <w:top w:val="single" w:sz="6" w:space="0" w:color="auto"/>
              <w:left w:val="single" w:sz="6" w:space="0" w:color="auto"/>
              <w:bottom w:val="single" w:sz="6" w:space="0" w:color="auto"/>
              <w:right w:val="single" w:sz="6" w:space="0" w:color="auto"/>
            </w:tcBorders>
            <w:shd w:val="clear" w:color="auto" w:fill="auto"/>
          </w:tcPr>
          <w:p w14:paraId="7F4A90E9" w14:textId="77777777" w:rsidR="00DB5178" w:rsidRPr="0099114C" w:rsidRDefault="00DB5178" w:rsidP="002E21D0">
            <w:pPr>
              <w:pStyle w:val="paragraph"/>
              <w:keepNext/>
              <w:spacing w:before="0" w:beforeAutospacing="0" w:after="0" w:afterAutospacing="0"/>
              <w:textAlignment w:val="baseline"/>
              <w:rPr>
                <w:rStyle w:val="normaltextrun"/>
                <w:rFonts w:ascii="Arial Narrow" w:hAnsi="Arial Narrow" w:cs="Segoe UI"/>
                <w:i/>
                <w:iCs/>
                <w:sz w:val="20"/>
                <w:szCs w:val="20"/>
              </w:rPr>
            </w:pPr>
            <w:r w:rsidRPr="0099114C">
              <w:rPr>
                <w:rStyle w:val="normaltextrun"/>
                <w:rFonts w:ascii="Arial Narrow" w:hAnsi="Arial Narrow" w:cs="Segoe UI"/>
                <w:i/>
                <w:iCs/>
                <w:sz w:val="20"/>
                <w:szCs w:val="20"/>
              </w:rPr>
              <w:t>Arthritis Rheumatol; 74(Suppl 9):2141-2142.</w:t>
            </w:r>
          </w:p>
        </w:tc>
      </w:tr>
      <w:tr w:rsidR="00DB5178" w:rsidRPr="0099114C" w14:paraId="121D5E06" w14:textId="77777777">
        <w:trPr>
          <w:trHeight w:val="300"/>
        </w:trPr>
        <w:tc>
          <w:tcPr>
            <w:tcW w:w="1425" w:type="dxa"/>
            <w:vMerge/>
            <w:tcBorders>
              <w:left w:val="single" w:sz="6" w:space="0" w:color="auto"/>
              <w:right w:val="single" w:sz="6" w:space="0" w:color="auto"/>
            </w:tcBorders>
            <w:shd w:val="clear" w:color="auto" w:fill="auto"/>
            <w:vAlign w:val="center"/>
          </w:tcPr>
          <w:p w14:paraId="04607D46" w14:textId="77777777" w:rsidR="00DB5178" w:rsidRPr="0099114C" w:rsidRDefault="00DB5178" w:rsidP="002E21D0">
            <w:pPr>
              <w:keepNext/>
              <w:rPr>
                <w:rFonts w:ascii="Segoe UI" w:hAnsi="Segoe UI" w:cs="Segoe UI"/>
                <w:sz w:val="18"/>
                <w:szCs w:val="18"/>
              </w:rPr>
            </w:pPr>
          </w:p>
        </w:tc>
        <w:tc>
          <w:tcPr>
            <w:tcW w:w="5445" w:type="dxa"/>
            <w:tcBorders>
              <w:top w:val="single" w:sz="6" w:space="0" w:color="auto"/>
              <w:left w:val="single" w:sz="6" w:space="0" w:color="auto"/>
              <w:bottom w:val="single" w:sz="6" w:space="0" w:color="auto"/>
              <w:right w:val="single" w:sz="6" w:space="0" w:color="auto"/>
            </w:tcBorders>
            <w:shd w:val="clear" w:color="auto" w:fill="auto"/>
          </w:tcPr>
          <w:p w14:paraId="04B2A79F" w14:textId="77777777" w:rsidR="00DB5178" w:rsidRPr="0099114C" w:rsidRDefault="00DB5178" w:rsidP="002E21D0">
            <w:pPr>
              <w:pStyle w:val="paragraph"/>
              <w:keepNext/>
              <w:spacing w:before="0" w:beforeAutospacing="0" w:after="0" w:afterAutospacing="0"/>
              <w:textAlignment w:val="baseline"/>
              <w:rPr>
                <w:rStyle w:val="normaltextrun"/>
                <w:rFonts w:ascii="Arial Narrow" w:hAnsi="Arial Narrow" w:cs="Segoe UI"/>
                <w:sz w:val="20"/>
                <w:szCs w:val="20"/>
              </w:rPr>
            </w:pPr>
            <w:r w:rsidRPr="0099114C">
              <w:rPr>
                <w:rStyle w:val="normaltextrun"/>
                <w:rFonts w:ascii="Arial Narrow" w:hAnsi="Arial Narrow" w:cs="Segoe UI"/>
                <w:sz w:val="20"/>
                <w:szCs w:val="20"/>
              </w:rPr>
              <w:t>Patel N., Jayne D., Merkel P., et al. 2023. Glucocorticoid Toxicity Index scores by domain in patients with anti-neutrophil cytoplasmic antibody-associated vasculitis treated with avacopan versus standard prednisone taper: post-hoc analysis of data from the ADVOCATE trial.</w:t>
            </w:r>
          </w:p>
        </w:tc>
        <w:tc>
          <w:tcPr>
            <w:tcW w:w="2115" w:type="dxa"/>
            <w:tcBorders>
              <w:top w:val="single" w:sz="6" w:space="0" w:color="auto"/>
              <w:left w:val="single" w:sz="6" w:space="0" w:color="auto"/>
              <w:bottom w:val="single" w:sz="6" w:space="0" w:color="auto"/>
              <w:right w:val="single" w:sz="6" w:space="0" w:color="auto"/>
            </w:tcBorders>
            <w:shd w:val="clear" w:color="auto" w:fill="auto"/>
          </w:tcPr>
          <w:p w14:paraId="54D53349" w14:textId="77777777" w:rsidR="00DB5178" w:rsidRPr="0099114C" w:rsidRDefault="00DB5178" w:rsidP="002E21D0">
            <w:pPr>
              <w:pStyle w:val="paragraph"/>
              <w:keepNext/>
              <w:spacing w:before="0" w:beforeAutospacing="0" w:after="0" w:afterAutospacing="0"/>
              <w:textAlignment w:val="baseline"/>
              <w:rPr>
                <w:rStyle w:val="normaltextrun"/>
                <w:rFonts w:ascii="Arial Narrow" w:hAnsi="Arial Narrow" w:cs="Segoe UI"/>
                <w:i/>
                <w:iCs/>
                <w:sz w:val="20"/>
                <w:szCs w:val="20"/>
              </w:rPr>
            </w:pPr>
            <w:r w:rsidRPr="0099114C">
              <w:rPr>
                <w:rStyle w:val="normaltextrun"/>
                <w:rFonts w:ascii="Arial Narrow" w:hAnsi="Arial Narrow" w:cs="Segoe UI"/>
                <w:i/>
                <w:iCs/>
                <w:sz w:val="20"/>
                <w:szCs w:val="20"/>
              </w:rPr>
              <w:t>Lancet Rheumatol, 5(3):e130-e138.</w:t>
            </w:r>
          </w:p>
        </w:tc>
      </w:tr>
      <w:tr w:rsidR="00DB5178" w:rsidRPr="0099114C" w14:paraId="0FADEC2C" w14:textId="77777777">
        <w:trPr>
          <w:trHeight w:val="300"/>
        </w:trPr>
        <w:tc>
          <w:tcPr>
            <w:tcW w:w="1425" w:type="dxa"/>
            <w:vMerge/>
            <w:tcBorders>
              <w:left w:val="single" w:sz="6" w:space="0" w:color="auto"/>
              <w:right w:val="single" w:sz="6" w:space="0" w:color="auto"/>
            </w:tcBorders>
            <w:shd w:val="clear" w:color="auto" w:fill="auto"/>
            <w:vAlign w:val="center"/>
          </w:tcPr>
          <w:p w14:paraId="0BACD23E" w14:textId="77777777" w:rsidR="00DB5178" w:rsidRPr="0099114C" w:rsidRDefault="00DB5178" w:rsidP="002E21D0">
            <w:pPr>
              <w:keepNext/>
              <w:rPr>
                <w:rFonts w:ascii="Segoe UI" w:hAnsi="Segoe UI" w:cs="Segoe UI"/>
                <w:sz w:val="18"/>
                <w:szCs w:val="18"/>
              </w:rPr>
            </w:pPr>
          </w:p>
        </w:tc>
        <w:tc>
          <w:tcPr>
            <w:tcW w:w="5445" w:type="dxa"/>
            <w:tcBorders>
              <w:top w:val="single" w:sz="6" w:space="0" w:color="auto"/>
              <w:left w:val="single" w:sz="6" w:space="0" w:color="auto"/>
              <w:bottom w:val="single" w:sz="6" w:space="0" w:color="auto"/>
              <w:right w:val="single" w:sz="6" w:space="0" w:color="auto"/>
            </w:tcBorders>
            <w:shd w:val="clear" w:color="auto" w:fill="auto"/>
          </w:tcPr>
          <w:p w14:paraId="000A41A2" w14:textId="77777777" w:rsidR="00DB5178" w:rsidRPr="0099114C" w:rsidRDefault="00DB5178" w:rsidP="002E21D0">
            <w:pPr>
              <w:pStyle w:val="paragraph"/>
              <w:keepNext/>
              <w:spacing w:before="0" w:beforeAutospacing="0" w:after="0" w:afterAutospacing="0"/>
              <w:textAlignment w:val="baseline"/>
              <w:rPr>
                <w:rStyle w:val="normaltextrun"/>
                <w:rFonts w:ascii="Arial Narrow" w:hAnsi="Arial Narrow" w:cs="Segoe UI"/>
                <w:sz w:val="20"/>
                <w:szCs w:val="20"/>
              </w:rPr>
            </w:pPr>
            <w:r w:rsidRPr="00857B0D">
              <w:rPr>
                <w:rStyle w:val="normaltextrun"/>
                <w:rFonts w:ascii="Arial Narrow" w:hAnsi="Arial Narrow" w:cs="Segoe UI"/>
                <w:sz w:val="20"/>
                <w:szCs w:val="20"/>
              </w:rPr>
              <w:t xml:space="preserve">Geetha D., Cortazar F., Karras A., et al. 2023. </w:t>
            </w:r>
            <w:r w:rsidRPr="0099114C">
              <w:rPr>
                <w:rStyle w:val="normaltextrun"/>
                <w:rFonts w:ascii="Arial Narrow" w:hAnsi="Arial Narrow" w:cs="Segoe UI"/>
                <w:sz w:val="20"/>
                <w:szCs w:val="20"/>
              </w:rPr>
              <w:t>#3236 Change in albuminuria in patients with ANCA-associated vasculitis treated with avacopan.</w:t>
            </w:r>
          </w:p>
        </w:tc>
        <w:tc>
          <w:tcPr>
            <w:tcW w:w="2115" w:type="dxa"/>
            <w:tcBorders>
              <w:top w:val="single" w:sz="6" w:space="0" w:color="auto"/>
              <w:left w:val="single" w:sz="6" w:space="0" w:color="auto"/>
              <w:bottom w:val="single" w:sz="6" w:space="0" w:color="auto"/>
              <w:right w:val="single" w:sz="6" w:space="0" w:color="auto"/>
            </w:tcBorders>
            <w:shd w:val="clear" w:color="auto" w:fill="auto"/>
          </w:tcPr>
          <w:p w14:paraId="2484A4AB" w14:textId="77777777" w:rsidR="00DB5178" w:rsidRPr="0099114C" w:rsidRDefault="00DB5178" w:rsidP="002E21D0">
            <w:pPr>
              <w:pStyle w:val="paragraph"/>
              <w:keepNext/>
              <w:spacing w:before="0" w:beforeAutospacing="0" w:after="0" w:afterAutospacing="0"/>
              <w:textAlignment w:val="baseline"/>
              <w:rPr>
                <w:rStyle w:val="normaltextrun"/>
                <w:rFonts w:ascii="Arial Narrow" w:hAnsi="Arial Narrow" w:cs="Segoe UI"/>
                <w:i/>
                <w:iCs/>
                <w:sz w:val="20"/>
                <w:szCs w:val="20"/>
              </w:rPr>
            </w:pPr>
            <w:r w:rsidRPr="0099114C">
              <w:rPr>
                <w:rStyle w:val="normaltextrun"/>
                <w:rFonts w:ascii="Arial Narrow" w:hAnsi="Arial Narrow" w:cs="Segoe UI"/>
                <w:i/>
                <w:iCs/>
                <w:sz w:val="20"/>
                <w:szCs w:val="20"/>
              </w:rPr>
              <w:t>Nephrol Dial Transplant, 38(Suppl 1): i296-i298.</w:t>
            </w:r>
          </w:p>
        </w:tc>
      </w:tr>
      <w:tr w:rsidR="00D87643" w:rsidRPr="0099114C" w14:paraId="69B14805" w14:textId="77777777" w:rsidTr="004977C6">
        <w:trPr>
          <w:trHeight w:val="300"/>
        </w:trPr>
        <w:tc>
          <w:tcPr>
            <w:tcW w:w="1425" w:type="dxa"/>
            <w:vMerge/>
            <w:tcBorders>
              <w:left w:val="single" w:sz="6" w:space="0" w:color="auto"/>
              <w:bottom w:val="single" w:sz="4" w:space="0" w:color="auto"/>
              <w:right w:val="single" w:sz="6" w:space="0" w:color="auto"/>
            </w:tcBorders>
            <w:shd w:val="clear" w:color="auto" w:fill="auto"/>
            <w:vAlign w:val="center"/>
          </w:tcPr>
          <w:p w14:paraId="1E4A1001" w14:textId="77777777" w:rsidR="00DB5178" w:rsidRPr="0099114C" w:rsidRDefault="00DB5178" w:rsidP="002E21D0">
            <w:pPr>
              <w:keepNext/>
              <w:rPr>
                <w:rFonts w:ascii="Segoe UI" w:hAnsi="Segoe UI" w:cs="Segoe UI"/>
                <w:sz w:val="18"/>
                <w:szCs w:val="18"/>
              </w:rPr>
            </w:pPr>
          </w:p>
        </w:tc>
        <w:tc>
          <w:tcPr>
            <w:tcW w:w="5445" w:type="dxa"/>
            <w:tcBorders>
              <w:top w:val="single" w:sz="6" w:space="0" w:color="auto"/>
              <w:left w:val="single" w:sz="6" w:space="0" w:color="auto"/>
              <w:bottom w:val="single" w:sz="6" w:space="0" w:color="auto"/>
              <w:right w:val="single" w:sz="6" w:space="0" w:color="auto"/>
            </w:tcBorders>
            <w:shd w:val="clear" w:color="auto" w:fill="auto"/>
          </w:tcPr>
          <w:p w14:paraId="1A54BCCC" w14:textId="77777777" w:rsidR="00DB5178" w:rsidRPr="0099114C" w:rsidRDefault="00DB5178" w:rsidP="002E21D0">
            <w:pPr>
              <w:pStyle w:val="paragraph"/>
              <w:keepNext/>
              <w:spacing w:before="0" w:beforeAutospacing="0" w:after="0" w:afterAutospacing="0"/>
              <w:textAlignment w:val="baseline"/>
              <w:rPr>
                <w:rStyle w:val="normaltextrun"/>
                <w:rFonts w:ascii="Arial Narrow" w:hAnsi="Arial Narrow" w:cs="Segoe UI"/>
                <w:sz w:val="20"/>
                <w:szCs w:val="20"/>
              </w:rPr>
            </w:pPr>
            <w:r w:rsidRPr="0099114C">
              <w:rPr>
                <w:rStyle w:val="normaltextrun"/>
                <w:rFonts w:ascii="Arial Narrow" w:hAnsi="Arial Narrow" w:cs="Segoe UI"/>
                <w:sz w:val="20"/>
                <w:szCs w:val="20"/>
              </w:rPr>
              <w:t xml:space="preserve">Strand V., Jayne D., Horomanski A., et al. 2023. The impact of treatment with avacopan on health-related quality of life in anti-neutrophil cytoplasmic antibody-associated vasculitis: a post-hoc analysis of data from the ADVOCATE trial. </w:t>
            </w:r>
          </w:p>
        </w:tc>
        <w:tc>
          <w:tcPr>
            <w:tcW w:w="2115" w:type="dxa"/>
            <w:tcBorders>
              <w:top w:val="single" w:sz="6" w:space="0" w:color="auto"/>
              <w:left w:val="single" w:sz="6" w:space="0" w:color="auto"/>
              <w:bottom w:val="single" w:sz="6" w:space="0" w:color="auto"/>
              <w:right w:val="single" w:sz="6" w:space="0" w:color="auto"/>
            </w:tcBorders>
            <w:shd w:val="clear" w:color="auto" w:fill="auto"/>
          </w:tcPr>
          <w:p w14:paraId="3FDBAE0F" w14:textId="77777777" w:rsidR="00DB5178" w:rsidRPr="0099114C" w:rsidRDefault="00DB5178" w:rsidP="002E21D0">
            <w:pPr>
              <w:pStyle w:val="paragraph"/>
              <w:keepNext/>
              <w:spacing w:before="0" w:beforeAutospacing="0" w:after="0" w:afterAutospacing="0"/>
              <w:textAlignment w:val="baseline"/>
              <w:rPr>
                <w:rStyle w:val="normaltextrun"/>
                <w:rFonts w:ascii="Arial Narrow" w:hAnsi="Arial Narrow" w:cs="Segoe UI"/>
                <w:i/>
                <w:iCs/>
                <w:sz w:val="20"/>
                <w:szCs w:val="20"/>
              </w:rPr>
            </w:pPr>
            <w:r w:rsidRPr="0099114C">
              <w:rPr>
                <w:rStyle w:val="normaltextrun"/>
                <w:rFonts w:ascii="Arial Narrow" w:hAnsi="Arial Narrow" w:cs="Segoe UI"/>
                <w:i/>
                <w:iCs/>
                <w:sz w:val="20"/>
                <w:szCs w:val="20"/>
              </w:rPr>
              <w:t>Lancet Rheumatol, 5(8):e451-e460.</w:t>
            </w:r>
          </w:p>
        </w:tc>
      </w:tr>
      <w:tr w:rsidR="00E94B1B" w:rsidRPr="0099114C" w14:paraId="6D2F625E" w14:textId="77777777" w:rsidTr="004A30B9">
        <w:trPr>
          <w:trHeight w:val="300"/>
        </w:trPr>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3D43C735" w14:textId="77777777" w:rsidR="00E94B1B" w:rsidRPr="0099114C" w:rsidRDefault="00E94B1B" w:rsidP="002E21D0">
            <w:pPr>
              <w:pStyle w:val="Tabletext0"/>
              <w:keepNext/>
            </w:pPr>
            <w:r w:rsidRPr="0099114C">
              <w:t>MAINRITSAN</w:t>
            </w:r>
          </w:p>
          <w:p w14:paraId="3B8CB97E" w14:textId="01DE1A8B" w:rsidR="00B26FB1" w:rsidRPr="0099114C" w:rsidRDefault="00B26FB1" w:rsidP="002E21D0">
            <w:pPr>
              <w:pStyle w:val="Tabletext0"/>
              <w:keepNext/>
            </w:pPr>
            <w:r w:rsidRPr="0099114C">
              <w:t>NCT00748644</w:t>
            </w:r>
          </w:p>
        </w:tc>
        <w:tc>
          <w:tcPr>
            <w:tcW w:w="5445" w:type="dxa"/>
            <w:tcBorders>
              <w:top w:val="single" w:sz="6" w:space="0" w:color="auto"/>
              <w:left w:val="single" w:sz="4" w:space="0" w:color="auto"/>
              <w:bottom w:val="single" w:sz="6" w:space="0" w:color="auto"/>
              <w:right w:val="single" w:sz="6" w:space="0" w:color="auto"/>
            </w:tcBorders>
            <w:shd w:val="clear" w:color="auto" w:fill="auto"/>
          </w:tcPr>
          <w:p w14:paraId="20B4DDF5" w14:textId="26148EBD" w:rsidR="00E94B1B" w:rsidRPr="0099114C" w:rsidRDefault="00DE0C28" w:rsidP="002E21D0">
            <w:pPr>
              <w:pStyle w:val="Tabletext0"/>
              <w:keepNext/>
              <w:rPr>
                <w:rStyle w:val="normaltextrun"/>
                <w:rFonts w:ascii="Calibri" w:hAnsi="Calibri" w:cs="Segoe UI"/>
                <w:szCs w:val="20"/>
              </w:rPr>
            </w:pPr>
            <w:r w:rsidRPr="0099114C">
              <w:rPr>
                <w:rStyle w:val="normaltextrun"/>
                <w:rFonts w:cs="Segoe UI"/>
                <w:szCs w:val="20"/>
              </w:rPr>
              <w:t>Guillevin L, Pagnoux C, Karras A, et al. Rituximab versus azathioprine for maintenance in ANCA-associated vasculitis.</w:t>
            </w:r>
          </w:p>
        </w:tc>
        <w:tc>
          <w:tcPr>
            <w:tcW w:w="2115" w:type="dxa"/>
            <w:tcBorders>
              <w:top w:val="single" w:sz="6" w:space="0" w:color="auto"/>
              <w:left w:val="single" w:sz="6" w:space="0" w:color="auto"/>
              <w:bottom w:val="single" w:sz="6" w:space="0" w:color="auto"/>
              <w:right w:val="single" w:sz="6" w:space="0" w:color="auto"/>
            </w:tcBorders>
            <w:shd w:val="clear" w:color="auto" w:fill="auto"/>
          </w:tcPr>
          <w:p w14:paraId="55B3C8E8" w14:textId="0CDF736B" w:rsidR="00E94B1B" w:rsidRPr="0099114C" w:rsidRDefault="00AC1A4C" w:rsidP="002E21D0">
            <w:pPr>
              <w:pStyle w:val="Tabletext0"/>
              <w:keepNext/>
              <w:rPr>
                <w:rStyle w:val="normaltextrun"/>
                <w:rFonts w:cs="Segoe UI"/>
                <w:i/>
                <w:iCs/>
                <w:szCs w:val="20"/>
              </w:rPr>
            </w:pPr>
            <w:r w:rsidRPr="0099114C">
              <w:rPr>
                <w:rStyle w:val="normaltextrun"/>
                <w:rFonts w:cs="Segoe UI"/>
                <w:i/>
                <w:iCs/>
                <w:szCs w:val="20"/>
              </w:rPr>
              <w:t>N Engl J Med. 2014;371(19):1771-1780.</w:t>
            </w:r>
          </w:p>
        </w:tc>
      </w:tr>
      <w:tr w:rsidR="00E94B1B" w:rsidRPr="0099114C" w14:paraId="7189FBE8" w14:textId="77777777" w:rsidTr="004A30B9">
        <w:trPr>
          <w:trHeight w:val="300"/>
        </w:trPr>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1A8FDBEC" w14:textId="77777777" w:rsidR="00E94B1B" w:rsidRPr="0099114C" w:rsidRDefault="00E94B1B" w:rsidP="002E21D0">
            <w:pPr>
              <w:pStyle w:val="Tabletext0"/>
              <w:keepNext/>
            </w:pPr>
            <w:r w:rsidRPr="0099114C">
              <w:t>MAINRITSAN 2</w:t>
            </w:r>
          </w:p>
          <w:p w14:paraId="6A6D2043" w14:textId="1C769D7A" w:rsidR="0093082E" w:rsidRPr="0099114C" w:rsidRDefault="0093082E" w:rsidP="002E21D0">
            <w:pPr>
              <w:pStyle w:val="Tabletext0"/>
              <w:keepNext/>
            </w:pPr>
            <w:r w:rsidRPr="0099114C">
              <w:t>NCT01731561</w:t>
            </w:r>
          </w:p>
        </w:tc>
        <w:tc>
          <w:tcPr>
            <w:tcW w:w="5445" w:type="dxa"/>
            <w:tcBorders>
              <w:top w:val="single" w:sz="6" w:space="0" w:color="auto"/>
              <w:left w:val="single" w:sz="4" w:space="0" w:color="auto"/>
              <w:bottom w:val="single" w:sz="6" w:space="0" w:color="auto"/>
              <w:right w:val="single" w:sz="6" w:space="0" w:color="auto"/>
            </w:tcBorders>
            <w:shd w:val="clear" w:color="auto" w:fill="auto"/>
          </w:tcPr>
          <w:p w14:paraId="777BA48B" w14:textId="723A38F3" w:rsidR="00E94B1B" w:rsidRPr="0099114C" w:rsidRDefault="000B7A41" w:rsidP="002E21D0">
            <w:pPr>
              <w:pStyle w:val="Tabletext0"/>
              <w:keepNext/>
              <w:rPr>
                <w:rStyle w:val="normaltextrun"/>
                <w:rFonts w:ascii="Calibri" w:hAnsi="Calibri" w:cs="Segoe UI"/>
                <w:szCs w:val="20"/>
              </w:rPr>
            </w:pPr>
            <w:r w:rsidRPr="0099114C">
              <w:rPr>
                <w:rStyle w:val="normaltextrun"/>
                <w:rFonts w:cs="Segoe UI"/>
                <w:szCs w:val="20"/>
              </w:rPr>
              <w:t>Charles P, Terrier B, Perrodeau É for the French Vasculitis Study Group, et al. Comparison of individually tailored versus fixed-schedule rituximab regimen to maintain ANCA-associated vasculitis remission: results of a multicentre, randomised controlled, phase III trial (MAINRITSAN2)</w:t>
            </w:r>
          </w:p>
        </w:tc>
        <w:tc>
          <w:tcPr>
            <w:tcW w:w="2115" w:type="dxa"/>
            <w:tcBorders>
              <w:top w:val="single" w:sz="6" w:space="0" w:color="auto"/>
              <w:left w:val="single" w:sz="6" w:space="0" w:color="auto"/>
              <w:bottom w:val="single" w:sz="6" w:space="0" w:color="auto"/>
              <w:right w:val="single" w:sz="6" w:space="0" w:color="auto"/>
            </w:tcBorders>
            <w:shd w:val="clear" w:color="auto" w:fill="auto"/>
          </w:tcPr>
          <w:p w14:paraId="5D647283" w14:textId="18A6B2FE" w:rsidR="00E94B1B" w:rsidRPr="0099114C" w:rsidRDefault="000B7A41" w:rsidP="002E21D0">
            <w:pPr>
              <w:pStyle w:val="Tabletext0"/>
              <w:keepNext/>
              <w:rPr>
                <w:rStyle w:val="normaltextrun"/>
                <w:rFonts w:cs="Segoe UI"/>
                <w:i/>
                <w:iCs/>
                <w:szCs w:val="20"/>
              </w:rPr>
            </w:pPr>
            <w:r w:rsidRPr="0099114C">
              <w:rPr>
                <w:rStyle w:val="normaltextrun"/>
                <w:rFonts w:cs="Segoe UI"/>
                <w:i/>
                <w:iCs/>
                <w:szCs w:val="20"/>
              </w:rPr>
              <w:t>Annals of the Rheumatic Diseases 2018;77:1143-1149.</w:t>
            </w:r>
          </w:p>
        </w:tc>
      </w:tr>
      <w:tr w:rsidR="00E94B1B" w:rsidRPr="0099114C" w14:paraId="5DF2C941" w14:textId="77777777" w:rsidTr="004A30B9">
        <w:trPr>
          <w:trHeight w:val="300"/>
        </w:trPr>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5333094D" w14:textId="77777777" w:rsidR="00E94B1B" w:rsidRPr="0099114C" w:rsidRDefault="00E94B1B" w:rsidP="002E21D0">
            <w:pPr>
              <w:pStyle w:val="Tabletext0"/>
              <w:keepNext/>
            </w:pPr>
            <w:r w:rsidRPr="0099114C">
              <w:t>RITAZAREM</w:t>
            </w:r>
          </w:p>
          <w:p w14:paraId="057DBCE2" w14:textId="630E3D38" w:rsidR="009170BA" w:rsidRPr="0099114C" w:rsidRDefault="009170BA" w:rsidP="002E21D0">
            <w:pPr>
              <w:pStyle w:val="Tabletext0"/>
              <w:keepNext/>
            </w:pPr>
            <w:r w:rsidRPr="0099114C">
              <w:t>NCT01697267</w:t>
            </w:r>
          </w:p>
        </w:tc>
        <w:tc>
          <w:tcPr>
            <w:tcW w:w="5445" w:type="dxa"/>
            <w:tcBorders>
              <w:top w:val="single" w:sz="6" w:space="0" w:color="auto"/>
              <w:left w:val="single" w:sz="4" w:space="0" w:color="auto"/>
              <w:bottom w:val="single" w:sz="6" w:space="0" w:color="auto"/>
              <w:right w:val="single" w:sz="6" w:space="0" w:color="auto"/>
            </w:tcBorders>
            <w:shd w:val="clear" w:color="auto" w:fill="auto"/>
          </w:tcPr>
          <w:p w14:paraId="43C3E273" w14:textId="59544236" w:rsidR="00E94B1B" w:rsidRPr="0099114C" w:rsidRDefault="00132742" w:rsidP="002E21D0">
            <w:pPr>
              <w:pStyle w:val="Tabletext0"/>
              <w:keepNext/>
              <w:rPr>
                <w:rStyle w:val="normaltextrun"/>
                <w:rFonts w:ascii="Calibri" w:hAnsi="Calibri" w:cs="Segoe UI"/>
                <w:szCs w:val="20"/>
              </w:rPr>
            </w:pPr>
            <w:r w:rsidRPr="0099114C">
              <w:rPr>
                <w:rStyle w:val="normaltextrun"/>
                <w:rFonts w:cs="Segoe UI"/>
                <w:szCs w:val="20"/>
              </w:rPr>
              <w:t>Smith RM, Jones RB, Specks U RITAZAREM co-investigators, et al</w:t>
            </w:r>
            <w:r w:rsidR="005A027A" w:rsidRPr="0099114C">
              <w:rPr>
                <w:rStyle w:val="normaltextrun"/>
                <w:rFonts w:cs="Segoe UI"/>
                <w:szCs w:val="20"/>
              </w:rPr>
              <w:t xml:space="preserve">. </w:t>
            </w:r>
            <w:r w:rsidRPr="0099114C">
              <w:rPr>
                <w:rStyle w:val="normaltextrun"/>
                <w:rFonts w:cs="Segoe UI"/>
                <w:szCs w:val="20"/>
              </w:rPr>
              <w:t>Rituximab versus azathioprine for maintenance of remission for patients with ANCA-associated vasculitis and relapsing disease: an international randomised controlled trial</w:t>
            </w:r>
          </w:p>
        </w:tc>
        <w:tc>
          <w:tcPr>
            <w:tcW w:w="2115" w:type="dxa"/>
            <w:tcBorders>
              <w:top w:val="single" w:sz="6" w:space="0" w:color="auto"/>
              <w:left w:val="single" w:sz="6" w:space="0" w:color="auto"/>
              <w:bottom w:val="single" w:sz="6" w:space="0" w:color="auto"/>
              <w:right w:val="single" w:sz="6" w:space="0" w:color="auto"/>
            </w:tcBorders>
            <w:shd w:val="clear" w:color="auto" w:fill="auto"/>
          </w:tcPr>
          <w:p w14:paraId="4CD33706" w14:textId="33DFF7E8" w:rsidR="00E94B1B" w:rsidRPr="0099114C" w:rsidRDefault="005A027A" w:rsidP="002E21D0">
            <w:pPr>
              <w:pStyle w:val="Tabletext0"/>
              <w:keepNext/>
              <w:rPr>
                <w:rStyle w:val="normaltextrun"/>
                <w:rFonts w:cs="Segoe UI"/>
                <w:i/>
                <w:iCs/>
                <w:szCs w:val="20"/>
              </w:rPr>
            </w:pPr>
            <w:r w:rsidRPr="0099114C">
              <w:rPr>
                <w:rStyle w:val="normaltextrun"/>
                <w:rFonts w:cs="Segoe UI"/>
                <w:i/>
                <w:iCs/>
                <w:szCs w:val="20"/>
              </w:rPr>
              <w:t>Annals of the Rheumatic Diseases 2023;82:937-944.</w:t>
            </w:r>
          </w:p>
        </w:tc>
      </w:tr>
    </w:tbl>
    <w:p w14:paraId="5124C819" w14:textId="77777777" w:rsidR="00DB5178" w:rsidRPr="0099114C" w:rsidRDefault="00DB5178" w:rsidP="002E21D0">
      <w:pPr>
        <w:pStyle w:val="FooterTableFigure"/>
        <w:keepNext/>
      </w:pPr>
      <w:r w:rsidRPr="0099114C">
        <w:t>Source: Table 2.6, p53 of the resubmission, Table 2.7, pp53-54 of the resubmission</w:t>
      </w:r>
    </w:p>
    <w:p w14:paraId="41007ECA" w14:textId="18D0B828" w:rsidR="003F60DA" w:rsidRPr="0099114C" w:rsidRDefault="003F60DA" w:rsidP="00DB5178">
      <w:pPr>
        <w:pStyle w:val="FooterTableFigure"/>
      </w:pPr>
      <w:r w:rsidRPr="0099114C">
        <w:t xml:space="preserve">Abbreviations: </w:t>
      </w:r>
      <w:r w:rsidR="00363749" w:rsidRPr="0099114C">
        <w:t xml:space="preserve">eGFR, </w:t>
      </w:r>
      <w:r w:rsidR="001C76B8" w:rsidRPr="0099114C">
        <w:t xml:space="preserve">estimated glomerular filtration rate; </w:t>
      </w:r>
      <w:r w:rsidR="00F858ED" w:rsidRPr="0099114C">
        <w:t>GFR</w:t>
      </w:r>
      <w:r w:rsidR="0022175C" w:rsidRPr="0099114C">
        <w:t>, glomerular filtration rate</w:t>
      </w:r>
      <w:r w:rsidR="0055281F" w:rsidRPr="0099114C">
        <w:t>.</w:t>
      </w:r>
    </w:p>
    <w:p w14:paraId="0B1D5096" w14:textId="77777777" w:rsidR="00DB5178" w:rsidRPr="0099114C" w:rsidRDefault="00DB5178" w:rsidP="00DB5178">
      <w:pPr>
        <w:pStyle w:val="FooterTableFigure"/>
        <w:rPr>
          <w:rStyle w:val="normaltextrun"/>
          <w:color w:val="000000"/>
          <w:szCs w:val="18"/>
          <w:shd w:val="clear" w:color="auto" w:fill="FFFFFF"/>
        </w:rPr>
      </w:pPr>
      <w:r w:rsidRPr="0099114C">
        <w:rPr>
          <w:rStyle w:val="normaltextrun"/>
          <w:color w:val="000000"/>
          <w:szCs w:val="18"/>
          <w:shd w:val="clear" w:color="auto" w:fill="8EAADB" w:themeFill="accent1" w:themeFillTint="99"/>
        </w:rPr>
        <w:t>Blue Shading</w:t>
      </w:r>
      <w:r w:rsidRPr="0099114C">
        <w:rPr>
          <w:rStyle w:val="normaltextrun"/>
          <w:color w:val="000000"/>
          <w:szCs w:val="18"/>
          <w:shd w:val="clear" w:color="auto" w:fill="FFFFFF"/>
        </w:rPr>
        <w:t xml:space="preserve"> indicates information previously seen by the PBAC</w:t>
      </w:r>
    </w:p>
    <w:p w14:paraId="0ACAEF7D" w14:textId="11D32705" w:rsidR="002E5DF7" w:rsidRPr="0099114C" w:rsidRDefault="002E5DF7" w:rsidP="00DB5178">
      <w:pPr>
        <w:pStyle w:val="FooterTableFigure"/>
        <w:rPr>
          <w:color w:val="000000"/>
          <w:szCs w:val="18"/>
          <w:shd w:val="clear" w:color="auto" w:fill="FFFFFF"/>
        </w:rPr>
      </w:pPr>
      <w:r w:rsidRPr="0099114C">
        <w:rPr>
          <w:rStyle w:val="normaltextrun"/>
          <w:color w:val="000000"/>
          <w:szCs w:val="18"/>
          <w:shd w:val="clear" w:color="auto" w:fill="FFFFFF"/>
        </w:rPr>
        <w:t xml:space="preserve">Note: </w:t>
      </w:r>
      <w:r w:rsidR="00303488" w:rsidRPr="0099114C">
        <w:rPr>
          <w:rStyle w:val="normaltextrun"/>
          <w:color w:val="000000"/>
          <w:szCs w:val="18"/>
          <w:shd w:val="clear" w:color="auto" w:fill="FFFFFF"/>
        </w:rPr>
        <w:t>The three rituximab trials, MAINRITSAN, MAINRITSAN 2, and RITAZAREM are not discussed in detail in the main body of the resubmission but are more comprehensively described in Attachment 18 of the resubmission.</w:t>
      </w:r>
    </w:p>
    <w:p w14:paraId="2EBE95AB" w14:textId="4511AD03" w:rsidR="006717F3" w:rsidRPr="002E21D0" w:rsidRDefault="00DB5178" w:rsidP="002E21D0">
      <w:pPr>
        <w:pStyle w:val="3-BodyText"/>
        <w:rPr>
          <w:rFonts w:eastAsiaTheme="majorEastAsia"/>
        </w:rPr>
      </w:pPr>
      <w:r w:rsidRPr="0099114C">
        <w:t>The key features of the randomised trial</w:t>
      </w:r>
      <w:r w:rsidR="00303488" w:rsidRPr="0099114C">
        <w:t>s</w:t>
      </w:r>
      <w:r w:rsidRPr="0099114C">
        <w:t xml:space="preserve"> are summarised in</w:t>
      </w:r>
      <w:r w:rsidR="00797B80" w:rsidRPr="0099114C">
        <w:t xml:space="preserve"> </w:t>
      </w:r>
      <w:r w:rsidR="00797B80" w:rsidRPr="0099114C">
        <w:fldChar w:fldCharType="begin" w:fldLock="1"/>
      </w:r>
      <w:r w:rsidR="00797B80" w:rsidRPr="0099114C">
        <w:instrText xml:space="preserve"> REF _Ref155863911 \h  \* MERGEFORMAT </w:instrText>
      </w:r>
      <w:r w:rsidR="00797B80" w:rsidRPr="0099114C">
        <w:fldChar w:fldCharType="separate"/>
      </w:r>
      <w:r w:rsidR="00A04368" w:rsidRPr="0099114C">
        <w:rPr>
          <w:rStyle w:val="CommentReference"/>
          <w:rFonts w:asciiTheme="minorHAnsi" w:hAnsiTheme="minorHAnsi"/>
          <w:b w:val="0"/>
          <w:sz w:val="24"/>
          <w:szCs w:val="24"/>
        </w:rPr>
        <w:t>Table 4</w:t>
      </w:r>
      <w:r w:rsidR="00797B80" w:rsidRPr="0099114C">
        <w:fldChar w:fldCharType="end"/>
      </w:r>
      <w:r w:rsidRPr="0099114C">
        <w:t>.</w:t>
      </w:r>
    </w:p>
    <w:p w14:paraId="53939FFB" w14:textId="34059FBC" w:rsidR="00DB5178" w:rsidRPr="0099114C" w:rsidRDefault="00DB5178" w:rsidP="002E21D0">
      <w:pPr>
        <w:pStyle w:val="TableFigureHeading"/>
        <w:rPr>
          <w:rStyle w:val="CommentReference"/>
          <w:b/>
          <w:szCs w:val="24"/>
        </w:rPr>
      </w:pPr>
      <w:bookmarkStart w:id="33" w:name="_Ref155863911"/>
      <w:r w:rsidRPr="0099114C">
        <w:rPr>
          <w:rStyle w:val="CommentReference"/>
          <w:b/>
          <w:szCs w:val="24"/>
        </w:rPr>
        <w:lastRenderedPageBreak/>
        <w:t xml:space="preserve">Table </w:t>
      </w:r>
      <w:r w:rsidRPr="0099114C">
        <w:rPr>
          <w:rStyle w:val="CommentReference"/>
          <w:b/>
          <w:szCs w:val="24"/>
        </w:rPr>
        <w:fldChar w:fldCharType="begin" w:fldLock="1"/>
      </w:r>
      <w:r w:rsidRPr="0099114C">
        <w:rPr>
          <w:rStyle w:val="CommentReference"/>
          <w:b/>
          <w:szCs w:val="24"/>
        </w:rPr>
        <w:instrText xml:space="preserve"> SEQ Table \* ARABIC </w:instrText>
      </w:r>
      <w:r w:rsidRPr="0099114C">
        <w:rPr>
          <w:rStyle w:val="CommentReference"/>
          <w:b/>
          <w:szCs w:val="24"/>
        </w:rPr>
        <w:fldChar w:fldCharType="separate"/>
      </w:r>
      <w:r w:rsidR="00A04368" w:rsidRPr="00857B0D">
        <w:rPr>
          <w:rStyle w:val="CommentReference"/>
          <w:b/>
          <w:szCs w:val="24"/>
        </w:rPr>
        <w:t>4</w:t>
      </w:r>
      <w:r w:rsidRPr="0099114C">
        <w:rPr>
          <w:rStyle w:val="CommentReference"/>
          <w:b/>
          <w:szCs w:val="24"/>
        </w:rPr>
        <w:fldChar w:fldCharType="end"/>
      </w:r>
      <w:bookmarkEnd w:id="33"/>
      <w:r w:rsidRPr="0099114C">
        <w:rPr>
          <w:rStyle w:val="CommentReference"/>
          <w:b/>
          <w:szCs w:val="24"/>
        </w:rPr>
        <w:t xml:space="preserve">: Key features of the </w:t>
      </w:r>
      <w:r w:rsidR="00184D40" w:rsidRPr="0099114C">
        <w:rPr>
          <w:rStyle w:val="CommentReference"/>
          <w:b/>
          <w:szCs w:val="24"/>
        </w:rPr>
        <w:t xml:space="preserve">trials </w:t>
      </w:r>
      <w:r w:rsidRPr="0099114C">
        <w:rPr>
          <w:rStyle w:val="CommentReference"/>
          <w:b/>
          <w:szCs w:val="24"/>
        </w:rPr>
        <w:t>included evidence</w:t>
      </w:r>
    </w:p>
    <w:tbl>
      <w:tblPr>
        <w:tblW w:w="903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Caption w:val="Table 4: Key features of the trials included evidence"/>
      </w:tblPr>
      <w:tblGrid>
        <w:gridCol w:w="1122"/>
        <w:gridCol w:w="707"/>
        <w:gridCol w:w="1695"/>
        <w:gridCol w:w="848"/>
        <w:gridCol w:w="56"/>
        <w:gridCol w:w="883"/>
        <w:gridCol w:w="50"/>
        <w:gridCol w:w="3639"/>
        <w:gridCol w:w="30"/>
      </w:tblGrid>
      <w:tr w:rsidR="00AE3713" w:rsidRPr="0099114C" w14:paraId="51607F0F" w14:textId="77777777" w:rsidTr="004A30B9">
        <w:trPr>
          <w:gridAfter w:val="1"/>
          <w:wAfter w:w="30" w:type="dxa"/>
          <w:cantSplit/>
          <w:trHeight w:val="300"/>
        </w:trPr>
        <w:tc>
          <w:tcPr>
            <w:tcW w:w="11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6D306E" w14:textId="06E8D532" w:rsidR="00DB5178" w:rsidRPr="0099114C" w:rsidRDefault="004D1FFF" w:rsidP="002E21D0">
            <w:pPr>
              <w:pStyle w:val="paragraph"/>
              <w:keepNext/>
              <w:spacing w:before="0" w:beforeAutospacing="0" w:after="0" w:afterAutospacing="0"/>
              <w:textAlignment w:val="baseline"/>
              <w:rPr>
                <w:rFonts w:ascii="Segoe UI" w:hAnsi="Segoe UI" w:cs="Segoe UI"/>
                <w:b/>
                <w:bCs/>
                <w:sz w:val="18"/>
                <w:szCs w:val="18"/>
              </w:rPr>
            </w:pPr>
            <w:r w:rsidRPr="00857B0D">
              <w:rPr>
                <w:rStyle w:val="normaltextrun"/>
                <w:rFonts w:ascii="Arial Narrow" w:hAnsi="Arial Narrow" w:cs="Segoe UI"/>
                <w:b/>
                <w:bCs/>
                <w:sz w:val="20"/>
                <w:szCs w:val="20"/>
              </w:rPr>
              <w:t>Trial</w:t>
            </w:r>
            <w:r w:rsidRPr="0099114C">
              <w:rPr>
                <w:rStyle w:val="eop"/>
                <w:rFonts w:ascii="Arial Narrow" w:hAnsi="Arial Narrow" w:cs="Segoe UI"/>
                <w:b/>
                <w:bCs/>
                <w:sz w:val="20"/>
                <w:szCs w:val="20"/>
              </w:rPr>
              <w:t> </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E7DA68" w14:textId="2E4749F3" w:rsidR="00DB5178" w:rsidRPr="0099114C" w:rsidRDefault="004D1FFF" w:rsidP="002E21D0">
            <w:pPr>
              <w:pStyle w:val="paragraph"/>
              <w:keepNext/>
              <w:spacing w:before="0" w:beforeAutospacing="0" w:after="0" w:afterAutospacing="0"/>
              <w:jc w:val="center"/>
              <w:textAlignment w:val="baseline"/>
              <w:rPr>
                <w:rFonts w:ascii="Segoe UI" w:hAnsi="Segoe UI" w:cs="Segoe UI"/>
                <w:b/>
                <w:bCs/>
                <w:sz w:val="18"/>
                <w:szCs w:val="18"/>
              </w:rPr>
            </w:pPr>
            <w:r w:rsidRPr="00857B0D">
              <w:rPr>
                <w:rStyle w:val="normaltextrun"/>
                <w:rFonts w:ascii="Arial Narrow" w:hAnsi="Arial Narrow" w:cs="Segoe UI"/>
                <w:b/>
                <w:bCs/>
                <w:sz w:val="20"/>
                <w:szCs w:val="20"/>
              </w:rPr>
              <w:t>N</w:t>
            </w:r>
            <w:r w:rsidRPr="0099114C">
              <w:rPr>
                <w:rStyle w:val="eop"/>
                <w:rFonts w:ascii="Arial Narrow" w:hAnsi="Arial Narrow" w:cs="Segoe UI"/>
                <w:b/>
                <w:bCs/>
                <w:sz w:val="20"/>
                <w:szCs w:val="20"/>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B29795" w14:textId="3788111E" w:rsidR="00DB5178" w:rsidRPr="0099114C" w:rsidRDefault="004D1FFF" w:rsidP="002E21D0">
            <w:pPr>
              <w:pStyle w:val="paragraph"/>
              <w:keepNext/>
              <w:spacing w:before="0" w:beforeAutospacing="0" w:after="0" w:afterAutospacing="0"/>
              <w:jc w:val="center"/>
              <w:textAlignment w:val="baseline"/>
              <w:rPr>
                <w:rFonts w:ascii="Segoe UI" w:hAnsi="Segoe UI" w:cs="Segoe UI"/>
                <w:b/>
                <w:bCs/>
                <w:sz w:val="18"/>
                <w:szCs w:val="18"/>
              </w:rPr>
            </w:pPr>
            <w:r w:rsidRPr="00857B0D">
              <w:rPr>
                <w:rStyle w:val="normaltextrun"/>
                <w:rFonts w:ascii="Arial Narrow" w:hAnsi="Arial Narrow" w:cs="Segoe UI"/>
                <w:b/>
                <w:bCs/>
                <w:sz w:val="20"/>
                <w:szCs w:val="20"/>
              </w:rPr>
              <w:t>Design/duration</w:t>
            </w:r>
            <w:r w:rsidRPr="0099114C">
              <w:rPr>
                <w:rStyle w:val="eop"/>
                <w:rFonts w:ascii="Arial Narrow" w:hAnsi="Arial Narrow" w:cs="Segoe UI"/>
                <w:b/>
                <w:bCs/>
                <w:sz w:val="20"/>
                <w:szCs w:val="20"/>
              </w:rPr>
              <w:t> </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6DF3C4" w14:textId="402ABDDE" w:rsidR="00DB5178" w:rsidRPr="0099114C" w:rsidRDefault="004D1FFF" w:rsidP="002E21D0">
            <w:pPr>
              <w:pStyle w:val="paragraph"/>
              <w:keepNext/>
              <w:spacing w:before="0" w:beforeAutospacing="0" w:after="0" w:afterAutospacing="0"/>
              <w:jc w:val="center"/>
              <w:textAlignment w:val="baseline"/>
              <w:rPr>
                <w:rFonts w:ascii="Segoe UI" w:hAnsi="Segoe UI" w:cs="Segoe UI"/>
                <w:b/>
                <w:bCs/>
                <w:sz w:val="18"/>
                <w:szCs w:val="18"/>
              </w:rPr>
            </w:pPr>
            <w:r w:rsidRPr="00857B0D">
              <w:rPr>
                <w:rStyle w:val="normaltextrun"/>
                <w:rFonts w:ascii="Arial Narrow" w:hAnsi="Arial Narrow" w:cs="Segoe UI"/>
                <w:b/>
                <w:bCs/>
                <w:sz w:val="20"/>
                <w:szCs w:val="20"/>
              </w:rPr>
              <w:t>Risk of bias</w:t>
            </w:r>
            <w:r w:rsidRPr="0099114C">
              <w:rPr>
                <w:rStyle w:val="eop"/>
                <w:rFonts w:ascii="Arial Narrow" w:hAnsi="Arial Narrow" w:cs="Segoe UI"/>
                <w:b/>
                <w:bCs/>
                <w:sz w:val="20"/>
                <w:szCs w:val="20"/>
              </w:rPr>
              <w:t> </w:t>
            </w:r>
          </w:p>
        </w:tc>
        <w:tc>
          <w:tcPr>
            <w:tcW w:w="992"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202D685E" w14:textId="45DED2E9" w:rsidR="00DB5178" w:rsidRPr="0099114C" w:rsidRDefault="004D1FFF" w:rsidP="002E21D0">
            <w:pPr>
              <w:pStyle w:val="paragraph"/>
              <w:keepNext/>
              <w:spacing w:before="0" w:beforeAutospacing="0" w:after="0" w:afterAutospacing="0"/>
              <w:jc w:val="center"/>
              <w:textAlignment w:val="baseline"/>
              <w:rPr>
                <w:rFonts w:ascii="Segoe UI" w:hAnsi="Segoe UI" w:cs="Segoe UI"/>
                <w:b/>
                <w:bCs/>
                <w:sz w:val="18"/>
                <w:szCs w:val="18"/>
              </w:rPr>
            </w:pPr>
            <w:r w:rsidRPr="00857B0D">
              <w:rPr>
                <w:rStyle w:val="normaltextrun"/>
                <w:rFonts w:ascii="Arial Narrow" w:hAnsi="Arial Narrow" w:cs="Segoe UI"/>
                <w:b/>
                <w:bCs/>
                <w:sz w:val="20"/>
                <w:szCs w:val="20"/>
              </w:rPr>
              <w:t>Patient population</w:t>
            </w:r>
            <w:r w:rsidRPr="0099114C">
              <w:rPr>
                <w:rStyle w:val="eop"/>
                <w:rFonts w:ascii="Arial Narrow" w:hAnsi="Arial Narrow" w:cs="Segoe UI"/>
                <w:b/>
                <w:bCs/>
                <w:sz w:val="20"/>
                <w:szCs w:val="20"/>
              </w:rPr>
              <w:t> </w:t>
            </w:r>
          </w:p>
        </w:tc>
        <w:tc>
          <w:tcPr>
            <w:tcW w:w="36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09A08A" w14:textId="1BC85128" w:rsidR="00DB5178" w:rsidRPr="0099114C" w:rsidRDefault="004D1FFF" w:rsidP="002E21D0">
            <w:pPr>
              <w:pStyle w:val="paragraph"/>
              <w:keepNext/>
              <w:spacing w:before="0" w:beforeAutospacing="0" w:after="0" w:afterAutospacing="0"/>
              <w:jc w:val="center"/>
              <w:textAlignment w:val="baseline"/>
              <w:rPr>
                <w:rFonts w:ascii="Segoe UI" w:hAnsi="Segoe UI" w:cs="Segoe UI"/>
                <w:b/>
                <w:bCs/>
                <w:sz w:val="18"/>
                <w:szCs w:val="18"/>
              </w:rPr>
            </w:pPr>
            <w:r w:rsidRPr="00857B0D">
              <w:rPr>
                <w:rStyle w:val="normaltextrun"/>
                <w:rFonts w:ascii="Arial Narrow" w:hAnsi="Arial Narrow" w:cs="Segoe UI"/>
                <w:b/>
                <w:bCs/>
                <w:sz w:val="20"/>
                <w:szCs w:val="20"/>
              </w:rPr>
              <w:t>Outcome(s)</w:t>
            </w:r>
            <w:r w:rsidRPr="0099114C">
              <w:rPr>
                <w:rStyle w:val="eop"/>
                <w:rFonts w:ascii="Arial Narrow" w:hAnsi="Arial Narrow" w:cs="Segoe UI"/>
                <w:b/>
                <w:bCs/>
                <w:sz w:val="20"/>
                <w:szCs w:val="20"/>
              </w:rPr>
              <w:t> </w:t>
            </w:r>
          </w:p>
        </w:tc>
      </w:tr>
      <w:tr w:rsidR="00DB5178" w:rsidRPr="0099114C" w14:paraId="14546C14" w14:textId="77777777" w:rsidTr="004A30B9">
        <w:trPr>
          <w:gridAfter w:val="1"/>
          <w:wAfter w:w="20" w:type="dxa"/>
          <w:cantSplit/>
          <w:trHeight w:val="300"/>
        </w:trPr>
        <w:tc>
          <w:tcPr>
            <w:tcW w:w="9010" w:type="dxa"/>
            <w:gridSpan w:val="8"/>
            <w:tcBorders>
              <w:top w:val="single" w:sz="6" w:space="0" w:color="auto"/>
              <w:left w:val="single" w:sz="6" w:space="0" w:color="auto"/>
              <w:bottom w:val="single" w:sz="6" w:space="0" w:color="auto"/>
              <w:right w:val="single" w:sz="6" w:space="0" w:color="auto"/>
            </w:tcBorders>
            <w:shd w:val="clear" w:color="auto" w:fill="auto"/>
            <w:vAlign w:val="center"/>
            <w:hideMark/>
          </w:tcPr>
          <w:p w14:paraId="7DF753BD" w14:textId="77777777" w:rsidR="00DB5178" w:rsidRPr="0099114C" w:rsidRDefault="00DB5178" w:rsidP="002E21D0">
            <w:pPr>
              <w:pStyle w:val="paragraph"/>
              <w:keepNext/>
              <w:spacing w:before="0" w:beforeAutospacing="0" w:after="0" w:afterAutospacing="0"/>
              <w:textAlignment w:val="baseline"/>
              <w:rPr>
                <w:rFonts w:ascii="Segoe UI" w:hAnsi="Segoe UI" w:cs="Segoe UI"/>
                <w:sz w:val="18"/>
                <w:szCs w:val="18"/>
              </w:rPr>
            </w:pPr>
            <w:r w:rsidRPr="00857B0D">
              <w:rPr>
                <w:rStyle w:val="normaltextrun"/>
                <w:rFonts w:ascii="Arial Narrow" w:hAnsi="Arial Narrow" w:cs="Segoe UI"/>
                <w:b/>
                <w:bCs/>
                <w:sz w:val="20"/>
                <w:szCs w:val="20"/>
              </w:rPr>
              <w:t>Avacopan + SOC vs. prednisone + SOC</w:t>
            </w:r>
            <w:r w:rsidRPr="0099114C">
              <w:rPr>
                <w:rStyle w:val="eop"/>
                <w:rFonts w:ascii="Arial Narrow" w:hAnsi="Arial Narrow" w:cs="Segoe UI"/>
                <w:sz w:val="20"/>
                <w:szCs w:val="20"/>
              </w:rPr>
              <w:t> </w:t>
            </w:r>
          </w:p>
        </w:tc>
      </w:tr>
      <w:tr w:rsidR="00540471" w:rsidRPr="0099114C" w14:paraId="3021E0D4" w14:textId="77777777" w:rsidTr="00FD7322">
        <w:trPr>
          <w:gridAfter w:val="1"/>
          <w:wAfter w:w="30" w:type="dxa"/>
          <w:cantSplit/>
          <w:trHeight w:val="300"/>
        </w:trPr>
        <w:tc>
          <w:tcPr>
            <w:tcW w:w="1126"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05C2FCD5" w14:textId="5A1EE3FC" w:rsidR="00DB5178" w:rsidRPr="0099114C" w:rsidRDefault="0097298F" w:rsidP="002E21D0">
            <w:pPr>
              <w:pStyle w:val="paragraph"/>
              <w:keepNext/>
              <w:spacing w:before="0" w:beforeAutospacing="0" w:after="0" w:afterAutospacing="0"/>
              <w:textAlignment w:val="baseline"/>
              <w:rPr>
                <w:rFonts w:ascii="Segoe UI" w:hAnsi="Segoe UI" w:cs="Segoe UI"/>
                <w:sz w:val="18"/>
                <w:szCs w:val="18"/>
              </w:rPr>
            </w:pPr>
            <w:r w:rsidRPr="00857B0D">
              <w:rPr>
                <w:rStyle w:val="normaltextrun"/>
                <w:rFonts w:ascii="Arial Narrow" w:hAnsi="Arial Narrow" w:cs="Segoe UI"/>
                <w:sz w:val="20"/>
                <w:szCs w:val="20"/>
              </w:rPr>
              <w:t>ADVOCATE</w:t>
            </w:r>
            <w:r w:rsidRPr="0099114C">
              <w:rPr>
                <w:rStyle w:val="eop"/>
                <w:rFonts w:ascii="Arial Narrow" w:hAnsi="Arial Narrow" w:cs="Segoe UI"/>
                <w:sz w:val="20"/>
                <w:szCs w:val="20"/>
              </w:rPr>
              <w:t> </w:t>
            </w:r>
          </w:p>
        </w:tc>
        <w:tc>
          <w:tcPr>
            <w:tcW w:w="709"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246A2862" w14:textId="6D72E253" w:rsidR="00DB5178" w:rsidRPr="0099114C" w:rsidRDefault="0097298F" w:rsidP="002E21D0">
            <w:pPr>
              <w:pStyle w:val="paragraph"/>
              <w:keepNext/>
              <w:spacing w:before="0" w:beforeAutospacing="0" w:after="0" w:afterAutospacing="0"/>
              <w:jc w:val="center"/>
              <w:textAlignment w:val="baseline"/>
              <w:rPr>
                <w:rFonts w:ascii="Segoe UI" w:hAnsi="Segoe UI" w:cs="Segoe UI"/>
                <w:sz w:val="18"/>
                <w:szCs w:val="18"/>
              </w:rPr>
            </w:pPr>
            <w:r w:rsidRPr="00857B0D">
              <w:rPr>
                <w:rStyle w:val="normaltextrun"/>
                <w:rFonts w:ascii="Arial Narrow" w:hAnsi="Arial Narrow" w:cs="Segoe UI"/>
                <w:sz w:val="20"/>
                <w:szCs w:val="20"/>
              </w:rPr>
              <w:t>331</w:t>
            </w:r>
            <w:r w:rsidRPr="0099114C">
              <w:rPr>
                <w:rStyle w:val="eop"/>
                <w:rFonts w:ascii="Arial Narrow" w:hAnsi="Arial Narrow" w:cs="Segoe UI"/>
                <w:sz w:val="20"/>
                <w:szCs w:val="20"/>
              </w:rPr>
              <w:t> </w:t>
            </w:r>
          </w:p>
        </w:tc>
        <w:tc>
          <w:tcPr>
            <w:tcW w:w="1701"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45C60D73" w14:textId="77777777" w:rsidR="0097298F" w:rsidRPr="0099114C" w:rsidRDefault="0097298F" w:rsidP="002E21D0">
            <w:pPr>
              <w:pStyle w:val="paragraph"/>
              <w:keepNext/>
              <w:spacing w:before="0" w:beforeAutospacing="0" w:after="0" w:afterAutospacing="0"/>
              <w:jc w:val="center"/>
              <w:textAlignment w:val="baseline"/>
              <w:rPr>
                <w:rFonts w:ascii="Segoe UI" w:hAnsi="Segoe UI" w:cs="Segoe UI"/>
                <w:sz w:val="18"/>
                <w:szCs w:val="18"/>
              </w:rPr>
            </w:pPr>
            <w:r w:rsidRPr="0099114C">
              <w:rPr>
                <w:rStyle w:val="normaltextrun"/>
                <w:rFonts w:ascii="Arial Narrow" w:hAnsi="Arial Narrow" w:cs="Segoe UI"/>
                <w:sz w:val="20"/>
                <w:szCs w:val="20"/>
              </w:rPr>
              <w:t>R, DB, DD, AC, MC</w:t>
            </w:r>
            <w:r w:rsidRPr="0099114C">
              <w:rPr>
                <w:rStyle w:val="eop"/>
                <w:rFonts w:ascii="Arial Narrow" w:hAnsi="Arial Narrow" w:cs="Segoe UI"/>
                <w:sz w:val="20"/>
                <w:szCs w:val="20"/>
              </w:rPr>
              <w:t> </w:t>
            </w:r>
          </w:p>
          <w:p w14:paraId="58253B6E" w14:textId="2553EA05" w:rsidR="00DB5178" w:rsidRPr="0099114C" w:rsidRDefault="0097298F" w:rsidP="002E21D0">
            <w:pPr>
              <w:pStyle w:val="paragraph"/>
              <w:keepNext/>
              <w:spacing w:before="0" w:beforeAutospacing="0" w:after="0" w:afterAutospacing="0"/>
              <w:jc w:val="center"/>
              <w:textAlignment w:val="baseline"/>
              <w:rPr>
                <w:rFonts w:ascii="Segoe UI" w:hAnsi="Segoe UI" w:cs="Segoe UI"/>
                <w:sz w:val="18"/>
                <w:szCs w:val="18"/>
              </w:rPr>
            </w:pPr>
            <w:r w:rsidRPr="0099114C">
              <w:rPr>
                <w:rStyle w:val="normaltextrun"/>
                <w:rFonts w:ascii="Arial Narrow" w:hAnsi="Arial Narrow" w:cs="Segoe UI"/>
                <w:sz w:val="20"/>
                <w:szCs w:val="20"/>
              </w:rPr>
              <w:t>52-week treatment period</w:t>
            </w:r>
            <w:r w:rsidRPr="0099114C">
              <w:rPr>
                <w:rStyle w:val="eop"/>
                <w:rFonts w:ascii="Arial Narrow" w:hAnsi="Arial Narrow" w:cs="Segoe UI"/>
                <w:sz w:val="20"/>
                <w:szCs w:val="20"/>
              </w:rPr>
              <w:t> </w:t>
            </w:r>
          </w:p>
        </w:tc>
        <w:tc>
          <w:tcPr>
            <w:tcW w:w="851"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2765D330" w14:textId="1F457632" w:rsidR="00DB5178" w:rsidRPr="0099114C" w:rsidRDefault="0097298F" w:rsidP="002E21D0">
            <w:pPr>
              <w:pStyle w:val="paragraph"/>
              <w:keepNext/>
              <w:spacing w:before="0" w:beforeAutospacing="0" w:after="0" w:afterAutospacing="0"/>
              <w:jc w:val="center"/>
              <w:textAlignment w:val="baseline"/>
              <w:rPr>
                <w:rFonts w:ascii="Segoe UI" w:hAnsi="Segoe UI" w:cs="Segoe UI"/>
                <w:sz w:val="18"/>
                <w:szCs w:val="18"/>
              </w:rPr>
            </w:pPr>
            <w:r w:rsidRPr="0099114C">
              <w:rPr>
                <w:rStyle w:val="normaltextrun"/>
                <w:rFonts w:ascii="Arial Narrow" w:hAnsi="Arial Narrow" w:cs="Segoe UI"/>
                <w:sz w:val="20"/>
                <w:szCs w:val="20"/>
              </w:rPr>
              <w:t>Low/some concerns</w:t>
            </w:r>
          </w:p>
        </w:tc>
        <w:tc>
          <w:tcPr>
            <w:tcW w:w="992" w:type="dxa"/>
            <w:gridSpan w:val="3"/>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0863A551" w14:textId="46D40E5E" w:rsidR="00DB5178" w:rsidRPr="0099114C" w:rsidRDefault="0097298F" w:rsidP="002E21D0">
            <w:pPr>
              <w:pStyle w:val="paragraph"/>
              <w:keepNext/>
              <w:spacing w:before="0" w:beforeAutospacing="0" w:after="0" w:afterAutospacing="0"/>
              <w:jc w:val="center"/>
              <w:textAlignment w:val="baseline"/>
              <w:rPr>
                <w:rFonts w:ascii="Segoe UI" w:hAnsi="Segoe UI" w:cs="Segoe UI"/>
                <w:sz w:val="18"/>
                <w:szCs w:val="18"/>
              </w:rPr>
            </w:pPr>
            <w:r w:rsidRPr="0099114C">
              <w:rPr>
                <w:rStyle w:val="normaltextrun"/>
                <w:rFonts w:ascii="Arial Narrow" w:hAnsi="Arial Narrow" w:cs="Segoe UI"/>
                <w:sz w:val="20"/>
                <w:szCs w:val="20"/>
              </w:rPr>
              <w:t>Severe active GPA or MPA</w:t>
            </w:r>
          </w:p>
        </w:tc>
        <w:tc>
          <w:tcPr>
            <w:tcW w:w="3651"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322D75E9" w14:textId="77777777" w:rsidR="0097298F" w:rsidRPr="0099114C" w:rsidRDefault="0097298F" w:rsidP="002E21D0">
            <w:pPr>
              <w:pStyle w:val="paragraph"/>
              <w:keepNext/>
              <w:spacing w:before="0" w:beforeAutospacing="0" w:after="0" w:afterAutospacing="0"/>
              <w:textAlignment w:val="baseline"/>
              <w:rPr>
                <w:rFonts w:ascii="Segoe UI" w:hAnsi="Segoe UI" w:cs="Segoe UI"/>
                <w:sz w:val="18"/>
                <w:szCs w:val="18"/>
              </w:rPr>
            </w:pPr>
            <w:r w:rsidRPr="0099114C">
              <w:rPr>
                <w:rStyle w:val="normaltextrun"/>
                <w:rFonts w:ascii="Arial Narrow" w:hAnsi="Arial Narrow" w:cs="Segoe UI"/>
                <w:sz w:val="20"/>
                <w:szCs w:val="20"/>
              </w:rPr>
              <w:t>Primary: Disease remission (Week 26) and sustained remission (Week 52)</w:t>
            </w:r>
            <w:r w:rsidRPr="0099114C">
              <w:rPr>
                <w:rStyle w:val="eop"/>
                <w:rFonts w:ascii="Arial Narrow" w:hAnsi="Arial Narrow" w:cs="Segoe UI"/>
                <w:sz w:val="20"/>
                <w:szCs w:val="20"/>
              </w:rPr>
              <w:t> </w:t>
            </w:r>
          </w:p>
          <w:p w14:paraId="15113082" w14:textId="77777777" w:rsidR="0097298F" w:rsidRPr="0099114C" w:rsidRDefault="0097298F" w:rsidP="002E21D0">
            <w:pPr>
              <w:pStyle w:val="paragraph"/>
              <w:keepNext/>
              <w:spacing w:before="0" w:beforeAutospacing="0" w:after="0" w:afterAutospacing="0"/>
              <w:textAlignment w:val="baseline"/>
              <w:rPr>
                <w:rFonts w:ascii="Segoe UI" w:hAnsi="Segoe UI" w:cs="Segoe UI"/>
                <w:sz w:val="18"/>
                <w:szCs w:val="18"/>
              </w:rPr>
            </w:pPr>
            <w:r w:rsidRPr="0099114C">
              <w:rPr>
                <w:rStyle w:val="eop"/>
                <w:rFonts w:ascii="Arial Narrow" w:hAnsi="Arial Narrow" w:cs="Segoe UI"/>
                <w:sz w:val="20"/>
                <w:szCs w:val="20"/>
              </w:rPr>
              <w:t> </w:t>
            </w:r>
          </w:p>
          <w:p w14:paraId="6D59FBE8" w14:textId="1BC5B1AF" w:rsidR="00DB5178" w:rsidRPr="0099114C" w:rsidRDefault="0097298F" w:rsidP="002E21D0">
            <w:pPr>
              <w:pStyle w:val="paragraph"/>
              <w:keepNext/>
              <w:spacing w:before="0" w:beforeAutospacing="0" w:after="0" w:afterAutospacing="0"/>
              <w:textAlignment w:val="baseline"/>
              <w:rPr>
                <w:rFonts w:ascii="Segoe UI" w:hAnsi="Segoe UI" w:cs="Segoe UI"/>
                <w:sz w:val="18"/>
                <w:szCs w:val="18"/>
              </w:rPr>
            </w:pPr>
            <w:r w:rsidRPr="00857B0D">
              <w:rPr>
                <w:rStyle w:val="normaltextrun"/>
                <w:rFonts w:ascii="Arial Narrow" w:hAnsi="Arial Narrow" w:cs="Segoe UI"/>
                <w:sz w:val="20"/>
                <w:szCs w:val="20"/>
              </w:rPr>
              <w:t xml:space="preserve">Secondary: </w:t>
            </w:r>
            <w:r w:rsidRPr="0099114C">
              <w:rPr>
                <w:rStyle w:val="normaltextrun"/>
                <w:rFonts w:ascii="Arial Narrow" w:hAnsi="Arial Narrow" w:cs="Segoe UI"/>
                <w:sz w:val="20"/>
                <w:szCs w:val="20"/>
              </w:rPr>
              <w:t>GC-induced toxicity (Week 13 and Week 26), rapidity of response (Week 4), HRQoL (Week 13 and Week 26), relapse (Week 52), changes in parameters of renal disease (Week 13, Week 26 and Week 52) and changes in cumulative organ damage (Week 52)</w:t>
            </w:r>
            <w:r w:rsidR="0099114C">
              <w:rPr>
                <w:rStyle w:val="normaltextrun"/>
                <w:rFonts w:ascii="Arial Narrow" w:hAnsi="Arial Narrow" w:cs="Segoe UI"/>
                <w:sz w:val="20"/>
                <w:szCs w:val="20"/>
              </w:rPr>
              <w:t xml:space="preserve">. </w:t>
            </w:r>
          </w:p>
        </w:tc>
      </w:tr>
      <w:tr w:rsidR="004331F2" w:rsidRPr="0099114C" w14:paraId="09BA4A1A" w14:textId="77777777" w:rsidTr="004A30B9">
        <w:trPr>
          <w:cantSplit/>
          <w:trHeight w:val="300"/>
        </w:trPr>
        <w:tc>
          <w:tcPr>
            <w:tcW w:w="9010" w:type="dxa"/>
            <w:gridSpan w:val="9"/>
            <w:tcBorders>
              <w:top w:val="single" w:sz="6" w:space="0" w:color="auto"/>
              <w:left w:val="single" w:sz="6" w:space="0" w:color="auto"/>
              <w:bottom w:val="single" w:sz="6" w:space="0" w:color="auto"/>
              <w:right w:val="single" w:sz="6" w:space="0" w:color="auto"/>
            </w:tcBorders>
            <w:shd w:val="clear" w:color="auto" w:fill="auto"/>
            <w:vAlign w:val="center"/>
          </w:tcPr>
          <w:p w14:paraId="67450EC9" w14:textId="1008D70B" w:rsidR="00294CED" w:rsidRPr="0099114C" w:rsidRDefault="00294CED" w:rsidP="002E21D0">
            <w:pPr>
              <w:pStyle w:val="paragraph"/>
              <w:keepNext/>
              <w:spacing w:before="0" w:beforeAutospacing="0" w:after="0" w:afterAutospacing="0"/>
              <w:textAlignment w:val="baseline"/>
              <w:rPr>
                <w:rStyle w:val="normaltextrun"/>
                <w:rFonts w:ascii="Arial Narrow" w:hAnsi="Arial Narrow" w:cs="Segoe UI"/>
                <w:b/>
                <w:bCs/>
                <w:sz w:val="20"/>
                <w:szCs w:val="20"/>
              </w:rPr>
            </w:pPr>
            <w:r w:rsidRPr="0099114C">
              <w:rPr>
                <w:rStyle w:val="normaltextrun"/>
                <w:rFonts w:ascii="Arial Narrow" w:hAnsi="Arial Narrow" w:cs="Segoe UI"/>
                <w:b/>
                <w:bCs/>
                <w:sz w:val="20"/>
                <w:szCs w:val="20"/>
              </w:rPr>
              <w:t>Rituximab maintenance trials</w:t>
            </w:r>
          </w:p>
        </w:tc>
      </w:tr>
      <w:tr w:rsidR="001C6AE0" w:rsidRPr="0099114C" w14:paraId="1D19EB9F" w14:textId="77777777" w:rsidTr="004A30B9">
        <w:trPr>
          <w:cantSplit/>
          <w:trHeight w:val="300"/>
        </w:trPr>
        <w:tc>
          <w:tcPr>
            <w:tcW w:w="1126" w:type="dxa"/>
            <w:tcBorders>
              <w:top w:val="single" w:sz="6" w:space="0" w:color="auto"/>
              <w:left w:val="single" w:sz="6" w:space="0" w:color="auto"/>
              <w:bottom w:val="single" w:sz="6" w:space="0" w:color="auto"/>
              <w:right w:val="single" w:sz="6" w:space="0" w:color="auto"/>
            </w:tcBorders>
            <w:shd w:val="clear" w:color="auto" w:fill="auto"/>
            <w:vAlign w:val="center"/>
          </w:tcPr>
          <w:p w14:paraId="14E83DAA" w14:textId="5FC9DA42" w:rsidR="009D0E73" w:rsidRPr="00857B0D" w:rsidRDefault="009D0E73" w:rsidP="002E21D0">
            <w:pPr>
              <w:pStyle w:val="paragraph"/>
              <w:keepNext/>
              <w:spacing w:before="0" w:beforeAutospacing="0" w:after="0" w:afterAutospacing="0"/>
              <w:textAlignment w:val="baseline"/>
              <w:rPr>
                <w:rStyle w:val="normaltextrun"/>
                <w:rFonts w:ascii="Arial Narrow" w:hAnsi="Arial Narrow" w:cs="Segoe UI"/>
                <w:sz w:val="20"/>
                <w:szCs w:val="20"/>
              </w:rPr>
            </w:pPr>
            <w:r w:rsidRPr="00857B0D">
              <w:rPr>
                <w:rStyle w:val="normaltextrun"/>
                <w:rFonts w:ascii="Arial Narrow" w:hAnsi="Arial Narrow" w:cs="Segoe UI"/>
                <w:sz w:val="20"/>
                <w:szCs w:val="20"/>
              </w:rPr>
              <w:t>MAINRITSAN</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2C925855" w14:textId="1CB1015E" w:rsidR="009D0E73" w:rsidRPr="00857B0D" w:rsidRDefault="00545C13" w:rsidP="002E21D0">
            <w:pPr>
              <w:pStyle w:val="paragraph"/>
              <w:keepNext/>
              <w:spacing w:before="0" w:beforeAutospacing="0" w:after="0" w:afterAutospacing="0"/>
              <w:jc w:val="center"/>
              <w:textAlignment w:val="baseline"/>
              <w:rPr>
                <w:rStyle w:val="normaltextrun"/>
                <w:rFonts w:ascii="Arial Narrow" w:hAnsi="Arial Narrow" w:cs="Segoe UI"/>
                <w:sz w:val="20"/>
                <w:szCs w:val="20"/>
              </w:rPr>
            </w:pPr>
            <w:r w:rsidRPr="00857B0D">
              <w:rPr>
                <w:rStyle w:val="normaltextrun"/>
                <w:rFonts w:ascii="Arial Narrow" w:hAnsi="Arial Narrow" w:cs="Segoe UI"/>
                <w:sz w:val="20"/>
                <w:szCs w:val="20"/>
              </w:rPr>
              <w:t>115</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5309858D" w14:textId="64D2CD97" w:rsidR="008E3625" w:rsidRPr="0099114C" w:rsidRDefault="008E3625" w:rsidP="002E21D0">
            <w:pPr>
              <w:pStyle w:val="paragraph"/>
              <w:keepNext/>
              <w:spacing w:before="0" w:beforeAutospacing="0" w:after="0" w:afterAutospacing="0"/>
              <w:jc w:val="center"/>
              <w:textAlignment w:val="baseline"/>
              <w:rPr>
                <w:rStyle w:val="normaltextrun"/>
                <w:rFonts w:ascii="Arial Narrow" w:hAnsi="Arial Narrow" w:cs="Segoe UI"/>
                <w:sz w:val="20"/>
                <w:szCs w:val="20"/>
              </w:rPr>
            </w:pPr>
            <w:r w:rsidRPr="0099114C">
              <w:rPr>
                <w:rStyle w:val="normaltextrun"/>
                <w:rFonts w:ascii="Arial Narrow" w:hAnsi="Arial Narrow" w:cs="Segoe UI"/>
                <w:sz w:val="20"/>
                <w:szCs w:val="20"/>
              </w:rPr>
              <w:t>Rituximab versus azathioprine</w:t>
            </w:r>
          </w:p>
          <w:p w14:paraId="21E20F56" w14:textId="77777777" w:rsidR="008E3625" w:rsidRPr="0099114C" w:rsidRDefault="008E3625" w:rsidP="002E21D0">
            <w:pPr>
              <w:pStyle w:val="paragraph"/>
              <w:keepNext/>
              <w:spacing w:before="0" w:beforeAutospacing="0" w:after="0" w:afterAutospacing="0"/>
              <w:jc w:val="center"/>
              <w:textAlignment w:val="baseline"/>
              <w:rPr>
                <w:rStyle w:val="normaltextrun"/>
                <w:rFonts w:ascii="Arial Narrow" w:hAnsi="Arial Narrow" w:cs="Segoe UI"/>
                <w:sz w:val="20"/>
                <w:szCs w:val="20"/>
              </w:rPr>
            </w:pPr>
          </w:p>
          <w:p w14:paraId="43C471E5" w14:textId="311A24FB" w:rsidR="009D0E73" w:rsidRPr="0099114C" w:rsidRDefault="006E2891" w:rsidP="002E21D0">
            <w:pPr>
              <w:pStyle w:val="paragraph"/>
              <w:keepNext/>
              <w:spacing w:before="0" w:beforeAutospacing="0" w:after="0" w:afterAutospacing="0"/>
              <w:jc w:val="center"/>
              <w:textAlignment w:val="baseline"/>
              <w:rPr>
                <w:rStyle w:val="normaltextrun"/>
                <w:rFonts w:ascii="Arial Narrow" w:hAnsi="Arial Narrow" w:cs="Segoe UI"/>
                <w:sz w:val="20"/>
                <w:szCs w:val="20"/>
              </w:rPr>
            </w:pPr>
            <w:r w:rsidRPr="0099114C">
              <w:rPr>
                <w:rStyle w:val="normaltextrun"/>
                <w:rFonts w:ascii="Arial Narrow" w:hAnsi="Arial Narrow" w:cs="Segoe UI"/>
                <w:sz w:val="20"/>
                <w:szCs w:val="20"/>
              </w:rPr>
              <w:t xml:space="preserve">R, </w:t>
            </w:r>
            <w:r w:rsidR="007F1DBE" w:rsidRPr="0099114C">
              <w:rPr>
                <w:rStyle w:val="normaltextrun"/>
                <w:rFonts w:ascii="Arial Narrow" w:hAnsi="Arial Narrow" w:cs="Segoe UI"/>
                <w:sz w:val="20"/>
                <w:szCs w:val="20"/>
              </w:rPr>
              <w:t xml:space="preserve">OL, </w:t>
            </w:r>
            <w:r w:rsidRPr="0099114C">
              <w:rPr>
                <w:rStyle w:val="normaltextrun"/>
                <w:rFonts w:ascii="Arial Narrow" w:hAnsi="Arial Narrow" w:cs="Segoe UI"/>
                <w:sz w:val="20"/>
                <w:szCs w:val="20"/>
              </w:rPr>
              <w:t>AC</w:t>
            </w:r>
          </w:p>
          <w:p w14:paraId="055389DA" w14:textId="0C093BE2" w:rsidR="007F1DBE" w:rsidRPr="0099114C" w:rsidRDefault="007F1DBE" w:rsidP="002E21D0">
            <w:pPr>
              <w:pStyle w:val="paragraph"/>
              <w:keepNext/>
              <w:spacing w:before="0" w:beforeAutospacing="0" w:after="0" w:afterAutospacing="0"/>
              <w:jc w:val="center"/>
              <w:textAlignment w:val="baseline"/>
              <w:rPr>
                <w:rStyle w:val="normaltextrun"/>
                <w:rFonts w:ascii="Arial Narrow" w:hAnsi="Arial Narrow" w:cs="Segoe UI"/>
                <w:sz w:val="20"/>
                <w:szCs w:val="20"/>
              </w:rPr>
            </w:pPr>
            <w:r w:rsidRPr="0099114C">
              <w:rPr>
                <w:rStyle w:val="normaltextrun"/>
                <w:rFonts w:ascii="Arial Narrow" w:hAnsi="Arial Narrow" w:cs="Segoe UI"/>
                <w:sz w:val="20"/>
                <w:szCs w:val="20"/>
              </w:rPr>
              <w:t>28-month treatment period</w:t>
            </w:r>
          </w:p>
        </w:tc>
        <w:tc>
          <w:tcPr>
            <w:tcW w:w="90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0DC22EB" w14:textId="5EA8FB06" w:rsidR="009D0E73" w:rsidRPr="0099114C" w:rsidRDefault="00187DD3" w:rsidP="002E21D0">
            <w:pPr>
              <w:pStyle w:val="paragraph"/>
              <w:keepNext/>
              <w:spacing w:before="0" w:beforeAutospacing="0" w:after="0" w:afterAutospacing="0"/>
              <w:jc w:val="center"/>
              <w:textAlignment w:val="baseline"/>
              <w:rPr>
                <w:rStyle w:val="normaltextrun"/>
                <w:rFonts w:ascii="Arial Narrow" w:hAnsi="Arial Narrow" w:cs="Segoe UI"/>
                <w:sz w:val="20"/>
                <w:szCs w:val="20"/>
              </w:rPr>
            </w:pPr>
            <w:r w:rsidRPr="0099114C">
              <w:rPr>
                <w:rStyle w:val="normaltextrun"/>
                <w:rFonts w:ascii="Arial Narrow" w:hAnsi="Arial Narrow" w:cs="Segoe UI"/>
                <w:sz w:val="20"/>
                <w:szCs w:val="20"/>
              </w:rPr>
              <w:t>Low/some concerns</w:t>
            </w:r>
          </w:p>
        </w:tc>
        <w:tc>
          <w:tcPr>
            <w:tcW w:w="886" w:type="dxa"/>
            <w:tcBorders>
              <w:top w:val="single" w:sz="6" w:space="0" w:color="auto"/>
              <w:left w:val="single" w:sz="6" w:space="0" w:color="auto"/>
              <w:bottom w:val="single" w:sz="6" w:space="0" w:color="auto"/>
              <w:right w:val="single" w:sz="6" w:space="0" w:color="auto"/>
            </w:tcBorders>
            <w:shd w:val="clear" w:color="auto" w:fill="auto"/>
            <w:vAlign w:val="center"/>
          </w:tcPr>
          <w:p w14:paraId="48349073" w14:textId="2F951409" w:rsidR="009D0E73" w:rsidRPr="0099114C" w:rsidRDefault="006E2891" w:rsidP="002E21D0">
            <w:pPr>
              <w:pStyle w:val="paragraph"/>
              <w:keepNext/>
              <w:spacing w:before="0" w:beforeAutospacing="0" w:after="0" w:afterAutospacing="0"/>
              <w:jc w:val="center"/>
              <w:textAlignment w:val="baseline"/>
              <w:rPr>
                <w:rStyle w:val="normaltextrun"/>
                <w:rFonts w:ascii="Arial Narrow" w:hAnsi="Arial Narrow" w:cs="Segoe UI"/>
                <w:sz w:val="20"/>
                <w:szCs w:val="20"/>
              </w:rPr>
            </w:pPr>
            <w:r w:rsidRPr="0099114C">
              <w:rPr>
                <w:rStyle w:val="normaltextrun"/>
                <w:rFonts w:ascii="Arial Narrow" w:hAnsi="Arial Narrow" w:cs="Segoe UI"/>
                <w:sz w:val="20"/>
                <w:szCs w:val="20"/>
              </w:rPr>
              <w:t>GPA, MPA or renal-limited AAV</w:t>
            </w:r>
          </w:p>
        </w:tc>
        <w:tc>
          <w:tcPr>
            <w:tcW w:w="3681" w:type="dxa"/>
            <w:gridSpan w:val="3"/>
            <w:tcBorders>
              <w:top w:val="single" w:sz="6" w:space="0" w:color="auto"/>
              <w:left w:val="single" w:sz="6" w:space="0" w:color="auto"/>
              <w:bottom w:val="single" w:sz="6" w:space="0" w:color="auto"/>
              <w:right w:val="single" w:sz="6" w:space="0" w:color="auto"/>
            </w:tcBorders>
            <w:shd w:val="clear" w:color="auto" w:fill="auto"/>
          </w:tcPr>
          <w:p w14:paraId="1D72EA79" w14:textId="6D2D8D11" w:rsidR="009D0E73" w:rsidRPr="0099114C" w:rsidRDefault="007F1DBE" w:rsidP="002E21D0">
            <w:pPr>
              <w:pStyle w:val="paragraph"/>
              <w:keepNext/>
              <w:spacing w:before="0" w:beforeAutospacing="0" w:after="0" w:afterAutospacing="0"/>
              <w:textAlignment w:val="baseline"/>
              <w:rPr>
                <w:rStyle w:val="normaltextrun"/>
                <w:rFonts w:ascii="Arial Narrow" w:hAnsi="Arial Narrow" w:cs="Segoe UI"/>
                <w:sz w:val="20"/>
                <w:szCs w:val="20"/>
              </w:rPr>
            </w:pPr>
            <w:r w:rsidRPr="0099114C">
              <w:rPr>
                <w:rStyle w:val="normaltextrun"/>
                <w:rFonts w:ascii="Arial Narrow" w:hAnsi="Arial Narrow" w:cs="Segoe UI"/>
                <w:sz w:val="20"/>
                <w:szCs w:val="20"/>
              </w:rPr>
              <w:t xml:space="preserve">Primary: </w:t>
            </w:r>
            <w:r w:rsidR="00B04AF3" w:rsidRPr="0099114C">
              <w:rPr>
                <w:rStyle w:val="normaltextrun"/>
                <w:rFonts w:ascii="Arial Narrow" w:hAnsi="Arial Narrow" w:cs="Segoe UI"/>
                <w:sz w:val="20"/>
                <w:szCs w:val="20"/>
              </w:rPr>
              <w:t>Percentage of patients with major relapse</w:t>
            </w:r>
            <w:r w:rsidR="004646A7" w:rsidRPr="0099114C">
              <w:rPr>
                <w:rStyle w:val="normaltextrun"/>
                <w:rFonts w:ascii="Arial Narrow" w:hAnsi="Arial Narrow" w:cs="Segoe UI"/>
                <w:sz w:val="20"/>
                <w:szCs w:val="20"/>
                <w:vertAlign w:val="superscript"/>
              </w:rPr>
              <w:t>a</w:t>
            </w:r>
            <w:r w:rsidR="00B04AF3" w:rsidRPr="0099114C">
              <w:rPr>
                <w:rStyle w:val="normaltextrun"/>
                <w:rFonts w:ascii="Arial Narrow" w:hAnsi="Arial Narrow" w:cs="Segoe UI"/>
                <w:sz w:val="20"/>
                <w:szCs w:val="20"/>
              </w:rPr>
              <w:t xml:space="preserve"> (Month 28)</w:t>
            </w:r>
          </w:p>
          <w:p w14:paraId="652EBBF5" w14:textId="77777777" w:rsidR="00B04AF3" w:rsidRPr="0099114C" w:rsidRDefault="00B04AF3" w:rsidP="002E21D0">
            <w:pPr>
              <w:pStyle w:val="paragraph"/>
              <w:keepNext/>
              <w:spacing w:before="0" w:beforeAutospacing="0" w:after="0" w:afterAutospacing="0"/>
              <w:textAlignment w:val="baseline"/>
              <w:rPr>
                <w:rStyle w:val="normaltextrun"/>
                <w:rFonts w:ascii="Arial Narrow" w:hAnsi="Arial Narrow" w:cs="Segoe UI"/>
                <w:sz w:val="20"/>
                <w:szCs w:val="20"/>
              </w:rPr>
            </w:pPr>
          </w:p>
          <w:p w14:paraId="23966804" w14:textId="608AA7E3" w:rsidR="009D0E73" w:rsidRPr="0099114C" w:rsidRDefault="00B04AF3" w:rsidP="002E21D0">
            <w:pPr>
              <w:pStyle w:val="paragraph"/>
              <w:keepNext/>
              <w:spacing w:before="0" w:beforeAutospacing="0" w:after="0" w:afterAutospacing="0"/>
              <w:textAlignment w:val="baseline"/>
              <w:rPr>
                <w:rStyle w:val="normaltextrun"/>
                <w:rFonts w:ascii="Arial Narrow" w:hAnsi="Arial Narrow" w:cs="Segoe UI"/>
                <w:sz w:val="20"/>
                <w:szCs w:val="20"/>
              </w:rPr>
            </w:pPr>
            <w:r w:rsidRPr="0099114C">
              <w:rPr>
                <w:rStyle w:val="normaltextrun"/>
                <w:rFonts w:ascii="Arial Narrow" w:hAnsi="Arial Narrow" w:cs="Segoe UI"/>
                <w:sz w:val="20"/>
                <w:szCs w:val="20"/>
              </w:rPr>
              <w:t>Secondary: Rates of minor relapse</w:t>
            </w:r>
            <w:r w:rsidR="004646A7" w:rsidRPr="0099114C">
              <w:rPr>
                <w:rStyle w:val="normaltextrun"/>
                <w:rFonts w:ascii="Arial Narrow" w:hAnsi="Arial Narrow" w:cs="Segoe UI"/>
                <w:sz w:val="20"/>
                <w:szCs w:val="20"/>
                <w:vertAlign w:val="superscript"/>
              </w:rPr>
              <w:t>b</w:t>
            </w:r>
            <w:r w:rsidRPr="0099114C">
              <w:rPr>
                <w:rStyle w:val="normaltextrun"/>
                <w:rFonts w:ascii="Arial Narrow" w:hAnsi="Arial Narrow" w:cs="Segoe UI"/>
                <w:sz w:val="20"/>
                <w:szCs w:val="20"/>
              </w:rPr>
              <w:t xml:space="preserve"> (Month 28), rates of AEs and SAEs (Month 28), and mortality (Month 28).</w:t>
            </w:r>
          </w:p>
        </w:tc>
      </w:tr>
      <w:tr w:rsidR="001C6AE0" w:rsidRPr="0099114C" w14:paraId="63DB3307" w14:textId="77777777" w:rsidTr="004A30B9">
        <w:trPr>
          <w:cantSplit/>
          <w:trHeight w:val="300"/>
        </w:trPr>
        <w:tc>
          <w:tcPr>
            <w:tcW w:w="1126" w:type="dxa"/>
            <w:tcBorders>
              <w:top w:val="single" w:sz="6" w:space="0" w:color="auto"/>
              <w:left w:val="single" w:sz="6" w:space="0" w:color="auto"/>
              <w:bottom w:val="single" w:sz="6" w:space="0" w:color="auto"/>
              <w:right w:val="single" w:sz="6" w:space="0" w:color="auto"/>
            </w:tcBorders>
            <w:shd w:val="clear" w:color="auto" w:fill="auto"/>
            <w:vAlign w:val="center"/>
          </w:tcPr>
          <w:p w14:paraId="3003D78D" w14:textId="7CC56C12" w:rsidR="009D0E73" w:rsidRPr="00857B0D" w:rsidRDefault="009D0E73" w:rsidP="002E21D0">
            <w:pPr>
              <w:pStyle w:val="paragraph"/>
              <w:keepNext/>
              <w:spacing w:before="0" w:beforeAutospacing="0" w:after="0" w:afterAutospacing="0"/>
              <w:textAlignment w:val="baseline"/>
              <w:rPr>
                <w:rStyle w:val="normaltextrun"/>
                <w:rFonts w:ascii="Arial Narrow" w:hAnsi="Arial Narrow" w:cs="Segoe UI"/>
                <w:sz w:val="20"/>
                <w:szCs w:val="20"/>
              </w:rPr>
            </w:pPr>
            <w:r w:rsidRPr="00857B0D">
              <w:rPr>
                <w:rStyle w:val="normaltextrun"/>
                <w:rFonts w:ascii="Arial Narrow" w:hAnsi="Arial Narrow" w:cs="Segoe UI"/>
                <w:sz w:val="20"/>
                <w:szCs w:val="20"/>
              </w:rPr>
              <w:t>MAINRITSAN 2</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1E7106DB" w14:textId="194CDFCC" w:rsidR="009D0E73" w:rsidRPr="00857B0D" w:rsidRDefault="00D939CB" w:rsidP="002E21D0">
            <w:pPr>
              <w:pStyle w:val="paragraph"/>
              <w:keepNext/>
              <w:spacing w:before="0" w:beforeAutospacing="0" w:after="0" w:afterAutospacing="0"/>
              <w:jc w:val="center"/>
              <w:textAlignment w:val="baseline"/>
              <w:rPr>
                <w:rStyle w:val="normaltextrun"/>
                <w:rFonts w:ascii="Arial Narrow" w:hAnsi="Arial Narrow" w:cs="Segoe UI"/>
                <w:sz w:val="20"/>
                <w:szCs w:val="20"/>
              </w:rPr>
            </w:pPr>
            <w:r w:rsidRPr="00857B0D">
              <w:rPr>
                <w:rStyle w:val="normaltextrun"/>
                <w:rFonts w:ascii="Arial Narrow" w:hAnsi="Arial Narrow" w:cs="Segoe UI"/>
                <w:sz w:val="20"/>
                <w:szCs w:val="20"/>
              </w:rPr>
              <w:t>162</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133E4803" w14:textId="6FDD4CB4" w:rsidR="008E3625" w:rsidRPr="0099114C" w:rsidRDefault="008E3625" w:rsidP="002E21D0">
            <w:pPr>
              <w:pStyle w:val="paragraph"/>
              <w:keepNext/>
              <w:spacing w:before="0" w:beforeAutospacing="0" w:after="0" w:afterAutospacing="0"/>
              <w:jc w:val="center"/>
              <w:textAlignment w:val="baseline"/>
              <w:rPr>
                <w:rStyle w:val="normaltextrun"/>
                <w:rFonts w:ascii="Arial Narrow" w:hAnsi="Arial Narrow" w:cs="Segoe UI"/>
                <w:sz w:val="20"/>
                <w:szCs w:val="20"/>
              </w:rPr>
            </w:pPr>
            <w:r w:rsidRPr="0099114C">
              <w:rPr>
                <w:rStyle w:val="normaltextrun"/>
                <w:rFonts w:ascii="Arial Narrow" w:hAnsi="Arial Narrow" w:cs="Segoe UI"/>
                <w:sz w:val="20"/>
                <w:szCs w:val="20"/>
              </w:rPr>
              <w:t>Individually tailored versus fixed-schedule rituximab</w:t>
            </w:r>
          </w:p>
          <w:p w14:paraId="3908A390" w14:textId="77777777" w:rsidR="008E3625" w:rsidRPr="0099114C" w:rsidRDefault="008E3625" w:rsidP="002E21D0">
            <w:pPr>
              <w:pStyle w:val="paragraph"/>
              <w:keepNext/>
              <w:spacing w:before="0" w:beforeAutospacing="0" w:after="0" w:afterAutospacing="0"/>
              <w:jc w:val="center"/>
              <w:textAlignment w:val="baseline"/>
              <w:rPr>
                <w:rStyle w:val="normaltextrun"/>
                <w:rFonts w:ascii="Arial Narrow" w:hAnsi="Arial Narrow" w:cs="Segoe UI"/>
                <w:sz w:val="20"/>
                <w:szCs w:val="20"/>
              </w:rPr>
            </w:pPr>
          </w:p>
          <w:p w14:paraId="6D0443B1" w14:textId="533AD65B" w:rsidR="009D0E73" w:rsidRPr="0099114C" w:rsidRDefault="00020CC3" w:rsidP="002E21D0">
            <w:pPr>
              <w:pStyle w:val="paragraph"/>
              <w:keepNext/>
              <w:spacing w:before="0" w:beforeAutospacing="0" w:after="0" w:afterAutospacing="0"/>
              <w:jc w:val="center"/>
              <w:textAlignment w:val="baseline"/>
              <w:rPr>
                <w:rStyle w:val="normaltextrun"/>
                <w:rFonts w:ascii="Arial Narrow" w:hAnsi="Arial Narrow" w:cs="Segoe UI"/>
                <w:sz w:val="20"/>
                <w:szCs w:val="20"/>
              </w:rPr>
            </w:pPr>
            <w:r w:rsidRPr="0099114C">
              <w:rPr>
                <w:rStyle w:val="normaltextrun"/>
                <w:rFonts w:ascii="Arial Narrow" w:hAnsi="Arial Narrow" w:cs="Segoe UI"/>
                <w:sz w:val="20"/>
                <w:szCs w:val="20"/>
              </w:rPr>
              <w:t>R, OL, AC, MC</w:t>
            </w:r>
          </w:p>
          <w:p w14:paraId="7120AFBC" w14:textId="21C65692" w:rsidR="00020CC3" w:rsidRPr="0099114C" w:rsidRDefault="00020CC3" w:rsidP="002E21D0">
            <w:pPr>
              <w:pStyle w:val="paragraph"/>
              <w:keepNext/>
              <w:spacing w:before="0" w:beforeAutospacing="0" w:after="0" w:afterAutospacing="0"/>
              <w:jc w:val="center"/>
              <w:textAlignment w:val="baseline"/>
              <w:rPr>
                <w:rStyle w:val="normaltextrun"/>
                <w:rFonts w:ascii="Arial Narrow" w:hAnsi="Arial Narrow" w:cs="Segoe UI"/>
                <w:sz w:val="20"/>
                <w:szCs w:val="20"/>
              </w:rPr>
            </w:pPr>
            <w:r w:rsidRPr="0099114C">
              <w:rPr>
                <w:rStyle w:val="normaltextrun"/>
                <w:rFonts w:ascii="Arial Narrow" w:hAnsi="Arial Narrow" w:cs="Segoe UI"/>
                <w:sz w:val="20"/>
                <w:szCs w:val="20"/>
              </w:rPr>
              <w:t>28-month treatment period</w:t>
            </w:r>
          </w:p>
        </w:tc>
        <w:tc>
          <w:tcPr>
            <w:tcW w:w="90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E02B7A3" w14:textId="4A3B5052" w:rsidR="009D0E73" w:rsidRPr="0099114C" w:rsidRDefault="009F44AA" w:rsidP="002E21D0">
            <w:pPr>
              <w:pStyle w:val="paragraph"/>
              <w:keepNext/>
              <w:spacing w:before="0" w:beforeAutospacing="0" w:after="0" w:afterAutospacing="0"/>
              <w:jc w:val="center"/>
              <w:textAlignment w:val="baseline"/>
              <w:rPr>
                <w:rStyle w:val="normaltextrun"/>
                <w:rFonts w:ascii="Arial Narrow" w:hAnsi="Arial Narrow" w:cs="Segoe UI"/>
                <w:sz w:val="20"/>
                <w:szCs w:val="20"/>
              </w:rPr>
            </w:pPr>
            <w:r w:rsidRPr="0099114C">
              <w:rPr>
                <w:rStyle w:val="normaltextrun"/>
                <w:rFonts w:ascii="Arial Narrow" w:hAnsi="Arial Narrow" w:cs="Segoe UI"/>
                <w:sz w:val="20"/>
                <w:szCs w:val="20"/>
              </w:rPr>
              <w:t>Low</w:t>
            </w:r>
          </w:p>
        </w:tc>
        <w:tc>
          <w:tcPr>
            <w:tcW w:w="886" w:type="dxa"/>
            <w:tcBorders>
              <w:top w:val="single" w:sz="6" w:space="0" w:color="auto"/>
              <w:left w:val="single" w:sz="6" w:space="0" w:color="auto"/>
              <w:bottom w:val="single" w:sz="6" w:space="0" w:color="auto"/>
              <w:right w:val="single" w:sz="6" w:space="0" w:color="auto"/>
            </w:tcBorders>
            <w:shd w:val="clear" w:color="auto" w:fill="auto"/>
            <w:vAlign w:val="center"/>
          </w:tcPr>
          <w:p w14:paraId="194B90E7" w14:textId="4010C044" w:rsidR="009D0E73" w:rsidRPr="0099114C" w:rsidRDefault="00020CC3" w:rsidP="002E21D0">
            <w:pPr>
              <w:pStyle w:val="paragraph"/>
              <w:keepNext/>
              <w:spacing w:before="0" w:beforeAutospacing="0" w:after="0" w:afterAutospacing="0"/>
              <w:jc w:val="center"/>
              <w:textAlignment w:val="baseline"/>
              <w:rPr>
                <w:rStyle w:val="normaltextrun"/>
                <w:rFonts w:ascii="Arial Narrow" w:hAnsi="Arial Narrow" w:cs="Segoe UI"/>
                <w:sz w:val="20"/>
                <w:szCs w:val="20"/>
              </w:rPr>
            </w:pPr>
            <w:r w:rsidRPr="0099114C">
              <w:rPr>
                <w:rStyle w:val="normaltextrun"/>
                <w:rFonts w:ascii="Arial Narrow" w:hAnsi="Arial Narrow" w:cs="Segoe UI"/>
                <w:sz w:val="20"/>
                <w:szCs w:val="20"/>
              </w:rPr>
              <w:t>Patients in remission with GPA or MPA</w:t>
            </w:r>
          </w:p>
        </w:tc>
        <w:tc>
          <w:tcPr>
            <w:tcW w:w="3681" w:type="dxa"/>
            <w:gridSpan w:val="3"/>
            <w:tcBorders>
              <w:top w:val="single" w:sz="6" w:space="0" w:color="auto"/>
              <w:left w:val="single" w:sz="6" w:space="0" w:color="auto"/>
              <w:bottom w:val="single" w:sz="6" w:space="0" w:color="auto"/>
              <w:right w:val="single" w:sz="6" w:space="0" w:color="auto"/>
            </w:tcBorders>
            <w:shd w:val="clear" w:color="auto" w:fill="auto"/>
          </w:tcPr>
          <w:p w14:paraId="115B4AFB" w14:textId="77777777" w:rsidR="009D0E73" w:rsidRPr="0099114C" w:rsidRDefault="004D0F15" w:rsidP="002E21D0">
            <w:pPr>
              <w:pStyle w:val="paragraph"/>
              <w:keepNext/>
              <w:spacing w:before="0" w:beforeAutospacing="0" w:after="0" w:afterAutospacing="0"/>
              <w:textAlignment w:val="baseline"/>
              <w:rPr>
                <w:rStyle w:val="normaltextrun"/>
                <w:rFonts w:ascii="Arial Narrow" w:hAnsi="Arial Narrow" w:cs="Segoe UI"/>
                <w:sz w:val="20"/>
                <w:szCs w:val="20"/>
              </w:rPr>
            </w:pPr>
            <w:r w:rsidRPr="0099114C">
              <w:rPr>
                <w:rStyle w:val="normaltextrun"/>
                <w:rFonts w:ascii="Arial Narrow" w:hAnsi="Arial Narrow" w:cs="Segoe UI"/>
                <w:sz w:val="20"/>
                <w:szCs w:val="20"/>
              </w:rPr>
              <w:t>Primary: Number of relapses (Month 28)</w:t>
            </w:r>
          </w:p>
          <w:p w14:paraId="31B32286" w14:textId="77777777" w:rsidR="004D0F15" w:rsidRPr="0099114C" w:rsidRDefault="004D0F15" w:rsidP="002E21D0">
            <w:pPr>
              <w:pStyle w:val="paragraph"/>
              <w:keepNext/>
              <w:spacing w:before="0" w:beforeAutospacing="0" w:after="0" w:afterAutospacing="0"/>
              <w:textAlignment w:val="baseline"/>
              <w:rPr>
                <w:rStyle w:val="normaltextrun"/>
                <w:rFonts w:ascii="Arial Narrow" w:hAnsi="Arial Narrow" w:cs="Segoe UI"/>
                <w:sz w:val="20"/>
                <w:szCs w:val="20"/>
              </w:rPr>
            </w:pPr>
          </w:p>
          <w:p w14:paraId="0302B999" w14:textId="71BF82C0" w:rsidR="004D0F15" w:rsidRPr="0099114C" w:rsidRDefault="004D0F15" w:rsidP="002E21D0">
            <w:pPr>
              <w:pStyle w:val="paragraph"/>
              <w:keepNext/>
              <w:spacing w:before="0" w:beforeAutospacing="0" w:after="0" w:afterAutospacing="0"/>
              <w:textAlignment w:val="baseline"/>
              <w:rPr>
                <w:rStyle w:val="normaltextrun"/>
                <w:rFonts w:ascii="Arial Narrow" w:hAnsi="Arial Narrow" w:cs="Segoe UI"/>
                <w:sz w:val="20"/>
                <w:szCs w:val="20"/>
              </w:rPr>
            </w:pPr>
            <w:r w:rsidRPr="0099114C">
              <w:rPr>
                <w:rStyle w:val="normaltextrun"/>
                <w:rFonts w:ascii="Arial Narrow" w:hAnsi="Arial Narrow" w:cs="Segoe UI"/>
                <w:sz w:val="20"/>
                <w:szCs w:val="20"/>
              </w:rPr>
              <w:t>Secondary: Number of major relapses</w:t>
            </w:r>
            <w:r w:rsidR="004646A7" w:rsidRPr="0099114C">
              <w:rPr>
                <w:rStyle w:val="normaltextrun"/>
                <w:rFonts w:ascii="Arial Narrow" w:hAnsi="Arial Narrow" w:cs="Segoe UI"/>
                <w:sz w:val="20"/>
                <w:szCs w:val="20"/>
                <w:vertAlign w:val="superscript"/>
              </w:rPr>
              <w:t>a</w:t>
            </w:r>
            <w:r w:rsidR="00545C13" w:rsidRPr="0099114C">
              <w:rPr>
                <w:rStyle w:val="normaltextrun"/>
                <w:rFonts w:ascii="Arial Narrow" w:hAnsi="Arial Narrow" w:cs="Segoe UI"/>
                <w:sz w:val="20"/>
                <w:szCs w:val="20"/>
              </w:rPr>
              <w:t xml:space="preserve"> (Month 28);</w:t>
            </w:r>
            <w:r w:rsidRPr="0099114C">
              <w:rPr>
                <w:rStyle w:val="normaltextrun"/>
                <w:rFonts w:ascii="Arial Narrow" w:hAnsi="Arial Narrow" w:cs="Segoe UI"/>
                <w:sz w:val="20"/>
                <w:szCs w:val="20"/>
              </w:rPr>
              <w:t xml:space="preserve"> </w:t>
            </w:r>
            <w:r w:rsidR="009D6F99" w:rsidRPr="0099114C">
              <w:rPr>
                <w:rStyle w:val="normaltextrun"/>
                <w:rFonts w:ascii="Arial Narrow" w:hAnsi="Arial Narrow" w:cs="Segoe UI"/>
                <w:sz w:val="20"/>
                <w:szCs w:val="20"/>
              </w:rPr>
              <w:t>number of minor relapses</w:t>
            </w:r>
            <w:r w:rsidR="004646A7" w:rsidRPr="0099114C">
              <w:rPr>
                <w:rStyle w:val="normaltextrun"/>
                <w:rFonts w:ascii="Arial Narrow" w:hAnsi="Arial Narrow" w:cs="Segoe UI"/>
                <w:sz w:val="20"/>
                <w:szCs w:val="20"/>
                <w:vertAlign w:val="superscript"/>
              </w:rPr>
              <w:t>b</w:t>
            </w:r>
            <w:r w:rsidR="00545C13" w:rsidRPr="0099114C">
              <w:rPr>
                <w:rStyle w:val="normaltextrun"/>
                <w:rFonts w:ascii="Arial Narrow" w:hAnsi="Arial Narrow" w:cs="Segoe UI"/>
                <w:sz w:val="20"/>
                <w:szCs w:val="20"/>
              </w:rPr>
              <w:t xml:space="preserve"> (Month 28)</w:t>
            </w:r>
            <w:r w:rsidR="009D6F99" w:rsidRPr="0099114C">
              <w:rPr>
                <w:rStyle w:val="normaltextrun"/>
                <w:rFonts w:ascii="Arial Narrow" w:hAnsi="Arial Narrow" w:cs="Segoe UI"/>
                <w:sz w:val="20"/>
                <w:szCs w:val="20"/>
              </w:rPr>
              <w:t>; association of ANCA evolution and CD19+ B</w:t>
            </w:r>
            <w:r w:rsidR="009D6F99" w:rsidRPr="0099114C">
              <w:rPr>
                <w:rStyle w:val="normaltextrun"/>
                <w:rFonts w:ascii="Arial" w:hAnsi="Arial" w:cs="Arial"/>
                <w:sz w:val="20"/>
                <w:szCs w:val="20"/>
              </w:rPr>
              <w:t> </w:t>
            </w:r>
            <w:r w:rsidR="009D6F99" w:rsidRPr="0099114C">
              <w:rPr>
                <w:rStyle w:val="normaltextrun"/>
                <w:rFonts w:ascii="Arial Narrow" w:hAnsi="Arial Narrow" w:cs="Segoe UI"/>
                <w:sz w:val="20"/>
                <w:szCs w:val="20"/>
              </w:rPr>
              <w:t xml:space="preserve">cell counts with relapses (Month 28); </w:t>
            </w:r>
            <w:r w:rsidR="00E2473F" w:rsidRPr="0099114C">
              <w:rPr>
                <w:rStyle w:val="normaltextrun"/>
                <w:rFonts w:ascii="Arial Narrow" w:hAnsi="Arial Narrow" w:cs="Segoe UI"/>
                <w:sz w:val="20"/>
                <w:szCs w:val="20"/>
              </w:rPr>
              <w:t>GC</w:t>
            </w:r>
            <w:r w:rsidR="009D6F99" w:rsidRPr="0099114C">
              <w:rPr>
                <w:rStyle w:val="normaltextrun"/>
                <w:rFonts w:ascii="Arial Narrow" w:hAnsi="Arial Narrow" w:cs="Segoe UI"/>
                <w:sz w:val="20"/>
                <w:szCs w:val="20"/>
              </w:rPr>
              <w:t xml:space="preserve"> duration and cumulated dose (Month 28); Vasculitis Damage Index (VDI) evaluated damage severity and number for each group (Month 28); A</w:t>
            </w:r>
            <w:r w:rsidR="00C9350D" w:rsidRPr="0099114C">
              <w:rPr>
                <w:rStyle w:val="normaltextrun"/>
                <w:rFonts w:ascii="Arial Narrow" w:hAnsi="Arial Narrow" w:cs="Segoe UI"/>
                <w:sz w:val="20"/>
                <w:szCs w:val="20"/>
              </w:rPr>
              <w:t>E</w:t>
            </w:r>
            <w:r w:rsidR="009D6F99" w:rsidRPr="0099114C">
              <w:rPr>
                <w:rStyle w:val="normaltextrun"/>
                <w:rFonts w:ascii="Arial Narrow" w:hAnsi="Arial Narrow" w:cs="Segoe UI"/>
                <w:sz w:val="20"/>
                <w:szCs w:val="20"/>
              </w:rPr>
              <w:t>s (Month 28); and mortality (Month 28).</w:t>
            </w:r>
          </w:p>
        </w:tc>
      </w:tr>
      <w:tr w:rsidR="001C6AE0" w:rsidRPr="0099114C" w14:paraId="50048D25" w14:textId="77777777" w:rsidTr="004A30B9">
        <w:trPr>
          <w:cantSplit/>
          <w:trHeight w:val="300"/>
        </w:trPr>
        <w:tc>
          <w:tcPr>
            <w:tcW w:w="1126" w:type="dxa"/>
            <w:tcBorders>
              <w:top w:val="single" w:sz="6" w:space="0" w:color="auto"/>
              <w:left w:val="single" w:sz="6" w:space="0" w:color="auto"/>
              <w:bottom w:val="single" w:sz="6" w:space="0" w:color="auto"/>
              <w:right w:val="single" w:sz="6" w:space="0" w:color="auto"/>
            </w:tcBorders>
            <w:shd w:val="clear" w:color="auto" w:fill="auto"/>
            <w:vAlign w:val="center"/>
          </w:tcPr>
          <w:p w14:paraId="7488813E" w14:textId="6D847657" w:rsidR="009D0E73" w:rsidRPr="00857B0D" w:rsidRDefault="009D0E73" w:rsidP="002E21D0">
            <w:pPr>
              <w:pStyle w:val="paragraph"/>
              <w:keepNext/>
              <w:spacing w:before="0" w:beforeAutospacing="0" w:after="0" w:afterAutospacing="0"/>
              <w:textAlignment w:val="baseline"/>
              <w:rPr>
                <w:rStyle w:val="normaltextrun"/>
                <w:rFonts w:ascii="Arial Narrow" w:hAnsi="Arial Narrow" w:cs="Segoe UI"/>
                <w:sz w:val="20"/>
                <w:szCs w:val="20"/>
              </w:rPr>
            </w:pPr>
            <w:r w:rsidRPr="00857B0D">
              <w:rPr>
                <w:rStyle w:val="normaltextrun"/>
                <w:rFonts w:ascii="Arial Narrow" w:hAnsi="Arial Narrow" w:cs="Segoe UI"/>
                <w:sz w:val="20"/>
                <w:szCs w:val="20"/>
              </w:rPr>
              <w:t>RITAZAREM</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33D3275A" w14:textId="0DBCE976" w:rsidR="009D0E73" w:rsidRPr="00857B0D" w:rsidRDefault="009D0E73" w:rsidP="002E21D0">
            <w:pPr>
              <w:pStyle w:val="paragraph"/>
              <w:keepNext/>
              <w:spacing w:before="0" w:beforeAutospacing="0" w:after="0" w:afterAutospacing="0"/>
              <w:jc w:val="center"/>
              <w:textAlignment w:val="baseline"/>
              <w:rPr>
                <w:rStyle w:val="normaltextrun"/>
                <w:rFonts w:ascii="Arial Narrow" w:hAnsi="Arial Narrow" w:cs="Segoe UI"/>
                <w:sz w:val="20"/>
                <w:szCs w:val="20"/>
              </w:rPr>
            </w:pPr>
            <w:r w:rsidRPr="00857B0D">
              <w:rPr>
                <w:rStyle w:val="normaltextrun"/>
                <w:rFonts w:ascii="Arial Narrow" w:hAnsi="Arial Narrow" w:cs="Segoe UI"/>
                <w:sz w:val="20"/>
                <w:szCs w:val="20"/>
              </w:rPr>
              <w:t>188</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2F3B36D0" w14:textId="77777777" w:rsidR="008E3625" w:rsidRPr="0099114C" w:rsidRDefault="008E3625" w:rsidP="002E21D0">
            <w:pPr>
              <w:pStyle w:val="paragraph"/>
              <w:keepNext/>
              <w:spacing w:before="0" w:beforeAutospacing="0" w:after="0" w:afterAutospacing="0"/>
              <w:jc w:val="center"/>
              <w:textAlignment w:val="baseline"/>
              <w:rPr>
                <w:rStyle w:val="normaltextrun"/>
                <w:rFonts w:ascii="Arial Narrow" w:hAnsi="Arial Narrow" w:cs="Segoe UI"/>
                <w:sz w:val="20"/>
                <w:szCs w:val="20"/>
              </w:rPr>
            </w:pPr>
            <w:r w:rsidRPr="0099114C">
              <w:rPr>
                <w:rStyle w:val="normaltextrun"/>
                <w:rFonts w:ascii="Arial Narrow" w:hAnsi="Arial Narrow" w:cs="Segoe UI"/>
                <w:sz w:val="20"/>
                <w:szCs w:val="20"/>
              </w:rPr>
              <w:t>Rituximab versus azathioprine</w:t>
            </w:r>
          </w:p>
          <w:p w14:paraId="64263801" w14:textId="77777777" w:rsidR="008E3625" w:rsidRPr="0099114C" w:rsidRDefault="008E3625" w:rsidP="002E21D0">
            <w:pPr>
              <w:pStyle w:val="paragraph"/>
              <w:keepNext/>
              <w:spacing w:before="0" w:beforeAutospacing="0" w:after="0" w:afterAutospacing="0"/>
              <w:jc w:val="center"/>
              <w:textAlignment w:val="baseline"/>
              <w:rPr>
                <w:rStyle w:val="normaltextrun"/>
                <w:rFonts w:ascii="Arial Narrow" w:hAnsi="Arial Narrow" w:cs="Segoe UI"/>
                <w:sz w:val="20"/>
                <w:szCs w:val="20"/>
              </w:rPr>
            </w:pPr>
          </w:p>
          <w:p w14:paraId="2354FF1A" w14:textId="1341F37A" w:rsidR="009D0E73" w:rsidRPr="0099114C" w:rsidRDefault="009D0E73" w:rsidP="002E21D0">
            <w:pPr>
              <w:pStyle w:val="paragraph"/>
              <w:keepNext/>
              <w:spacing w:before="0" w:beforeAutospacing="0" w:after="0" w:afterAutospacing="0"/>
              <w:jc w:val="center"/>
              <w:textAlignment w:val="baseline"/>
              <w:rPr>
                <w:rStyle w:val="normaltextrun"/>
                <w:rFonts w:ascii="Arial Narrow" w:hAnsi="Arial Narrow" w:cs="Segoe UI"/>
                <w:sz w:val="20"/>
                <w:szCs w:val="20"/>
              </w:rPr>
            </w:pPr>
            <w:r w:rsidRPr="0099114C">
              <w:rPr>
                <w:rStyle w:val="normaltextrun"/>
                <w:rFonts w:ascii="Arial Narrow" w:hAnsi="Arial Narrow" w:cs="Segoe UI"/>
                <w:sz w:val="20"/>
                <w:szCs w:val="20"/>
              </w:rPr>
              <w:t>R, OL, AC, MC</w:t>
            </w:r>
          </w:p>
          <w:p w14:paraId="46997D0A" w14:textId="0ECB5ADF" w:rsidR="009D0E73" w:rsidRPr="0099114C" w:rsidRDefault="009D0E73" w:rsidP="002E21D0">
            <w:pPr>
              <w:pStyle w:val="paragraph"/>
              <w:keepNext/>
              <w:spacing w:before="0" w:beforeAutospacing="0" w:after="0" w:afterAutospacing="0"/>
              <w:jc w:val="center"/>
              <w:textAlignment w:val="baseline"/>
              <w:rPr>
                <w:rStyle w:val="normaltextrun"/>
                <w:rFonts w:ascii="Arial Narrow" w:hAnsi="Arial Narrow" w:cs="Segoe UI"/>
                <w:sz w:val="20"/>
                <w:szCs w:val="20"/>
              </w:rPr>
            </w:pPr>
            <w:r w:rsidRPr="0099114C">
              <w:rPr>
                <w:rStyle w:val="normaltextrun"/>
                <w:rFonts w:ascii="Arial Narrow" w:hAnsi="Arial Narrow" w:cs="Segoe UI"/>
                <w:sz w:val="20"/>
                <w:szCs w:val="20"/>
              </w:rPr>
              <w:t>24-month treatment period</w:t>
            </w:r>
          </w:p>
        </w:tc>
        <w:tc>
          <w:tcPr>
            <w:tcW w:w="90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95EBE34" w14:textId="3EBBCCD5" w:rsidR="009D0E73" w:rsidRPr="0099114C" w:rsidRDefault="009F44AA" w:rsidP="002E21D0">
            <w:pPr>
              <w:pStyle w:val="paragraph"/>
              <w:keepNext/>
              <w:spacing w:before="0" w:beforeAutospacing="0" w:after="0" w:afterAutospacing="0"/>
              <w:jc w:val="center"/>
              <w:textAlignment w:val="baseline"/>
              <w:rPr>
                <w:rStyle w:val="normaltextrun"/>
                <w:rFonts w:ascii="Arial Narrow" w:hAnsi="Arial Narrow" w:cs="Segoe UI"/>
                <w:sz w:val="20"/>
                <w:szCs w:val="20"/>
              </w:rPr>
            </w:pPr>
            <w:r w:rsidRPr="0099114C">
              <w:rPr>
                <w:rStyle w:val="normaltextrun"/>
                <w:rFonts w:ascii="Arial Narrow" w:hAnsi="Arial Narrow" w:cs="Segoe UI"/>
                <w:sz w:val="20"/>
                <w:szCs w:val="20"/>
              </w:rPr>
              <w:t>Some concerns</w:t>
            </w:r>
          </w:p>
        </w:tc>
        <w:tc>
          <w:tcPr>
            <w:tcW w:w="886" w:type="dxa"/>
            <w:tcBorders>
              <w:top w:val="single" w:sz="6" w:space="0" w:color="auto"/>
              <w:left w:val="single" w:sz="6" w:space="0" w:color="auto"/>
              <w:bottom w:val="single" w:sz="6" w:space="0" w:color="auto"/>
              <w:right w:val="single" w:sz="6" w:space="0" w:color="auto"/>
            </w:tcBorders>
            <w:shd w:val="clear" w:color="auto" w:fill="auto"/>
            <w:vAlign w:val="center"/>
          </w:tcPr>
          <w:p w14:paraId="12B39501" w14:textId="1AB6A2F5" w:rsidR="009D0E73" w:rsidRPr="0099114C" w:rsidRDefault="00D939CB" w:rsidP="002E21D0">
            <w:pPr>
              <w:pStyle w:val="paragraph"/>
              <w:keepNext/>
              <w:spacing w:before="0" w:beforeAutospacing="0" w:after="0" w:afterAutospacing="0"/>
              <w:jc w:val="center"/>
              <w:textAlignment w:val="baseline"/>
              <w:rPr>
                <w:rStyle w:val="normaltextrun"/>
                <w:rFonts w:ascii="Arial Narrow" w:hAnsi="Arial Narrow" w:cs="Segoe UI"/>
                <w:sz w:val="20"/>
                <w:szCs w:val="20"/>
              </w:rPr>
            </w:pPr>
            <w:r w:rsidRPr="0099114C">
              <w:rPr>
                <w:rStyle w:val="normaltextrun"/>
                <w:rFonts w:ascii="Arial Narrow" w:hAnsi="Arial Narrow" w:cs="Segoe UI"/>
                <w:sz w:val="20"/>
                <w:szCs w:val="20"/>
              </w:rPr>
              <w:t xml:space="preserve">Relapsing </w:t>
            </w:r>
            <w:r w:rsidR="009D0E73" w:rsidRPr="0099114C">
              <w:rPr>
                <w:rStyle w:val="normaltextrun"/>
                <w:rFonts w:ascii="Arial Narrow" w:hAnsi="Arial Narrow" w:cs="Segoe UI"/>
                <w:sz w:val="20"/>
                <w:szCs w:val="20"/>
              </w:rPr>
              <w:t>GPA or MPA and PR3+ or MPO+</w:t>
            </w:r>
          </w:p>
        </w:tc>
        <w:tc>
          <w:tcPr>
            <w:tcW w:w="3681" w:type="dxa"/>
            <w:gridSpan w:val="3"/>
            <w:tcBorders>
              <w:top w:val="single" w:sz="6" w:space="0" w:color="auto"/>
              <w:left w:val="single" w:sz="6" w:space="0" w:color="auto"/>
              <w:bottom w:val="single" w:sz="6" w:space="0" w:color="auto"/>
              <w:right w:val="single" w:sz="6" w:space="0" w:color="auto"/>
            </w:tcBorders>
            <w:shd w:val="clear" w:color="auto" w:fill="auto"/>
          </w:tcPr>
          <w:p w14:paraId="3750AA04" w14:textId="77777777" w:rsidR="009D0E73" w:rsidRPr="0099114C" w:rsidRDefault="009D0E73" w:rsidP="002E21D0">
            <w:pPr>
              <w:pStyle w:val="paragraph"/>
              <w:keepNext/>
              <w:spacing w:before="0" w:beforeAutospacing="0" w:after="0" w:afterAutospacing="0"/>
              <w:textAlignment w:val="baseline"/>
              <w:rPr>
                <w:rStyle w:val="normaltextrun"/>
                <w:rFonts w:ascii="Arial Narrow" w:hAnsi="Arial Narrow" w:cs="Segoe UI"/>
                <w:sz w:val="20"/>
                <w:szCs w:val="20"/>
              </w:rPr>
            </w:pPr>
            <w:r w:rsidRPr="0099114C">
              <w:rPr>
                <w:rStyle w:val="normaltextrun"/>
                <w:rFonts w:ascii="Arial Narrow" w:hAnsi="Arial Narrow" w:cs="Segoe UI"/>
                <w:sz w:val="20"/>
                <w:szCs w:val="20"/>
              </w:rPr>
              <w:t>Primary: Time from randomisation to disease relapse</w:t>
            </w:r>
          </w:p>
          <w:p w14:paraId="2C972AF4" w14:textId="77777777" w:rsidR="009D0E73" w:rsidRPr="0099114C" w:rsidRDefault="009D0E73" w:rsidP="002E21D0">
            <w:pPr>
              <w:pStyle w:val="paragraph"/>
              <w:keepNext/>
              <w:spacing w:before="0" w:beforeAutospacing="0" w:after="0" w:afterAutospacing="0"/>
              <w:textAlignment w:val="baseline"/>
              <w:rPr>
                <w:rStyle w:val="normaltextrun"/>
                <w:rFonts w:ascii="Arial Narrow" w:hAnsi="Arial Narrow" w:cs="Segoe UI"/>
                <w:sz w:val="20"/>
                <w:szCs w:val="20"/>
              </w:rPr>
            </w:pPr>
          </w:p>
          <w:p w14:paraId="0E67FF1D" w14:textId="74430E48" w:rsidR="009D0E73" w:rsidRPr="0099114C" w:rsidRDefault="009D0E73" w:rsidP="002E21D0">
            <w:pPr>
              <w:pStyle w:val="paragraph"/>
              <w:keepNext/>
              <w:spacing w:before="0" w:beforeAutospacing="0" w:after="0" w:afterAutospacing="0"/>
              <w:textAlignment w:val="baseline"/>
              <w:rPr>
                <w:rStyle w:val="normaltextrun"/>
                <w:rFonts w:ascii="Arial Narrow" w:hAnsi="Arial Narrow" w:cs="Segoe UI"/>
                <w:sz w:val="20"/>
                <w:szCs w:val="20"/>
              </w:rPr>
            </w:pPr>
            <w:r w:rsidRPr="0099114C">
              <w:rPr>
                <w:rStyle w:val="normaltextrun"/>
                <w:rFonts w:ascii="Arial Narrow" w:hAnsi="Arial Narrow" w:cs="Segoe UI"/>
                <w:sz w:val="20"/>
                <w:szCs w:val="20"/>
              </w:rPr>
              <w:t>Secondary: Proportion who maintained remission at the end of the maintenance phase (Month 24), or end of the follow-up phase (Month 36); time to major relapse</w:t>
            </w:r>
            <w:r w:rsidR="0098253A" w:rsidRPr="0099114C">
              <w:rPr>
                <w:rStyle w:val="normaltextrun"/>
                <w:rFonts w:ascii="Arial Narrow" w:hAnsi="Arial Narrow" w:cs="Segoe UI"/>
                <w:sz w:val="20"/>
                <w:szCs w:val="20"/>
                <w:vertAlign w:val="superscript"/>
              </w:rPr>
              <w:t>c</w:t>
            </w:r>
            <w:r w:rsidRPr="0099114C">
              <w:rPr>
                <w:rStyle w:val="normaltextrun"/>
                <w:rFonts w:ascii="Arial Narrow" w:hAnsi="Arial Narrow" w:cs="Segoe UI"/>
                <w:sz w:val="20"/>
                <w:szCs w:val="20"/>
              </w:rPr>
              <w:t xml:space="preserve">; cumulative accrual of damage measured by the Combined Disease Assessment instrument (Month 24 and Month 36); cumulative </w:t>
            </w:r>
            <w:r w:rsidR="00E2473F" w:rsidRPr="0099114C">
              <w:rPr>
                <w:rStyle w:val="normaltextrun"/>
                <w:rFonts w:ascii="Arial Narrow" w:hAnsi="Arial Narrow" w:cs="Segoe UI"/>
                <w:sz w:val="20"/>
                <w:szCs w:val="20"/>
              </w:rPr>
              <w:t>GC</w:t>
            </w:r>
            <w:r w:rsidRPr="0099114C">
              <w:rPr>
                <w:rStyle w:val="normaltextrun"/>
                <w:rFonts w:ascii="Arial Narrow" w:hAnsi="Arial Narrow" w:cs="Segoe UI"/>
                <w:sz w:val="20"/>
                <w:szCs w:val="20"/>
              </w:rPr>
              <w:t xml:space="preserve"> exposure (Month 36); health-related quality of life measures using the SF-36 (Month 24 and Month 36); rates of SAEs (Month, hypogammaglobulinaemia, defined as plasma IgG&lt;5</w:t>
            </w:r>
            <w:r w:rsidRPr="0099114C">
              <w:rPr>
                <w:rStyle w:val="normaltextrun"/>
                <w:rFonts w:ascii="Arial" w:hAnsi="Arial" w:cs="Arial"/>
                <w:sz w:val="20"/>
                <w:szCs w:val="20"/>
              </w:rPr>
              <w:t> </w:t>
            </w:r>
            <w:r w:rsidRPr="0099114C">
              <w:rPr>
                <w:rStyle w:val="normaltextrun"/>
                <w:rFonts w:ascii="Arial Narrow" w:hAnsi="Arial Narrow" w:cs="Segoe UI"/>
                <w:sz w:val="20"/>
                <w:szCs w:val="20"/>
              </w:rPr>
              <w:t>g/L and infections (Ongoing).</w:t>
            </w:r>
          </w:p>
        </w:tc>
      </w:tr>
    </w:tbl>
    <w:p w14:paraId="1EBAEE13" w14:textId="77777777" w:rsidR="00DB5178" w:rsidRPr="0099114C" w:rsidRDefault="00DB5178" w:rsidP="002E21D0">
      <w:pPr>
        <w:pStyle w:val="paragraph"/>
        <w:keepNext/>
        <w:spacing w:before="0" w:beforeAutospacing="0" w:after="0" w:afterAutospacing="0"/>
        <w:jc w:val="both"/>
        <w:textAlignment w:val="baseline"/>
        <w:rPr>
          <w:rFonts w:ascii="Segoe UI" w:hAnsi="Segoe UI" w:cs="Segoe UI"/>
          <w:sz w:val="18"/>
          <w:szCs w:val="18"/>
        </w:rPr>
      </w:pPr>
      <w:r w:rsidRPr="0099114C">
        <w:rPr>
          <w:rStyle w:val="normaltextrun"/>
          <w:rFonts w:ascii="Arial Narrow" w:hAnsi="Arial Narrow" w:cs="Segoe UI"/>
          <w:sz w:val="18"/>
          <w:szCs w:val="18"/>
        </w:rPr>
        <w:t>Source: Table 2.7, pp53-54 of the resubmission, and Attachment 8.</w:t>
      </w:r>
      <w:r w:rsidRPr="0099114C">
        <w:rPr>
          <w:rStyle w:val="eop"/>
          <w:rFonts w:ascii="Arial Narrow" w:hAnsi="Arial Narrow" w:cs="Segoe UI"/>
          <w:sz w:val="18"/>
          <w:szCs w:val="18"/>
        </w:rPr>
        <w:t> </w:t>
      </w:r>
    </w:p>
    <w:p w14:paraId="044C0634" w14:textId="7E4D219D" w:rsidR="00DB5178" w:rsidRPr="0099114C" w:rsidRDefault="00DB5178" w:rsidP="002E21D0">
      <w:pPr>
        <w:pStyle w:val="paragraph"/>
        <w:keepNext/>
        <w:spacing w:before="0" w:beforeAutospacing="0" w:after="0" w:afterAutospacing="0"/>
        <w:jc w:val="both"/>
        <w:textAlignment w:val="baseline"/>
        <w:rPr>
          <w:rStyle w:val="normaltextrun"/>
          <w:rFonts w:ascii="Arial Narrow" w:hAnsi="Arial Narrow" w:cs="Segoe UI"/>
          <w:sz w:val="18"/>
          <w:szCs w:val="18"/>
        </w:rPr>
      </w:pPr>
      <w:r w:rsidRPr="0099114C">
        <w:rPr>
          <w:rStyle w:val="normaltextrun"/>
          <w:rFonts w:ascii="Arial Narrow" w:hAnsi="Arial Narrow" w:cs="Segoe UI"/>
          <w:sz w:val="18"/>
          <w:szCs w:val="18"/>
        </w:rPr>
        <w:t xml:space="preserve">Abbreviations: AC, active-controlled; DB, double-blind; DD, double-dummy; GC, glucocorticoid; GPA, granulomatosis with polyangiitis; HRQoL, health-related quality-of-life; MC, multicentre; MPA, microscopic polyangiitis; </w:t>
      </w:r>
      <w:r w:rsidR="00D939CB" w:rsidRPr="0099114C">
        <w:rPr>
          <w:rStyle w:val="normaltextrun"/>
          <w:rFonts w:ascii="Arial Narrow" w:hAnsi="Arial Narrow" w:cs="Segoe UI"/>
          <w:sz w:val="18"/>
          <w:szCs w:val="18"/>
        </w:rPr>
        <w:t xml:space="preserve">OL, open-label; </w:t>
      </w:r>
      <w:r w:rsidRPr="0099114C">
        <w:rPr>
          <w:rStyle w:val="normaltextrun"/>
          <w:rFonts w:ascii="Arial Narrow" w:hAnsi="Arial Narrow" w:cs="Segoe UI"/>
          <w:sz w:val="18"/>
          <w:szCs w:val="18"/>
        </w:rPr>
        <w:t>R, randomised</w:t>
      </w:r>
      <w:r w:rsidR="007572E9" w:rsidRPr="0099114C">
        <w:rPr>
          <w:rStyle w:val="normaltextrun"/>
          <w:rFonts w:ascii="Arial Narrow" w:hAnsi="Arial Narrow" w:cs="Segoe UI"/>
          <w:sz w:val="18"/>
          <w:szCs w:val="18"/>
        </w:rPr>
        <w:t>; SOC, standard of care</w:t>
      </w:r>
      <w:r w:rsidR="0075555E" w:rsidRPr="0099114C">
        <w:rPr>
          <w:rStyle w:val="normaltextrun"/>
          <w:rFonts w:ascii="Arial Narrow" w:hAnsi="Arial Narrow" w:cs="Segoe UI"/>
          <w:sz w:val="18"/>
          <w:szCs w:val="18"/>
        </w:rPr>
        <w:t>.</w:t>
      </w:r>
    </w:p>
    <w:p w14:paraId="221CB39B" w14:textId="5B130C04" w:rsidR="00BD5AEC" w:rsidRPr="0099114C" w:rsidRDefault="004646A7" w:rsidP="002E21D0">
      <w:pPr>
        <w:pStyle w:val="paragraph"/>
        <w:keepNext/>
        <w:spacing w:before="0" w:beforeAutospacing="0" w:after="0" w:afterAutospacing="0"/>
        <w:jc w:val="both"/>
        <w:textAlignment w:val="baseline"/>
        <w:rPr>
          <w:rStyle w:val="normaltextrun"/>
          <w:rFonts w:ascii="Arial Narrow" w:hAnsi="Arial Narrow" w:cs="Segoe UI"/>
          <w:sz w:val="18"/>
          <w:szCs w:val="18"/>
        </w:rPr>
      </w:pPr>
      <w:r w:rsidRPr="0099114C">
        <w:rPr>
          <w:rStyle w:val="normaltextrun"/>
          <w:rFonts w:ascii="Arial Narrow" w:hAnsi="Arial Narrow" w:cs="Segoe UI"/>
          <w:sz w:val="18"/>
          <w:szCs w:val="18"/>
          <w:vertAlign w:val="superscript"/>
        </w:rPr>
        <w:t>a</w:t>
      </w:r>
      <w:r w:rsidR="00BD5AEC" w:rsidRPr="0099114C">
        <w:rPr>
          <w:rStyle w:val="normaltextrun"/>
          <w:rFonts w:ascii="Arial Narrow" w:hAnsi="Arial Narrow" w:cs="Segoe UI"/>
          <w:sz w:val="18"/>
          <w:szCs w:val="18"/>
        </w:rPr>
        <w:t xml:space="preserve"> In MAINRITSAN and MAINRITSAN 2, major relapses were defined as the reappearance or worsening of disease with a BVAS &gt;0 and involvement of at least one major organ or a life-threatening manifestation.</w:t>
      </w:r>
    </w:p>
    <w:p w14:paraId="2980FA50" w14:textId="5924CE89" w:rsidR="004646A7" w:rsidRPr="0099114C" w:rsidRDefault="00BD5AEC" w:rsidP="002E21D0">
      <w:pPr>
        <w:pStyle w:val="paragraph"/>
        <w:keepNext/>
        <w:spacing w:before="0" w:beforeAutospacing="0" w:after="0" w:afterAutospacing="0"/>
        <w:jc w:val="both"/>
        <w:textAlignment w:val="baseline"/>
        <w:rPr>
          <w:rStyle w:val="normaltextrun"/>
          <w:rFonts w:ascii="Arial Narrow" w:hAnsi="Arial Narrow" w:cs="Segoe UI"/>
          <w:sz w:val="18"/>
          <w:szCs w:val="18"/>
        </w:rPr>
      </w:pPr>
      <w:r w:rsidRPr="0099114C">
        <w:rPr>
          <w:rStyle w:val="normaltextrun"/>
          <w:rFonts w:ascii="Arial Narrow" w:hAnsi="Arial Narrow" w:cs="Segoe UI"/>
          <w:sz w:val="18"/>
          <w:szCs w:val="18"/>
          <w:vertAlign w:val="superscript"/>
        </w:rPr>
        <w:t>b</w:t>
      </w:r>
      <w:r w:rsidRPr="0099114C">
        <w:rPr>
          <w:rStyle w:val="normaltextrun"/>
          <w:rFonts w:ascii="Arial Narrow" w:hAnsi="Arial Narrow" w:cs="Segoe UI"/>
          <w:sz w:val="18"/>
          <w:szCs w:val="18"/>
        </w:rPr>
        <w:t xml:space="preserve"> In MAINRITSAN and MAINRITSAN 2, minor relapses were defined as the reappearance or worsening of disease with a BVAS &gt;0, not corresponding to a major relapse but requiring mild treatment intensification.</w:t>
      </w:r>
    </w:p>
    <w:p w14:paraId="2793F165" w14:textId="4B2955E9" w:rsidR="0098253A" w:rsidRPr="0099114C" w:rsidRDefault="0098253A" w:rsidP="002E21D0">
      <w:pPr>
        <w:pStyle w:val="FooterTableFigure"/>
        <w:keepNext/>
        <w:rPr>
          <w:rStyle w:val="normaltextrun"/>
        </w:rPr>
      </w:pPr>
      <w:r w:rsidRPr="0099114C">
        <w:rPr>
          <w:vertAlign w:val="superscript"/>
        </w:rPr>
        <w:t xml:space="preserve">c </w:t>
      </w:r>
      <w:r w:rsidRPr="0099114C">
        <w:t>Major relapses were defined in RITAZAREM as the development of a new or recurrent major disease activity item using the BVAS</w:t>
      </w:r>
    </w:p>
    <w:p w14:paraId="7396AE50" w14:textId="77777777" w:rsidR="00DB5178" w:rsidRPr="0099114C" w:rsidRDefault="00DB5178" w:rsidP="00DB5178">
      <w:pPr>
        <w:pStyle w:val="FooterTableFigure"/>
        <w:rPr>
          <w:color w:val="000000"/>
          <w:szCs w:val="18"/>
          <w:shd w:val="clear" w:color="auto" w:fill="FFFFFF"/>
        </w:rPr>
      </w:pPr>
      <w:r w:rsidRPr="0099114C">
        <w:rPr>
          <w:rStyle w:val="normaltextrun"/>
          <w:color w:val="000000"/>
          <w:szCs w:val="18"/>
          <w:shd w:val="clear" w:color="auto" w:fill="8EAADB" w:themeFill="accent1" w:themeFillTint="99"/>
        </w:rPr>
        <w:t>Blue Shading</w:t>
      </w:r>
      <w:r w:rsidRPr="0099114C">
        <w:rPr>
          <w:rStyle w:val="normaltextrun"/>
          <w:color w:val="000000"/>
          <w:szCs w:val="18"/>
          <w:shd w:val="clear" w:color="auto" w:fill="FFFFFF"/>
        </w:rPr>
        <w:t xml:space="preserve"> indicates information previously seen by the PBAC</w:t>
      </w:r>
    </w:p>
    <w:p w14:paraId="77AC09D5" w14:textId="54EE1CF6" w:rsidR="00DB5178" w:rsidRPr="0099114C" w:rsidRDefault="00DB5178" w:rsidP="00DB5178">
      <w:pPr>
        <w:pStyle w:val="3-BodyText"/>
        <w:rPr>
          <w:rStyle w:val="normaltextrun"/>
          <w:color w:val="0066FF"/>
        </w:rPr>
      </w:pPr>
      <w:r w:rsidRPr="0099114C">
        <w:rPr>
          <w:rStyle w:val="normaltextrun"/>
          <w:rFonts w:cs="Calibri"/>
          <w:color w:val="000000"/>
          <w:shd w:val="clear" w:color="auto" w:fill="FFFFFF"/>
        </w:rPr>
        <w:lastRenderedPageBreak/>
        <w:t xml:space="preserve">The </w:t>
      </w:r>
      <w:r w:rsidR="001E754B" w:rsidRPr="0099114C">
        <w:rPr>
          <w:rStyle w:val="normaltextrun"/>
          <w:rFonts w:cs="Calibri"/>
          <w:color w:val="000000"/>
          <w:shd w:val="clear" w:color="auto" w:fill="FFFFFF"/>
        </w:rPr>
        <w:t>re</w:t>
      </w:r>
      <w:r w:rsidRPr="0099114C">
        <w:rPr>
          <w:rStyle w:val="normaltextrun"/>
          <w:rFonts w:cs="Calibri"/>
          <w:color w:val="000000"/>
          <w:shd w:val="clear" w:color="auto" w:fill="FFFFFF"/>
        </w:rPr>
        <w:t xml:space="preserve">submission </w:t>
      </w:r>
      <w:r w:rsidR="001E754B" w:rsidRPr="0099114C">
        <w:rPr>
          <w:rStyle w:val="normaltextrun"/>
          <w:rFonts w:cs="Calibri"/>
          <w:color w:val="000000"/>
          <w:shd w:val="clear" w:color="auto" w:fill="FFFFFF"/>
        </w:rPr>
        <w:t xml:space="preserve">did not update their risk of bias claim for the </w:t>
      </w:r>
      <w:r w:rsidRPr="0099114C">
        <w:rPr>
          <w:rStyle w:val="normaltextrun"/>
          <w:rFonts w:cs="Calibri"/>
          <w:color w:val="000000"/>
          <w:shd w:val="clear" w:color="auto" w:fill="FFFFFF"/>
        </w:rPr>
        <w:t xml:space="preserve">ADVOCATE trial. </w:t>
      </w:r>
      <w:r w:rsidR="001E754B" w:rsidRPr="0099114C">
        <w:rPr>
          <w:rStyle w:val="normaltextrun"/>
          <w:rFonts w:cs="Calibri"/>
          <w:color w:val="000000"/>
          <w:shd w:val="clear" w:color="auto" w:fill="FFFFFF"/>
        </w:rPr>
        <w:t>In July 2023, an</w:t>
      </w:r>
      <w:r w:rsidRPr="0099114C">
        <w:rPr>
          <w:rStyle w:val="normaltextrun"/>
          <w:rFonts w:cs="Calibri"/>
          <w:color w:val="000000"/>
          <w:shd w:val="clear" w:color="auto" w:fill="FFFFFF"/>
        </w:rPr>
        <w:t xml:space="preserve"> overall low/some concerns rating for the risk of bias from the ADVOCATE trial </w:t>
      </w:r>
      <w:r w:rsidR="001E754B" w:rsidRPr="0099114C">
        <w:rPr>
          <w:rStyle w:val="normaltextrun"/>
          <w:rFonts w:cs="Calibri"/>
          <w:color w:val="000000"/>
          <w:shd w:val="clear" w:color="auto" w:fill="FFFFFF"/>
        </w:rPr>
        <w:t xml:space="preserve">was considered </w:t>
      </w:r>
      <w:r w:rsidRPr="0099114C">
        <w:rPr>
          <w:rStyle w:val="normaltextrun"/>
          <w:rFonts w:cs="Calibri"/>
          <w:color w:val="000000"/>
          <w:shd w:val="clear" w:color="auto" w:fill="FFFFFF"/>
        </w:rPr>
        <w:t xml:space="preserve">appropriate given there were some concerns for risk of attrition bias </w:t>
      </w:r>
      <w:r w:rsidR="001E754B" w:rsidRPr="0099114C">
        <w:rPr>
          <w:rStyle w:val="normaltextrun"/>
          <w:rFonts w:cs="Calibri"/>
          <w:color w:val="000000"/>
          <w:shd w:val="clear" w:color="auto" w:fill="FFFFFF"/>
        </w:rPr>
        <w:t xml:space="preserve">(para </w:t>
      </w:r>
      <w:r w:rsidR="007C7D6B" w:rsidRPr="0099114C">
        <w:rPr>
          <w:rStyle w:val="normaltextrun"/>
          <w:rFonts w:cs="Calibri"/>
          <w:color w:val="000000"/>
          <w:shd w:val="clear" w:color="auto" w:fill="FFFFFF"/>
        </w:rPr>
        <w:t>6.11</w:t>
      </w:r>
      <w:r w:rsidR="00587C51" w:rsidRPr="0099114C">
        <w:rPr>
          <w:rStyle w:val="normaltextrun"/>
          <w:rFonts w:cs="Calibri"/>
          <w:color w:val="000000"/>
          <w:shd w:val="clear" w:color="auto" w:fill="FFFFFF"/>
        </w:rPr>
        <w:t>, avacopan PSD, July 2023 PBAC meeting).</w:t>
      </w:r>
    </w:p>
    <w:p w14:paraId="685D2FF1" w14:textId="77777777" w:rsidR="009D2568" w:rsidRPr="0099114C" w:rsidRDefault="001E754B" w:rsidP="001E754B">
      <w:pPr>
        <w:pStyle w:val="3-BodyText"/>
        <w:rPr>
          <w:rStyle w:val="normaltextrun"/>
          <w:rFonts w:cs="Calibri"/>
          <w:color w:val="000000"/>
          <w:shd w:val="clear" w:color="auto" w:fill="FFFFFF"/>
        </w:rPr>
      </w:pPr>
      <w:r w:rsidRPr="0099114C">
        <w:rPr>
          <w:rStyle w:val="normaltextrun"/>
          <w:rFonts w:cs="Calibri"/>
          <w:color w:val="000000"/>
          <w:shd w:val="clear" w:color="auto" w:fill="FFFFFF"/>
        </w:rPr>
        <w:t>Primary efficacy outcomes of the ADVOCATE trial included disease remission at Week 26 and sustained remission at Week 52. Disease remission at Week 26 was defined as a Birmingham Vasculitis Activity Score (BVAS) score of 0 and not taking GCs for AAV within 4 weeks prior to Week 26. Sustained remission at Week 52 was defined as disease remission at Week 26 and disease remission at Week 52 (i.e., BVAS of 0 and not taking GCs for AAV for 4 weeks prior to Week 52) without disease relapse between Week 26 and Week 52.</w:t>
      </w:r>
      <w:r w:rsidR="003515D9" w:rsidRPr="0099114C">
        <w:rPr>
          <w:rStyle w:val="normaltextrun"/>
          <w:rFonts w:cs="Calibri"/>
          <w:color w:val="000000"/>
          <w:shd w:val="clear" w:color="auto" w:fill="FFFFFF"/>
        </w:rPr>
        <w:t xml:space="preserve"> </w:t>
      </w:r>
    </w:p>
    <w:p w14:paraId="0FDBBB90" w14:textId="51034D61" w:rsidR="001E754B" w:rsidRPr="0099114C" w:rsidRDefault="003515D9" w:rsidP="001E754B">
      <w:pPr>
        <w:pStyle w:val="3-BodyText"/>
        <w:rPr>
          <w:rStyle w:val="normaltextrun"/>
          <w:rFonts w:cs="Calibri"/>
          <w:color w:val="000000"/>
          <w:shd w:val="clear" w:color="auto" w:fill="FFFFFF"/>
        </w:rPr>
      </w:pPr>
      <w:r w:rsidRPr="0099114C">
        <w:rPr>
          <w:rStyle w:val="normaltextrun"/>
          <w:rFonts w:cs="Calibri"/>
          <w:color w:val="000000"/>
        </w:rPr>
        <w:t xml:space="preserve">The </w:t>
      </w:r>
      <w:r w:rsidR="00A711DC" w:rsidRPr="0099114C">
        <w:rPr>
          <w:rStyle w:val="normaltextrun"/>
          <w:rFonts w:cs="Calibri"/>
          <w:color w:val="000000"/>
        </w:rPr>
        <w:t>re</w:t>
      </w:r>
      <w:r w:rsidRPr="0099114C">
        <w:rPr>
          <w:rStyle w:val="normaltextrun"/>
          <w:rFonts w:cs="Calibri"/>
          <w:color w:val="000000"/>
        </w:rPr>
        <w:t>submission proposed a non-inferiority margin of -0.20 to compare avacopan + SOC with prednisone + SOC; i.e., avacopan + SOC would be considered non-inferior to prednisone + SOC if the difference in the proportion of patients with either remission or sustained remission had a lower bound of the two-sided 95% CI greater than 20 percentage points.</w:t>
      </w:r>
    </w:p>
    <w:p w14:paraId="481A7B89" w14:textId="12D6755C" w:rsidR="00DB5178" w:rsidRPr="0099114C" w:rsidRDefault="00DB5178" w:rsidP="00DB5178">
      <w:pPr>
        <w:pStyle w:val="3-BodyText"/>
        <w:rPr>
          <w:rStyle w:val="normaltextrun"/>
          <w:color w:val="0066FF"/>
        </w:rPr>
      </w:pPr>
      <w:r w:rsidRPr="0099114C">
        <w:rPr>
          <w:rStyle w:val="normaltextrun"/>
          <w:rFonts w:cs="Calibri"/>
          <w:color w:val="000000"/>
          <w:shd w:val="clear" w:color="auto" w:fill="FFFFFF"/>
        </w:rPr>
        <w:t>For the primary efficacy outcomes, patients who discontinued from the study before the Week 26 disease remission endpoint or Week 52 sustained remission endpoint, or patients with missing data were conservatively imputed as ‘not in remission’. For the secondary efficacy outcomes, the handling of patients who discontinued from the study was not reported, and there was either no reporting or imputation of missing data.</w:t>
      </w:r>
    </w:p>
    <w:p w14:paraId="3B020AB1" w14:textId="07790868" w:rsidR="00DB5178" w:rsidRPr="0099114C" w:rsidRDefault="00DB5178" w:rsidP="00DB5178">
      <w:pPr>
        <w:pStyle w:val="3-BodyText"/>
        <w:rPr>
          <w:color w:val="0066FF"/>
        </w:rPr>
      </w:pPr>
      <w:bookmarkStart w:id="34" w:name="_Ref155704610"/>
      <w:r w:rsidRPr="0099114C">
        <w:rPr>
          <w:rStyle w:val="normaltextrun"/>
          <w:rFonts w:cs="Calibri"/>
          <w:color w:val="000000"/>
          <w:shd w:val="clear" w:color="auto" w:fill="FFFFFF"/>
        </w:rPr>
        <w:t xml:space="preserve">During the 52-week treatment period in the ADVOCATE trial, the avacopan + SOC group had a higher mean cumulative dose of non-study supplied GCs in prednisone-equivalent units (1675.5 mg) across the entire treatment period compared to the prednisone + SOC group (1457.6 mg). The overall greater use of non-study supplied GCs was driven by differences observed during the first 26 weeks of treatment, where the avacopan + SOC group had a mean cumulative dose of 1373.7 mg compared to 974.8 mg in the prednisone + SOC group. </w:t>
      </w:r>
      <w:r w:rsidR="000E61DE" w:rsidRPr="0099114C">
        <w:rPr>
          <w:rStyle w:val="normaltextrun"/>
          <w:rFonts w:cs="Calibri"/>
          <w:color w:val="000000"/>
          <w:shd w:val="clear" w:color="auto" w:fill="FFFFFF"/>
        </w:rPr>
        <w:t>However, the total study and non-study supplied GC dosage required during the first 26 weeks was lower in avacopan + SOC group (1373.7 mg) relative to prednisone + SOC group (3364.0 mg).</w:t>
      </w:r>
      <w:r w:rsidR="000E61DE" w:rsidRPr="0099114C">
        <w:rPr>
          <w:rStyle w:val="normaltextrun"/>
          <w:rFonts w:cs="Calibri"/>
          <w:i/>
          <w:iCs/>
          <w:color w:val="000000"/>
          <w:shd w:val="clear" w:color="auto" w:fill="FFFFFF"/>
        </w:rPr>
        <w:t xml:space="preserve"> </w:t>
      </w:r>
      <w:bookmarkEnd w:id="34"/>
    </w:p>
    <w:p w14:paraId="5860EC8F" w14:textId="77777777" w:rsidR="00DB5178" w:rsidRPr="0099114C" w:rsidRDefault="00DB5178" w:rsidP="00DB5178">
      <w:pPr>
        <w:pStyle w:val="4-SubsectionHeading"/>
      </w:pPr>
      <w:bookmarkStart w:id="35" w:name="_Toc152591171"/>
      <w:bookmarkStart w:id="36" w:name="_Toc156913966"/>
      <w:r w:rsidRPr="0099114C">
        <w:t>Comparative effectiveness</w:t>
      </w:r>
      <w:bookmarkEnd w:id="35"/>
      <w:bookmarkEnd w:id="36"/>
    </w:p>
    <w:p w14:paraId="0ECEF492" w14:textId="7FB68CAB" w:rsidR="00012C79" w:rsidRPr="0099114C" w:rsidRDefault="00C21AED" w:rsidP="00012C79">
      <w:pPr>
        <w:pStyle w:val="3-BodyText"/>
        <w:rPr>
          <w:rStyle w:val="normaltextrun"/>
        </w:rPr>
      </w:pPr>
      <w:r w:rsidRPr="0099114C">
        <w:t xml:space="preserve">The ADVOCATE trial remains the primary source of clinical effectiveness information which has been seen by the PBAC before. The resubmission newly presents subgroup analyses from ADVOCATE. The resubmission also newly presents randomised trials for </w:t>
      </w:r>
      <w:r w:rsidR="00AD6719" w:rsidRPr="0099114C">
        <w:t>rituximab</w:t>
      </w:r>
      <w:r w:rsidRPr="0099114C">
        <w:t xml:space="preserve"> </w:t>
      </w:r>
      <w:r w:rsidR="00F21B36" w:rsidRPr="0099114C">
        <w:t>in the maintenance setting</w:t>
      </w:r>
      <w:r w:rsidRPr="0099114C">
        <w:t>.</w:t>
      </w:r>
      <w:r w:rsidR="00F21B36" w:rsidRPr="0099114C">
        <w:rPr>
          <w:i/>
          <w:iCs/>
        </w:rPr>
        <w:t xml:space="preserve"> </w:t>
      </w:r>
      <w:r w:rsidR="00F74180" w:rsidRPr="0099114C">
        <w:t>The ESC noted that there remains no direct or indirect evidence to assess the efficacy of avacopan in combination with rituximab versus rituximab in the maintenance setting.</w:t>
      </w:r>
    </w:p>
    <w:p w14:paraId="0A10B9DC" w14:textId="2644302A" w:rsidR="00455AD2" w:rsidRPr="0099114C" w:rsidRDefault="00455AD2" w:rsidP="00455AD2">
      <w:pPr>
        <w:pStyle w:val="3-BodyText"/>
        <w:rPr>
          <w:rStyle w:val="normaltextrun"/>
        </w:rPr>
      </w:pPr>
      <w:r w:rsidRPr="0099114C">
        <w:rPr>
          <w:rStyle w:val="normaltextrun"/>
        </w:rPr>
        <w:fldChar w:fldCharType="begin" w:fldLock="1"/>
      </w:r>
      <w:r w:rsidRPr="0099114C">
        <w:rPr>
          <w:rStyle w:val="normaltextrun"/>
        </w:rPr>
        <w:instrText xml:space="preserve"> REF _Ref155862315 \h  \* MERGEFORMAT </w:instrText>
      </w:r>
      <w:r w:rsidRPr="0099114C">
        <w:rPr>
          <w:rStyle w:val="normaltextrun"/>
        </w:rPr>
      </w:r>
      <w:r w:rsidRPr="0099114C">
        <w:rPr>
          <w:rStyle w:val="normaltextrun"/>
        </w:rPr>
        <w:fldChar w:fldCharType="separate"/>
      </w:r>
      <w:r w:rsidR="00A04368" w:rsidRPr="0099114C">
        <w:t xml:space="preserve">Table </w:t>
      </w:r>
      <w:r w:rsidR="00A04368" w:rsidRPr="00857B0D">
        <w:t>5</w:t>
      </w:r>
      <w:r w:rsidRPr="0099114C">
        <w:rPr>
          <w:rStyle w:val="normaltextrun"/>
        </w:rPr>
        <w:fldChar w:fldCharType="end"/>
      </w:r>
      <w:r w:rsidRPr="0099114C">
        <w:rPr>
          <w:rStyle w:val="normaltextrun"/>
        </w:rPr>
        <w:t xml:space="preserve"> presents the results of the primary efficacy outcomes, disease remission and sustained remission, from the ADVOCATE trial. </w:t>
      </w:r>
    </w:p>
    <w:p w14:paraId="6DEBEC81" w14:textId="1A00620F" w:rsidR="00DB5178" w:rsidRPr="0099114C" w:rsidRDefault="00DB5178" w:rsidP="002E21D0">
      <w:pPr>
        <w:pStyle w:val="Caption"/>
        <w:rPr>
          <w:rFonts w:ascii="Segoe UI" w:hAnsi="Segoe UI" w:cs="Segoe UI"/>
          <w:b w:val="0"/>
          <w:bCs w:val="0"/>
          <w:sz w:val="18"/>
        </w:rPr>
      </w:pPr>
      <w:bookmarkStart w:id="37" w:name="_Ref155862315"/>
      <w:r w:rsidRPr="0099114C">
        <w:lastRenderedPageBreak/>
        <w:t xml:space="preserve">Table </w:t>
      </w:r>
      <w:fldSimple w:instr=" SEQ Table \* ARABIC " w:fldLock="1">
        <w:r w:rsidR="00A04368" w:rsidRPr="00857B0D">
          <w:t>5</w:t>
        </w:r>
      </w:fldSimple>
      <w:bookmarkEnd w:id="37"/>
      <w:r w:rsidRPr="0099114C">
        <w:t xml:space="preserve">: </w:t>
      </w:r>
      <w:r w:rsidRPr="0099114C">
        <w:rPr>
          <w:rFonts w:cs="Segoe UI"/>
          <w:szCs w:val="20"/>
        </w:rPr>
        <w:t>Results of primary outcomes in the ADVOCATE trial (ITT population)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5: Results of primary outcomes in the ADVOCATE trial (ITT population)   "/>
      </w:tblPr>
      <w:tblGrid>
        <w:gridCol w:w="945"/>
        <w:gridCol w:w="915"/>
        <w:gridCol w:w="1020"/>
        <w:gridCol w:w="1215"/>
        <w:gridCol w:w="1350"/>
        <w:gridCol w:w="960"/>
        <w:gridCol w:w="960"/>
        <w:gridCol w:w="810"/>
        <w:gridCol w:w="810"/>
      </w:tblGrid>
      <w:tr w:rsidR="00DB5178" w:rsidRPr="0099114C" w14:paraId="0C76A02D" w14:textId="77777777">
        <w:trPr>
          <w:trHeight w:val="510"/>
        </w:trPr>
        <w:tc>
          <w:tcPr>
            <w:tcW w:w="9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EDCF74B" w14:textId="77777777" w:rsidR="00DB5178" w:rsidRPr="0099114C" w:rsidRDefault="00DB5178" w:rsidP="002E21D0">
            <w:pPr>
              <w:keepNext/>
              <w:jc w:val="left"/>
              <w:textAlignment w:val="baseline"/>
              <w:rPr>
                <w:rFonts w:ascii="Times New Roman" w:hAnsi="Times New Roman" w:cs="Times New Roman"/>
                <w:sz w:val="20"/>
                <w:szCs w:val="20"/>
              </w:rPr>
            </w:pPr>
            <w:r w:rsidRPr="0099114C">
              <w:rPr>
                <w:rFonts w:ascii="Arial Narrow" w:hAnsi="Arial Narrow" w:cs="Times New Roman"/>
                <w:b/>
                <w:bCs/>
                <w:sz w:val="20"/>
                <w:szCs w:val="20"/>
              </w:rPr>
              <w:t>Outcome</w:t>
            </w:r>
            <w:r w:rsidRPr="0099114C">
              <w:rPr>
                <w:rFonts w:ascii="Arial Narrow" w:hAnsi="Arial Narrow" w:cs="Times New Roman"/>
                <w:sz w:val="20"/>
                <w:szCs w:val="20"/>
              </w:rPr>
              <w:t> </w:t>
            </w:r>
          </w:p>
        </w:tc>
        <w:tc>
          <w:tcPr>
            <w:tcW w:w="91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E07B769" w14:textId="77777777" w:rsidR="00DB5178" w:rsidRPr="0099114C" w:rsidRDefault="00DB5178" w:rsidP="002E21D0">
            <w:pPr>
              <w:keepNext/>
              <w:jc w:val="center"/>
              <w:textAlignment w:val="baseline"/>
              <w:rPr>
                <w:rFonts w:ascii="Times New Roman" w:hAnsi="Times New Roman" w:cs="Times New Roman"/>
                <w:sz w:val="20"/>
                <w:szCs w:val="20"/>
              </w:rPr>
            </w:pPr>
            <w:r w:rsidRPr="0099114C">
              <w:rPr>
                <w:rFonts w:ascii="Arial Narrow" w:hAnsi="Arial Narrow" w:cs="Times New Roman"/>
                <w:b/>
                <w:bCs/>
                <w:sz w:val="20"/>
                <w:szCs w:val="20"/>
              </w:rPr>
              <w:t>Avacopan + SOC</w:t>
            </w:r>
            <w:r w:rsidRPr="0099114C">
              <w:rPr>
                <w:rFonts w:ascii="Arial Narrow" w:hAnsi="Arial Narrow" w:cs="Times New Roman"/>
                <w:sz w:val="20"/>
                <w:szCs w:val="20"/>
              </w:rPr>
              <w:t> </w:t>
            </w:r>
          </w:p>
          <w:p w14:paraId="191415B5" w14:textId="77777777" w:rsidR="00DB5178" w:rsidRPr="0099114C" w:rsidRDefault="00DB5178" w:rsidP="002E21D0">
            <w:pPr>
              <w:keepNext/>
              <w:jc w:val="center"/>
              <w:textAlignment w:val="baseline"/>
              <w:rPr>
                <w:rFonts w:ascii="Times New Roman" w:hAnsi="Times New Roman" w:cs="Times New Roman"/>
                <w:sz w:val="20"/>
                <w:szCs w:val="20"/>
              </w:rPr>
            </w:pPr>
            <w:r w:rsidRPr="0099114C">
              <w:rPr>
                <w:rFonts w:ascii="Arial Narrow" w:hAnsi="Arial Narrow" w:cs="Times New Roman"/>
                <w:b/>
                <w:bCs/>
                <w:sz w:val="20"/>
                <w:szCs w:val="20"/>
              </w:rPr>
              <w:t>n/N</w:t>
            </w:r>
            <w:r w:rsidRPr="0099114C">
              <w:rPr>
                <w:rFonts w:ascii="Arial Narrow" w:hAnsi="Arial Narrow" w:cs="Times New Roman"/>
                <w:sz w:val="20"/>
                <w:szCs w:val="20"/>
              </w:rPr>
              <w:t> </w:t>
            </w:r>
          </w:p>
        </w:tc>
        <w:tc>
          <w:tcPr>
            <w:tcW w:w="102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2917D13" w14:textId="77777777" w:rsidR="00DB5178" w:rsidRPr="0099114C" w:rsidRDefault="00DB5178" w:rsidP="002E21D0">
            <w:pPr>
              <w:keepNext/>
              <w:jc w:val="center"/>
              <w:textAlignment w:val="baseline"/>
              <w:rPr>
                <w:rFonts w:ascii="Times New Roman" w:hAnsi="Times New Roman" w:cs="Times New Roman"/>
                <w:sz w:val="20"/>
                <w:szCs w:val="20"/>
              </w:rPr>
            </w:pPr>
            <w:r w:rsidRPr="0099114C">
              <w:rPr>
                <w:rFonts w:ascii="Arial Narrow" w:hAnsi="Arial Narrow" w:cs="Times New Roman"/>
                <w:b/>
                <w:bCs/>
                <w:sz w:val="20"/>
                <w:szCs w:val="20"/>
              </w:rPr>
              <w:t>Prednisone + SOC</w:t>
            </w:r>
            <w:r w:rsidRPr="0099114C">
              <w:rPr>
                <w:rFonts w:ascii="Arial Narrow" w:hAnsi="Arial Narrow" w:cs="Times New Roman"/>
                <w:sz w:val="20"/>
                <w:szCs w:val="20"/>
              </w:rPr>
              <w:t> </w:t>
            </w:r>
          </w:p>
          <w:p w14:paraId="1277FDD9" w14:textId="77777777" w:rsidR="00DB5178" w:rsidRPr="0099114C" w:rsidRDefault="00DB5178" w:rsidP="002E21D0">
            <w:pPr>
              <w:keepNext/>
              <w:jc w:val="center"/>
              <w:textAlignment w:val="baseline"/>
              <w:rPr>
                <w:rFonts w:ascii="Times New Roman" w:hAnsi="Times New Roman" w:cs="Times New Roman"/>
                <w:sz w:val="20"/>
                <w:szCs w:val="20"/>
              </w:rPr>
            </w:pPr>
            <w:r w:rsidRPr="0099114C">
              <w:rPr>
                <w:rFonts w:ascii="Arial Narrow" w:hAnsi="Arial Narrow" w:cs="Times New Roman"/>
                <w:b/>
                <w:bCs/>
                <w:sz w:val="20"/>
                <w:szCs w:val="20"/>
              </w:rPr>
              <w:t>n/N </w:t>
            </w:r>
            <w:r w:rsidRPr="0099114C">
              <w:rPr>
                <w:rFonts w:ascii="Arial Narrow" w:hAnsi="Arial Narrow" w:cs="Times New Roman"/>
                <w:sz w:val="20"/>
                <w:szCs w:val="20"/>
              </w:rPr>
              <w:t> </w:t>
            </w:r>
          </w:p>
        </w:tc>
        <w:tc>
          <w:tcPr>
            <w:tcW w:w="256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0522D4C" w14:textId="77777777" w:rsidR="00DB5178" w:rsidRPr="0099114C" w:rsidRDefault="00DB5178" w:rsidP="002E21D0">
            <w:pPr>
              <w:keepNext/>
              <w:jc w:val="center"/>
              <w:textAlignment w:val="baseline"/>
              <w:rPr>
                <w:rFonts w:ascii="Times New Roman" w:hAnsi="Times New Roman" w:cs="Times New Roman"/>
                <w:sz w:val="20"/>
                <w:szCs w:val="20"/>
              </w:rPr>
            </w:pPr>
            <w:r w:rsidRPr="0099114C">
              <w:rPr>
                <w:rFonts w:ascii="Arial Narrow" w:hAnsi="Arial Narrow" w:cs="Times New Roman"/>
                <w:b/>
                <w:bCs/>
                <w:sz w:val="20"/>
                <w:szCs w:val="20"/>
              </w:rPr>
              <w:t>Event rate/100 patients</w:t>
            </w:r>
            <w:r w:rsidRPr="0099114C">
              <w:rPr>
                <w:rFonts w:ascii="Arial Narrow" w:hAnsi="Arial Narrow" w:cs="Times New Roman"/>
                <w:sz w:val="20"/>
                <w:szCs w:val="20"/>
              </w:rPr>
              <w:t> </w:t>
            </w:r>
          </w:p>
        </w:tc>
        <w:tc>
          <w:tcPr>
            <w:tcW w:w="96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BA090AF" w14:textId="77777777" w:rsidR="00DB5178" w:rsidRPr="0099114C" w:rsidRDefault="00DB5178" w:rsidP="002E21D0">
            <w:pPr>
              <w:keepNext/>
              <w:jc w:val="center"/>
              <w:textAlignment w:val="baseline"/>
              <w:rPr>
                <w:rFonts w:ascii="Times New Roman" w:hAnsi="Times New Roman" w:cs="Times New Roman"/>
                <w:sz w:val="20"/>
                <w:szCs w:val="20"/>
              </w:rPr>
            </w:pPr>
            <w:r w:rsidRPr="0099114C">
              <w:rPr>
                <w:rFonts w:ascii="Arial Narrow" w:hAnsi="Arial Narrow" w:cs="Times New Roman"/>
                <w:b/>
                <w:bCs/>
                <w:sz w:val="20"/>
                <w:szCs w:val="20"/>
              </w:rPr>
              <w:t>Risk difference, % (95% CI)</w:t>
            </w:r>
            <w:r w:rsidRPr="0099114C">
              <w:rPr>
                <w:rFonts w:ascii="Arial Narrow" w:hAnsi="Arial Narrow" w:cs="Times New Roman"/>
                <w:sz w:val="20"/>
                <w:szCs w:val="20"/>
              </w:rPr>
              <w:t> </w:t>
            </w:r>
          </w:p>
        </w:tc>
        <w:tc>
          <w:tcPr>
            <w:tcW w:w="96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9DB3569" w14:textId="77777777" w:rsidR="00DB5178" w:rsidRPr="0099114C" w:rsidRDefault="00DB5178" w:rsidP="002E21D0">
            <w:pPr>
              <w:keepNext/>
              <w:jc w:val="center"/>
              <w:textAlignment w:val="baseline"/>
              <w:rPr>
                <w:rFonts w:ascii="Times New Roman" w:hAnsi="Times New Roman" w:cs="Times New Roman"/>
                <w:sz w:val="20"/>
                <w:szCs w:val="20"/>
              </w:rPr>
            </w:pPr>
            <w:r w:rsidRPr="00857B0D">
              <w:rPr>
                <w:rFonts w:ascii="Arial Narrow" w:hAnsi="Arial Narrow" w:cs="Times New Roman"/>
                <w:b/>
                <w:bCs/>
                <w:sz w:val="20"/>
                <w:szCs w:val="20"/>
              </w:rPr>
              <w:t>Estimate of common difference, %</w:t>
            </w:r>
            <w:r w:rsidRPr="0099114C">
              <w:rPr>
                <w:rFonts w:ascii="Arial Narrow" w:hAnsi="Arial Narrow" w:cs="Times New Roman"/>
                <w:b/>
                <w:bCs/>
                <w:sz w:val="20"/>
                <w:szCs w:val="20"/>
              </w:rPr>
              <w:t xml:space="preserve"> (95% CI)</w:t>
            </w:r>
            <w:r w:rsidRPr="0099114C">
              <w:rPr>
                <w:rFonts w:ascii="Arial Narrow" w:hAnsi="Arial Narrow" w:cs="Times New Roman"/>
                <w:b/>
                <w:bCs/>
                <w:sz w:val="20"/>
                <w:szCs w:val="20"/>
                <w:vertAlign w:val="superscript"/>
              </w:rPr>
              <w:t>a</w:t>
            </w:r>
            <w:r w:rsidRPr="0099114C">
              <w:rPr>
                <w:rFonts w:ascii="Arial Narrow" w:hAnsi="Arial Narrow" w:cs="Times New Roman"/>
                <w:sz w:val="20"/>
                <w:szCs w:val="20"/>
              </w:rPr>
              <w:t> </w:t>
            </w:r>
          </w:p>
        </w:tc>
        <w:tc>
          <w:tcPr>
            <w:tcW w:w="81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99CBA96" w14:textId="77777777" w:rsidR="00DB5178" w:rsidRPr="0099114C" w:rsidRDefault="00DB5178" w:rsidP="002E21D0">
            <w:pPr>
              <w:keepNext/>
              <w:jc w:val="center"/>
              <w:textAlignment w:val="baseline"/>
              <w:rPr>
                <w:rFonts w:ascii="Times New Roman" w:hAnsi="Times New Roman" w:cs="Times New Roman"/>
                <w:sz w:val="20"/>
                <w:szCs w:val="20"/>
              </w:rPr>
            </w:pPr>
            <w:r w:rsidRPr="0099114C">
              <w:rPr>
                <w:rFonts w:ascii="Arial Narrow" w:hAnsi="Arial Narrow" w:cs="Times New Roman"/>
                <w:b/>
                <w:bCs/>
                <w:sz w:val="20"/>
                <w:szCs w:val="20"/>
              </w:rPr>
              <w:t>Non-inferior p-value</w:t>
            </w:r>
            <w:r w:rsidRPr="0099114C">
              <w:rPr>
                <w:rFonts w:ascii="Arial Narrow" w:hAnsi="Arial Narrow" w:cs="Times New Roman"/>
                <w:sz w:val="20"/>
                <w:szCs w:val="20"/>
              </w:rPr>
              <w:t> </w:t>
            </w:r>
          </w:p>
        </w:tc>
        <w:tc>
          <w:tcPr>
            <w:tcW w:w="81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CAEE43B" w14:textId="77777777" w:rsidR="00DB5178" w:rsidRPr="0099114C" w:rsidRDefault="00DB5178" w:rsidP="002E21D0">
            <w:pPr>
              <w:keepNext/>
              <w:jc w:val="center"/>
              <w:textAlignment w:val="baseline"/>
              <w:rPr>
                <w:rFonts w:ascii="Times New Roman" w:hAnsi="Times New Roman" w:cs="Times New Roman"/>
                <w:sz w:val="20"/>
                <w:szCs w:val="20"/>
              </w:rPr>
            </w:pPr>
            <w:r w:rsidRPr="0099114C">
              <w:rPr>
                <w:rFonts w:ascii="Arial Narrow" w:hAnsi="Arial Narrow" w:cs="Times New Roman"/>
                <w:b/>
                <w:bCs/>
                <w:sz w:val="20"/>
                <w:szCs w:val="20"/>
              </w:rPr>
              <w:t>Superior p-value</w:t>
            </w:r>
            <w:r w:rsidRPr="0099114C">
              <w:rPr>
                <w:rFonts w:ascii="Arial Narrow" w:hAnsi="Arial Narrow" w:cs="Times New Roman"/>
                <w:sz w:val="20"/>
                <w:szCs w:val="20"/>
              </w:rPr>
              <w:t> </w:t>
            </w:r>
          </w:p>
        </w:tc>
      </w:tr>
      <w:tr w:rsidR="00DB5178" w:rsidRPr="0099114C" w14:paraId="660AD0B3" w14:textId="77777777">
        <w:trPr>
          <w:trHeight w:val="51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DEB91D3" w14:textId="77777777" w:rsidR="00DB5178" w:rsidRPr="0099114C" w:rsidRDefault="00DB5178" w:rsidP="002E21D0">
            <w:pPr>
              <w:keepNext/>
              <w:jc w:val="left"/>
              <w:rPr>
                <w:rFonts w:ascii="Times New Roman" w:hAnsi="Times New Roman" w:cs="Times New Roman"/>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1461D54" w14:textId="77777777" w:rsidR="00DB5178" w:rsidRPr="0099114C" w:rsidRDefault="00DB5178" w:rsidP="002E21D0">
            <w:pPr>
              <w:keepNext/>
              <w:jc w:val="left"/>
              <w:rPr>
                <w:rFonts w:ascii="Times New Roman" w:hAnsi="Times New Roman" w:cs="Times New Roman"/>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9DFD28B" w14:textId="77777777" w:rsidR="00DB5178" w:rsidRPr="0099114C" w:rsidRDefault="00DB5178" w:rsidP="002E21D0">
            <w:pPr>
              <w:keepNext/>
              <w:jc w:val="left"/>
              <w:rPr>
                <w:rFonts w:ascii="Times New Roman" w:hAnsi="Times New Roman" w:cs="Times New Roman"/>
                <w:sz w:val="20"/>
                <w:szCs w:val="20"/>
              </w:rPr>
            </w:pP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9CECB9" w14:textId="77777777" w:rsidR="00DB5178" w:rsidRPr="0099114C" w:rsidRDefault="00DB5178" w:rsidP="002E21D0">
            <w:pPr>
              <w:keepNext/>
              <w:jc w:val="center"/>
              <w:textAlignment w:val="baseline"/>
              <w:rPr>
                <w:rFonts w:ascii="Times New Roman" w:hAnsi="Times New Roman" w:cs="Times New Roman"/>
                <w:sz w:val="20"/>
                <w:szCs w:val="20"/>
              </w:rPr>
            </w:pPr>
            <w:r w:rsidRPr="0099114C">
              <w:rPr>
                <w:rFonts w:ascii="Arial Narrow" w:hAnsi="Arial Narrow" w:cs="Times New Roman"/>
                <w:b/>
                <w:bCs/>
                <w:sz w:val="20"/>
                <w:szCs w:val="20"/>
              </w:rPr>
              <w:t>Avacopan + SOC</w:t>
            </w:r>
            <w:r w:rsidRPr="0099114C">
              <w:rPr>
                <w:rFonts w:ascii="Arial Narrow" w:hAnsi="Arial Narrow" w:cs="Times New Roman"/>
                <w:sz w:val="20"/>
                <w:szCs w:val="20"/>
              </w:rPr>
              <w:t> </w:t>
            </w:r>
          </w:p>
        </w:tc>
        <w:tc>
          <w:tcPr>
            <w:tcW w:w="13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3240F5" w14:textId="77777777" w:rsidR="00DB5178" w:rsidRPr="0099114C" w:rsidRDefault="00DB5178" w:rsidP="002E21D0">
            <w:pPr>
              <w:keepNext/>
              <w:jc w:val="center"/>
              <w:textAlignment w:val="baseline"/>
              <w:rPr>
                <w:rFonts w:ascii="Times New Roman" w:hAnsi="Times New Roman" w:cs="Times New Roman"/>
                <w:sz w:val="20"/>
                <w:szCs w:val="20"/>
              </w:rPr>
            </w:pPr>
            <w:r w:rsidRPr="0099114C">
              <w:rPr>
                <w:rFonts w:ascii="Arial Narrow" w:hAnsi="Arial Narrow" w:cs="Times New Roman"/>
                <w:b/>
                <w:bCs/>
                <w:sz w:val="20"/>
                <w:szCs w:val="20"/>
              </w:rPr>
              <w:t>Prednisone + SOC</w:t>
            </w:r>
            <w:r w:rsidRPr="0099114C">
              <w:rPr>
                <w:rFonts w:ascii="Arial Narrow" w:hAnsi="Arial Narrow" w:cs="Times New Roman"/>
                <w:sz w:val="20"/>
                <w:szCs w:val="20"/>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FF2E958" w14:textId="77777777" w:rsidR="00DB5178" w:rsidRPr="0099114C" w:rsidRDefault="00DB5178" w:rsidP="002E21D0">
            <w:pPr>
              <w:keepNext/>
              <w:jc w:val="left"/>
              <w:rPr>
                <w:rFonts w:ascii="Times New Roman" w:hAnsi="Times New Roman" w:cs="Times New Roman"/>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4EEB5DB" w14:textId="77777777" w:rsidR="00DB5178" w:rsidRPr="0099114C" w:rsidRDefault="00DB5178" w:rsidP="002E21D0">
            <w:pPr>
              <w:keepNext/>
              <w:jc w:val="left"/>
              <w:rPr>
                <w:rFonts w:ascii="Times New Roman" w:hAnsi="Times New Roman" w:cs="Times New Roman"/>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4C340B7" w14:textId="77777777" w:rsidR="00DB5178" w:rsidRPr="0099114C" w:rsidRDefault="00DB5178" w:rsidP="002E21D0">
            <w:pPr>
              <w:keepNext/>
              <w:jc w:val="left"/>
              <w:rPr>
                <w:rFonts w:ascii="Times New Roman" w:hAnsi="Times New Roman" w:cs="Times New Roman"/>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196821F" w14:textId="77777777" w:rsidR="00DB5178" w:rsidRPr="0099114C" w:rsidRDefault="00DB5178" w:rsidP="002E21D0">
            <w:pPr>
              <w:keepNext/>
              <w:jc w:val="left"/>
              <w:rPr>
                <w:rFonts w:ascii="Times New Roman" w:hAnsi="Times New Roman" w:cs="Times New Roman"/>
                <w:sz w:val="20"/>
                <w:szCs w:val="20"/>
              </w:rPr>
            </w:pPr>
          </w:p>
        </w:tc>
      </w:tr>
      <w:tr w:rsidR="00DB5178" w:rsidRPr="0099114C" w14:paraId="00DCFE84" w14:textId="77777777">
        <w:trPr>
          <w:trHeight w:val="300"/>
        </w:trPr>
        <w:tc>
          <w:tcPr>
            <w:tcW w:w="945"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47F56361" w14:textId="77777777" w:rsidR="00DB5178" w:rsidRPr="0099114C" w:rsidRDefault="00DB5178" w:rsidP="002E21D0">
            <w:pPr>
              <w:keepNext/>
              <w:jc w:val="left"/>
              <w:textAlignment w:val="baseline"/>
              <w:rPr>
                <w:rFonts w:ascii="Times New Roman" w:hAnsi="Times New Roman" w:cs="Times New Roman"/>
              </w:rPr>
            </w:pPr>
            <w:r w:rsidRPr="0099114C">
              <w:rPr>
                <w:rFonts w:ascii="Arial Narrow" w:hAnsi="Arial Narrow" w:cs="Times New Roman"/>
                <w:sz w:val="20"/>
                <w:szCs w:val="20"/>
              </w:rPr>
              <w:t>Disease remission (Week 26)  </w:t>
            </w:r>
          </w:p>
        </w:tc>
        <w:tc>
          <w:tcPr>
            <w:tcW w:w="915"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2BF25FD9" w14:textId="77777777" w:rsidR="00DB5178" w:rsidRPr="0099114C" w:rsidRDefault="00DB5178"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120/166  </w:t>
            </w:r>
          </w:p>
        </w:tc>
        <w:tc>
          <w:tcPr>
            <w:tcW w:w="102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0C53D8FC" w14:textId="77777777" w:rsidR="00DB5178" w:rsidRPr="0099114C" w:rsidRDefault="00DB5178"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115/164  </w:t>
            </w:r>
          </w:p>
        </w:tc>
        <w:tc>
          <w:tcPr>
            <w:tcW w:w="1215"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07B7E429" w14:textId="77777777" w:rsidR="00DB5178" w:rsidRPr="0099114C" w:rsidRDefault="00DB5178"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72.3 </w:t>
            </w:r>
          </w:p>
        </w:tc>
        <w:tc>
          <w:tcPr>
            <w:tcW w:w="1335"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34B8BD9B" w14:textId="77777777" w:rsidR="00DB5178" w:rsidRPr="0099114C" w:rsidRDefault="00DB5178"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70.1 </w:t>
            </w:r>
          </w:p>
        </w:tc>
        <w:tc>
          <w:tcPr>
            <w:tcW w:w="96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2E4EAC71" w14:textId="77777777" w:rsidR="00DB5178" w:rsidRPr="0099114C" w:rsidRDefault="00DB5178"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2.2  </w:t>
            </w:r>
          </w:p>
          <w:p w14:paraId="1B3A2952" w14:textId="404ED305" w:rsidR="00DB5178" w:rsidRPr="0099114C" w:rsidRDefault="00DB5178"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(-7.6, 11.9)</w:t>
            </w:r>
            <w:r w:rsidR="00147C2A" w:rsidRPr="0099114C">
              <w:rPr>
                <w:rFonts w:ascii="Arial Narrow" w:hAnsi="Arial Narrow" w:cs="Times New Roman"/>
                <w:sz w:val="20"/>
                <w:szCs w:val="20"/>
                <w:vertAlign w:val="superscript"/>
              </w:rPr>
              <w:t xml:space="preserve"> </w:t>
            </w:r>
            <w:r w:rsidR="004A4703" w:rsidRPr="0099114C">
              <w:rPr>
                <w:rFonts w:ascii="Arial Narrow" w:hAnsi="Arial Narrow" w:cs="Times New Roman"/>
                <w:sz w:val="20"/>
                <w:szCs w:val="20"/>
                <w:vertAlign w:val="superscript"/>
              </w:rPr>
              <w:t>b</w:t>
            </w:r>
            <w:r w:rsidRPr="0099114C">
              <w:rPr>
                <w:rFonts w:ascii="Arial Narrow" w:hAnsi="Arial Narrow" w:cs="Times New Roman"/>
                <w:sz w:val="20"/>
                <w:szCs w:val="20"/>
              </w:rPr>
              <w:t> </w:t>
            </w:r>
          </w:p>
        </w:tc>
        <w:tc>
          <w:tcPr>
            <w:tcW w:w="96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214FE018" w14:textId="77777777" w:rsidR="00DB5178" w:rsidRPr="0099114C" w:rsidRDefault="00DB5178"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3.4  </w:t>
            </w:r>
          </w:p>
          <w:p w14:paraId="1054C021" w14:textId="77777777" w:rsidR="00DB5178" w:rsidRPr="0099114C" w:rsidRDefault="00DB5178"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(−6.0, 12.8) </w:t>
            </w:r>
          </w:p>
        </w:tc>
        <w:tc>
          <w:tcPr>
            <w:tcW w:w="81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1E5B6970" w14:textId="77777777" w:rsidR="00DB5178" w:rsidRPr="0099114C" w:rsidRDefault="00DB5178"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&lt;0.0001 </w:t>
            </w:r>
          </w:p>
        </w:tc>
        <w:tc>
          <w:tcPr>
            <w:tcW w:w="81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33E8B10D" w14:textId="77777777" w:rsidR="00DB5178" w:rsidRPr="0099114C" w:rsidRDefault="00DB5178"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0.2387 </w:t>
            </w:r>
          </w:p>
        </w:tc>
      </w:tr>
      <w:tr w:rsidR="00DB5178" w:rsidRPr="0099114C" w14:paraId="351E3832" w14:textId="77777777">
        <w:trPr>
          <w:trHeight w:val="300"/>
        </w:trPr>
        <w:tc>
          <w:tcPr>
            <w:tcW w:w="945"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391CC9AC" w14:textId="77777777" w:rsidR="00DB5178" w:rsidRPr="0099114C" w:rsidRDefault="00DB5178" w:rsidP="002E21D0">
            <w:pPr>
              <w:keepNext/>
              <w:jc w:val="left"/>
              <w:textAlignment w:val="baseline"/>
              <w:rPr>
                <w:rFonts w:ascii="Times New Roman" w:hAnsi="Times New Roman" w:cs="Times New Roman"/>
              </w:rPr>
            </w:pPr>
            <w:r w:rsidRPr="0099114C">
              <w:rPr>
                <w:rFonts w:ascii="Arial Narrow" w:hAnsi="Arial Narrow" w:cs="Times New Roman"/>
                <w:sz w:val="20"/>
                <w:szCs w:val="20"/>
              </w:rPr>
              <w:t>Sustained remission (Week 52)  </w:t>
            </w:r>
          </w:p>
        </w:tc>
        <w:tc>
          <w:tcPr>
            <w:tcW w:w="915"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20719C69" w14:textId="77777777" w:rsidR="00DB5178" w:rsidRPr="0099114C" w:rsidRDefault="00DB5178"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109/166  </w:t>
            </w:r>
          </w:p>
        </w:tc>
        <w:tc>
          <w:tcPr>
            <w:tcW w:w="102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418A2DAE" w14:textId="77777777" w:rsidR="00DB5178" w:rsidRPr="0099114C" w:rsidRDefault="00DB5178"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90/164  </w:t>
            </w:r>
          </w:p>
        </w:tc>
        <w:tc>
          <w:tcPr>
            <w:tcW w:w="1215"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6D073543" w14:textId="77777777" w:rsidR="00DB5178" w:rsidRPr="0099114C" w:rsidRDefault="00DB5178"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65.7 </w:t>
            </w:r>
          </w:p>
        </w:tc>
        <w:tc>
          <w:tcPr>
            <w:tcW w:w="1335"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48934F5D" w14:textId="77777777" w:rsidR="00DB5178" w:rsidRPr="0099114C" w:rsidRDefault="00DB5178"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54.9 </w:t>
            </w:r>
          </w:p>
        </w:tc>
        <w:tc>
          <w:tcPr>
            <w:tcW w:w="96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56587EB9" w14:textId="77777777" w:rsidR="00DB5178" w:rsidRPr="0099114C" w:rsidRDefault="00DB5178"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10.8  </w:t>
            </w:r>
          </w:p>
          <w:p w14:paraId="1C02542E" w14:textId="0067BC02" w:rsidR="00DB5178" w:rsidRPr="0099114C" w:rsidRDefault="00DB5178"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(0.3, 21.3)</w:t>
            </w:r>
            <w:r w:rsidR="00147C2A" w:rsidRPr="0099114C">
              <w:rPr>
                <w:rFonts w:ascii="Arial Narrow" w:hAnsi="Arial Narrow" w:cs="Times New Roman"/>
                <w:sz w:val="20"/>
                <w:szCs w:val="20"/>
              </w:rPr>
              <w:t xml:space="preserve"> </w:t>
            </w:r>
            <w:r w:rsidR="004A4703" w:rsidRPr="0099114C">
              <w:rPr>
                <w:rFonts w:ascii="Arial Narrow" w:hAnsi="Arial Narrow" w:cs="Times New Roman"/>
                <w:sz w:val="20"/>
                <w:szCs w:val="20"/>
                <w:vertAlign w:val="superscript"/>
              </w:rPr>
              <w:t>b</w:t>
            </w:r>
            <w:r w:rsidRPr="0099114C">
              <w:rPr>
                <w:rFonts w:ascii="Arial Narrow" w:hAnsi="Arial Narrow" w:cs="Times New Roman"/>
                <w:sz w:val="20"/>
                <w:szCs w:val="20"/>
              </w:rPr>
              <w:t> </w:t>
            </w:r>
          </w:p>
        </w:tc>
        <w:tc>
          <w:tcPr>
            <w:tcW w:w="96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20641B71" w14:textId="77777777" w:rsidR="00DB5178" w:rsidRPr="0099114C" w:rsidRDefault="00DB5178"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12.5  </w:t>
            </w:r>
          </w:p>
          <w:p w14:paraId="3B7D7067" w14:textId="77777777" w:rsidR="00DB5178" w:rsidRPr="0099114C" w:rsidRDefault="00DB5178"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(2.6, 22.3) </w:t>
            </w:r>
          </w:p>
        </w:tc>
        <w:tc>
          <w:tcPr>
            <w:tcW w:w="81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564DFBA7" w14:textId="77777777" w:rsidR="00DB5178" w:rsidRPr="0099114C" w:rsidRDefault="00DB5178"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&lt;0.0001 </w:t>
            </w:r>
          </w:p>
        </w:tc>
        <w:tc>
          <w:tcPr>
            <w:tcW w:w="81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08BC2684" w14:textId="77777777" w:rsidR="00DB5178" w:rsidRPr="0099114C" w:rsidRDefault="00DB5178"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0.0066 </w:t>
            </w:r>
          </w:p>
        </w:tc>
      </w:tr>
    </w:tbl>
    <w:p w14:paraId="635EB060" w14:textId="596E6C0B" w:rsidR="00DB5178" w:rsidRPr="0099114C" w:rsidRDefault="00DB5178" w:rsidP="002E21D0">
      <w:pPr>
        <w:keepNext/>
        <w:textAlignment w:val="baseline"/>
        <w:rPr>
          <w:rFonts w:ascii="Segoe UI" w:hAnsi="Segoe UI" w:cs="Segoe UI"/>
          <w:sz w:val="18"/>
          <w:szCs w:val="18"/>
        </w:rPr>
      </w:pPr>
      <w:r w:rsidRPr="0099114C">
        <w:rPr>
          <w:rFonts w:ascii="Arial Narrow" w:hAnsi="Arial Narrow" w:cs="Segoe UI"/>
          <w:sz w:val="18"/>
          <w:szCs w:val="18"/>
        </w:rPr>
        <w:t>Source: Table 2.26, p84 of the resubmission, Table 2.27, p84 of the resubmission, Table 13, p88 of the ADVOCATE CSR and Table 15, p90 of the ADVOCATE CSR</w:t>
      </w:r>
      <w:r w:rsidR="004A4703" w:rsidRPr="0099114C">
        <w:rPr>
          <w:rFonts w:ascii="Arial Narrow" w:hAnsi="Arial Narrow" w:cs="Segoe UI"/>
          <w:sz w:val="18"/>
          <w:szCs w:val="18"/>
        </w:rPr>
        <w:t>.</w:t>
      </w:r>
      <w:r w:rsidRPr="0099114C">
        <w:rPr>
          <w:rFonts w:ascii="Arial Narrow" w:hAnsi="Arial Narrow" w:cs="Segoe UI"/>
          <w:sz w:val="18"/>
          <w:szCs w:val="18"/>
        </w:rPr>
        <w:t xml:space="preserve"> </w:t>
      </w:r>
    </w:p>
    <w:p w14:paraId="42A14763" w14:textId="3AAA8B58" w:rsidR="00DB5178" w:rsidRPr="0099114C" w:rsidRDefault="00DB5178" w:rsidP="002E21D0">
      <w:pPr>
        <w:keepNext/>
        <w:textAlignment w:val="baseline"/>
        <w:rPr>
          <w:rFonts w:ascii="Segoe UI" w:hAnsi="Segoe UI" w:cs="Segoe UI"/>
          <w:sz w:val="18"/>
          <w:szCs w:val="18"/>
        </w:rPr>
      </w:pPr>
      <w:r w:rsidRPr="0099114C">
        <w:rPr>
          <w:rFonts w:ascii="Arial Narrow" w:hAnsi="Arial Narrow" w:cs="Segoe UI"/>
          <w:sz w:val="18"/>
          <w:szCs w:val="18"/>
        </w:rPr>
        <w:t xml:space="preserve">Abbreviations: CI, confidence interval; </w:t>
      </w:r>
      <w:r w:rsidR="00B8673F" w:rsidRPr="0099114C">
        <w:rPr>
          <w:rFonts w:ascii="Arial Narrow" w:hAnsi="Arial Narrow" w:cs="Segoe UI"/>
          <w:sz w:val="18"/>
          <w:szCs w:val="18"/>
        </w:rPr>
        <w:t>ITT, intent</w:t>
      </w:r>
      <w:r w:rsidR="00464388" w:rsidRPr="0099114C">
        <w:rPr>
          <w:rFonts w:ascii="Arial Narrow" w:hAnsi="Arial Narrow" w:cs="Segoe UI"/>
          <w:sz w:val="18"/>
          <w:szCs w:val="18"/>
        </w:rPr>
        <w:t>ion</w:t>
      </w:r>
      <w:r w:rsidR="00B8673F" w:rsidRPr="0099114C">
        <w:rPr>
          <w:rFonts w:ascii="Arial Narrow" w:hAnsi="Arial Narrow" w:cs="Segoe UI"/>
          <w:sz w:val="18"/>
          <w:szCs w:val="18"/>
        </w:rPr>
        <w:t xml:space="preserve"> to treat; </w:t>
      </w:r>
      <w:r w:rsidRPr="0099114C">
        <w:rPr>
          <w:rFonts w:ascii="Arial Narrow" w:hAnsi="Arial Narrow" w:cs="Segoe UI"/>
          <w:sz w:val="18"/>
          <w:szCs w:val="18"/>
        </w:rPr>
        <w:t>SOC, standard of care. </w:t>
      </w:r>
    </w:p>
    <w:p w14:paraId="403C8C1D" w14:textId="77777777" w:rsidR="00DB5178" w:rsidRPr="0099114C" w:rsidRDefault="00DB5178" w:rsidP="002E21D0">
      <w:pPr>
        <w:keepNext/>
        <w:textAlignment w:val="baseline"/>
        <w:rPr>
          <w:rFonts w:ascii="Arial Narrow" w:hAnsi="Arial Narrow" w:cs="Segoe UI"/>
          <w:sz w:val="18"/>
          <w:szCs w:val="18"/>
        </w:rPr>
      </w:pPr>
      <w:r w:rsidRPr="0099114C">
        <w:rPr>
          <w:rFonts w:ascii="Arial Narrow" w:hAnsi="Arial Narrow" w:cs="Segoe UI"/>
          <w:sz w:val="14"/>
          <w:szCs w:val="14"/>
          <w:vertAlign w:val="superscript"/>
        </w:rPr>
        <w:t>a</w:t>
      </w:r>
      <w:r w:rsidRPr="0099114C">
        <w:rPr>
          <w:rFonts w:ascii="Arial Narrow" w:hAnsi="Arial Narrow" w:cs="Segoe UI"/>
          <w:sz w:val="18"/>
          <w:szCs w:val="18"/>
        </w:rPr>
        <w:t xml:space="preserve"> Summary score estimate of the common difference in remission rates by using inverse-variance stratum weights.</w:t>
      </w:r>
    </w:p>
    <w:p w14:paraId="10EBF45C" w14:textId="0C60C715" w:rsidR="004A4703" w:rsidRPr="0099114C" w:rsidRDefault="004A4703" w:rsidP="002E21D0">
      <w:pPr>
        <w:keepNext/>
        <w:textAlignment w:val="baseline"/>
        <w:rPr>
          <w:rFonts w:ascii="Arial Narrow" w:hAnsi="Arial Narrow" w:cs="Segoe UI"/>
          <w:sz w:val="18"/>
          <w:szCs w:val="18"/>
        </w:rPr>
      </w:pPr>
      <w:r w:rsidRPr="0099114C">
        <w:rPr>
          <w:rFonts w:ascii="Arial Narrow" w:hAnsi="Arial Narrow" w:cs="Segoe UI"/>
          <w:sz w:val="18"/>
          <w:szCs w:val="18"/>
          <w:vertAlign w:val="superscript"/>
        </w:rPr>
        <w:t xml:space="preserve">b </w:t>
      </w:r>
      <w:r w:rsidRPr="0099114C">
        <w:rPr>
          <w:rFonts w:ascii="Arial Narrow" w:hAnsi="Arial Narrow" w:cs="Segoe UI"/>
          <w:sz w:val="18"/>
          <w:szCs w:val="18"/>
        </w:rPr>
        <w:t>Calculated during the evaluation</w:t>
      </w:r>
      <w:r w:rsidR="0099114C">
        <w:rPr>
          <w:rFonts w:ascii="Arial Narrow" w:hAnsi="Arial Narrow" w:cs="Segoe UI"/>
          <w:sz w:val="18"/>
          <w:szCs w:val="18"/>
        </w:rPr>
        <w:t xml:space="preserve">. </w:t>
      </w:r>
      <w:r w:rsidRPr="0099114C">
        <w:rPr>
          <w:rFonts w:ascii="Arial Narrow" w:hAnsi="Arial Narrow" w:cs="Segoe UI"/>
          <w:sz w:val="18"/>
          <w:szCs w:val="18"/>
        </w:rPr>
        <w:t> </w:t>
      </w:r>
    </w:p>
    <w:p w14:paraId="6DD804A2" w14:textId="77777777" w:rsidR="00DB5178" w:rsidRPr="0099114C" w:rsidRDefault="00DB5178" w:rsidP="00DB5178">
      <w:pPr>
        <w:pStyle w:val="FooterTableFigure"/>
        <w:rPr>
          <w:color w:val="000000"/>
          <w:szCs w:val="18"/>
          <w:shd w:val="clear" w:color="auto" w:fill="FFFFFF"/>
        </w:rPr>
      </w:pPr>
      <w:r w:rsidRPr="0099114C">
        <w:rPr>
          <w:rStyle w:val="normaltextrun"/>
          <w:color w:val="000000"/>
          <w:szCs w:val="18"/>
          <w:shd w:val="clear" w:color="auto" w:fill="8EAADB" w:themeFill="accent1" w:themeFillTint="99"/>
        </w:rPr>
        <w:t>Blue Shading</w:t>
      </w:r>
      <w:r w:rsidRPr="0099114C">
        <w:rPr>
          <w:rStyle w:val="normaltextrun"/>
          <w:color w:val="000000"/>
          <w:szCs w:val="18"/>
          <w:shd w:val="clear" w:color="auto" w:fill="FFFFFF"/>
        </w:rPr>
        <w:t xml:space="preserve"> indicates data previously seen by the PBAC</w:t>
      </w:r>
    </w:p>
    <w:p w14:paraId="13369B5D" w14:textId="1A5B187D" w:rsidR="00DB5178" w:rsidRPr="0099114C" w:rsidRDefault="00DB5178" w:rsidP="00DB5178">
      <w:pPr>
        <w:pStyle w:val="3-BodyText"/>
        <w:rPr>
          <w:rStyle w:val="normaltextrun"/>
          <w:color w:val="0066FF"/>
        </w:rPr>
      </w:pPr>
      <w:bookmarkStart w:id="38" w:name="_Ref161859130"/>
      <w:r w:rsidRPr="0099114C">
        <w:rPr>
          <w:rStyle w:val="normaltextrun"/>
          <w:rFonts w:cs="Calibri"/>
          <w:color w:val="000000"/>
          <w:shd w:val="clear" w:color="auto" w:fill="FFFFFF"/>
        </w:rPr>
        <w:t xml:space="preserve">At Week 26, avacopan + SOC was non-inferior to prednisone + SOC in achieving disease remission, </w:t>
      </w:r>
      <w:r w:rsidR="00F21B36" w:rsidRPr="0099114C">
        <w:rPr>
          <w:rStyle w:val="normaltextrun"/>
          <w:rFonts w:cs="Calibri"/>
          <w:color w:val="000000"/>
          <w:shd w:val="clear" w:color="auto" w:fill="FFFFFF"/>
        </w:rPr>
        <w:t xml:space="preserve">and </w:t>
      </w:r>
      <w:r w:rsidRPr="0099114C">
        <w:rPr>
          <w:rStyle w:val="normaltextrun"/>
          <w:rFonts w:cs="Calibri"/>
          <w:color w:val="000000"/>
          <w:shd w:val="clear" w:color="auto" w:fill="FFFFFF"/>
        </w:rPr>
        <w:t>superiority was not demonstrated. At Week 52, avacopan + SOC demonstrated superiority to prednisone + SOC in achieving sustained remission with a 12.5% estimate of common difference in the proportion of patients achieving remission (95% CI: 2.6% to 22.3%; p=0.0066 for superiority).</w:t>
      </w:r>
      <w:bookmarkEnd w:id="38"/>
      <w:r w:rsidRPr="0099114C">
        <w:rPr>
          <w:rStyle w:val="normaltextrun"/>
          <w:rFonts w:cs="Calibri"/>
          <w:color w:val="000000"/>
          <w:shd w:val="clear" w:color="auto" w:fill="FFFFFF"/>
        </w:rPr>
        <w:t xml:space="preserve"> </w:t>
      </w:r>
    </w:p>
    <w:p w14:paraId="30F2F077" w14:textId="37062063" w:rsidR="00DB5178" w:rsidRPr="0099114C" w:rsidRDefault="00DB5178" w:rsidP="00DB5178">
      <w:pPr>
        <w:pStyle w:val="3-BodyText"/>
        <w:rPr>
          <w:rStyle w:val="normaltextrun"/>
          <w:color w:val="0066FF"/>
        </w:rPr>
      </w:pPr>
      <w:bookmarkStart w:id="39" w:name="_Ref161859115"/>
      <w:r w:rsidRPr="0099114C">
        <w:rPr>
          <w:rStyle w:val="normaltextrun"/>
          <w:rFonts w:cs="Calibri"/>
          <w:color w:val="000000"/>
          <w:shd w:val="clear" w:color="auto" w:fill="FFFFFF"/>
        </w:rPr>
        <w:t>The total study and non-study supplied GC dosage required during the initial 6 months was lower in avacopan + SOC group (1373.7 mg) relative to prednisone + SOC group (3364.0 mg), and as a result, there may be advantages in other patient-relevant secondary efficacy outcomes such as GC-induced toxicity.</w:t>
      </w:r>
      <w:r w:rsidR="00DF48E9" w:rsidRPr="0099114C">
        <w:t xml:space="preserve"> </w:t>
      </w:r>
      <w:r w:rsidR="00887953" w:rsidRPr="0099114C">
        <w:rPr>
          <w:rStyle w:val="normaltextrun"/>
          <w:rFonts w:cs="Calibri"/>
          <w:color w:val="000000"/>
          <w:shd w:val="clear" w:color="auto" w:fill="FFFFFF"/>
        </w:rPr>
        <w:t xml:space="preserve">The PBAC </w:t>
      </w:r>
      <w:r w:rsidR="00A5010D" w:rsidRPr="0099114C">
        <w:rPr>
          <w:rStyle w:val="normaltextrun"/>
          <w:rFonts w:cs="Calibri"/>
          <w:color w:val="000000"/>
          <w:shd w:val="clear" w:color="auto" w:fill="FFFFFF"/>
        </w:rPr>
        <w:t xml:space="preserve">had previously </w:t>
      </w:r>
      <w:r w:rsidR="00887953" w:rsidRPr="0099114C">
        <w:rPr>
          <w:rStyle w:val="normaltextrun"/>
          <w:rFonts w:cs="Calibri"/>
          <w:color w:val="000000"/>
          <w:shd w:val="clear" w:color="auto" w:fill="FFFFFF"/>
        </w:rPr>
        <w:t>noted</w:t>
      </w:r>
      <w:r w:rsidR="00C70797" w:rsidRPr="0099114C">
        <w:rPr>
          <w:rStyle w:val="normaltextrun"/>
          <w:rFonts w:cs="Calibri"/>
          <w:color w:val="000000"/>
          <w:shd w:val="clear" w:color="auto" w:fill="FFFFFF"/>
        </w:rPr>
        <w:t xml:space="preserve"> the lower dose of GCs</w:t>
      </w:r>
      <w:r w:rsidR="004A0EFD" w:rsidRPr="0099114C">
        <w:rPr>
          <w:rStyle w:val="normaltextrun"/>
          <w:rFonts w:cs="Calibri"/>
          <w:color w:val="000000"/>
          <w:shd w:val="clear" w:color="auto" w:fill="FFFFFF"/>
        </w:rPr>
        <w:t xml:space="preserve"> required during the induction period in the avacopan + SOC group</w:t>
      </w:r>
      <w:r w:rsidR="005D6425" w:rsidRPr="0099114C">
        <w:rPr>
          <w:rStyle w:val="normaltextrun"/>
          <w:rFonts w:cs="Calibri"/>
          <w:color w:val="000000"/>
          <w:shd w:val="clear" w:color="auto" w:fill="FFFFFF"/>
        </w:rPr>
        <w:t xml:space="preserve"> and considered the evidence provid</w:t>
      </w:r>
      <w:r w:rsidR="00741B8A" w:rsidRPr="0099114C">
        <w:rPr>
          <w:rStyle w:val="normaltextrun"/>
          <w:rFonts w:cs="Calibri"/>
          <w:color w:val="000000"/>
          <w:shd w:val="clear" w:color="auto" w:fill="FFFFFF"/>
        </w:rPr>
        <w:t xml:space="preserve">ed indicated that avacopan may provide a benefit in terms of a </w:t>
      </w:r>
      <w:r w:rsidR="00EC4E2A" w:rsidRPr="0099114C">
        <w:rPr>
          <w:rStyle w:val="normaltextrun"/>
          <w:rFonts w:cs="Calibri"/>
          <w:color w:val="000000"/>
          <w:shd w:val="clear" w:color="auto" w:fill="FFFFFF"/>
        </w:rPr>
        <w:t>strategy</w:t>
      </w:r>
      <w:r w:rsidR="00741B8A" w:rsidRPr="0099114C">
        <w:rPr>
          <w:rStyle w:val="normaltextrun"/>
          <w:rFonts w:cs="Calibri"/>
          <w:color w:val="000000"/>
          <w:shd w:val="clear" w:color="auto" w:fill="FFFFFF"/>
        </w:rPr>
        <w:t xml:space="preserve"> to reduce exposure to </w:t>
      </w:r>
      <w:r w:rsidR="00FC3E52" w:rsidRPr="0099114C">
        <w:rPr>
          <w:rStyle w:val="normaltextrun"/>
          <w:rFonts w:cs="Calibri"/>
          <w:color w:val="000000"/>
          <w:shd w:val="clear" w:color="auto" w:fill="FFFFFF"/>
        </w:rPr>
        <w:t xml:space="preserve">GCs over the induction period (para 7.9, avacopan, PSD, </w:t>
      </w:r>
      <w:r w:rsidR="00EC4E2A" w:rsidRPr="0099114C">
        <w:rPr>
          <w:rStyle w:val="normaltextrun"/>
        </w:rPr>
        <w:t>July 2023 PBAC Meeting).</w:t>
      </w:r>
      <w:bookmarkEnd w:id="39"/>
      <w:r w:rsidR="00EC4E2A" w:rsidRPr="0099114C">
        <w:rPr>
          <w:rStyle w:val="normaltextrun"/>
        </w:rPr>
        <w:t xml:space="preserve"> </w:t>
      </w:r>
    </w:p>
    <w:p w14:paraId="505CC134" w14:textId="3A9FDAEC" w:rsidR="00936E8A" w:rsidRPr="0099114C" w:rsidRDefault="00DB5178" w:rsidP="00DB5178">
      <w:pPr>
        <w:pStyle w:val="3-BodyText"/>
        <w:rPr>
          <w:rStyle w:val="normaltextrun"/>
        </w:rPr>
      </w:pPr>
      <w:r w:rsidRPr="0099114C">
        <w:rPr>
          <w:rStyle w:val="normaltextrun"/>
        </w:rPr>
        <w:fldChar w:fldCharType="begin" w:fldLock="1"/>
      </w:r>
      <w:r w:rsidRPr="0099114C">
        <w:rPr>
          <w:rStyle w:val="normaltextrun"/>
        </w:rPr>
        <w:instrText xml:space="preserve"> REF _Ref153088651 \h  \* MERGEFORMAT </w:instrText>
      </w:r>
      <w:r w:rsidRPr="0099114C">
        <w:rPr>
          <w:rStyle w:val="normaltextrun"/>
        </w:rPr>
      </w:r>
      <w:r w:rsidRPr="0099114C">
        <w:rPr>
          <w:rStyle w:val="normaltextrun"/>
        </w:rPr>
        <w:fldChar w:fldCharType="separate"/>
      </w:r>
      <w:r w:rsidRPr="0099114C">
        <w:t>Tabl</w:t>
      </w:r>
      <w:bookmarkStart w:id="40" w:name="_Hlt153172234"/>
      <w:bookmarkStart w:id="41" w:name="_Hlt153172852"/>
      <w:r w:rsidRPr="0099114C">
        <w:t>e</w:t>
      </w:r>
      <w:bookmarkEnd w:id="40"/>
      <w:bookmarkEnd w:id="41"/>
      <w:r w:rsidRPr="0099114C">
        <w:t xml:space="preserve"> 6</w:t>
      </w:r>
      <w:r w:rsidRPr="0099114C">
        <w:rPr>
          <w:rStyle w:val="normaltextrun"/>
        </w:rPr>
        <w:fldChar w:fldCharType="end"/>
      </w:r>
      <w:r w:rsidRPr="0099114C">
        <w:rPr>
          <w:rStyle w:val="normaltextrun"/>
        </w:rPr>
        <w:t xml:space="preserve"> presents the results of several pre-specified subgroup analyses of the primary efficacy outcome of sustained remission at Week 52 from the ADVOCATE trial.</w:t>
      </w:r>
    </w:p>
    <w:p w14:paraId="1A41CA1F" w14:textId="36F003D5" w:rsidR="00DB5178" w:rsidRPr="0099114C" w:rsidRDefault="00DB5178" w:rsidP="002E21D0">
      <w:pPr>
        <w:pStyle w:val="TableFigureHeading"/>
        <w:rPr>
          <w:rFonts w:ascii="Segoe UI" w:hAnsi="Segoe UI"/>
          <w:sz w:val="18"/>
        </w:rPr>
      </w:pPr>
      <w:r w:rsidRPr="0099114C">
        <w:lastRenderedPageBreak/>
        <w:t xml:space="preserve">Table </w:t>
      </w:r>
      <w:fldSimple w:instr=" SEQ Table \* ARABIC " w:fldLock="1">
        <w:r w:rsidR="00A04368" w:rsidRPr="00857B0D">
          <w:t>6</w:t>
        </w:r>
      </w:fldSimple>
      <w:r w:rsidRPr="0099114C">
        <w:t>: Results of pre-specified subgroup analysis for sustained remission (week 52) in ADVOCATE trial (ITT population)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6: Results of pre-specified subgroup analysis for sustained remission (week 52) in ADVOCATE trial (ITT population) "/>
      </w:tblPr>
      <w:tblGrid>
        <w:gridCol w:w="1410"/>
        <w:gridCol w:w="1830"/>
        <w:gridCol w:w="1830"/>
        <w:gridCol w:w="1830"/>
        <w:gridCol w:w="2100"/>
      </w:tblGrid>
      <w:tr w:rsidR="00DB5178" w:rsidRPr="0099114C" w14:paraId="7930FC22" w14:textId="77777777">
        <w:trPr>
          <w:trHeight w:val="120"/>
        </w:trPr>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68F3BB69" w14:textId="77777777" w:rsidR="00DB5178" w:rsidRPr="0099114C" w:rsidRDefault="00DB5178" w:rsidP="002E21D0">
            <w:pPr>
              <w:keepNext/>
              <w:jc w:val="left"/>
              <w:textAlignment w:val="baseline"/>
              <w:rPr>
                <w:rFonts w:ascii="Times New Roman" w:hAnsi="Times New Roman" w:cs="Times New Roman"/>
              </w:rPr>
            </w:pPr>
            <w:r w:rsidRPr="0099114C">
              <w:rPr>
                <w:rFonts w:ascii="Arial Narrow" w:hAnsi="Arial Narrow" w:cs="Times New Roman"/>
                <w:b/>
                <w:bCs/>
                <w:sz w:val="20"/>
                <w:szCs w:val="20"/>
              </w:rPr>
              <w:t>Outcome</w:t>
            </w:r>
            <w:r w:rsidRPr="0099114C">
              <w:rPr>
                <w:rFonts w:ascii="Arial Narrow" w:hAnsi="Arial Narrow" w:cs="Times New Roman"/>
                <w:sz w:val="20"/>
                <w:szCs w:val="20"/>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969952A" w14:textId="77777777" w:rsidR="00DB5178" w:rsidRPr="0099114C" w:rsidRDefault="00DB5178" w:rsidP="002E21D0">
            <w:pPr>
              <w:keepNext/>
              <w:jc w:val="left"/>
              <w:textAlignment w:val="baseline"/>
              <w:rPr>
                <w:rFonts w:ascii="Times New Roman" w:hAnsi="Times New Roman" w:cs="Times New Roman"/>
              </w:rPr>
            </w:pPr>
            <w:r w:rsidRPr="0099114C">
              <w:rPr>
                <w:rFonts w:ascii="Arial Narrow" w:hAnsi="Arial Narrow" w:cs="Times New Roman"/>
                <w:b/>
                <w:bCs/>
                <w:sz w:val="20"/>
                <w:szCs w:val="20"/>
              </w:rPr>
              <w:t>Patient subgroup</w:t>
            </w:r>
            <w:r w:rsidRPr="0099114C">
              <w:rPr>
                <w:rFonts w:ascii="Arial Narrow" w:hAnsi="Arial Narrow" w:cs="Times New Roman"/>
                <w:sz w:val="20"/>
                <w:szCs w:val="20"/>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28C6D4A" w14:textId="77777777" w:rsidR="00DB5178" w:rsidRPr="0099114C" w:rsidRDefault="00DB5178" w:rsidP="002E21D0">
            <w:pPr>
              <w:keepNext/>
              <w:jc w:val="center"/>
              <w:textAlignment w:val="baseline"/>
              <w:rPr>
                <w:rFonts w:ascii="Times New Roman" w:hAnsi="Times New Roman" w:cs="Times New Roman"/>
              </w:rPr>
            </w:pPr>
            <w:r w:rsidRPr="0099114C">
              <w:rPr>
                <w:rFonts w:ascii="Arial Narrow" w:hAnsi="Arial Narrow" w:cs="Times New Roman"/>
                <w:b/>
                <w:bCs/>
                <w:sz w:val="20"/>
                <w:szCs w:val="20"/>
              </w:rPr>
              <w:t>Avacopan + SOC</w:t>
            </w:r>
            <w:r w:rsidRPr="0099114C">
              <w:rPr>
                <w:rFonts w:ascii="Arial Narrow" w:hAnsi="Arial Narrow" w:cs="Times New Roman"/>
                <w:sz w:val="20"/>
                <w:szCs w:val="20"/>
              </w:rPr>
              <w:t> </w:t>
            </w:r>
            <w:r w:rsidRPr="0099114C">
              <w:rPr>
                <w:rFonts w:ascii="Arial Narrow" w:hAnsi="Arial Narrow" w:cs="Times New Roman"/>
                <w:sz w:val="20"/>
                <w:szCs w:val="20"/>
              </w:rPr>
              <w:br/>
            </w:r>
            <w:r w:rsidRPr="0099114C">
              <w:rPr>
                <w:rFonts w:ascii="Arial Narrow" w:hAnsi="Arial Narrow" w:cs="Times New Roman"/>
                <w:b/>
                <w:bCs/>
                <w:sz w:val="20"/>
                <w:szCs w:val="20"/>
              </w:rPr>
              <w:t>n/N (%)</w:t>
            </w:r>
            <w:r w:rsidRPr="0099114C">
              <w:rPr>
                <w:rFonts w:ascii="Arial Narrow" w:hAnsi="Arial Narrow" w:cs="Times New Roman"/>
                <w:sz w:val="20"/>
                <w:szCs w:val="20"/>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0495B1E" w14:textId="77777777" w:rsidR="00DB5178" w:rsidRPr="0099114C" w:rsidRDefault="00DB5178" w:rsidP="002E21D0">
            <w:pPr>
              <w:keepNext/>
              <w:jc w:val="center"/>
              <w:textAlignment w:val="baseline"/>
              <w:rPr>
                <w:rFonts w:ascii="Times New Roman" w:hAnsi="Times New Roman" w:cs="Times New Roman"/>
              </w:rPr>
            </w:pPr>
            <w:r w:rsidRPr="0099114C">
              <w:rPr>
                <w:rFonts w:ascii="Arial Narrow" w:hAnsi="Arial Narrow" w:cs="Times New Roman"/>
                <w:b/>
                <w:bCs/>
                <w:sz w:val="20"/>
                <w:szCs w:val="20"/>
              </w:rPr>
              <w:t>Prednisone + SOC</w:t>
            </w:r>
            <w:r w:rsidRPr="0099114C">
              <w:rPr>
                <w:rFonts w:ascii="Arial Narrow" w:hAnsi="Arial Narrow" w:cs="Times New Roman"/>
                <w:sz w:val="20"/>
                <w:szCs w:val="20"/>
              </w:rPr>
              <w:t> </w:t>
            </w:r>
            <w:r w:rsidRPr="0099114C">
              <w:rPr>
                <w:rFonts w:ascii="Arial Narrow" w:hAnsi="Arial Narrow" w:cs="Times New Roman"/>
                <w:sz w:val="20"/>
                <w:szCs w:val="20"/>
              </w:rPr>
              <w:br/>
            </w:r>
            <w:r w:rsidRPr="0099114C">
              <w:rPr>
                <w:rFonts w:ascii="Arial Narrow" w:hAnsi="Arial Narrow" w:cs="Times New Roman"/>
                <w:b/>
                <w:bCs/>
                <w:sz w:val="20"/>
                <w:szCs w:val="20"/>
              </w:rPr>
              <w:t>n/N (%)</w:t>
            </w:r>
            <w:r w:rsidRPr="0099114C">
              <w:rPr>
                <w:rFonts w:ascii="Arial Narrow" w:hAnsi="Arial Narrow" w:cs="Times New Roman"/>
                <w:sz w:val="20"/>
                <w:szCs w:val="20"/>
              </w:rPr>
              <w:t>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396053" w14:textId="77777777" w:rsidR="00DB5178" w:rsidRPr="0099114C" w:rsidRDefault="00DB5178" w:rsidP="002E21D0">
            <w:pPr>
              <w:keepNext/>
              <w:jc w:val="center"/>
              <w:textAlignment w:val="baseline"/>
              <w:rPr>
                <w:rFonts w:ascii="Times New Roman" w:hAnsi="Times New Roman" w:cs="Times New Roman"/>
              </w:rPr>
            </w:pPr>
            <w:r w:rsidRPr="00857B0D">
              <w:rPr>
                <w:rFonts w:ascii="Arial Narrow" w:hAnsi="Arial Narrow" w:cs="Times New Roman"/>
                <w:b/>
                <w:bCs/>
                <w:sz w:val="20"/>
                <w:szCs w:val="20"/>
              </w:rPr>
              <w:t>Estimate of common difference, %</w:t>
            </w:r>
            <w:r w:rsidRPr="0099114C">
              <w:rPr>
                <w:rFonts w:ascii="Arial Narrow" w:hAnsi="Arial Narrow" w:cs="Times New Roman"/>
                <w:b/>
                <w:bCs/>
                <w:sz w:val="20"/>
                <w:szCs w:val="20"/>
              </w:rPr>
              <w:t xml:space="preserve"> (95% CI)</w:t>
            </w:r>
            <w:r w:rsidRPr="0099114C">
              <w:rPr>
                <w:rFonts w:ascii="Arial Narrow" w:hAnsi="Arial Narrow" w:cs="Times New Roman"/>
                <w:sz w:val="20"/>
                <w:szCs w:val="20"/>
              </w:rPr>
              <w:t> </w:t>
            </w:r>
          </w:p>
        </w:tc>
      </w:tr>
      <w:tr w:rsidR="00DB5178" w:rsidRPr="0099114C" w14:paraId="58E7A631" w14:textId="77777777">
        <w:trPr>
          <w:trHeight w:val="120"/>
        </w:trPr>
        <w:tc>
          <w:tcPr>
            <w:tcW w:w="141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7459617" w14:textId="77777777" w:rsidR="00DB5178" w:rsidRPr="0099114C" w:rsidRDefault="00DB5178" w:rsidP="002E21D0">
            <w:pPr>
              <w:keepNext/>
              <w:jc w:val="left"/>
              <w:textAlignment w:val="baseline"/>
              <w:rPr>
                <w:rFonts w:ascii="Times New Roman" w:hAnsi="Times New Roman" w:cs="Times New Roman"/>
              </w:rPr>
            </w:pPr>
            <w:r w:rsidRPr="0099114C">
              <w:rPr>
                <w:rFonts w:ascii="Arial Narrow" w:hAnsi="Arial Narrow" w:cs="Times New Roman"/>
                <w:sz w:val="20"/>
                <w:szCs w:val="20"/>
              </w:rPr>
              <w:t>Sustained remission (Week 52) </w:t>
            </w:r>
          </w:p>
        </w:tc>
        <w:tc>
          <w:tcPr>
            <w:tcW w:w="1830"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739BE65D" w14:textId="77777777" w:rsidR="00DB5178" w:rsidRPr="0099114C" w:rsidRDefault="00DB5178" w:rsidP="002E21D0">
            <w:pPr>
              <w:keepNext/>
              <w:jc w:val="left"/>
              <w:textAlignment w:val="baseline"/>
              <w:rPr>
                <w:rFonts w:ascii="Times New Roman" w:hAnsi="Times New Roman" w:cs="Times New Roman"/>
              </w:rPr>
            </w:pPr>
            <w:r w:rsidRPr="0099114C">
              <w:rPr>
                <w:rFonts w:ascii="Arial Narrow" w:hAnsi="Arial Narrow" w:cs="Times New Roman"/>
                <w:sz w:val="20"/>
                <w:szCs w:val="20"/>
              </w:rPr>
              <w:t>All patients </w:t>
            </w:r>
          </w:p>
        </w:tc>
        <w:tc>
          <w:tcPr>
            <w:tcW w:w="1830"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3EE18136" w14:textId="77777777" w:rsidR="00DB5178" w:rsidRPr="0099114C" w:rsidRDefault="00DB5178"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109/166 (65.7) </w:t>
            </w:r>
          </w:p>
        </w:tc>
        <w:tc>
          <w:tcPr>
            <w:tcW w:w="1830"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6C26BF2B" w14:textId="77777777" w:rsidR="00DB5178" w:rsidRPr="0099114C" w:rsidRDefault="00DB5178"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90/164 (54.9) </w:t>
            </w:r>
          </w:p>
        </w:tc>
        <w:tc>
          <w:tcPr>
            <w:tcW w:w="207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2580CA8F" w14:textId="77777777" w:rsidR="00DB5178" w:rsidRPr="0099114C" w:rsidRDefault="00DB5178"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10.8 (2.6, 22.3) </w:t>
            </w:r>
          </w:p>
        </w:tc>
      </w:tr>
      <w:tr w:rsidR="00DB5178" w:rsidRPr="0099114C" w14:paraId="5A8852D0" w14:textId="77777777">
        <w:trPr>
          <w:trHeight w:val="1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9DF8243" w14:textId="77777777" w:rsidR="00DB5178" w:rsidRPr="0099114C" w:rsidRDefault="00DB5178" w:rsidP="002E21D0">
            <w:pPr>
              <w:keepNext/>
              <w:jc w:val="left"/>
              <w:rPr>
                <w:rFonts w:ascii="Times New Roman" w:hAnsi="Times New Roman" w:cs="Times New Roman"/>
              </w:rPr>
            </w:pPr>
          </w:p>
        </w:tc>
        <w:tc>
          <w:tcPr>
            <w:tcW w:w="7590" w:type="dxa"/>
            <w:gridSpan w:val="4"/>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1E9523BA" w14:textId="77777777" w:rsidR="00DB5178" w:rsidRPr="0099114C" w:rsidRDefault="00DB5178" w:rsidP="002E21D0">
            <w:pPr>
              <w:keepNext/>
              <w:jc w:val="left"/>
              <w:textAlignment w:val="baseline"/>
              <w:rPr>
                <w:rFonts w:ascii="Times New Roman" w:hAnsi="Times New Roman" w:cs="Times New Roman"/>
                <w:b/>
                <w:bCs/>
              </w:rPr>
            </w:pPr>
            <w:r w:rsidRPr="0099114C">
              <w:rPr>
                <w:rFonts w:ascii="Arial Narrow" w:hAnsi="Arial Narrow" w:cs="Times New Roman"/>
                <w:b/>
                <w:bCs/>
                <w:sz w:val="20"/>
                <w:szCs w:val="20"/>
              </w:rPr>
              <w:t>SOC treatment </w:t>
            </w:r>
          </w:p>
        </w:tc>
      </w:tr>
      <w:tr w:rsidR="00DB5178" w:rsidRPr="0099114C" w14:paraId="0803D57E" w14:textId="77777777">
        <w:trPr>
          <w:trHeight w:val="1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ADDD0E7" w14:textId="77777777" w:rsidR="00DB5178" w:rsidRPr="0099114C" w:rsidRDefault="00DB5178" w:rsidP="002E21D0">
            <w:pPr>
              <w:keepNext/>
              <w:jc w:val="left"/>
              <w:rPr>
                <w:rFonts w:ascii="Times New Roman" w:hAnsi="Times New Roman" w:cs="Times New Roman"/>
              </w:rPr>
            </w:pPr>
          </w:p>
        </w:tc>
        <w:tc>
          <w:tcPr>
            <w:tcW w:w="1830"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6AA3F180" w14:textId="77777777" w:rsidR="00DB5178" w:rsidRPr="0099114C" w:rsidRDefault="00DB5178" w:rsidP="002E21D0">
            <w:pPr>
              <w:keepNext/>
              <w:jc w:val="left"/>
              <w:textAlignment w:val="baseline"/>
              <w:rPr>
                <w:rFonts w:ascii="Times New Roman" w:hAnsi="Times New Roman" w:cs="Times New Roman"/>
              </w:rPr>
            </w:pPr>
            <w:r w:rsidRPr="0099114C">
              <w:rPr>
                <w:rFonts w:ascii="Arial Narrow" w:hAnsi="Arial Narrow" w:cs="Times New Roman"/>
                <w:sz w:val="20"/>
                <w:szCs w:val="20"/>
              </w:rPr>
              <w:t>Rituximab </w:t>
            </w:r>
          </w:p>
        </w:tc>
        <w:tc>
          <w:tcPr>
            <w:tcW w:w="1830"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2E74B58F" w14:textId="77777777" w:rsidR="00DB5178" w:rsidRPr="0099114C" w:rsidRDefault="00DB5178"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76/107 (71.0) </w:t>
            </w:r>
          </w:p>
        </w:tc>
        <w:tc>
          <w:tcPr>
            <w:tcW w:w="1830"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4E6604AB" w14:textId="77777777" w:rsidR="00DB5178" w:rsidRPr="0099114C" w:rsidRDefault="00DB5178"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60/107 (56.1) </w:t>
            </w:r>
          </w:p>
        </w:tc>
        <w:tc>
          <w:tcPr>
            <w:tcW w:w="207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3ACDE62B" w14:textId="77777777" w:rsidR="00DB5178" w:rsidRPr="0099114C" w:rsidRDefault="00DB5178" w:rsidP="002E21D0">
            <w:pPr>
              <w:keepNext/>
              <w:jc w:val="center"/>
              <w:textAlignment w:val="baseline"/>
              <w:rPr>
                <w:rFonts w:ascii="Times New Roman" w:hAnsi="Times New Roman" w:cs="Times New Roman"/>
              </w:rPr>
            </w:pPr>
            <w:r w:rsidRPr="00857B0D">
              <w:rPr>
                <w:rFonts w:ascii="Arial Narrow" w:hAnsi="Arial Narrow" w:cs="Times New Roman"/>
                <w:sz w:val="20"/>
                <w:szCs w:val="20"/>
              </w:rPr>
              <w:t>15.0 (2.2, 27.7)</w:t>
            </w:r>
            <w:r w:rsidRPr="0099114C">
              <w:rPr>
                <w:rFonts w:ascii="Arial Narrow" w:hAnsi="Arial Narrow" w:cs="Times New Roman"/>
                <w:sz w:val="20"/>
                <w:szCs w:val="20"/>
              </w:rPr>
              <w:t> </w:t>
            </w:r>
          </w:p>
        </w:tc>
      </w:tr>
      <w:tr w:rsidR="00DB5178" w:rsidRPr="0099114C" w14:paraId="1BE55C96" w14:textId="77777777">
        <w:trPr>
          <w:trHeight w:val="1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621FC65" w14:textId="77777777" w:rsidR="00DB5178" w:rsidRPr="0099114C" w:rsidRDefault="00DB5178" w:rsidP="002E21D0">
            <w:pPr>
              <w:keepNext/>
              <w:jc w:val="left"/>
              <w:rPr>
                <w:rFonts w:ascii="Times New Roman" w:hAnsi="Times New Roman" w:cs="Times New Roman"/>
              </w:rPr>
            </w:pPr>
          </w:p>
        </w:tc>
        <w:tc>
          <w:tcPr>
            <w:tcW w:w="1830"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30DC7C52" w14:textId="77777777" w:rsidR="00DB5178" w:rsidRPr="0099114C" w:rsidRDefault="00DB5178" w:rsidP="002E21D0">
            <w:pPr>
              <w:keepNext/>
              <w:jc w:val="left"/>
              <w:textAlignment w:val="baseline"/>
              <w:rPr>
                <w:rFonts w:ascii="Times New Roman" w:hAnsi="Times New Roman" w:cs="Times New Roman"/>
              </w:rPr>
            </w:pPr>
            <w:r w:rsidRPr="0099114C">
              <w:rPr>
                <w:rFonts w:ascii="Arial Narrow" w:hAnsi="Arial Narrow" w:cs="Times New Roman"/>
                <w:sz w:val="20"/>
                <w:szCs w:val="20"/>
              </w:rPr>
              <w:t>Cyclophosphamide </w:t>
            </w:r>
          </w:p>
        </w:tc>
        <w:tc>
          <w:tcPr>
            <w:tcW w:w="1830"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159A1029" w14:textId="77777777" w:rsidR="00DB5178" w:rsidRPr="0099114C" w:rsidRDefault="00DB5178"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33/59 (55.9) </w:t>
            </w:r>
          </w:p>
        </w:tc>
        <w:tc>
          <w:tcPr>
            <w:tcW w:w="1830"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526ABB7A" w14:textId="77777777" w:rsidR="00DB5178" w:rsidRPr="0099114C" w:rsidRDefault="00DB5178"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30/57 (52.6) </w:t>
            </w:r>
          </w:p>
        </w:tc>
        <w:tc>
          <w:tcPr>
            <w:tcW w:w="207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63A71534" w14:textId="77777777" w:rsidR="00DB5178" w:rsidRPr="0099114C" w:rsidRDefault="00DB5178" w:rsidP="002E21D0">
            <w:pPr>
              <w:keepNext/>
              <w:jc w:val="center"/>
              <w:textAlignment w:val="baseline"/>
              <w:rPr>
                <w:rFonts w:ascii="Times New Roman" w:hAnsi="Times New Roman" w:cs="Times New Roman"/>
              </w:rPr>
            </w:pPr>
            <w:r w:rsidRPr="00857B0D">
              <w:rPr>
                <w:rFonts w:ascii="Arial Narrow" w:hAnsi="Arial Narrow" w:cs="Times New Roman"/>
                <w:sz w:val="20"/>
                <w:szCs w:val="20"/>
              </w:rPr>
              <w:t>3.3 ( -14.8, 21.4)</w:t>
            </w:r>
            <w:r w:rsidRPr="0099114C">
              <w:rPr>
                <w:rFonts w:ascii="Arial Narrow" w:hAnsi="Arial Narrow" w:cs="Times New Roman"/>
                <w:sz w:val="20"/>
                <w:szCs w:val="20"/>
              </w:rPr>
              <w:t> </w:t>
            </w:r>
          </w:p>
        </w:tc>
      </w:tr>
      <w:tr w:rsidR="00DB5178" w:rsidRPr="0099114C" w14:paraId="2B2E3E19" w14:textId="77777777">
        <w:trPr>
          <w:trHeight w:val="1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91DA129" w14:textId="77777777" w:rsidR="00DB5178" w:rsidRPr="0099114C" w:rsidRDefault="00DB5178" w:rsidP="002E21D0">
            <w:pPr>
              <w:keepNext/>
              <w:jc w:val="left"/>
              <w:rPr>
                <w:rFonts w:ascii="Times New Roman" w:hAnsi="Times New Roman" w:cs="Times New Roman"/>
              </w:rPr>
            </w:pPr>
          </w:p>
        </w:tc>
        <w:tc>
          <w:tcPr>
            <w:tcW w:w="7590" w:type="dxa"/>
            <w:gridSpan w:val="4"/>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10BC845B" w14:textId="77777777" w:rsidR="00DB5178" w:rsidRPr="0099114C" w:rsidRDefault="00DB5178" w:rsidP="002E21D0">
            <w:pPr>
              <w:keepNext/>
              <w:jc w:val="left"/>
              <w:textAlignment w:val="baseline"/>
              <w:rPr>
                <w:rFonts w:ascii="Times New Roman" w:hAnsi="Times New Roman" w:cs="Times New Roman"/>
                <w:b/>
                <w:bCs/>
              </w:rPr>
            </w:pPr>
            <w:r w:rsidRPr="0099114C">
              <w:rPr>
                <w:rFonts w:ascii="Arial Narrow" w:hAnsi="Arial Narrow" w:cs="Times New Roman"/>
                <w:b/>
                <w:bCs/>
                <w:sz w:val="20"/>
                <w:szCs w:val="20"/>
              </w:rPr>
              <w:t>ANCA type </w:t>
            </w:r>
          </w:p>
        </w:tc>
      </w:tr>
      <w:tr w:rsidR="00DB5178" w:rsidRPr="0099114C" w14:paraId="15A005FD" w14:textId="77777777">
        <w:trPr>
          <w:trHeight w:val="1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81110E9" w14:textId="77777777" w:rsidR="00DB5178" w:rsidRPr="0099114C" w:rsidRDefault="00DB5178" w:rsidP="002E21D0">
            <w:pPr>
              <w:keepNext/>
              <w:jc w:val="left"/>
              <w:rPr>
                <w:rFonts w:ascii="Times New Roman" w:hAnsi="Times New Roman" w:cs="Times New Roman"/>
              </w:rPr>
            </w:pPr>
          </w:p>
        </w:tc>
        <w:tc>
          <w:tcPr>
            <w:tcW w:w="1830"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31C28D97" w14:textId="77777777" w:rsidR="00DB5178" w:rsidRPr="0099114C" w:rsidRDefault="00DB5178" w:rsidP="002E21D0">
            <w:pPr>
              <w:keepNext/>
              <w:jc w:val="left"/>
              <w:textAlignment w:val="baseline"/>
              <w:rPr>
                <w:rFonts w:ascii="Times New Roman" w:hAnsi="Times New Roman" w:cs="Times New Roman"/>
              </w:rPr>
            </w:pPr>
            <w:r w:rsidRPr="0099114C">
              <w:rPr>
                <w:rFonts w:ascii="Arial Narrow" w:hAnsi="Arial Narrow" w:cs="Times New Roman"/>
                <w:sz w:val="20"/>
                <w:szCs w:val="20"/>
              </w:rPr>
              <w:t>Anti-PR3+ </w:t>
            </w:r>
          </w:p>
        </w:tc>
        <w:tc>
          <w:tcPr>
            <w:tcW w:w="1830"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0FBEB69F" w14:textId="77777777" w:rsidR="00DB5178" w:rsidRPr="0099114C" w:rsidRDefault="00DB5178"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43/72 (59.7) </w:t>
            </w:r>
          </w:p>
        </w:tc>
        <w:tc>
          <w:tcPr>
            <w:tcW w:w="1830"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2270A04B" w14:textId="77777777" w:rsidR="00DB5178" w:rsidRPr="0099114C" w:rsidRDefault="00DB5178"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40/70 (57.1) </w:t>
            </w:r>
          </w:p>
        </w:tc>
        <w:tc>
          <w:tcPr>
            <w:tcW w:w="207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55C22F5E" w14:textId="77777777" w:rsidR="00DB5178" w:rsidRPr="0099114C" w:rsidRDefault="00DB5178" w:rsidP="002E21D0">
            <w:pPr>
              <w:keepNext/>
              <w:jc w:val="center"/>
              <w:textAlignment w:val="baseline"/>
              <w:rPr>
                <w:rFonts w:ascii="Times New Roman" w:hAnsi="Times New Roman" w:cs="Times New Roman"/>
              </w:rPr>
            </w:pPr>
            <w:r w:rsidRPr="00857B0D">
              <w:rPr>
                <w:rFonts w:ascii="Arial Narrow" w:hAnsi="Arial Narrow" w:cs="Times New Roman"/>
                <w:sz w:val="20"/>
                <w:szCs w:val="20"/>
              </w:rPr>
              <w:t>2.6 ( -13.6, 18.8)</w:t>
            </w:r>
            <w:r w:rsidRPr="0099114C">
              <w:rPr>
                <w:rFonts w:ascii="Arial Narrow" w:hAnsi="Arial Narrow" w:cs="Times New Roman"/>
                <w:sz w:val="20"/>
                <w:szCs w:val="20"/>
              </w:rPr>
              <w:t> </w:t>
            </w:r>
          </w:p>
        </w:tc>
      </w:tr>
      <w:tr w:rsidR="00DB5178" w:rsidRPr="0099114C" w14:paraId="2F8FE922" w14:textId="77777777">
        <w:trPr>
          <w:trHeight w:val="1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7127069" w14:textId="77777777" w:rsidR="00DB5178" w:rsidRPr="0099114C" w:rsidRDefault="00DB5178" w:rsidP="002E21D0">
            <w:pPr>
              <w:keepNext/>
              <w:jc w:val="left"/>
              <w:rPr>
                <w:rFonts w:ascii="Times New Roman" w:hAnsi="Times New Roman" w:cs="Times New Roman"/>
              </w:rPr>
            </w:pPr>
          </w:p>
        </w:tc>
        <w:tc>
          <w:tcPr>
            <w:tcW w:w="1830"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596F3A25" w14:textId="77777777" w:rsidR="00DB5178" w:rsidRPr="0099114C" w:rsidRDefault="00DB5178" w:rsidP="002E21D0">
            <w:pPr>
              <w:keepNext/>
              <w:jc w:val="left"/>
              <w:textAlignment w:val="baseline"/>
              <w:rPr>
                <w:rFonts w:ascii="Times New Roman" w:hAnsi="Times New Roman" w:cs="Times New Roman"/>
              </w:rPr>
            </w:pPr>
            <w:r w:rsidRPr="0099114C">
              <w:rPr>
                <w:rFonts w:ascii="Arial Narrow" w:hAnsi="Arial Narrow" w:cs="Times New Roman"/>
                <w:sz w:val="20"/>
                <w:szCs w:val="20"/>
              </w:rPr>
              <w:t>Anti-MPO+ </w:t>
            </w:r>
          </w:p>
        </w:tc>
        <w:tc>
          <w:tcPr>
            <w:tcW w:w="1830"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1B167AA8" w14:textId="77777777" w:rsidR="00DB5178" w:rsidRPr="0099114C" w:rsidRDefault="00DB5178"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66/94 (70.2) </w:t>
            </w:r>
          </w:p>
        </w:tc>
        <w:tc>
          <w:tcPr>
            <w:tcW w:w="1830"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486C3102" w14:textId="77777777" w:rsidR="00DB5178" w:rsidRPr="0099114C" w:rsidRDefault="00DB5178"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50/94 (53.2) </w:t>
            </w:r>
          </w:p>
        </w:tc>
        <w:tc>
          <w:tcPr>
            <w:tcW w:w="207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79A0F97B" w14:textId="77777777" w:rsidR="00DB5178" w:rsidRPr="0099114C" w:rsidRDefault="00DB5178" w:rsidP="002E21D0">
            <w:pPr>
              <w:keepNext/>
              <w:jc w:val="center"/>
              <w:textAlignment w:val="baseline"/>
              <w:rPr>
                <w:rFonts w:ascii="Times New Roman" w:hAnsi="Times New Roman" w:cs="Times New Roman"/>
              </w:rPr>
            </w:pPr>
            <w:r w:rsidRPr="00857B0D">
              <w:rPr>
                <w:rFonts w:ascii="Arial Narrow" w:hAnsi="Arial Narrow" w:cs="Times New Roman"/>
                <w:sz w:val="20"/>
                <w:szCs w:val="20"/>
              </w:rPr>
              <w:t>17.0 (3.3, 30.7)</w:t>
            </w:r>
            <w:r w:rsidRPr="0099114C">
              <w:rPr>
                <w:rFonts w:ascii="Arial Narrow" w:hAnsi="Arial Narrow" w:cs="Times New Roman"/>
                <w:sz w:val="20"/>
                <w:szCs w:val="20"/>
              </w:rPr>
              <w:t> </w:t>
            </w:r>
          </w:p>
        </w:tc>
      </w:tr>
      <w:tr w:rsidR="00DB5178" w:rsidRPr="0099114C" w14:paraId="7B435F1D" w14:textId="77777777">
        <w:trPr>
          <w:trHeight w:val="1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EEF8429" w14:textId="77777777" w:rsidR="00DB5178" w:rsidRPr="0099114C" w:rsidRDefault="00DB5178" w:rsidP="002E21D0">
            <w:pPr>
              <w:keepNext/>
              <w:jc w:val="left"/>
              <w:rPr>
                <w:rFonts w:ascii="Times New Roman" w:hAnsi="Times New Roman" w:cs="Times New Roman"/>
              </w:rPr>
            </w:pPr>
          </w:p>
        </w:tc>
        <w:tc>
          <w:tcPr>
            <w:tcW w:w="7590" w:type="dxa"/>
            <w:gridSpan w:val="4"/>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05ADE553" w14:textId="77777777" w:rsidR="00DB5178" w:rsidRPr="0099114C" w:rsidRDefault="00DB5178" w:rsidP="002E21D0">
            <w:pPr>
              <w:keepNext/>
              <w:jc w:val="left"/>
              <w:textAlignment w:val="baseline"/>
              <w:rPr>
                <w:rFonts w:ascii="Times New Roman" w:hAnsi="Times New Roman" w:cs="Times New Roman"/>
                <w:b/>
                <w:bCs/>
              </w:rPr>
            </w:pPr>
            <w:r w:rsidRPr="0099114C">
              <w:rPr>
                <w:rFonts w:ascii="Arial Narrow" w:hAnsi="Arial Narrow" w:cs="Times New Roman"/>
                <w:b/>
                <w:bCs/>
                <w:sz w:val="20"/>
                <w:szCs w:val="20"/>
              </w:rPr>
              <w:t>Disease status </w:t>
            </w:r>
          </w:p>
        </w:tc>
      </w:tr>
      <w:tr w:rsidR="00DB5178" w:rsidRPr="0099114C" w14:paraId="66F893FB" w14:textId="77777777">
        <w:trPr>
          <w:trHeight w:val="1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2A4E40D" w14:textId="77777777" w:rsidR="00DB5178" w:rsidRPr="0099114C" w:rsidRDefault="00DB5178" w:rsidP="002E21D0">
            <w:pPr>
              <w:keepNext/>
              <w:jc w:val="left"/>
              <w:rPr>
                <w:rFonts w:ascii="Times New Roman" w:hAnsi="Times New Roman" w:cs="Times New Roman"/>
              </w:rPr>
            </w:pPr>
          </w:p>
        </w:tc>
        <w:tc>
          <w:tcPr>
            <w:tcW w:w="1830"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6ACDC520" w14:textId="77777777" w:rsidR="00DB5178" w:rsidRPr="0099114C" w:rsidRDefault="00DB5178" w:rsidP="002E21D0">
            <w:pPr>
              <w:keepNext/>
              <w:jc w:val="left"/>
              <w:textAlignment w:val="baseline"/>
              <w:rPr>
                <w:rFonts w:ascii="Times New Roman" w:hAnsi="Times New Roman" w:cs="Times New Roman"/>
              </w:rPr>
            </w:pPr>
            <w:r w:rsidRPr="0099114C">
              <w:rPr>
                <w:rFonts w:ascii="Arial Narrow" w:hAnsi="Arial Narrow" w:cs="Times New Roman"/>
                <w:sz w:val="20"/>
                <w:szCs w:val="20"/>
              </w:rPr>
              <w:t>Newly diagnosed </w:t>
            </w:r>
          </w:p>
        </w:tc>
        <w:tc>
          <w:tcPr>
            <w:tcW w:w="1830"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731046DF" w14:textId="77777777" w:rsidR="00DB5178" w:rsidRPr="0099114C" w:rsidRDefault="00DB5178"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70/115 (60.9) </w:t>
            </w:r>
          </w:p>
        </w:tc>
        <w:tc>
          <w:tcPr>
            <w:tcW w:w="1830"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527BC8BB" w14:textId="77777777" w:rsidR="00DB5178" w:rsidRPr="0099114C" w:rsidRDefault="00DB5178"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66/114 (57.9) </w:t>
            </w:r>
          </w:p>
        </w:tc>
        <w:tc>
          <w:tcPr>
            <w:tcW w:w="207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71D0812D" w14:textId="77777777" w:rsidR="00DB5178" w:rsidRPr="0099114C" w:rsidRDefault="00DB5178" w:rsidP="002E21D0">
            <w:pPr>
              <w:keepNext/>
              <w:jc w:val="center"/>
              <w:textAlignment w:val="baseline"/>
              <w:rPr>
                <w:rFonts w:ascii="Times New Roman" w:hAnsi="Times New Roman" w:cs="Times New Roman"/>
              </w:rPr>
            </w:pPr>
            <w:r w:rsidRPr="00857B0D">
              <w:rPr>
                <w:rFonts w:ascii="Arial Narrow" w:hAnsi="Arial Narrow" w:cs="Times New Roman"/>
                <w:sz w:val="20"/>
                <w:szCs w:val="20"/>
              </w:rPr>
              <w:t>3.0 ( -9.7, 15.7)</w:t>
            </w:r>
            <w:r w:rsidRPr="0099114C">
              <w:rPr>
                <w:rFonts w:ascii="Arial Narrow" w:hAnsi="Arial Narrow" w:cs="Times New Roman"/>
                <w:sz w:val="20"/>
                <w:szCs w:val="20"/>
              </w:rPr>
              <w:t> </w:t>
            </w:r>
          </w:p>
        </w:tc>
      </w:tr>
      <w:tr w:rsidR="00DB5178" w:rsidRPr="0099114C" w14:paraId="665A7F3A" w14:textId="77777777">
        <w:trPr>
          <w:trHeight w:val="1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951EF1B" w14:textId="77777777" w:rsidR="00DB5178" w:rsidRPr="0099114C" w:rsidRDefault="00DB5178" w:rsidP="002E21D0">
            <w:pPr>
              <w:keepNext/>
              <w:jc w:val="left"/>
              <w:rPr>
                <w:rFonts w:ascii="Times New Roman" w:hAnsi="Times New Roman" w:cs="Times New Roman"/>
              </w:rPr>
            </w:pPr>
          </w:p>
        </w:tc>
        <w:tc>
          <w:tcPr>
            <w:tcW w:w="1830"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074EC05E" w14:textId="77777777" w:rsidR="00DB5178" w:rsidRPr="0099114C" w:rsidRDefault="00DB5178" w:rsidP="002E21D0">
            <w:pPr>
              <w:keepNext/>
              <w:jc w:val="left"/>
              <w:textAlignment w:val="baseline"/>
              <w:rPr>
                <w:rFonts w:ascii="Times New Roman" w:hAnsi="Times New Roman" w:cs="Times New Roman"/>
              </w:rPr>
            </w:pPr>
            <w:r w:rsidRPr="0099114C">
              <w:rPr>
                <w:rFonts w:ascii="Arial Narrow" w:hAnsi="Arial Narrow" w:cs="Times New Roman"/>
                <w:sz w:val="20"/>
                <w:szCs w:val="20"/>
              </w:rPr>
              <w:t>Relapsed </w:t>
            </w:r>
          </w:p>
        </w:tc>
        <w:tc>
          <w:tcPr>
            <w:tcW w:w="1830"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73369CA7" w14:textId="77777777" w:rsidR="00DB5178" w:rsidRPr="0099114C" w:rsidRDefault="00DB5178"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39/51 (76.5) </w:t>
            </w:r>
          </w:p>
        </w:tc>
        <w:tc>
          <w:tcPr>
            <w:tcW w:w="1830"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1124AFF4" w14:textId="77777777" w:rsidR="00DB5178" w:rsidRPr="0099114C" w:rsidRDefault="00DB5178"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24/50 (48.0) </w:t>
            </w:r>
          </w:p>
        </w:tc>
        <w:tc>
          <w:tcPr>
            <w:tcW w:w="207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477ECBBA" w14:textId="77777777" w:rsidR="00DB5178" w:rsidRPr="0099114C" w:rsidRDefault="00DB5178" w:rsidP="002E21D0">
            <w:pPr>
              <w:keepNext/>
              <w:jc w:val="center"/>
              <w:textAlignment w:val="baseline"/>
              <w:rPr>
                <w:rFonts w:ascii="Times New Roman" w:hAnsi="Times New Roman" w:cs="Times New Roman"/>
              </w:rPr>
            </w:pPr>
            <w:r w:rsidRPr="00857B0D">
              <w:rPr>
                <w:rFonts w:ascii="Arial Narrow" w:hAnsi="Arial Narrow" w:cs="Times New Roman"/>
                <w:sz w:val="20"/>
                <w:szCs w:val="20"/>
              </w:rPr>
              <w:t>28.5 (10.4, 46.6)</w:t>
            </w:r>
            <w:r w:rsidRPr="0099114C">
              <w:rPr>
                <w:rFonts w:ascii="Arial Narrow" w:hAnsi="Arial Narrow" w:cs="Times New Roman"/>
                <w:sz w:val="20"/>
                <w:szCs w:val="20"/>
              </w:rPr>
              <w:t> </w:t>
            </w:r>
          </w:p>
        </w:tc>
      </w:tr>
      <w:tr w:rsidR="00DB5178" w:rsidRPr="0099114C" w14:paraId="5AAF201A" w14:textId="77777777">
        <w:trPr>
          <w:trHeight w:val="1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8CFBA0C" w14:textId="77777777" w:rsidR="00DB5178" w:rsidRPr="0099114C" w:rsidRDefault="00DB5178" w:rsidP="002E21D0">
            <w:pPr>
              <w:keepNext/>
              <w:jc w:val="left"/>
              <w:rPr>
                <w:rFonts w:ascii="Times New Roman" w:hAnsi="Times New Roman" w:cs="Times New Roman"/>
              </w:rPr>
            </w:pPr>
          </w:p>
        </w:tc>
        <w:tc>
          <w:tcPr>
            <w:tcW w:w="7590" w:type="dxa"/>
            <w:gridSpan w:val="4"/>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1421405E" w14:textId="77777777" w:rsidR="00DB5178" w:rsidRPr="0099114C" w:rsidRDefault="00DB5178" w:rsidP="002E21D0">
            <w:pPr>
              <w:keepNext/>
              <w:jc w:val="left"/>
              <w:textAlignment w:val="baseline"/>
              <w:rPr>
                <w:rFonts w:ascii="Times New Roman" w:hAnsi="Times New Roman" w:cs="Times New Roman"/>
                <w:b/>
                <w:bCs/>
              </w:rPr>
            </w:pPr>
            <w:r w:rsidRPr="0099114C">
              <w:rPr>
                <w:rFonts w:ascii="Arial Narrow" w:hAnsi="Arial Narrow" w:cs="Times New Roman"/>
                <w:b/>
                <w:bCs/>
                <w:sz w:val="20"/>
                <w:szCs w:val="20"/>
              </w:rPr>
              <w:t>AAV type </w:t>
            </w:r>
          </w:p>
        </w:tc>
      </w:tr>
      <w:tr w:rsidR="00DB5178" w:rsidRPr="0099114C" w14:paraId="7B2E2734" w14:textId="77777777">
        <w:trPr>
          <w:trHeight w:val="1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B6F6A01" w14:textId="77777777" w:rsidR="00DB5178" w:rsidRPr="0099114C" w:rsidRDefault="00DB5178" w:rsidP="002E21D0">
            <w:pPr>
              <w:keepNext/>
              <w:jc w:val="left"/>
              <w:rPr>
                <w:rFonts w:ascii="Times New Roman" w:hAnsi="Times New Roman" w:cs="Times New Roman"/>
              </w:rPr>
            </w:pPr>
          </w:p>
        </w:tc>
        <w:tc>
          <w:tcPr>
            <w:tcW w:w="1830"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4C4252B3" w14:textId="77777777" w:rsidR="00DB5178" w:rsidRPr="0099114C" w:rsidRDefault="00DB5178" w:rsidP="002E21D0">
            <w:pPr>
              <w:keepNext/>
              <w:jc w:val="left"/>
              <w:textAlignment w:val="baseline"/>
              <w:rPr>
                <w:rFonts w:ascii="Times New Roman" w:hAnsi="Times New Roman" w:cs="Times New Roman"/>
              </w:rPr>
            </w:pPr>
            <w:r w:rsidRPr="0099114C">
              <w:rPr>
                <w:rFonts w:ascii="Arial Narrow" w:hAnsi="Arial Narrow" w:cs="Times New Roman"/>
                <w:sz w:val="20"/>
                <w:szCs w:val="20"/>
              </w:rPr>
              <w:t>GPA </w:t>
            </w:r>
          </w:p>
        </w:tc>
        <w:tc>
          <w:tcPr>
            <w:tcW w:w="1830"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276B688F" w14:textId="77777777" w:rsidR="00DB5178" w:rsidRPr="0099114C" w:rsidRDefault="00DB5178"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56/91 (61.5) </w:t>
            </w:r>
          </w:p>
        </w:tc>
        <w:tc>
          <w:tcPr>
            <w:tcW w:w="1830"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5E96ED05" w14:textId="77777777" w:rsidR="00DB5178" w:rsidRPr="0099114C" w:rsidRDefault="00DB5178"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52/90 (57.8) </w:t>
            </w:r>
          </w:p>
        </w:tc>
        <w:tc>
          <w:tcPr>
            <w:tcW w:w="207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5F0FC60F" w14:textId="77777777" w:rsidR="00DB5178" w:rsidRPr="0099114C" w:rsidRDefault="00DB5178" w:rsidP="002E21D0">
            <w:pPr>
              <w:keepNext/>
              <w:jc w:val="center"/>
              <w:textAlignment w:val="baseline"/>
              <w:rPr>
                <w:rFonts w:ascii="Times New Roman" w:hAnsi="Times New Roman" w:cs="Times New Roman"/>
              </w:rPr>
            </w:pPr>
            <w:r w:rsidRPr="00857B0D">
              <w:rPr>
                <w:rFonts w:ascii="Arial Narrow" w:hAnsi="Arial Narrow" w:cs="Times New Roman"/>
                <w:sz w:val="20"/>
                <w:szCs w:val="20"/>
              </w:rPr>
              <w:t>3.8 ( -10.5, 18.0)</w:t>
            </w:r>
            <w:r w:rsidRPr="0099114C">
              <w:rPr>
                <w:rFonts w:ascii="Arial Narrow" w:hAnsi="Arial Narrow" w:cs="Times New Roman"/>
                <w:sz w:val="20"/>
                <w:szCs w:val="20"/>
              </w:rPr>
              <w:t> </w:t>
            </w:r>
          </w:p>
        </w:tc>
      </w:tr>
      <w:tr w:rsidR="00DB5178" w:rsidRPr="0099114C" w14:paraId="07C4740E" w14:textId="77777777">
        <w:trPr>
          <w:trHeight w:val="1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4A2FC76" w14:textId="77777777" w:rsidR="00DB5178" w:rsidRPr="0099114C" w:rsidRDefault="00DB5178" w:rsidP="002E21D0">
            <w:pPr>
              <w:keepNext/>
              <w:jc w:val="left"/>
              <w:rPr>
                <w:rFonts w:ascii="Times New Roman" w:hAnsi="Times New Roman" w:cs="Times New Roman"/>
              </w:rPr>
            </w:pPr>
          </w:p>
        </w:tc>
        <w:tc>
          <w:tcPr>
            <w:tcW w:w="1830"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6BBC1D65" w14:textId="77777777" w:rsidR="00DB5178" w:rsidRPr="0099114C" w:rsidRDefault="00DB5178" w:rsidP="002E21D0">
            <w:pPr>
              <w:keepNext/>
              <w:jc w:val="left"/>
              <w:textAlignment w:val="baseline"/>
              <w:rPr>
                <w:rFonts w:ascii="Times New Roman" w:hAnsi="Times New Roman" w:cs="Times New Roman"/>
              </w:rPr>
            </w:pPr>
            <w:r w:rsidRPr="0099114C">
              <w:rPr>
                <w:rFonts w:ascii="Arial Narrow" w:hAnsi="Arial Narrow" w:cs="Times New Roman"/>
                <w:sz w:val="20"/>
                <w:szCs w:val="20"/>
              </w:rPr>
              <w:t>MPA </w:t>
            </w:r>
          </w:p>
        </w:tc>
        <w:tc>
          <w:tcPr>
            <w:tcW w:w="1830"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2AC0A66D" w14:textId="77777777" w:rsidR="00DB5178" w:rsidRPr="0099114C" w:rsidRDefault="00DB5178"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53/75 (70.7) </w:t>
            </w:r>
          </w:p>
        </w:tc>
        <w:tc>
          <w:tcPr>
            <w:tcW w:w="1830"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3BBD6B74" w14:textId="77777777" w:rsidR="00DB5178" w:rsidRPr="0099114C" w:rsidRDefault="00DB5178"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38/74 (51.4) </w:t>
            </w:r>
          </w:p>
        </w:tc>
        <w:tc>
          <w:tcPr>
            <w:tcW w:w="207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6CD02265" w14:textId="77777777" w:rsidR="00DB5178" w:rsidRPr="0099114C" w:rsidRDefault="00DB5178" w:rsidP="002E21D0">
            <w:pPr>
              <w:keepNext/>
              <w:jc w:val="center"/>
              <w:textAlignment w:val="baseline"/>
              <w:rPr>
                <w:rFonts w:ascii="Times New Roman" w:hAnsi="Times New Roman" w:cs="Times New Roman"/>
              </w:rPr>
            </w:pPr>
            <w:r w:rsidRPr="00857B0D">
              <w:rPr>
                <w:rFonts w:ascii="Arial Narrow" w:hAnsi="Arial Narrow" w:cs="Times New Roman"/>
                <w:sz w:val="20"/>
                <w:szCs w:val="20"/>
              </w:rPr>
              <w:t>19.3 (4.0, 34.7)</w:t>
            </w:r>
            <w:r w:rsidRPr="0099114C">
              <w:rPr>
                <w:rFonts w:ascii="Arial Narrow" w:hAnsi="Arial Narrow" w:cs="Times New Roman"/>
                <w:sz w:val="20"/>
                <w:szCs w:val="20"/>
              </w:rPr>
              <w:t> </w:t>
            </w:r>
          </w:p>
        </w:tc>
      </w:tr>
      <w:tr w:rsidR="00DB5178" w:rsidRPr="0099114C" w14:paraId="146F060A" w14:textId="77777777">
        <w:trPr>
          <w:trHeight w:val="1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6A4FE34" w14:textId="77777777" w:rsidR="00DB5178" w:rsidRPr="0099114C" w:rsidRDefault="00DB5178" w:rsidP="002E21D0">
            <w:pPr>
              <w:keepNext/>
              <w:jc w:val="left"/>
              <w:rPr>
                <w:rFonts w:ascii="Times New Roman" w:hAnsi="Times New Roman" w:cs="Times New Roman"/>
              </w:rPr>
            </w:pPr>
          </w:p>
        </w:tc>
        <w:tc>
          <w:tcPr>
            <w:tcW w:w="7590" w:type="dxa"/>
            <w:gridSpan w:val="4"/>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52B8BE72" w14:textId="77777777" w:rsidR="00DB5178" w:rsidRPr="0099114C" w:rsidRDefault="00DB5178" w:rsidP="002E21D0">
            <w:pPr>
              <w:keepNext/>
              <w:jc w:val="left"/>
              <w:textAlignment w:val="baseline"/>
              <w:rPr>
                <w:rFonts w:ascii="Times New Roman" w:hAnsi="Times New Roman" w:cs="Times New Roman"/>
                <w:b/>
                <w:bCs/>
              </w:rPr>
            </w:pPr>
            <w:r w:rsidRPr="0099114C">
              <w:rPr>
                <w:rFonts w:ascii="Arial Narrow" w:hAnsi="Arial Narrow" w:cs="Times New Roman"/>
                <w:b/>
                <w:bCs/>
                <w:sz w:val="20"/>
                <w:szCs w:val="20"/>
              </w:rPr>
              <w:t>Renal disease at baseline </w:t>
            </w:r>
          </w:p>
        </w:tc>
      </w:tr>
      <w:tr w:rsidR="00DB5178" w:rsidRPr="0099114C" w14:paraId="6B87C92D" w14:textId="77777777">
        <w:trPr>
          <w:trHeight w:val="1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2477352" w14:textId="77777777" w:rsidR="00DB5178" w:rsidRPr="0099114C" w:rsidRDefault="00DB5178" w:rsidP="002E21D0">
            <w:pPr>
              <w:keepNext/>
              <w:jc w:val="left"/>
              <w:rPr>
                <w:rFonts w:ascii="Times New Roman" w:hAnsi="Times New Roman" w:cs="Times New Roman"/>
              </w:rPr>
            </w:pPr>
          </w:p>
        </w:tc>
        <w:tc>
          <w:tcPr>
            <w:tcW w:w="1830"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0A1FC16C" w14:textId="77777777" w:rsidR="00DB5178" w:rsidRPr="0099114C" w:rsidRDefault="00DB5178" w:rsidP="002E21D0">
            <w:pPr>
              <w:keepNext/>
              <w:jc w:val="left"/>
              <w:textAlignment w:val="baseline"/>
              <w:rPr>
                <w:rFonts w:ascii="Times New Roman" w:hAnsi="Times New Roman" w:cs="Times New Roman"/>
              </w:rPr>
            </w:pPr>
            <w:r w:rsidRPr="0099114C">
              <w:rPr>
                <w:rFonts w:ascii="Arial Narrow" w:hAnsi="Arial Narrow" w:cs="Times New Roman"/>
                <w:sz w:val="20"/>
                <w:szCs w:val="20"/>
              </w:rPr>
              <w:t>With renal disease </w:t>
            </w:r>
          </w:p>
        </w:tc>
        <w:tc>
          <w:tcPr>
            <w:tcW w:w="1830"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7F4BFB4A" w14:textId="77777777" w:rsidR="00DB5178" w:rsidRPr="0099114C" w:rsidRDefault="00DB5178"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91/134 (67.9) </w:t>
            </w:r>
          </w:p>
        </w:tc>
        <w:tc>
          <w:tcPr>
            <w:tcW w:w="1830"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20F4396A" w14:textId="013B1BC8" w:rsidR="00DB5178" w:rsidRPr="0099114C" w:rsidRDefault="00DB5178" w:rsidP="002E21D0">
            <w:pPr>
              <w:keepNext/>
              <w:jc w:val="center"/>
              <w:textAlignment w:val="baseline"/>
              <w:rPr>
                <w:rFonts w:ascii="Times New Roman" w:hAnsi="Times New Roman" w:cs="Times New Roman"/>
                <w:vertAlign w:val="superscript"/>
              </w:rPr>
            </w:pPr>
            <w:r w:rsidRPr="0099114C">
              <w:rPr>
                <w:rFonts w:ascii="Arial Narrow" w:hAnsi="Arial Narrow" w:cs="Times New Roman"/>
                <w:sz w:val="20"/>
                <w:szCs w:val="20"/>
              </w:rPr>
              <w:t>76/134 (56.7) </w:t>
            </w:r>
            <w:r w:rsidR="004A4703" w:rsidRPr="0099114C">
              <w:rPr>
                <w:rFonts w:ascii="Arial Narrow" w:hAnsi="Arial Narrow" w:cs="Times New Roman"/>
                <w:sz w:val="20"/>
                <w:szCs w:val="20"/>
                <w:vertAlign w:val="superscript"/>
              </w:rPr>
              <w:t>a</w:t>
            </w:r>
          </w:p>
        </w:tc>
        <w:tc>
          <w:tcPr>
            <w:tcW w:w="207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544B65A8" w14:textId="77777777" w:rsidR="00DB5178" w:rsidRPr="0099114C" w:rsidRDefault="00DB5178" w:rsidP="002E21D0">
            <w:pPr>
              <w:keepNext/>
              <w:jc w:val="center"/>
              <w:textAlignment w:val="baseline"/>
              <w:rPr>
                <w:rFonts w:ascii="Times New Roman" w:hAnsi="Times New Roman" w:cs="Times New Roman"/>
              </w:rPr>
            </w:pPr>
            <w:r w:rsidRPr="00857B0D">
              <w:rPr>
                <w:rFonts w:ascii="Arial Narrow" w:hAnsi="Arial Narrow" w:cs="Times New Roman"/>
                <w:sz w:val="20"/>
                <w:szCs w:val="20"/>
              </w:rPr>
              <w:t>11.2 ( -0.3, 22.7)</w:t>
            </w:r>
            <w:r w:rsidRPr="0099114C">
              <w:rPr>
                <w:rFonts w:ascii="Arial Narrow" w:hAnsi="Arial Narrow" w:cs="Times New Roman"/>
                <w:sz w:val="20"/>
                <w:szCs w:val="20"/>
              </w:rPr>
              <w:t> </w:t>
            </w:r>
          </w:p>
        </w:tc>
      </w:tr>
      <w:tr w:rsidR="00DB5178" w:rsidRPr="0099114C" w14:paraId="4620E05E" w14:textId="77777777">
        <w:trPr>
          <w:trHeight w:val="1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33DB9CF" w14:textId="77777777" w:rsidR="00DB5178" w:rsidRPr="0099114C" w:rsidRDefault="00DB5178" w:rsidP="002E21D0">
            <w:pPr>
              <w:keepNext/>
              <w:jc w:val="left"/>
              <w:rPr>
                <w:rFonts w:ascii="Times New Roman" w:hAnsi="Times New Roman" w:cs="Times New Roman"/>
              </w:rPr>
            </w:pPr>
          </w:p>
        </w:tc>
        <w:tc>
          <w:tcPr>
            <w:tcW w:w="1830"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020E1AC9" w14:textId="77777777" w:rsidR="00DB5178" w:rsidRPr="0099114C" w:rsidRDefault="00DB5178" w:rsidP="002E21D0">
            <w:pPr>
              <w:keepNext/>
              <w:jc w:val="left"/>
              <w:textAlignment w:val="baseline"/>
              <w:rPr>
                <w:rFonts w:ascii="Times New Roman" w:hAnsi="Times New Roman" w:cs="Times New Roman"/>
              </w:rPr>
            </w:pPr>
            <w:r w:rsidRPr="0099114C">
              <w:rPr>
                <w:rFonts w:ascii="Arial Narrow" w:hAnsi="Arial Narrow" w:cs="Times New Roman"/>
                <w:sz w:val="20"/>
                <w:szCs w:val="20"/>
              </w:rPr>
              <w:t>Without renal disease </w:t>
            </w:r>
          </w:p>
        </w:tc>
        <w:tc>
          <w:tcPr>
            <w:tcW w:w="1830"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722649AA" w14:textId="77777777" w:rsidR="00DB5178" w:rsidRPr="0099114C" w:rsidRDefault="00DB5178"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18/32 (56.3) </w:t>
            </w:r>
          </w:p>
        </w:tc>
        <w:tc>
          <w:tcPr>
            <w:tcW w:w="1830"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41E4E4E3" w14:textId="4B4484D4" w:rsidR="00DB5178" w:rsidRPr="0099114C" w:rsidRDefault="00DB5178" w:rsidP="002E21D0">
            <w:pPr>
              <w:keepNext/>
              <w:jc w:val="center"/>
              <w:textAlignment w:val="baseline"/>
              <w:rPr>
                <w:rFonts w:ascii="Times New Roman" w:hAnsi="Times New Roman" w:cs="Times New Roman"/>
                <w:vertAlign w:val="superscript"/>
              </w:rPr>
            </w:pPr>
            <w:r w:rsidRPr="0099114C">
              <w:rPr>
                <w:rFonts w:ascii="Arial Narrow" w:hAnsi="Arial Narrow" w:cs="Times New Roman"/>
                <w:sz w:val="20"/>
                <w:szCs w:val="20"/>
              </w:rPr>
              <w:t>14/30 (46.7) </w:t>
            </w:r>
            <w:r w:rsidR="004A4703" w:rsidRPr="0099114C">
              <w:rPr>
                <w:rFonts w:ascii="Arial Narrow" w:hAnsi="Arial Narrow" w:cs="Times New Roman"/>
                <w:sz w:val="20"/>
                <w:szCs w:val="20"/>
                <w:vertAlign w:val="superscript"/>
              </w:rPr>
              <w:t>a</w:t>
            </w:r>
          </w:p>
        </w:tc>
        <w:tc>
          <w:tcPr>
            <w:tcW w:w="207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052DB90D" w14:textId="77777777" w:rsidR="00DB5178" w:rsidRPr="0099114C" w:rsidRDefault="00DB5178" w:rsidP="002E21D0">
            <w:pPr>
              <w:keepNext/>
              <w:jc w:val="center"/>
              <w:textAlignment w:val="baseline"/>
              <w:rPr>
                <w:rFonts w:ascii="Times New Roman" w:hAnsi="Times New Roman" w:cs="Times New Roman"/>
              </w:rPr>
            </w:pPr>
            <w:r w:rsidRPr="00857B0D">
              <w:rPr>
                <w:rFonts w:ascii="Arial Narrow" w:hAnsi="Arial Narrow" w:cs="Times New Roman"/>
                <w:sz w:val="20"/>
                <w:szCs w:val="20"/>
              </w:rPr>
              <w:t>9.6 ( -15.2, 34.4)</w:t>
            </w:r>
            <w:r w:rsidRPr="0099114C">
              <w:rPr>
                <w:rFonts w:ascii="Arial Narrow" w:hAnsi="Arial Narrow" w:cs="Times New Roman"/>
                <w:sz w:val="20"/>
                <w:szCs w:val="20"/>
              </w:rPr>
              <w:t> </w:t>
            </w:r>
          </w:p>
        </w:tc>
      </w:tr>
    </w:tbl>
    <w:p w14:paraId="764C5C46" w14:textId="36F8C54F" w:rsidR="00DB5178" w:rsidRPr="0099114C" w:rsidRDefault="00DB5178" w:rsidP="002E21D0">
      <w:pPr>
        <w:keepNext/>
        <w:textAlignment w:val="baseline"/>
        <w:rPr>
          <w:rFonts w:ascii="Segoe UI" w:hAnsi="Segoe UI" w:cs="Segoe UI"/>
          <w:sz w:val="18"/>
          <w:szCs w:val="18"/>
        </w:rPr>
      </w:pPr>
      <w:r w:rsidRPr="0099114C">
        <w:rPr>
          <w:rFonts w:ascii="Arial Narrow" w:hAnsi="Arial Narrow" w:cs="Segoe UI"/>
          <w:sz w:val="18"/>
          <w:szCs w:val="18"/>
        </w:rPr>
        <w:t>Source: Table 2.26, p84 of the resubmission, Table 2.39, p106 of the resubmission, Table 14.2.2.9, pp340-341 of Attachment 9</w:t>
      </w:r>
      <w:r w:rsidR="0099114C">
        <w:rPr>
          <w:rFonts w:ascii="Arial Narrow" w:hAnsi="Arial Narrow" w:cs="Segoe UI"/>
          <w:i/>
          <w:iCs/>
          <w:sz w:val="18"/>
          <w:szCs w:val="18"/>
        </w:rPr>
        <w:t xml:space="preserve">. </w:t>
      </w:r>
    </w:p>
    <w:p w14:paraId="6A7CD95F" w14:textId="3F36F0C4" w:rsidR="00DB5178" w:rsidRPr="0099114C" w:rsidRDefault="00DB5178" w:rsidP="002E21D0">
      <w:pPr>
        <w:keepNext/>
        <w:textAlignment w:val="baseline"/>
        <w:rPr>
          <w:rFonts w:ascii="Arial Narrow" w:hAnsi="Arial Narrow" w:cs="Segoe UI"/>
          <w:sz w:val="18"/>
          <w:szCs w:val="18"/>
        </w:rPr>
      </w:pPr>
      <w:r w:rsidRPr="0099114C">
        <w:rPr>
          <w:rFonts w:ascii="Arial Narrow" w:hAnsi="Arial Narrow" w:cs="Segoe UI"/>
          <w:sz w:val="18"/>
          <w:szCs w:val="18"/>
        </w:rPr>
        <w:t>Abbreviations: AAV, ANCA-associated vasculitis; ANCA, antineutrophil cytoplasmic autoantibody; CI, confidence interval; GPA, granulomatosis with polyangiitis; ITT, intent</w:t>
      </w:r>
      <w:r w:rsidR="00464388" w:rsidRPr="0099114C">
        <w:rPr>
          <w:rFonts w:ascii="Arial Narrow" w:hAnsi="Arial Narrow" w:cs="Segoe UI"/>
          <w:sz w:val="18"/>
          <w:szCs w:val="18"/>
        </w:rPr>
        <w:t>ion</w:t>
      </w:r>
      <w:r w:rsidRPr="0099114C">
        <w:rPr>
          <w:rFonts w:ascii="Arial Narrow" w:hAnsi="Arial Narrow" w:cs="Segoe UI"/>
          <w:sz w:val="18"/>
          <w:szCs w:val="18"/>
        </w:rPr>
        <w:t xml:space="preserve"> to treat; MPA, microscopic polyangiitis; MPO, myeloperoxidase; PR3, proteinase 3; SOC, standard of care.</w:t>
      </w:r>
    </w:p>
    <w:p w14:paraId="29D8D3FF" w14:textId="584EF81F" w:rsidR="004A4703" w:rsidRPr="0099114C" w:rsidRDefault="004A4703" w:rsidP="002E21D0">
      <w:pPr>
        <w:keepNext/>
        <w:textAlignment w:val="baseline"/>
        <w:rPr>
          <w:rFonts w:ascii="Arial Narrow" w:hAnsi="Arial Narrow" w:cs="Segoe UI"/>
          <w:sz w:val="18"/>
          <w:szCs w:val="18"/>
        </w:rPr>
      </w:pPr>
      <w:r w:rsidRPr="0099114C">
        <w:rPr>
          <w:rFonts w:ascii="Arial Narrow" w:hAnsi="Arial Narrow" w:cs="Segoe UI"/>
          <w:sz w:val="18"/>
          <w:szCs w:val="18"/>
          <w:vertAlign w:val="superscript"/>
        </w:rPr>
        <w:t xml:space="preserve">a </w:t>
      </w:r>
      <w:r w:rsidRPr="0099114C">
        <w:rPr>
          <w:rFonts w:ascii="Arial Narrow" w:hAnsi="Arial Narrow" w:cs="Segoe UI"/>
          <w:sz w:val="18"/>
          <w:szCs w:val="18"/>
        </w:rPr>
        <w:t>Corrected during the evaluation.</w:t>
      </w:r>
    </w:p>
    <w:p w14:paraId="52ABF9BC" w14:textId="77777777" w:rsidR="00DB5178" w:rsidRPr="0099114C" w:rsidRDefault="00DB5178" w:rsidP="00DB5178">
      <w:pPr>
        <w:pStyle w:val="FooterTableFigure"/>
        <w:rPr>
          <w:color w:val="000000"/>
          <w:szCs w:val="18"/>
          <w:shd w:val="clear" w:color="auto" w:fill="FFFFFF"/>
        </w:rPr>
      </w:pPr>
      <w:r w:rsidRPr="0099114C">
        <w:rPr>
          <w:rStyle w:val="normaltextrun"/>
          <w:color w:val="000000"/>
          <w:szCs w:val="18"/>
          <w:shd w:val="clear" w:color="auto" w:fill="8EAADB" w:themeFill="accent1" w:themeFillTint="99"/>
        </w:rPr>
        <w:t>Blue Shading</w:t>
      </w:r>
      <w:r w:rsidRPr="0099114C">
        <w:rPr>
          <w:rStyle w:val="normaltextrun"/>
          <w:color w:val="000000"/>
          <w:szCs w:val="18"/>
          <w:shd w:val="clear" w:color="auto" w:fill="FFFFFF"/>
        </w:rPr>
        <w:t xml:space="preserve"> indicates data previously seen by the PBAC</w:t>
      </w:r>
    </w:p>
    <w:p w14:paraId="5ABEFD43" w14:textId="13C10B7B" w:rsidR="0048251C" w:rsidRPr="0099114C" w:rsidRDefault="00DB5178">
      <w:pPr>
        <w:pStyle w:val="3-BodyText"/>
      </w:pPr>
      <w:r w:rsidRPr="0099114C">
        <w:rPr>
          <w:rStyle w:val="normaltextrun"/>
          <w:rFonts w:cs="Calibri"/>
          <w:color w:val="000000"/>
          <w:shd w:val="clear" w:color="auto" w:fill="FFFFFF"/>
        </w:rPr>
        <w:t>The pre-specified subgroup analyses suggest that avacopan + SOC may not be as effective in achieving sustained remission at Week 52 compared to prednisone + SOC for certain subgroups including those who were receiving cyclophosphamide</w:t>
      </w:r>
      <w:r w:rsidR="00C4195A" w:rsidRPr="0099114C">
        <w:rPr>
          <w:rStyle w:val="normaltextrun"/>
          <w:rFonts w:cs="Calibri"/>
          <w:color w:val="000000"/>
          <w:shd w:val="clear" w:color="auto" w:fill="FFFFFF"/>
        </w:rPr>
        <w:t xml:space="preserve"> followed by azathioprine</w:t>
      </w:r>
      <w:r w:rsidRPr="0099114C">
        <w:rPr>
          <w:rStyle w:val="normaltextrun"/>
          <w:rFonts w:cs="Calibri"/>
          <w:color w:val="000000"/>
          <w:shd w:val="clear" w:color="auto" w:fill="FFFFFF"/>
        </w:rPr>
        <w:t xml:space="preserve"> as part of their SOC regimen, those who tested positive for anti-PR3, newly diagnosed patients, and patients with GPA. Although these patients would be eligible for PBS </w:t>
      </w:r>
      <w:r w:rsidR="00364BBC" w:rsidRPr="0099114C">
        <w:rPr>
          <w:rStyle w:val="normaltextrun"/>
          <w:rFonts w:cs="Calibri"/>
          <w:color w:val="000000"/>
          <w:shd w:val="clear" w:color="auto" w:fill="FFFFFF"/>
        </w:rPr>
        <w:t xml:space="preserve">subsidy </w:t>
      </w:r>
      <w:r w:rsidR="00C4195A" w:rsidRPr="0099114C">
        <w:rPr>
          <w:rStyle w:val="normaltextrun"/>
          <w:rFonts w:cs="Calibri"/>
          <w:color w:val="000000"/>
          <w:shd w:val="clear" w:color="auto" w:fill="FFFFFF"/>
        </w:rPr>
        <w:t>under the proposed restriction</w:t>
      </w:r>
      <w:r w:rsidRPr="0099114C">
        <w:rPr>
          <w:rStyle w:val="normaltextrun"/>
          <w:rFonts w:cs="Calibri"/>
          <w:color w:val="000000"/>
          <w:shd w:val="clear" w:color="auto" w:fill="FFFFFF"/>
        </w:rPr>
        <w:t>, these subgroups show weaker treatment effect in achieving sustained remission from avacopan + SOC over the comparator. </w:t>
      </w:r>
      <w:r w:rsidR="0048251C" w:rsidRPr="0099114C">
        <w:t xml:space="preserve">The ESC </w:t>
      </w:r>
      <w:r w:rsidR="00A5010D" w:rsidRPr="0099114C">
        <w:t xml:space="preserve">had previously </w:t>
      </w:r>
      <w:r w:rsidR="0048251C" w:rsidRPr="0099114C">
        <w:t>considered the results for SOC treatment indicated that for those receiving either azathioprine or mycophenolate mofetil for maintenance therapy (i.e. cyclophosphamide SOC) there may be no benefit in sustained remission at 52 weeks with the addition of avacopan</w:t>
      </w:r>
      <w:r w:rsidR="00727CA1" w:rsidRPr="0099114C">
        <w:t xml:space="preserve"> and </w:t>
      </w:r>
      <w:r w:rsidR="0048251C" w:rsidRPr="0099114C">
        <w:t>considered the results for SOC indicated it was</w:t>
      </w:r>
      <w:r w:rsidR="00057D12" w:rsidRPr="0099114C">
        <w:t xml:space="preserve"> likely that the modest 12.5% difference in the proportion of patients achieving sustained remission between the two treatment arms was likely</w:t>
      </w:r>
      <w:r w:rsidR="00F70B92" w:rsidRPr="0099114C">
        <w:t xml:space="preserve"> </w:t>
      </w:r>
      <w:r w:rsidR="00057D12" w:rsidRPr="0099114C">
        <w:t>driven by those who were not on any maintenance therapy after rituximab</w:t>
      </w:r>
      <w:r w:rsidR="00D30DE5" w:rsidRPr="0099114C">
        <w:t xml:space="preserve"> (para 6.26</w:t>
      </w:r>
      <w:r w:rsidR="00410CBA" w:rsidRPr="0099114C">
        <w:t xml:space="preserve">, </w:t>
      </w:r>
      <w:r w:rsidR="00410CBA" w:rsidRPr="0099114C">
        <w:rPr>
          <w:rStyle w:val="normaltextrun"/>
        </w:rPr>
        <w:t>avacopan, PSD, July 2023 PBAC Meeting)</w:t>
      </w:r>
      <w:r w:rsidR="002B6AD6" w:rsidRPr="0099114C">
        <w:rPr>
          <w:rStyle w:val="normaltextrun"/>
        </w:rPr>
        <w:t>.</w:t>
      </w:r>
    </w:p>
    <w:p w14:paraId="6E7A9CCB" w14:textId="5AFAEA0B" w:rsidR="00222542" w:rsidRPr="0099114C" w:rsidRDefault="00222542" w:rsidP="00222542">
      <w:pPr>
        <w:pStyle w:val="3-BodyText"/>
        <w:rPr>
          <w:rStyle w:val="normaltextrun"/>
          <w:color w:val="0066FF"/>
        </w:rPr>
      </w:pPr>
      <w:r w:rsidRPr="0099114C">
        <w:rPr>
          <w:rStyle w:val="normaltextrun"/>
          <w:rFonts w:cs="Calibri"/>
        </w:rPr>
        <w:fldChar w:fldCharType="begin" w:fldLock="1"/>
      </w:r>
      <w:r w:rsidRPr="0099114C">
        <w:rPr>
          <w:rStyle w:val="normaltextrun"/>
          <w:rFonts w:cs="Calibri"/>
        </w:rPr>
        <w:instrText xml:space="preserve"> REF _Ref153088677 \h </w:instrText>
      </w:r>
      <w:r w:rsidR="003C1D5F" w:rsidRPr="0099114C">
        <w:rPr>
          <w:rStyle w:val="normaltextrun"/>
          <w:rFonts w:cs="Calibri"/>
        </w:rPr>
        <w:instrText xml:space="preserve"> \* MERGEFORMAT </w:instrText>
      </w:r>
      <w:r w:rsidRPr="0099114C">
        <w:rPr>
          <w:rStyle w:val="normaltextrun"/>
          <w:rFonts w:cs="Calibri"/>
        </w:rPr>
      </w:r>
      <w:r w:rsidRPr="0099114C">
        <w:rPr>
          <w:rStyle w:val="normaltextrun"/>
          <w:rFonts w:cs="Calibri"/>
          <w:shd w:val="clear" w:color="auto" w:fill="FFFFFF"/>
        </w:rPr>
        <w:fldChar w:fldCharType="separate"/>
      </w:r>
      <w:r w:rsidRPr="0099114C">
        <w:t xml:space="preserve">Table </w:t>
      </w:r>
      <w:r w:rsidRPr="00857B0D">
        <w:t>7</w:t>
      </w:r>
      <w:r w:rsidRPr="0099114C">
        <w:rPr>
          <w:rStyle w:val="normaltextrun"/>
          <w:rFonts w:cs="Calibri"/>
        </w:rPr>
        <w:fldChar w:fldCharType="end"/>
      </w:r>
      <w:r w:rsidRPr="0099114C">
        <w:rPr>
          <w:rStyle w:val="normaltextrun"/>
          <w:rFonts w:cs="Calibri"/>
        </w:rPr>
        <w:t xml:space="preserve"> </w:t>
      </w:r>
      <w:r w:rsidRPr="0099114C">
        <w:rPr>
          <w:rStyle w:val="normaltextrun"/>
          <w:rFonts w:cs="Calibri"/>
          <w:shd w:val="clear" w:color="auto" w:fill="FFFFFF"/>
        </w:rPr>
        <w:t xml:space="preserve">presents the results of the secondary efficacy outcomes of GC-induced toxicity, health-related quality of life (HRQoL) based on EuroQuality of Life Domains-5 Levels (EQ-5D-5L), relapse and changes in parameters of renal disease in patients with renal disease from the ADVOCATE trial. </w:t>
      </w:r>
    </w:p>
    <w:p w14:paraId="70DE1BB1" w14:textId="02F57467" w:rsidR="00222542" w:rsidRPr="0099114C" w:rsidRDefault="00222542" w:rsidP="002E21D0">
      <w:pPr>
        <w:pStyle w:val="Caption"/>
        <w:rPr>
          <w:rFonts w:ascii="Segoe UI" w:hAnsi="Segoe UI" w:cs="Segoe UI"/>
          <w:b w:val="0"/>
          <w:bCs w:val="0"/>
          <w:sz w:val="18"/>
        </w:rPr>
      </w:pPr>
      <w:r w:rsidRPr="0099114C">
        <w:lastRenderedPageBreak/>
        <w:t xml:space="preserve">Table </w:t>
      </w:r>
      <w:fldSimple w:instr=" SEQ Table \* ARABIC " w:fldLock="1">
        <w:r w:rsidR="00A04368" w:rsidRPr="00857B0D">
          <w:t>7</w:t>
        </w:r>
      </w:fldSimple>
      <w:r w:rsidRPr="0099114C">
        <w:t xml:space="preserve">: </w:t>
      </w:r>
      <w:r w:rsidRPr="0099114C">
        <w:rPr>
          <w:rFonts w:cs="Segoe UI"/>
          <w:szCs w:val="20"/>
        </w:rPr>
        <w:t>Results of secondary outcomes in the ADVOCATE trial (ITT population)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7: Results of secondary outcomes in the ADVOCATE trial (ITT population"/>
      </w:tblPr>
      <w:tblGrid>
        <w:gridCol w:w="2969"/>
        <w:gridCol w:w="1499"/>
        <w:gridCol w:w="1499"/>
        <w:gridCol w:w="1680"/>
        <w:gridCol w:w="1363"/>
      </w:tblGrid>
      <w:tr w:rsidR="00222542" w:rsidRPr="0099114C" w14:paraId="16B12B38" w14:textId="77777777" w:rsidTr="002E21D0">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D95090" w14:textId="77777777" w:rsidR="00222542" w:rsidRPr="0099114C" w:rsidRDefault="00222542" w:rsidP="002E21D0">
            <w:pPr>
              <w:keepNext/>
              <w:jc w:val="left"/>
              <w:textAlignment w:val="baseline"/>
              <w:rPr>
                <w:rFonts w:ascii="Times New Roman" w:hAnsi="Times New Roman" w:cs="Times New Roman"/>
              </w:rPr>
            </w:pPr>
            <w:r w:rsidRPr="00857B0D">
              <w:rPr>
                <w:rFonts w:ascii="Arial Narrow" w:hAnsi="Arial Narrow" w:cs="Times New Roman"/>
                <w:b/>
                <w:bCs/>
                <w:sz w:val="20"/>
                <w:szCs w:val="20"/>
              </w:rPr>
              <w:t>Outcome</w:t>
            </w:r>
            <w:r w:rsidRPr="0099114C">
              <w:rPr>
                <w:rFonts w:ascii="Arial Narrow" w:hAnsi="Arial Narrow" w:cs="Times New Roman"/>
                <w:sz w:val="20"/>
                <w:szCs w:val="20"/>
              </w:rPr>
              <w:t> </w:t>
            </w:r>
          </w:p>
        </w:tc>
        <w:tc>
          <w:tcPr>
            <w:tcW w:w="14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F45026"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b/>
                <w:bCs/>
                <w:sz w:val="20"/>
                <w:szCs w:val="20"/>
              </w:rPr>
              <w:t>Avacopan + SOC</w:t>
            </w:r>
            <w:r w:rsidRPr="0099114C">
              <w:rPr>
                <w:rFonts w:ascii="Arial Narrow" w:hAnsi="Arial Narrow" w:cs="Times New Roman"/>
                <w:sz w:val="20"/>
                <w:szCs w:val="20"/>
              </w:rPr>
              <w:t> </w:t>
            </w:r>
          </w:p>
          <w:p w14:paraId="41B37F3F"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b/>
                <w:bCs/>
                <w:sz w:val="20"/>
                <w:szCs w:val="20"/>
              </w:rPr>
              <w:t>(N=166)</w:t>
            </w:r>
            <w:r w:rsidRPr="0099114C">
              <w:rPr>
                <w:rFonts w:ascii="Arial Narrow" w:hAnsi="Arial Narrow" w:cs="Times New Roman"/>
                <w:sz w:val="20"/>
                <w:szCs w:val="20"/>
              </w:rPr>
              <w:t> </w:t>
            </w:r>
          </w:p>
        </w:tc>
        <w:tc>
          <w:tcPr>
            <w:tcW w:w="14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256BA1"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b/>
                <w:bCs/>
                <w:sz w:val="20"/>
                <w:szCs w:val="20"/>
              </w:rPr>
              <w:t>Prednisone + SOC</w:t>
            </w:r>
            <w:r w:rsidRPr="0099114C">
              <w:rPr>
                <w:rFonts w:ascii="Arial Narrow" w:hAnsi="Arial Narrow" w:cs="Times New Roman"/>
                <w:sz w:val="20"/>
                <w:szCs w:val="20"/>
              </w:rPr>
              <w:t> </w:t>
            </w:r>
          </w:p>
          <w:p w14:paraId="1C9ECDDE"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b/>
                <w:bCs/>
                <w:sz w:val="20"/>
                <w:szCs w:val="20"/>
              </w:rPr>
              <w:t>(N=164)</w:t>
            </w:r>
            <w:r w:rsidRPr="0099114C">
              <w:rPr>
                <w:rFonts w:ascii="Arial Narrow" w:hAnsi="Arial Narrow" w:cs="Times New Roman"/>
                <w:sz w:val="20"/>
                <w:szCs w:val="20"/>
              </w:rPr>
              <w:t> </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4C70FA"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b/>
                <w:bCs/>
                <w:sz w:val="20"/>
                <w:szCs w:val="20"/>
              </w:rPr>
              <w:t>Treatment difference % (95% CI)</w:t>
            </w:r>
            <w:r w:rsidRPr="0099114C">
              <w:rPr>
                <w:rFonts w:ascii="Arial Narrow" w:hAnsi="Arial Narrow" w:cs="Times New Roman"/>
                <w:sz w:val="20"/>
                <w:szCs w:val="20"/>
              </w:rPr>
              <w:t> </w:t>
            </w:r>
          </w:p>
        </w:tc>
        <w:tc>
          <w:tcPr>
            <w:tcW w:w="13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96EA8D"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b/>
                <w:bCs/>
                <w:sz w:val="20"/>
                <w:szCs w:val="20"/>
              </w:rPr>
              <w:t>P-value</w:t>
            </w:r>
            <w:r w:rsidRPr="0099114C">
              <w:rPr>
                <w:rFonts w:ascii="Arial Narrow" w:hAnsi="Arial Narrow" w:cs="Times New Roman"/>
                <w:sz w:val="20"/>
                <w:szCs w:val="20"/>
              </w:rPr>
              <w:t> </w:t>
            </w:r>
          </w:p>
        </w:tc>
      </w:tr>
      <w:tr w:rsidR="00222542" w:rsidRPr="0099114C" w14:paraId="4A01BAF5" w14:textId="77777777" w:rsidTr="0028314D">
        <w:trPr>
          <w:trHeight w:val="300"/>
        </w:trPr>
        <w:tc>
          <w:tcPr>
            <w:tcW w:w="9010" w:type="dxa"/>
            <w:gridSpan w:val="5"/>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25D3D0E5" w14:textId="77777777" w:rsidR="00222542" w:rsidRPr="0099114C" w:rsidRDefault="00222542" w:rsidP="002E21D0">
            <w:pPr>
              <w:keepNext/>
              <w:jc w:val="left"/>
              <w:textAlignment w:val="baseline"/>
              <w:rPr>
                <w:rFonts w:ascii="Times New Roman" w:hAnsi="Times New Roman" w:cs="Times New Roman"/>
                <w:b/>
                <w:bCs/>
              </w:rPr>
            </w:pPr>
            <w:r w:rsidRPr="0099114C">
              <w:rPr>
                <w:rFonts w:ascii="Arial Narrow" w:hAnsi="Arial Narrow" w:cs="Times New Roman"/>
                <w:b/>
                <w:bCs/>
                <w:sz w:val="20"/>
                <w:szCs w:val="20"/>
              </w:rPr>
              <w:t>GC-induced toxicity </w:t>
            </w:r>
          </w:p>
        </w:tc>
      </w:tr>
      <w:tr w:rsidR="00222542" w:rsidRPr="0099114C" w14:paraId="5AFC1607" w14:textId="77777777" w:rsidTr="002E21D0">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3F6E13B5" w14:textId="77777777" w:rsidR="00222542" w:rsidRPr="0099114C" w:rsidRDefault="00222542" w:rsidP="002E21D0">
            <w:pPr>
              <w:keepNext/>
              <w:jc w:val="left"/>
              <w:textAlignment w:val="baseline"/>
              <w:rPr>
                <w:rFonts w:ascii="Times New Roman" w:hAnsi="Times New Roman" w:cs="Times New Roman"/>
              </w:rPr>
            </w:pPr>
            <w:r w:rsidRPr="00857B0D">
              <w:rPr>
                <w:rFonts w:ascii="Arial Narrow" w:hAnsi="Arial Narrow" w:cs="Times New Roman"/>
                <w:b/>
                <w:bCs/>
                <w:sz w:val="20"/>
                <w:szCs w:val="20"/>
              </w:rPr>
              <w:t>GTI-CWS (Week 13), LSM ± SE  </w:t>
            </w:r>
            <w:r w:rsidRPr="0099114C">
              <w:rPr>
                <w:rFonts w:ascii="Arial Narrow" w:hAnsi="Arial Narrow" w:cs="Times New Roman"/>
                <w:sz w:val="20"/>
                <w:szCs w:val="20"/>
              </w:rPr>
              <w:t> </w:t>
            </w:r>
          </w:p>
        </w:tc>
        <w:tc>
          <w:tcPr>
            <w:tcW w:w="1499"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7CF6E443" w14:textId="77777777" w:rsidR="00222542" w:rsidRPr="0099114C" w:rsidRDefault="00222542" w:rsidP="002E21D0">
            <w:pPr>
              <w:keepNext/>
              <w:jc w:val="center"/>
              <w:textAlignment w:val="baseline"/>
              <w:rPr>
                <w:rFonts w:ascii="Times New Roman" w:hAnsi="Times New Roman" w:cs="Times New Roman"/>
              </w:rPr>
            </w:pPr>
            <w:r w:rsidRPr="00857B0D">
              <w:rPr>
                <w:rFonts w:ascii="Arial Narrow" w:hAnsi="Arial Narrow" w:cs="Times New Roman"/>
                <w:b/>
                <w:bCs/>
                <w:sz w:val="20"/>
                <w:szCs w:val="20"/>
              </w:rPr>
              <w:t>25.7 ± 3.4</w:t>
            </w:r>
            <w:r w:rsidRPr="0099114C">
              <w:rPr>
                <w:rFonts w:ascii="Arial Narrow" w:hAnsi="Arial Narrow" w:cs="Times New Roman"/>
                <w:sz w:val="20"/>
                <w:szCs w:val="20"/>
              </w:rPr>
              <w:t> </w:t>
            </w:r>
          </w:p>
          <w:p w14:paraId="269FD28E"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b/>
                <w:bCs/>
                <w:sz w:val="20"/>
                <w:szCs w:val="20"/>
              </w:rPr>
              <w:t>(n=160)</w:t>
            </w:r>
            <w:r w:rsidRPr="0099114C">
              <w:rPr>
                <w:rFonts w:ascii="Arial Narrow" w:hAnsi="Arial Narrow" w:cs="Times New Roman"/>
                <w:sz w:val="20"/>
                <w:szCs w:val="20"/>
              </w:rPr>
              <w:t> </w:t>
            </w:r>
          </w:p>
        </w:tc>
        <w:tc>
          <w:tcPr>
            <w:tcW w:w="1499"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5C5D60EF" w14:textId="77777777" w:rsidR="00222542" w:rsidRPr="0099114C" w:rsidRDefault="00222542" w:rsidP="002E21D0">
            <w:pPr>
              <w:keepNext/>
              <w:jc w:val="center"/>
              <w:textAlignment w:val="baseline"/>
              <w:rPr>
                <w:rFonts w:ascii="Times New Roman" w:hAnsi="Times New Roman" w:cs="Times New Roman"/>
              </w:rPr>
            </w:pPr>
            <w:r w:rsidRPr="00857B0D">
              <w:rPr>
                <w:rFonts w:ascii="Arial Narrow" w:hAnsi="Arial Narrow" w:cs="Times New Roman"/>
                <w:b/>
                <w:bCs/>
                <w:sz w:val="20"/>
                <w:szCs w:val="20"/>
              </w:rPr>
              <w:t>36.6 ± 3.4</w:t>
            </w:r>
            <w:r w:rsidRPr="0099114C">
              <w:rPr>
                <w:rFonts w:ascii="Arial Narrow" w:hAnsi="Arial Narrow" w:cs="Times New Roman"/>
                <w:sz w:val="20"/>
                <w:szCs w:val="20"/>
              </w:rPr>
              <w:t> </w:t>
            </w:r>
          </w:p>
          <w:p w14:paraId="055C9861"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b/>
                <w:bCs/>
                <w:sz w:val="20"/>
                <w:szCs w:val="20"/>
              </w:rPr>
              <w:t>(n=161)</w:t>
            </w:r>
            <w:r w:rsidRPr="0099114C">
              <w:rPr>
                <w:rFonts w:ascii="Arial Narrow" w:hAnsi="Arial Narrow" w:cs="Times New Roman"/>
                <w:sz w:val="20"/>
                <w:szCs w:val="20"/>
              </w:rPr>
              <w:t> </w:t>
            </w:r>
          </w:p>
        </w:tc>
        <w:tc>
          <w:tcPr>
            <w:tcW w:w="168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4C4E75C3" w14:textId="77777777" w:rsidR="00222542" w:rsidRPr="0099114C" w:rsidRDefault="00222542" w:rsidP="002E21D0">
            <w:pPr>
              <w:keepNext/>
              <w:jc w:val="center"/>
              <w:textAlignment w:val="baseline"/>
              <w:rPr>
                <w:rFonts w:ascii="Times New Roman" w:hAnsi="Times New Roman" w:cs="Times New Roman"/>
              </w:rPr>
            </w:pPr>
            <w:r w:rsidRPr="00857B0D">
              <w:rPr>
                <w:rFonts w:ascii="Arial Narrow" w:hAnsi="Arial Narrow" w:cs="Times New Roman"/>
                <w:b/>
                <w:bCs/>
                <w:sz w:val="20"/>
                <w:szCs w:val="20"/>
              </w:rPr>
              <w:t xml:space="preserve">-11.0 </w:t>
            </w:r>
            <w:r w:rsidRPr="0099114C">
              <w:rPr>
                <w:rFonts w:ascii="Arial Narrow" w:hAnsi="Arial Narrow" w:cs="Times New Roman"/>
                <w:sz w:val="20"/>
                <w:szCs w:val="20"/>
              </w:rPr>
              <w:t> </w:t>
            </w:r>
            <w:r w:rsidRPr="0099114C">
              <w:rPr>
                <w:rFonts w:ascii="Arial Narrow" w:hAnsi="Arial Narrow" w:cs="Times New Roman"/>
                <w:sz w:val="20"/>
                <w:szCs w:val="20"/>
              </w:rPr>
              <w:br/>
            </w:r>
            <w:r w:rsidRPr="00857B0D">
              <w:rPr>
                <w:rFonts w:ascii="Arial Narrow" w:hAnsi="Arial Narrow" w:cs="Times New Roman"/>
                <w:b/>
                <w:bCs/>
                <w:sz w:val="20"/>
                <w:szCs w:val="20"/>
              </w:rPr>
              <w:t>(−19.7, −2.2)</w:t>
            </w:r>
            <w:r w:rsidRPr="0099114C">
              <w:rPr>
                <w:rFonts w:ascii="Arial Narrow" w:hAnsi="Arial Narrow" w:cs="Times New Roman"/>
                <w:sz w:val="20"/>
                <w:szCs w:val="20"/>
              </w:rPr>
              <w:t> </w:t>
            </w:r>
          </w:p>
        </w:tc>
        <w:tc>
          <w:tcPr>
            <w:tcW w:w="1363"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7908A057"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b/>
                <w:bCs/>
                <w:sz w:val="20"/>
                <w:szCs w:val="20"/>
              </w:rPr>
              <w:t>0.0140</w:t>
            </w:r>
            <w:r w:rsidRPr="0099114C">
              <w:rPr>
                <w:rFonts w:ascii="Arial Narrow" w:hAnsi="Arial Narrow" w:cs="Times New Roman"/>
                <w:sz w:val="20"/>
                <w:szCs w:val="20"/>
              </w:rPr>
              <w:t> </w:t>
            </w:r>
          </w:p>
        </w:tc>
      </w:tr>
      <w:tr w:rsidR="00222542" w:rsidRPr="0099114C" w14:paraId="35C24146" w14:textId="77777777" w:rsidTr="002E21D0">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13E5DE17" w14:textId="77777777" w:rsidR="00222542" w:rsidRPr="0099114C" w:rsidRDefault="00222542" w:rsidP="002E21D0">
            <w:pPr>
              <w:keepNext/>
              <w:jc w:val="left"/>
              <w:textAlignment w:val="baseline"/>
              <w:rPr>
                <w:rFonts w:ascii="Times New Roman" w:hAnsi="Times New Roman" w:cs="Times New Roman"/>
              </w:rPr>
            </w:pPr>
            <w:r w:rsidRPr="00857B0D">
              <w:rPr>
                <w:rFonts w:ascii="Arial Narrow" w:hAnsi="Arial Narrow" w:cs="Times New Roman"/>
                <w:b/>
                <w:bCs/>
                <w:sz w:val="20"/>
                <w:szCs w:val="20"/>
              </w:rPr>
              <w:t>GTI-CWS (Week 26), LSM ± SE  </w:t>
            </w:r>
            <w:r w:rsidRPr="0099114C">
              <w:rPr>
                <w:rFonts w:ascii="Arial Narrow" w:hAnsi="Arial Narrow" w:cs="Times New Roman"/>
                <w:sz w:val="20"/>
                <w:szCs w:val="20"/>
              </w:rPr>
              <w:t> </w:t>
            </w:r>
          </w:p>
        </w:tc>
        <w:tc>
          <w:tcPr>
            <w:tcW w:w="1499"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7485E022" w14:textId="77777777" w:rsidR="00222542" w:rsidRPr="0099114C" w:rsidRDefault="00222542" w:rsidP="002E21D0">
            <w:pPr>
              <w:keepNext/>
              <w:jc w:val="center"/>
              <w:textAlignment w:val="baseline"/>
              <w:rPr>
                <w:rFonts w:ascii="Times New Roman" w:hAnsi="Times New Roman" w:cs="Times New Roman"/>
              </w:rPr>
            </w:pPr>
            <w:r w:rsidRPr="00857B0D">
              <w:rPr>
                <w:rFonts w:ascii="Arial Narrow" w:hAnsi="Arial Narrow" w:cs="Times New Roman"/>
                <w:b/>
                <w:bCs/>
                <w:sz w:val="20"/>
                <w:szCs w:val="20"/>
              </w:rPr>
              <w:t>39.7 ± 3.4</w:t>
            </w:r>
            <w:r w:rsidRPr="0099114C">
              <w:rPr>
                <w:rFonts w:ascii="Arial Narrow" w:hAnsi="Arial Narrow" w:cs="Times New Roman"/>
                <w:sz w:val="20"/>
                <w:szCs w:val="20"/>
              </w:rPr>
              <w:t> </w:t>
            </w:r>
          </w:p>
          <w:p w14:paraId="4EF47901"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b/>
                <w:bCs/>
                <w:sz w:val="20"/>
                <w:szCs w:val="20"/>
              </w:rPr>
              <w:t>(n=154)</w:t>
            </w:r>
            <w:r w:rsidRPr="0099114C">
              <w:rPr>
                <w:rFonts w:ascii="Arial Narrow" w:hAnsi="Arial Narrow" w:cs="Times New Roman"/>
                <w:sz w:val="20"/>
                <w:szCs w:val="20"/>
              </w:rPr>
              <w:t> </w:t>
            </w:r>
          </w:p>
        </w:tc>
        <w:tc>
          <w:tcPr>
            <w:tcW w:w="1499"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13D2F08F" w14:textId="77777777" w:rsidR="00222542" w:rsidRPr="0099114C" w:rsidRDefault="00222542" w:rsidP="002E21D0">
            <w:pPr>
              <w:keepNext/>
              <w:jc w:val="center"/>
              <w:textAlignment w:val="baseline"/>
              <w:rPr>
                <w:rFonts w:ascii="Times New Roman" w:hAnsi="Times New Roman" w:cs="Times New Roman"/>
              </w:rPr>
            </w:pPr>
            <w:r w:rsidRPr="00857B0D">
              <w:rPr>
                <w:rFonts w:ascii="Arial Narrow" w:hAnsi="Arial Narrow" w:cs="Times New Roman"/>
                <w:b/>
                <w:bCs/>
                <w:sz w:val="20"/>
                <w:szCs w:val="20"/>
              </w:rPr>
              <w:t>56.6 ± 3.4</w:t>
            </w:r>
            <w:r w:rsidRPr="0099114C">
              <w:rPr>
                <w:rFonts w:ascii="Arial Narrow" w:hAnsi="Arial Narrow" w:cs="Times New Roman"/>
                <w:sz w:val="20"/>
                <w:szCs w:val="20"/>
              </w:rPr>
              <w:t> </w:t>
            </w:r>
          </w:p>
          <w:p w14:paraId="1E636595"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b/>
                <w:bCs/>
                <w:sz w:val="20"/>
                <w:szCs w:val="20"/>
              </w:rPr>
              <w:t>(n=153)</w:t>
            </w:r>
            <w:r w:rsidRPr="0099114C">
              <w:rPr>
                <w:rFonts w:ascii="Arial Narrow" w:hAnsi="Arial Narrow" w:cs="Times New Roman"/>
                <w:sz w:val="20"/>
                <w:szCs w:val="20"/>
              </w:rPr>
              <w:t> </w:t>
            </w:r>
          </w:p>
        </w:tc>
        <w:tc>
          <w:tcPr>
            <w:tcW w:w="168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663CD17B" w14:textId="77777777" w:rsidR="00222542" w:rsidRPr="0099114C" w:rsidRDefault="00222542" w:rsidP="002E21D0">
            <w:pPr>
              <w:keepNext/>
              <w:jc w:val="center"/>
              <w:textAlignment w:val="baseline"/>
              <w:rPr>
                <w:rFonts w:ascii="Times New Roman" w:hAnsi="Times New Roman" w:cs="Times New Roman"/>
              </w:rPr>
            </w:pPr>
            <w:r w:rsidRPr="00857B0D">
              <w:rPr>
                <w:rFonts w:ascii="Arial Narrow" w:hAnsi="Arial Narrow" w:cs="Times New Roman"/>
                <w:b/>
                <w:bCs/>
                <w:sz w:val="20"/>
                <w:szCs w:val="20"/>
              </w:rPr>
              <w:t xml:space="preserve">−16.8 </w:t>
            </w:r>
            <w:r w:rsidRPr="0099114C">
              <w:rPr>
                <w:rFonts w:ascii="Arial Narrow" w:hAnsi="Arial Narrow" w:cs="Times New Roman"/>
                <w:sz w:val="20"/>
                <w:szCs w:val="20"/>
              </w:rPr>
              <w:t> </w:t>
            </w:r>
            <w:r w:rsidRPr="0099114C">
              <w:rPr>
                <w:rFonts w:ascii="Arial Narrow" w:hAnsi="Arial Narrow" w:cs="Times New Roman"/>
                <w:sz w:val="20"/>
                <w:szCs w:val="20"/>
              </w:rPr>
              <w:br/>
            </w:r>
            <w:r w:rsidRPr="00857B0D">
              <w:rPr>
                <w:rFonts w:ascii="Arial Narrow" w:hAnsi="Arial Narrow" w:cs="Times New Roman"/>
                <w:b/>
                <w:bCs/>
                <w:sz w:val="20"/>
                <w:szCs w:val="20"/>
              </w:rPr>
              <w:t>(−25.6, −8.0)</w:t>
            </w:r>
            <w:r w:rsidRPr="0099114C">
              <w:rPr>
                <w:rFonts w:ascii="Arial Narrow" w:hAnsi="Arial Narrow" w:cs="Times New Roman"/>
                <w:sz w:val="20"/>
                <w:szCs w:val="20"/>
              </w:rPr>
              <w:t> </w:t>
            </w:r>
          </w:p>
        </w:tc>
        <w:tc>
          <w:tcPr>
            <w:tcW w:w="1363"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463D390B"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b/>
                <w:bCs/>
                <w:sz w:val="20"/>
                <w:szCs w:val="20"/>
              </w:rPr>
              <w:t>0.0002</w:t>
            </w:r>
            <w:r w:rsidRPr="0099114C">
              <w:rPr>
                <w:rFonts w:ascii="Arial Narrow" w:hAnsi="Arial Narrow" w:cs="Times New Roman"/>
                <w:sz w:val="20"/>
                <w:szCs w:val="20"/>
              </w:rPr>
              <w:t> </w:t>
            </w:r>
          </w:p>
        </w:tc>
      </w:tr>
      <w:tr w:rsidR="00222542" w:rsidRPr="0099114C" w14:paraId="76CBD45A" w14:textId="77777777" w:rsidTr="002E21D0">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784EF1F1" w14:textId="77777777" w:rsidR="00222542" w:rsidRPr="0099114C" w:rsidRDefault="00222542" w:rsidP="002E21D0">
            <w:pPr>
              <w:keepNext/>
              <w:jc w:val="left"/>
              <w:textAlignment w:val="baseline"/>
              <w:rPr>
                <w:rFonts w:ascii="Times New Roman" w:hAnsi="Times New Roman" w:cs="Times New Roman"/>
              </w:rPr>
            </w:pPr>
            <w:r w:rsidRPr="00857B0D">
              <w:rPr>
                <w:rFonts w:ascii="Arial Narrow" w:hAnsi="Arial Narrow" w:cs="Times New Roman"/>
                <w:b/>
                <w:bCs/>
                <w:sz w:val="20"/>
                <w:szCs w:val="20"/>
              </w:rPr>
              <w:t>GTI-AIS (Week 13), LSM ± SE  </w:t>
            </w:r>
            <w:r w:rsidRPr="0099114C">
              <w:rPr>
                <w:rFonts w:ascii="Arial Narrow" w:hAnsi="Arial Narrow" w:cs="Times New Roman"/>
                <w:sz w:val="20"/>
                <w:szCs w:val="20"/>
              </w:rPr>
              <w:t> </w:t>
            </w:r>
          </w:p>
        </w:tc>
        <w:tc>
          <w:tcPr>
            <w:tcW w:w="1499"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07A4B0C0"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b/>
                <w:bCs/>
                <w:sz w:val="20"/>
                <w:szCs w:val="20"/>
              </w:rPr>
              <w:t>9</w:t>
            </w:r>
            <w:r w:rsidRPr="00857B0D">
              <w:rPr>
                <w:rFonts w:ascii="Arial Narrow" w:hAnsi="Arial Narrow" w:cs="Times New Roman"/>
                <w:b/>
                <w:bCs/>
                <w:sz w:val="20"/>
                <w:szCs w:val="20"/>
              </w:rPr>
              <w:t>.9 ± 3.4</w:t>
            </w:r>
            <w:r w:rsidRPr="0099114C">
              <w:rPr>
                <w:rFonts w:ascii="Arial Narrow" w:hAnsi="Arial Narrow" w:cs="Times New Roman"/>
                <w:sz w:val="20"/>
                <w:szCs w:val="20"/>
              </w:rPr>
              <w:t> </w:t>
            </w:r>
          </w:p>
          <w:p w14:paraId="541D7583"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b/>
                <w:bCs/>
                <w:sz w:val="20"/>
                <w:szCs w:val="20"/>
              </w:rPr>
              <w:t>(n=160)</w:t>
            </w:r>
            <w:r w:rsidRPr="0099114C">
              <w:rPr>
                <w:rFonts w:ascii="Arial Narrow" w:hAnsi="Arial Narrow" w:cs="Times New Roman"/>
                <w:sz w:val="20"/>
                <w:szCs w:val="20"/>
              </w:rPr>
              <w:t> </w:t>
            </w:r>
          </w:p>
        </w:tc>
        <w:tc>
          <w:tcPr>
            <w:tcW w:w="1499"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09321289" w14:textId="77777777" w:rsidR="00222542" w:rsidRPr="0099114C" w:rsidRDefault="00222542" w:rsidP="002E21D0">
            <w:pPr>
              <w:keepNext/>
              <w:jc w:val="center"/>
              <w:textAlignment w:val="baseline"/>
              <w:rPr>
                <w:rFonts w:ascii="Times New Roman" w:hAnsi="Times New Roman" w:cs="Times New Roman"/>
              </w:rPr>
            </w:pPr>
            <w:r w:rsidRPr="00857B0D">
              <w:rPr>
                <w:rFonts w:ascii="Arial Narrow" w:hAnsi="Arial Narrow" w:cs="Times New Roman"/>
                <w:b/>
                <w:bCs/>
                <w:sz w:val="20"/>
                <w:szCs w:val="20"/>
              </w:rPr>
              <w:t>23.2 ± 3.5</w:t>
            </w:r>
            <w:r w:rsidRPr="0099114C">
              <w:rPr>
                <w:rFonts w:ascii="Arial Narrow" w:hAnsi="Arial Narrow" w:cs="Times New Roman"/>
                <w:sz w:val="20"/>
                <w:szCs w:val="20"/>
              </w:rPr>
              <w:t> </w:t>
            </w:r>
          </w:p>
          <w:p w14:paraId="60FDD37B" w14:textId="77777777" w:rsidR="00222542" w:rsidRPr="0099114C" w:rsidRDefault="00222542" w:rsidP="002E21D0">
            <w:pPr>
              <w:keepNext/>
              <w:jc w:val="center"/>
              <w:textAlignment w:val="baseline"/>
              <w:rPr>
                <w:rFonts w:ascii="Times New Roman" w:hAnsi="Times New Roman" w:cs="Times New Roman"/>
              </w:rPr>
            </w:pPr>
            <w:r w:rsidRPr="00857B0D">
              <w:rPr>
                <w:rFonts w:ascii="Arial Narrow" w:hAnsi="Arial Narrow" w:cs="Times New Roman"/>
                <w:b/>
                <w:bCs/>
                <w:sz w:val="20"/>
                <w:szCs w:val="20"/>
              </w:rPr>
              <w:t>(n=161)</w:t>
            </w:r>
            <w:r w:rsidRPr="0099114C">
              <w:rPr>
                <w:rFonts w:ascii="Arial Narrow" w:hAnsi="Arial Narrow" w:cs="Times New Roman"/>
                <w:sz w:val="20"/>
                <w:szCs w:val="20"/>
              </w:rPr>
              <w:t> </w:t>
            </w:r>
          </w:p>
        </w:tc>
        <w:tc>
          <w:tcPr>
            <w:tcW w:w="168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04A6FAFE" w14:textId="77777777" w:rsidR="00222542" w:rsidRPr="0099114C" w:rsidRDefault="00222542" w:rsidP="002E21D0">
            <w:pPr>
              <w:keepNext/>
              <w:jc w:val="center"/>
              <w:textAlignment w:val="baseline"/>
              <w:rPr>
                <w:rFonts w:ascii="Times New Roman" w:hAnsi="Times New Roman" w:cs="Times New Roman"/>
              </w:rPr>
            </w:pPr>
            <w:r w:rsidRPr="00857B0D">
              <w:rPr>
                <w:rFonts w:ascii="Arial Narrow" w:hAnsi="Arial Narrow" w:cs="Times New Roman"/>
                <w:b/>
                <w:bCs/>
                <w:sz w:val="20"/>
                <w:szCs w:val="20"/>
              </w:rPr>
              <w:t xml:space="preserve">−13.3 </w:t>
            </w:r>
            <w:r w:rsidRPr="0099114C">
              <w:rPr>
                <w:rFonts w:ascii="Arial Narrow" w:hAnsi="Arial Narrow" w:cs="Times New Roman"/>
                <w:sz w:val="20"/>
                <w:szCs w:val="20"/>
              </w:rPr>
              <w:t> </w:t>
            </w:r>
            <w:r w:rsidRPr="0099114C">
              <w:rPr>
                <w:rFonts w:ascii="Arial Narrow" w:hAnsi="Arial Narrow" w:cs="Times New Roman"/>
                <w:sz w:val="20"/>
                <w:szCs w:val="20"/>
              </w:rPr>
              <w:br/>
            </w:r>
            <w:r w:rsidRPr="00857B0D">
              <w:rPr>
                <w:rFonts w:ascii="Arial Narrow" w:hAnsi="Arial Narrow" w:cs="Times New Roman"/>
                <w:b/>
                <w:bCs/>
                <w:sz w:val="20"/>
                <w:szCs w:val="20"/>
              </w:rPr>
              <w:t>(−22.2, −4.4)</w:t>
            </w:r>
            <w:r w:rsidRPr="0099114C">
              <w:rPr>
                <w:rFonts w:ascii="Arial Narrow" w:hAnsi="Arial Narrow" w:cs="Times New Roman"/>
                <w:sz w:val="20"/>
                <w:szCs w:val="20"/>
              </w:rPr>
              <w:t> </w:t>
            </w:r>
          </w:p>
        </w:tc>
        <w:tc>
          <w:tcPr>
            <w:tcW w:w="1363"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14F78591"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b/>
                <w:bCs/>
                <w:sz w:val="20"/>
                <w:szCs w:val="20"/>
              </w:rPr>
              <w:t>0.003</w:t>
            </w:r>
            <w:r w:rsidRPr="0099114C">
              <w:rPr>
                <w:rFonts w:ascii="Arial Narrow" w:hAnsi="Arial Narrow" w:cs="Times New Roman"/>
                <w:sz w:val="20"/>
                <w:szCs w:val="20"/>
              </w:rPr>
              <w:t> </w:t>
            </w:r>
          </w:p>
        </w:tc>
      </w:tr>
      <w:tr w:rsidR="00222542" w:rsidRPr="0099114C" w14:paraId="015980AD" w14:textId="77777777" w:rsidTr="002E21D0">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049E883F" w14:textId="77777777" w:rsidR="00222542" w:rsidRPr="0099114C" w:rsidRDefault="00222542" w:rsidP="002E21D0">
            <w:pPr>
              <w:keepNext/>
              <w:jc w:val="left"/>
              <w:textAlignment w:val="baseline"/>
              <w:rPr>
                <w:rFonts w:ascii="Times New Roman" w:hAnsi="Times New Roman" w:cs="Times New Roman"/>
              </w:rPr>
            </w:pPr>
            <w:r w:rsidRPr="00857B0D">
              <w:rPr>
                <w:rFonts w:ascii="Arial Narrow" w:hAnsi="Arial Narrow" w:cs="Times New Roman"/>
                <w:b/>
                <w:bCs/>
                <w:sz w:val="20"/>
                <w:szCs w:val="20"/>
              </w:rPr>
              <w:t>GTI-AIS (Week 26), LSM ± SE  </w:t>
            </w:r>
            <w:r w:rsidRPr="0099114C">
              <w:rPr>
                <w:rFonts w:ascii="Arial Narrow" w:hAnsi="Arial Narrow" w:cs="Times New Roman"/>
                <w:sz w:val="20"/>
                <w:szCs w:val="20"/>
              </w:rPr>
              <w:t> </w:t>
            </w:r>
          </w:p>
        </w:tc>
        <w:tc>
          <w:tcPr>
            <w:tcW w:w="1499"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50DD7CA0"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b/>
                <w:bCs/>
                <w:sz w:val="20"/>
                <w:szCs w:val="20"/>
              </w:rPr>
              <w:t xml:space="preserve">11.2 </w:t>
            </w:r>
            <w:r w:rsidRPr="00857B0D">
              <w:rPr>
                <w:rFonts w:ascii="Arial Narrow" w:hAnsi="Arial Narrow" w:cs="Times New Roman"/>
                <w:b/>
                <w:bCs/>
                <w:sz w:val="20"/>
                <w:szCs w:val="20"/>
              </w:rPr>
              <w:t>± 3.5</w:t>
            </w:r>
            <w:r w:rsidRPr="0099114C">
              <w:rPr>
                <w:rFonts w:ascii="Arial Narrow" w:hAnsi="Arial Narrow" w:cs="Times New Roman"/>
                <w:sz w:val="20"/>
                <w:szCs w:val="20"/>
              </w:rPr>
              <w:t> </w:t>
            </w:r>
          </w:p>
          <w:p w14:paraId="5C02F89D"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b/>
                <w:bCs/>
                <w:sz w:val="20"/>
                <w:szCs w:val="20"/>
              </w:rPr>
              <w:t>(n=154)</w:t>
            </w:r>
            <w:r w:rsidRPr="0099114C">
              <w:rPr>
                <w:rFonts w:ascii="Arial Narrow" w:hAnsi="Arial Narrow" w:cs="Times New Roman"/>
                <w:sz w:val="20"/>
                <w:szCs w:val="20"/>
              </w:rPr>
              <w:t> </w:t>
            </w:r>
          </w:p>
        </w:tc>
        <w:tc>
          <w:tcPr>
            <w:tcW w:w="1499"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79088DDA"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b/>
                <w:bCs/>
                <w:sz w:val="20"/>
                <w:szCs w:val="20"/>
              </w:rPr>
              <w:t xml:space="preserve">23.4 </w:t>
            </w:r>
            <w:r w:rsidRPr="00857B0D">
              <w:rPr>
                <w:rFonts w:ascii="Arial Narrow" w:hAnsi="Arial Narrow" w:cs="Times New Roman"/>
                <w:b/>
                <w:bCs/>
                <w:sz w:val="20"/>
                <w:szCs w:val="20"/>
              </w:rPr>
              <w:t>± 3.5</w:t>
            </w:r>
            <w:r w:rsidRPr="0099114C">
              <w:rPr>
                <w:rFonts w:ascii="Arial Narrow" w:hAnsi="Arial Narrow" w:cs="Times New Roman"/>
                <w:sz w:val="20"/>
                <w:szCs w:val="20"/>
              </w:rPr>
              <w:t> </w:t>
            </w:r>
          </w:p>
          <w:p w14:paraId="5836D6D6"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b/>
                <w:bCs/>
                <w:sz w:val="20"/>
                <w:szCs w:val="20"/>
              </w:rPr>
              <w:t>(n=153)</w:t>
            </w:r>
            <w:r w:rsidRPr="0099114C">
              <w:rPr>
                <w:rFonts w:ascii="Arial Narrow" w:hAnsi="Arial Narrow" w:cs="Times New Roman"/>
                <w:sz w:val="20"/>
                <w:szCs w:val="20"/>
              </w:rPr>
              <w:t> </w:t>
            </w:r>
          </w:p>
        </w:tc>
        <w:tc>
          <w:tcPr>
            <w:tcW w:w="168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4ADCA649"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b/>
                <w:bCs/>
                <w:sz w:val="20"/>
                <w:szCs w:val="20"/>
              </w:rPr>
              <w:t xml:space="preserve">-12.1 </w:t>
            </w:r>
            <w:r w:rsidRPr="0099114C">
              <w:rPr>
                <w:rFonts w:ascii="Arial Narrow" w:hAnsi="Arial Narrow" w:cs="Times New Roman"/>
                <w:sz w:val="20"/>
                <w:szCs w:val="20"/>
              </w:rPr>
              <w:t> </w:t>
            </w:r>
            <w:r w:rsidRPr="0099114C">
              <w:rPr>
                <w:rFonts w:ascii="Arial Narrow" w:hAnsi="Arial Narrow" w:cs="Times New Roman"/>
                <w:sz w:val="20"/>
                <w:szCs w:val="20"/>
              </w:rPr>
              <w:br/>
            </w:r>
            <w:r w:rsidRPr="0099114C">
              <w:rPr>
                <w:rFonts w:ascii="Arial Narrow" w:hAnsi="Arial Narrow" w:cs="Times New Roman"/>
                <w:b/>
                <w:bCs/>
                <w:sz w:val="20"/>
                <w:szCs w:val="20"/>
              </w:rPr>
              <w:t>(−21.1, −3.2)</w:t>
            </w:r>
            <w:r w:rsidRPr="0099114C">
              <w:rPr>
                <w:rFonts w:ascii="Arial Narrow" w:hAnsi="Arial Narrow" w:cs="Times New Roman"/>
                <w:sz w:val="20"/>
                <w:szCs w:val="20"/>
              </w:rPr>
              <w:t> </w:t>
            </w:r>
          </w:p>
        </w:tc>
        <w:tc>
          <w:tcPr>
            <w:tcW w:w="1363"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0DE4107F"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b/>
                <w:bCs/>
                <w:sz w:val="20"/>
                <w:szCs w:val="20"/>
              </w:rPr>
              <w:t>0.008</w:t>
            </w:r>
            <w:r w:rsidRPr="0099114C">
              <w:rPr>
                <w:rFonts w:ascii="Arial Narrow" w:hAnsi="Arial Narrow" w:cs="Times New Roman"/>
                <w:sz w:val="20"/>
                <w:szCs w:val="20"/>
              </w:rPr>
              <w:t> </w:t>
            </w:r>
          </w:p>
        </w:tc>
      </w:tr>
      <w:tr w:rsidR="00222542" w:rsidRPr="0099114C" w14:paraId="5830B01B" w14:textId="77777777" w:rsidTr="0028314D">
        <w:trPr>
          <w:trHeight w:val="300"/>
        </w:trPr>
        <w:tc>
          <w:tcPr>
            <w:tcW w:w="9010" w:type="dxa"/>
            <w:gridSpan w:val="5"/>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61AA2A96" w14:textId="77777777" w:rsidR="00222542" w:rsidRPr="0099114C" w:rsidRDefault="00222542" w:rsidP="002E21D0">
            <w:pPr>
              <w:keepNext/>
              <w:jc w:val="left"/>
              <w:textAlignment w:val="baseline"/>
              <w:rPr>
                <w:rFonts w:ascii="Times New Roman" w:hAnsi="Times New Roman" w:cs="Times New Roman"/>
                <w:b/>
                <w:bCs/>
              </w:rPr>
            </w:pPr>
            <w:r w:rsidRPr="0099114C">
              <w:rPr>
                <w:rFonts w:ascii="Arial Narrow" w:hAnsi="Arial Narrow" w:cs="Times New Roman"/>
                <w:b/>
                <w:bCs/>
                <w:sz w:val="20"/>
                <w:szCs w:val="20"/>
              </w:rPr>
              <w:t>HRQoL </w:t>
            </w:r>
          </w:p>
        </w:tc>
      </w:tr>
      <w:tr w:rsidR="00222542" w:rsidRPr="0099114C" w14:paraId="11D202F1" w14:textId="77777777" w:rsidTr="002E21D0">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5EE0EB86" w14:textId="77777777" w:rsidR="00222542" w:rsidRPr="0099114C" w:rsidRDefault="00222542" w:rsidP="002E21D0">
            <w:pPr>
              <w:keepNext/>
              <w:jc w:val="left"/>
              <w:textAlignment w:val="baseline"/>
              <w:rPr>
                <w:rFonts w:ascii="Times New Roman" w:hAnsi="Times New Roman" w:cs="Times New Roman"/>
              </w:rPr>
            </w:pPr>
            <w:r w:rsidRPr="0099114C">
              <w:rPr>
                <w:rFonts w:ascii="Arial Narrow" w:hAnsi="Arial Narrow" w:cs="Times New Roman"/>
                <w:sz w:val="20"/>
                <w:szCs w:val="20"/>
              </w:rPr>
              <w:t xml:space="preserve">Score on EQ-5D-5L VAS, change from baseline (Week 26), </w:t>
            </w:r>
            <w:r w:rsidRPr="00857B0D">
              <w:rPr>
                <w:rFonts w:ascii="Arial Narrow" w:hAnsi="Arial Narrow" w:cs="Times New Roman"/>
                <w:sz w:val="20"/>
                <w:szCs w:val="20"/>
              </w:rPr>
              <w:t>LSM ± SE  </w:t>
            </w:r>
            <w:r w:rsidRPr="0099114C">
              <w:rPr>
                <w:rFonts w:ascii="Arial Narrow" w:hAnsi="Arial Narrow" w:cs="Times New Roman"/>
                <w:sz w:val="20"/>
                <w:szCs w:val="20"/>
              </w:rPr>
              <w:t> </w:t>
            </w:r>
          </w:p>
        </w:tc>
        <w:tc>
          <w:tcPr>
            <w:tcW w:w="1499"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75B86D36"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 xml:space="preserve">9.1 </w:t>
            </w:r>
            <w:r w:rsidRPr="00857B0D">
              <w:rPr>
                <w:rFonts w:ascii="Arial Narrow" w:hAnsi="Arial Narrow" w:cs="Times New Roman"/>
                <w:sz w:val="20"/>
                <w:szCs w:val="20"/>
              </w:rPr>
              <w:t xml:space="preserve">± </w:t>
            </w:r>
            <w:r w:rsidRPr="0099114C">
              <w:rPr>
                <w:rFonts w:ascii="Arial Narrow" w:hAnsi="Arial Narrow" w:cs="Times New Roman"/>
                <w:sz w:val="20"/>
                <w:szCs w:val="20"/>
              </w:rPr>
              <w:t>1.4 </w:t>
            </w:r>
          </w:p>
          <w:p w14:paraId="3F42A249"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(n=153) </w:t>
            </w:r>
          </w:p>
        </w:tc>
        <w:tc>
          <w:tcPr>
            <w:tcW w:w="1499"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7A58931F"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 xml:space="preserve">5.5 </w:t>
            </w:r>
            <w:r w:rsidRPr="00857B0D">
              <w:rPr>
                <w:rFonts w:ascii="Arial Narrow" w:hAnsi="Arial Narrow" w:cs="Times New Roman"/>
                <w:sz w:val="20"/>
                <w:szCs w:val="20"/>
              </w:rPr>
              <w:t xml:space="preserve">± </w:t>
            </w:r>
            <w:r w:rsidRPr="0099114C">
              <w:rPr>
                <w:rFonts w:ascii="Arial Narrow" w:hAnsi="Arial Narrow" w:cs="Times New Roman"/>
                <w:sz w:val="20"/>
                <w:szCs w:val="20"/>
              </w:rPr>
              <w:t>1.4 </w:t>
            </w:r>
          </w:p>
          <w:p w14:paraId="33110CD7"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(n=150) </w:t>
            </w:r>
          </w:p>
        </w:tc>
        <w:tc>
          <w:tcPr>
            <w:tcW w:w="168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30266242"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3.6 </w:t>
            </w:r>
            <w:r w:rsidRPr="0099114C">
              <w:rPr>
                <w:rFonts w:ascii="Arial Narrow" w:hAnsi="Arial Narrow" w:cs="Times New Roman"/>
                <w:sz w:val="20"/>
                <w:szCs w:val="20"/>
              </w:rPr>
              <w:br/>
              <w:t>(−0.1, 7.2) </w:t>
            </w:r>
          </w:p>
        </w:tc>
        <w:tc>
          <w:tcPr>
            <w:tcW w:w="1363"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4B9442C3"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0.05 </w:t>
            </w:r>
          </w:p>
        </w:tc>
      </w:tr>
      <w:tr w:rsidR="00222542" w:rsidRPr="0099114C" w14:paraId="7928DC22" w14:textId="77777777" w:rsidTr="002E21D0">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40C791B2" w14:textId="77777777" w:rsidR="00222542" w:rsidRPr="0099114C" w:rsidRDefault="00222542" w:rsidP="002E21D0">
            <w:pPr>
              <w:keepNext/>
              <w:jc w:val="left"/>
              <w:textAlignment w:val="baseline"/>
              <w:rPr>
                <w:rFonts w:ascii="Times New Roman" w:hAnsi="Times New Roman" w:cs="Times New Roman"/>
              </w:rPr>
            </w:pPr>
            <w:r w:rsidRPr="0099114C">
              <w:rPr>
                <w:rFonts w:ascii="Arial Narrow" w:hAnsi="Arial Narrow" w:cs="Times New Roman"/>
                <w:b/>
                <w:bCs/>
                <w:sz w:val="20"/>
                <w:szCs w:val="20"/>
              </w:rPr>
              <w:t xml:space="preserve">Score on EQ-5D-5L VAS, change from baseline (Week 52), </w:t>
            </w:r>
            <w:r w:rsidRPr="00857B0D">
              <w:rPr>
                <w:rFonts w:ascii="Arial Narrow" w:hAnsi="Arial Narrow" w:cs="Times New Roman"/>
                <w:b/>
                <w:bCs/>
                <w:sz w:val="20"/>
                <w:szCs w:val="20"/>
              </w:rPr>
              <w:t>LSM ± SE  </w:t>
            </w:r>
            <w:r w:rsidRPr="0099114C">
              <w:rPr>
                <w:rFonts w:ascii="Arial Narrow" w:hAnsi="Arial Narrow" w:cs="Times New Roman"/>
                <w:sz w:val="20"/>
                <w:szCs w:val="20"/>
              </w:rPr>
              <w:t> </w:t>
            </w:r>
          </w:p>
        </w:tc>
        <w:tc>
          <w:tcPr>
            <w:tcW w:w="1499"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432D31B4"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b/>
                <w:bCs/>
                <w:sz w:val="20"/>
                <w:szCs w:val="20"/>
              </w:rPr>
              <w:t xml:space="preserve">13.0 </w:t>
            </w:r>
            <w:r w:rsidRPr="00857B0D">
              <w:rPr>
                <w:rFonts w:ascii="Arial Narrow" w:hAnsi="Arial Narrow" w:cs="Times New Roman"/>
                <w:b/>
                <w:bCs/>
                <w:sz w:val="20"/>
                <w:szCs w:val="20"/>
              </w:rPr>
              <w:t xml:space="preserve">± </w:t>
            </w:r>
            <w:r w:rsidRPr="0099114C">
              <w:rPr>
                <w:rFonts w:ascii="Arial Narrow" w:hAnsi="Arial Narrow" w:cs="Times New Roman"/>
                <w:b/>
                <w:bCs/>
                <w:sz w:val="20"/>
                <w:szCs w:val="20"/>
              </w:rPr>
              <w:t>1.4</w:t>
            </w:r>
            <w:r w:rsidRPr="0099114C">
              <w:rPr>
                <w:rFonts w:ascii="Arial Narrow" w:hAnsi="Arial Narrow" w:cs="Times New Roman"/>
                <w:sz w:val="20"/>
                <w:szCs w:val="20"/>
              </w:rPr>
              <w:t> </w:t>
            </w:r>
          </w:p>
          <w:p w14:paraId="37D8B0A4"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b/>
                <w:bCs/>
                <w:sz w:val="20"/>
                <w:szCs w:val="20"/>
              </w:rPr>
              <w:t>(n=149)</w:t>
            </w:r>
            <w:r w:rsidRPr="0099114C">
              <w:rPr>
                <w:rFonts w:ascii="Arial Narrow" w:hAnsi="Arial Narrow" w:cs="Times New Roman"/>
                <w:sz w:val="20"/>
                <w:szCs w:val="20"/>
              </w:rPr>
              <w:t> </w:t>
            </w:r>
          </w:p>
        </w:tc>
        <w:tc>
          <w:tcPr>
            <w:tcW w:w="1499"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0EFD4CC9"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b/>
                <w:bCs/>
                <w:sz w:val="20"/>
                <w:szCs w:val="20"/>
              </w:rPr>
              <w:t xml:space="preserve">7.1 </w:t>
            </w:r>
            <w:r w:rsidRPr="00857B0D">
              <w:rPr>
                <w:rFonts w:ascii="Arial Narrow" w:hAnsi="Arial Narrow" w:cs="Times New Roman"/>
                <w:b/>
                <w:bCs/>
                <w:sz w:val="20"/>
                <w:szCs w:val="20"/>
              </w:rPr>
              <w:t xml:space="preserve">± </w:t>
            </w:r>
            <w:r w:rsidRPr="0099114C">
              <w:rPr>
                <w:rFonts w:ascii="Arial Narrow" w:hAnsi="Arial Narrow" w:cs="Times New Roman"/>
                <w:b/>
                <w:bCs/>
                <w:sz w:val="20"/>
                <w:szCs w:val="20"/>
              </w:rPr>
              <w:t>1.4</w:t>
            </w:r>
            <w:r w:rsidRPr="0099114C">
              <w:rPr>
                <w:rFonts w:ascii="Arial Narrow" w:hAnsi="Arial Narrow" w:cs="Times New Roman"/>
                <w:sz w:val="20"/>
                <w:szCs w:val="20"/>
              </w:rPr>
              <w:t> </w:t>
            </w:r>
          </w:p>
          <w:p w14:paraId="26778041"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b/>
                <w:bCs/>
                <w:sz w:val="20"/>
                <w:szCs w:val="20"/>
              </w:rPr>
              <w:t>(n=146)</w:t>
            </w:r>
            <w:r w:rsidRPr="0099114C">
              <w:rPr>
                <w:rFonts w:ascii="Arial Narrow" w:hAnsi="Arial Narrow" w:cs="Times New Roman"/>
                <w:sz w:val="20"/>
                <w:szCs w:val="20"/>
              </w:rPr>
              <w:t> </w:t>
            </w:r>
          </w:p>
        </w:tc>
        <w:tc>
          <w:tcPr>
            <w:tcW w:w="168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51801128"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b/>
                <w:bCs/>
                <w:sz w:val="20"/>
                <w:szCs w:val="20"/>
              </w:rPr>
              <w:t xml:space="preserve">5.9 </w:t>
            </w:r>
            <w:r w:rsidRPr="0099114C">
              <w:rPr>
                <w:rFonts w:ascii="Arial Narrow" w:hAnsi="Arial Narrow" w:cs="Times New Roman"/>
                <w:sz w:val="20"/>
                <w:szCs w:val="20"/>
              </w:rPr>
              <w:t> </w:t>
            </w:r>
            <w:r w:rsidRPr="0099114C">
              <w:rPr>
                <w:rFonts w:ascii="Arial Narrow" w:hAnsi="Arial Narrow" w:cs="Times New Roman"/>
                <w:sz w:val="20"/>
                <w:szCs w:val="20"/>
              </w:rPr>
              <w:br/>
            </w:r>
            <w:r w:rsidRPr="0099114C">
              <w:rPr>
                <w:rFonts w:ascii="Arial Narrow" w:hAnsi="Arial Narrow" w:cs="Times New Roman"/>
                <w:b/>
                <w:bCs/>
                <w:sz w:val="20"/>
                <w:szCs w:val="20"/>
              </w:rPr>
              <w:t>(2.3, 9.6)</w:t>
            </w:r>
            <w:r w:rsidRPr="0099114C">
              <w:rPr>
                <w:rFonts w:ascii="Arial Narrow" w:hAnsi="Arial Narrow" w:cs="Times New Roman"/>
                <w:sz w:val="20"/>
                <w:szCs w:val="20"/>
              </w:rPr>
              <w:t> </w:t>
            </w:r>
          </w:p>
        </w:tc>
        <w:tc>
          <w:tcPr>
            <w:tcW w:w="1363"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391F19AD"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b/>
                <w:bCs/>
                <w:sz w:val="20"/>
                <w:szCs w:val="20"/>
              </w:rPr>
              <w:t>0.002</w:t>
            </w:r>
            <w:r w:rsidRPr="0099114C">
              <w:rPr>
                <w:rFonts w:ascii="Arial Narrow" w:hAnsi="Arial Narrow" w:cs="Times New Roman"/>
                <w:sz w:val="20"/>
                <w:szCs w:val="20"/>
              </w:rPr>
              <w:t> </w:t>
            </w:r>
          </w:p>
        </w:tc>
      </w:tr>
      <w:tr w:rsidR="00222542" w:rsidRPr="0099114C" w14:paraId="5C76D10C" w14:textId="77777777" w:rsidTr="002E21D0">
        <w:trPr>
          <w:trHeight w:val="360"/>
        </w:trPr>
        <w:tc>
          <w:tcPr>
            <w:tcW w:w="2969"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2F91FFD6" w14:textId="77777777" w:rsidR="00222542" w:rsidRPr="0099114C" w:rsidRDefault="00222542" w:rsidP="002E21D0">
            <w:pPr>
              <w:keepNext/>
              <w:jc w:val="left"/>
              <w:textAlignment w:val="baseline"/>
              <w:rPr>
                <w:rFonts w:ascii="Times New Roman" w:hAnsi="Times New Roman" w:cs="Times New Roman"/>
              </w:rPr>
            </w:pPr>
            <w:r w:rsidRPr="0099114C">
              <w:rPr>
                <w:rFonts w:ascii="Arial Narrow" w:hAnsi="Arial Narrow" w:cs="Times New Roman"/>
                <w:sz w:val="20"/>
                <w:szCs w:val="20"/>
              </w:rPr>
              <w:t xml:space="preserve">Score on EQ-5D-5L Index, change from baseline (Week 26), </w:t>
            </w:r>
            <w:r w:rsidRPr="00857B0D">
              <w:rPr>
                <w:rFonts w:ascii="Arial Narrow" w:hAnsi="Arial Narrow" w:cs="Times New Roman"/>
                <w:sz w:val="20"/>
                <w:szCs w:val="20"/>
              </w:rPr>
              <w:t>LSM ± SE</w:t>
            </w:r>
            <w:r w:rsidRPr="0099114C">
              <w:rPr>
                <w:rFonts w:ascii="Arial Narrow" w:hAnsi="Arial Narrow" w:cs="Times New Roman"/>
                <w:sz w:val="20"/>
                <w:szCs w:val="20"/>
              </w:rPr>
              <w:t> </w:t>
            </w:r>
          </w:p>
        </w:tc>
        <w:tc>
          <w:tcPr>
            <w:tcW w:w="1499"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0F107569" w14:textId="77777777" w:rsidR="00222542" w:rsidRPr="0099114C" w:rsidRDefault="00222542" w:rsidP="002E21D0">
            <w:pPr>
              <w:keepNext/>
              <w:jc w:val="center"/>
              <w:textAlignment w:val="baseline"/>
              <w:rPr>
                <w:rFonts w:ascii="Times New Roman" w:hAnsi="Times New Roman" w:cs="Times New Roman"/>
              </w:rPr>
            </w:pPr>
            <w:r w:rsidRPr="00857B0D">
              <w:rPr>
                <w:rFonts w:ascii="Arial Narrow" w:hAnsi="Arial Narrow" w:cs="Times New Roman"/>
                <w:sz w:val="20"/>
                <w:szCs w:val="20"/>
              </w:rPr>
              <w:t>0.02 ± 0.014</w:t>
            </w:r>
            <w:r w:rsidRPr="0099114C">
              <w:rPr>
                <w:rFonts w:ascii="Arial Narrow" w:hAnsi="Arial Narrow" w:cs="Times New Roman"/>
                <w:sz w:val="20"/>
                <w:szCs w:val="20"/>
              </w:rPr>
              <w:t> </w:t>
            </w:r>
          </w:p>
          <w:p w14:paraId="0574E742" w14:textId="77777777" w:rsidR="00222542" w:rsidRPr="0099114C" w:rsidRDefault="00222542" w:rsidP="002E21D0">
            <w:pPr>
              <w:keepNext/>
              <w:jc w:val="center"/>
              <w:textAlignment w:val="baseline"/>
              <w:rPr>
                <w:rFonts w:ascii="Times New Roman" w:hAnsi="Times New Roman" w:cs="Times New Roman"/>
              </w:rPr>
            </w:pPr>
            <w:r w:rsidRPr="00857B0D">
              <w:rPr>
                <w:rFonts w:ascii="Arial Narrow" w:hAnsi="Arial Narrow" w:cs="Times New Roman"/>
                <w:sz w:val="20"/>
                <w:szCs w:val="20"/>
              </w:rPr>
              <w:t>(n=152)</w:t>
            </w:r>
            <w:r w:rsidRPr="0099114C">
              <w:rPr>
                <w:rFonts w:ascii="Arial Narrow" w:hAnsi="Arial Narrow" w:cs="Times New Roman"/>
                <w:sz w:val="20"/>
                <w:szCs w:val="20"/>
              </w:rPr>
              <w:t> </w:t>
            </w:r>
          </w:p>
        </w:tc>
        <w:tc>
          <w:tcPr>
            <w:tcW w:w="1499"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70D88599" w14:textId="044B6E46" w:rsidR="00222542" w:rsidRPr="00857B0D" w:rsidRDefault="00222542" w:rsidP="002E21D0">
            <w:pPr>
              <w:keepNext/>
              <w:jc w:val="center"/>
              <w:textAlignment w:val="baseline"/>
              <w:rPr>
                <w:rFonts w:ascii="Arial Narrow" w:hAnsi="Arial Narrow" w:cs="Times New Roman"/>
                <w:sz w:val="20"/>
                <w:szCs w:val="20"/>
              </w:rPr>
            </w:pPr>
            <w:r w:rsidRPr="00857B0D">
              <w:rPr>
                <w:rFonts w:ascii="Arial Narrow" w:hAnsi="Arial Narrow" w:cs="Times New Roman"/>
                <w:sz w:val="20"/>
                <w:szCs w:val="20"/>
              </w:rPr>
              <w:t>0.00 ± 0.015 </w:t>
            </w:r>
          </w:p>
          <w:p w14:paraId="3D8A2862" w14:textId="77777777" w:rsidR="00222542" w:rsidRPr="0099114C" w:rsidRDefault="00222542" w:rsidP="002E21D0">
            <w:pPr>
              <w:keepNext/>
              <w:jc w:val="center"/>
              <w:textAlignment w:val="baseline"/>
              <w:rPr>
                <w:rFonts w:ascii="Arial Narrow" w:hAnsi="Arial Narrow" w:cs="Times New Roman"/>
                <w:sz w:val="20"/>
                <w:szCs w:val="20"/>
              </w:rPr>
            </w:pPr>
            <w:r w:rsidRPr="00857B0D">
              <w:rPr>
                <w:rFonts w:ascii="Arial Narrow" w:hAnsi="Arial Narrow" w:cs="Times New Roman"/>
                <w:sz w:val="20"/>
                <w:szCs w:val="20"/>
              </w:rPr>
              <w:t>(n=146)</w:t>
            </w:r>
            <w:r w:rsidRPr="0099114C">
              <w:rPr>
                <w:rFonts w:ascii="Arial Narrow" w:hAnsi="Arial Narrow" w:cs="Times New Roman"/>
                <w:sz w:val="20"/>
                <w:szCs w:val="20"/>
              </w:rPr>
              <w:t> </w:t>
            </w:r>
          </w:p>
        </w:tc>
        <w:tc>
          <w:tcPr>
            <w:tcW w:w="168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783BFD5B" w14:textId="77777777" w:rsidR="00222542" w:rsidRPr="0099114C" w:rsidRDefault="00222542" w:rsidP="002E21D0">
            <w:pPr>
              <w:keepNext/>
              <w:jc w:val="center"/>
              <w:textAlignment w:val="baseline"/>
              <w:rPr>
                <w:rFonts w:ascii="Times New Roman" w:hAnsi="Times New Roman" w:cs="Times New Roman"/>
              </w:rPr>
            </w:pPr>
            <w:r w:rsidRPr="00857B0D">
              <w:rPr>
                <w:rFonts w:ascii="Arial Narrow" w:hAnsi="Arial Narrow" w:cs="Times New Roman"/>
                <w:sz w:val="20"/>
                <w:szCs w:val="20"/>
              </w:rPr>
              <w:t>0.02</w:t>
            </w:r>
            <w:r w:rsidRPr="0099114C">
              <w:rPr>
                <w:rFonts w:ascii="Arial Narrow" w:hAnsi="Arial Narrow" w:cs="Times New Roman"/>
                <w:sz w:val="20"/>
                <w:szCs w:val="20"/>
              </w:rPr>
              <w:t> </w:t>
            </w:r>
            <w:r w:rsidRPr="0099114C">
              <w:rPr>
                <w:rFonts w:ascii="Arial Narrow" w:hAnsi="Arial Narrow" w:cs="Times New Roman"/>
                <w:sz w:val="20"/>
                <w:szCs w:val="20"/>
              </w:rPr>
              <w:br/>
            </w:r>
            <w:r w:rsidRPr="00857B0D">
              <w:rPr>
                <w:rFonts w:ascii="Arial Narrow" w:hAnsi="Arial Narrow" w:cs="Times New Roman"/>
                <w:sz w:val="20"/>
                <w:szCs w:val="20"/>
              </w:rPr>
              <w:t>(–0.01, 0.06)</w:t>
            </w:r>
            <w:r w:rsidRPr="0099114C">
              <w:rPr>
                <w:rFonts w:ascii="Arial Narrow" w:hAnsi="Arial Narrow" w:cs="Times New Roman"/>
                <w:sz w:val="20"/>
                <w:szCs w:val="20"/>
              </w:rPr>
              <w:t> </w:t>
            </w:r>
          </w:p>
        </w:tc>
        <w:tc>
          <w:tcPr>
            <w:tcW w:w="1363"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30739062"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0.22 </w:t>
            </w:r>
          </w:p>
        </w:tc>
      </w:tr>
      <w:tr w:rsidR="00222542" w:rsidRPr="0099114C" w14:paraId="7AE55321" w14:textId="77777777" w:rsidTr="002E21D0">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553EA435" w14:textId="77777777" w:rsidR="00222542" w:rsidRPr="0099114C" w:rsidRDefault="00222542" w:rsidP="002E21D0">
            <w:pPr>
              <w:keepNext/>
              <w:jc w:val="left"/>
              <w:textAlignment w:val="baseline"/>
              <w:rPr>
                <w:rFonts w:ascii="Times New Roman" w:hAnsi="Times New Roman" w:cs="Times New Roman"/>
              </w:rPr>
            </w:pPr>
            <w:r w:rsidRPr="0099114C">
              <w:rPr>
                <w:rFonts w:ascii="Arial Narrow" w:hAnsi="Arial Narrow" w:cs="Times New Roman"/>
                <w:b/>
                <w:bCs/>
                <w:sz w:val="20"/>
                <w:szCs w:val="20"/>
              </w:rPr>
              <w:t xml:space="preserve">Score on EQ-5D-5L Index, change from baseline (Week 52), </w:t>
            </w:r>
            <w:r w:rsidRPr="00857B0D">
              <w:rPr>
                <w:rFonts w:ascii="Arial Narrow" w:hAnsi="Arial Narrow" w:cs="Times New Roman"/>
                <w:b/>
                <w:bCs/>
                <w:sz w:val="20"/>
                <w:szCs w:val="20"/>
              </w:rPr>
              <w:t>LSM ± SE</w:t>
            </w:r>
            <w:r w:rsidRPr="0099114C">
              <w:rPr>
                <w:rFonts w:ascii="Arial Narrow" w:hAnsi="Arial Narrow" w:cs="Times New Roman"/>
                <w:sz w:val="20"/>
                <w:szCs w:val="20"/>
              </w:rPr>
              <w:t> </w:t>
            </w:r>
          </w:p>
        </w:tc>
        <w:tc>
          <w:tcPr>
            <w:tcW w:w="1499"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5F2E5FD7" w14:textId="77777777" w:rsidR="00222542" w:rsidRPr="0099114C" w:rsidRDefault="00222542" w:rsidP="002E21D0">
            <w:pPr>
              <w:keepNext/>
              <w:jc w:val="center"/>
              <w:textAlignment w:val="baseline"/>
              <w:rPr>
                <w:rFonts w:ascii="Times New Roman" w:hAnsi="Times New Roman" w:cs="Times New Roman"/>
              </w:rPr>
            </w:pPr>
            <w:r w:rsidRPr="00857B0D">
              <w:rPr>
                <w:rFonts w:ascii="Arial Narrow" w:hAnsi="Arial Narrow" w:cs="Times New Roman"/>
                <w:b/>
                <w:bCs/>
                <w:sz w:val="20"/>
                <w:szCs w:val="20"/>
              </w:rPr>
              <w:t>0.05 ± 0.015</w:t>
            </w:r>
            <w:r w:rsidRPr="0099114C">
              <w:rPr>
                <w:rFonts w:ascii="Arial Narrow" w:hAnsi="Arial Narrow" w:cs="Times New Roman"/>
                <w:sz w:val="20"/>
                <w:szCs w:val="20"/>
              </w:rPr>
              <w:t> </w:t>
            </w:r>
          </w:p>
          <w:p w14:paraId="111FAC1A" w14:textId="77777777" w:rsidR="00222542" w:rsidRPr="0099114C" w:rsidRDefault="00222542" w:rsidP="002E21D0">
            <w:pPr>
              <w:keepNext/>
              <w:jc w:val="center"/>
              <w:textAlignment w:val="baseline"/>
              <w:rPr>
                <w:rFonts w:ascii="Times New Roman" w:hAnsi="Times New Roman" w:cs="Times New Roman"/>
              </w:rPr>
            </w:pPr>
            <w:r w:rsidRPr="00857B0D">
              <w:rPr>
                <w:rFonts w:ascii="Arial Narrow" w:hAnsi="Arial Narrow" w:cs="Times New Roman"/>
                <w:b/>
                <w:bCs/>
                <w:sz w:val="20"/>
                <w:szCs w:val="20"/>
              </w:rPr>
              <w:t>(n=149)</w:t>
            </w:r>
            <w:r w:rsidRPr="0099114C">
              <w:rPr>
                <w:rFonts w:ascii="Arial Narrow" w:hAnsi="Arial Narrow" w:cs="Times New Roman"/>
                <w:sz w:val="20"/>
                <w:szCs w:val="20"/>
              </w:rPr>
              <w:t> </w:t>
            </w:r>
          </w:p>
        </w:tc>
        <w:tc>
          <w:tcPr>
            <w:tcW w:w="1499"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071A11A1" w14:textId="4BB03D6C" w:rsidR="00222542" w:rsidRPr="00857B0D" w:rsidRDefault="00222542" w:rsidP="002E21D0">
            <w:pPr>
              <w:keepNext/>
              <w:jc w:val="center"/>
              <w:textAlignment w:val="baseline"/>
              <w:rPr>
                <w:rFonts w:ascii="Arial Narrow" w:hAnsi="Arial Narrow" w:cs="Times New Roman"/>
                <w:b/>
                <w:bCs/>
                <w:sz w:val="20"/>
                <w:szCs w:val="20"/>
              </w:rPr>
            </w:pPr>
            <w:r w:rsidRPr="00857B0D">
              <w:rPr>
                <w:rFonts w:ascii="Arial Narrow" w:hAnsi="Arial Narrow" w:cs="Times New Roman"/>
                <w:b/>
                <w:bCs/>
                <w:sz w:val="20"/>
                <w:szCs w:val="20"/>
              </w:rPr>
              <w:t>0.00 ± 0.015 </w:t>
            </w:r>
          </w:p>
          <w:p w14:paraId="0E22F91A" w14:textId="77777777" w:rsidR="00222542" w:rsidRPr="0099114C" w:rsidRDefault="00222542" w:rsidP="002E21D0">
            <w:pPr>
              <w:keepNext/>
              <w:jc w:val="center"/>
              <w:textAlignment w:val="baseline"/>
              <w:rPr>
                <w:rFonts w:ascii="Arial Narrow" w:hAnsi="Arial Narrow" w:cs="Times New Roman"/>
                <w:sz w:val="20"/>
                <w:szCs w:val="20"/>
              </w:rPr>
            </w:pPr>
            <w:r w:rsidRPr="00857B0D">
              <w:rPr>
                <w:rFonts w:ascii="Arial Narrow" w:hAnsi="Arial Narrow" w:cs="Times New Roman"/>
                <w:b/>
                <w:bCs/>
                <w:sz w:val="20"/>
                <w:szCs w:val="20"/>
              </w:rPr>
              <w:t>(n=145)</w:t>
            </w:r>
            <w:r w:rsidRPr="0099114C">
              <w:rPr>
                <w:rFonts w:ascii="Arial Narrow" w:hAnsi="Arial Narrow" w:cs="Times New Roman"/>
                <w:sz w:val="20"/>
                <w:szCs w:val="20"/>
              </w:rPr>
              <w:t> </w:t>
            </w:r>
          </w:p>
        </w:tc>
        <w:tc>
          <w:tcPr>
            <w:tcW w:w="168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6EBB02FB" w14:textId="77777777" w:rsidR="00222542" w:rsidRPr="0099114C" w:rsidRDefault="00222542" w:rsidP="002E21D0">
            <w:pPr>
              <w:keepNext/>
              <w:jc w:val="center"/>
              <w:textAlignment w:val="baseline"/>
              <w:rPr>
                <w:rFonts w:ascii="Times New Roman" w:hAnsi="Times New Roman" w:cs="Times New Roman"/>
              </w:rPr>
            </w:pPr>
            <w:r w:rsidRPr="00857B0D">
              <w:rPr>
                <w:rFonts w:ascii="Arial Narrow" w:hAnsi="Arial Narrow" w:cs="Times New Roman"/>
                <w:b/>
                <w:bCs/>
                <w:sz w:val="20"/>
                <w:szCs w:val="20"/>
              </w:rPr>
              <w:t xml:space="preserve">0.05 </w:t>
            </w:r>
            <w:r w:rsidRPr="0099114C">
              <w:rPr>
                <w:rFonts w:ascii="Arial Narrow" w:hAnsi="Arial Narrow" w:cs="Times New Roman"/>
                <w:sz w:val="20"/>
                <w:szCs w:val="20"/>
              </w:rPr>
              <w:t> </w:t>
            </w:r>
            <w:r w:rsidRPr="0099114C">
              <w:rPr>
                <w:rFonts w:ascii="Arial Narrow" w:hAnsi="Arial Narrow" w:cs="Times New Roman"/>
                <w:sz w:val="20"/>
                <w:szCs w:val="20"/>
              </w:rPr>
              <w:br/>
            </w:r>
            <w:r w:rsidRPr="00857B0D">
              <w:rPr>
                <w:rFonts w:ascii="Arial Narrow" w:hAnsi="Arial Narrow" w:cs="Times New Roman"/>
                <w:b/>
                <w:bCs/>
                <w:sz w:val="20"/>
                <w:szCs w:val="20"/>
              </w:rPr>
              <w:t>(0.01 to 0.09)</w:t>
            </w:r>
            <w:r w:rsidRPr="0099114C">
              <w:rPr>
                <w:rFonts w:ascii="Arial Narrow" w:hAnsi="Arial Narrow" w:cs="Times New Roman"/>
                <w:sz w:val="20"/>
                <w:szCs w:val="20"/>
              </w:rPr>
              <w:t> </w:t>
            </w:r>
          </w:p>
        </w:tc>
        <w:tc>
          <w:tcPr>
            <w:tcW w:w="1363"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176E3B4A"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b/>
                <w:bCs/>
                <w:sz w:val="20"/>
                <w:szCs w:val="20"/>
              </w:rPr>
              <w:t>0.009</w:t>
            </w:r>
            <w:r w:rsidRPr="0099114C">
              <w:rPr>
                <w:rFonts w:ascii="Arial Narrow" w:hAnsi="Arial Narrow" w:cs="Times New Roman"/>
                <w:sz w:val="20"/>
                <w:szCs w:val="20"/>
              </w:rPr>
              <w:t> </w:t>
            </w:r>
          </w:p>
        </w:tc>
      </w:tr>
      <w:tr w:rsidR="00222542" w:rsidRPr="0099114C" w14:paraId="5569CCA5" w14:textId="77777777" w:rsidTr="0028314D">
        <w:trPr>
          <w:trHeight w:val="300"/>
        </w:trPr>
        <w:tc>
          <w:tcPr>
            <w:tcW w:w="9010" w:type="dxa"/>
            <w:gridSpan w:val="5"/>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4AB3239B" w14:textId="77777777" w:rsidR="00222542" w:rsidRPr="0099114C" w:rsidRDefault="00222542" w:rsidP="002E21D0">
            <w:pPr>
              <w:keepNext/>
              <w:jc w:val="left"/>
              <w:textAlignment w:val="baseline"/>
              <w:rPr>
                <w:rFonts w:ascii="Times New Roman" w:hAnsi="Times New Roman" w:cs="Times New Roman"/>
                <w:b/>
                <w:bCs/>
              </w:rPr>
            </w:pPr>
            <w:r w:rsidRPr="0099114C">
              <w:rPr>
                <w:rFonts w:ascii="Arial Narrow" w:hAnsi="Arial Narrow" w:cs="Times New Roman"/>
                <w:b/>
                <w:bCs/>
                <w:sz w:val="20"/>
                <w:szCs w:val="20"/>
              </w:rPr>
              <w:t>Relapse </w:t>
            </w:r>
          </w:p>
        </w:tc>
      </w:tr>
      <w:tr w:rsidR="00222542" w:rsidRPr="0099114C" w14:paraId="6893C231" w14:textId="77777777" w:rsidTr="002E21D0">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56DCBFE4" w14:textId="77777777" w:rsidR="00222542" w:rsidRPr="0099114C" w:rsidRDefault="00222542" w:rsidP="002E21D0">
            <w:pPr>
              <w:keepNext/>
              <w:jc w:val="left"/>
              <w:textAlignment w:val="baseline"/>
              <w:rPr>
                <w:rFonts w:ascii="Times New Roman" w:hAnsi="Times New Roman" w:cs="Times New Roman"/>
              </w:rPr>
            </w:pPr>
            <w:r w:rsidRPr="0099114C">
              <w:rPr>
                <w:rFonts w:ascii="Arial Narrow" w:hAnsi="Arial Narrow" w:cs="Times New Roman"/>
                <w:sz w:val="20"/>
                <w:szCs w:val="20"/>
              </w:rPr>
              <w:t>Relapse after achieving disease remission at Week 26 (Week 52), n/N (%) </w:t>
            </w:r>
          </w:p>
        </w:tc>
        <w:tc>
          <w:tcPr>
            <w:tcW w:w="1499"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6DBA6185"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9/120 (7.5) </w:t>
            </w:r>
          </w:p>
        </w:tc>
        <w:tc>
          <w:tcPr>
            <w:tcW w:w="1499"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223C2766"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14/115 (12.2) </w:t>
            </w:r>
          </w:p>
        </w:tc>
        <w:tc>
          <w:tcPr>
            <w:tcW w:w="168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78C04619"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-4.7  </w:t>
            </w:r>
            <w:r w:rsidRPr="0099114C">
              <w:rPr>
                <w:rFonts w:ascii="Arial Narrow" w:hAnsi="Arial Narrow" w:cs="Times New Roman"/>
                <w:sz w:val="20"/>
                <w:szCs w:val="20"/>
              </w:rPr>
              <w:br/>
              <w:t>(-14.4, 2.4) </w:t>
            </w:r>
          </w:p>
        </w:tc>
        <w:tc>
          <w:tcPr>
            <w:tcW w:w="1363"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034E2951"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0.0810 </w:t>
            </w:r>
          </w:p>
        </w:tc>
      </w:tr>
      <w:tr w:rsidR="00222542" w:rsidRPr="0099114C" w14:paraId="67007610" w14:textId="77777777" w:rsidTr="0028314D">
        <w:trPr>
          <w:trHeight w:val="300"/>
        </w:trPr>
        <w:tc>
          <w:tcPr>
            <w:tcW w:w="9010" w:type="dxa"/>
            <w:gridSpan w:val="5"/>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078DD3BC" w14:textId="77777777" w:rsidR="00222542" w:rsidRPr="0099114C" w:rsidRDefault="00222542" w:rsidP="002E21D0">
            <w:pPr>
              <w:keepNext/>
              <w:jc w:val="left"/>
              <w:textAlignment w:val="baseline"/>
              <w:rPr>
                <w:rFonts w:ascii="Times New Roman" w:hAnsi="Times New Roman" w:cs="Times New Roman"/>
                <w:b/>
                <w:bCs/>
              </w:rPr>
            </w:pPr>
            <w:r w:rsidRPr="0099114C">
              <w:rPr>
                <w:rFonts w:ascii="Arial Narrow" w:hAnsi="Arial Narrow" w:cs="Times New Roman"/>
                <w:b/>
                <w:bCs/>
                <w:sz w:val="20"/>
                <w:szCs w:val="20"/>
              </w:rPr>
              <w:t>Changes in parameters of renal disease in patients with renal disease</w:t>
            </w:r>
            <w:r w:rsidRPr="0099114C">
              <w:rPr>
                <w:rFonts w:ascii="Arial Narrow" w:hAnsi="Arial Narrow" w:cs="Times New Roman"/>
                <w:b/>
                <w:bCs/>
                <w:sz w:val="16"/>
                <w:szCs w:val="16"/>
                <w:vertAlign w:val="superscript"/>
              </w:rPr>
              <w:t>a</w:t>
            </w:r>
            <w:r w:rsidRPr="0099114C">
              <w:rPr>
                <w:rFonts w:ascii="Arial Narrow" w:hAnsi="Arial Narrow" w:cs="Times New Roman"/>
                <w:b/>
                <w:bCs/>
                <w:sz w:val="16"/>
                <w:szCs w:val="16"/>
              </w:rPr>
              <w:t> </w:t>
            </w:r>
          </w:p>
        </w:tc>
      </w:tr>
      <w:tr w:rsidR="00222542" w:rsidRPr="0099114C" w14:paraId="49A42145" w14:textId="77777777" w:rsidTr="002E21D0">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17BE2872" w14:textId="77777777" w:rsidR="00222542" w:rsidRPr="0099114C" w:rsidRDefault="00222542" w:rsidP="002E21D0">
            <w:pPr>
              <w:keepNext/>
              <w:jc w:val="left"/>
              <w:textAlignment w:val="baseline"/>
              <w:rPr>
                <w:rFonts w:ascii="Times New Roman" w:hAnsi="Times New Roman" w:cs="Times New Roman"/>
              </w:rPr>
            </w:pPr>
            <w:r w:rsidRPr="0099114C">
              <w:rPr>
                <w:rFonts w:ascii="Arial Narrow" w:hAnsi="Arial Narrow" w:cs="Times New Roman"/>
                <w:b/>
                <w:bCs/>
                <w:sz w:val="20"/>
                <w:szCs w:val="20"/>
              </w:rPr>
              <w:t>eGFR, ml/min/1.73 m</w:t>
            </w:r>
            <w:r w:rsidRPr="0099114C">
              <w:rPr>
                <w:rFonts w:ascii="Arial Narrow" w:hAnsi="Arial Narrow" w:cs="Times New Roman"/>
                <w:b/>
                <w:bCs/>
                <w:sz w:val="16"/>
                <w:szCs w:val="16"/>
                <w:vertAlign w:val="superscript"/>
              </w:rPr>
              <w:t>2</w:t>
            </w:r>
            <w:r w:rsidRPr="0099114C">
              <w:rPr>
                <w:rFonts w:ascii="Arial Narrow" w:hAnsi="Arial Narrow" w:cs="Times New Roman"/>
                <w:b/>
                <w:bCs/>
                <w:sz w:val="20"/>
                <w:szCs w:val="20"/>
              </w:rPr>
              <w:t xml:space="preserve">, change from baseline (Week 26), </w:t>
            </w:r>
            <w:r w:rsidRPr="00857B0D">
              <w:rPr>
                <w:rFonts w:ascii="Arial Narrow" w:hAnsi="Arial Narrow" w:cs="Times New Roman"/>
                <w:b/>
                <w:bCs/>
                <w:sz w:val="20"/>
                <w:szCs w:val="20"/>
              </w:rPr>
              <w:t>LSM ± SE </w:t>
            </w:r>
            <w:r w:rsidRPr="0099114C">
              <w:rPr>
                <w:rFonts w:ascii="Arial Narrow" w:hAnsi="Arial Narrow" w:cs="Times New Roman"/>
                <w:sz w:val="20"/>
                <w:szCs w:val="20"/>
              </w:rPr>
              <w:t> </w:t>
            </w:r>
          </w:p>
        </w:tc>
        <w:tc>
          <w:tcPr>
            <w:tcW w:w="1499"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75224EB7"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b/>
                <w:bCs/>
                <w:sz w:val="20"/>
                <w:szCs w:val="20"/>
              </w:rPr>
              <w:t xml:space="preserve">5.8 </w:t>
            </w:r>
            <w:r w:rsidRPr="00857B0D">
              <w:rPr>
                <w:rFonts w:ascii="Arial Narrow" w:hAnsi="Arial Narrow" w:cs="Times New Roman"/>
                <w:b/>
                <w:bCs/>
                <w:sz w:val="20"/>
                <w:szCs w:val="20"/>
              </w:rPr>
              <w:t xml:space="preserve">± </w:t>
            </w:r>
            <w:r w:rsidRPr="0099114C">
              <w:rPr>
                <w:rFonts w:ascii="Arial Narrow" w:hAnsi="Arial Narrow" w:cs="Times New Roman"/>
                <w:b/>
                <w:bCs/>
                <w:sz w:val="20"/>
                <w:szCs w:val="20"/>
              </w:rPr>
              <w:t>1.0</w:t>
            </w:r>
            <w:r w:rsidRPr="0099114C">
              <w:rPr>
                <w:rFonts w:ascii="Arial Narrow" w:hAnsi="Arial Narrow" w:cs="Times New Roman"/>
                <w:sz w:val="20"/>
                <w:szCs w:val="20"/>
              </w:rPr>
              <w:t> </w:t>
            </w:r>
          </w:p>
          <w:p w14:paraId="4032B040"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b/>
                <w:bCs/>
                <w:sz w:val="20"/>
                <w:szCs w:val="20"/>
              </w:rPr>
              <w:t>(n=121)</w:t>
            </w:r>
            <w:r w:rsidRPr="0099114C">
              <w:rPr>
                <w:rFonts w:ascii="Arial Narrow" w:hAnsi="Arial Narrow" w:cs="Times New Roman"/>
                <w:sz w:val="20"/>
                <w:szCs w:val="20"/>
              </w:rPr>
              <w:t> </w:t>
            </w:r>
          </w:p>
        </w:tc>
        <w:tc>
          <w:tcPr>
            <w:tcW w:w="1499"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73A06522"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b/>
                <w:bCs/>
                <w:sz w:val="20"/>
                <w:szCs w:val="20"/>
              </w:rPr>
              <w:t xml:space="preserve">2.9 </w:t>
            </w:r>
            <w:r w:rsidRPr="00857B0D">
              <w:rPr>
                <w:rFonts w:ascii="Arial Narrow" w:hAnsi="Arial Narrow" w:cs="Times New Roman"/>
                <w:b/>
                <w:bCs/>
                <w:sz w:val="20"/>
                <w:szCs w:val="20"/>
              </w:rPr>
              <w:t xml:space="preserve">± </w:t>
            </w:r>
            <w:r w:rsidRPr="0099114C">
              <w:rPr>
                <w:rFonts w:ascii="Arial Narrow" w:hAnsi="Arial Narrow" w:cs="Times New Roman"/>
                <w:b/>
                <w:bCs/>
                <w:sz w:val="20"/>
                <w:szCs w:val="20"/>
              </w:rPr>
              <w:t>1.0</w:t>
            </w:r>
            <w:r w:rsidRPr="0099114C">
              <w:rPr>
                <w:rFonts w:ascii="Arial Narrow" w:hAnsi="Arial Narrow" w:cs="Times New Roman"/>
                <w:sz w:val="20"/>
                <w:szCs w:val="20"/>
              </w:rPr>
              <w:t> </w:t>
            </w:r>
          </w:p>
          <w:p w14:paraId="6B54BA0B"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b/>
                <w:bCs/>
                <w:sz w:val="20"/>
                <w:szCs w:val="20"/>
              </w:rPr>
              <w:t>(n=127)</w:t>
            </w:r>
            <w:r w:rsidRPr="0099114C">
              <w:rPr>
                <w:rFonts w:ascii="Arial Narrow" w:hAnsi="Arial Narrow" w:cs="Times New Roman"/>
                <w:sz w:val="20"/>
                <w:szCs w:val="20"/>
              </w:rPr>
              <w:t> </w:t>
            </w:r>
          </w:p>
        </w:tc>
        <w:tc>
          <w:tcPr>
            <w:tcW w:w="168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2C721908"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b/>
                <w:bCs/>
                <w:sz w:val="20"/>
                <w:szCs w:val="20"/>
              </w:rPr>
              <w:t xml:space="preserve">2.9 </w:t>
            </w:r>
            <w:r w:rsidRPr="0099114C">
              <w:rPr>
                <w:rFonts w:ascii="Arial Narrow" w:hAnsi="Arial Narrow" w:cs="Times New Roman"/>
                <w:sz w:val="20"/>
                <w:szCs w:val="20"/>
              </w:rPr>
              <w:t> </w:t>
            </w:r>
            <w:r w:rsidRPr="0099114C">
              <w:rPr>
                <w:rFonts w:ascii="Arial Narrow" w:hAnsi="Arial Narrow" w:cs="Times New Roman"/>
                <w:sz w:val="20"/>
                <w:szCs w:val="20"/>
              </w:rPr>
              <w:br/>
            </w:r>
            <w:r w:rsidRPr="0099114C">
              <w:rPr>
                <w:rFonts w:ascii="Arial Narrow" w:hAnsi="Arial Narrow" w:cs="Times New Roman"/>
                <w:b/>
                <w:bCs/>
                <w:sz w:val="20"/>
                <w:szCs w:val="20"/>
              </w:rPr>
              <w:t>(0.1, 5.8)</w:t>
            </w:r>
            <w:r w:rsidRPr="0099114C">
              <w:rPr>
                <w:rFonts w:ascii="Arial Narrow" w:hAnsi="Arial Narrow" w:cs="Times New Roman"/>
                <w:sz w:val="20"/>
                <w:szCs w:val="20"/>
              </w:rPr>
              <w:t> </w:t>
            </w:r>
          </w:p>
        </w:tc>
        <w:tc>
          <w:tcPr>
            <w:tcW w:w="1363"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30370413"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b/>
                <w:bCs/>
                <w:sz w:val="20"/>
                <w:szCs w:val="20"/>
              </w:rPr>
              <w:t>0.046</w:t>
            </w:r>
            <w:r w:rsidRPr="0099114C">
              <w:rPr>
                <w:rFonts w:ascii="Arial Narrow" w:hAnsi="Arial Narrow" w:cs="Times New Roman"/>
                <w:sz w:val="20"/>
                <w:szCs w:val="20"/>
              </w:rPr>
              <w:t> </w:t>
            </w:r>
          </w:p>
        </w:tc>
      </w:tr>
      <w:tr w:rsidR="00222542" w:rsidRPr="0099114C" w14:paraId="34CE5491" w14:textId="77777777" w:rsidTr="002E21D0">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389D4223" w14:textId="77777777" w:rsidR="00222542" w:rsidRPr="0099114C" w:rsidRDefault="00222542" w:rsidP="002E21D0">
            <w:pPr>
              <w:keepNext/>
              <w:jc w:val="left"/>
              <w:textAlignment w:val="baseline"/>
              <w:rPr>
                <w:rFonts w:ascii="Times New Roman" w:hAnsi="Times New Roman" w:cs="Times New Roman"/>
              </w:rPr>
            </w:pPr>
            <w:r w:rsidRPr="0099114C">
              <w:rPr>
                <w:rFonts w:ascii="Arial Narrow" w:hAnsi="Arial Narrow" w:cs="Times New Roman"/>
                <w:b/>
                <w:bCs/>
                <w:sz w:val="20"/>
                <w:szCs w:val="20"/>
              </w:rPr>
              <w:t>eGFR, ml/min/1.73 m</w:t>
            </w:r>
            <w:r w:rsidRPr="0099114C">
              <w:rPr>
                <w:rFonts w:ascii="Arial Narrow" w:hAnsi="Arial Narrow" w:cs="Times New Roman"/>
                <w:b/>
                <w:bCs/>
                <w:sz w:val="16"/>
                <w:szCs w:val="16"/>
                <w:vertAlign w:val="superscript"/>
              </w:rPr>
              <w:t>2</w:t>
            </w:r>
            <w:r w:rsidRPr="0099114C">
              <w:rPr>
                <w:rFonts w:ascii="Arial Narrow" w:hAnsi="Arial Narrow" w:cs="Times New Roman"/>
                <w:b/>
                <w:bCs/>
                <w:sz w:val="20"/>
                <w:szCs w:val="20"/>
              </w:rPr>
              <w:t xml:space="preserve">, change from baseline (Week 52), </w:t>
            </w:r>
            <w:r w:rsidRPr="00857B0D">
              <w:rPr>
                <w:rFonts w:ascii="Arial Narrow" w:hAnsi="Arial Narrow" w:cs="Times New Roman"/>
                <w:b/>
                <w:bCs/>
                <w:sz w:val="20"/>
                <w:szCs w:val="20"/>
              </w:rPr>
              <w:t>LSM ± SE </w:t>
            </w:r>
            <w:r w:rsidRPr="0099114C">
              <w:rPr>
                <w:rFonts w:ascii="Arial Narrow" w:hAnsi="Arial Narrow" w:cs="Times New Roman"/>
                <w:sz w:val="20"/>
                <w:szCs w:val="20"/>
              </w:rPr>
              <w:t> </w:t>
            </w:r>
          </w:p>
        </w:tc>
        <w:tc>
          <w:tcPr>
            <w:tcW w:w="1499"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03FF0C0A"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b/>
                <w:bCs/>
                <w:sz w:val="20"/>
                <w:szCs w:val="20"/>
              </w:rPr>
              <w:t xml:space="preserve">7.3 </w:t>
            </w:r>
            <w:r w:rsidRPr="00857B0D">
              <w:rPr>
                <w:rFonts w:ascii="Arial Narrow" w:hAnsi="Arial Narrow" w:cs="Times New Roman"/>
                <w:b/>
                <w:bCs/>
                <w:sz w:val="20"/>
                <w:szCs w:val="20"/>
              </w:rPr>
              <w:t xml:space="preserve">± </w:t>
            </w:r>
            <w:r w:rsidRPr="0099114C">
              <w:rPr>
                <w:rFonts w:ascii="Arial Narrow" w:hAnsi="Arial Narrow" w:cs="Times New Roman"/>
                <w:b/>
                <w:bCs/>
                <w:sz w:val="20"/>
                <w:szCs w:val="20"/>
              </w:rPr>
              <w:t>1.0</w:t>
            </w:r>
            <w:r w:rsidRPr="0099114C">
              <w:rPr>
                <w:rFonts w:ascii="Arial Narrow" w:hAnsi="Arial Narrow" w:cs="Times New Roman"/>
                <w:sz w:val="20"/>
                <w:szCs w:val="20"/>
              </w:rPr>
              <w:t> </w:t>
            </w:r>
          </w:p>
          <w:p w14:paraId="6A7D8E82"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b/>
                <w:bCs/>
                <w:sz w:val="20"/>
                <w:szCs w:val="20"/>
              </w:rPr>
              <w:t>(n=119)</w:t>
            </w:r>
            <w:r w:rsidRPr="0099114C">
              <w:rPr>
                <w:rFonts w:ascii="Arial Narrow" w:hAnsi="Arial Narrow" w:cs="Times New Roman"/>
                <w:sz w:val="20"/>
                <w:szCs w:val="20"/>
              </w:rPr>
              <w:t> </w:t>
            </w:r>
          </w:p>
        </w:tc>
        <w:tc>
          <w:tcPr>
            <w:tcW w:w="1499"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6DD0F7E0"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b/>
                <w:bCs/>
                <w:sz w:val="20"/>
                <w:szCs w:val="20"/>
              </w:rPr>
              <w:t xml:space="preserve">4.1 </w:t>
            </w:r>
            <w:r w:rsidRPr="00857B0D">
              <w:rPr>
                <w:rFonts w:ascii="Arial Narrow" w:hAnsi="Arial Narrow" w:cs="Times New Roman"/>
                <w:b/>
                <w:bCs/>
                <w:sz w:val="20"/>
                <w:szCs w:val="20"/>
              </w:rPr>
              <w:t xml:space="preserve">± </w:t>
            </w:r>
            <w:r w:rsidRPr="0099114C">
              <w:rPr>
                <w:rFonts w:ascii="Arial Narrow" w:hAnsi="Arial Narrow" w:cs="Times New Roman"/>
                <w:b/>
                <w:bCs/>
                <w:sz w:val="20"/>
                <w:szCs w:val="20"/>
              </w:rPr>
              <w:t>1.0</w:t>
            </w:r>
            <w:r w:rsidRPr="0099114C">
              <w:rPr>
                <w:rFonts w:ascii="Arial Narrow" w:hAnsi="Arial Narrow" w:cs="Times New Roman"/>
                <w:sz w:val="20"/>
                <w:szCs w:val="20"/>
              </w:rPr>
              <w:t> </w:t>
            </w:r>
          </w:p>
          <w:p w14:paraId="04C246BD"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b/>
                <w:bCs/>
                <w:sz w:val="20"/>
                <w:szCs w:val="20"/>
              </w:rPr>
              <w:t>(n=125)</w:t>
            </w:r>
            <w:r w:rsidRPr="0099114C">
              <w:rPr>
                <w:rFonts w:ascii="Arial Narrow" w:hAnsi="Arial Narrow" w:cs="Times New Roman"/>
                <w:sz w:val="20"/>
                <w:szCs w:val="20"/>
              </w:rPr>
              <w:t> </w:t>
            </w:r>
          </w:p>
        </w:tc>
        <w:tc>
          <w:tcPr>
            <w:tcW w:w="168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2C20659A"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b/>
                <w:bCs/>
                <w:sz w:val="20"/>
                <w:szCs w:val="20"/>
              </w:rPr>
              <w:t xml:space="preserve">3.2 </w:t>
            </w:r>
            <w:r w:rsidRPr="0099114C">
              <w:rPr>
                <w:rFonts w:ascii="Arial Narrow" w:hAnsi="Arial Narrow" w:cs="Times New Roman"/>
                <w:sz w:val="20"/>
                <w:szCs w:val="20"/>
              </w:rPr>
              <w:t> </w:t>
            </w:r>
            <w:r w:rsidRPr="0099114C">
              <w:rPr>
                <w:rFonts w:ascii="Arial Narrow" w:hAnsi="Arial Narrow" w:cs="Times New Roman"/>
                <w:sz w:val="20"/>
                <w:szCs w:val="20"/>
              </w:rPr>
              <w:br/>
            </w:r>
            <w:r w:rsidRPr="0099114C">
              <w:rPr>
                <w:rFonts w:ascii="Arial Narrow" w:hAnsi="Arial Narrow" w:cs="Times New Roman"/>
                <w:b/>
                <w:bCs/>
                <w:sz w:val="20"/>
                <w:szCs w:val="20"/>
              </w:rPr>
              <w:t>(0.3, 6.1)</w:t>
            </w:r>
            <w:r w:rsidRPr="0099114C">
              <w:rPr>
                <w:rFonts w:ascii="Arial Narrow" w:hAnsi="Arial Narrow" w:cs="Times New Roman"/>
                <w:sz w:val="20"/>
                <w:szCs w:val="20"/>
              </w:rPr>
              <w:t> </w:t>
            </w:r>
          </w:p>
        </w:tc>
        <w:tc>
          <w:tcPr>
            <w:tcW w:w="1363"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71E68D79"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b/>
                <w:bCs/>
                <w:sz w:val="20"/>
                <w:szCs w:val="20"/>
              </w:rPr>
              <w:t>0.029</w:t>
            </w:r>
            <w:r w:rsidRPr="0099114C">
              <w:rPr>
                <w:rFonts w:ascii="Arial Narrow" w:hAnsi="Arial Narrow" w:cs="Times New Roman"/>
                <w:sz w:val="20"/>
                <w:szCs w:val="20"/>
              </w:rPr>
              <w:t> </w:t>
            </w:r>
          </w:p>
        </w:tc>
      </w:tr>
      <w:tr w:rsidR="00222542" w:rsidRPr="0099114C" w14:paraId="541E5FFF" w14:textId="77777777" w:rsidTr="002E21D0">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6A8F1105" w14:textId="77777777" w:rsidR="00222542" w:rsidRPr="0099114C" w:rsidRDefault="00222542" w:rsidP="002E21D0">
            <w:pPr>
              <w:keepNext/>
              <w:jc w:val="left"/>
              <w:textAlignment w:val="baseline"/>
              <w:rPr>
                <w:rFonts w:ascii="Times New Roman" w:hAnsi="Times New Roman" w:cs="Times New Roman"/>
              </w:rPr>
            </w:pPr>
            <w:r w:rsidRPr="0099114C">
              <w:rPr>
                <w:rFonts w:ascii="Arial Narrow" w:hAnsi="Arial Narrow" w:cs="Times New Roman"/>
                <w:sz w:val="20"/>
                <w:szCs w:val="20"/>
              </w:rPr>
              <w:t xml:space="preserve">UACR, change from baseline (Week 52), </w:t>
            </w:r>
            <w:r w:rsidRPr="00857B0D">
              <w:rPr>
                <w:rFonts w:ascii="Arial Narrow" w:hAnsi="Arial Narrow" w:cs="Times New Roman"/>
                <w:sz w:val="20"/>
                <w:szCs w:val="20"/>
              </w:rPr>
              <w:t>LSM ± SE</w:t>
            </w:r>
            <w:r w:rsidRPr="0099114C">
              <w:rPr>
                <w:rFonts w:ascii="Arial Narrow" w:hAnsi="Arial Narrow" w:cs="Times New Roman"/>
                <w:sz w:val="20"/>
                <w:szCs w:val="20"/>
              </w:rPr>
              <w:t> </w:t>
            </w:r>
          </w:p>
        </w:tc>
        <w:tc>
          <w:tcPr>
            <w:tcW w:w="1499"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0D8CDE90"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 xml:space="preserve">0.26 </w:t>
            </w:r>
            <w:r w:rsidRPr="00857B0D">
              <w:rPr>
                <w:rFonts w:ascii="Arial Narrow" w:hAnsi="Arial Narrow" w:cs="Times New Roman"/>
                <w:sz w:val="20"/>
                <w:szCs w:val="20"/>
              </w:rPr>
              <w:t xml:space="preserve">± </w:t>
            </w:r>
            <w:r w:rsidRPr="0099114C">
              <w:rPr>
                <w:rFonts w:ascii="Arial Narrow" w:hAnsi="Arial Narrow" w:cs="Times New Roman"/>
                <w:sz w:val="20"/>
                <w:szCs w:val="20"/>
              </w:rPr>
              <w:t>1.1 </w:t>
            </w:r>
          </w:p>
          <w:p w14:paraId="7042E372"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(n=109) </w:t>
            </w:r>
          </w:p>
        </w:tc>
        <w:tc>
          <w:tcPr>
            <w:tcW w:w="1499"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511C81E7"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 xml:space="preserve">0.23 </w:t>
            </w:r>
            <w:r w:rsidRPr="00857B0D">
              <w:rPr>
                <w:rFonts w:ascii="Arial Narrow" w:hAnsi="Arial Narrow" w:cs="Times New Roman"/>
                <w:sz w:val="20"/>
                <w:szCs w:val="20"/>
              </w:rPr>
              <w:t xml:space="preserve">± </w:t>
            </w:r>
            <w:r w:rsidRPr="0099114C">
              <w:rPr>
                <w:rFonts w:ascii="Arial Narrow" w:hAnsi="Arial Narrow" w:cs="Times New Roman"/>
                <w:sz w:val="20"/>
                <w:szCs w:val="20"/>
              </w:rPr>
              <w:t>1.1 </w:t>
            </w:r>
          </w:p>
          <w:p w14:paraId="4DB04D90"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(n=114) </w:t>
            </w:r>
          </w:p>
        </w:tc>
        <w:tc>
          <w:tcPr>
            <w:tcW w:w="168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7F9C748F"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1.12 </w:t>
            </w:r>
            <w:r w:rsidRPr="0099114C">
              <w:rPr>
                <w:rFonts w:ascii="Arial Narrow" w:hAnsi="Arial Narrow" w:cs="Times New Roman"/>
                <w:sz w:val="20"/>
                <w:szCs w:val="20"/>
              </w:rPr>
              <w:br/>
              <w:t>(0.86, 1.45) </w:t>
            </w:r>
          </w:p>
        </w:tc>
        <w:tc>
          <w:tcPr>
            <w:tcW w:w="1363"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30309DB1"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0.3991 </w:t>
            </w:r>
          </w:p>
        </w:tc>
      </w:tr>
      <w:tr w:rsidR="00222542" w:rsidRPr="0099114C" w14:paraId="0518D5CC" w14:textId="77777777" w:rsidTr="002E21D0">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2C55AB87" w14:textId="77777777" w:rsidR="00222542" w:rsidRPr="0099114C" w:rsidRDefault="00222542" w:rsidP="002E21D0">
            <w:pPr>
              <w:keepNext/>
              <w:jc w:val="left"/>
              <w:textAlignment w:val="baseline"/>
              <w:rPr>
                <w:rFonts w:ascii="Times New Roman" w:hAnsi="Times New Roman" w:cs="Times New Roman"/>
              </w:rPr>
            </w:pPr>
            <w:r w:rsidRPr="0099114C">
              <w:rPr>
                <w:rFonts w:ascii="Arial Narrow" w:hAnsi="Arial Narrow" w:cs="Times New Roman"/>
                <w:b/>
                <w:bCs/>
                <w:sz w:val="20"/>
                <w:szCs w:val="20"/>
              </w:rPr>
              <w:t xml:space="preserve">Urinary MCP-1 to creatinine ratio, change from baseline (Week 13), </w:t>
            </w:r>
            <w:r w:rsidRPr="00857B0D">
              <w:rPr>
                <w:rFonts w:ascii="Arial Narrow" w:hAnsi="Arial Narrow" w:cs="Times New Roman"/>
                <w:b/>
                <w:bCs/>
                <w:sz w:val="20"/>
                <w:szCs w:val="20"/>
              </w:rPr>
              <w:t>LSM ± SE</w:t>
            </w:r>
            <w:r w:rsidRPr="0099114C">
              <w:rPr>
                <w:rFonts w:ascii="Arial Narrow" w:hAnsi="Arial Narrow" w:cs="Times New Roman"/>
                <w:sz w:val="20"/>
                <w:szCs w:val="20"/>
              </w:rPr>
              <w:t> </w:t>
            </w:r>
          </w:p>
        </w:tc>
        <w:tc>
          <w:tcPr>
            <w:tcW w:w="1499"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6DA2377A"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b/>
                <w:bCs/>
                <w:sz w:val="20"/>
                <w:szCs w:val="20"/>
              </w:rPr>
              <w:t xml:space="preserve">0.41 </w:t>
            </w:r>
            <w:r w:rsidRPr="00857B0D">
              <w:rPr>
                <w:rFonts w:ascii="Arial Narrow" w:hAnsi="Arial Narrow" w:cs="Times New Roman"/>
                <w:b/>
                <w:bCs/>
                <w:sz w:val="20"/>
                <w:szCs w:val="20"/>
              </w:rPr>
              <w:t xml:space="preserve">± </w:t>
            </w:r>
            <w:r w:rsidRPr="0099114C">
              <w:rPr>
                <w:rFonts w:ascii="Arial Narrow" w:hAnsi="Arial Narrow" w:cs="Times New Roman"/>
                <w:b/>
                <w:bCs/>
                <w:sz w:val="20"/>
                <w:szCs w:val="20"/>
              </w:rPr>
              <w:t>1.06</w:t>
            </w:r>
            <w:r w:rsidRPr="0099114C">
              <w:rPr>
                <w:rFonts w:ascii="Arial Narrow" w:hAnsi="Arial Narrow" w:cs="Times New Roman"/>
                <w:sz w:val="20"/>
                <w:szCs w:val="20"/>
              </w:rPr>
              <w:t> </w:t>
            </w:r>
          </w:p>
          <w:p w14:paraId="03373092"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b/>
                <w:bCs/>
                <w:sz w:val="20"/>
                <w:szCs w:val="20"/>
              </w:rPr>
              <w:t>(n=113)</w:t>
            </w:r>
            <w:r w:rsidRPr="0099114C">
              <w:rPr>
                <w:rFonts w:ascii="Arial Narrow" w:hAnsi="Arial Narrow" w:cs="Times New Roman"/>
                <w:sz w:val="20"/>
                <w:szCs w:val="20"/>
              </w:rPr>
              <w:t> </w:t>
            </w:r>
          </w:p>
        </w:tc>
        <w:tc>
          <w:tcPr>
            <w:tcW w:w="1499"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774EFE38"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b/>
                <w:bCs/>
                <w:sz w:val="20"/>
                <w:szCs w:val="20"/>
              </w:rPr>
              <w:t xml:space="preserve">0.48 </w:t>
            </w:r>
            <w:r w:rsidRPr="00857B0D">
              <w:rPr>
                <w:rFonts w:ascii="Arial Narrow" w:hAnsi="Arial Narrow" w:cs="Times New Roman"/>
                <w:b/>
                <w:bCs/>
                <w:sz w:val="20"/>
                <w:szCs w:val="20"/>
              </w:rPr>
              <w:t xml:space="preserve">± </w:t>
            </w:r>
            <w:r w:rsidRPr="0099114C">
              <w:rPr>
                <w:rFonts w:ascii="Arial Narrow" w:hAnsi="Arial Narrow" w:cs="Times New Roman"/>
                <w:b/>
                <w:bCs/>
                <w:sz w:val="20"/>
                <w:szCs w:val="20"/>
              </w:rPr>
              <w:t>1.06</w:t>
            </w:r>
            <w:r w:rsidRPr="0099114C">
              <w:rPr>
                <w:rFonts w:ascii="Arial Narrow" w:hAnsi="Arial Narrow" w:cs="Times New Roman"/>
                <w:sz w:val="20"/>
                <w:szCs w:val="20"/>
              </w:rPr>
              <w:t> </w:t>
            </w:r>
          </w:p>
          <w:p w14:paraId="2C7B987E"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b/>
                <w:bCs/>
                <w:sz w:val="20"/>
                <w:szCs w:val="20"/>
              </w:rPr>
              <w:t>(n=120)</w:t>
            </w:r>
            <w:r w:rsidRPr="0099114C">
              <w:rPr>
                <w:rFonts w:ascii="Arial Narrow" w:hAnsi="Arial Narrow" w:cs="Times New Roman"/>
                <w:sz w:val="20"/>
                <w:szCs w:val="20"/>
              </w:rPr>
              <w:t> </w:t>
            </w:r>
          </w:p>
        </w:tc>
        <w:tc>
          <w:tcPr>
            <w:tcW w:w="168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1C95E4C7"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b/>
                <w:bCs/>
                <w:sz w:val="20"/>
                <w:szCs w:val="20"/>
              </w:rPr>
              <w:t xml:space="preserve">0.85 </w:t>
            </w:r>
            <w:r w:rsidRPr="0099114C">
              <w:rPr>
                <w:rFonts w:ascii="Arial Narrow" w:hAnsi="Arial Narrow" w:cs="Times New Roman"/>
                <w:sz w:val="20"/>
                <w:szCs w:val="20"/>
              </w:rPr>
              <w:t> </w:t>
            </w:r>
            <w:r w:rsidRPr="0099114C">
              <w:rPr>
                <w:rFonts w:ascii="Arial Narrow" w:hAnsi="Arial Narrow" w:cs="Times New Roman"/>
                <w:sz w:val="20"/>
                <w:szCs w:val="20"/>
              </w:rPr>
              <w:br/>
            </w:r>
            <w:r w:rsidRPr="0099114C">
              <w:rPr>
                <w:rFonts w:ascii="Arial Narrow" w:hAnsi="Arial Narrow" w:cs="Times New Roman"/>
                <w:b/>
                <w:bCs/>
                <w:sz w:val="20"/>
                <w:szCs w:val="20"/>
              </w:rPr>
              <w:t>(0.72, 0.99)</w:t>
            </w:r>
            <w:r w:rsidRPr="0099114C">
              <w:rPr>
                <w:rFonts w:ascii="Arial Narrow" w:hAnsi="Arial Narrow" w:cs="Times New Roman"/>
                <w:sz w:val="20"/>
                <w:szCs w:val="20"/>
              </w:rPr>
              <w:t> </w:t>
            </w:r>
          </w:p>
        </w:tc>
        <w:tc>
          <w:tcPr>
            <w:tcW w:w="1363"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3D767950"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b/>
                <w:bCs/>
                <w:sz w:val="20"/>
                <w:szCs w:val="20"/>
              </w:rPr>
              <w:t>0.0339</w:t>
            </w:r>
            <w:r w:rsidRPr="0099114C">
              <w:rPr>
                <w:rFonts w:ascii="Arial Narrow" w:hAnsi="Arial Narrow" w:cs="Times New Roman"/>
                <w:sz w:val="20"/>
                <w:szCs w:val="20"/>
              </w:rPr>
              <w:t> </w:t>
            </w:r>
          </w:p>
        </w:tc>
      </w:tr>
      <w:tr w:rsidR="00222542" w:rsidRPr="0099114C" w14:paraId="7AE36603" w14:textId="77777777" w:rsidTr="002E21D0">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24CE9D85" w14:textId="77777777" w:rsidR="00222542" w:rsidRPr="0099114C" w:rsidRDefault="00222542" w:rsidP="002E21D0">
            <w:pPr>
              <w:keepNext/>
              <w:jc w:val="left"/>
              <w:textAlignment w:val="baseline"/>
              <w:rPr>
                <w:rFonts w:ascii="Times New Roman" w:hAnsi="Times New Roman" w:cs="Times New Roman"/>
              </w:rPr>
            </w:pPr>
            <w:r w:rsidRPr="0099114C">
              <w:rPr>
                <w:rFonts w:ascii="Arial Narrow" w:hAnsi="Arial Narrow" w:cs="Times New Roman"/>
                <w:sz w:val="20"/>
                <w:szCs w:val="20"/>
              </w:rPr>
              <w:t xml:space="preserve">Urinary MCP-1 to creatinine ratio, change from baseline (Week 52), </w:t>
            </w:r>
            <w:r w:rsidRPr="00857B0D">
              <w:rPr>
                <w:rFonts w:ascii="Arial Narrow" w:hAnsi="Arial Narrow" w:cs="Times New Roman"/>
                <w:sz w:val="20"/>
                <w:szCs w:val="20"/>
              </w:rPr>
              <w:t>LSM ± SE</w:t>
            </w:r>
            <w:r w:rsidRPr="0099114C">
              <w:rPr>
                <w:rFonts w:ascii="Arial Narrow" w:hAnsi="Arial Narrow" w:cs="Times New Roman"/>
                <w:sz w:val="20"/>
                <w:szCs w:val="20"/>
              </w:rPr>
              <w:t> </w:t>
            </w:r>
          </w:p>
        </w:tc>
        <w:tc>
          <w:tcPr>
            <w:tcW w:w="1499"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257DC9D0"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 xml:space="preserve">0.27 </w:t>
            </w:r>
            <w:r w:rsidRPr="00857B0D">
              <w:rPr>
                <w:rFonts w:ascii="Arial Narrow" w:hAnsi="Arial Narrow" w:cs="Times New Roman"/>
                <w:sz w:val="20"/>
                <w:szCs w:val="20"/>
              </w:rPr>
              <w:t xml:space="preserve">± </w:t>
            </w:r>
            <w:r w:rsidRPr="0099114C">
              <w:rPr>
                <w:rFonts w:ascii="Arial Narrow" w:hAnsi="Arial Narrow" w:cs="Times New Roman"/>
                <w:sz w:val="20"/>
                <w:szCs w:val="20"/>
              </w:rPr>
              <w:t>1.06 </w:t>
            </w:r>
          </w:p>
          <w:p w14:paraId="65B409E0"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(n=106) </w:t>
            </w:r>
          </w:p>
        </w:tc>
        <w:tc>
          <w:tcPr>
            <w:tcW w:w="1499"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46EBC3FF"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 xml:space="preserve">0.29 </w:t>
            </w:r>
            <w:r w:rsidRPr="00857B0D">
              <w:rPr>
                <w:rFonts w:ascii="Arial Narrow" w:hAnsi="Arial Narrow" w:cs="Times New Roman"/>
                <w:sz w:val="20"/>
                <w:szCs w:val="20"/>
              </w:rPr>
              <w:t xml:space="preserve">± </w:t>
            </w:r>
            <w:r w:rsidRPr="0099114C">
              <w:rPr>
                <w:rFonts w:ascii="Arial Narrow" w:hAnsi="Arial Narrow" w:cs="Times New Roman"/>
                <w:sz w:val="20"/>
                <w:szCs w:val="20"/>
              </w:rPr>
              <w:t>1.06 </w:t>
            </w:r>
          </w:p>
          <w:p w14:paraId="5DCADD82"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(n=108) </w:t>
            </w:r>
          </w:p>
        </w:tc>
        <w:tc>
          <w:tcPr>
            <w:tcW w:w="168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4AA0B631"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0.90  </w:t>
            </w:r>
            <w:r w:rsidRPr="0099114C">
              <w:rPr>
                <w:rFonts w:ascii="Arial Narrow" w:hAnsi="Arial Narrow" w:cs="Times New Roman"/>
                <w:sz w:val="20"/>
                <w:szCs w:val="20"/>
              </w:rPr>
              <w:br/>
              <w:t>(0.77, 1.06) </w:t>
            </w:r>
          </w:p>
        </w:tc>
        <w:tc>
          <w:tcPr>
            <w:tcW w:w="1363"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127A5A35" w14:textId="77777777" w:rsidR="00222542" w:rsidRPr="0099114C" w:rsidRDefault="00222542" w:rsidP="002E21D0">
            <w:pPr>
              <w:keepNext/>
              <w:jc w:val="center"/>
              <w:textAlignment w:val="baseline"/>
              <w:rPr>
                <w:rFonts w:ascii="Times New Roman" w:hAnsi="Times New Roman" w:cs="Times New Roman"/>
              </w:rPr>
            </w:pPr>
            <w:r w:rsidRPr="0099114C">
              <w:rPr>
                <w:rFonts w:ascii="Arial Narrow" w:hAnsi="Arial Narrow" w:cs="Times New Roman"/>
                <w:sz w:val="20"/>
                <w:szCs w:val="20"/>
              </w:rPr>
              <w:t>0.2223 </w:t>
            </w:r>
          </w:p>
        </w:tc>
      </w:tr>
    </w:tbl>
    <w:p w14:paraId="00CD7B3A" w14:textId="68230045" w:rsidR="00222542" w:rsidRPr="0099114C" w:rsidRDefault="00222542" w:rsidP="002E21D0">
      <w:pPr>
        <w:keepNext/>
        <w:textAlignment w:val="baseline"/>
        <w:rPr>
          <w:rFonts w:ascii="Segoe UI" w:hAnsi="Segoe UI" w:cs="Segoe UI"/>
          <w:sz w:val="18"/>
          <w:szCs w:val="18"/>
        </w:rPr>
      </w:pPr>
      <w:r w:rsidRPr="0099114C">
        <w:rPr>
          <w:rFonts w:ascii="Arial Narrow" w:hAnsi="Arial Narrow" w:cs="Segoe UI"/>
          <w:sz w:val="18"/>
          <w:szCs w:val="18"/>
        </w:rPr>
        <w:t>Source: Section 2.5, pp83-105 of the resubmission</w:t>
      </w:r>
      <w:r w:rsidR="0099114C">
        <w:rPr>
          <w:rFonts w:ascii="Arial Narrow" w:hAnsi="Arial Narrow" w:cs="Segoe UI"/>
          <w:sz w:val="18"/>
          <w:szCs w:val="18"/>
        </w:rPr>
        <w:t xml:space="preserve">. </w:t>
      </w:r>
    </w:p>
    <w:p w14:paraId="65FD168B" w14:textId="1EF5C8E7" w:rsidR="00222542" w:rsidRPr="0099114C" w:rsidRDefault="00222542" w:rsidP="002E21D0">
      <w:pPr>
        <w:keepNext/>
        <w:textAlignment w:val="baseline"/>
        <w:rPr>
          <w:rFonts w:ascii="Segoe UI" w:hAnsi="Segoe UI" w:cs="Segoe UI"/>
          <w:sz w:val="18"/>
          <w:szCs w:val="18"/>
        </w:rPr>
      </w:pPr>
      <w:r w:rsidRPr="0099114C">
        <w:rPr>
          <w:rFonts w:ascii="Arial Narrow" w:hAnsi="Arial Narrow" w:cs="Segoe UI"/>
          <w:sz w:val="18"/>
          <w:szCs w:val="18"/>
        </w:rPr>
        <w:t>Abbreviations: BVAS,  Birmingham Vasculitis Activity Score; CI, confidence interval; eGFR, estimated glomerular filtration rate; EQ-5D-5L, EuroQuality of Life-5 Domains-5 Levels; GC, glucocorticoids; GTI-AIS, Glucocorticoid Toxicity Index Aggregate Improvement Score; GTI-CWS, Glucocorticoid Toxicity Index Cumulative Worsening Score; HRQoL, health related quality of life; ITT, intention to treat; LSM, least-squares mean; MCP-1, monocyte chemoattractant protein-1; SE, standard error; SF-36v2, Short Form-36 version 2; SOC, standard of care; UACR, urinary albumin: creatinine ratio; VAS, Visual Analogue Scale; VDI, Vasculitis Damage Index</w:t>
      </w:r>
      <w:r w:rsidR="0099114C">
        <w:rPr>
          <w:rFonts w:ascii="Arial Narrow" w:hAnsi="Arial Narrow" w:cs="Segoe UI"/>
          <w:sz w:val="18"/>
          <w:szCs w:val="18"/>
        </w:rPr>
        <w:t xml:space="preserve">. </w:t>
      </w:r>
      <w:r w:rsidRPr="0099114C">
        <w:rPr>
          <w:rFonts w:ascii="Arial Narrow" w:hAnsi="Arial Narrow" w:cs="Segoe UI"/>
          <w:sz w:val="18"/>
          <w:szCs w:val="18"/>
        </w:rPr>
        <w:t> </w:t>
      </w:r>
    </w:p>
    <w:p w14:paraId="3956AE5C" w14:textId="5327FFDC" w:rsidR="00222542" w:rsidRPr="0099114C" w:rsidRDefault="00222542" w:rsidP="002E21D0">
      <w:pPr>
        <w:keepNext/>
        <w:textAlignment w:val="baseline"/>
        <w:rPr>
          <w:rFonts w:ascii="Segoe UI" w:hAnsi="Segoe UI" w:cs="Segoe UI"/>
          <w:sz w:val="18"/>
          <w:szCs w:val="18"/>
        </w:rPr>
      </w:pPr>
      <w:r w:rsidRPr="0099114C">
        <w:rPr>
          <w:rFonts w:ascii="Arial Narrow" w:hAnsi="Arial Narrow" w:cs="Segoe UI"/>
          <w:sz w:val="18"/>
          <w:szCs w:val="18"/>
          <w:vertAlign w:val="superscript"/>
        </w:rPr>
        <w:t>a</w:t>
      </w:r>
      <w:r w:rsidRPr="0099114C">
        <w:rPr>
          <w:rFonts w:ascii="Arial Narrow" w:hAnsi="Arial Narrow" w:cs="Segoe UI"/>
          <w:sz w:val="18"/>
          <w:szCs w:val="18"/>
        </w:rPr>
        <w:t xml:space="preserve"> </w:t>
      </w:r>
      <w:r w:rsidR="00641368" w:rsidRPr="0099114C">
        <w:rPr>
          <w:rFonts w:ascii="Arial Narrow" w:hAnsi="Arial Narrow" w:cs="Segoe UI"/>
          <w:sz w:val="18"/>
          <w:szCs w:val="18"/>
        </w:rPr>
        <w:t>p</w:t>
      </w:r>
      <w:r w:rsidRPr="0099114C">
        <w:rPr>
          <w:rFonts w:ascii="Arial Narrow" w:hAnsi="Arial Narrow" w:cs="Segoe UI"/>
          <w:sz w:val="18"/>
          <w:szCs w:val="18"/>
        </w:rPr>
        <w:t>atients with renal disease at baseline (based on BVAS). Avacopan + SOC: N=134; prednisone + SOC: N=134</w:t>
      </w:r>
      <w:r w:rsidR="0099114C">
        <w:rPr>
          <w:rFonts w:ascii="Arial Narrow" w:hAnsi="Arial Narrow" w:cs="Segoe UI"/>
          <w:sz w:val="18"/>
          <w:szCs w:val="18"/>
        </w:rPr>
        <w:t xml:space="preserve">. </w:t>
      </w:r>
    </w:p>
    <w:p w14:paraId="4D6BD8E3" w14:textId="77777777" w:rsidR="00222542" w:rsidRPr="0099114C" w:rsidRDefault="00222542" w:rsidP="002E21D0">
      <w:pPr>
        <w:keepNext/>
        <w:textAlignment w:val="baseline"/>
        <w:rPr>
          <w:rFonts w:ascii="Arial Narrow" w:hAnsi="Arial Narrow" w:cs="Segoe UI"/>
          <w:sz w:val="18"/>
          <w:szCs w:val="18"/>
        </w:rPr>
      </w:pPr>
      <w:r w:rsidRPr="0099114C">
        <w:rPr>
          <w:rFonts w:ascii="Arial Narrow" w:hAnsi="Arial Narrow" w:cs="Segoe UI"/>
          <w:b/>
          <w:bCs/>
          <w:sz w:val="18"/>
          <w:szCs w:val="18"/>
        </w:rPr>
        <w:t xml:space="preserve">Bold </w:t>
      </w:r>
      <w:r w:rsidRPr="0099114C">
        <w:rPr>
          <w:rFonts w:ascii="Arial Narrow" w:hAnsi="Arial Narrow" w:cs="Segoe UI"/>
          <w:sz w:val="18"/>
          <w:szCs w:val="18"/>
        </w:rPr>
        <w:t>indicates statistically significant results.</w:t>
      </w:r>
    </w:p>
    <w:p w14:paraId="3D6C51A9" w14:textId="77777777" w:rsidR="00222542" w:rsidRPr="0099114C" w:rsidRDefault="00222542" w:rsidP="00222542">
      <w:pPr>
        <w:pStyle w:val="FooterTableFigure"/>
        <w:rPr>
          <w:rStyle w:val="normaltextrun"/>
          <w:color w:val="000000"/>
          <w:szCs w:val="18"/>
          <w:shd w:val="clear" w:color="auto" w:fill="FFFFFF"/>
        </w:rPr>
      </w:pPr>
      <w:r w:rsidRPr="0099114C">
        <w:rPr>
          <w:rStyle w:val="normaltextrun"/>
          <w:color w:val="000000"/>
          <w:szCs w:val="18"/>
          <w:shd w:val="clear" w:color="auto" w:fill="8EAADB" w:themeFill="accent1" w:themeFillTint="99"/>
        </w:rPr>
        <w:t>Blue Shading</w:t>
      </w:r>
      <w:r w:rsidRPr="0099114C">
        <w:rPr>
          <w:rStyle w:val="normaltextrun"/>
          <w:color w:val="000000"/>
          <w:szCs w:val="18"/>
          <w:shd w:val="clear" w:color="auto" w:fill="FFFFFF"/>
        </w:rPr>
        <w:t xml:space="preserve"> indicates data previously seen by the PBAC</w:t>
      </w:r>
    </w:p>
    <w:p w14:paraId="40C040E5" w14:textId="77777777" w:rsidR="00222542" w:rsidRPr="0099114C" w:rsidRDefault="00222542" w:rsidP="0028314D">
      <w:pPr>
        <w:pStyle w:val="3-BodyText"/>
        <w:keepNext/>
        <w:rPr>
          <w:rStyle w:val="normaltextrun"/>
          <w:color w:val="0066FF"/>
        </w:rPr>
      </w:pPr>
      <w:r w:rsidRPr="0099114C">
        <w:rPr>
          <w:rStyle w:val="normaltextrun"/>
          <w:rFonts w:cs="Calibri"/>
          <w:color w:val="000000"/>
          <w:shd w:val="clear" w:color="auto" w:fill="FFFFFF"/>
        </w:rPr>
        <w:t xml:space="preserve">Avacopan + SOC showed statistically significant improvement in several patient-relevant secondary outcomes, including reduced GC-induced toxicity on both the GTI-CWS and GTI-AIS, improved HRQoL on the EQ-5D-5L visual analogue scale (VAS) and Index score, and improved renal disease parameters. Furthermore, the rate of relapse at any time during the study after complete remission was reduced significantly by </w:t>
      </w:r>
      <w:r w:rsidRPr="0099114C">
        <w:rPr>
          <w:rStyle w:val="normaltextrun"/>
          <w:rFonts w:cs="Calibri"/>
          <w:color w:val="000000"/>
          <w:shd w:val="clear" w:color="auto" w:fill="FFFFFF"/>
        </w:rPr>
        <w:lastRenderedPageBreak/>
        <w:t>54% (hazard ratio [HR] 0.46, 95% CI: 0.25, 0.84; p=0.0091) in the avacopan group + SOC (10.1%) compared to the prednisone + SOC group (21.0%).</w:t>
      </w:r>
    </w:p>
    <w:p w14:paraId="2A866EA1" w14:textId="77777777" w:rsidR="00222542" w:rsidRPr="0099114C" w:rsidRDefault="00222542" w:rsidP="00222542">
      <w:pPr>
        <w:pStyle w:val="3-BodyText"/>
        <w:rPr>
          <w:color w:val="0066FF"/>
        </w:rPr>
      </w:pPr>
      <w:r w:rsidRPr="0099114C">
        <w:rPr>
          <w:rStyle w:val="normaltextrun"/>
          <w:rFonts w:cs="Calibri"/>
          <w:color w:val="000000"/>
          <w:shd w:val="clear" w:color="auto" w:fill="FFFFFF"/>
        </w:rPr>
        <w:t>There was a clinically significant improvement in GTI-CWS and GTI-AIS at Week 13 and Week 26 since all GTI score improvements were greater than the pre-defined MCID of 10 points. However, the MCID may not be applicable to GTI-CWS since the data used to calculate the MCID was based on GTI-AIS assessments, which could be important considering the differences in their definitions; GTI-CWS measures cumulative GC toxicity, regardless of whether it is permanent or transient, whereas GTI-AIS measures both deterioration and improvement in GC toxicity.</w:t>
      </w:r>
    </w:p>
    <w:p w14:paraId="03D4B1E8" w14:textId="3DB0CBBE" w:rsidR="00E01F1A" w:rsidRPr="0099114C" w:rsidRDefault="00E01F1A" w:rsidP="00E01F1A">
      <w:pPr>
        <w:pStyle w:val="3-BodyText"/>
        <w:rPr>
          <w:rStyle w:val="normaltextrun"/>
        </w:rPr>
      </w:pPr>
      <w:r w:rsidRPr="0099114C">
        <w:rPr>
          <w:rStyle w:val="normaltextrun"/>
        </w:rPr>
        <w:t>The resubmission also highlighted the results of an exploratory analysis presented in the previous submission demonstrating a divergence in the Kaplan-Meier curve (</w:t>
      </w:r>
      <w:r w:rsidR="00DF4FDA" w:rsidRPr="0099114C">
        <w:rPr>
          <w:rStyle w:val="normaltextrun"/>
        </w:rPr>
        <w:fldChar w:fldCharType="begin" w:fldLock="1"/>
      </w:r>
      <w:r w:rsidR="00DF4FDA" w:rsidRPr="0099114C">
        <w:rPr>
          <w:rStyle w:val="normaltextrun"/>
        </w:rPr>
        <w:instrText xml:space="preserve"> REF _Ref155864704 \h </w:instrText>
      </w:r>
      <w:r w:rsidR="003C1D5F" w:rsidRPr="0099114C">
        <w:rPr>
          <w:rStyle w:val="normaltextrun"/>
        </w:rPr>
        <w:instrText xml:space="preserve"> \* MERGEFORMAT </w:instrText>
      </w:r>
      <w:r w:rsidR="00DF4FDA" w:rsidRPr="0099114C">
        <w:rPr>
          <w:rStyle w:val="normaltextrun"/>
        </w:rPr>
      </w:r>
      <w:r w:rsidR="00DF4FDA" w:rsidRPr="0099114C">
        <w:rPr>
          <w:rStyle w:val="normaltextrun"/>
        </w:rPr>
        <w:fldChar w:fldCharType="separate"/>
      </w:r>
      <w:r w:rsidR="00A04368" w:rsidRPr="0099114C">
        <w:t xml:space="preserve">Figure </w:t>
      </w:r>
      <w:r w:rsidR="00A04368" w:rsidRPr="00857B0D">
        <w:t>1</w:t>
      </w:r>
      <w:r w:rsidR="00DF4FDA" w:rsidRPr="0099114C">
        <w:rPr>
          <w:rStyle w:val="normaltextrun"/>
        </w:rPr>
        <w:fldChar w:fldCharType="end"/>
      </w:r>
      <w:r w:rsidRPr="0099114C">
        <w:rPr>
          <w:rStyle w:val="normaltextrun"/>
        </w:rPr>
        <w:t>) at the time to relapse for the ADVOCATE treatment arms after 40 days.</w:t>
      </w:r>
      <w:r w:rsidR="00A5437B" w:rsidRPr="0099114C">
        <w:rPr>
          <w:rStyle w:val="normaltextrun"/>
        </w:rPr>
        <w:t xml:space="preserve"> </w:t>
      </w:r>
      <w:r w:rsidR="002B37F5" w:rsidRPr="0099114C">
        <w:rPr>
          <w:rStyle w:val="normaltextrun"/>
        </w:rPr>
        <w:t>T</w:t>
      </w:r>
      <w:r w:rsidR="00FA5989" w:rsidRPr="0099114C">
        <w:rPr>
          <w:rStyle w:val="normaltextrun"/>
        </w:rPr>
        <w:t>he resubmission stated t</w:t>
      </w:r>
      <w:r w:rsidR="002B37F5" w:rsidRPr="0099114C">
        <w:rPr>
          <w:rStyle w:val="normaltextrun"/>
        </w:rPr>
        <w:t>his demonstrate</w:t>
      </w:r>
      <w:r w:rsidR="00382034" w:rsidRPr="0099114C">
        <w:rPr>
          <w:rStyle w:val="normaltextrun"/>
        </w:rPr>
        <w:t>d</w:t>
      </w:r>
      <w:r w:rsidR="002B37F5" w:rsidRPr="0099114C">
        <w:rPr>
          <w:rStyle w:val="normaltextrun"/>
        </w:rPr>
        <w:t xml:space="preserve"> the </w:t>
      </w:r>
      <w:r w:rsidR="007E7F30" w:rsidRPr="0099114C">
        <w:rPr>
          <w:rStyle w:val="normaltextrun"/>
        </w:rPr>
        <w:t>benefits</w:t>
      </w:r>
      <w:r w:rsidR="00E70938" w:rsidRPr="0099114C">
        <w:rPr>
          <w:rStyle w:val="normaltextrun"/>
        </w:rPr>
        <w:t xml:space="preserve"> of avacopan over</w:t>
      </w:r>
      <w:r w:rsidR="00030B7C" w:rsidRPr="0099114C">
        <w:rPr>
          <w:rStyle w:val="normaltextrun"/>
        </w:rPr>
        <w:t xml:space="preserve"> background induction therapy.</w:t>
      </w:r>
      <w:r w:rsidR="00FB3EA8" w:rsidRPr="0099114C">
        <w:rPr>
          <w:rStyle w:val="normaltextrun"/>
        </w:rPr>
        <w:t xml:space="preserve"> </w:t>
      </w:r>
      <w:r w:rsidR="00F0489D" w:rsidRPr="0099114C">
        <w:rPr>
          <w:rStyle w:val="normaltextrun"/>
        </w:rPr>
        <w:t xml:space="preserve">This exploratory analysis captured </w:t>
      </w:r>
      <w:r w:rsidR="00D47720" w:rsidRPr="0099114C">
        <w:rPr>
          <w:rStyle w:val="normaltextrun"/>
        </w:rPr>
        <w:t xml:space="preserve">time to relapse from the first time point when BVAS = 0 was achieved. </w:t>
      </w:r>
      <w:r w:rsidR="009710B9" w:rsidRPr="0099114C">
        <w:rPr>
          <w:rStyle w:val="normaltextrun"/>
        </w:rPr>
        <w:t>A large number of patients (</w:t>
      </w:r>
      <w:r w:rsidR="00F312AC" w:rsidRPr="0099114C">
        <w:rPr>
          <w:rStyle w:val="normaltextrun"/>
        </w:rPr>
        <w:t>up to 90%) were censored from the analysis</w:t>
      </w:r>
      <w:r w:rsidR="008840DD" w:rsidRPr="0099114C">
        <w:rPr>
          <w:rStyle w:val="normaltextrun"/>
        </w:rPr>
        <w:t xml:space="preserve"> and the reasons for this was not provided. </w:t>
      </w:r>
    </w:p>
    <w:p w14:paraId="319386A9" w14:textId="5AF24341" w:rsidR="00E01F1A" w:rsidRPr="0099114C" w:rsidRDefault="002E2D93" w:rsidP="002E21D0">
      <w:pPr>
        <w:pStyle w:val="Caption"/>
      </w:pPr>
      <w:bookmarkStart w:id="42" w:name="_Ref155864704"/>
      <w:r w:rsidRPr="0099114C">
        <w:t xml:space="preserve">Figure </w:t>
      </w:r>
      <w:fldSimple w:instr=" SEQ Figure \* ARABIC " w:fldLock="1">
        <w:r w:rsidR="00A04368" w:rsidRPr="00857B0D">
          <w:t>1</w:t>
        </w:r>
      </w:fldSimple>
      <w:bookmarkEnd w:id="42"/>
      <w:r w:rsidRPr="0099114C">
        <w:t>: Kaplan-Meier plot of time to relapse for ADVOCATE</w:t>
      </w:r>
    </w:p>
    <w:p w14:paraId="2FC9AAEC" w14:textId="22945769" w:rsidR="00E01F1A" w:rsidRPr="0099114C" w:rsidRDefault="00AD0988" w:rsidP="002E21D0">
      <w:pPr>
        <w:keepNext/>
      </w:pPr>
      <w:r w:rsidRPr="00857B0D">
        <w:rPr>
          <w:noProof/>
          <w:color w:val="A6A6A6" w:themeColor="background1" w:themeShade="A6"/>
        </w:rPr>
        <w:drawing>
          <wp:inline distT="0" distB="0" distL="0" distR="0" wp14:anchorId="3F897968" wp14:editId="6B6BD2DB">
            <wp:extent cx="4790993" cy="3613150"/>
            <wp:effectExtent l="0" t="0" r="0" b="6350"/>
            <wp:docPr id="857193644" name="Picture 857193644" descr="Figure 1: Kaplan-Meier plot of time to relapse for ADVOC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193644" name="Picture 857193644" descr="Figure 1: Kaplan-Meier plot of time to relapse for ADVOCATE"/>
                    <pic:cNvPicPr/>
                  </pic:nvPicPr>
                  <pic:blipFill>
                    <a:blip r:embed="rId8"/>
                    <a:stretch>
                      <a:fillRect/>
                    </a:stretch>
                  </pic:blipFill>
                  <pic:spPr>
                    <a:xfrm>
                      <a:off x="0" y="0"/>
                      <a:ext cx="4791710" cy="3613691"/>
                    </a:xfrm>
                    <a:prstGeom prst="rect">
                      <a:avLst/>
                    </a:prstGeom>
                  </pic:spPr>
                </pic:pic>
              </a:graphicData>
            </a:graphic>
          </wp:inline>
        </w:drawing>
      </w:r>
    </w:p>
    <w:p w14:paraId="23B5667B" w14:textId="275C5427" w:rsidR="001F21E7" w:rsidRPr="0099114C" w:rsidRDefault="00AD0988" w:rsidP="002E21D0">
      <w:pPr>
        <w:pStyle w:val="FooterTableFigure"/>
        <w:keepNext/>
      </w:pPr>
      <w:r w:rsidRPr="0099114C">
        <w:t>Source: Figure 2-4, p86 of the resubmission</w:t>
      </w:r>
    </w:p>
    <w:p w14:paraId="00A2BE91" w14:textId="40B5F6E1" w:rsidR="00AD0988" w:rsidRPr="0099114C" w:rsidRDefault="00AD0988" w:rsidP="00A5010D">
      <w:pPr>
        <w:pStyle w:val="FooterTableFigure"/>
      </w:pPr>
      <w:r w:rsidRPr="0099114C">
        <w:t xml:space="preserve">Note: </w:t>
      </w:r>
      <w:r w:rsidR="00DA5014" w:rsidRPr="0099114C">
        <w:t>Data previously seen by the PBAC</w:t>
      </w:r>
    </w:p>
    <w:p w14:paraId="7BF467C6" w14:textId="7145FB0B" w:rsidR="00891BE1" w:rsidRPr="0099114C" w:rsidRDefault="00891BE1" w:rsidP="00891BE1">
      <w:pPr>
        <w:pStyle w:val="3-BodyText"/>
      </w:pPr>
      <w:r w:rsidRPr="0099114C">
        <w:fldChar w:fldCharType="begin" w:fldLock="1"/>
      </w:r>
      <w:r w:rsidRPr="0099114C">
        <w:instrText xml:space="preserve"> REF _Ref153088820 \h </w:instrText>
      </w:r>
      <w:r w:rsidR="00000000">
        <w:fldChar w:fldCharType="separate"/>
      </w:r>
      <w:r w:rsidRPr="0099114C">
        <w:fldChar w:fldCharType="end"/>
      </w:r>
      <w:r w:rsidRPr="0099114C">
        <w:fldChar w:fldCharType="begin" w:fldLock="1"/>
      </w:r>
      <w:r w:rsidRPr="0099114C">
        <w:instrText xml:space="preserve"> REF _Ref155865269 \h </w:instrText>
      </w:r>
      <w:r w:rsidRPr="0099114C">
        <w:fldChar w:fldCharType="separate"/>
      </w:r>
      <w:r w:rsidRPr="0099114C">
        <w:t xml:space="preserve">Table </w:t>
      </w:r>
      <w:r w:rsidRPr="00857B0D">
        <w:t>8</w:t>
      </w:r>
      <w:r w:rsidRPr="0099114C">
        <w:fldChar w:fldCharType="end"/>
      </w:r>
      <w:r w:rsidRPr="0099114C">
        <w:t xml:space="preserve"> presents the results of a post hoc subgroup analysis for the change in estimated glomerular filtration rate (eGFR) from baseline after 26 weeks and 52 weeks. This was presented in the July 2023 submission’s PSCR and has been considered by the PBAC. </w:t>
      </w:r>
    </w:p>
    <w:p w14:paraId="6A3E09B8" w14:textId="0E1F97E3" w:rsidR="00891BE1" w:rsidRPr="0099114C" w:rsidRDefault="00891BE1" w:rsidP="002E21D0">
      <w:pPr>
        <w:pStyle w:val="TableFigureHeading"/>
      </w:pPr>
      <w:r w:rsidRPr="0099114C">
        <w:lastRenderedPageBreak/>
        <w:t xml:space="preserve">Table </w:t>
      </w:r>
      <w:fldSimple w:instr=" SEQ Table \* ARABIC " w:fldLock="1">
        <w:r w:rsidR="00A04368" w:rsidRPr="00857B0D">
          <w:t>8</w:t>
        </w:r>
      </w:fldSimple>
      <w:r w:rsidRPr="0099114C">
        <w:t>: Change in eGFR from baseline by subgroup</w:t>
      </w:r>
    </w:p>
    <w:tbl>
      <w:tblPr>
        <w:tblStyle w:val="TableGrid"/>
        <w:tblW w:w="5000" w:type="pct"/>
        <w:tblLook w:val="04A0" w:firstRow="1" w:lastRow="0" w:firstColumn="1" w:lastColumn="0" w:noHBand="0" w:noVBand="1"/>
        <w:tblCaption w:val="Table 8: Change in eGFR from baseline by subgroup"/>
      </w:tblPr>
      <w:tblGrid>
        <w:gridCol w:w="2506"/>
        <w:gridCol w:w="1693"/>
        <w:gridCol w:w="1879"/>
        <w:gridCol w:w="1724"/>
        <w:gridCol w:w="1214"/>
      </w:tblGrid>
      <w:tr w:rsidR="00891BE1" w:rsidRPr="0099114C" w14:paraId="0BD68EEC" w14:textId="77777777">
        <w:tc>
          <w:tcPr>
            <w:tcW w:w="1390" w:type="pct"/>
          </w:tcPr>
          <w:p w14:paraId="6907BC2C" w14:textId="77777777" w:rsidR="00891BE1" w:rsidRPr="0099114C" w:rsidRDefault="00891BE1" w:rsidP="002E21D0">
            <w:pPr>
              <w:pStyle w:val="TableText"/>
              <w:rPr>
                <w:b/>
                <w:bCs w:val="0"/>
              </w:rPr>
            </w:pPr>
            <w:r w:rsidRPr="0099114C">
              <w:rPr>
                <w:b/>
                <w:bCs w:val="0"/>
              </w:rPr>
              <w:t>eGFR subgroup (mL/min/1.73m</w:t>
            </w:r>
            <w:r w:rsidRPr="0099114C">
              <w:rPr>
                <w:b/>
                <w:bCs w:val="0"/>
                <w:vertAlign w:val="superscript"/>
              </w:rPr>
              <w:t>2</w:t>
            </w:r>
            <w:r w:rsidRPr="0099114C">
              <w:rPr>
                <w:b/>
                <w:bCs w:val="0"/>
              </w:rPr>
              <w:t>)</w:t>
            </w:r>
          </w:p>
        </w:tc>
        <w:tc>
          <w:tcPr>
            <w:tcW w:w="939" w:type="pct"/>
          </w:tcPr>
          <w:p w14:paraId="68CAC623" w14:textId="77777777" w:rsidR="00891BE1" w:rsidRPr="0099114C" w:rsidRDefault="00891BE1" w:rsidP="002E21D0">
            <w:pPr>
              <w:pStyle w:val="TableText"/>
              <w:jc w:val="center"/>
              <w:rPr>
                <w:b/>
                <w:bCs w:val="0"/>
              </w:rPr>
            </w:pPr>
            <w:r w:rsidRPr="0099114C">
              <w:rPr>
                <w:b/>
                <w:bCs w:val="0"/>
              </w:rPr>
              <w:t>Avacopan + SOC</w:t>
            </w:r>
          </w:p>
        </w:tc>
        <w:tc>
          <w:tcPr>
            <w:tcW w:w="1042" w:type="pct"/>
          </w:tcPr>
          <w:p w14:paraId="46202AF8" w14:textId="77777777" w:rsidR="00891BE1" w:rsidRPr="0099114C" w:rsidRDefault="00891BE1" w:rsidP="002E21D0">
            <w:pPr>
              <w:pStyle w:val="TableText"/>
              <w:jc w:val="center"/>
              <w:rPr>
                <w:b/>
                <w:bCs w:val="0"/>
              </w:rPr>
            </w:pPr>
            <w:r w:rsidRPr="0099114C">
              <w:rPr>
                <w:b/>
                <w:bCs w:val="0"/>
              </w:rPr>
              <w:t>Prednisone + SOC</w:t>
            </w:r>
          </w:p>
        </w:tc>
        <w:tc>
          <w:tcPr>
            <w:tcW w:w="956" w:type="pct"/>
          </w:tcPr>
          <w:p w14:paraId="5B1D4867" w14:textId="77777777" w:rsidR="00891BE1" w:rsidRPr="0099114C" w:rsidRDefault="00891BE1" w:rsidP="002E21D0">
            <w:pPr>
              <w:pStyle w:val="TableText"/>
              <w:jc w:val="center"/>
              <w:rPr>
                <w:b/>
                <w:bCs w:val="0"/>
              </w:rPr>
            </w:pPr>
            <w:r w:rsidRPr="0099114C">
              <w:rPr>
                <w:b/>
                <w:bCs w:val="0"/>
              </w:rPr>
              <w:t>Mean Difference</w:t>
            </w:r>
          </w:p>
        </w:tc>
        <w:tc>
          <w:tcPr>
            <w:tcW w:w="673" w:type="pct"/>
          </w:tcPr>
          <w:p w14:paraId="0D6F8F3B" w14:textId="77777777" w:rsidR="00891BE1" w:rsidRPr="0099114C" w:rsidRDefault="00891BE1" w:rsidP="002E21D0">
            <w:pPr>
              <w:pStyle w:val="TableText"/>
              <w:jc w:val="center"/>
              <w:rPr>
                <w:b/>
                <w:bCs w:val="0"/>
              </w:rPr>
            </w:pPr>
            <w:r w:rsidRPr="0099114C">
              <w:rPr>
                <w:b/>
                <w:bCs w:val="0"/>
              </w:rPr>
              <w:t>p-value</w:t>
            </w:r>
          </w:p>
        </w:tc>
      </w:tr>
      <w:tr w:rsidR="00891BE1" w:rsidRPr="0099114C" w14:paraId="427952FF" w14:textId="77777777">
        <w:tc>
          <w:tcPr>
            <w:tcW w:w="5000" w:type="pct"/>
            <w:gridSpan w:val="5"/>
            <w:shd w:val="clear" w:color="auto" w:fill="D9D9D9" w:themeFill="background1" w:themeFillShade="D9"/>
          </w:tcPr>
          <w:p w14:paraId="4135A7F6" w14:textId="77777777" w:rsidR="00891BE1" w:rsidRPr="0099114C" w:rsidRDefault="00891BE1" w:rsidP="002E21D0">
            <w:pPr>
              <w:pStyle w:val="TableText"/>
            </w:pPr>
            <w:r w:rsidRPr="0099114C">
              <w:rPr>
                <w:b/>
                <w:bCs w:val="0"/>
              </w:rPr>
              <w:t>Week 26</w:t>
            </w:r>
          </w:p>
        </w:tc>
      </w:tr>
      <w:tr w:rsidR="00891BE1" w:rsidRPr="0099114C" w14:paraId="73451C47" w14:textId="77777777">
        <w:tc>
          <w:tcPr>
            <w:tcW w:w="1390" w:type="pct"/>
            <w:shd w:val="clear" w:color="auto" w:fill="8EAADB" w:themeFill="accent1" w:themeFillTint="99"/>
          </w:tcPr>
          <w:p w14:paraId="4371D72E" w14:textId="77777777" w:rsidR="00891BE1" w:rsidRPr="0099114C" w:rsidRDefault="00891BE1" w:rsidP="002E21D0">
            <w:pPr>
              <w:pStyle w:val="TableText"/>
              <w:rPr>
                <w:b/>
                <w:bCs w:val="0"/>
              </w:rPr>
            </w:pPr>
            <w:r w:rsidRPr="0099114C">
              <w:rPr>
                <w:b/>
                <w:bCs w:val="0"/>
              </w:rPr>
              <w:t>Overall</w:t>
            </w:r>
          </w:p>
        </w:tc>
        <w:tc>
          <w:tcPr>
            <w:tcW w:w="939" w:type="pct"/>
            <w:shd w:val="clear" w:color="auto" w:fill="8EAADB" w:themeFill="accent1" w:themeFillTint="99"/>
          </w:tcPr>
          <w:p w14:paraId="0158D1B0" w14:textId="77777777" w:rsidR="00891BE1" w:rsidRPr="0099114C" w:rsidRDefault="00891BE1" w:rsidP="002E21D0">
            <w:pPr>
              <w:pStyle w:val="TableText"/>
              <w:jc w:val="center"/>
            </w:pPr>
            <w:r w:rsidRPr="0099114C">
              <w:t>5.8</w:t>
            </w:r>
          </w:p>
        </w:tc>
        <w:tc>
          <w:tcPr>
            <w:tcW w:w="1042" w:type="pct"/>
            <w:shd w:val="clear" w:color="auto" w:fill="8EAADB" w:themeFill="accent1" w:themeFillTint="99"/>
          </w:tcPr>
          <w:p w14:paraId="4770F579" w14:textId="77777777" w:rsidR="00891BE1" w:rsidRPr="0099114C" w:rsidRDefault="00891BE1" w:rsidP="002E21D0">
            <w:pPr>
              <w:pStyle w:val="TableText"/>
              <w:jc w:val="center"/>
            </w:pPr>
            <w:r w:rsidRPr="0099114C">
              <w:t>2.9</w:t>
            </w:r>
          </w:p>
        </w:tc>
        <w:tc>
          <w:tcPr>
            <w:tcW w:w="956" w:type="pct"/>
            <w:shd w:val="clear" w:color="auto" w:fill="8EAADB" w:themeFill="accent1" w:themeFillTint="99"/>
          </w:tcPr>
          <w:p w14:paraId="53860710" w14:textId="77777777" w:rsidR="00891BE1" w:rsidRPr="0099114C" w:rsidRDefault="00891BE1" w:rsidP="002E21D0">
            <w:pPr>
              <w:pStyle w:val="TableText"/>
              <w:jc w:val="center"/>
            </w:pPr>
            <w:r w:rsidRPr="0099114C">
              <w:t>2.9</w:t>
            </w:r>
          </w:p>
        </w:tc>
        <w:tc>
          <w:tcPr>
            <w:tcW w:w="673" w:type="pct"/>
            <w:shd w:val="clear" w:color="auto" w:fill="8EAADB" w:themeFill="accent1" w:themeFillTint="99"/>
          </w:tcPr>
          <w:p w14:paraId="57C9C987" w14:textId="77777777" w:rsidR="00891BE1" w:rsidRPr="0099114C" w:rsidRDefault="00891BE1" w:rsidP="002E21D0">
            <w:pPr>
              <w:pStyle w:val="TableText"/>
              <w:jc w:val="center"/>
            </w:pPr>
            <w:r w:rsidRPr="0099114C">
              <w:t>0.046</w:t>
            </w:r>
          </w:p>
        </w:tc>
      </w:tr>
      <w:tr w:rsidR="00891BE1" w:rsidRPr="0099114C" w14:paraId="0CDDE300" w14:textId="77777777">
        <w:tc>
          <w:tcPr>
            <w:tcW w:w="1390" w:type="pct"/>
            <w:shd w:val="clear" w:color="auto" w:fill="8EAADB" w:themeFill="accent1" w:themeFillTint="99"/>
          </w:tcPr>
          <w:p w14:paraId="3D5AC0A3" w14:textId="77777777" w:rsidR="00891BE1" w:rsidRPr="0099114C" w:rsidRDefault="00891BE1" w:rsidP="002E21D0">
            <w:pPr>
              <w:pStyle w:val="TableText"/>
              <w:rPr>
                <w:b/>
                <w:bCs w:val="0"/>
              </w:rPr>
            </w:pPr>
            <w:r w:rsidRPr="0099114C">
              <w:rPr>
                <w:b/>
                <w:bCs w:val="0"/>
              </w:rPr>
              <w:t>&lt;30</w:t>
            </w:r>
          </w:p>
        </w:tc>
        <w:tc>
          <w:tcPr>
            <w:tcW w:w="939" w:type="pct"/>
            <w:shd w:val="clear" w:color="auto" w:fill="8EAADB" w:themeFill="accent1" w:themeFillTint="99"/>
          </w:tcPr>
          <w:p w14:paraId="5D9CF5F8" w14:textId="77777777" w:rsidR="00891BE1" w:rsidRPr="0099114C" w:rsidRDefault="00891BE1" w:rsidP="002E21D0">
            <w:pPr>
              <w:pStyle w:val="TableText"/>
              <w:jc w:val="center"/>
            </w:pPr>
            <w:r w:rsidRPr="0099114C">
              <w:t>10.5</w:t>
            </w:r>
          </w:p>
        </w:tc>
        <w:tc>
          <w:tcPr>
            <w:tcW w:w="1042" w:type="pct"/>
            <w:shd w:val="clear" w:color="auto" w:fill="8EAADB" w:themeFill="accent1" w:themeFillTint="99"/>
          </w:tcPr>
          <w:p w14:paraId="6995133E" w14:textId="77777777" w:rsidR="00891BE1" w:rsidRPr="0099114C" w:rsidRDefault="00891BE1" w:rsidP="002E21D0">
            <w:pPr>
              <w:pStyle w:val="TableText"/>
              <w:jc w:val="center"/>
            </w:pPr>
            <w:r w:rsidRPr="0099114C">
              <w:t>6.4</w:t>
            </w:r>
          </w:p>
        </w:tc>
        <w:tc>
          <w:tcPr>
            <w:tcW w:w="956" w:type="pct"/>
            <w:shd w:val="clear" w:color="auto" w:fill="8EAADB" w:themeFill="accent1" w:themeFillTint="99"/>
          </w:tcPr>
          <w:p w14:paraId="17101DCC" w14:textId="77777777" w:rsidR="00891BE1" w:rsidRPr="0099114C" w:rsidRDefault="00891BE1" w:rsidP="002E21D0">
            <w:pPr>
              <w:pStyle w:val="TableText"/>
              <w:jc w:val="center"/>
            </w:pPr>
            <w:r w:rsidRPr="0099114C">
              <w:t>4.1</w:t>
            </w:r>
          </w:p>
        </w:tc>
        <w:tc>
          <w:tcPr>
            <w:tcW w:w="673" w:type="pct"/>
            <w:shd w:val="clear" w:color="auto" w:fill="8EAADB" w:themeFill="accent1" w:themeFillTint="99"/>
          </w:tcPr>
          <w:p w14:paraId="6053E0A4" w14:textId="77777777" w:rsidR="00891BE1" w:rsidRPr="0099114C" w:rsidRDefault="00891BE1" w:rsidP="002E21D0">
            <w:pPr>
              <w:pStyle w:val="TableText"/>
              <w:jc w:val="center"/>
            </w:pPr>
            <w:r w:rsidRPr="0099114C">
              <w:t>0.0361</w:t>
            </w:r>
          </w:p>
        </w:tc>
      </w:tr>
      <w:tr w:rsidR="00891BE1" w:rsidRPr="0099114C" w14:paraId="1852342E" w14:textId="77777777">
        <w:tc>
          <w:tcPr>
            <w:tcW w:w="1390" w:type="pct"/>
            <w:shd w:val="clear" w:color="auto" w:fill="8EAADB" w:themeFill="accent1" w:themeFillTint="99"/>
          </w:tcPr>
          <w:p w14:paraId="375A2E4C" w14:textId="77777777" w:rsidR="00891BE1" w:rsidRPr="0099114C" w:rsidRDefault="00891BE1" w:rsidP="002E21D0">
            <w:pPr>
              <w:pStyle w:val="TableText"/>
              <w:rPr>
                <w:b/>
                <w:bCs w:val="0"/>
              </w:rPr>
            </w:pPr>
            <w:r w:rsidRPr="0099114C">
              <w:rPr>
                <w:b/>
                <w:bCs w:val="0"/>
              </w:rPr>
              <w:t>31-59</w:t>
            </w:r>
          </w:p>
        </w:tc>
        <w:tc>
          <w:tcPr>
            <w:tcW w:w="939" w:type="pct"/>
            <w:shd w:val="clear" w:color="auto" w:fill="8EAADB" w:themeFill="accent1" w:themeFillTint="99"/>
          </w:tcPr>
          <w:p w14:paraId="19AEF566" w14:textId="77777777" w:rsidR="00891BE1" w:rsidRPr="0099114C" w:rsidRDefault="00891BE1" w:rsidP="002E21D0">
            <w:pPr>
              <w:pStyle w:val="TableText"/>
              <w:jc w:val="center"/>
            </w:pPr>
            <w:r w:rsidRPr="0099114C">
              <w:t>7.3</w:t>
            </w:r>
          </w:p>
        </w:tc>
        <w:tc>
          <w:tcPr>
            <w:tcW w:w="1042" w:type="pct"/>
            <w:shd w:val="clear" w:color="auto" w:fill="8EAADB" w:themeFill="accent1" w:themeFillTint="99"/>
          </w:tcPr>
          <w:p w14:paraId="68091116" w14:textId="77777777" w:rsidR="00891BE1" w:rsidRPr="0099114C" w:rsidRDefault="00891BE1" w:rsidP="002E21D0">
            <w:pPr>
              <w:pStyle w:val="TableText"/>
              <w:jc w:val="center"/>
            </w:pPr>
            <w:r w:rsidRPr="0099114C">
              <w:t>5.4</w:t>
            </w:r>
          </w:p>
        </w:tc>
        <w:tc>
          <w:tcPr>
            <w:tcW w:w="956" w:type="pct"/>
            <w:shd w:val="clear" w:color="auto" w:fill="8EAADB" w:themeFill="accent1" w:themeFillTint="99"/>
          </w:tcPr>
          <w:p w14:paraId="3EE15A53" w14:textId="77777777" w:rsidR="00891BE1" w:rsidRPr="0099114C" w:rsidRDefault="00891BE1" w:rsidP="002E21D0">
            <w:pPr>
              <w:pStyle w:val="TableText"/>
              <w:jc w:val="center"/>
            </w:pPr>
            <w:r w:rsidRPr="0099114C">
              <w:t>1.9</w:t>
            </w:r>
          </w:p>
        </w:tc>
        <w:tc>
          <w:tcPr>
            <w:tcW w:w="673" w:type="pct"/>
            <w:shd w:val="clear" w:color="auto" w:fill="8EAADB" w:themeFill="accent1" w:themeFillTint="99"/>
          </w:tcPr>
          <w:p w14:paraId="6652FA1E" w14:textId="77777777" w:rsidR="00891BE1" w:rsidRPr="0099114C" w:rsidRDefault="00891BE1" w:rsidP="002E21D0">
            <w:pPr>
              <w:pStyle w:val="TableText"/>
              <w:jc w:val="center"/>
            </w:pPr>
            <w:r w:rsidRPr="0099114C">
              <w:t>0.3535</w:t>
            </w:r>
          </w:p>
        </w:tc>
      </w:tr>
      <w:tr w:rsidR="00891BE1" w:rsidRPr="0099114C" w14:paraId="0F872BF3" w14:textId="77777777">
        <w:tc>
          <w:tcPr>
            <w:tcW w:w="1390" w:type="pct"/>
            <w:shd w:val="clear" w:color="auto" w:fill="8EAADB" w:themeFill="accent1" w:themeFillTint="99"/>
          </w:tcPr>
          <w:p w14:paraId="24A8960A" w14:textId="77777777" w:rsidR="00891BE1" w:rsidRPr="0099114C" w:rsidRDefault="00891BE1" w:rsidP="002E21D0">
            <w:pPr>
              <w:pStyle w:val="TableText"/>
              <w:rPr>
                <w:b/>
                <w:bCs w:val="0"/>
              </w:rPr>
            </w:pPr>
            <w:r w:rsidRPr="0099114C">
              <w:rPr>
                <w:b/>
                <w:bCs w:val="0"/>
              </w:rPr>
              <w:t>&gt;59</w:t>
            </w:r>
          </w:p>
        </w:tc>
        <w:tc>
          <w:tcPr>
            <w:tcW w:w="939" w:type="pct"/>
            <w:shd w:val="clear" w:color="auto" w:fill="8EAADB" w:themeFill="accent1" w:themeFillTint="99"/>
          </w:tcPr>
          <w:p w14:paraId="7290C27D" w14:textId="77777777" w:rsidR="00891BE1" w:rsidRPr="0099114C" w:rsidRDefault="00891BE1" w:rsidP="002E21D0">
            <w:pPr>
              <w:pStyle w:val="TableText"/>
              <w:jc w:val="center"/>
            </w:pPr>
            <w:r w:rsidRPr="0099114C">
              <w:t>-2.6</w:t>
            </w:r>
          </w:p>
        </w:tc>
        <w:tc>
          <w:tcPr>
            <w:tcW w:w="1042" w:type="pct"/>
            <w:shd w:val="clear" w:color="auto" w:fill="8EAADB" w:themeFill="accent1" w:themeFillTint="99"/>
          </w:tcPr>
          <w:p w14:paraId="368232D7" w14:textId="77777777" w:rsidR="00891BE1" w:rsidRPr="0099114C" w:rsidRDefault="00891BE1" w:rsidP="002E21D0">
            <w:pPr>
              <w:pStyle w:val="TableText"/>
              <w:jc w:val="center"/>
            </w:pPr>
            <w:r w:rsidRPr="0099114C">
              <w:t>-6.0</w:t>
            </w:r>
          </w:p>
        </w:tc>
        <w:tc>
          <w:tcPr>
            <w:tcW w:w="956" w:type="pct"/>
            <w:shd w:val="clear" w:color="auto" w:fill="8EAADB" w:themeFill="accent1" w:themeFillTint="99"/>
          </w:tcPr>
          <w:p w14:paraId="3BE53EA4" w14:textId="77777777" w:rsidR="00891BE1" w:rsidRPr="0099114C" w:rsidRDefault="00891BE1" w:rsidP="002E21D0">
            <w:pPr>
              <w:pStyle w:val="TableText"/>
              <w:jc w:val="center"/>
            </w:pPr>
            <w:r w:rsidRPr="0099114C">
              <w:t>3.4</w:t>
            </w:r>
          </w:p>
        </w:tc>
        <w:tc>
          <w:tcPr>
            <w:tcW w:w="673" w:type="pct"/>
            <w:shd w:val="clear" w:color="auto" w:fill="8EAADB" w:themeFill="accent1" w:themeFillTint="99"/>
          </w:tcPr>
          <w:p w14:paraId="64A0FFEE" w14:textId="77777777" w:rsidR="00891BE1" w:rsidRPr="0099114C" w:rsidRDefault="00891BE1" w:rsidP="002E21D0">
            <w:pPr>
              <w:pStyle w:val="TableText"/>
              <w:jc w:val="center"/>
            </w:pPr>
            <w:r w:rsidRPr="0099114C">
              <w:t>0.3640</w:t>
            </w:r>
          </w:p>
        </w:tc>
      </w:tr>
      <w:tr w:rsidR="00891BE1" w:rsidRPr="0099114C" w14:paraId="5776E68D" w14:textId="77777777">
        <w:tc>
          <w:tcPr>
            <w:tcW w:w="5000" w:type="pct"/>
            <w:gridSpan w:val="5"/>
            <w:shd w:val="clear" w:color="auto" w:fill="D9D9D9" w:themeFill="background1" w:themeFillShade="D9"/>
          </w:tcPr>
          <w:p w14:paraId="4FADBEA0" w14:textId="77777777" w:rsidR="00891BE1" w:rsidRPr="0099114C" w:rsidRDefault="00891BE1" w:rsidP="002E21D0">
            <w:pPr>
              <w:pStyle w:val="TableText"/>
            </w:pPr>
            <w:r w:rsidRPr="0099114C">
              <w:rPr>
                <w:b/>
                <w:bCs w:val="0"/>
              </w:rPr>
              <w:t>Week 52</w:t>
            </w:r>
          </w:p>
        </w:tc>
      </w:tr>
      <w:tr w:rsidR="00891BE1" w:rsidRPr="0099114C" w14:paraId="1E781B51" w14:textId="77777777">
        <w:tc>
          <w:tcPr>
            <w:tcW w:w="1390" w:type="pct"/>
            <w:shd w:val="clear" w:color="auto" w:fill="8EAADB" w:themeFill="accent1" w:themeFillTint="99"/>
          </w:tcPr>
          <w:p w14:paraId="077794AE" w14:textId="77777777" w:rsidR="00891BE1" w:rsidRPr="0099114C" w:rsidRDefault="00891BE1" w:rsidP="002E21D0">
            <w:pPr>
              <w:pStyle w:val="TableText"/>
              <w:rPr>
                <w:b/>
                <w:bCs w:val="0"/>
              </w:rPr>
            </w:pPr>
            <w:r w:rsidRPr="0099114C">
              <w:rPr>
                <w:b/>
                <w:bCs w:val="0"/>
              </w:rPr>
              <w:t>Overall</w:t>
            </w:r>
          </w:p>
        </w:tc>
        <w:tc>
          <w:tcPr>
            <w:tcW w:w="939" w:type="pct"/>
            <w:shd w:val="clear" w:color="auto" w:fill="8EAADB" w:themeFill="accent1" w:themeFillTint="99"/>
          </w:tcPr>
          <w:p w14:paraId="118F8871" w14:textId="77777777" w:rsidR="00891BE1" w:rsidRPr="0099114C" w:rsidRDefault="00891BE1" w:rsidP="002E21D0">
            <w:pPr>
              <w:pStyle w:val="TableText"/>
              <w:jc w:val="center"/>
            </w:pPr>
            <w:r w:rsidRPr="0099114C">
              <w:t>7.3</w:t>
            </w:r>
          </w:p>
        </w:tc>
        <w:tc>
          <w:tcPr>
            <w:tcW w:w="1042" w:type="pct"/>
            <w:shd w:val="clear" w:color="auto" w:fill="8EAADB" w:themeFill="accent1" w:themeFillTint="99"/>
          </w:tcPr>
          <w:p w14:paraId="4A72177D" w14:textId="77777777" w:rsidR="00891BE1" w:rsidRPr="0099114C" w:rsidRDefault="00891BE1" w:rsidP="002E21D0">
            <w:pPr>
              <w:pStyle w:val="TableText"/>
              <w:jc w:val="center"/>
            </w:pPr>
            <w:r w:rsidRPr="0099114C">
              <w:t>4.1</w:t>
            </w:r>
          </w:p>
        </w:tc>
        <w:tc>
          <w:tcPr>
            <w:tcW w:w="956" w:type="pct"/>
            <w:shd w:val="clear" w:color="auto" w:fill="8EAADB" w:themeFill="accent1" w:themeFillTint="99"/>
          </w:tcPr>
          <w:p w14:paraId="15FBF858" w14:textId="77777777" w:rsidR="00891BE1" w:rsidRPr="0099114C" w:rsidRDefault="00891BE1" w:rsidP="002E21D0">
            <w:pPr>
              <w:pStyle w:val="TableText"/>
              <w:jc w:val="center"/>
            </w:pPr>
            <w:r w:rsidRPr="0099114C">
              <w:t>3.2</w:t>
            </w:r>
          </w:p>
        </w:tc>
        <w:tc>
          <w:tcPr>
            <w:tcW w:w="673" w:type="pct"/>
            <w:shd w:val="clear" w:color="auto" w:fill="8EAADB" w:themeFill="accent1" w:themeFillTint="99"/>
          </w:tcPr>
          <w:p w14:paraId="7E730AF3" w14:textId="77777777" w:rsidR="00891BE1" w:rsidRPr="0099114C" w:rsidRDefault="00891BE1" w:rsidP="002E21D0">
            <w:pPr>
              <w:pStyle w:val="TableText"/>
              <w:jc w:val="center"/>
            </w:pPr>
            <w:r w:rsidRPr="0099114C">
              <w:t>0.029</w:t>
            </w:r>
          </w:p>
        </w:tc>
      </w:tr>
      <w:tr w:rsidR="00891BE1" w:rsidRPr="0099114C" w14:paraId="121F5B05" w14:textId="77777777">
        <w:tc>
          <w:tcPr>
            <w:tcW w:w="1390" w:type="pct"/>
            <w:shd w:val="clear" w:color="auto" w:fill="8EAADB" w:themeFill="accent1" w:themeFillTint="99"/>
          </w:tcPr>
          <w:p w14:paraId="00BCC2D4" w14:textId="77777777" w:rsidR="00891BE1" w:rsidRPr="0099114C" w:rsidRDefault="00891BE1" w:rsidP="002E21D0">
            <w:pPr>
              <w:pStyle w:val="TableText"/>
              <w:rPr>
                <w:b/>
                <w:bCs w:val="0"/>
              </w:rPr>
            </w:pPr>
            <w:r w:rsidRPr="0099114C">
              <w:rPr>
                <w:b/>
                <w:bCs w:val="0"/>
              </w:rPr>
              <w:t>&lt;30</w:t>
            </w:r>
          </w:p>
        </w:tc>
        <w:tc>
          <w:tcPr>
            <w:tcW w:w="939" w:type="pct"/>
            <w:shd w:val="clear" w:color="auto" w:fill="8EAADB" w:themeFill="accent1" w:themeFillTint="99"/>
          </w:tcPr>
          <w:p w14:paraId="648AEEAB" w14:textId="77777777" w:rsidR="00891BE1" w:rsidRPr="0099114C" w:rsidRDefault="00891BE1" w:rsidP="002E21D0">
            <w:pPr>
              <w:pStyle w:val="TableText"/>
              <w:jc w:val="center"/>
            </w:pPr>
            <w:r w:rsidRPr="0099114C">
              <w:t>13.7</w:t>
            </w:r>
          </w:p>
        </w:tc>
        <w:tc>
          <w:tcPr>
            <w:tcW w:w="1042" w:type="pct"/>
            <w:shd w:val="clear" w:color="auto" w:fill="8EAADB" w:themeFill="accent1" w:themeFillTint="99"/>
          </w:tcPr>
          <w:p w14:paraId="40F3040B" w14:textId="77777777" w:rsidR="00891BE1" w:rsidRPr="0099114C" w:rsidRDefault="00891BE1" w:rsidP="002E21D0">
            <w:pPr>
              <w:pStyle w:val="TableText"/>
              <w:jc w:val="center"/>
            </w:pPr>
            <w:r w:rsidRPr="0099114C">
              <w:t>8.2</w:t>
            </w:r>
          </w:p>
        </w:tc>
        <w:tc>
          <w:tcPr>
            <w:tcW w:w="956" w:type="pct"/>
            <w:shd w:val="clear" w:color="auto" w:fill="8EAADB" w:themeFill="accent1" w:themeFillTint="99"/>
          </w:tcPr>
          <w:p w14:paraId="45EEEAD8" w14:textId="77777777" w:rsidR="00891BE1" w:rsidRPr="0099114C" w:rsidRDefault="00891BE1" w:rsidP="002E21D0">
            <w:pPr>
              <w:pStyle w:val="TableText"/>
              <w:jc w:val="center"/>
            </w:pPr>
            <w:r w:rsidRPr="0099114C">
              <w:t>5.6</w:t>
            </w:r>
          </w:p>
        </w:tc>
        <w:tc>
          <w:tcPr>
            <w:tcW w:w="673" w:type="pct"/>
            <w:shd w:val="clear" w:color="auto" w:fill="8EAADB" w:themeFill="accent1" w:themeFillTint="99"/>
          </w:tcPr>
          <w:p w14:paraId="79B439EE" w14:textId="77777777" w:rsidR="00891BE1" w:rsidRPr="0099114C" w:rsidRDefault="00891BE1" w:rsidP="002E21D0">
            <w:pPr>
              <w:pStyle w:val="TableText"/>
              <w:jc w:val="center"/>
            </w:pPr>
            <w:r w:rsidRPr="0099114C">
              <w:t>0.0050</w:t>
            </w:r>
          </w:p>
        </w:tc>
      </w:tr>
      <w:tr w:rsidR="00891BE1" w:rsidRPr="0099114C" w14:paraId="134F392E" w14:textId="77777777">
        <w:tc>
          <w:tcPr>
            <w:tcW w:w="1390" w:type="pct"/>
            <w:shd w:val="clear" w:color="auto" w:fill="8EAADB" w:themeFill="accent1" w:themeFillTint="99"/>
          </w:tcPr>
          <w:p w14:paraId="57F39686" w14:textId="77777777" w:rsidR="00891BE1" w:rsidRPr="0099114C" w:rsidRDefault="00891BE1" w:rsidP="002E21D0">
            <w:pPr>
              <w:pStyle w:val="TableText"/>
              <w:rPr>
                <w:b/>
                <w:bCs w:val="0"/>
              </w:rPr>
            </w:pPr>
            <w:r w:rsidRPr="0099114C">
              <w:rPr>
                <w:b/>
                <w:bCs w:val="0"/>
              </w:rPr>
              <w:t>31-59</w:t>
            </w:r>
          </w:p>
        </w:tc>
        <w:tc>
          <w:tcPr>
            <w:tcW w:w="939" w:type="pct"/>
            <w:shd w:val="clear" w:color="auto" w:fill="8EAADB" w:themeFill="accent1" w:themeFillTint="99"/>
          </w:tcPr>
          <w:p w14:paraId="36E26600" w14:textId="77777777" w:rsidR="00891BE1" w:rsidRPr="0099114C" w:rsidRDefault="00891BE1" w:rsidP="002E21D0">
            <w:pPr>
              <w:pStyle w:val="TableText"/>
              <w:jc w:val="center"/>
            </w:pPr>
            <w:r w:rsidRPr="0099114C">
              <w:t>10.5</w:t>
            </w:r>
          </w:p>
        </w:tc>
        <w:tc>
          <w:tcPr>
            <w:tcW w:w="1042" w:type="pct"/>
            <w:shd w:val="clear" w:color="auto" w:fill="8EAADB" w:themeFill="accent1" w:themeFillTint="99"/>
          </w:tcPr>
          <w:p w14:paraId="266FE73E" w14:textId="77777777" w:rsidR="00891BE1" w:rsidRPr="0099114C" w:rsidRDefault="00891BE1" w:rsidP="002E21D0">
            <w:pPr>
              <w:pStyle w:val="TableText"/>
              <w:jc w:val="center"/>
            </w:pPr>
            <w:r w:rsidRPr="0099114C">
              <w:t>7.8</w:t>
            </w:r>
          </w:p>
        </w:tc>
        <w:tc>
          <w:tcPr>
            <w:tcW w:w="956" w:type="pct"/>
            <w:shd w:val="clear" w:color="auto" w:fill="8EAADB" w:themeFill="accent1" w:themeFillTint="99"/>
          </w:tcPr>
          <w:p w14:paraId="2E06F5D0" w14:textId="77777777" w:rsidR="00891BE1" w:rsidRPr="0099114C" w:rsidRDefault="00891BE1" w:rsidP="002E21D0">
            <w:pPr>
              <w:pStyle w:val="TableText"/>
              <w:jc w:val="center"/>
            </w:pPr>
            <w:r w:rsidRPr="0099114C">
              <w:t>2.7</w:t>
            </w:r>
          </w:p>
        </w:tc>
        <w:tc>
          <w:tcPr>
            <w:tcW w:w="673" w:type="pct"/>
            <w:shd w:val="clear" w:color="auto" w:fill="8EAADB" w:themeFill="accent1" w:themeFillTint="99"/>
          </w:tcPr>
          <w:p w14:paraId="5C11008E" w14:textId="77777777" w:rsidR="00891BE1" w:rsidRPr="0099114C" w:rsidRDefault="00891BE1" w:rsidP="002E21D0">
            <w:pPr>
              <w:pStyle w:val="TableText"/>
              <w:jc w:val="center"/>
            </w:pPr>
            <w:r w:rsidRPr="0099114C">
              <w:t>0.2115</w:t>
            </w:r>
          </w:p>
        </w:tc>
      </w:tr>
      <w:tr w:rsidR="00891BE1" w:rsidRPr="0099114C" w14:paraId="7C08CCDA" w14:textId="77777777">
        <w:tc>
          <w:tcPr>
            <w:tcW w:w="1390" w:type="pct"/>
            <w:shd w:val="clear" w:color="auto" w:fill="8EAADB" w:themeFill="accent1" w:themeFillTint="99"/>
          </w:tcPr>
          <w:p w14:paraId="61515B46" w14:textId="77777777" w:rsidR="00891BE1" w:rsidRPr="0099114C" w:rsidRDefault="00891BE1" w:rsidP="002E21D0">
            <w:pPr>
              <w:pStyle w:val="TableText"/>
              <w:rPr>
                <w:b/>
                <w:bCs w:val="0"/>
              </w:rPr>
            </w:pPr>
            <w:r w:rsidRPr="0099114C">
              <w:rPr>
                <w:b/>
                <w:bCs w:val="0"/>
              </w:rPr>
              <w:t>&gt;59</w:t>
            </w:r>
          </w:p>
        </w:tc>
        <w:tc>
          <w:tcPr>
            <w:tcW w:w="939" w:type="pct"/>
            <w:shd w:val="clear" w:color="auto" w:fill="8EAADB" w:themeFill="accent1" w:themeFillTint="99"/>
          </w:tcPr>
          <w:p w14:paraId="092763CD" w14:textId="77777777" w:rsidR="00891BE1" w:rsidRPr="0099114C" w:rsidRDefault="00891BE1" w:rsidP="002E21D0">
            <w:pPr>
              <w:pStyle w:val="TableText"/>
              <w:jc w:val="center"/>
            </w:pPr>
            <w:r w:rsidRPr="0099114C">
              <w:t>-5.9</w:t>
            </w:r>
          </w:p>
        </w:tc>
        <w:tc>
          <w:tcPr>
            <w:tcW w:w="1042" w:type="pct"/>
            <w:shd w:val="clear" w:color="auto" w:fill="8EAADB" w:themeFill="accent1" w:themeFillTint="99"/>
          </w:tcPr>
          <w:p w14:paraId="472C5B02" w14:textId="77777777" w:rsidR="00891BE1" w:rsidRPr="0099114C" w:rsidRDefault="00891BE1" w:rsidP="002E21D0">
            <w:pPr>
              <w:pStyle w:val="TableText"/>
              <w:jc w:val="center"/>
            </w:pPr>
            <w:r w:rsidRPr="0099114C">
              <w:t>-7.5</w:t>
            </w:r>
          </w:p>
        </w:tc>
        <w:tc>
          <w:tcPr>
            <w:tcW w:w="956" w:type="pct"/>
            <w:shd w:val="clear" w:color="auto" w:fill="8EAADB" w:themeFill="accent1" w:themeFillTint="99"/>
          </w:tcPr>
          <w:p w14:paraId="0BAC23A9" w14:textId="77777777" w:rsidR="00891BE1" w:rsidRPr="0099114C" w:rsidRDefault="00891BE1" w:rsidP="002E21D0">
            <w:pPr>
              <w:pStyle w:val="TableText"/>
              <w:jc w:val="center"/>
            </w:pPr>
            <w:r w:rsidRPr="0099114C">
              <w:t>1.6</w:t>
            </w:r>
          </w:p>
        </w:tc>
        <w:tc>
          <w:tcPr>
            <w:tcW w:w="673" w:type="pct"/>
            <w:shd w:val="clear" w:color="auto" w:fill="8EAADB" w:themeFill="accent1" w:themeFillTint="99"/>
          </w:tcPr>
          <w:p w14:paraId="65E0CC41" w14:textId="77777777" w:rsidR="00891BE1" w:rsidRPr="0099114C" w:rsidRDefault="00891BE1" w:rsidP="002E21D0">
            <w:pPr>
              <w:pStyle w:val="TableText"/>
              <w:jc w:val="center"/>
            </w:pPr>
            <w:r w:rsidRPr="0099114C">
              <w:t>0.6721</w:t>
            </w:r>
          </w:p>
        </w:tc>
      </w:tr>
    </w:tbl>
    <w:p w14:paraId="78A7AEF8" w14:textId="77777777" w:rsidR="00891BE1" w:rsidRPr="0099114C" w:rsidRDefault="00891BE1" w:rsidP="002E21D0">
      <w:pPr>
        <w:pStyle w:val="FooterTableFigure"/>
        <w:keepNext/>
      </w:pPr>
      <w:r w:rsidRPr="0099114C">
        <w:t>Source: Table 2-32, p.90 of the resubmission</w:t>
      </w:r>
    </w:p>
    <w:p w14:paraId="53F04FF6" w14:textId="77777777" w:rsidR="00891BE1" w:rsidRPr="0099114C" w:rsidRDefault="00891BE1" w:rsidP="002E21D0">
      <w:pPr>
        <w:pStyle w:val="FooterTableFigure"/>
        <w:keepNext/>
        <w:rPr>
          <w:rFonts w:cs="Segoe UI"/>
          <w:szCs w:val="18"/>
        </w:rPr>
      </w:pPr>
      <w:r w:rsidRPr="0099114C">
        <w:t>Abbreviations: eGFR, estimated glomerular filtration rate;</w:t>
      </w:r>
      <w:r w:rsidRPr="0099114C">
        <w:rPr>
          <w:rFonts w:cs="Segoe UI"/>
          <w:szCs w:val="18"/>
        </w:rPr>
        <w:t xml:space="preserve"> SOC, standard of care.</w:t>
      </w:r>
    </w:p>
    <w:p w14:paraId="4538718D" w14:textId="77777777" w:rsidR="00891BE1" w:rsidRPr="0099114C" w:rsidRDefault="00891BE1" w:rsidP="00891BE1">
      <w:pPr>
        <w:pStyle w:val="FooterTableFigure"/>
        <w:rPr>
          <w:rStyle w:val="normaltextrun"/>
          <w:color w:val="000000"/>
          <w:szCs w:val="18"/>
          <w:shd w:val="clear" w:color="auto" w:fill="FFFFFF"/>
        </w:rPr>
      </w:pPr>
      <w:r w:rsidRPr="0099114C">
        <w:rPr>
          <w:rStyle w:val="normaltextrun"/>
          <w:color w:val="000000"/>
          <w:szCs w:val="18"/>
          <w:shd w:val="clear" w:color="auto" w:fill="8EAADB" w:themeFill="accent1" w:themeFillTint="99"/>
        </w:rPr>
        <w:t>Blue Shading</w:t>
      </w:r>
      <w:r w:rsidRPr="0099114C">
        <w:rPr>
          <w:rStyle w:val="normaltextrun"/>
          <w:color w:val="000000"/>
          <w:szCs w:val="18"/>
          <w:shd w:val="clear" w:color="auto" w:fill="FFFFFF"/>
        </w:rPr>
        <w:t xml:space="preserve"> indicates data previously seen by the PBAC</w:t>
      </w:r>
    </w:p>
    <w:p w14:paraId="53089AC5" w14:textId="02056EDF" w:rsidR="00891BE1" w:rsidRPr="0099114C" w:rsidRDefault="006935A9" w:rsidP="00891BE1">
      <w:pPr>
        <w:pStyle w:val="3-BodyText"/>
      </w:pPr>
      <w:bookmarkStart w:id="43" w:name="_Ref159590792"/>
      <w:bookmarkStart w:id="44" w:name="_Ref161756847"/>
      <w:r w:rsidRPr="0099114C">
        <w:t>In July 2023, t</w:t>
      </w:r>
      <w:r w:rsidR="00891BE1" w:rsidRPr="0099114C">
        <w:t>he PBAC noted the improvement in eGFR rates at both Week 26 and Week 52 evident for the population with renal disease but agreed with the ESC that the improvement in eGFR appeared to be driven by the eGFR &lt;30 mL/min/1.73m</w:t>
      </w:r>
      <w:r w:rsidR="00891BE1" w:rsidRPr="0099114C">
        <w:rPr>
          <w:vertAlign w:val="superscript"/>
        </w:rPr>
        <w:t>2</w:t>
      </w:r>
      <w:r w:rsidR="00891BE1" w:rsidRPr="0099114C">
        <w:t xml:space="preserve"> subgroup and that it was not clear how much of the benefit was attributable to the group which compared avacopan to no maintenance therapy </w:t>
      </w:r>
      <w:r w:rsidR="00891BE1" w:rsidRPr="0099114C">
        <w:rPr>
          <w:rStyle w:val="normaltextrun"/>
        </w:rPr>
        <w:t>(para 7.11, avacopan, PSD, July 2023 PBAC Meeting)</w:t>
      </w:r>
      <w:r w:rsidR="00891BE1" w:rsidRPr="0099114C">
        <w:t>.</w:t>
      </w:r>
      <w:bookmarkEnd w:id="43"/>
      <w:r w:rsidR="00891BE1" w:rsidRPr="0099114C">
        <w:t xml:space="preserve"> </w:t>
      </w:r>
      <w:r w:rsidR="00DE621F" w:rsidRPr="0099114C">
        <w:t xml:space="preserve">The pre-PBAC response </w:t>
      </w:r>
      <w:r w:rsidR="00A711DC" w:rsidRPr="0099114C">
        <w:t xml:space="preserve">for the resubmission </w:t>
      </w:r>
      <w:r w:rsidR="00DE621F" w:rsidRPr="0099114C">
        <w:t xml:space="preserve">argued that the ADVOCATE study demonstrated a statistically significant and clinically meaningful improvement in renal function as measured by eGFR at 52 weeks. </w:t>
      </w:r>
      <w:bookmarkStart w:id="45" w:name="_Hlk162022412"/>
      <w:r w:rsidR="00DE621F" w:rsidRPr="0099114C">
        <w:t xml:space="preserve">The pre-PBAC response </w:t>
      </w:r>
      <w:r w:rsidR="00664DC4" w:rsidRPr="0099114C">
        <w:t>stated that this is acknowledged in the EULAR and KDIGO guidelines which recommend avacopan specifically for patients at risk of steroid adverse effects and complications or patients with active glomerulonephritis and rapidly deteriorating kidney function, amongst other patient populations.</w:t>
      </w:r>
      <w:r w:rsidR="00664DC4" w:rsidRPr="0099114C">
        <w:rPr>
          <w:rStyle w:val="FootnoteReference"/>
        </w:rPr>
        <w:footnoteReference w:id="4"/>
      </w:r>
      <w:r w:rsidR="00664DC4" w:rsidRPr="0099114C">
        <w:rPr>
          <w:vertAlign w:val="superscript"/>
        </w:rPr>
        <w:t>,</w:t>
      </w:r>
      <w:r w:rsidR="00664DC4" w:rsidRPr="0099114C">
        <w:rPr>
          <w:rStyle w:val="FootnoteReference"/>
        </w:rPr>
        <w:footnoteReference w:id="5"/>
      </w:r>
      <w:bookmarkEnd w:id="44"/>
      <w:bookmarkEnd w:id="45"/>
    </w:p>
    <w:p w14:paraId="60B156A1" w14:textId="02B34B9D" w:rsidR="00694EB8" w:rsidRPr="0099114C" w:rsidRDefault="00680749" w:rsidP="0051763F">
      <w:pPr>
        <w:pStyle w:val="3-BodyText"/>
        <w:rPr>
          <w:rStyle w:val="normaltextrun"/>
        </w:rPr>
      </w:pPr>
      <w:r w:rsidRPr="0099114C">
        <w:rPr>
          <w:rStyle w:val="normaltextrun"/>
        </w:rPr>
        <w:t xml:space="preserve">At the July 2023 meeting, </w:t>
      </w:r>
      <w:r w:rsidR="00E829FF" w:rsidRPr="0099114C">
        <w:rPr>
          <w:rStyle w:val="normaltextrun"/>
        </w:rPr>
        <w:t>the PBAC considered the key clinical data from the ADVOCATE trial suggested the magnitude of benefit that avacopan + SOC may provide in induction therapy compared to prednisolone + SOC was limited to a potential reduction in GC use with no significant benefit in remission at 26 weeks</w:t>
      </w:r>
      <w:r w:rsidR="00FA3768" w:rsidRPr="0099114C">
        <w:rPr>
          <w:rStyle w:val="normaltextrun"/>
        </w:rPr>
        <w:t xml:space="preserve">. The Committee also considered </w:t>
      </w:r>
      <w:r w:rsidR="0051763F" w:rsidRPr="0099114C">
        <w:t xml:space="preserve">the clinical evidence provided was inadequate to assess remission at 52 weeks and did not support comparative assessment of use as maintenance therapy </w:t>
      </w:r>
      <w:r w:rsidR="0051763F" w:rsidRPr="0099114C">
        <w:rPr>
          <w:rStyle w:val="normaltextrun"/>
        </w:rPr>
        <w:t xml:space="preserve">(para 7.1, avacopan, PSD, July 2023 PBAC Meeting). </w:t>
      </w:r>
    </w:p>
    <w:p w14:paraId="3D4B2881" w14:textId="6E13F048" w:rsidR="00F305E1" w:rsidRPr="0099114C" w:rsidRDefault="008E3A67" w:rsidP="0051763F">
      <w:pPr>
        <w:pStyle w:val="3-BodyText"/>
        <w:rPr>
          <w:rStyle w:val="normaltextrun"/>
        </w:rPr>
      </w:pPr>
      <w:r w:rsidRPr="0099114C">
        <w:t>In July 2023, t</w:t>
      </w:r>
      <w:r w:rsidR="00CB6752" w:rsidRPr="0099114C">
        <w:t xml:space="preserve">he PBAC considered a resubmission for avacopan should be based on the benefits of reducing GC when used as induction therapy. Additional clinical evidence would be required to support broader benefits, including efficacy benefits, </w:t>
      </w:r>
      <w:r w:rsidR="00CB6752" w:rsidRPr="0099114C">
        <w:lastRenderedPageBreak/>
        <w:t xml:space="preserve">when used as induction therapy or to support use as maintenance therapy </w:t>
      </w:r>
      <w:r w:rsidR="00CB6752" w:rsidRPr="0099114C">
        <w:rPr>
          <w:rStyle w:val="normaltextrun"/>
        </w:rPr>
        <w:t xml:space="preserve">(para 7.1, avacopan, PSD, July 2023 PBAC Meeting). </w:t>
      </w:r>
    </w:p>
    <w:p w14:paraId="7063D8B3" w14:textId="5B640FBA" w:rsidR="00EA18B5" w:rsidRPr="0099114C" w:rsidRDefault="00EA18B5" w:rsidP="00EA18B5">
      <w:pPr>
        <w:pStyle w:val="3-BodyText"/>
      </w:pPr>
      <w:r w:rsidRPr="0099114C">
        <w:t xml:space="preserve">New </w:t>
      </w:r>
      <w:r w:rsidR="00326AE1" w:rsidRPr="0099114C">
        <w:t>clinical effectiveness</w:t>
      </w:r>
      <w:r w:rsidRPr="0099114C">
        <w:t xml:space="preserve"> information presented in the resubmission include</w:t>
      </w:r>
      <w:r w:rsidR="008E3A67" w:rsidRPr="0099114C">
        <w:t>d</w:t>
      </w:r>
      <w:r w:rsidRPr="0099114C">
        <w:t>:</w:t>
      </w:r>
    </w:p>
    <w:p w14:paraId="417D2E75" w14:textId="1F25F15F" w:rsidR="00EA18B5" w:rsidRPr="0099114C" w:rsidRDefault="00EA18B5" w:rsidP="002E21D0">
      <w:pPr>
        <w:pStyle w:val="ListParagraph"/>
        <w:numPr>
          <w:ilvl w:val="0"/>
          <w:numId w:val="25"/>
        </w:numPr>
        <w:spacing w:after="120"/>
        <w:ind w:hanging="357"/>
        <w:contextualSpacing w:val="0"/>
      </w:pPr>
      <w:r w:rsidRPr="0099114C">
        <w:t>Additional post-hoc and subgroup analyses from the ADVOCATE trial</w:t>
      </w:r>
      <w:r w:rsidR="00556F11" w:rsidRPr="0099114C">
        <w:t xml:space="preserve"> to demonstrate the broader benefits of </w:t>
      </w:r>
      <w:r w:rsidR="00DD1421" w:rsidRPr="0099114C">
        <w:t>avacopan.</w:t>
      </w:r>
    </w:p>
    <w:p w14:paraId="2028370E" w14:textId="5E159B26" w:rsidR="00EA18B5" w:rsidRPr="0099114C" w:rsidRDefault="00EA18B5" w:rsidP="002E21D0">
      <w:pPr>
        <w:pStyle w:val="ListParagraph"/>
        <w:numPr>
          <w:ilvl w:val="0"/>
          <w:numId w:val="54"/>
        </w:numPr>
        <w:spacing w:after="120"/>
        <w:ind w:hanging="357"/>
        <w:contextualSpacing w:val="0"/>
      </w:pPr>
      <w:r w:rsidRPr="0099114C">
        <w:t xml:space="preserve">Post-hoc analysis of time to 40% reduction in </w:t>
      </w:r>
      <w:r w:rsidR="00AC75BD" w:rsidRPr="0099114C">
        <w:t>urinary albumin creatinine ratio (</w:t>
      </w:r>
      <w:r w:rsidRPr="0099114C">
        <w:t>UACR</w:t>
      </w:r>
      <w:r w:rsidR="00AC75BD" w:rsidRPr="0099114C">
        <w:t>)</w:t>
      </w:r>
      <w:r w:rsidRPr="0099114C">
        <w:t xml:space="preserve"> for participants with kidney involvement and baseline UACR ≥10mg/g</w:t>
      </w:r>
      <w:r w:rsidR="008E3A67" w:rsidRPr="0099114C">
        <w:t>.</w:t>
      </w:r>
    </w:p>
    <w:p w14:paraId="41D4E7EE" w14:textId="28BC2AB0" w:rsidR="00EA18B5" w:rsidRPr="0099114C" w:rsidRDefault="00EA18B5" w:rsidP="002E21D0">
      <w:pPr>
        <w:pStyle w:val="ListParagraph"/>
        <w:numPr>
          <w:ilvl w:val="0"/>
          <w:numId w:val="54"/>
        </w:numPr>
        <w:spacing w:after="120"/>
        <w:ind w:hanging="357"/>
        <w:contextualSpacing w:val="0"/>
      </w:pPr>
      <w:r w:rsidRPr="0099114C">
        <w:t xml:space="preserve">Post-hoc analysis of patient-reported </w:t>
      </w:r>
      <w:r w:rsidR="008E3A67" w:rsidRPr="0099114C">
        <w:t>HRQoL outcomes</w:t>
      </w:r>
      <w:r w:rsidRPr="0099114C">
        <w:t>. These data without the reference to minimum clinically important difference (MCID) and minimum important difference (MID) were presented in the previous submission and considered by the PBAC at the July 2023 meeting.</w:t>
      </w:r>
    </w:p>
    <w:p w14:paraId="1FD2791E" w14:textId="77777777" w:rsidR="00EA18B5" w:rsidRPr="0099114C" w:rsidRDefault="00EA18B5" w:rsidP="002E21D0">
      <w:pPr>
        <w:pStyle w:val="ListParagraph"/>
        <w:numPr>
          <w:ilvl w:val="0"/>
          <w:numId w:val="25"/>
        </w:numPr>
        <w:spacing w:after="120"/>
        <w:ind w:hanging="357"/>
        <w:contextualSpacing w:val="0"/>
      </w:pPr>
      <w:r w:rsidRPr="0099114C">
        <w:t>A feasibility assessment of three randomised controlled trials (MAINRITSAN, MAINRITSAN 2 and RITZAREM) which considered the use of rituximab for maintenance as evidence to support why a comparison of avacopan vs rituximab for the maintenance phase was not feasible.</w:t>
      </w:r>
    </w:p>
    <w:p w14:paraId="4CE3AD33" w14:textId="031666B5" w:rsidR="00D06245" w:rsidRPr="0099114C" w:rsidRDefault="002F55A5" w:rsidP="00ED267E">
      <w:pPr>
        <w:pStyle w:val="3-BodyText"/>
        <w:spacing w:before="120"/>
        <w:rPr>
          <w:i/>
          <w:iCs/>
        </w:rPr>
      </w:pPr>
      <w:r w:rsidRPr="0099114C">
        <w:rPr>
          <w:rFonts w:ascii="Arial Narrow" w:hAnsi="Arial Narrow"/>
          <w:bCs/>
          <w:sz w:val="20"/>
          <w:szCs w:val="18"/>
        </w:rPr>
        <w:fldChar w:fldCharType="begin" w:fldLock="1"/>
      </w:r>
      <w:r w:rsidR="00000000">
        <w:rPr>
          <w:rFonts w:ascii="Arial Narrow" w:hAnsi="Arial Narrow"/>
          <w:bCs/>
          <w:sz w:val="20"/>
          <w:szCs w:val="18"/>
        </w:rPr>
        <w:fldChar w:fldCharType="separate"/>
      </w:r>
      <w:r w:rsidRPr="0099114C">
        <w:rPr>
          <w:rFonts w:ascii="Arial Narrow" w:hAnsi="Arial Narrow"/>
          <w:bCs/>
          <w:sz w:val="20"/>
          <w:szCs w:val="18"/>
        </w:rPr>
        <w:fldChar w:fldCharType="end"/>
      </w:r>
      <w:bookmarkStart w:id="46" w:name="_Ref161864164"/>
      <w:r w:rsidR="005E1718" w:rsidRPr="0099114C">
        <w:t>Figure 2</w:t>
      </w:r>
      <w:r w:rsidR="00DB5178" w:rsidRPr="0099114C">
        <w:t xml:space="preserve"> </w:t>
      </w:r>
      <w:r w:rsidR="0042004C" w:rsidRPr="0099114C">
        <w:t>presents</w:t>
      </w:r>
      <w:r w:rsidR="00314F23" w:rsidRPr="0099114C">
        <w:t xml:space="preserve"> </w:t>
      </w:r>
      <w:r w:rsidR="00DB5178" w:rsidRPr="0099114C">
        <w:t xml:space="preserve">a Kaplan-Meier curve showing the time to achieve a 40% reduction in UACR for </w:t>
      </w:r>
      <w:r w:rsidR="5295DFE1" w:rsidRPr="0099114C">
        <w:t>participants with kidney involvement and UACR ≥10mg/g at baseline in</w:t>
      </w:r>
      <w:r w:rsidR="00DB5178" w:rsidRPr="0099114C">
        <w:t xml:space="preserve"> the avacopan and prednisone groups.</w:t>
      </w:r>
      <w:bookmarkEnd w:id="46"/>
      <w:r w:rsidR="0005122A" w:rsidRPr="0099114C">
        <w:t xml:space="preserve"> </w:t>
      </w:r>
    </w:p>
    <w:p w14:paraId="31A3EFCD" w14:textId="53BF210E" w:rsidR="00DB5178" w:rsidRPr="0099114C" w:rsidRDefault="0042004C" w:rsidP="002E21D0">
      <w:pPr>
        <w:pStyle w:val="Caption"/>
      </w:pPr>
      <w:r w:rsidRPr="0099114C">
        <w:t xml:space="preserve">Figure </w:t>
      </w:r>
      <w:fldSimple w:instr=" SEQ Figure \* ARABIC " w:fldLock="1">
        <w:r w:rsidR="00A04368" w:rsidRPr="00857B0D">
          <w:t>2</w:t>
        </w:r>
      </w:fldSimple>
      <w:r w:rsidR="00DB5178" w:rsidRPr="0099114C">
        <w:t xml:space="preserve">: </w:t>
      </w:r>
      <w:r w:rsidR="1762C5BD" w:rsidRPr="0099114C">
        <w:t>Time to 40% UACR reduction in avacopan and SOC treatment groups for participants with kidney involvement and UACR ≥10mg/g at baseline</w:t>
      </w:r>
    </w:p>
    <w:p w14:paraId="307FC2F9" w14:textId="46770C12" w:rsidR="009279F9" w:rsidRPr="0099114C" w:rsidRDefault="009279F9" w:rsidP="002E21D0">
      <w:pPr>
        <w:pStyle w:val="FooterTableFigure"/>
        <w:keepNext/>
        <w:keepLines/>
      </w:pPr>
      <w:r w:rsidRPr="00857B0D">
        <w:rPr>
          <w:noProof/>
        </w:rPr>
        <w:drawing>
          <wp:inline distT="0" distB="0" distL="0" distR="0" wp14:anchorId="5FF89BA8" wp14:editId="11BDA27A">
            <wp:extent cx="5700395" cy="3657600"/>
            <wp:effectExtent l="0" t="0" r="0" b="0"/>
            <wp:docPr id="312542248" name="Picture 312542248" descr="Figure 2: Time to 40% UACR reduction in avacopan and SOC treatment groups for participants with kidney involvement and UACR ≥10mg/g at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542248" name="Picture 312542248" descr="Figure 2: Time to 40% UACR reduction in avacopan and SOC treatment groups for participants with kidney involvement and UACR ≥10mg/g at baseli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0395" cy="3657600"/>
                    </a:xfrm>
                    <a:prstGeom prst="rect">
                      <a:avLst/>
                    </a:prstGeom>
                    <a:noFill/>
                  </pic:spPr>
                </pic:pic>
              </a:graphicData>
            </a:graphic>
          </wp:inline>
        </w:drawing>
      </w:r>
      <w:r w:rsidRPr="0099114C">
        <w:t>Source: Figure 2.10, p.94 of the resubmission</w:t>
      </w:r>
    </w:p>
    <w:p w14:paraId="3067862D" w14:textId="77777777" w:rsidR="009279F9" w:rsidRPr="0099114C" w:rsidRDefault="009279F9" w:rsidP="009279F9">
      <w:pPr>
        <w:pStyle w:val="FooterTableFigure"/>
      </w:pPr>
      <w:r w:rsidRPr="0099114C">
        <w:t>Abbreviations: SOC, standard of care; UACR, urinary albumin to creatine ratio</w:t>
      </w:r>
    </w:p>
    <w:p w14:paraId="27E09534" w14:textId="236FFB43" w:rsidR="009279F9" w:rsidRPr="0099114C" w:rsidRDefault="009279F9" w:rsidP="00F02B98">
      <w:pPr>
        <w:pStyle w:val="3-BodyText"/>
      </w:pPr>
      <w:r w:rsidRPr="0099114C">
        <w:lastRenderedPageBreak/>
        <w:t xml:space="preserve">The analysis demonstrated that the median time to achieve a 40% reduction in UACR was 29 days (95% CI, 29, 88) for the avacopan treatment group versus 92 days (95% CI, 91, 180) for the SOC group over the 52-week treatment period (log-rank p = 0.045). </w:t>
      </w:r>
    </w:p>
    <w:p w14:paraId="44D5E7FA" w14:textId="23C68789" w:rsidR="009279F9" w:rsidRPr="0099114C" w:rsidRDefault="009279F9" w:rsidP="00F02B98">
      <w:pPr>
        <w:pStyle w:val="3-BodyText"/>
      </w:pPr>
      <w:r w:rsidRPr="0099114C">
        <w:t xml:space="preserve">After 52 weeks, there was no statistically significant difference in achieving a 40% reduction between participants in either treatment arms as the curves on the Kaplan-Meier converged at Day 200 (approximately 28 weeks). </w:t>
      </w:r>
    </w:p>
    <w:p w14:paraId="091E4D72" w14:textId="0473596F" w:rsidR="00EB4D54" w:rsidRPr="0099114C" w:rsidRDefault="00EB4D54" w:rsidP="00B416A4">
      <w:pPr>
        <w:pStyle w:val="3-BodyText"/>
      </w:pPr>
      <w:bookmarkStart w:id="47" w:name="_Ref155967714"/>
      <w:bookmarkStart w:id="48" w:name="_Ref159590751"/>
      <w:bookmarkStart w:id="49" w:name="_Ref161864176"/>
      <w:r w:rsidRPr="0099114C">
        <w:t xml:space="preserve">The resubmission considered that the faster reduction in UACR in the avacopan group may have contributed to greater subsequent improvement in eGFR as a result of more rapid control of glomerular inflammation. This interpretation may be reasonable but would only apply to a subgroup of patients with kidney involvement and UACR ≥10mg/g. </w:t>
      </w:r>
      <w:r w:rsidR="005851F6" w:rsidRPr="0099114C">
        <w:t>Translation of this outcome to long</w:t>
      </w:r>
      <w:r w:rsidR="004314E0" w:rsidRPr="0099114C">
        <w:t xml:space="preserve"> term </w:t>
      </w:r>
      <w:r w:rsidR="005851F6" w:rsidRPr="0099114C">
        <w:t>benefits including improvement in eGFR</w:t>
      </w:r>
      <w:r w:rsidR="004314E0" w:rsidRPr="0099114C">
        <w:t xml:space="preserve"> is </w:t>
      </w:r>
      <w:r w:rsidR="005851F6" w:rsidRPr="0099114C">
        <w:t>uncertain</w:t>
      </w:r>
      <w:r w:rsidR="004314E0" w:rsidRPr="0099114C">
        <w:t>.</w:t>
      </w:r>
      <w:r w:rsidRPr="0099114C">
        <w:t xml:space="preserve"> It should also be noted that the baseline geometric mean UACR</w:t>
      </w:r>
      <w:r w:rsidR="002E21D0">
        <w:t> </w:t>
      </w:r>
      <w:r w:rsidRPr="0099114C">
        <w:t>mg/g was reported to be higher in the avacopan + SOC group (433; range 20 to 6461) than the GC + SOC group (312; range 11 to 5367) and it unclear if the analysis adjusted for this baseline difference.</w:t>
      </w:r>
      <w:bookmarkEnd w:id="47"/>
      <w:r w:rsidRPr="0099114C">
        <w:t xml:space="preserve"> </w:t>
      </w:r>
      <w:r w:rsidR="00B55DAC" w:rsidRPr="0099114C">
        <w:t>The PSCR argued that the direct link between albuminuria and kidney damage is well-established and early and short-term albuminuria reduction has been shown to correlate with better clinical outcomes. The ESC noted the reduction in the median time to achieve a 40% reduction in UACR and considered that it may suggest a potential renal benefit</w:t>
      </w:r>
      <w:r w:rsidR="00AD6108" w:rsidRPr="0099114C">
        <w:t xml:space="preserve"> in the subgroup of patients with kidney involvement and UACR ≥10mg/g</w:t>
      </w:r>
      <w:r w:rsidR="00B55DAC" w:rsidRPr="0099114C">
        <w:t xml:space="preserve">. However, the ESC considered the selection of a 40% target appeared to be arbitrarily chosen to maximise the statistical difference and was not supported in the literature. </w:t>
      </w:r>
      <w:r w:rsidR="00AD6108" w:rsidRPr="0099114C">
        <w:t>Overall, the ESC advised that the broader implications of the 40% reduction in UACR were unclear.</w:t>
      </w:r>
      <w:bookmarkEnd w:id="48"/>
      <w:r w:rsidR="00AD6108" w:rsidRPr="0099114C">
        <w:rPr>
          <w:i/>
          <w:iCs/>
        </w:rPr>
        <w:t xml:space="preserve"> </w:t>
      </w:r>
      <w:r w:rsidR="008E3A67" w:rsidRPr="0099114C">
        <w:t>The pre-PBAC response stated that</w:t>
      </w:r>
      <w:r w:rsidR="00764B28" w:rsidRPr="0099114C">
        <w:t xml:space="preserve"> </w:t>
      </w:r>
      <w:r w:rsidR="00A65E67" w:rsidRPr="0099114C">
        <w:t>30% is</w:t>
      </w:r>
      <w:r w:rsidR="008E3A67" w:rsidRPr="0099114C">
        <w:t xml:space="preserve"> </w:t>
      </w:r>
      <w:r w:rsidR="00A65E67" w:rsidRPr="0099114C">
        <w:t>the target reduction UACR generally accepted in the literature</w:t>
      </w:r>
      <w:r w:rsidR="00A65E67" w:rsidRPr="0099114C">
        <w:rPr>
          <w:rStyle w:val="FootnoteReference"/>
        </w:rPr>
        <w:footnoteReference w:id="6"/>
      </w:r>
      <w:r w:rsidR="00764B28" w:rsidRPr="0099114C">
        <w:t xml:space="preserve"> and acknowledged the target used in the post-hoc analysis was higher than that generally accepted. However, the pre-PBAC response argued that the speed of UACR improvement in the avacopan group versus SoC would remain if this threshold was set </w:t>
      </w:r>
      <w:r w:rsidR="00DF3F9A" w:rsidRPr="0099114C">
        <w:t xml:space="preserve">lower at </w:t>
      </w:r>
      <w:r w:rsidR="00764B28" w:rsidRPr="0099114C">
        <w:t>30% target reduction. The pre-PBAC response stated the speed of UACR decrease is relevant because it provides a potential mechanistic rationale for the clinically meaningful improvement in eGFR observed in the avacopan cohort at 52 weeks.</w:t>
      </w:r>
      <w:bookmarkEnd w:id="49"/>
      <w:r w:rsidR="00764B28" w:rsidRPr="0099114C">
        <w:t xml:space="preserve"> </w:t>
      </w:r>
    </w:p>
    <w:p w14:paraId="517CD1BE" w14:textId="5E2647D4" w:rsidR="00C923DA" w:rsidRPr="0099114C" w:rsidRDefault="005D3E5A" w:rsidP="00F02B98">
      <w:pPr>
        <w:pStyle w:val="3-BodyText"/>
      </w:pPr>
      <w:r w:rsidRPr="0099114C">
        <w:t xml:space="preserve">The resubmission also provided a post-hoc analysis of </w:t>
      </w:r>
      <w:r w:rsidR="00DF3F9A" w:rsidRPr="0099114C">
        <w:t>HRQoL</w:t>
      </w:r>
      <w:r w:rsidRPr="0099114C">
        <w:t xml:space="preserve"> at week 26 and week 52 for study participants. These data without the reference to MCID </w:t>
      </w:r>
      <w:r w:rsidR="005851F6" w:rsidRPr="0099114C">
        <w:t>or MID were</w:t>
      </w:r>
      <w:r w:rsidRPr="0099114C">
        <w:t xml:space="preserve"> presented in the previous submission and considered by the PBAC at the July 2023 meeting.</w:t>
      </w:r>
      <w:r w:rsidR="00C923DA" w:rsidRPr="0099114C">
        <w:t xml:space="preserve"> </w:t>
      </w:r>
      <w:r w:rsidR="00764402" w:rsidRPr="0099114C">
        <w:t>The SF-6D is a new presentation of the SF-36 data not seen by the PBAC before.</w:t>
      </w:r>
      <w:r w:rsidR="00C923DA" w:rsidRPr="0099114C">
        <w:t xml:space="preserve"> The data indicate that improvements in the quality of life of patients with AAV was higher (and statistically significant at week 52</w:t>
      </w:r>
      <w:r w:rsidR="004D2420" w:rsidRPr="0099114C">
        <w:t xml:space="preserve"> for SF-36 the physical component score</w:t>
      </w:r>
      <w:r w:rsidR="00D7449C" w:rsidRPr="0099114C">
        <w:t>, SF-6D, EQ-5D health utility, and EQ-5D-5L</w:t>
      </w:r>
      <w:r w:rsidR="007A3213" w:rsidRPr="0099114C">
        <w:t xml:space="preserve"> visual analogue score</w:t>
      </w:r>
      <w:r w:rsidR="00C923DA" w:rsidRPr="0099114C">
        <w:t xml:space="preserve">) in patients in </w:t>
      </w:r>
      <w:r w:rsidR="00C923DA" w:rsidRPr="0099114C">
        <w:lastRenderedPageBreak/>
        <w:t>the avacopan + SOC group compared to those in the GC + SOC group</w:t>
      </w:r>
      <w:r w:rsidR="0099114C">
        <w:t xml:space="preserve">. </w:t>
      </w:r>
      <w:r w:rsidR="002777ED" w:rsidRPr="0099114C">
        <w:t>For SF-6D</w:t>
      </w:r>
      <w:r w:rsidR="00F74071" w:rsidRPr="0099114C">
        <w:t xml:space="preserve"> and EQ-5D-5L visual analogue scale scores</w:t>
      </w:r>
      <w:r w:rsidR="002777ED" w:rsidRPr="0099114C">
        <w:t xml:space="preserve">, improvements in both treatment groups at weeks 26 and 52 met the MID </w:t>
      </w:r>
      <w:r w:rsidR="00E8403F" w:rsidRPr="0099114C">
        <w:t>and for EQ-5D</w:t>
      </w:r>
      <w:r w:rsidR="00C60BA4" w:rsidRPr="0099114C">
        <w:t xml:space="preserve">, only the avacopan group at week 52 met the MID. </w:t>
      </w:r>
    </w:p>
    <w:p w14:paraId="36B206C3" w14:textId="4BEC36CF" w:rsidR="00815F15" w:rsidRPr="0099114C" w:rsidRDefault="00815F15" w:rsidP="002A1E26">
      <w:pPr>
        <w:pStyle w:val="3-BodyText"/>
        <w:numPr>
          <w:ilvl w:val="0"/>
          <w:numId w:val="0"/>
        </w:numPr>
        <w:ind w:left="720"/>
        <w:rPr>
          <w:b/>
          <w:bCs/>
        </w:rPr>
      </w:pPr>
      <w:r w:rsidRPr="0099114C">
        <w:rPr>
          <w:b/>
          <w:bCs/>
        </w:rPr>
        <w:t>Rituximab</w:t>
      </w:r>
    </w:p>
    <w:p w14:paraId="12A44636" w14:textId="45721B16" w:rsidR="0022709B" w:rsidRPr="0099114C" w:rsidRDefault="00062AF6" w:rsidP="00815F15">
      <w:pPr>
        <w:pStyle w:val="3-BodyText"/>
      </w:pPr>
      <w:bookmarkStart w:id="50" w:name="_Ref159151912"/>
      <w:r w:rsidRPr="0099114C">
        <w:t xml:space="preserve">A feasibility assessment </w:t>
      </w:r>
      <w:r w:rsidR="00815F15" w:rsidRPr="0099114C">
        <w:t>for conducting an ITC between avacopan and fixed dose rituximab maintenance treatment in patients with AAV entering remission following rituximab induction was presented in the resubmission. T</w:t>
      </w:r>
      <w:r w:rsidRPr="0099114C">
        <w:t>he RCTs</w:t>
      </w:r>
      <w:r w:rsidR="005B1876" w:rsidRPr="0099114C">
        <w:t xml:space="preserve"> (MAINRITSAN, MAINRITSAN 2 and RITZAREM) which considered the use of rituximab as maintenance therapy</w:t>
      </w:r>
      <w:r w:rsidR="000F24BE" w:rsidRPr="0099114C">
        <w:t xml:space="preserve"> </w:t>
      </w:r>
      <w:r w:rsidR="00815F15" w:rsidRPr="0099114C">
        <w:t xml:space="preserve">were assessed </w:t>
      </w:r>
      <w:r w:rsidRPr="0099114C">
        <w:t>against the ADVOCATE trial</w:t>
      </w:r>
      <w:r w:rsidR="00815F15" w:rsidRPr="0099114C">
        <w:t>.</w:t>
      </w:r>
      <w:r w:rsidRPr="0099114C">
        <w:t xml:space="preserve"> The resubmission concluded that due to significant transitivity concerns (differences in maintenance regimens, outcome definitions, study population and design), limited sample size and lack of common comparator, the results from an ITC would be subject to bias and uncertainty. As such, the resubmission did not undertake an ITC.</w:t>
      </w:r>
      <w:bookmarkEnd w:id="50"/>
    </w:p>
    <w:p w14:paraId="495FA83D" w14:textId="53EB2420" w:rsidR="0022709B" w:rsidRPr="0099114C" w:rsidRDefault="005D3BD0" w:rsidP="00B416A4">
      <w:pPr>
        <w:pStyle w:val="3-BodyText"/>
      </w:pPr>
      <w:bookmarkStart w:id="51" w:name="_Ref161846371"/>
      <w:r w:rsidRPr="0099114C">
        <w:t>The</w:t>
      </w:r>
      <w:r w:rsidR="00D15F10" w:rsidRPr="0099114C">
        <w:t xml:space="preserve"> ESC agreed with the evaluation that the</w:t>
      </w:r>
      <w:r w:rsidRPr="0099114C">
        <w:t xml:space="preserve"> conclusions drawn from the </w:t>
      </w:r>
      <w:r w:rsidR="005F3B0A" w:rsidRPr="0099114C">
        <w:t>feasibility assessment appear</w:t>
      </w:r>
      <w:r w:rsidR="00DF3F9A" w:rsidRPr="0099114C">
        <w:t>ed</w:t>
      </w:r>
      <w:r w:rsidR="005F3B0A" w:rsidRPr="0099114C">
        <w:t xml:space="preserve"> reasonable as anchored indirect comparisons to compare avacopan and rituximab as maintenance therapies were not feasible between the ADVOCATE trial and any one of MAINRITSAN, MAINRITSAN 2, or RITAZAREM for a robust comparison. Furthermore, any unanchored indirect comparison </w:t>
      </w:r>
      <w:r w:rsidR="00DF3F9A" w:rsidRPr="0099114C">
        <w:t>wa</w:t>
      </w:r>
      <w:r w:rsidR="005F3B0A" w:rsidRPr="0099114C">
        <w:t>s likely to be biased, and in the absence of individual patient data, would be contingent on making unfounded assumptions about trial participants, yielding highly uncertain results.</w:t>
      </w:r>
      <w:bookmarkEnd w:id="51"/>
      <w:r w:rsidR="004B3B88" w:rsidRPr="0099114C">
        <w:t xml:space="preserve"> </w:t>
      </w:r>
    </w:p>
    <w:p w14:paraId="003729CE" w14:textId="453D3890" w:rsidR="005F3B0A" w:rsidRPr="0099114C" w:rsidRDefault="007B3A0D" w:rsidP="007B3A0D">
      <w:pPr>
        <w:pStyle w:val="3-BodyText"/>
      </w:pPr>
      <w:r w:rsidRPr="0099114C">
        <w:t xml:space="preserve">To account for the impact of adding rituximab to avacopan in maintenance in the economic evaluation, the probability of relapse from ADVOCATE was adjusted using the hazard ratio (HR) of 0.36 from the RITAZAREM trial where rituximab maintenance was shown to be superior to azathioprine in preventing disease relapse (Smith, Jayne et al. 2019). </w:t>
      </w:r>
      <w:r w:rsidR="00732051" w:rsidRPr="0099114C">
        <w:fldChar w:fldCharType="begin" w:fldLock="1"/>
      </w:r>
      <w:r w:rsidR="00732051" w:rsidRPr="0099114C">
        <w:instrText xml:space="preserve"> REF _Ref155869459 \h </w:instrText>
      </w:r>
      <w:r w:rsidR="00852047" w:rsidRPr="0099114C">
        <w:instrText xml:space="preserve"> \* MERGEFORMAT </w:instrText>
      </w:r>
      <w:r w:rsidR="00732051" w:rsidRPr="0099114C">
        <w:fldChar w:fldCharType="separate"/>
      </w:r>
      <w:r w:rsidR="00A04368" w:rsidRPr="0099114C">
        <w:t>Table 9</w:t>
      </w:r>
      <w:r w:rsidR="00732051" w:rsidRPr="0099114C">
        <w:fldChar w:fldCharType="end"/>
      </w:r>
      <w:r w:rsidR="00732051" w:rsidRPr="0099114C">
        <w:t xml:space="preserve"> </w:t>
      </w:r>
      <w:r w:rsidR="00410A5C" w:rsidRPr="0099114C">
        <w:t>presents the results from the RITAZAREM trial compared to the ADVOCATE trial.</w:t>
      </w:r>
      <w:r w:rsidRPr="0099114C">
        <w:t xml:space="preserve"> There are key differences between the two trials. In contrast to RITAZAREM which had a maintenance phase lasting 20 months, avacopan was only used as maintenance therapy for up to 6 months in ADVOCATE. RITAZAREM also excluded newly diagnosed participants from being eligible in the trial, whereas the ADVOCATE study population was mostly comprised of newly diagnosed patients (69.2%). Each trial also included different comparator arms, with rituximab being compared to azathioprine in RITAZAREM versus avacopan compared to prednisone in ADVOCATE. Additionally, the definition of remission in RITAZAREM differed from that in ADVOCATE. Despite these limitations, the evaluation considered RITAZAREM may provide the best available evidence of rituximab efficacy in the maintenance setting, reflecting Australian practice and population. The ESC considered the two-step approach involving the multiplication of probability by a hazard was associated with uncertainty (see paragraph </w:t>
      </w:r>
      <w:r w:rsidRPr="0099114C">
        <w:fldChar w:fldCharType="begin" w:fldLock="1"/>
      </w:r>
      <w:r w:rsidRPr="0099114C">
        <w:instrText xml:space="preserve"> REF _Ref159248690 \r \h  \* MERGEFORMAT </w:instrText>
      </w:r>
      <w:r w:rsidRPr="0099114C">
        <w:fldChar w:fldCharType="separate"/>
      </w:r>
      <w:r w:rsidRPr="0099114C">
        <w:t>6.65</w:t>
      </w:r>
      <w:r w:rsidRPr="0099114C">
        <w:fldChar w:fldCharType="end"/>
      </w:r>
      <w:r w:rsidRPr="0099114C">
        <w:t xml:space="preserve">). The lower rate of relapse in maintenance leads to the absolute treatment effect of avacopan being smaller when added to rituximab compared with azathioprine. </w:t>
      </w:r>
      <w:bookmarkStart w:id="52" w:name="_Ref161827782"/>
    </w:p>
    <w:p w14:paraId="57E9A4B5" w14:textId="531A540A" w:rsidR="00C12791" w:rsidRPr="0099114C" w:rsidRDefault="00C12791" w:rsidP="002E21D0">
      <w:pPr>
        <w:pStyle w:val="Caption"/>
      </w:pPr>
      <w:bookmarkStart w:id="53" w:name="_Ref155869459"/>
      <w:bookmarkEnd w:id="52"/>
      <w:r w:rsidRPr="0099114C">
        <w:lastRenderedPageBreak/>
        <w:t>Table</w:t>
      </w:r>
      <w:r w:rsidR="00732051" w:rsidRPr="0099114C">
        <w:t xml:space="preserve"> </w:t>
      </w:r>
      <w:fldSimple w:instr=" SEQ Table \* ARABIC " w:fldLock="1">
        <w:r w:rsidR="00A04368" w:rsidRPr="00857B0D">
          <w:t>9</w:t>
        </w:r>
      </w:fldSimple>
      <w:bookmarkEnd w:id="53"/>
      <w:r w:rsidRPr="0099114C">
        <w:t xml:space="preserve">: </w:t>
      </w:r>
      <w:r w:rsidR="00732051" w:rsidRPr="0099114C">
        <w:t>Comparison of outcomes presented in RITAZAREM and ADVOCATE trials</w:t>
      </w:r>
    </w:p>
    <w:tbl>
      <w:tblPr>
        <w:tblStyle w:val="TableGrid"/>
        <w:tblW w:w="0" w:type="auto"/>
        <w:tblLook w:val="04A0" w:firstRow="1" w:lastRow="0" w:firstColumn="1" w:lastColumn="0" w:noHBand="0" w:noVBand="1"/>
        <w:tblCaption w:val="Table 9: Comparison of outcomes presented in RITAZAREM and ADVOCATE trials"/>
      </w:tblPr>
      <w:tblGrid>
        <w:gridCol w:w="2689"/>
        <w:gridCol w:w="1581"/>
        <w:gridCol w:w="1582"/>
        <w:gridCol w:w="1582"/>
        <w:gridCol w:w="1582"/>
      </w:tblGrid>
      <w:tr w:rsidR="00732051" w:rsidRPr="0099114C" w14:paraId="4B15E409" w14:textId="77777777">
        <w:tc>
          <w:tcPr>
            <w:tcW w:w="2689" w:type="dxa"/>
          </w:tcPr>
          <w:p w14:paraId="2460F0C9" w14:textId="77777777" w:rsidR="00732051" w:rsidRPr="0099114C" w:rsidRDefault="00732051" w:rsidP="002E21D0">
            <w:pPr>
              <w:pStyle w:val="In-tableHeading"/>
              <w:rPr>
                <w:lang w:val="en-AU"/>
              </w:rPr>
            </w:pPr>
          </w:p>
        </w:tc>
        <w:tc>
          <w:tcPr>
            <w:tcW w:w="3163" w:type="dxa"/>
            <w:gridSpan w:val="2"/>
          </w:tcPr>
          <w:p w14:paraId="36021348" w14:textId="77777777" w:rsidR="00732051" w:rsidRPr="00857B0D" w:rsidRDefault="00732051" w:rsidP="002E21D0">
            <w:pPr>
              <w:pStyle w:val="In-tableHeading"/>
              <w:jc w:val="center"/>
              <w:rPr>
                <w:lang w:val="en-AU"/>
              </w:rPr>
            </w:pPr>
            <w:r w:rsidRPr="00857B0D">
              <w:rPr>
                <w:lang w:val="en-AU"/>
              </w:rPr>
              <w:t>RITAZAREM</w:t>
            </w:r>
          </w:p>
          <w:p w14:paraId="08AA76D8" w14:textId="77777777" w:rsidR="00732051" w:rsidRPr="0099114C" w:rsidRDefault="00732051" w:rsidP="002E21D0">
            <w:pPr>
              <w:pStyle w:val="In-tableHeading"/>
              <w:jc w:val="center"/>
              <w:rPr>
                <w:lang w:val="en-AU"/>
              </w:rPr>
            </w:pPr>
            <w:r w:rsidRPr="00857B0D">
              <w:rPr>
                <w:lang w:val="en-AU"/>
              </w:rPr>
              <w:t>N = 170</w:t>
            </w:r>
            <w:r w:rsidRPr="00857B0D">
              <w:rPr>
                <w:vertAlign w:val="superscript"/>
                <w:lang w:val="en-AU"/>
              </w:rPr>
              <w:t>a</w:t>
            </w:r>
          </w:p>
        </w:tc>
        <w:tc>
          <w:tcPr>
            <w:tcW w:w="3164" w:type="dxa"/>
            <w:gridSpan w:val="2"/>
          </w:tcPr>
          <w:p w14:paraId="0E9DED1A" w14:textId="77777777" w:rsidR="00732051" w:rsidRPr="00857B0D" w:rsidRDefault="00732051" w:rsidP="002E21D0">
            <w:pPr>
              <w:pStyle w:val="In-tableHeading"/>
              <w:jc w:val="center"/>
              <w:rPr>
                <w:lang w:val="en-AU"/>
              </w:rPr>
            </w:pPr>
            <w:r w:rsidRPr="00857B0D">
              <w:rPr>
                <w:lang w:val="en-AU"/>
              </w:rPr>
              <w:t>ADVOCATE</w:t>
            </w:r>
          </w:p>
          <w:p w14:paraId="5B9DAD80" w14:textId="77777777" w:rsidR="00732051" w:rsidRPr="0099114C" w:rsidRDefault="00732051" w:rsidP="002E21D0">
            <w:pPr>
              <w:pStyle w:val="In-tableHeading"/>
              <w:jc w:val="center"/>
              <w:rPr>
                <w:lang w:val="en-AU"/>
              </w:rPr>
            </w:pPr>
            <w:r w:rsidRPr="00857B0D">
              <w:rPr>
                <w:lang w:val="en-AU"/>
              </w:rPr>
              <w:t>N = 330</w:t>
            </w:r>
            <w:r w:rsidRPr="00857B0D">
              <w:rPr>
                <w:vertAlign w:val="superscript"/>
                <w:lang w:val="en-AU"/>
              </w:rPr>
              <w:t>b</w:t>
            </w:r>
          </w:p>
        </w:tc>
      </w:tr>
      <w:tr w:rsidR="00732051" w:rsidRPr="0099114C" w14:paraId="27D99103" w14:textId="77777777">
        <w:tc>
          <w:tcPr>
            <w:tcW w:w="2689" w:type="dxa"/>
          </w:tcPr>
          <w:p w14:paraId="21DA13A0" w14:textId="77777777" w:rsidR="00732051" w:rsidRPr="0099114C" w:rsidRDefault="00732051" w:rsidP="002E21D0">
            <w:pPr>
              <w:pStyle w:val="In-tableHeading"/>
              <w:rPr>
                <w:lang w:val="en-AU"/>
              </w:rPr>
            </w:pPr>
            <w:r w:rsidRPr="00857B0D">
              <w:rPr>
                <w:lang w:val="en-AU"/>
              </w:rPr>
              <w:t>Trial duration</w:t>
            </w:r>
          </w:p>
        </w:tc>
        <w:tc>
          <w:tcPr>
            <w:tcW w:w="3163" w:type="dxa"/>
            <w:gridSpan w:val="2"/>
          </w:tcPr>
          <w:p w14:paraId="462F993F" w14:textId="77777777" w:rsidR="00732051" w:rsidRPr="0099114C" w:rsidRDefault="00732051" w:rsidP="002E21D0">
            <w:pPr>
              <w:pStyle w:val="In-tableHeading"/>
              <w:jc w:val="center"/>
              <w:rPr>
                <w:b w:val="0"/>
                <w:iCs/>
                <w:lang w:val="en-AU"/>
              </w:rPr>
            </w:pPr>
            <w:r w:rsidRPr="00857B0D">
              <w:rPr>
                <w:b w:val="0"/>
                <w:iCs/>
                <w:lang w:val="en-AU"/>
              </w:rPr>
              <w:t>4 months induction and 20 months maintenance</w:t>
            </w:r>
          </w:p>
        </w:tc>
        <w:tc>
          <w:tcPr>
            <w:tcW w:w="3164" w:type="dxa"/>
            <w:gridSpan w:val="2"/>
          </w:tcPr>
          <w:p w14:paraId="2B16E19A" w14:textId="77777777" w:rsidR="00732051" w:rsidRPr="0099114C" w:rsidRDefault="00732051" w:rsidP="002E21D0">
            <w:pPr>
              <w:pStyle w:val="In-tableHeading"/>
              <w:jc w:val="center"/>
              <w:rPr>
                <w:b w:val="0"/>
                <w:iCs/>
                <w:lang w:val="en-AU"/>
              </w:rPr>
            </w:pPr>
            <w:r w:rsidRPr="00857B0D">
              <w:rPr>
                <w:b w:val="0"/>
                <w:iCs/>
                <w:lang w:val="en-AU"/>
              </w:rPr>
              <w:t>6 months induction and 6 months maintenance, Median: 364 days</w:t>
            </w:r>
          </w:p>
        </w:tc>
      </w:tr>
      <w:tr w:rsidR="00732051" w:rsidRPr="0099114C" w14:paraId="6A3E34DC" w14:textId="77777777">
        <w:tc>
          <w:tcPr>
            <w:tcW w:w="2689" w:type="dxa"/>
          </w:tcPr>
          <w:p w14:paraId="609CDF2E" w14:textId="77777777" w:rsidR="00732051" w:rsidRPr="0099114C" w:rsidRDefault="00732051" w:rsidP="002E21D0">
            <w:pPr>
              <w:pStyle w:val="In-tableHeading"/>
              <w:rPr>
                <w:lang w:val="en-AU"/>
              </w:rPr>
            </w:pPr>
            <w:r w:rsidRPr="00857B0D">
              <w:rPr>
                <w:lang w:val="en-AU"/>
              </w:rPr>
              <w:t>Eligible Participants</w:t>
            </w:r>
          </w:p>
        </w:tc>
        <w:tc>
          <w:tcPr>
            <w:tcW w:w="3163" w:type="dxa"/>
            <w:gridSpan w:val="2"/>
          </w:tcPr>
          <w:p w14:paraId="7D2ABF4C" w14:textId="77777777" w:rsidR="00732051" w:rsidRPr="0099114C" w:rsidRDefault="00732051" w:rsidP="002E21D0">
            <w:pPr>
              <w:pStyle w:val="In-tableHeading"/>
              <w:jc w:val="center"/>
              <w:rPr>
                <w:b w:val="0"/>
                <w:iCs/>
                <w:lang w:val="en-AU"/>
              </w:rPr>
            </w:pPr>
            <w:r w:rsidRPr="00857B0D">
              <w:rPr>
                <w:b w:val="0"/>
                <w:iCs/>
                <w:lang w:val="en-AU"/>
              </w:rPr>
              <w:t>Relapsing patients with a diagnosis of MPA or GPA aged over 15 years</w:t>
            </w:r>
          </w:p>
        </w:tc>
        <w:tc>
          <w:tcPr>
            <w:tcW w:w="3164" w:type="dxa"/>
            <w:gridSpan w:val="2"/>
          </w:tcPr>
          <w:p w14:paraId="6BF9D3C6" w14:textId="77777777" w:rsidR="00732051" w:rsidRPr="0099114C" w:rsidRDefault="00732051" w:rsidP="002E21D0">
            <w:pPr>
              <w:pStyle w:val="In-tableHeading"/>
              <w:jc w:val="center"/>
              <w:rPr>
                <w:b w:val="0"/>
                <w:iCs/>
                <w:lang w:val="en-AU"/>
              </w:rPr>
            </w:pPr>
            <w:r w:rsidRPr="00857B0D">
              <w:rPr>
                <w:b w:val="0"/>
                <w:iCs/>
                <w:lang w:val="en-AU"/>
              </w:rPr>
              <w:t>Newly diagnosed or relapsing patients with MPA or GPA</w:t>
            </w:r>
          </w:p>
        </w:tc>
      </w:tr>
      <w:tr w:rsidR="00732051" w:rsidRPr="0099114C" w14:paraId="6D65B09C" w14:textId="77777777">
        <w:tc>
          <w:tcPr>
            <w:tcW w:w="0" w:type="auto"/>
            <w:gridSpan w:val="5"/>
          </w:tcPr>
          <w:p w14:paraId="6F7EC558" w14:textId="77777777" w:rsidR="00732051" w:rsidRPr="0099114C" w:rsidRDefault="00732051" w:rsidP="002E21D0">
            <w:pPr>
              <w:pStyle w:val="In-tableHeading"/>
              <w:rPr>
                <w:b w:val="0"/>
                <w:bCs/>
                <w:iCs/>
                <w:lang w:val="en-AU"/>
              </w:rPr>
            </w:pPr>
            <w:r w:rsidRPr="00857B0D">
              <w:rPr>
                <w:iCs/>
                <w:lang w:val="en-AU"/>
              </w:rPr>
              <w:t>Trial primary outcome</w:t>
            </w:r>
          </w:p>
        </w:tc>
      </w:tr>
      <w:tr w:rsidR="00732051" w:rsidRPr="0099114C" w14:paraId="524D7691" w14:textId="77777777">
        <w:tc>
          <w:tcPr>
            <w:tcW w:w="2689" w:type="dxa"/>
          </w:tcPr>
          <w:p w14:paraId="71354362" w14:textId="77777777" w:rsidR="00732051" w:rsidRPr="0099114C" w:rsidRDefault="00732051" w:rsidP="002E21D0">
            <w:pPr>
              <w:pStyle w:val="In-tableHeading"/>
              <w:rPr>
                <w:lang w:val="en-AU"/>
              </w:rPr>
            </w:pPr>
          </w:p>
        </w:tc>
        <w:tc>
          <w:tcPr>
            <w:tcW w:w="1581" w:type="dxa"/>
          </w:tcPr>
          <w:p w14:paraId="23670A67" w14:textId="77777777" w:rsidR="00732051" w:rsidRPr="0099114C" w:rsidRDefault="00732051" w:rsidP="002E21D0">
            <w:pPr>
              <w:pStyle w:val="In-tableHeading"/>
              <w:jc w:val="center"/>
              <w:rPr>
                <w:iCs/>
                <w:lang w:val="en-AU"/>
              </w:rPr>
            </w:pPr>
            <w:r w:rsidRPr="0099114C">
              <w:rPr>
                <w:iCs/>
                <w:lang w:val="en-AU"/>
              </w:rPr>
              <w:t>Rituximab</w:t>
            </w:r>
          </w:p>
          <w:p w14:paraId="4306D860" w14:textId="77777777" w:rsidR="00732051" w:rsidRPr="0099114C" w:rsidRDefault="00732051" w:rsidP="002E21D0">
            <w:pPr>
              <w:pStyle w:val="In-tableHeading"/>
              <w:jc w:val="center"/>
              <w:rPr>
                <w:iCs/>
                <w:lang w:val="en-AU"/>
              </w:rPr>
            </w:pPr>
            <w:r w:rsidRPr="0099114C">
              <w:rPr>
                <w:iCs/>
                <w:lang w:val="en-AU"/>
              </w:rPr>
              <w:t>n=85</w:t>
            </w:r>
          </w:p>
        </w:tc>
        <w:tc>
          <w:tcPr>
            <w:tcW w:w="1582" w:type="dxa"/>
          </w:tcPr>
          <w:p w14:paraId="78A7B53C" w14:textId="77777777" w:rsidR="00732051" w:rsidRPr="0099114C" w:rsidRDefault="00732051" w:rsidP="002E21D0">
            <w:pPr>
              <w:pStyle w:val="In-tableHeading"/>
              <w:jc w:val="center"/>
              <w:rPr>
                <w:iCs/>
                <w:lang w:val="en-AU"/>
              </w:rPr>
            </w:pPr>
            <w:r w:rsidRPr="0099114C">
              <w:rPr>
                <w:iCs/>
                <w:lang w:val="en-AU"/>
              </w:rPr>
              <w:t>Azathioprine</w:t>
            </w:r>
          </w:p>
          <w:p w14:paraId="54E0C13F" w14:textId="77777777" w:rsidR="00732051" w:rsidRPr="0099114C" w:rsidRDefault="00732051" w:rsidP="002E21D0">
            <w:pPr>
              <w:pStyle w:val="In-tableHeading"/>
              <w:jc w:val="center"/>
              <w:rPr>
                <w:iCs/>
                <w:lang w:val="en-AU"/>
              </w:rPr>
            </w:pPr>
            <w:r w:rsidRPr="0099114C">
              <w:rPr>
                <w:iCs/>
                <w:lang w:val="en-AU"/>
              </w:rPr>
              <w:t>n=85</w:t>
            </w:r>
          </w:p>
        </w:tc>
        <w:tc>
          <w:tcPr>
            <w:tcW w:w="1582" w:type="dxa"/>
          </w:tcPr>
          <w:p w14:paraId="4D6270DE" w14:textId="77777777" w:rsidR="00732051" w:rsidRPr="0099114C" w:rsidRDefault="00732051" w:rsidP="002E21D0">
            <w:pPr>
              <w:pStyle w:val="In-tableHeading"/>
              <w:jc w:val="center"/>
              <w:rPr>
                <w:iCs/>
                <w:lang w:val="en-AU"/>
              </w:rPr>
            </w:pPr>
            <w:r w:rsidRPr="0099114C">
              <w:rPr>
                <w:iCs/>
                <w:lang w:val="en-AU"/>
              </w:rPr>
              <w:t>Avacopan + SOC</w:t>
            </w:r>
          </w:p>
          <w:p w14:paraId="5490CC77" w14:textId="77777777" w:rsidR="00732051" w:rsidRPr="0099114C" w:rsidRDefault="00732051" w:rsidP="002E21D0">
            <w:pPr>
              <w:pStyle w:val="In-tableHeading"/>
              <w:jc w:val="center"/>
              <w:rPr>
                <w:iCs/>
                <w:lang w:val="en-AU"/>
              </w:rPr>
            </w:pPr>
            <w:r w:rsidRPr="0099114C">
              <w:rPr>
                <w:iCs/>
                <w:lang w:val="en-AU"/>
              </w:rPr>
              <w:t>n=166</w:t>
            </w:r>
          </w:p>
        </w:tc>
        <w:tc>
          <w:tcPr>
            <w:tcW w:w="1582" w:type="dxa"/>
          </w:tcPr>
          <w:p w14:paraId="5200C693" w14:textId="77777777" w:rsidR="00732051" w:rsidRPr="0099114C" w:rsidRDefault="00732051" w:rsidP="002E21D0">
            <w:pPr>
              <w:pStyle w:val="In-tableHeading"/>
              <w:jc w:val="center"/>
              <w:rPr>
                <w:iCs/>
                <w:lang w:val="en-AU"/>
              </w:rPr>
            </w:pPr>
            <w:r w:rsidRPr="0099114C">
              <w:rPr>
                <w:iCs/>
                <w:lang w:val="en-AU"/>
              </w:rPr>
              <w:t>Prednisone + SOC</w:t>
            </w:r>
          </w:p>
          <w:p w14:paraId="02CECAF9" w14:textId="77777777" w:rsidR="00732051" w:rsidRPr="0099114C" w:rsidRDefault="00732051" w:rsidP="002E21D0">
            <w:pPr>
              <w:pStyle w:val="In-tableHeading"/>
              <w:jc w:val="center"/>
              <w:rPr>
                <w:iCs/>
                <w:lang w:val="en-AU"/>
              </w:rPr>
            </w:pPr>
            <w:r w:rsidRPr="0099114C">
              <w:rPr>
                <w:iCs/>
                <w:lang w:val="en-AU"/>
              </w:rPr>
              <w:t>n=164</w:t>
            </w:r>
          </w:p>
        </w:tc>
      </w:tr>
      <w:tr w:rsidR="00732051" w:rsidRPr="0099114C" w14:paraId="74E23DB5" w14:textId="77777777">
        <w:tc>
          <w:tcPr>
            <w:tcW w:w="2689" w:type="dxa"/>
          </w:tcPr>
          <w:p w14:paraId="00CA76CB" w14:textId="77777777" w:rsidR="00732051" w:rsidRPr="0099114C" w:rsidRDefault="00732051" w:rsidP="002E21D0">
            <w:pPr>
              <w:pStyle w:val="In-tableHeading"/>
              <w:rPr>
                <w:lang w:val="en-AU"/>
              </w:rPr>
            </w:pPr>
            <w:r w:rsidRPr="00857B0D">
              <w:rPr>
                <w:lang w:val="en-AU"/>
              </w:rPr>
              <w:t xml:space="preserve">Relapses </w:t>
            </w:r>
            <w:r w:rsidRPr="00857B0D">
              <w:rPr>
                <w:vertAlign w:val="superscript"/>
                <w:lang w:val="en-AU"/>
              </w:rPr>
              <w:t>c</w:t>
            </w:r>
            <w:r w:rsidRPr="00857B0D">
              <w:rPr>
                <w:lang w:val="en-AU"/>
              </w:rPr>
              <w:t>, n (%)</w:t>
            </w:r>
          </w:p>
        </w:tc>
        <w:tc>
          <w:tcPr>
            <w:tcW w:w="1581" w:type="dxa"/>
          </w:tcPr>
          <w:p w14:paraId="723BF341" w14:textId="77777777" w:rsidR="00732051" w:rsidRPr="0099114C" w:rsidRDefault="00732051" w:rsidP="002E21D0">
            <w:pPr>
              <w:pStyle w:val="In-tableHeading"/>
              <w:jc w:val="center"/>
              <w:rPr>
                <w:b w:val="0"/>
                <w:iCs/>
                <w:lang w:val="en-AU"/>
              </w:rPr>
            </w:pPr>
            <w:r w:rsidRPr="0099114C">
              <w:rPr>
                <w:b w:val="0"/>
                <w:iCs/>
                <w:lang w:val="en-AU"/>
              </w:rPr>
              <w:t>38 (45%)</w:t>
            </w:r>
          </w:p>
        </w:tc>
        <w:tc>
          <w:tcPr>
            <w:tcW w:w="1582" w:type="dxa"/>
          </w:tcPr>
          <w:p w14:paraId="00EFF696" w14:textId="77777777" w:rsidR="00732051" w:rsidRPr="0099114C" w:rsidRDefault="00732051" w:rsidP="002E21D0">
            <w:pPr>
              <w:pStyle w:val="In-tableHeading"/>
              <w:jc w:val="center"/>
              <w:rPr>
                <w:b w:val="0"/>
                <w:iCs/>
                <w:lang w:val="en-AU"/>
              </w:rPr>
            </w:pPr>
            <w:r w:rsidRPr="0099114C">
              <w:rPr>
                <w:b w:val="0"/>
                <w:iCs/>
                <w:lang w:val="en-AU"/>
              </w:rPr>
              <w:t>60 (71%)</w:t>
            </w:r>
          </w:p>
        </w:tc>
        <w:tc>
          <w:tcPr>
            <w:tcW w:w="1582" w:type="dxa"/>
          </w:tcPr>
          <w:p w14:paraId="10D37BC9" w14:textId="77777777" w:rsidR="00732051" w:rsidRPr="0099114C" w:rsidRDefault="00732051" w:rsidP="002E21D0">
            <w:pPr>
              <w:pStyle w:val="In-tableHeading"/>
              <w:jc w:val="center"/>
              <w:rPr>
                <w:b w:val="0"/>
                <w:iCs/>
                <w:lang w:val="en-AU"/>
              </w:rPr>
            </w:pPr>
            <w:r w:rsidRPr="00857B0D">
              <w:rPr>
                <w:b w:val="0"/>
                <w:iCs/>
                <w:lang w:val="en-AU"/>
              </w:rPr>
              <w:t xml:space="preserve">16 (10%) </w:t>
            </w:r>
            <w:r w:rsidRPr="00857B0D">
              <w:rPr>
                <w:b w:val="0"/>
                <w:iCs/>
                <w:vertAlign w:val="superscript"/>
                <w:lang w:val="en-AU"/>
              </w:rPr>
              <w:t>h</w:t>
            </w:r>
          </w:p>
        </w:tc>
        <w:tc>
          <w:tcPr>
            <w:tcW w:w="1582" w:type="dxa"/>
          </w:tcPr>
          <w:p w14:paraId="1C4096B4" w14:textId="77777777" w:rsidR="00732051" w:rsidRPr="0099114C" w:rsidRDefault="00732051" w:rsidP="002E21D0">
            <w:pPr>
              <w:pStyle w:val="In-tableHeading"/>
              <w:jc w:val="center"/>
              <w:rPr>
                <w:b w:val="0"/>
                <w:iCs/>
                <w:lang w:val="en-AU"/>
              </w:rPr>
            </w:pPr>
            <w:r w:rsidRPr="0099114C">
              <w:rPr>
                <w:b w:val="0"/>
                <w:iCs/>
                <w:lang w:val="en-AU"/>
              </w:rPr>
              <w:t xml:space="preserve">22 (21%) </w:t>
            </w:r>
            <w:r w:rsidRPr="00857B0D">
              <w:rPr>
                <w:b w:val="0"/>
                <w:iCs/>
                <w:vertAlign w:val="superscript"/>
                <w:lang w:val="en-AU"/>
              </w:rPr>
              <w:t>h</w:t>
            </w:r>
          </w:p>
        </w:tc>
      </w:tr>
      <w:tr w:rsidR="00732051" w:rsidRPr="0099114C" w14:paraId="7446CA74" w14:textId="77777777">
        <w:tc>
          <w:tcPr>
            <w:tcW w:w="2689" w:type="dxa"/>
          </w:tcPr>
          <w:p w14:paraId="266647CC" w14:textId="77777777" w:rsidR="00732051" w:rsidRPr="00857B0D" w:rsidRDefault="00732051" w:rsidP="002E21D0">
            <w:pPr>
              <w:pStyle w:val="In-tableHeading"/>
              <w:rPr>
                <w:lang w:val="en-AU"/>
              </w:rPr>
            </w:pPr>
            <w:r w:rsidRPr="00857B0D">
              <w:rPr>
                <w:lang w:val="en-AU"/>
              </w:rPr>
              <w:t>Total number of relapses</w:t>
            </w:r>
          </w:p>
        </w:tc>
        <w:tc>
          <w:tcPr>
            <w:tcW w:w="1581" w:type="dxa"/>
          </w:tcPr>
          <w:p w14:paraId="3CDD22B8" w14:textId="77777777" w:rsidR="00732051" w:rsidRPr="0099114C" w:rsidRDefault="00732051" w:rsidP="002E21D0">
            <w:pPr>
              <w:pStyle w:val="In-tableHeading"/>
              <w:jc w:val="center"/>
              <w:rPr>
                <w:b w:val="0"/>
                <w:iCs/>
                <w:lang w:val="en-AU"/>
              </w:rPr>
            </w:pPr>
            <w:r w:rsidRPr="0099114C">
              <w:rPr>
                <w:b w:val="0"/>
                <w:iCs/>
                <w:lang w:val="en-AU"/>
              </w:rPr>
              <w:t>85</w:t>
            </w:r>
          </w:p>
        </w:tc>
        <w:tc>
          <w:tcPr>
            <w:tcW w:w="1582" w:type="dxa"/>
          </w:tcPr>
          <w:p w14:paraId="0A89BCDF" w14:textId="77777777" w:rsidR="00732051" w:rsidRPr="0099114C" w:rsidRDefault="00732051" w:rsidP="002E21D0">
            <w:pPr>
              <w:pStyle w:val="TableText"/>
              <w:jc w:val="center"/>
              <w:rPr>
                <w:iCs/>
              </w:rPr>
            </w:pPr>
            <w:r w:rsidRPr="0099114C">
              <w:rPr>
                <w:iCs/>
              </w:rPr>
              <w:t>89</w:t>
            </w:r>
          </w:p>
        </w:tc>
        <w:tc>
          <w:tcPr>
            <w:tcW w:w="1582" w:type="dxa"/>
          </w:tcPr>
          <w:p w14:paraId="611F6A30" w14:textId="77777777" w:rsidR="00732051" w:rsidRPr="0099114C" w:rsidRDefault="00732051" w:rsidP="002E21D0">
            <w:pPr>
              <w:pStyle w:val="TableText"/>
              <w:jc w:val="center"/>
              <w:rPr>
                <w:iCs/>
              </w:rPr>
            </w:pPr>
            <w:r w:rsidRPr="0099114C">
              <w:rPr>
                <w:iCs/>
              </w:rPr>
              <w:t>NA</w:t>
            </w:r>
          </w:p>
        </w:tc>
        <w:tc>
          <w:tcPr>
            <w:tcW w:w="1582" w:type="dxa"/>
          </w:tcPr>
          <w:p w14:paraId="0D398F9A" w14:textId="77777777" w:rsidR="00732051" w:rsidRPr="0099114C" w:rsidRDefault="00732051" w:rsidP="002E21D0">
            <w:pPr>
              <w:pStyle w:val="In-tableHeading"/>
              <w:jc w:val="center"/>
              <w:rPr>
                <w:b w:val="0"/>
                <w:iCs/>
                <w:lang w:val="en-AU"/>
              </w:rPr>
            </w:pPr>
            <w:r w:rsidRPr="0099114C">
              <w:rPr>
                <w:b w:val="0"/>
                <w:iCs/>
                <w:lang w:val="en-AU"/>
              </w:rPr>
              <w:t>NA</w:t>
            </w:r>
          </w:p>
        </w:tc>
      </w:tr>
      <w:tr w:rsidR="00732051" w:rsidRPr="0099114C" w14:paraId="4BA79DD9" w14:textId="77777777">
        <w:tc>
          <w:tcPr>
            <w:tcW w:w="2689" w:type="dxa"/>
          </w:tcPr>
          <w:p w14:paraId="5AD1B73B" w14:textId="77777777" w:rsidR="00732051" w:rsidRPr="0099114C" w:rsidRDefault="00732051" w:rsidP="002E21D0">
            <w:pPr>
              <w:pStyle w:val="In-tableHeading"/>
              <w:rPr>
                <w:lang w:val="en-AU"/>
              </w:rPr>
            </w:pPr>
            <w:r w:rsidRPr="00857B0D">
              <w:rPr>
                <w:lang w:val="en-AU"/>
              </w:rPr>
              <w:t xml:space="preserve">  Major </w:t>
            </w:r>
            <w:r w:rsidRPr="00857B0D">
              <w:rPr>
                <w:vertAlign w:val="superscript"/>
                <w:lang w:val="en-AU"/>
              </w:rPr>
              <w:t>d</w:t>
            </w:r>
          </w:p>
        </w:tc>
        <w:tc>
          <w:tcPr>
            <w:tcW w:w="1581" w:type="dxa"/>
          </w:tcPr>
          <w:p w14:paraId="3A6F2C46" w14:textId="77777777" w:rsidR="00732051" w:rsidRPr="0099114C" w:rsidRDefault="00732051" w:rsidP="002E21D0">
            <w:pPr>
              <w:pStyle w:val="In-tableHeading"/>
              <w:jc w:val="center"/>
              <w:rPr>
                <w:b w:val="0"/>
                <w:iCs/>
                <w:lang w:val="en-AU"/>
              </w:rPr>
            </w:pPr>
            <w:r w:rsidRPr="0099114C">
              <w:rPr>
                <w:b w:val="0"/>
                <w:iCs/>
                <w:lang w:val="en-AU"/>
              </w:rPr>
              <w:t>11</w:t>
            </w:r>
          </w:p>
        </w:tc>
        <w:tc>
          <w:tcPr>
            <w:tcW w:w="1582" w:type="dxa"/>
          </w:tcPr>
          <w:p w14:paraId="56024B1A" w14:textId="77777777" w:rsidR="00732051" w:rsidRPr="0099114C" w:rsidRDefault="00732051" w:rsidP="002E21D0">
            <w:pPr>
              <w:pStyle w:val="In-tableHeading"/>
              <w:jc w:val="center"/>
              <w:rPr>
                <w:b w:val="0"/>
                <w:iCs/>
                <w:lang w:val="en-AU"/>
              </w:rPr>
            </w:pPr>
            <w:r w:rsidRPr="0099114C">
              <w:rPr>
                <w:b w:val="0"/>
                <w:iCs/>
                <w:lang w:val="en-AU"/>
              </w:rPr>
              <w:t>28</w:t>
            </w:r>
          </w:p>
        </w:tc>
        <w:tc>
          <w:tcPr>
            <w:tcW w:w="1582" w:type="dxa"/>
          </w:tcPr>
          <w:p w14:paraId="3107FDD6" w14:textId="77777777" w:rsidR="00732051" w:rsidRPr="0099114C" w:rsidRDefault="00732051" w:rsidP="002E21D0">
            <w:pPr>
              <w:pStyle w:val="In-tableHeading"/>
              <w:jc w:val="center"/>
              <w:rPr>
                <w:b w:val="0"/>
                <w:iCs/>
                <w:lang w:val="en-AU"/>
              </w:rPr>
            </w:pPr>
            <w:r w:rsidRPr="00857B0D">
              <w:rPr>
                <w:b w:val="0"/>
                <w:iCs/>
                <w:lang w:val="en-AU"/>
              </w:rPr>
              <w:t>NA</w:t>
            </w:r>
          </w:p>
        </w:tc>
        <w:tc>
          <w:tcPr>
            <w:tcW w:w="1582" w:type="dxa"/>
          </w:tcPr>
          <w:p w14:paraId="1AA1C8F8" w14:textId="77777777" w:rsidR="00732051" w:rsidRPr="0099114C" w:rsidRDefault="00732051" w:rsidP="002E21D0">
            <w:pPr>
              <w:pStyle w:val="In-tableHeading"/>
              <w:jc w:val="center"/>
              <w:rPr>
                <w:b w:val="0"/>
                <w:iCs/>
                <w:lang w:val="en-AU"/>
              </w:rPr>
            </w:pPr>
            <w:r w:rsidRPr="0099114C">
              <w:rPr>
                <w:b w:val="0"/>
                <w:iCs/>
                <w:lang w:val="en-AU"/>
              </w:rPr>
              <w:t>NA</w:t>
            </w:r>
          </w:p>
        </w:tc>
      </w:tr>
      <w:tr w:rsidR="00732051" w:rsidRPr="0099114C" w14:paraId="20659FA5" w14:textId="77777777">
        <w:tc>
          <w:tcPr>
            <w:tcW w:w="2689" w:type="dxa"/>
          </w:tcPr>
          <w:p w14:paraId="785F59CE" w14:textId="77777777" w:rsidR="00732051" w:rsidRPr="0099114C" w:rsidRDefault="00732051" w:rsidP="002E21D0">
            <w:pPr>
              <w:pStyle w:val="In-tableHeading"/>
              <w:rPr>
                <w:lang w:val="en-AU"/>
              </w:rPr>
            </w:pPr>
            <w:r w:rsidRPr="00857B0D">
              <w:rPr>
                <w:lang w:val="en-AU"/>
              </w:rPr>
              <w:t xml:space="preserve">  Minor </w:t>
            </w:r>
            <w:r w:rsidRPr="00857B0D">
              <w:rPr>
                <w:vertAlign w:val="superscript"/>
                <w:lang w:val="en-AU"/>
              </w:rPr>
              <w:t>e</w:t>
            </w:r>
          </w:p>
        </w:tc>
        <w:tc>
          <w:tcPr>
            <w:tcW w:w="1581" w:type="dxa"/>
          </w:tcPr>
          <w:p w14:paraId="7D053B14" w14:textId="77777777" w:rsidR="00732051" w:rsidRPr="0099114C" w:rsidRDefault="00732051" w:rsidP="002E21D0">
            <w:pPr>
              <w:pStyle w:val="In-tableHeading"/>
              <w:jc w:val="center"/>
              <w:rPr>
                <w:b w:val="0"/>
                <w:iCs/>
                <w:lang w:val="en-AU"/>
              </w:rPr>
            </w:pPr>
            <w:r w:rsidRPr="0099114C">
              <w:rPr>
                <w:b w:val="0"/>
                <w:iCs/>
                <w:lang w:val="en-AU"/>
              </w:rPr>
              <w:t>41</w:t>
            </w:r>
          </w:p>
        </w:tc>
        <w:tc>
          <w:tcPr>
            <w:tcW w:w="1582" w:type="dxa"/>
          </w:tcPr>
          <w:p w14:paraId="4CB86939" w14:textId="77777777" w:rsidR="00732051" w:rsidRPr="0099114C" w:rsidRDefault="00732051" w:rsidP="002E21D0">
            <w:pPr>
              <w:pStyle w:val="In-tableHeading"/>
              <w:jc w:val="center"/>
              <w:rPr>
                <w:b w:val="0"/>
                <w:iCs/>
                <w:lang w:val="en-AU"/>
              </w:rPr>
            </w:pPr>
            <w:r w:rsidRPr="0099114C">
              <w:rPr>
                <w:b w:val="0"/>
                <w:iCs/>
                <w:lang w:val="en-AU"/>
              </w:rPr>
              <w:t>61</w:t>
            </w:r>
          </w:p>
        </w:tc>
        <w:tc>
          <w:tcPr>
            <w:tcW w:w="1582" w:type="dxa"/>
          </w:tcPr>
          <w:p w14:paraId="59A98C64" w14:textId="77777777" w:rsidR="00732051" w:rsidRPr="0099114C" w:rsidRDefault="00732051" w:rsidP="002E21D0">
            <w:pPr>
              <w:pStyle w:val="In-tableHeading"/>
              <w:jc w:val="center"/>
              <w:rPr>
                <w:b w:val="0"/>
                <w:iCs/>
                <w:lang w:val="en-AU"/>
              </w:rPr>
            </w:pPr>
            <w:r w:rsidRPr="00857B0D">
              <w:rPr>
                <w:b w:val="0"/>
                <w:iCs/>
                <w:lang w:val="en-AU"/>
              </w:rPr>
              <w:t>NA</w:t>
            </w:r>
          </w:p>
        </w:tc>
        <w:tc>
          <w:tcPr>
            <w:tcW w:w="1582" w:type="dxa"/>
          </w:tcPr>
          <w:p w14:paraId="587BCC9E" w14:textId="77777777" w:rsidR="00732051" w:rsidRPr="0099114C" w:rsidRDefault="00732051" w:rsidP="002E21D0">
            <w:pPr>
              <w:pStyle w:val="In-tableHeading"/>
              <w:jc w:val="center"/>
              <w:rPr>
                <w:b w:val="0"/>
                <w:iCs/>
                <w:lang w:val="en-AU"/>
              </w:rPr>
            </w:pPr>
            <w:r w:rsidRPr="0099114C">
              <w:rPr>
                <w:b w:val="0"/>
                <w:iCs/>
                <w:lang w:val="en-AU"/>
              </w:rPr>
              <w:t>NA</w:t>
            </w:r>
          </w:p>
        </w:tc>
      </w:tr>
      <w:tr w:rsidR="00732051" w:rsidRPr="0099114C" w14:paraId="77F69CA8" w14:textId="77777777">
        <w:tc>
          <w:tcPr>
            <w:tcW w:w="2689" w:type="dxa"/>
          </w:tcPr>
          <w:p w14:paraId="75AA3309" w14:textId="77777777" w:rsidR="00732051" w:rsidRPr="0099114C" w:rsidRDefault="00732051" w:rsidP="002E21D0">
            <w:pPr>
              <w:pStyle w:val="In-tableHeading"/>
              <w:rPr>
                <w:lang w:val="en-AU"/>
              </w:rPr>
            </w:pPr>
            <w:r w:rsidRPr="00857B0D">
              <w:rPr>
                <w:lang w:val="en-AU"/>
              </w:rPr>
              <w:t>Overall HR for relapse (95% CI)</w:t>
            </w:r>
          </w:p>
        </w:tc>
        <w:tc>
          <w:tcPr>
            <w:tcW w:w="3163" w:type="dxa"/>
            <w:gridSpan w:val="2"/>
          </w:tcPr>
          <w:p w14:paraId="1D74E605" w14:textId="77777777" w:rsidR="00732051" w:rsidRPr="0099114C" w:rsidRDefault="00732051" w:rsidP="002E21D0">
            <w:pPr>
              <w:pStyle w:val="In-tableHeading"/>
              <w:jc w:val="center"/>
              <w:rPr>
                <w:b w:val="0"/>
                <w:iCs/>
                <w:lang w:val="en-AU"/>
              </w:rPr>
            </w:pPr>
            <w:r w:rsidRPr="00857B0D">
              <w:rPr>
                <w:b w:val="0"/>
                <w:iCs/>
                <w:lang w:val="en-AU"/>
              </w:rPr>
              <w:t xml:space="preserve">0.36 (0.18, 0.73) </w:t>
            </w:r>
            <w:r w:rsidRPr="00857B0D">
              <w:rPr>
                <w:b w:val="0"/>
                <w:iCs/>
                <w:vertAlign w:val="superscript"/>
                <w:lang w:val="en-AU"/>
              </w:rPr>
              <w:t>f</w:t>
            </w:r>
          </w:p>
        </w:tc>
        <w:tc>
          <w:tcPr>
            <w:tcW w:w="3164" w:type="dxa"/>
            <w:gridSpan w:val="2"/>
          </w:tcPr>
          <w:p w14:paraId="28A90A23" w14:textId="77777777" w:rsidR="00732051" w:rsidRPr="0099114C" w:rsidRDefault="00732051" w:rsidP="002E21D0">
            <w:pPr>
              <w:pStyle w:val="In-tableHeading"/>
              <w:jc w:val="center"/>
              <w:rPr>
                <w:b w:val="0"/>
                <w:iCs/>
                <w:lang w:val="en-AU"/>
              </w:rPr>
            </w:pPr>
            <w:r w:rsidRPr="0099114C">
              <w:rPr>
                <w:b w:val="0"/>
                <w:iCs/>
                <w:lang w:val="en-AU"/>
              </w:rPr>
              <w:t>0.46 (0.25, 0.84)</w:t>
            </w:r>
          </w:p>
        </w:tc>
      </w:tr>
      <w:tr w:rsidR="00732051" w:rsidRPr="0099114C" w14:paraId="1D467E8D" w14:textId="77777777">
        <w:tc>
          <w:tcPr>
            <w:tcW w:w="2689" w:type="dxa"/>
          </w:tcPr>
          <w:p w14:paraId="4AE4BEDC" w14:textId="77777777" w:rsidR="00732051" w:rsidRPr="0099114C" w:rsidRDefault="00732051" w:rsidP="002E21D0">
            <w:pPr>
              <w:pStyle w:val="In-tableHeading"/>
              <w:rPr>
                <w:lang w:val="en-AU"/>
              </w:rPr>
            </w:pPr>
            <w:r w:rsidRPr="0099114C">
              <w:rPr>
                <w:lang w:val="en-AU"/>
              </w:rPr>
              <w:t xml:space="preserve">Relapse-free survival rate at 24 months </w:t>
            </w:r>
            <w:r w:rsidRPr="00857B0D">
              <w:rPr>
                <w:lang w:val="en-AU"/>
              </w:rPr>
              <w:t>(95% CI)</w:t>
            </w:r>
          </w:p>
        </w:tc>
        <w:tc>
          <w:tcPr>
            <w:tcW w:w="1581" w:type="dxa"/>
          </w:tcPr>
          <w:p w14:paraId="447AD211" w14:textId="77777777" w:rsidR="00732051" w:rsidRPr="0099114C" w:rsidRDefault="00732051" w:rsidP="002E21D0">
            <w:pPr>
              <w:pStyle w:val="In-tableHeading"/>
              <w:jc w:val="center"/>
              <w:rPr>
                <w:b w:val="0"/>
                <w:iCs/>
                <w:lang w:val="en-AU"/>
              </w:rPr>
            </w:pPr>
            <w:r w:rsidRPr="0099114C">
              <w:rPr>
                <w:b w:val="0"/>
                <w:iCs/>
                <w:lang w:val="en-AU"/>
              </w:rPr>
              <w:t>0.85</w:t>
            </w:r>
          </w:p>
          <w:p w14:paraId="36D9AF57" w14:textId="77777777" w:rsidR="00732051" w:rsidRPr="0099114C" w:rsidRDefault="00732051" w:rsidP="002E21D0">
            <w:pPr>
              <w:pStyle w:val="In-tableHeading"/>
              <w:jc w:val="center"/>
              <w:rPr>
                <w:b w:val="0"/>
                <w:iCs/>
                <w:lang w:val="en-AU"/>
              </w:rPr>
            </w:pPr>
            <w:r w:rsidRPr="0099114C">
              <w:rPr>
                <w:b w:val="0"/>
                <w:iCs/>
                <w:lang w:val="en-AU"/>
              </w:rPr>
              <w:t>(0.78, 0.93)</w:t>
            </w:r>
          </w:p>
        </w:tc>
        <w:tc>
          <w:tcPr>
            <w:tcW w:w="1582" w:type="dxa"/>
          </w:tcPr>
          <w:p w14:paraId="58287C4A" w14:textId="77777777" w:rsidR="00732051" w:rsidRPr="0099114C" w:rsidRDefault="00732051" w:rsidP="002E21D0">
            <w:pPr>
              <w:pStyle w:val="In-tableHeading"/>
              <w:jc w:val="center"/>
              <w:rPr>
                <w:b w:val="0"/>
                <w:iCs/>
                <w:lang w:val="en-AU"/>
              </w:rPr>
            </w:pPr>
            <w:r w:rsidRPr="0099114C">
              <w:rPr>
                <w:b w:val="0"/>
                <w:iCs/>
                <w:lang w:val="en-AU"/>
              </w:rPr>
              <w:t>0.61</w:t>
            </w:r>
          </w:p>
          <w:p w14:paraId="2434FB00" w14:textId="77777777" w:rsidR="00732051" w:rsidRPr="0099114C" w:rsidRDefault="00732051" w:rsidP="002E21D0">
            <w:pPr>
              <w:pStyle w:val="In-tableHeading"/>
              <w:jc w:val="center"/>
              <w:rPr>
                <w:b w:val="0"/>
                <w:iCs/>
                <w:lang w:val="en-AU"/>
              </w:rPr>
            </w:pPr>
            <w:r w:rsidRPr="0099114C">
              <w:rPr>
                <w:b w:val="0"/>
                <w:iCs/>
                <w:lang w:val="en-AU"/>
              </w:rPr>
              <w:t>(0.51, 0.73)</w:t>
            </w:r>
          </w:p>
        </w:tc>
        <w:tc>
          <w:tcPr>
            <w:tcW w:w="1582" w:type="dxa"/>
          </w:tcPr>
          <w:p w14:paraId="1F8DF9DB" w14:textId="77777777" w:rsidR="00732051" w:rsidRPr="0099114C" w:rsidRDefault="00732051" w:rsidP="002E21D0">
            <w:pPr>
              <w:pStyle w:val="In-tableHeading"/>
              <w:jc w:val="center"/>
              <w:rPr>
                <w:b w:val="0"/>
                <w:iCs/>
                <w:lang w:val="en-AU"/>
              </w:rPr>
            </w:pPr>
            <w:r w:rsidRPr="00857B0D">
              <w:rPr>
                <w:b w:val="0"/>
                <w:iCs/>
                <w:lang w:val="en-AU"/>
              </w:rPr>
              <w:t>NA</w:t>
            </w:r>
          </w:p>
        </w:tc>
        <w:tc>
          <w:tcPr>
            <w:tcW w:w="1582" w:type="dxa"/>
          </w:tcPr>
          <w:p w14:paraId="24B70BA5" w14:textId="77777777" w:rsidR="00732051" w:rsidRPr="0099114C" w:rsidRDefault="00732051" w:rsidP="002E21D0">
            <w:pPr>
              <w:pStyle w:val="In-tableHeading"/>
              <w:jc w:val="center"/>
              <w:rPr>
                <w:b w:val="0"/>
                <w:iCs/>
                <w:lang w:val="en-AU"/>
              </w:rPr>
            </w:pPr>
            <w:r w:rsidRPr="0099114C">
              <w:rPr>
                <w:b w:val="0"/>
                <w:iCs/>
                <w:lang w:val="en-AU"/>
              </w:rPr>
              <w:t>NA</w:t>
            </w:r>
          </w:p>
        </w:tc>
      </w:tr>
      <w:tr w:rsidR="00732051" w:rsidRPr="0099114C" w14:paraId="31021405" w14:textId="77777777">
        <w:tc>
          <w:tcPr>
            <w:tcW w:w="2689" w:type="dxa"/>
          </w:tcPr>
          <w:p w14:paraId="3471B73F" w14:textId="77777777" w:rsidR="00732051" w:rsidRPr="0099114C" w:rsidRDefault="00732051" w:rsidP="002E21D0">
            <w:pPr>
              <w:pStyle w:val="In-tableHeading"/>
              <w:rPr>
                <w:lang w:val="en-AU"/>
              </w:rPr>
            </w:pPr>
            <w:r w:rsidRPr="0099114C">
              <w:rPr>
                <w:lang w:val="en-AU"/>
              </w:rPr>
              <w:t xml:space="preserve">Disease remission </w:t>
            </w:r>
            <w:r w:rsidRPr="00857B0D">
              <w:rPr>
                <w:vertAlign w:val="superscript"/>
                <w:lang w:val="en-AU"/>
              </w:rPr>
              <w:t>g</w:t>
            </w:r>
            <w:r w:rsidRPr="0099114C">
              <w:rPr>
                <w:lang w:val="en-AU"/>
              </w:rPr>
              <w:t xml:space="preserve">, </w:t>
            </w:r>
            <w:r w:rsidRPr="00857B0D">
              <w:rPr>
                <w:lang w:val="en-AU"/>
              </w:rPr>
              <w:t>n (%)</w:t>
            </w:r>
          </w:p>
        </w:tc>
        <w:tc>
          <w:tcPr>
            <w:tcW w:w="1581" w:type="dxa"/>
          </w:tcPr>
          <w:p w14:paraId="098FC56E" w14:textId="77777777" w:rsidR="00732051" w:rsidRPr="0099114C" w:rsidRDefault="00732051" w:rsidP="002E21D0">
            <w:pPr>
              <w:pStyle w:val="In-tableHeading"/>
              <w:jc w:val="center"/>
              <w:rPr>
                <w:b w:val="0"/>
                <w:iCs/>
                <w:lang w:val="en-AU"/>
              </w:rPr>
            </w:pPr>
            <w:r w:rsidRPr="0099114C">
              <w:rPr>
                <w:b w:val="0"/>
                <w:iCs/>
                <w:lang w:val="en-AU"/>
              </w:rPr>
              <w:t>NA</w:t>
            </w:r>
          </w:p>
        </w:tc>
        <w:tc>
          <w:tcPr>
            <w:tcW w:w="1582" w:type="dxa"/>
          </w:tcPr>
          <w:p w14:paraId="6B95C2C2" w14:textId="77777777" w:rsidR="00732051" w:rsidRPr="0099114C" w:rsidRDefault="00732051" w:rsidP="002E21D0">
            <w:pPr>
              <w:pStyle w:val="In-tableHeading"/>
              <w:jc w:val="center"/>
              <w:rPr>
                <w:b w:val="0"/>
                <w:iCs/>
                <w:lang w:val="en-AU"/>
              </w:rPr>
            </w:pPr>
            <w:r w:rsidRPr="0099114C">
              <w:rPr>
                <w:b w:val="0"/>
                <w:iCs/>
                <w:lang w:val="en-AU"/>
              </w:rPr>
              <w:t>NA</w:t>
            </w:r>
          </w:p>
        </w:tc>
        <w:tc>
          <w:tcPr>
            <w:tcW w:w="1582" w:type="dxa"/>
          </w:tcPr>
          <w:p w14:paraId="6B5D7659" w14:textId="77777777" w:rsidR="00732051" w:rsidRPr="0099114C" w:rsidRDefault="00732051" w:rsidP="002E21D0">
            <w:pPr>
              <w:pStyle w:val="In-tableHeading"/>
              <w:jc w:val="center"/>
              <w:rPr>
                <w:b w:val="0"/>
                <w:iCs/>
                <w:lang w:val="en-AU"/>
              </w:rPr>
            </w:pPr>
            <w:r w:rsidRPr="0099114C">
              <w:rPr>
                <w:b w:val="0"/>
                <w:iCs/>
                <w:lang w:val="en-AU"/>
              </w:rPr>
              <w:t>120 (72%)</w:t>
            </w:r>
          </w:p>
        </w:tc>
        <w:tc>
          <w:tcPr>
            <w:tcW w:w="1582" w:type="dxa"/>
          </w:tcPr>
          <w:p w14:paraId="7B92277E" w14:textId="77777777" w:rsidR="00732051" w:rsidRPr="0099114C" w:rsidRDefault="00732051" w:rsidP="002E21D0">
            <w:pPr>
              <w:pStyle w:val="In-tableHeading"/>
              <w:jc w:val="center"/>
              <w:rPr>
                <w:b w:val="0"/>
                <w:iCs/>
                <w:lang w:val="en-AU"/>
              </w:rPr>
            </w:pPr>
            <w:r w:rsidRPr="0099114C">
              <w:rPr>
                <w:b w:val="0"/>
                <w:iCs/>
                <w:lang w:val="en-AU"/>
              </w:rPr>
              <w:t>115 (70%)</w:t>
            </w:r>
          </w:p>
        </w:tc>
      </w:tr>
      <w:tr w:rsidR="00732051" w:rsidRPr="0099114C" w14:paraId="0F7DFDE8" w14:textId="77777777">
        <w:tc>
          <w:tcPr>
            <w:tcW w:w="2689" w:type="dxa"/>
          </w:tcPr>
          <w:p w14:paraId="37C6D869" w14:textId="77777777" w:rsidR="00732051" w:rsidRPr="0099114C" w:rsidRDefault="00732051" w:rsidP="002E21D0">
            <w:pPr>
              <w:pStyle w:val="In-tableHeading"/>
              <w:rPr>
                <w:lang w:val="en-AU"/>
              </w:rPr>
            </w:pPr>
            <w:r w:rsidRPr="00857B0D">
              <w:rPr>
                <w:lang w:val="en-AU"/>
              </w:rPr>
              <w:t xml:space="preserve">Sustained remission </w:t>
            </w:r>
            <w:r w:rsidRPr="00857B0D">
              <w:rPr>
                <w:vertAlign w:val="superscript"/>
                <w:lang w:val="en-AU"/>
              </w:rPr>
              <w:t>g</w:t>
            </w:r>
            <w:r w:rsidRPr="00857B0D">
              <w:rPr>
                <w:lang w:val="en-AU"/>
              </w:rPr>
              <w:t>, n (%)</w:t>
            </w:r>
          </w:p>
        </w:tc>
        <w:tc>
          <w:tcPr>
            <w:tcW w:w="1581" w:type="dxa"/>
          </w:tcPr>
          <w:p w14:paraId="626910C1" w14:textId="77777777" w:rsidR="00732051" w:rsidRPr="0099114C" w:rsidRDefault="00732051" w:rsidP="002E21D0">
            <w:pPr>
              <w:pStyle w:val="In-tableHeading"/>
              <w:jc w:val="center"/>
              <w:rPr>
                <w:b w:val="0"/>
                <w:iCs/>
                <w:lang w:val="en-AU"/>
              </w:rPr>
            </w:pPr>
            <w:r w:rsidRPr="0099114C">
              <w:rPr>
                <w:b w:val="0"/>
                <w:iCs/>
                <w:lang w:val="en-AU"/>
              </w:rPr>
              <w:t>NA</w:t>
            </w:r>
          </w:p>
        </w:tc>
        <w:tc>
          <w:tcPr>
            <w:tcW w:w="1582" w:type="dxa"/>
          </w:tcPr>
          <w:p w14:paraId="73B4A96E" w14:textId="77777777" w:rsidR="00732051" w:rsidRPr="0099114C" w:rsidRDefault="00732051" w:rsidP="002E21D0">
            <w:pPr>
              <w:pStyle w:val="In-tableHeading"/>
              <w:jc w:val="center"/>
              <w:rPr>
                <w:b w:val="0"/>
                <w:iCs/>
                <w:lang w:val="en-AU"/>
              </w:rPr>
            </w:pPr>
            <w:r w:rsidRPr="0099114C">
              <w:rPr>
                <w:b w:val="0"/>
                <w:iCs/>
                <w:lang w:val="en-AU"/>
              </w:rPr>
              <w:t>NA</w:t>
            </w:r>
          </w:p>
        </w:tc>
        <w:tc>
          <w:tcPr>
            <w:tcW w:w="1582" w:type="dxa"/>
          </w:tcPr>
          <w:p w14:paraId="74D4E1AF" w14:textId="77777777" w:rsidR="00732051" w:rsidRPr="0099114C" w:rsidRDefault="00732051" w:rsidP="002E21D0">
            <w:pPr>
              <w:pStyle w:val="In-tableHeading"/>
              <w:jc w:val="center"/>
              <w:rPr>
                <w:b w:val="0"/>
                <w:iCs/>
                <w:lang w:val="en-AU"/>
              </w:rPr>
            </w:pPr>
            <w:r w:rsidRPr="0099114C">
              <w:rPr>
                <w:b w:val="0"/>
                <w:iCs/>
                <w:lang w:val="en-AU"/>
              </w:rPr>
              <w:t>109 (66%)</w:t>
            </w:r>
          </w:p>
        </w:tc>
        <w:tc>
          <w:tcPr>
            <w:tcW w:w="1582" w:type="dxa"/>
          </w:tcPr>
          <w:p w14:paraId="25E2F92D" w14:textId="77777777" w:rsidR="00732051" w:rsidRPr="0099114C" w:rsidRDefault="00732051" w:rsidP="002E21D0">
            <w:pPr>
              <w:pStyle w:val="In-tableHeading"/>
              <w:jc w:val="center"/>
              <w:rPr>
                <w:b w:val="0"/>
                <w:iCs/>
                <w:lang w:val="en-AU"/>
              </w:rPr>
            </w:pPr>
            <w:r w:rsidRPr="0099114C">
              <w:rPr>
                <w:b w:val="0"/>
                <w:iCs/>
                <w:lang w:val="en-AU"/>
              </w:rPr>
              <w:t>90 (55%)</w:t>
            </w:r>
          </w:p>
        </w:tc>
      </w:tr>
    </w:tbl>
    <w:p w14:paraId="6F82567D" w14:textId="77777777" w:rsidR="00732051" w:rsidRPr="0099114C" w:rsidRDefault="00732051" w:rsidP="002E21D0">
      <w:pPr>
        <w:pStyle w:val="FooterTableFigure"/>
        <w:keepNext/>
      </w:pPr>
      <w:r w:rsidRPr="0099114C">
        <w:t>Source: Compiled during the evaluation</w:t>
      </w:r>
    </w:p>
    <w:p w14:paraId="763CF5DD" w14:textId="77777777" w:rsidR="00732051" w:rsidRPr="0099114C" w:rsidRDefault="00732051" w:rsidP="002E21D0">
      <w:pPr>
        <w:pStyle w:val="FooterTableFigure"/>
        <w:keepNext/>
      </w:pPr>
      <w:r w:rsidRPr="0099114C">
        <w:t xml:space="preserve">Abbreviations: </w:t>
      </w:r>
      <w:r w:rsidRPr="0099114C">
        <w:rPr>
          <w:rStyle w:val="normaltextrun"/>
          <w:rFonts w:cs="Segoe UI"/>
          <w:szCs w:val="18"/>
        </w:rPr>
        <w:t xml:space="preserve">GPA granulomatosis with polyangiitis; </w:t>
      </w:r>
      <w:r w:rsidRPr="0099114C">
        <w:t xml:space="preserve">HR, hazard ratio; </w:t>
      </w:r>
      <w:r w:rsidRPr="0099114C">
        <w:rPr>
          <w:rStyle w:val="normaltextrun"/>
          <w:rFonts w:cs="Segoe UI"/>
          <w:szCs w:val="18"/>
        </w:rPr>
        <w:t xml:space="preserve">MPA microscopic polyangiitis; </w:t>
      </w:r>
      <w:r w:rsidRPr="0099114C">
        <w:t>NA, not available;</w:t>
      </w:r>
      <w:r w:rsidRPr="0099114C">
        <w:rPr>
          <w:rStyle w:val="normaltextrun"/>
          <w:rFonts w:cs="Segoe UI"/>
          <w:szCs w:val="18"/>
        </w:rPr>
        <w:t xml:space="preserve"> SOC, Standard of care</w:t>
      </w:r>
    </w:p>
    <w:p w14:paraId="1BB11440" w14:textId="77777777" w:rsidR="00732051" w:rsidRPr="0099114C" w:rsidRDefault="00732051" w:rsidP="002E21D0">
      <w:pPr>
        <w:pStyle w:val="FooterTableFigure"/>
        <w:keepNext/>
      </w:pPr>
      <w:r w:rsidRPr="0099114C">
        <w:rPr>
          <w:vertAlign w:val="superscript"/>
        </w:rPr>
        <w:t xml:space="preserve">a </w:t>
      </w:r>
      <w:r w:rsidRPr="0099114C">
        <w:t>Randomised sample</w:t>
      </w:r>
    </w:p>
    <w:p w14:paraId="7362A38E" w14:textId="77777777" w:rsidR="00732051" w:rsidRPr="0099114C" w:rsidRDefault="00732051" w:rsidP="002E21D0">
      <w:pPr>
        <w:pStyle w:val="FooterTableFigure"/>
        <w:keepNext/>
      </w:pPr>
      <w:r w:rsidRPr="0099114C">
        <w:rPr>
          <w:vertAlign w:val="superscript"/>
        </w:rPr>
        <w:t xml:space="preserve">b </w:t>
      </w:r>
      <w:r w:rsidRPr="0099114C">
        <w:t>One participant was excluded from the randomised sample due to not receiving prednisone</w:t>
      </w:r>
    </w:p>
    <w:p w14:paraId="2A29634B" w14:textId="77777777" w:rsidR="00732051" w:rsidRPr="0099114C" w:rsidRDefault="00732051" w:rsidP="002E21D0">
      <w:pPr>
        <w:pStyle w:val="FooterTableFigure"/>
        <w:keepNext/>
      </w:pPr>
      <w:r w:rsidRPr="0099114C">
        <w:rPr>
          <w:vertAlign w:val="superscript"/>
        </w:rPr>
        <w:t xml:space="preserve">c </w:t>
      </w:r>
      <w:r w:rsidRPr="0099114C">
        <w:t>Relapses were defined in ADVOCATE as a return of vasculitis activity on the basis of at least one major BVAS item, at least three minor BVAS items, or one or two minor BVAS items for at least two consecutive trial visits</w:t>
      </w:r>
    </w:p>
    <w:p w14:paraId="10D2EC85" w14:textId="77777777" w:rsidR="00732051" w:rsidRPr="0099114C" w:rsidRDefault="00732051" w:rsidP="002E21D0">
      <w:pPr>
        <w:pStyle w:val="FooterTableFigure"/>
        <w:keepNext/>
      </w:pPr>
      <w:r w:rsidRPr="0099114C">
        <w:rPr>
          <w:vertAlign w:val="superscript"/>
        </w:rPr>
        <w:t xml:space="preserve">d </w:t>
      </w:r>
      <w:r w:rsidRPr="0099114C">
        <w:t>Major relapses were defined in RITAZAREM as the development of a new or recurrent major disease activity item using the BVAS</w:t>
      </w:r>
    </w:p>
    <w:p w14:paraId="06C86D9B" w14:textId="77777777" w:rsidR="00732051" w:rsidRPr="0099114C" w:rsidRDefault="00732051" w:rsidP="002E21D0">
      <w:pPr>
        <w:pStyle w:val="FooterTableFigure"/>
        <w:keepNext/>
      </w:pPr>
      <w:r w:rsidRPr="0099114C">
        <w:rPr>
          <w:vertAlign w:val="superscript"/>
        </w:rPr>
        <w:t xml:space="preserve">e </w:t>
      </w:r>
      <w:r w:rsidRPr="0099114C">
        <w:t>Minor relapses were defined in RITAZAREM as any increase in disease activity that does not meet the definition of Major Relapse</w:t>
      </w:r>
    </w:p>
    <w:p w14:paraId="52218B21" w14:textId="77777777" w:rsidR="00732051" w:rsidRPr="0099114C" w:rsidRDefault="00732051" w:rsidP="002E21D0">
      <w:pPr>
        <w:pStyle w:val="FooterTableFigure"/>
        <w:keepNext/>
      </w:pPr>
      <w:r w:rsidRPr="0099114C">
        <w:rPr>
          <w:vertAlign w:val="superscript"/>
        </w:rPr>
        <w:t xml:space="preserve">f </w:t>
      </w:r>
      <w:r w:rsidRPr="0099114C">
        <w:t>For major relapse</w:t>
      </w:r>
    </w:p>
    <w:p w14:paraId="6BE35730" w14:textId="77777777" w:rsidR="00732051" w:rsidRPr="0099114C" w:rsidRDefault="00732051" w:rsidP="002E21D0">
      <w:pPr>
        <w:pStyle w:val="FooterTableFigure"/>
        <w:keepNext/>
      </w:pPr>
      <w:r w:rsidRPr="0099114C">
        <w:rPr>
          <w:vertAlign w:val="superscript"/>
        </w:rPr>
        <w:t>g</w:t>
      </w:r>
      <w:r w:rsidRPr="0099114C">
        <w:t xml:space="preserve"> Remission in ADVOCATE was defined as a BVAS of 0 and no receipt of glucocorticoids for 4 weeks before week 26 and week 52.</w:t>
      </w:r>
    </w:p>
    <w:p w14:paraId="0B94C35A" w14:textId="77777777" w:rsidR="00732051" w:rsidRPr="0099114C" w:rsidRDefault="00732051" w:rsidP="00732051">
      <w:pPr>
        <w:pStyle w:val="FooterTableFigure"/>
      </w:pPr>
      <w:r w:rsidRPr="0099114C">
        <w:rPr>
          <w:vertAlign w:val="superscript"/>
        </w:rPr>
        <w:t>h</w:t>
      </w:r>
      <w:r w:rsidRPr="0099114C">
        <w:t xml:space="preserve"> Experiencing relapse after BVAS=0 was achieved </w:t>
      </w:r>
    </w:p>
    <w:p w14:paraId="25E253A5" w14:textId="3E2AC636" w:rsidR="00DB5178" w:rsidRPr="0099114C" w:rsidRDefault="00DB5178" w:rsidP="00DB5178">
      <w:pPr>
        <w:pStyle w:val="4-SubsectionHeading"/>
      </w:pPr>
      <w:bookmarkStart w:id="54" w:name="_Toc152591172"/>
      <w:bookmarkStart w:id="55" w:name="_Toc156913967"/>
      <w:r w:rsidRPr="0099114C">
        <w:t>Comparative harms</w:t>
      </w:r>
      <w:bookmarkEnd w:id="54"/>
      <w:bookmarkEnd w:id="55"/>
    </w:p>
    <w:p w14:paraId="6CB0E487" w14:textId="5D2C82CD" w:rsidR="00BD6488" w:rsidRPr="00857B0D" w:rsidRDefault="00BD6488" w:rsidP="00DB5178">
      <w:pPr>
        <w:pStyle w:val="3-BodyText"/>
        <w:rPr>
          <w:rStyle w:val="normaltextrun"/>
          <w:i/>
          <w:iCs/>
        </w:rPr>
      </w:pPr>
      <w:r w:rsidRPr="00857B0D">
        <w:rPr>
          <w:rStyle w:val="normaltextrun"/>
        </w:rPr>
        <w:t>The resubmission presented safety outcomes from the ADVOCATE trial as per the previous submission. In addition</w:t>
      </w:r>
      <w:r w:rsidR="00F12AAF" w:rsidRPr="00857B0D">
        <w:rPr>
          <w:rStyle w:val="normaltextrun"/>
        </w:rPr>
        <w:t>,</w:t>
      </w:r>
      <w:r w:rsidRPr="00857B0D">
        <w:rPr>
          <w:rStyle w:val="normaltextrun"/>
        </w:rPr>
        <w:t xml:space="preserve"> the resubmission newly presented an unpublished systematic review of GC use and its relationship to A</w:t>
      </w:r>
      <w:r w:rsidR="00C9350D" w:rsidRPr="00857B0D">
        <w:rPr>
          <w:rStyle w:val="normaltextrun"/>
        </w:rPr>
        <w:t>E</w:t>
      </w:r>
      <w:r w:rsidRPr="00857B0D">
        <w:rPr>
          <w:rStyle w:val="normaltextrun"/>
        </w:rPr>
        <w:t xml:space="preserve">s, and newly presented </w:t>
      </w:r>
      <w:r w:rsidR="00053F5E" w:rsidRPr="0099114C">
        <w:t xml:space="preserve">early access program </w:t>
      </w:r>
      <w:r w:rsidR="00AA0239" w:rsidRPr="0099114C">
        <w:t>(</w:t>
      </w:r>
      <w:r w:rsidRPr="00857B0D">
        <w:rPr>
          <w:rStyle w:val="normaltextrun"/>
        </w:rPr>
        <w:t>EAP</w:t>
      </w:r>
      <w:r w:rsidR="00AA0239" w:rsidRPr="00857B0D">
        <w:rPr>
          <w:rStyle w:val="normaltextrun"/>
        </w:rPr>
        <w:t>)</w:t>
      </w:r>
      <w:r w:rsidRPr="00857B0D">
        <w:rPr>
          <w:rStyle w:val="normaltextrun"/>
        </w:rPr>
        <w:t xml:space="preserve"> data on 30 patients showing safety associated with some patients with longer term avacopan use. </w:t>
      </w:r>
    </w:p>
    <w:p w14:paraId="0885B972" w14:textId="5157B094" w:rsidR="00E3516D" w:rsidRPr="00857B0D" w:rsidRDefault="004C0073" w:rsidP="00E356C3">
      <w:pPr>
        <w:pStyle w:val="3-BodyText"/>
        <w:spacing w:after="160" w:line="259" w:lineRule="auto"/>
        <w:jc w:val="left"/>
        <w:rPr>
          <w:i/>
          <w:iCs/>
        </w:rPr>
      </w:pPr>
      <w:r w:rsidRPr="0099114C">
        <w:rPr>
          <w:rStyle w:val="normaltextrun"/>
          <w:rFonts w:cs="Calibri"/>
        </w:rPr>
        <w:fldChar w:fldCharType="begin" w:fldLock="1"/>
      </w:r>
      <w:r w:rsidRPr="0099114C">
        <w:rPr>
          <w:rStyle w:val="normaltextrun"/>
          <w:rFonts w:cs="Calibri"/>
        </w:rPr>
        <w:instrText xml:space="preserve"> REF _Ref155867259 \h </w:instrText>
      </w:r>
      <w:r w:rsidRPr="0099114C">
        <w:rPr>
          <w:rStyle w:val="normaltextrun"/>
          <w:rFonts w:cs="Calibri"/>
        </w:rPr>
      </w:r>
      <w:r w:rsidRPr="0099114C">
        <w:rPr>
          <w:rStyle w:val="normaltextrun"/>
          <w:rFonts w:cs="Calibri"/>
        </w:rPr>
        <w:fldChar w:fldCharType="separate"/>
      </w:r>
      <w:r w:rsidR="00A04368" w:rsidRPr="0099114C">
        <w:t xml:space="preserve">Table </w:t>
      </w:r>
      <w:r w:rsidR="00A04368" w:rsidRPr="00857B0D">
        <w:t>10</w:t>
      </w:r>
      <w:r w:rsidRPr="0099114C">
        <w:rPr>
          <w:rStyle w:val="normaltextrun"/>
          <w:rFonts w:cs="Calibri"/>
        </w:rPr>
        <w:fldChar w:fldCharType="end"/>
      </w:r>
      <w:r w:rsidRPr="0099114C">
        <w:rPr>
          <w:rStyle w:val="normaltextrun"/>
          <w:rFonts w:cs="Calibri"/>
        </w:rPr>
        <w:t xml:space="preserve"> </w:t>
      </w:r>
      <w:r w:rsidR="00DB5178" w:rsidRPr="0099114C">
        <w:rPr>
          <w:rStyle w:val="normaltextrun"/>
          <w:rFonts w:cs="Calibri"/>
          <w:shd w:val="clear" w:color="auto" w:fill="FFFFFF"/>
        </w:rPr>
        <w:t>presents the safety outcomes in the ADVOCATE trial.</w:t>
      </w:r>
      <w:r w:rsidR="00DB5178" w:rsidRPr="0099114C">
        <w:rPr>
          <w:color w:val="0066FF"/>
        </w:rPr>
        <w:t xml:space="preserve"> </w:t>
      </w:r>
      <w:r w:rsidR="00DB5178" w:rsidRPr="00857B0D">
        <w:rPr>
          <w:iCs/>
        </w:rPr>
        <w:t xml:space="preserve">The safety </w:t>
      </w:r>
      <w:r w:rsidR="00C24FBD" w:rsidRPr="00857B0D">
        <w:rPr>
          <w:iCs/>
        </w:rPr>
        <w:t>outcomes from the ADVOCATE trial</w:t>
      </w:r>
      <w:r w:rsidR="00DB5178" w:rsidRPr="00857B0D">
        <w:rPr>
          <w:iCs/>
        </w:rPr>
        <w:t xml:space="preserve"> are unchanged from the previous submission.</w:t>
      </w:r>
    </w:p>
    <w:p w14:paraId="4DC2E628" w14:textId="0B6CF23A" w:rsidR="00DB5178" w:rsidRPr="0099114C" w:rsidRDefault="00DB5178" w:rsidP="002E21D0">
      <w:pPr>
        <w:pStyle w:val="TableFigureHeading"/>
        <w:keepLines/>
        <w:rPr>
          <w:rFonts w:ascii="Segoe UI" w:hAnsi="Segoe UI" w:cs="Segoe UI"/>
          <w:sz w:val="18"/>
        </w:rPr>
      </w:pPr>
      <w:bookmarkStart w:id="56" w:name="_Ref155867259"/>
      <w:bookmarkStart w:id="57" w:name="_Toc152591173"/>
      <w:r w:rsidRPr="0099114C">
        <w:lastRenderedPageBreak/>
        <w:t xml:space="preserve">Table </w:t>
      </w:r>
      <w:fldSimple w:instr=" SEQ Table \* ARABIC " w:fldLock="1">
        <w:r w:rsidR="00A04368" w:rsidRPr="00857B0D">
          <w:t>10</w:t>
        </w:r>
      </w:fldSimple>
      <w:bookmarkEnd w:id="56"/>
      <w:r w:rsidRPr="0099114C">
        <w:t xml:space="preserve">: </w:t>
      </w:r>
      <w:r w:rsidRPr="0099114C">
        <w:rPr>
          <w:rFonts w:cs="Segoe UI"/>
          <w:szCs w:val="20"/>
        </w:rPr>
        <w:t>Summary of key adverse events in ADVOCATE trial (safety population)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10: Summary of key adverse events in ADVOCATE trial (safety population) "/>
      </w:tblPr>
      <w:tblGrid>
        <w:gridCol w:w="3885"/>
        <w:gridCol w:w="1530"/>
        <w:gridCol w:w="1530"/>
        <w:gridCol w:w="2055"/>
      </w:tblGrid>
      <w:tr w:rsidR="00DB5178" w:rsidRPr="0099114C" w14:paraId="21CAF1C8" w14:textId="77777777" w:rsidTr="00E356C3">
        <w:tc>
          <w:tcPr>
            <w:tcW w:w="38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046C5D" w14:textId="77777777" w:rsidR="00DB5178" w:rsidRPr="0099114C" w:rsidRDefault="00DB5178" w:rsidP="002E21D0">
            <w:pPr>
              <w:keepNext/>
              <w:keepLines/>
              <w:jc w:val="left"/>
              <w:textAlignment w:val="baseline"/>
              <w:rPr>
                <w:rFonts w:ascii="Times New Roman" w:hAnsi="Times New Roman" w:cs="Times New Roman"/>
              </w:rPr>
            </w:pPr>
            <w:r w:rsidRPr="00857B0D">
              <w:rPr>
                <w:rFonts w:ascii="Arial Narrow" w:hAnsi="Arial Narrow" w:cs="Times New Roman"/>
                <w:b/>
                <w:bCs/>
                <w:sz w:val="20"/>
                <w:szCs w:val="20"/>
              </w:rPr>
              <w:t>Safety outcome</w:t>
            </w:r>
            <w:r w:rsidRPr="0099114C">
              <w:rPr>
                <w:rFonts w:ascii="Arial Narrow" w:hAnsi="Arial Narrow" w:cs="Times New Roman"/>
                <w:sz w:val="20"/>
                <w:szCs w:val="20"/>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BE11D6"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b/>
                <w:bCs/>
                <w:sz w:val="20"/>
                <w:szCs w:val="20"/>
              </w:rPr>
              <w:t>Avacopan + SOC</w:t>
            </w:r>
            <w:r w:rsidRPr="0099114C">
              <w:rPr>
                <w:rFonts w:ascii="Arial Narrow" w:hAnsi="Arial Narrow" w:cs="Times New Roman"/>
                <w:sz w:val="20"/>
                <w:szCs w:val="20"/>
              </w:rPr>
              <w:t> </w:t>
            </w:r>
          </w:p>
          <w:p w14:paraId="1BBF27B8"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b/>
                <w:bCs/>
                <w:sz w:val="20"/>
                <w:szCs w:val="20"/>
              </w:rPr>
              <w:t xml:space="preserve">n with event (%) </w:t>
            </w:r>
            <w:r w:rsidRPr="0099114C">
              <w:rPr>
                <w:rFonts w:ascii="Arial Narrow" w:hAnsi="Arial Narrow" w:cs="Times New Roman"/>
                <w:b/>
                <w:bCs/>
                <w:sz w:val="16"/>
                <w:szCs w:val="16"/>
                <w:vertAlign w:val="superscript"/>
              </w:rPr>
              <w:t>a</w:t>
            </w:r>
            <w:r w:rsidRPr="0099114C">
              <w:rPr>
                <w:rFonts w:ascii="Arial Narrow" w:hAnsi="Arial Narrow" w:cs="Times New Roman"/>
                <w:sz w:val="16"/>
                <w:szCs w:val="16"/>
              </w:rPr>
              <w:t> </w:t>
            </w:r>
          </w:p>
          <w:p w14:paraId="0F6383AE"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b/>
                <w:bCs/>
                <w:sz w:val="20"/>
                <w:szCs w:val="20"/>
              </w:rPr>
              <w:t>N = 166</w:t>
            </w:r>
            <w:r w:rsidRPr="0099114C">
              <w:rPr>
                <w:rFonts w:ascii="Arial Narrow" w:hAnsi="Arial Narrow" w:cs="Times New Roman"/>
                <w:sz w:val="20"/>
                <w:szCs w:val="20"/>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BF68C6"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b/>
                <w:bCs/>
                <w:sz w:val="20"/>
                <w:szCs w:val="20"/>
              </w:rPr>
              <w:t>Prednisone + SOC</w:t>
            </w:r>
            <w:r w:rsidRPr="0099114C">
              <w:rPr>
                <w:rFonts w:ascii="Arial Narrow" w:hAnsi="Arial Narrow" w:cs="Times New Roman"/>
                <w:sz w:val="20"/>
                <w:szCs w:val="20"/>
              </w:rPr>
              <w:t> </w:t>
            </w:r>
          </w:p>
          <w:p w14:paraId="05236779"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b/>
                <w:bCs/>
                <w:sz w:val="20"/>
                <w:szCs w:val="20"/>
              </w:rPr>
              <w:t xml:space="preserve">n with event (%) </w:t>
            </w:r>
            <w:r w:rsidRPr="0099114C">
              <w:rPr>
                <w:rFonts w:ascii="Arial Narrow" w:hAnsi="Arial Narrow" w:cs="Times New Roman"/>
                <w:b/>
                <w:bCs/>
                <w:sz w:val="16"/>
                <w:szCs w:val="16"/>
                <w:vertAlign w:val="superscript"/>
              </w:rPr>
              <w:t>a</w:t>
            </w:r>
            <w:r w:rsidRPr="0099114C">
              <w:rPr>
                <w:rFonts w:ascii="Arial Narrow" w:hAnsi="Arial Narrow" w:cs="Times New Roman"/>
                <w:sz w:val="16"/>
                <w:szCs w:val="16"/>
              </w:rPr>
              <w:t> </w:t>
            </w:r>
          </w:p>
          <w:p w14:paraId="3A454408"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b/>
                <w:bCs/>
                <w:sz w:val="20"/>
                <w:szCs w:val="20"/>
              </w:rPr>
              <w:t>N=164</w:t>
            </w:r>
            <w:r w:rsidRPr="0099114C">
              <w:rPr>
                <w:rFonts w:ascii="Arial Narrow" w:hAnsi="Arial Narrow" w:cs="Times New Roman"/>
                <w:sz w:val="20"/>
                <w:szCs w:val="20"/>
              </w:rPr>
              <w:t> </w:t>
            </w:r>
          </w:p>
        </w:tc>
        <w:tc>
          <w:tcPr>
            <w:tcW w:w="2055" w:type="dxa"/>
            <w:tcBorders>
              <w:top w:val="single" w:sz="6" w:space="0" w:color="auto"/>
              <w:left w:val="single" w:sz="6" w:space="0" w:color="auto"/>
              <w:bottom w:val="single" w:sz="6" w:space="0" w:color="auto"/>
              <w:right w:val="single" w:sz="6" w:space="0" w:color="auto"/>
            </w:tcBorders>
            <w:shd w:val="clear" w:color="auto" w:fill="auto"/>
            <w:hideMark/>
          </w:tcPr>
          <w:p w14:paraId="0E4FADCB"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b/>
                <w:bCs/>
                <w:sz w:val="20"/>
                <w:szCs w:val="20"/>
              </w:rPr>
              <w:t>Risk difference, % (95% CI)</w:t>
            </w:r>
            <w:r w:rsidRPr="0099114C">
              <w:rPr>
                <w:rFonts w:ascii="Arial Narrow" w:hAnsi="Arial Narrow" w:cs="Times New Roman"/>
                <w:sz w:val="20"/>
                <w:szCs w:val="20"/>
              </w:rPr>
              <w:t> </w:t>
            </w:r>
          </w:p>
        </w:tc>
      </w:tr>
      <w:tr w:rsidR="00DB5178" w:rsidRPr="0099114C" w14:paraId="13ABCFE8" w14:textId="77777777" w:rsidTr="00E356C3">
        <w:tc>
          <w:tcPr>
            <w:tcW w:w="3885" w:type="dxa"/>
            <w:tcBorders>
              <w:top w:val="single" w:sz="6" w:space="0" w:color="auto"/>
              <w:left w:val="single" w:sz="6" w:space="0" w:color="auto"/>
              <w:bottom w:val="single" w:sz="6" w:space="0" w:color="auto"/>
              <w:right w:val="single" w:sz="6" w:space="0" w:color="auto"/>
            </w:tcBorders>
            <w:shd w:val="clear" w:color="auto" w:fill="auto"/>
            <w:hideMark/>
          </w:tcPr>
          <w:p w14:paraId="01AA3F81" w14:textId="77777777" w:rsidR="00DB5178" w:rsidRPr="0099114C" w:rsidRDefault="00DB5178" w:rsidP="002E21D0">
            <w:pPr>
              <w:keepNext/>
              <w:keepLines/>
              <w:jc w:val="left"/>
              <w:textAlignment w:val="baseline"/>
              <w:rPr>
                <w:rFonts w:ascii="Times New Roman" w:hAnsi="Times New Roman" w:cs="Times New Roman"/>
              </w:rPr>
            </w:pPr>
            <w:r w:rsidRPr="00857B0D">
              <w:rPr>
                <w:rFonts w:ascii="Arial Narrow" w:hAnsi="Arial Narrow" w:cs="Times New Roman"/>
                <w:sz w:val="20"/>
                <w:szCs w:val="20"/>
              </w:rPr>
              <w:t>Any TEAE</w:t>
            </w:r>
            <w:r w:rsidRPr="0099114C">
              <w:rPr>
                <w:rFonts w:ascii="Arial Narrow" w:hAnsi="Arial Narrow" w:cs="Times New Roman"/>
                <w:sz w:val="20"/>
                <w:szCs w:val="20"/>
              </w:rPr>
              <w:t>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7B52F407"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164 (98.8)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3868AB47"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161 (98.2) </w:t>
            </w:r>
          </w:p>
        </w:tc>
        <w:tc>
          <w:tcPr>
            <w:tcW w:w="2055"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227F960A"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NR </w:t>
            </w:r>
          </w:p>
        </w:tc>
      </w:tr>
      <w:tr w:rsidR="00DB5178" w:rsidRPr="0099114C" w14:paraId="6294E69F" w14:textId="77777777" w:rsidTr="00E356C3">
        <w:tc>
          <w:tcPr>
            <w:tcW w:w="3885" w:type="dxa"/>
            <w:tcBorders>
              <w:top w:val="single" w:sz="6" w:space="0" w:color="auto"/>
              <w:left w:val="single" w:sz="6" w:space="0" w:color="auto"/>
              <w:bottom w:val="single" w:sz="6" w:space="0" w:color="auto"/>
              <w:right w:val="single" w:sz="6" w:space="0" w:color="auto"/>
            </w:tcBorders>
            <w:shd w:val="clear" w:color="auto" w:fill="auto"/>
            <w:hideMark/>
          </w:tcPr>
          <w:p w14:paraId="4153BBB1" w14:textId="77777777" w:rsidR="00DB5178" w:rsidRPr="0099114C" w:rsidRDefault="00DB5178" w:rsidP="002E21D0">
            <w:pPr>
              <w:keepNext/>
              <w:keepLines/>
              <w:jc w:val="left"/>
              <w:textAlignment w:val="baseline"/>
              <w:rPr>
                <w:rFonts w:ascii="Times New Roman" w:hAnsi="Times New Roman" w:cs="Times New Roman"/>
              </w:rPr>
            </w:pPr>
            <w:r w:rsidRPr="00857B0D">
              <w:rPr>
                <w:rFonts w:ascii="Arial Narrow" w:hAnsi="Arial Narrow" w:cs="Times New Roman"/>
                <w:sz w:val="20"/>
                <w:szCs w:val="20"/>
              </w:rPr>
              <w:t>Maximum severity of TEAE</w:t>
            </w:r>
            <w:r w:rsidRPr="0099114C">
              <w:rPr>
                <w:rFonts w:ascii="Arial Narrow" w:hAnsi="Arial Narrow" w:cs="Times New Roman"/>
                <w:sz w:val="20"/>
                <w:szCs w:val="20"/>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5448EC"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7E547B"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 </w:t>
            </w:r>
          </w:p>
        </w:tc>
        <w:tc>
          <w:tcPr>
            <w:tcW w:w="2055" w:type="dxa"/>
            <w:tcBorders>
              <w:top w:val="single" w:sz="6" w:space="0" w:color="auto"/>
              <w:left w:val="single" w:sz="6" w:space="0" w:color="auto"/>
              <w:bottom w:val="single" w:sz="6" w:space="0" w:color="auto"/>
              <w:right w:val="single" w:sz="6" w:space="0" w:color="auto"/>
            </w:tcBorders>
            <w:shd w:val="clear" w:color="auto" w:fill="auto"/>
            <w:hideMark/>
          </w:tcPr>
          <w:p w14:paraId="397BEF37"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 </w:t>
            </w:r>
          </w:p>
        </w:tc>
      </w:tr>
      <w:tr w:rsidR="00DB5178" w:rsidRPr="0099114C" w14:paraId="1408EEA9" w14:textId="77777777" w:rsidTr="00E356C3">
        <w:tc>
          <w:tcPr>
            <w:tcW w:w="3885" w:type="dxa"/>
            <w:tcBorders>
              <w:top w:val="single" w:sz="6" w:space="0" w:color="auto"/>
              <w:left w:val="single" w:sz="6" w:space="0" w:color="auto"/>
              <w:bottom w:val="single" w:sz="6" w:space="0" w:color="auto"/>
              <w:right w:val="single" w:sz="6" w:space="0" w:color="auto"/>
            </w:tcBorders>
            <w:shd w:val="clear" w:color="auto" w:fill="auto"/>
            <w:hideMark/>
          </w:tcPr>
          <w:p w14:paraId="05605335" w14:textId="77777777" w:rsidR="00DB5178" w:rsidRPr="0099114C" w:rsidRDefault="00DB5178" w:rsidP="002E21D0">
            <w:pPr>
              <w:keepNext/>
              <w:keepLines/>
              <w:jc w:val="left"/>
              <w:textAlignment w:val="baseline"/>
              <w:rPr>
                <w:rFonts w:ascii="Times New Roman" w:hAnsi="Times New Roman" w:cs="Times New Roman"/>
              </w:rPr>
            </w:pPr>
            <w:r w:rsidRPr="0099114C">
              <w:rPr>
                <w:rFonts w:ascii="Arial Narrow" w:hAnsi="Arial Narrow" w:cs="Times New Roman"/>
                <w:sz w:val="20"/>
                <w:szCs w:val="20"/>
              </w:rPr>
              <w:t>  Mild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5B64CBE1"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33 (19.9)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44EE5659"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34 (20.7) </w:t>
            </w:r>
          </w:p>
        </w:tc>
        <w:tc>
          <w:tcPr>
            <w:tcW w:w="2055"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0673657C"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NR </w:t>
            </w:r>
          </w:p>
        </w:tc>
      </w:tr>
      <w:tr w:rsidR="00DB5178" w:rsidRPr="0099114C" w14:paraId="1E1178A1" w14:textId="77777777" w:rsidTr="00E356C3">
        <w:tc>
          <w:tcPr>
            <w:tcW w:w="3885" w:type="dxa"/>
            <w:tcBorders>
              <w:top w:val="single" w:sz="6" w:space="0" w:color="auto"/>
              <w:left w:val="single" w:sz="6" w:space="0" w:color="auto"/>
              <w:bottom w:val="single" w:sz="6" w:space="0" w:color="auto"/>
              <w:right w:val="single" w:sz="6" w:space="0" w:color="auto"/>
            </w:tcBorders>
            <w:shd w:val="clear" w:color="auto" w:fill="auto"/>
            <w:hideMark/>
          </w:tcPr>
          <w:p w14:paraId="35B88E1B" w14:textId="77777777" w:rsidR="00DB5178" w:rsidRPr="0099114C" w:rsidRDefault="00DB5178" w:rsidP="002E21D0">
            <w:pPr>
              <w:keepNext/>
              <w:keepLines/>
              <w:jc w:val="left"/>
              <w:textAlignment w:val="baseline"/>
              <w:rPr>
                <w:rFonts w:ascii="Times New Roman" w:hAnsi="Times New Roman" w:cs="Times New Roman"/>
              </w:rPr>
            </w:pPr>
            <w:r w:rsidRPr="0099114C">
              <w:rPr>
                <w:rFonts w:ascii="Arial Narrow" w:hAnsi="Arial Narrow" w:cs="Times New Roman"/>
                <w:sz w:val="20"/>
                <w:szCs w:val="20"/>
              </w:rPr>
              <w:t>  Moderate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04306AF1"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82 (49.4)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50835DD1"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68 (41.5) </w:t>
            </w:r>
          </w:p>
        </w:tc>
        <w:tc>
          <w:tcPr>
            <w:tcW w:w="2055"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5AB2F297"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NR </w:t>
            </w:r>
          </w:p>
        </w:tc>
      </w:tr>
      <w:tr w:rsidR="00DB5178" w:rsidRPr="0099114C" w14:paraId="56AC2AA6" w14:textId="77777777" w:rsidTr="00E356C3">
        <w:tc>
          <w:tcPr>
            <w:tcW w:w="3885" w:type="dxa"/>
            <w:tcBorders>
              <w:top w:val="single" w:sz="6" w:space="0" w:color="auto"/>
              <w:left w:val="single" w:sz="6" w:space="0" w:color="auto"/>
              <w:bottom w:val="single" w:sz="6" w:space="0" w:color="auto"/>
              <w:right w:val="single" w:sz="6" w:space="0" w:color="auto"/>
            </w:tcBorders>
            <w:shd w:val="clear" w:color="auto" w:fill="auto"/>
            <w:hideMark/>
          </w:tcPr>
          <w:p w14:paraId="1F4D6FF0" w14:textId="77777777" w:rsidR="00DB5178" w:rsidRPr="0099114C" w:rsidRDefault="00DB5178" w:rsidP="002E21D0">
            <w:pPr>
              <w:keepNext/>
              <w:keepLines/>
              <w:jc w:val="left"/>
              <w:textAlignment w:val="baseline"/>
              <w:rPr>
                <w:rFonts w:ascii="Times New Roman" w:hAnsi="Times New Roman" w:cs="Times New Roman"/>
              </w:rPr>
            </w:pPr>
            <w:r w:rsidRPr="0099114C">
              <w:rPr>
                <w:rFonts w:ascii="Arial Narrow" w:hAnsi="Arial Narrow" w:cs="Times New Roman"/>
                <w:sz w:val="20"/>
                <w:szCs w:val="20"/>
              </w:rPr>
              <w:t>  Severe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78CC0D8B"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39 (23.5)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47309903"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41 (25.0) </w:t>
            </w:r>
          </w:p>
        </w:tc>
        <w:tc>
          <w:tcPr>
            <w:tcW w:w="2055"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2E6AEA52"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NR </w:t>
            </w:r>
          </w:p>
        </w:tc>
      </w:tr>
      <w:tr w:rsidR="00DB5178" w:rsidRPr="0099114C" w14:paraId="6D8E89EF" w14:textId="77777777" w:rsidTr="00E356C3">
        <w:tc>
          <w:tcPr>
            <w:tcW w:w="3885" w:type="dxa"/>
            <w:tcBorders>
              <w:top w:val="single" w:sz="6" w:space="0" w:color="auto"/>
              <w:left w:val="single" w:sz="6" w:space="0" w:color="auto"/>
              <w:bottom w:val="single" w:sz="6" w:space="0" w:color="auto"/>
              <w:right w:val="single" w:sz="6" w:space="0" w:color="auto"/>
            </w:tcBorders>
            <w:shd w:val="clear" w:color="auto" w:fill="auto"/>
            <w:hideMark/>
          </w:tcPr>
          <w:p w14:paraId="25ECFA7F" w14:textId="77777777" w:rsidR="00DB5178" w:rsidRPr="0099114C" w:rsidRDefault="00DB5178" w:rsidP="002E21D0">
            <w:pPr>
              <w:keepNext/>
              <w:keepLines/>
              <w:jc w:val="left"/>
              <w:textAlignment w:val="baseline"/>
              <w:rPr>
                <w:rFonts w:ascii="Times New Roman" w:hAnsi="Times New Roman" w:cs="Times New Roman"/>
              </w:rPr>
            </w:pPr>
            <w:r w:rsidRPr="0099114C">
              <w:rPr>
                <w:rFonts w:ascii="Arial Narrow" w:hAnsi="Arial Narrow" w:cs="Times New Roman"/>
                <w:sz w:val="20"/>
                <w:szCs w:val="20"/>
              </w:rPr>
              <w:t>  Life-threatening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0F52ABF6"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8 (4.8)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719BBD54"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14 (8.5) </w:t>
            </w:r>
          </w:p>
        </w:tc>
        <w:tc>
          <w:tcPr>
            <w:tcW w:w="2055"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7EBB2BDC"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NR </w:t>
            </w:r>
          </w:p>
        </w:tc>
      </w:tr>
      <w:tr w:rsidR="00DB5178" w:rsidRPr="0099114C" w14:paraId="1CB885AC" w14:textId="77777777" w:rsidTr="00E356C3">
        <w:tc>
          <w:tcPr>
            <w:tcW w:w="3885" w:type="dxa"/>
            <w:tcBorders>
              <w:top w:val="single" w:sz="6" w:space="0" w:color="auto"/>
              <w:left w:val="single" w:sz="6" w:space="0" w:color="auto"/>
              <w:bottom w:val="single" w:sz="6" w:space="0" w:color="auto"/>
              <w:right w:val="single" w:sz="6" w:space="0" w:color="auto"/>
            </w:tcBorders>
            <w:shd w:val="clear" w:color="auto" w:fill="auto"/>
            <w:hideMark/>
          </w:tcPr>
          <w:p w14:paraId="104E8F23" w14:textId="77777777" w:rsidR="00DB5178" w:rsidRPr="0099114C" w:rsidRDefault="00DB5178" w:rsidP="002E21D0">
            <w:pPr>
              <w:keepNext/>
              <w:keepLines/>
              <w:jc w:val="left"/>
              <w:textAlignment w:val="baseline"/>
              <w:rPr>
                <w:rFonts w:ascii="Times New Roman" w:hAnsi="Times New Roman" w:cs="Times New Roman"/>
              </w:rPr>
            </w:pPr>
            <w:r w:rsidRPr="0099114C">
              <w:rPr>
                <w:rFonts w:ascii="Arial Narrow" w:hAnsi="Arial Narrow" w:cs="Times New Roman"/>
                <w:sz w:val="20"/>
                <w:szCs w:val="20"/>
              </w:rPr>
              <w:t>  Death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30D5E830"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2 (1.2)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1939554D"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4 (2.4) </w:t>
            </w:r>
          </w:p>
        </w:tc>
        <w:tc>
          <w:tcPr>
            <w:tcW w:w="2055"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478A38F9"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NR </w:t>
            </w:r>
          </w:p>
        </w:tc>
      </w:tr>
      <w:tr w:rsidR="00DB5178" w:rsidRPr="0099114C" w14:paraId="660AFBEF" w14:textId="77777777" w:rsidTr="00E356C3">
        <w:tc>
          <w:tcPr>
            <w:tcW w:w="3885" w:type="dxa"/>
            <w:tcBorders>
              <w:top w:val="single" w:sz="6" w:space="0" w:color="auto"/>
              <w:left w:val="single" w:sz="6" w:space="0" w:color="auto"/>
              <w:bottom w:val="single" w:sz="6" w:space="0" w:color="auto"/>
              <w:right w:val="single" w:sz="6" w:space="0" w:color="auto"/>
            </w:tcBorders>
            <w:shd w:val="clear" w:color="auto" w:fill="auto"/>
            <w:hideMark/>
          </w:tcPr>
          <w:p w14:paraId="6DECC976" w14:textId="77777777" w:rsidR="00DB5178" w:rsidRPr="0099114C" w:rsidRDefault="00DB5178" w:rsidP="002E21D0">
            <w:pPr>
              <w:keepNext/>
              <w:keepLines/>
              <w:jc w:val="left"/>
              <w:textAlignment w:val="baseline"/>
              <w:rPr>
                <w:rFonts w:ascii="Times New Roman" w:hAnsi="Times New Roman" w:cs="Times New Roman"/>
              </w:rPr>
            </w:pPr>
            <w:r w:rsidRPr="0099114C">
              <w:rPr>
                <w:rFonts w:ascii="Arial Narrow" w:hAnsi="Arial Narrow" w:cs="Times New Roman"/>
                <w:sz w:val="20"/>
                <w:szCs w:val="20"/>
              </w:rPr>
              <w:t>TEAE leading to study medication discontinuation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2FF993A0"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27 (16.3)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14A1405D"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28 (17.1) </w:t>
            </w:r>
          </w:p>
        </w:tc>
        <w:tc>
          <w:tcPr>
            <w:tcW w:w="2055"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092EDE18"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NR </w:t>
            </w:r>
          </w:p>
        </w:tc>
      </w:tr>
      <w:tr w:rsidR="00DB5178" w:rsidRPr="0099114C" w14:paraId="7344DF21" w14:textId="77777777" w:rsidTr="00E356C3">
        <w:tc>
          <w:tcPr>
            <w:tcW w:w="3885" w:type="dxa"/>
            <w:tcBorders>
              <w:top w:val="single" w:sz="6" w:space="0" w:color="auto"/>
              <w:left w:val="single" w:sz="6" w:space="0" w:color="auto"/>
              <w:bottom w:val="single" w:sz="6" w:space="0" w:color="auto"/>
              <w:right w:val="single" w:sz="6" w:space="0" w:color="auto"/>
            </w:tcBorders>
            <w:shd w:val="clear" w:color="auto" w:fill="auto"/>
            <w:hideMark/>
          </w:tcPr>
          <w:p w14:paraId="4E6FE906" w14:textId="77777777" w:rsidR="00DB5178" w:rsidRPr="0099114C" w:rsidRDefault="00DB5178" w:rsidP="002E21D0">
            <w:pPr>
              <w:keepNext/>
              <w:keepLines/>
              <w:jc w:val="left"/>
              <w:textAlignment w:val="baseline"/>
              <w:rPr>
                <w:rFonts w:ascii="Times New Roman" w:hAnsi="Times New Roman" w:cs="Times New Roman"/>
              </w:rPr>
            </w:pPr>
            <w:r w:rsidRPr="0099114C">
              <w:rPr>
                <w:rFonts w:ascii="Arial Narrow" w:hAnsi="Arial Narrow" w:cs="Times New Roman"/>
                <w:sz w:val="20"/>
                <w:szCs w:val="20"/>
              </w:rPr>
              <w:t>SAE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364B65EB"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70 (42.2)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0591C0F1"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74 (45.1) </w:t>
            </w:r>
          </w:p>
        </w:tc>
        <w:tc>
          <w:tcPr>
            <w:tcW w:w="2055"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43A3857D"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NR </w:t>
            </w:r>
          </w:p>
        </w:tc>
      </w:tr>
      <w:tr w:rsidR="00DB5178" w:rsidRPr="0099114C" w14:paraId="12159A6C" w14:textId="77777777" w:rsidTr="00E356C3">
        <w:tc>
          <w:tcPr>
            <w:tcW w:w="3885" w:type="dxa"/>
            <w:tcBorders>
              <w:top w:val="single" w:sz="6" w:space="0" w:color="auto"/>
              <w:left w:val="single" w:sz="6" w:space="0" w:color="auto"/>
              <w:bottom w:val="single" w:sz="6" w:space="0" w:color="auto"/>
              <w:right w:val="single" w:sz="6" w:space="0" w:color="auto"/>
            </w:tcBorders>
            <w:shd w:val="clear" w:color="auto" w:fill="auto"/>
            <w:hideMark/>
          </w:tcPr>
          <w:p w14:paraId="3430E335" w14:textId="77777777" w:rsidR="00DB5178" w:rsidRPr="0099114C" w:rsidRDefault="00DB5178" w:rsidP="002E21D0">
            <w:pPr>
              <w:keepNext/>
              <w:keepLines/>
              <w:jc w:val="left"/>
              <w:textAlignment w:val="baseline"/>
              <w:rPr>
                <w:rFonts w:ascii="Times New Roman" w:hAnsi="Times New Roman" w:cs="Times New Roman"/>
              </w:rPr>
            </w:pPr>
            <w:r w:rsidRPr="0099114C">
              <w:rPr>
                <w:rFonts w:ascii="Arial Narrow" w:hAnsi="Arial Narrow" w:cs="Times New Roman"/>
                <w:sz w:val="20"/>
                <w:szCs w:val="20"/>
              </w:rPr>
              <w:t>  Acute kidney injury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52894996"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3 (1.8)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77D8D774"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1 (0.6) </w:t>
            </w:r>
          </w:p>
        </w:tc>
        <w:tc>
          <w:tcPr>
            <w:tcW w:w="2055"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54CE86C8"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NR </w:t>
            </w:r>
          </w:p>
        </w:tc>
      </w:tr>
      <w:tr w:rsidR="00DB5178" w:rsidRPr="0099114C" w14:paraId="55299C35" w14:textId="77777777" w:rsidTr="00E356C3">
        <w:tc>
          <w:tcPr>
            <w:tcW w:w="3885" w:type="dxa"/>
            <w:tcBorders>
              <w:top w:val="single" w:sz="6" w:space="0" w:color="auto"/>
              <w:left w:val="single" w:sz="6" w:space="0" w:color="auto"/>
              <w:bottom w:val="single" w:sz="6" w:space="0" w:color="auto"/>
              <w:right w:val="single" w:sz="6" w:space="0" w:color="auto"/>
            </w:tcBorders>
            <w:shd w:val="clear" w:color="auto" w:fill="auto"/>
            <w:hideMark/>
          </w:tcPr>
          <w:p w14:paraId="61D1ED0F" w14:textId="77777777" w:rsidR="00DB5178" w:rsidRPr="0099114C" w:rsidRDefault="00DB5178" w:rsidP="002E21D0">
            <w:pPr>
              <w:keepNext/>
              <w:keepLines/>
              <w:jc w:val="left"/>
              <w:textAlignment w:val="baseline"/>
              <w:rPr>
                <w:rFonts w:ascii="Times New Roman" w:hAnsi="Times New Roman" w:cs="Times New Roman"/>
              </w:rPr>
            </w:pPr>
            <w:r w:rsidRPr="0099114C">
              <w:rPr>
                <w:rFonts w:ascii="Arial Narrow" w:hAnsi="Arial Narrow" w:cs="Times New Roman"/>
                <w:sz w:val="20"/>
                <w:szCs w:val="20"/>
              </w:rPr>
              <w:t>  Angina pectoris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4D8051C2"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2 (1.2)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4ECD5C3D"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0 (0.0) </w:t>
            </w:r>
          </w:p>
        </w:tc>
        <w:tc>
          <w:tcPr>
            <w:tcW w:w="2055"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3758650E"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NR </w:t>
            </w:r>
          </w:p>
        </w:tc>
      </w:tr>
      <w:tr w:rsidR="00DB5178" w:rsidRPr="0099114C" w14:paraId="403BEF21" w14:textId="77777777" w:rsidTr="00E356C3">
        <w:tc>
          <w:tcPr>
            <w:tcW w:w="3885" w:type="dxa"/>
            <w:tcBorders>
              <w:top w:val="single" w:sz="6" w:space="0" w:color="auto"/>
              <w:left w:val="single" w:sz="6" w:space="0" w:color="auto"/>
              <w:bottom w:val="single" w:sz="6" w:space="0" w:color="auto"/>
              <w:right w:val="single" w:sz="6" w:space="0" w:color="auto"/>
            </w:tcBorders>
            <w:shd w:val="clear" w:color="auto" w:fill="auto"/>
            <w:hideMark/>
          </w:tcPr>
          <w:p w14:paraId="385A7A17" w14:textId="77777777" w:rsidR="00DB5178" w:rsidRPr="0099114C" w:rsidRDefault="00DB5178" w:rsidP="002E21D0">
            <w:pPr>
              <w:keepNext/>
              <w:keepLines/>
              <w:jc w:val="left"/>
              <w:textAlignment w:val="baseline"/>
              <w:rPr>
                <w:rFonts w:ascii="Times New Roman" w:hAnsi="Times New Roman" w:cs="Times New Roman"/>
              </w:rPr>
            </w:pPr>
            <w:r w:rsidRPr="0099114C">
              <w:rPr>
                <w:rFonts w:ascii="Arial Narrow" w:hAnsi="Arial Narrow" w:cs="Times New Roman"/>
                <w:sz w:val="20"/>
                <w:szCs w:val="20"/>
              </w:rPr>
              <w:t>  Cardiac failure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020AA039"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2 (1.2)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6CB15257"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0 (0.0) </w:t>
            </w:r>
          </w:p>
        </w:tc>
        <w:tc>
          <w:tcPr>
            <w:tcW w:w="2055"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69B0D72E"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NR </w:t>
            </w:r>
          </w:p>
        </w:tc>
      </w:tr>
      <w:tr w:rsidR="00DB5178" w:rsidRPr="0099114C" w14:paraId="66692DAB" w14:textId="77777777" w:rsidTr="00E356C3">
        <w:tc>
          <w:tcPr>
            <w:tcW w:w="3885" w:type="dxa"/>
            <w:tcBorders>
              <w:top w:val="single" w:sz="6" w:space="0" w:color="auto"/>
              <w:left w:val="single" w:sz="6" w:space="0" w:color="auto"/>
              <w:bottom w:val="single" w:sz="6" w:space="0" w:color="auto"/>
              <w:right w:val="single" w:sz="6" w:space="0" w:color="auto"/>
            </w:tcBorders>
            <w:shd w:val="clear" w:color="auto" w:fill="auto"/>
            <w:hideMark/>
          </w:tcPr>
          <w:p w14:paraId="5651A2A6" w14:textId="77777777" w:rsidR="00DB5178" w:rsidRPr="0099114C" w:rsidRDefault="00DB5178" w:rsidP="002E21D0">
            <w:pPr>
              <w:keepNext/>
              <w:keepLines/>
              <w:jc w:val="left"/>
              <w:textAlignment w:val="baseline"/>
              <w:rPr>
                <w:rFonts w:ascii="Times New Roman" w:hAnsi="Times New Roman" w:cs="Times New Roman"/>
              </w:rPr>
            </w:pPr>
            <w:r w:rsidRPr="0099114C">
              <w:rPr>
                <w:rFonts w:ascii="Arial Narrow" w:hAnsi="Arial Narrow" w:cs="Times New Roman"/>
                <w:sz w:val="20"/>
                <w:szCs w:val="20"/>
              </w:rPr>
              <w:t>  Device-related infections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14D99618"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2 (1.2)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7A5FDDBF"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0 (0.0) </w:t>
            </w:r>
          </w:p>
        </w:tc>
        <w:tc>
          <w:tcPr>
            <w:tcW w:w="2055"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4ACAF015"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NR </w:t>
            </w:r>
          </w:p>
        </w:tc>
      </w:tr>
      <w:tr w:rsidR="00DB5178" w:rsidRPr="0099114C" w14:paraId="4BD92B3C" w14:textId="77777777" w:rsidTr="00E356C3">
        <w:tc>
          <w:tcPr>
            <w:tcW w:w="3885" w:type="dxa"/>
            <w:tcBorders>
              <w:top w:val="single" w:sz="6" w:space="0" w:color="auto"/>
              <w:left w:val="single" w:sz="6" w:space="0" w:color="auto"/>
              <w:bottom w:val="single" w:sz="6" w:space="0" w:color="auto"/>
              <w:right w:val="single" w:sz="6" w:space="0" w:color="auto"/>
            </w:tcBorders>
            <w:shd w:val="clear" w:color="auto" w:fill="auto"/>
            <w:hideMark/>
          </w:tcPr>
          <w:p w14:paraId="6C09E35E" w14:textId="77777777" w:rsidR="00DB5178" w:rsidRPr="0099114C" w:rsidRDefault="00DB5178" w:rsidP="002E21D0">
            <w:pPr>
              <w:keepNext/>
              <w:keepLines/>
              <w:jc w:val="left"/>
              <w:textAlignment w:val="baseline"/>
              <w:rPr>
                <w:rFonts w:ascii="Times New Roman" w:hAnsi="Times New Roman" w:cs="Times New Roman"/>
              </w:rPr>
            </w:pPr>
            <w:r w:rsidRPr="0099114C">
              <w:rPr>
                <w:rFonts w:ascii="Arial Narrow" w:hAnsi="Arial Narrow" w:cs="Times New Roman"/>
                <w:sz w:val="20"/>
                <w:szCs w:val="20"/>
              </w:rPr>
              <w:t>  GPA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52647CB7"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5 (3.0)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74116426"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1 (0.6) </w:t>
            </w:r>
          </w:p>
        </w:tc>
        <w:tc>
          <w:tcPr>
            <w:tcW w:w="2055"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5A3C06AE"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NR </w:t>
            </w:r>
          </w:p>
        </w:tc>
      </w:tr>
      <w:tr w:rsidR="00DB5178" w:rsidRPr="0099114C" w14:paraId="4B55FFD5" w14:textId="77777777" w:rsidTr="00E356C3">
        <w:tc>
          <w:tcPr>
            <w:tcW w:w="3885" w:type="dxa"/>
            <w:tcBorders>
              <w:top w:val="single" w:sz="6" w:space="0" w:color="auto"/>
              <w:left w:val="single" w:sz="6" w:space="0" w:color="auto"/>
              <w:bottom w:val="single" w:sz="6" w:space="0" w:color="auto"/>
              <w:right w:val="single" w:sz="6" w:space="0" w:color="auto"/>
            </w:tcBorders>
            <w:shd w:val="clear" w:color="auto" w:fill="auto"/>
            <w:hideMark/>
          </w:tcPr>
          <w:p w14:paraId="655C7775" w14:textId="77777777" w:rsidR="00DB5178" w:rsidRPr="0099114C" w:rsidRDefault="00DB5178" w:rsidP="002E21D0">
            <w:pPr>
              <w:keepNext/>
              <w:keepLines/>
              <w:jc w:val="left"/>
              <w:textAlignment w:val="baseline"/>
              <w:rPr>
                <w:rFonts w:ascii="Times New Roman" w:hAnsi="Times New Roman" w:cs="Times New Roman"/>
              </w:rPr>
            </w:pPr>
            <w:r w:rsidRPr="0099114C">
              <w:rPr>
                <w:rFonts w:ascii="Arial Narrow" w:hAnsi="Arial Narrow" w:cs="Times New Roman"/>
                <w:sz w:val="20"/>
                <w:szCs w:val="20"/>
              </w:rPr>
              <w:t>  Hyperglycaemia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275FBB77"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2 (1.2)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1EA796A7"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1 (0.6) </w:t>
            </w:r>
          </w:p>
        </w:tc>
        <w:tc>
          <w:tcPr>
            <w:tcW w:w="2055"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1E4B5704"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NR </w:t>
            </w:r>
          </w:p>
        </w:tc>
      </w:tr>
      <w:tr w:rsidR="00DB5178" w:rsidRPr="0099114C" w14:paraId="7B67EA7F" w14:textId="77777777" w:rsidTr="00E356C3">
        <w:tc>
          <w:tcPr>
            <w:tcW w:w="3885" w:type="dxa"/>
            <w:tcBorders>
              <w:top w:val="single" w:sz="6" w:space="0" w:color="auto"/>
              <w:left w:val="single" w:sz="6" w:space="0" w:color="auto"/>
              <w:bottom w:val="single" w:sz="6" w:space="0" w:color="auto"/>
              <w:right w:val="single" w:sz="6" w:space="0" w:color="auto"/>
            </w:tcBorders>
            <w:shd w:val="clear" w:color="auto" w:fill="auto"/>
            <w:hideMark/>
          </w:tcPr>
          <w:p w14:paraId="3D445DE1" w14:textId="77777777" w:rsidR="00DB5178" w:rsidRPr="0099114C" w:rsidRDefault="00DB5178" w:rsidP="002E21D0">
            <w:pPr>
              <w:keepNext/>
              <w:keepLines/>
              <w:jc w:val="left"/>
              <w:textAlignment w:val="baseline"/>
              <w:rPr>
                <w:rFonts w:ascii="Times New Roman" w:hAnsi="Times New Roman" w:cs="Times New Roman"/>
              </w:rPr>
            </w:pPr>
            <w:r w:rsidRPr="0099114C">
              <w:rPr>
                <w:rFonts w:ascii="Arial Narrow" w:hAnsi="Arial Narrow" w:cs="Times New Roman"/>
                <w:sz w:val="20"/>
                <w:szCs w:val="20"/>
              </w:rPr>
              <w:t>  Influenza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02D24FDE"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2 (1.2)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594EA3EE"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1 (0.6) </w:t>
            </w:r>
          </w:p>
        </w:tc>
        <w:tc>
          <w:tcPr>
            <w:tcW w:w="2055"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38F3C8B7"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NR </w:t>
            </w:r>
          </w:p>
        </w:tc>
      </w:tr>
      <w:tr w:rsidR="00DB5178" w:rsidRPr="0099114C" w14:paraId="5440CAE4" w14:textId="77777777" w:rsidTr="00E356C3">
        <w:tc>
          <w:tcPr>
            <w:tcW w:w="3885" w:type="dxa"/>
            <w:tcBorders>
              <w:top w:val="single" w:sz="6" w:space="0" w:color="auto"/>
              <w:left w:val="single" w:sz="6" w:space="0" w:color="auto"/>
              <w:bottom w:val="single" w:sz="6" w:space="0" w:color="auto"/>
              <w:right w:val="single" w:sz="6" w:space="0" w:color="auto"/>
            </w:tcBorders>
            <w:shd w:val="clear" w:color="auto" w:fill="auto"/>
            <w:hideMark/>
          </w:tcPr>
          <w:p w14:paraId="5C9BF80E" w14:textId="77777777" w:rsidR="00DB5178" w:rsidRPr="0099114C" w:rsidRDefault="00DB5178" w:rsidP="002E21D0">
            <w:pPr>
              <w:keepNext/>
              <w:keepLines/>
              <w:jc w:val="left"/>
              <w:textAlignment w:val="baseline"/>
              <w:rPr>
                <w:rFonts w:ascii="Times New Roman" w:hAnsi="Times New Roman" w:cs="Times New Roman"/>
              </w:rPr>
            </w:pPr>
            <w:r w:rsidRPr="0099114C">
              <w:rPr>
                <w:rFonts w:ascii="Arial Narrow" w:hAnsi="Arial Narrow" w:cs="Times New Roman"/>
                <w:sz w:val="20"/>
                <w:szCs w:val="20"/>
              </w:rPr>
              <w:t>  Pneumonia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66881CE8"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8 (4.8)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0EC9D8BC"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6 (3.7) </w:t>
            </w:r>
          </w:p>
        </w:tc>
        <w:tc>
          <w:tcPr>
            <w:tcW w:w="2055"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708C5FB6"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NR </w:t>
            </w:r>
          </w:p>
        </w:tc>
      </w:tr>
      <w:tr w:rsidR="00DB5178" w:rsidRPr="0099114C" w14:paraId="094E0AF5" w14:textId="77777777" w:rsidTr="00E356C3">
        <w:tc>
          <w:tcPr>
            <w:tcW w:w="3885" w:type="dxa"/>
            <w:tcBorders>
              <w:top w:val="single" w:sz="6" w:space="0" w:color="auto"/>
              <w:left w:val="single" w:sz="6" w:space="0" w:color="auto"/>
              <w:bottom w:val="single" w:sz="6" w:space="0" w:color="auto"/>
              <w:right w:val="single" w:sz="6" w:space="0" w:color="auto"/>
            </w:tcBorders>
            <w:shd w:val="clear" w:color="auto" w:fill="auto"/>
            <w:hideMark/>
          </w:tcPr>
          <w:p w14:paraId="54B47DBE" w14:textId="77777777" w:rsidR="00DB5178" w:rsidRPr="0099114C" w:rsidRDefault="00DB5178" w:rsidP="002E21D0">
            <w:pPr>
              <w:keepNext/>
              <w:keepLines/>
              <w:jc w:val="left"/>
              <w:textAlignment w:val="baseline"/>
              <w:rPr>
                <w:rFonts w:ascii="Times New Roman" w:hAnsi="Times New Roman" w:cs="Times New Roman"/>
              </w:rPr>
            </w:pPr>
            <w:r w:rsidRPr="0099114C">
              <w:rPr>
                <w:rFonts w:ascii="Arial Narrow" w:hAnsi="Arial Narrow" w:cs="Times New Roman"/>
                <w:sz w:val="20"/>
                <w:szCs w:val="20"/>
              </w:rPr>
              <w:t>  UTI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2B48D7F6"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3 (1.8)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2491CE76"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2 (1.2) </w:t>
            </w:r>
          </w:p>
        </w:tc>
        <w:tc>
          <w:tcPr>
            <w:tcW w:w="2055"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08AA5365"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NR </w:t>
            </w:r>
          </w:p>
        </w:tc>
      </w:tr>
      <w:tr w:rsidR="00DB5178" w:rsidRPr="0099114C" w14:paraId="483500AC" w14:textId="77777777" w:rsidTr="00E356C3">
        <w:tc>
          <w:tcPr>
            <w:tcW w:w="3885" w:type="dxa"/>
            <w:tcBorders>
              <w:top w:val="single" w:sz="6" w:space="0" w:color="auto"/>
              <w:left w:val="single" w:sz="6" w:space="0" w:color="auto"/>
              <w:bottom w:val="single" w:sz="6" w:space="0" w:color="auto"/>
              <w:right w:val="single" w:sz="6" w:space="0" w:color="auto"/>
            </w:tcBorders>
            <w:shd w:val="clear" w:color="auto" w:fill="auto"/>
            <w:hideMark/>
          </w:tcPr>
          <w:p w14:paraId="12071480" w14:textId="77777777" w:rsidR="00DB5178" w:rsidRPr="0099114C" w:rsidRDefault="00DB5178" w:rsidP="002E21D0">
            <w:pPr>
              <w:keepNext/>
              <w:keepLines/>
              <w:jc w:val="left"/>
              <w:textAlignment w:val="baseline"/>
              <w:rPr>
                <w:rFonts w:ascii="Times New Roman" w:hAnsi="Times New Roman" w:cs="Times New Roman"/>
              </w:rPr>
            </w:pPr>
            <w:r w:rsidRPr="0099114C">
              <w:rPr>
                <w:rFonts w:ascii="Arial Narrow" w:hAnsi="Arial Narrow" w:cs="Times New Roman"/>
                <w:sz w:val="20"/>
                <w:szCs w:val="20"/>
              </w:rPr>
              <w:t>Any treatment-emergent infections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34AA2E85"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113 (68.1)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7FC76ABF"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124 (75.6) </w:t>
            </w:r>
          </w:p>
        </w:tc>
        <w:tc>
          <w:tcPr>
            <w:tcW w:w="2055"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205717B3"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NR </w:t>
            </w:r>
          </w:p>
        </w:tc>
      </w:tr>
      <w:tr w:rsidR="00DB5178" w:rsidRPr="0099114C" w14:paraId="38C62E83" w14:textId="77777777" w:rsidTr="00E356C3">
        <w:tc>
          <w:tcPr>
            <w:tcW w:w="3885" w:type="dxa"/>
            <w:tcBorders>
              <w:top w:val="single" w:sz="6" w:space="0" w:color="auto"/>
              <w:left w:val="single" w:sz="6" w:space="0" w:color="auto"/>
              <w:bottom w:val="single" w:sz="6" w:space="0" w:color="auto"/>
              <w:right w:val="single" w:sz="6" w:space="0" w:color="auto"/>
            </w:tcBorders>
            <w:shd w:val="clear" w:color="auto" w:fill="auto"/>
            <w:hideMark/>
          </w:tcPr>
          <w:p w14:paraId="3467ADBD" w14:textId="77777777" w:rsidR="00DB5178" w:rsidRPr="0099114C" w:rsidRDefault="00DB5178" w:rsidP="002E21D0">
            <w:pPr>
              <w:keepNext/>
              <w:keepLines/>
              <w:jc w:val="left"/>
              <w:textAlignment w:val="baseline"/>
              <w:rPr>
                <w:rFonts w:ascii="Times New Roman" w:hAnsi="Times New Roman" w:cs="Times New Roman"/>
              </w:rPr>
            </w:pPr>
            <w:r w:rsidRPr="0099114C">
              <w:rPr>
                <w:rFonts w:ascii="Arial Narrow" w:hAnsi="Arial Narrow" w:cs="Times New Roman"/>
                <w:sz w:val="20"/>
                <w:szCs w:val="20"/>
              </w:rPr>
              <w:t>Any serious treatment-emergent infections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0880EAAE"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22 (13.3)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54B7BF78"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25 (15.2) </w:t>
            </w:r>
          </w:p>
        </w:tc>
        <w:tc>
          <w:tcPr>
            <w:tcW w:w="2055"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28394985"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NR </w:t>
            </w:r>
          </w:p>
        </w:tc>
      </w:tr>
      <w:tr w:rsidR="00DB5178" w:rsidRPr="0099114C" w14:paraId="7B6CBE2B" w14:textId="77777777" w:rsidTr="00E356C3">
        <w:tc>
          <w:tcPr>
            <w:tcW w:w="3885" w:type="dxa"/>
            <w:tcBorders>
              <w:top w:val="single" w:sz="6" w:space="0" w:color="auto"/>
              <w:left w:val="single" w:sz="6" w:space="0" w:color="auto"/>
              <w:bottom w:val="single" w:sz="6" w:space="0" w:color="auto"/>
              <w:right w:val="single" w:sz="6" w:space="0" w:color="auto"/>
            </w:tcBorders>
            <w:shd w:val="clear" w:color="auto" w:fill="auto"/>
            <w:hideMark/>
          </w:tcPr>
          <w:p w14:paraId="25F31E19" w14:textId="77777777" w:rsidR="00DB5178" w:rsidRPr="0099114C" w:rsidRDefault="00DB5178" w:rsidP="002E21D0">
            <w:pPr>
              <w:keepNext/>
              <w:keepLines/>
              <w:jc w:val="left"/>
              <w:textAlignment w:val="baseline"/>
              <w:rPr>
                <w:rFonts w:ascii="Times New Roman" w:hAnsi="Times New Roman" w:cs="Times New Roman"/>
              </w:rPr>
            </w:pPr>
            <w:r w:rsidRPr="0099114C">
              <w:rPr>
                <w:rFonts w:ascii="Arial Narrow" w:hAnsi="Arial Narrow" w:cs="Times New Roman"/>
                <w:sz w:val="20"/>
                <w:szCs w:val="20"/>
              </w:rPr>
              <w:t>Any serious treatment-emergent possibly related to study medication (prednisone/placebo)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7AD67BFF"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11 (6.6)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115FDA74"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24 (14.6) </w:t>
            </w:r>
          </w:p>
        </w:tc>
        <w:tc>
          <w:tcPr>
            <w:tcW w:w="2055"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254C4E83"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NR </w:t>
            </w:r>
          </w:p>
        </w:tc>
      </w:tr>
      <w:tr w:rsidR="00DB5178" w:rsidRPr="0099114C" w14:paraId="264DC517" w14:textId="77777777" w:rsidTr="00E356C3">
        <w:tc>
          <w:tcPr>
            <w:tcW w:w="3885" w:type="dxa"/>
            <w:tcBorders>
              <w:top w:val="single" w:sz="6" w:space="0" w:color="auto"/>
              <w:left w:val="single" w:sz="6" w:space="0" w:color="auto"/>
              <w:bottom w:val="single" w:sz="6" w:space="0" w:color="auto"/>
              <w:right w:val="single" w:sz="6" w:space="0" w:color="auto"/>
            </w:tcBorders>
            <w:shd w:val="clear" w:color="auto" w:fill="auto"/>
            <w:hideMark/>
          </w:tcPr>
          <w:p w14:paraId="15C87BDF" w14:textId="77777777" w:rsidR="00DB5178" w:rsidRPr="0099114C" w:rsidRDefault="00DB5178" w:rsidP="002E21D0">
            <w:pPr>
              <w:keepNext/>
              <w:keepLines/>
              <w:jc w:val="left"/>
              <w:textAlignment w:val="baseline"/>
              <w:rPr>
                <w:rFonts w:ascii="Times New Roman" w:hAnsi="Times New Roman" w:cs="Times New Roman"/>
              </w:rPr>
            </w:pPr>
            <w:r w:rsidRPr="0099114C">
              <w:rPr>
                <w:rFonts w:ascii="Arial Narrow" w:hAnsi="Arial Narrow" w:cs="Times New Roman"/>
                <w:sz w:val="20"/>
                <w:szCs w:val="20"/>
              </w:rPr>
              <w:t xml:space="preserve">  Infections and infestations </w:t>
            </w:r>
            <w:r w:rsidRPr="0099114C">
              <w:rPr>
                <w:rFonts w:ascii="Arial Narrow" w:hAnsi="Arial Narrow" w:cs="Times New Roman"/>
                <w:sz w:val="16"/>
                <w:szCs w:val="16"/>
                <w:vertAlign w:val="superscript"/>
              </w:rPr>
              <w:t>b</w:t>
            </w:r>
            <w:r w:rsidRPr="0099114C">
              <w:rPr>
                <w:rFonts w:ascii="Arial Narrow" w:hAnsi="Arial Narrow" w:cs="Times New Roman"/>
                <w:sz w:val="16"/>
                <w:szCs w:val="16"/>
              </w:rPr>
              <w:t>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4744E46A"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3 (1.8)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38FB9E82"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11 (6.7) </w:t>
            </w:r>
          </w:p>
        </w:tc>
        <w:tc>
          <w:tcPr>
            <w:tcW w:w="2055"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27FCBF90"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NR </w:t>
            </w:r>
          </w:p>
        </w:tc>
      </w:tr>
      <w:tr w:rsidR="00DB5178" w:rsidRPr="0099114C" w14:paraId="0031262D" w14:textId="77777777" w:rsidTr="00E356C3">
        <w:tc>
          <w:tcPr>
            <w:tcW w:w="3885" w:type="dxa"/>
            <w:tcBorders>
              <w:top w:val="single" w:sz="6" w:space="0" w:color="auto"/>
              <w:left w:val="single" w:sz="6" w:space="0" w:color="auto"/>
              <w:bottom w:val="single" w:sz="6" w:space="0" w:color="auto"/>
              <w:right w:val="single" w:sz="6" w:space="0" w:color="auto"/>
            </w:tcBorders>
            <w:shd w:val="clear" w:color="auto" w:fill="auto"/>
            <w:hideMark/>
          </w:tcPr>
          <w:p w14:paraId="108ECBAA" w14:textId="77777777" w:rsidR="00DB5178" w:rsidRPr="0099114C" w:rsidRDefault="00DB5178" w:rsidP="002E21D0">
            <w:pPr>
              <w:keepNext/>
              <w:keepLines/>
              <w:jc w:val="left"/>
              <w:textAlignment w:val="baseline"/>
              <w:rPr>
                <w:rFonts w:ascii="Times New Roman" w:hAnsi="Times New Roman" w:cs="Times New Roman"/>
              </w:rPr>
            </w:pPr>
            <w:r w:rsidRPr="00857B0D">
              <w:rPr>
                <w:rFonts w:ascii="Arial Narrow" w:hAnsi="Arial Narrow" w:cs="Times New Roman"/>
                <w:sz w:val="20"/>
                <w:szCs w:val="20"/>
              </w:rPr>
              <w:t>Any severe treatment-emergent infection</w:t>
            </w:r>
            <w:r w:rsidRPr="0099114C">
              <w:rPr>
                <w:rFonts w:ascii="Arial Narrow" w:hAnsi="Arial Narrow" w:cs="Times New Roman"/>
                <w:sz w:val="20"/>
                <w:szCs w:val="20"/>
              </w:rPr>
              <w:t>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5127F719"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12 (7.2)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053F58B8"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10 (6.1) </w:t>
            </w:r>
          </w:p>
        </w:tc>
        <w:tc>
          <w:tcPr>
            <w:tcW w:w="2055"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6A3B4E21"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NR </w:t>
            </w:r>
          </w:p>
        </w:tc>
      </w:tr>
      <w:tr w:rsidR="00DB5178" w:rsidRPr="0099114C" w14:paraId="7C08F3BD" w14:textId="77777777" w:rsidTr="00E356C3">
        <w:tc>
          <w:tcPr>
            <w:tcW w:w="3885" w:type="dxa"/>
            <w:tcBorders>
              <w:top w:val="single" w:sz="6" w:space="0" w:color="auto"/>
              <w:left w:val="single" w:sz="6" w:space="0" w:color="auto"/>
              <w:bottom w:val="single" w:sz="6" w:space="0" w:color="auto"/>
              <w:right w:val="single" w:sz="6" w:space="0" w:color="auto"/>
            </w:tcBorders>
            <w:shd w:val="clear" w:color="auto" w:fill="auto"/>
            <w:hideMark/>
          </w:tcPr>
          <w:p w14:paraId="78924C2F" w14:textId="77777777" w:rsidR="00DB5178" w:rsidRPr="0099114C" w:rsidRDefault="00DB5178" w:rsidP="002E21D0">
            <w:pPr>
              <w:keepNext/>
              <w:keepLines/>
              <w:jc w:val="left"/>
              <w:textAlignment w:val="baseline"/>
              <w:rPr>
                <w:rFonts w:ascii="Times New Roman" w:hAnsi="Times New Roman" w:cs="Times New Roman"/>
              </w:rPr>
            </w:pPr>
            <w:r w:rsidRPr="00857B0D">
              <w:rPr>
                <w:rFonts w:ascii="Arial Narrow" w:hAnsi="Arial Narrow" w:cs="Times New Roman"/>
                <w:sz w:val="20"/>
                <w:szCs w:val="20"/>
              </w:rPr>
              <w:t>Any treatment-emergent infection leading to study withdrawal</w:t>
            </w:r>
            <w:r w:rsidRPr="0099114C">
              <w:rPr>
                <w:rFonts w:ascii="Arial Narrow" w:hAnsi="Arial Narrow" w:cs="Times New Roman"/>
                <w:sz w:val="20"/>
                <w:szCs w:val="20"/>
              </w:rPr>
              <w:t>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1F819DFD"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4 (2.4)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4A96BEF6"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5 (3.0) </w:t>
            </w:r>
          </w:p>
        </w:tc>
        <w:tc>
          <w:tcPr>
            <w:tcW w:w="2055"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1428CB39"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NR </w:t>
            </w:r>
          </w:p>
        </w:tc>
      </w:tr>
      <w:tr w:rsidR="00DB5178" w:rsidRPr="0099114C" w14:paraId="1C805933" w14:textId="77777777" w:rsidTr="00E356C3">
        <w:tc>
          <w:tcPr>
            <w:tcW w:w="3885" w:type="dxa"/>
            <w:tcBorders>
              <w:top w:val="single" w:sz="6" w:space="0" w:color="auto"/>
              <w:left w:val="single" w:sz="6" w:space="0" w:color="auto"/>
              <w:bottom w:val="single" w:sz="6" w:space="0" w:color="auto"/>
              <w:right w:val="single" w:sz="6" w:space="0" w:color="auto"/>
            </w:tcBorders>
            <w:shd w:val="clear" w:color="auto" w:fill="auto"/>
            <w:hideMark/>
          </w:tcPr>
          <w:p w14:paraId="7E7B960A" w14:textId="77777777" w:rsidR="00DB5178" w:rsidRPr="0099114C" w:rsidRDefault="00DB5178" w:rsidP="002E21D0">
            <w:pPr>
              <w:keepNext/>
              <w:keepLines/>
              <w:jc w:val="left"/>
              <w:textAlignment w:val="baseline"/>
              <w:rPr>
                <w:rFonts w:ascii="Times New Roman" w:hAnsi="Times New Roman" w:cs="Times New Roman"/>
              </w:rPr>
            </w:pPr>
            <w:r w:rsidRPr="00857B0D">
              <w:rPr>
                <w:rFonts w:ascii="Arial Narrow" w:hAnsi="Arial Narrow" w:cs="Times New Roman"/>
                <w:sz w:val="20"/>
                <w:szCs w:val="20"/>
              </w:rPr>
              <w:t>Any treatment-emergent life-threatening infection</w:t>
            </w:r>
            <w:r w:rsidRPr="0099114C">
              <w:rPr>
                <w:rFonts w:ascii="Arial Narrow" w:hAnsi="Arial Narrow" w:cs="Times New Roman"/>
                <w:sz w:val="20"/>
                <w:szCs w:val="20"/>
              </w:rPr>
              <w:t>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6637EB8D"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1 (0.6)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0A546C0C"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2 (1.2) </w:t>
            </w:r>
          </w:p>
        </w:tc>
        <w:tc>
          <w:tcPr>
            <w:tcW w:w="2055"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63C1CA72"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NR </w:t>
            </w:r>
          </w:p>
        </w:tc>
      </w:tr>
      <w:tr w:rsidR="00DB5178" w:rsidRPr="0099114C" w14:paraId="34CADFF3" w14:textId="77777777" w:rsidTr="00E356C3">
        <w:tc>
          <w:tcPr>
            <w:tcW w:w="3885" w:type="dxa"/>
            <w:tcBorders>
              <w:top w:val="single" w:sz="6" w:space="0" w:color="auto"/>
              <w:left w:val="single" w:sz="6" w:space="0" w:color="auto"/>
              <w:bottom w:val="single" w:sz="6" w:space="0" w:color="auto"/>
              <w:right w:val="single" w:sz="6" w:space="0" w:color="auto"/>
            </w:tcBorders>
            <w:shd w:val="clear" w:color="auto" w:fill="auto"/>
            <w:hideMark/>
          </w:tcPr>
          <w:p w14:paraId="02EAAE95" w14:textId="77777777" w:rsidR="00DB5178" w:rsidRPr="0099114C" w:rsidRDefault="00DB5178" w:rsidP="002E21D0">
            <w:pPr>
              <w:keepNext/>
              <w:keepLines/>
              <w:jc w:val="left"/>
              <w:textAlignment w:val="baseline"/>
              <w:rPr>
                <w:rFonts w:ascii="Times New Roman" w:hAnsi="Times New Roman" w:cs="Times New Roman"/>
              </w:rPr>
            </w:pPr>
            <w:r w:rsidRPr="00857B0D">
              <w:rPr>
                <w:rFonts w:ascii="Arial Narrow" w:hAnsi="Arial Narrow" w:cs="Times New Roman"/>
                <w:sz w:val="20"/>
                <w:szCs w:val="20"/>
              </w:rPr>
              <w:t>Any treatment-emergent infection leading to death</w:t>
            </w:r>
            <w:r w:rsidRPr="0099114C">
              <w:rPr>
                <w:rFonts w:ascii="Arial Narrow" w:hAnsi="Arial Narrow" w:cs="Times New Roman"/>
                <w:sz w:val="20"/>
                <w:szCs w:val="20"/>
              </w:rPr>
              <w:t>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00382E53"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1 (0.6)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0655CF5E"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2 (1.2) </w:t>
            </w:r>
          </w:p>
        </w:tc>
        <w:tc>
          <w:tcPr>
            <w:tcW w:w="2055"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25010FE1"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sz w:val="20"/>
                <w:szCs w:val="20"/>
              </w:rPr>
              <w:t>NR </w:t>
            </w:r>
          </w:p>
        </w:tc>
      </w:tr>
      <w:tr w:rsidR="00DB5178" w:rsidRPr="0099114C" w14:paraId="4B038D44" w14:textId="77777777" w:rsidTr="00E356C3">
        <w:tc>
          <w:tcPr>
            <w:tcW w:w="3885" w:type="dxa"/>
            <w:tcBorders>
              <w:top w:val="single" w:sz="6" w:space="0" w:color="auto"/>
              <w:left w:val="single" w:sz="6" w:space="0" w:color="auto"/>
              <w:bottom w:val="single" w:sz="6" w:space="0" w:color="auto"/>
              <w:right w:val="single" w:sz="6" w:space="0" w:color="auto"/>
            </w:tcBorders>
            <w:shd w:val="clear" w:color="auto" w:fill="auto"/>
            <w:hideMark/>
          </w:tcPr>
          <w:p w14:paraId="65FE2EA6" w14:textId="77777777" w:rsidR="00DB5178" w:rsidRPr="0099114C" w:rsidRDefault="00DB5178" w:rsidP="002E21D0">
            <w:pPr>
              <w:keepNext/>
              <w:keepLines/>
              <w:jc w:val="left"/>
              <w:textAlignment w:val="baseline"/>
              <w:rPr>
                <w:rFonts w:ascii="Times New Roman" w:hAnsi="Times New Roman" w:cs="Times New Roman"/>
              </w:rPr>
            </w:pPr>
            <w:r w:rsidRPr="0099114C">
              <w:rPr>
                <w:rFonts w:ascii="Arial Narrow" w:hAnsi="Arial Narrow" w:cs="Times New Roman"/>
                <w:b/>
                <w:bCs/>
                <w:sz w:val="20"/>
                <w:szCs w:val="20"/>
              </w:rPr>
              <w:t>Any potentially GC-related AE</w:t>
            </w:r>
            <w:r w:rsidRPr="0099114C">
              <w:rPr>
                <w:rFonts w:ascii="Arial Narrow" w:hAnsi="Arial Narrow" w:cs="Times New Roman"/>
                <w:sz w:val="20"/>
                <w:szCs w:val="20"/>
              </w:rPr>
              <w:t>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635095CB"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b/>
                <w:bCs/>
                <w:sz w:val="20"/>
                <w:szCs w:val="20"/>
              </w:rPr>
              <w:t>110 (66.3)</w:t>
            </w:r>
            <w:r w:rsidRPr="0099114C">
              <w:rPr>
                <w:rFonts w:ascii="Arial Narrow" w:hAnsi="Arial Narrow" w:cs="Times New Roman"/>
                <w:sz w:val="20"/>
                <w:szCs w:val="20"/>
              </w:rPr>
              <w:t>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258F7C17"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b/>
                <w:bCs/>
                <w:sz w:val="20"/>
                <w:szCs w:val="20"/>
              </w:rPr>
              <w:t>132 (80.5)</w:t>
            </w:r>
            <w:r w:rsidRPr="0099114C">
              <w:rPr>
                <w:rFonts w:ascii="Arial Narrow" w:hAnsi="Arial Narrow" w:cs="Times New Roman"/>
                <w:sz w:val="20"/>
                <w:szCs w:val="20"/>
              </w:rPr>
              <w:t> </w:t>
            </w:r>
          </w:p>
        </w:tc>
        <w:tc>
          <w:tcPr>
            <w:tcW w:w="2055"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0C98550D"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b/>
                <w:bCs/>
                <w:sz w:val="20"/>
                <w:szCs w:val="20"/>
              </w:rPr>
              <w:t>-14.2 (-23.7, -3.8)</w:t>
            </w:r>
            <w:r w:rsidRPr="0099114C">
              <w:rPr>
                <w:rFonts w:ascii="Arial Narrow" w:hAnsi="Arial Narrow" w:cs="Times New Roman"/>
                <w:sz w:val="20"/>
                <w:szCs w:val="20"/>
              </w:rPr>
              <w:t> </w:t>
            </w:r>
          </w:p>
        </w:tc>
      </w:tr>
      <w:tr w:rsidR="00DB5178" w:rsidRPr="0099114C" w14:paraId="26EEBEA5" w14:textId="77777777" w:rsidTr="00E356C3">
        <w:tc>
          <w:tcPr>
            <w:tcW w:w="3885" w:type="dxa"/>
            <w:tcBorders>
              <w:top w:val="single" w:sz="6" w:space="0" w:color="auto"/>
              <w:left w:val="single" w:sz="6" w:space="0" w:color="auto"/>
              <w:bottom w:val="single" w:sz="6" w:space="0" w:color="auto"/>
              <w:right w:val="single" w:sz="6" w:space="0" w:color="auto"/>
            </w:tcBorders>
            <w:shd w:val="clear" w:color="auto" w:fill="auto"/>
            <w:hideMark/>
          </w:tcPr>
          <w:p w14:paraId="624F56B9" w14:textId="77777777" w:rsidR="00DB5178" w:rsidRPr="0099114C" w:rsidRDefault="00DB5178" w:rsidP="002E21D0">
            <w:pPr>
              <w:keepNext/>
              <w:keepLines/>
              <w:jc w:val="left"/>
              <w:textAlignment w:val="baseline"/>
              <w:rPr>
                <w:rFonts w:ascii="Times New Roman" w:hAnsi="Times New Roman" w:cs="Times New Roman"/>
              </w:rPr>
            </w:pPr>
            <w:r w:rsidRPr="0099114C">
              <w:rPr>
                <w:rFonts w:ascii="Arial Narrow" w:hAnsi="Arial Narrow" w:cs="Times New Roman"/>
                <w:b/>
                <w:bCs/>
                <w:sz w:val="20"/>
                <w:szCs w:val="20"/>
              </w:rPr>
              <w:t>  Dermatological </w:t>
            </w:r>
            <w:r w:rsidRPr="0099114C">
              <w:rPr>
                <w:rFonts w:ascii="Arial Narrow" w:hAnsi="Arial Narrow" w:cs="Times New Roman"/>
                <w:sz w:val="20"/>
                <w:szCs w:val="20"/>
              </w:rPr>
              <w:t>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18BEDC10"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b/>
                <w:bCs/>
                <w:sz w:val="20"/>
                <w:szCs w:val="20"/>
              </w:rPr>
              <w:t>14 (8.4)</w:t>
            </w:r>
            <w:r w:rsidRPr="0099114C">
              <w:rPr>
                <w:rFonts w:ascii="Arial Narrow" w:hAnsi="Arial Narrow" w:cs="Times New Roman"/>
                <w:sz w:val="20"/>
                <w:szCs w:val="20"/>
              </w:rPr>
              <w:t>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6D0D1805"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b/>
                <w:bCs/>
                <w:sz w:val="20"/>
                <w:szCs w:val="20"/>
              </w:rPr>
              <w:t>28 (17.1)</w:t>
            </w:r>
            <w:r w:rsidRPr="0099114C">
              <w:rPr>
                <w:rFonts w:ascii="Arial Narrow" w:hAnsi="Arial Narrow" w:cs="Times New Roman"/>
                <w:sz w:val="20"/>
                <w:szCs w:val="20"/>
              </w:rPr>
              <w:t> </w:t>
            </w:r>
          </w:p>
        </w:tc>
        <w:tc>
          <w:tcPr>
            <w:tcW w:w="2055"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2A5F593A"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b/>
                <w:bCs/>
                <w:sz w:val="20"/>
                <w:szCs w:val="20"/>
              </w:rPr>
              <w:t>-8.6 (-16.2, -1.0)</w:t>
            </w:r>
            <w:r w:rsidRPr="0099114C">
              <w:rPr>
                <w:rFonts w:ascii="Arial Narrow" w:hAnsi="Arial Narrow" w:cs="Times New Roman"/>
                <w:sz w:val="20"/>
                <w:szCs w:val="20"/>
              </w:rPr>
              <w:t> </w:t>
            </w:r>
          </w:p>
        </w:tc>
      </w:tr>
      <w:tr w:rsidR="00DB5178" w:rsidRPr="0099114C" w14:paraId="1CF25154" w14:textId="77777777" w:rsidTr="00E356C3">
        <w:tc>
          <w:tcPr>
            <w:tcW w:w="3885" w:type="dxa"/>
            <w:tcBorders>
              <w:top w:val="single" w:sz="6" w:space="0" w:color="auto"/>
              <w:left w:val="single" w:sz="6" w:space="0" w:color="auto"/>
              <w:bottom w:val="single" w:sz="6" w:space="0" w:color="auto"/>
              <w:right w:val="single" w:sz="6" w:space="0" w:color="auto"/>
            </w:tcBorders>
            <w:shd w:val="clear" w:color="auto" w:fill="auto"/>
            <w:hideMark/>
          </w:tcPr>
          <w:p w14:paraId="301478BD" w14:textId="77777777" w:rsidR="00DB5178" w:rsidRPr="0099114C" w:rsidRDefault="00DB5178" w:rsidP="002E21D0">
            <w:pPr>
              <w:keepNext/>
              <w:keepLines/>
              <w:jc w:val="left"/>
              <w:textAlignment w:val="baseline"/>
              <w:rPr>
                <w:rFonts w:ascii="Times New Roman" w:hAnsi="Times New Roman" w:cs="Times New Roman"/>
              </w:rPr>
            </w:pPr>
            <w:r w:rsidRPr="0099114C">
              <w:rPr>
                <w:rFonts w:ascii="Arial Narrow" w:hAnsi="Arial Narrow" w:cs="Times New Roman"/>
                <w:b/>
                <w:bCs/>
                <w:sz w:val="20"/>
                <w:szCs w:val="20"/>
              </w:rPr>
              <w:t>  Endocrine/metabolic </w:t>
            </w:r>
            <w:r w:rsidRPr="0099114C">
              <w:rPr>
                <w:rFonts w:ascii="Arial Narrow" w:hAnsi="Arial Narrow" w:cs="Times New Roman"/>
                <w:sz w:val="20"/>
                <w:szCs w:val="20"/>
              </w:rPr>
              <w:t>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1C68B85D"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b/>
                <w:bCs/>
                <w:sz w:val="20"/>
                <w:szCs w:val="20"/>
              </w:rPr>
              <w:t>23 (13.9)</w:t>
            </w:r>
            <w:r w:rsidRPr="0099114C">
              <w:rPr>
                <w:rFonts w:ascii="Arial Narrow" w:hAnsi="Arial Narrow" w:cs="Times New Roman"/>
                <w:sz w:val="20"/>
                <w:szCs w:val="20"/>
              </w:rPr>
              <w:t> </w:t>
            </w:r>
          </w:p>
        </w:tc>
        <w:tc>
          <w:tcPr>
            <w:tcW w:w="1530"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7875891F"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b/>
                <w:bCs/>
                <w:sz w:val="20"/>
                <w:szCs w:val="20"/>
              </w:rPr>
              <w:t>48 (29.3)</w:t>
            </w:r>
            <w:r w:rsidRPr="0099114C">
              <w:rPr>
                <w:rFonts w:ascii="Arial Narrow" w:hAnsi="Arial Narrow" w:cs="Times New Roman"/>
                <w:sz w:val="20"/>
                <w:szCs w:val="20"/>
              </w:rPr>
              <w:t> </w:t>
            </w:r>
          </w:p>
        </w:tc>
        <w:tc>
          <w:tcPr>
            <w:tcW w:w="2055"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501A5316" w14:textId="77777777" w:rsidR="00DB5178" w:rsidRPr="0099114C" w:rsidRDefault="00DB5178" w:rsidP="002E21D0">
            <w:pPr>
              <w:keepNext/>
              <w:keepLines/>
              <w:jc w:val="center"/>
              <w:textAlignment w:val="baseline"/>
              <w:rPr>
                <w:rFonts w:ascii="Times New Roman" w:hAnsi="Times New Roman" w:cs="Times New Roman"/>
              </w:rPr>
            </w:pPr>
            <w:r w:rsidRPr="0099114C">
              <w:rPr>
                <w:rFonts w:ascii="Arial Narrow" w:hAnsi="Arial Narrow" w:cs="Times New Roman"/>
                <w:b/>
                <w:bCs/>
                <w:sz w:val="20"/>
                <w:szCs w:val="20"/>
              </w:rPr>
              <w:t>-15.4 (-24.3, -6.0)</w:t>
            </w:r>
            <w:r w:rsidRPr="0099114C">
              <w:rPr>
                <w:rFonts w:ascii="Arial Narrow" w:hAnsi="Arial Narrow" w:cs="Times New Roman"/>
                <w:sz w:val="20"/>
                <w:szCs w:val="20"/>
              </w:rPr>
              <w:t> </w:t>
            </w:r>
          </w:p>
        </w:tc>
      </w:tr>
    </w:tbl>
    <w:p w14:paraId="1726D14B" w14:textId="77777777" w:rsidR="00DB5178" w:rsidRPr="0099114C" w:rsidRDefault="00DB5178" w:rsidP="002E21D0">
      <w:pPr>
        <w:keepNext/>
        <w:keepLines/>
        <w:textAlignment w:val="baseline"/>
        <w:rPr>
          <w:rFonts w:ascii="Segoe UI" w:hAnsi="Segoe UI" w:cs="Segoe UI"/>
          <w:sz w:val="18"/>
          <w:szCs w:val="18"/>
        </w:rPr>
      </w:pPr>
      <w:r w:rsidRPr="0099114C">
        <w:rPr>
          <w:rFonts w:ascii="Arial Narrow" w:hAnsi="Arial Narrow" w:cs="Segoe UI"/>
          <w:sz w:val="18"/>
          <w:szCs w:val="18"/>
        </w:rPr>
        <w:t>Source: Table 2.29, p92 of the submission, Table 2.31, p95 of the submission, Table 2.32, p96 of the submission, Table 14.3.1.3.2, pp1924-1930 and Table 14.3.1.6.2, p1990 of Attachment 9. </w:t>
      </w:r>
    </w:p>
    <w:p w14:paraId="4737F28D" w14:textId="3028EF47" w:rsidR="00DB5178" w:rsidRPr="0099114C" w:rsidRDefault="00DB5178" w:rsidP="002E21D0">
      <w:pPr>
        <w:keepNext/>
        <w:keepLines/>
        <w:textAlignment w:val="baseline"/>
        <w:rPr>
          <w:rFonts w:ascii="Segoe UI" w:hAnsi="Segoe UI" w:cs="Segoe UI"/>
          <w:sz w:val="18"/>
          <w:szCs w:val="18"/>
        </w:rPr>
      </w:pPr>
      <w:r w:rsidRPr="0099114C">
        <w:rPr>
          <w:rFonts w:ascii="Arial Narrow" w:hAnsi="Arial Narrow" w:cs="Segoe UI"/>
          <w:sz w:val="18"/>
          <w:szCs w:val="18"/>
        </w:rPr>
        <w:t xml:space="preserve">Abbreviations: AE, adverse event; </w:t>
      </w:r>
      <w:r w:rsidR="00AB0123" w:rsidRPr="0099114C">
        <w:rPr>
          <w:rFonts w:ascii="Arial Narrow" w:hAnsi="Arial Narrow" w:cs="Segoe UI"/>
          <w:sz w:val="18"/>
          <w:szCs w:val="18"/>
        </w:rPr>
        <w:t xml:space="preserve">CI, confidence interval; </w:t>
      </w:r>
      <w:r w:rsidRPr="0099114C">
        <w:rPr>
          <w:rFonts w:ascii="Arial Narrow" w:hAnsi="Arial Narrow" w:cs="Segoe UI"/>
          <w:sz w:val="18"/>
          <w:szCs w:val="18"/>
        </w:rPr>
        <w:t xml:space="preserve">GC, glucocorticoid; </w:t>
      </w:r>
      <w:r w:rsidR="00971AD1" w:rsidRPr="0099114C">
        <w:rPr>
          <w:rFonts w:ascii="Arial Narrow" w:hAnsi="Arial Narrow" w:cs="Segoe UI"/>
          <w:sz w:val="18"/>
          <w:szCs w:val="18"/>
        </w:rPr>
        <w:t>GPA</w:t>
      </w:r>
      <w:r w:rsidR="0038344E" w:rsidRPr="0099114C">
        <w:rPr>
          <w:rFonts w:ascii="Arial Narrow" w:hAnsi="Arial Narrow" w:cs="Segoe UI"/>
          <w:sz w:val="18"/>
          <w:szCs w:val="18"/>
        </w:rPr>
        <w:t xml:space="preserve">, </w:t>
      </w:r>
      <w:r w:rsidR="00DC7ADE" w:rsidRPr="0099114C">
        <w:rPr>
          <w:rFonts w:ascii="Arial Narrow" w:hAnsi="Arial Narrow" w:cs="Segoe UI"/>
          <w:sz w:val="18"/>
          <w:szCs w:val="18"/>
        </w:rPr>
        <w:t xml:space="preserve">granulomatosis with polyangiitis; </w:t>
      </w:r>
      <w:r w:rsidRPr="0099114C">
        <w:rPr>
          <w:rFonts w:ascii="Arial Narrow" w:hAnsi="Arial Narrow" w:cs="Segoe UI"/>
          <w:sz w:val="18"/>
          <w:szCs w:val="18"/>
        </w:rPr>
        <w:t>NR, not reported; SAE, serious adverse event; SOC, standard of care; TEAE, treatment-emergent adverse event</w:t>
      </w:r>
      <w:r w:rsidR="004F2457" w:rsidRPr="0099114C">
        <w:rPr>
          <w:rFonts w:ascii="Arial Narrow" w:hAnsi="Arial Narrow" w:cs="Segoe UI"/>
          <w:sz w:val="18"/>
          <w:szCs w:val="18"/>
        </w:rPr>
        <w:t xml:space="preserve">; UTI, urinary tract infection. </w:t>
      </w:r>
    </w:p>
    <w:p w14:paraId="4860EFED" w14:textId="77777777" w:rsidR="00DB5178" w:rsidRPr="0099114C" w:rsidRDefault="00DB5178" w:rsidP="002E21D0">
      <w:pPr>
        <w:keepNext/>
        <w:keepLines/>
        <w:textAlignment w:val="baseline"/>
        <w:rPr>
          <w:rFonts w:ascii="Segoe UI" w:hAnsi="Segoe UI" w:cs="Segoe UI"/>
          <w:sz w:val="18"/>
          <w:szCs w:val="18"/>
        </w:rPr>
      </w:pPr>
      <w:r w:rsidRPr="0099114C">
        <w:rPr>
          <w:rFonts w:ascii="Arial Narrow" w:hAnsi="Arial Narrow" w:cs="Segoe UI"/>
          <w:sz w:val="14"/>
          <w:szCs w:val="14"/>
          <w:vertAlign w:val="superscript"/>
        </w:rPr>
        <w:t>a</w:t>
      </w:r>
      <w:r w:rsidRPr="0099114C">
        <w:rPr>
          <w:rFonts w:ascii="Arial Narrow" w:hAnsi="Arial Narrow" w:cs="Segoe UI"/>
          <w:sz w:val="18"/>
          <w:szCs w:val="18"/>
        </w:rPr>
        <w:t xml:space="preserve"> The proportions presented is equivalent to the event rate/100 patients. </w:t>
      </w:r>
    </w:p>
    <w:p w14:paraId="49E135BB" w14:textId="77777777" w:rsidR="00DB5178" w:rsidRPr="0099114C" w:rsidRDefault="00DB5178" w:rsidP="002E21D0">
      <w:pPr>
        <w:keepNext/>
        <w:keepLines/>
        <w:textAlignment w:val="baseline"/>
        <w:rPr>
          <w:rFonts w:ascii="Segoe UI" w:hAnsi="Segoe UI" w:cs="Segoe UI"/>
          <w:sz w:val="18"/>
          <w:szCs w:val="18"/>
        </w:rPr>
      </w:pPr>
      <w:r w:rsidRPr="0099114C">
        <w:rPr>
          <w:rFonts w:ascii="Arial Narrow" w:hAnsi="Arial Narrow" w:cs="Segoe UI"/>
          <w:sz w:val="14"/>
          <w:szCs w:val="14"/>
          <w:vertAlign w:val="superscript"/>
        </w:rPr>
        <w:t xml:space="preserve">b </w:t>
      </w:r>
      <w:r w:rsidRPr="0099114C">
        <w:rPr>
          <w:rFonts w:ascii="Arial Narrow" w:hAnsi="Arial Narrow" w:cs="Segoe UI"/>
          <w:sz w:val="18"/>
          <w:szCs w:val="18"/>
        </w:rPr>
        <w:t>Selected safety outcome used in the economic analysis to reflect reduction in mortality due to infection from GC </w:t>
      </w:r>
    </w:p>
    <w:p w14:paraId="5FD73095" w14:textId="77777777" w:rsidR="00DB5178" w:rsidRPr="0099114C" w:rsidRDefault="00DB5178" w:rsidP="002E21D0">
      <w:pPr>
        <w:keepNext/>
        <w:keepLines/>
        <w:textAlignment w:val="baseline"/>
        <w:rPr>
          <w:rFonts w:ascii="Arial Narrow" w:hAnsi="Arial Narrow" w:cs="Segoe UI"/>
          <w:sz w:val="18"/>
          <w:szCs w:val="18"/>
        </w:rPr>
      </w:pPr>
      <w:r w:rsidRPr="0099114C">
        <w:rPr>
          <w:rFonts w:ascii="Arial Narrow" w:hAnsi="Arial Narrow" w:cs="Segoe UI"/>
          <w:b/>
          <w:bCs/>
          <w:sz w:val="18"/>
          <w:szCs w:val="18"/>
        </w:rPr>
        <w:t xml:space="preserve">Bold </w:t>
      </w:r>
      <w:r w:rsidRPr="0099114C">
        <w:rPr>
          <w:rFonts w:ascii="Arial Narrow" w:hAnsi="Arial Narrow" w:cs="Segoe UI"/>
          <w:sz w:val="18"/>
          <w:szCs w:val="18"/>
        </w:rPr>
        <w:t>indicates statistically significant results.</w:t>
      </w:r>
    </w:p>
    <w:p w14:paraId="1EB2BD44" w14:textId="30083653" w:rsidR="00DB5178" w:rsidRPr="0099114C" w:rsidRDefault="00DB5178" w:rsidP="00DB5178">
      <w:pPr>
        <w:pStyle w:val="FooterTableFigure"/>
        <w:rPr>
          <w:rStyle w:val="normaltextrun"/>
          <w:color w:val="000000"/>
          <w:szCs w:val="18"/>
          <w:shd w:val="clear" w:color="auto" w:fill="FFFFFF"/>
        </w:rPr>
      </w:pPr>
      <w:r w:rsidRPr="0099114C">
        <w:rPr>
          <w:rStyle w:val="normaltextrun"/>
          <w:color w:val="000000"/>
          <w:szCs w:val="18"/>
          <w:shd w:val="clear" w:color="auto" w:fill="8EAADB" w:themeFill="accent1" w:themeFillTint="99"/>
        </w:rPr>
        <w:t>Blue Shading</w:t>
      </w:r>
      <w:r w:rsidRPr="0099114C">
        <w:rPr>
          <w:rStyle w:val="normaltextrun"/>
          <w:color w:val="000000"/>
          <w:szCs w:val="18"/>
          <w:shd w:val="clear" w:color="auto" w:fill="FFFFFF"/>
        </w:rPr>
        <w:t xml:space="preserve"> indicates data previously seen by the PBAC</w:t>
      </w:r>
    </w:p>
    <w:p w14:paraId="4A13AA40" w14:textId="5A270ECC" w:rsidR="00DB5178" w:rsidRPr="0099114C" w:rsidRDefault="00DB5178" w:rsidP="00DB5178">
      <w:pPr>
        <w:pStyle w:val="3-BodyText"/>
        <w:rPr>
          <w:rStyle w:val="normaltextrun"/>
          <w:shd w:val="clear" w:color="auto" w:fill="FFFFFF"/>
        </w:rPr>
      </w:pPr>
      <w:r w:rsidRPr="0099114C">
        <w:rPr>
          <w:rStyle w:val="normaltextrun"/>
          <w:rFonts w:cs="Calibri"/>
          <w:color w:val="000000"/>
          <w:shd w:val="clear" w:color="auto" w:fill="FFFFFF"/>
        </w:rPr>
        <w:t xml:space="preserve">In the ADVOCATE trial, almost all patients in both the avacopan + SOC and prednisone + SOC groups experienced a treatment-emergent adverse event (TEAE), with a similar proportion of patients in each group (98.8% and 98.2%, respectively). The avacopan + SOC group had a higher incidence of moderate TEAE (49.4%) compared to the prednisone + SOC group (41.5%). There were fewer treatment-emergent infections, and potentially </w:t>
      </w:r>
      <w:r w:rsidR="00DD58AD" w:rsidRPr="0099114C">
        <w:rPr>
          <w:rStyle w:val="normaltextrun"/>
          <w:rFonts w:cs="Calibri"/>
          <w:color w:val="000000"/>
          <w:shd w:val="clear" w:color="auto" w:fill="FFFFFF"/>
        </w:rPr>
        <w:t>GC</w:t>
      </w:r>
      <w:r w:rsidRPr="0099114C">
        <w:rPr>
          <w:rStyle w:val="normaltextrun"/>
          <w:rFonts w:cs="Calibri"/>
          <w:color w:val="000000"/>
          <w:shd w:val="clear" w:color="auto" w:fill="FFFFFF"/>
        </w:rPr>
        <w:t xml:space="preserve">-related adverse events (AE) in the avacopan + SOC group compared to the prednisone + SOC group. However, patients in the avacopan + SOC group experienced higher incidences of several SAE including acute kidney injury, angina </w:t>
      </w:r>
      <w:r w:rsidRPr="0099114C">
        <w:rPr>
          <w:rStyle w:val="normaltextrun"/>
          <w:rFonts w:cs="Calibri"/>
          <w:color w:val="000000"/>
          <w:shd w:val="clear" w:color="auto" w:fill="FFFFFF"/>
        </w:rPr>
        <w:lastRenderedPageBreak/>
        <w:t xml:space="preserve">pectoris, cardiac failure, device-related infections, GPA, hyperglycaemia, influenza, pneumonia, </w:t>
      </w:r>
      <w:r w:rsidRPr="0099114C">
        <w:t xml:space="preserve">and </w:t>
      </w:r>
      <w:r w:rsidR="00361768" w:rsidRPr="0099114C">
        <w:t>urinary tract infection</w:t>
      </w:r>
      <w:r w:rsidRPr="0099114C">
        <w:rPr>
          <w:rStyle w:val="normaltextrun"/>
          <w:rFonts w:cs="Calibri"/>
          <w:color w:val="000000"/>
          <w:shd w:val="clear" w:color="auto" w:fill="FFFFFF"/>
        </w:rPr>
        <w:t>. There were two (1.2%) deaths in the avacopan + SOC group from worsening of vasculitis and pneumonia and four (2.4%) in the prednisone + SOC group from generalised fungal infection, infectious pleural effusion, acute myocardial infarction, and death of unknown cause.</w:t>
      </w:r>
    </w:p>
    <w:p w14:paraId="6F773D34" w14:textId="18E411A4" w:rsidR="00DB5178" w:rsidRPr="0099114C" w:rsidRDefault="00DB5178" w:rsidP="00DB5178">
      <w:pPr>
        <w:pStyle w:val="3-BodyText"/>
        <w:rPr>
          <w:rStyle w:val="normaltextrun"/>
          <w:shd w:val="clear" w:color="auto" w:fill="FFFFFF"/>
        </w:rPr>
      </w:pPr>
      <w:r w:rsidRPr="0099114C">
        <w:rPr>
          <w:rStyle w:val="normaltextrun"/>
          <w:rFonts w:cs="Calibri"/>
          <w:color w:val="000000"/>
          <w:shd w:val="clear" w:color="auto" w:fill="FFFFFF"/>
        </w:rPr>
        <w:t>There was a statistically significant reduction in potentially GC-related AE in favour of avacopan + SOC compared to prednisone + SOC (treatment difference of -14.2 percentage points; 95% CI -23.7 to -3.8; p&lt;0.05). Moreover, a significant difference in the incidence of potentially GC-related adverse events was observed between the avacopan + SOC and prednisone + SOC groups in the endocrine/metabolic (13.9% vs 29.3% respectively) and dermatological (8.4% vs 17.1% respectively) systems.</w:t>
      </w:r>
    </w:p>
    <w:p w14:paraId="136E7C40" w14:textId="519ABEEF" w:rsidR="00DB5178" w:rsidRPr="0099114C" w:rsidRDefault="00DB5178" w:rsidP="00DB5178">
      <w:pPr>
        <w:pStyle w:val="3-BodyText"/>
        <w:rPr>
          <w:rStyle w:val="normaltextrun"/>
        </w:rPr>
      </w:pPr>
      <w:r w:rsidRPr="0099114C">
        <w:rPr>
          <w:rStyle w:val="normaltextrun"/>
          <w:rFonts w:cs="Calibri"/>
          <w:color w:val="000000"/>
          <w:shd w:val="clear" w:color="auto" w:fill="FFFFFF"/>
        </w:rPr>
        <w:t xml:space="preserve">The ADVOCATE trial only provided safety evidence supporting the use of avacopan + SOC for treatment </w:t>
      </w:r>
      <w:r w:rsidR="00A669C3" w:rsidRPr="0099114C">
        <w:rPr>
          <w:rStyle w:val="normaltextrun"/>
          <w:rFonts w:cs="Calibri"/>
          <w:color w:val="000000"/>
          <w:shd w:val="clear" w:color="auto" w:fill="FFFFFF"/>
        </w:rPr>
        <w:t>duration over 52 weeks</w:t>
      </w:r>
      <w:r w:rsidRPr="0099114C">
        <w:rPr>
          <w:rStyle w:val="normaltextrun"/>
          <w:rFonts w:cs="Calibri"/>
          <w:color w:val="000000"/>
          <w:shd w:val="clear" w:color="auto" w:fill="FFFFFF"/>
        </w:rPr>
        <w:t>. Given the relatively short duration of the treatment period, there is no safety evidence on the cumulative risk of reinduction or long-term safety data for maintenance treatment</w:t>
      </w:r>
      <w:r w:rsidR="001C7174" w:rsidRPr="0099114C">
        <w:rPr>
          <w:rStyle w:val="normaltextrun"/>
          <w:rFonts w:cs="Calibri"/>
          <w:color w:val="000000"/>
          <w:shd w:val="clear" w:color="auto" w:fill="FFFFFF"/>
        </w:rPr>
        <w:t xml:space="preserve"> beyond this</w:t>
      </w:r>
      <w:r w:rsidRPr="0099114C">
        <w:rPr>
          <w:rStyle w:val="normaltextrun"/>
          <w:rFonts w:cs="Calibri"/>
          <w:color w:val="000000"/>
          <w:shd w:val="clear" w:color="auto" w:fill="FFFFFF"/>
        </w:rPr>
        <w:t>. There was no open-label extension study for the ADVOCATE trial. However, a randomised double-blind, placebo-controlled trial to evaluate the long-term safety and efficacy of avacopan in patients with AAV was recently registered on clinicaltrials.gov with an estimated completion date of 6</w:t>
      </w:r>
      <w:r w:rsidR="007C0629" w:rsidRPr="0099114C">
        <w:rPr>
          <w:rStyle w:val="normaltextrun"/>
          <w:rFonts w:cs="Calibri"/>
          <w:color w:val="000000"/>
          <w:shd w:val="clear" w:color="auto" w:fill="FFFFFF"/>
        </w:rPr>
        <w:t xml:space="preserve"> </w:t>
      </w:r>
      <w:r w:rsidRPr="0099114C">
        <w:rPr>
          <w:rStyle w:val="normaltextrun"/>
          <w:rFonts w:cs="Calibri"/>
          <w:color w:val="000000"/>
          <w:shd w:val="clear" w:color="auto" w:fill="FFFFFF"/>
        </w:rPr>
        <w:t>August 2031.</w:t>
      </w:r>
    </w:p>
    <w:p w14:paraId="39AC245A" w14:textId="0A24383C" w:rsidR="00020529" w:rsidRPr="0099114C" w:rsidRDefault="002D6EBD" w:rsidP="00DB5178">
      <w:pPr>
        <w:pStyle w:val="3-BodyText"/>
        <w:rPr>
          <w:rStyle w:val="normaltextrun"/>
          <w:shd w:val="clear" w:color="auto" w:fill="FFFFFF"/>
        </w:rPr>
      </w:pPr>
      <w:r w:rsidRPr="0099114C">
        <w:rPr>
          <w:rStyle w:val="normaltextrun"/>
          <w:rFonts w:cs="Calibri"/>
          <w:color w:val="000000"/>
          <w:shd w:val="clear" w:color="auto" w:fill="FFFFFF"/>
        </w:rPr>
        <w:t>The resubmission included a systematic review of the burden of GC-associated A</w:t>
      </w:r>
      <w:r w:rsidR="00FE352B" w:rsidRPr="0099114C">
        <w:rPr>
          <w:rStyle w:val="normaltextrun"/>
          <w:rFonts w:cs="Calibri"/>
          <w:color w:val="000000"/>
          <w:shd w:val="clear" w:color="auto" w:fill="FFFFFF"/>
        </w:rPr>
        <w:t>E</w:t>
      </w:r>
      <w:r w:rsidRPr="0099114C">
        <w:rPr>
          <w:rStyle w:val="normaltextrun"/>
          <w:rFonts w:cs="Calibri"/>
          <w:color w:val="000000"/>
          <w:shd w:val="clear" w:color="auto" w:fill="FFFFFF"/>
        </w:rPr>
        <w:t xml:space="preserve">s in the treatment of AAV (Attachment 4 of the resubmission) as new evidence to demonstrate the potential safety benefits of using avacopan to reduce exposure to </w:t>
      </w:r>
      <w:r w:rsidR="00DD58AD" w:rsidRPr="0099114C">
        <w:rPr>
          <w:rStyle w:val="normaltextrun"/>
          <w:rFonts w:cs="Calibri"/>
          <w:color w:val="000000"/>
          <w:shd w:val="clear" w:color="auto" w:fill="FFFFFF"/>
        </w:rPr>
        <w:t>GCs</w:t>
      </w:r>
      <w:r w:rsidRPr="0099114C">
        <w:rPr>
          <w:rStyle w:val="normaltextrun"/>
          <w:rFonts w:cs="Calibri"/>
          <w:color w:val="000000"/>
          <w:shd w:val="clear" w:color="auto" w:fill="FFFFFF"/>
        </w:rPr>
        <w:t xml:space="preserve"> in patients with AAV. This was presented in the resubmission as an unpublished manuscript with authors funded by industry.</w:t>
      </w:r>
      <w:r w:rsidR="000C075B" w:rsidRPr="0099114C">
        <w:rPr>
          <w:rStyle w:val="normaltextrun"/>
          <w:rFonts w:cs="Calibri"/>
          <w:color w:val="000000"/>
          <w:shd w:val="clear" w:color="auto" w:fill="FFFFFF"/>
        </w:rPr>
        <w:t xml:space="preserve"> </w:t>
      </w:r>
      <w:r w:rsidR="00ED3D94" w:rsidRPr="0099114C">
        <w:rPr>
          <w:rStyle w:val="normaltextrun"/>
          <w:rFonts w:cs="Calibri"/>
          <w:color w:val="000000"/>
          <w:shd w:val="clear" w:color="auto" w:fill="FFFFFF"/>
        </w:rPr>
        <w:t>K</w:t>
      </w:r>
      <w:r w:rsidR="000C075B" w:rsidRPr="0099114C">
        <w:rPr>
          <w:rStyle w:val="normaltextrun"/>
          <w:rFonts w:cs="Calibri"/>
          <w:color w:val="000000"/>
          <w:shd w:val="clear" w:color="auto" w:fill="FFFFFF"/>
        </w:rPr>
        <w:t>ey findings from the review</w:t>
      </w:r>
      <w:r w:rsidR="00ED3D94" w:rsidRPr="0099114C">
        <w:rPr>
          <w:rStyle w:val="normaltextrun"/>
          <w:rFonts w:cs="Calibri"/>
          <w:color w:val="000000"/>
          <w:shd w:val="clear" w:color="auto" w:fill="FFFFFF"/>
        </w:rPr>
        <w:t xml:space="preserve"> indicate that</w:t>
      </w:r>
      <w:r w:rsidR="009360CA" w:rsidRPr="0099114C">
        <w:rPr>
          <w:rStyle w:val="normaltextrun"/>
          <w:rFonts w:cs="Calibri"/>
          <w:color w:val="000000"/>
          <w:shd w:val="clear" w:color="auto" w:fill="FFFFFF"/>
        </w:rPr>
        <w:t xml:space="preserve"> serious </w:t>
      </w:r>
      <w:r w:rsidR="008C2B3B" w:rsidRPr="0099114C">
        <w:rPr>
          <w:rStyle w:val="normaltextrun"/>
          <w:rFonts w:cs="Calibri"/>
          <w:color w:val="000000"/>
          <w:shd w:val="clear" w:color="auto" w:fill="FFFFFF"/>
        </w:rPr>
        <w:t>infections at 1-y</w:t>
      </w:r>
      <w:r w:rsidR="00640E43" w:rsidRPr="0099114C">
        <w:rPr>
          <w:rStyle w:val="normaltextrun"/>
          <w:rFonts w:cs="Calibri"/>
          <w:color w:val="000000"/>
          <w:shd w:val="clear" w:color="auto" w:fill="FFFFFF"/>
        </w:rPr>
        <w:t xml:space="preserve">ear were less common among patients treated with </w:t>
      </w:r>
      <w:r w:rsidR="00640E43" w:rsidRPr="00857B0D">
        <w:rPr>
          <w:rFonts w:cs="Calibri"/>
          <w:szCs w:val="22"/>
        </w:rPr>
        <w:t>low-dose GC vs standard-dose G</w:t>
      </w:r>
      <w:r w:rsidR="00E356C3" w:rsidRPr="00857B0D">
        <w:rPr>
          <w:rFonts w:cs="Calibri"/>
          <w:szCs w:val="22"/>
        </w:rPr>
        <w:t>C</w:t>
      </w:r>
      <w:r w:rsidR="00640E43" w:rsidRPr="00857B0D">
        <w:rPr>
          <w:rFonts w:cs="Calibri"/>
          <w:szCs w:val="22"/>
        </w:rPr>
        <w:t xml:space="preserve"> (incidence rate ratio, 0.69; 95% CI, 0.52, 0.93)</w:t>
      </w:r>
      <w:r w:rsidR="00FD78D2" w:rsidRPr="00857B0D">
        <w:rPr>
          <w:rStyle w:val="FootnoteReference"/>
          <w:rFonts w:cs="Calibri"/>
          <w:szCs w:val="22"/>
        </w:rPr>
        <w:footnoteReference w:id="7"/>
      </w:r>
      <w:r w:rsidR="00152140" w:rsidRPr="00857B0D">
        <w:rPr>
          <w:rFonts w:cs="Calibri"/>
          <w:szCs w:val="22"/>
        </w:rPr>
        <w:t>, treatment with GCs beyond 6 months was associated with a significantly higher risk of infection (0.42 infections/person-year [95% CI, 0.39–0.46] compared with those treated for up to 6 months (0.23 infections/person-year [95% CI, 0.2–0.25])</w:t>
      </w:r>
      <w:r w:rsidR="00152140" w:rsidRPr="00857B0D">
        <w:rPr>
          <w:rStyle w:val="FootnoteReference"/>
          <w:rFonts w:cs="Calibri"/>
          <w:szCs w:val="22"/>
        </w:rPr>
        <w:t xml:space="preserve"> </w:t>
      </w:r>
      <w:r w:rsidR="00152140" w:rsidRPr="00857B0D">
        <w:rPr>
          <w:rStyle w:val="FootnoteReference"/>
          <w:rFonts w:cs="Calibri"/>
          <w:szCs w:val="22"/>
        </w:rPr>
        <w:footnoteReference w:id="8"/>
      </w:r>
      <w:r w:rsidR="00152140" w:rsidRPr="00857B0D">
        <w:rPr>
          <w:rFonts w:cs="Calibri"/>
          <w:szCs w:val="22"/>
        </w:rPr>
        <w:t>,</w:t>
      </w:r>
      <w:r w:rsidR="002C0DC9" w:rsidRPr="00857B0D">
        <w:rPr>
          <w:rFonts w:cs="Calibri"/>
          <w:szCs w:val="22"/>
        </w:rPr>
        <w:t xml:space="preserve"> and long term </w:t>
      </w:r>
      <w:r w:rsidR="002C0DC9" w:rsidRPr="0099114C">
        <w:t>GC exposure might be an attribute of long-term AAV damage after 7 years of follow-up</w:t>
      </w:r>
      <w:r w:rsidR="002C0DC9" w:rsidRPr="0099114C">
        <w:rPr>
          <w:rStyle w:val="FootnoteReference"/>
        </w:rPr>
        <w:footnoteReference w:id="9"/>
      </w:r>
      <w:r w:rsidR="002C0DC9" w:rsidRPr="0099114C">
        <w:t xml:space="preserve">. </w:t>
      </w:r>
    </w:p>
    <w:p w14:paraId="4F6444B1" w14:textId="3078BF0F" w:rsidR="00D15FD5" w:rsidRPr="0099114C" w:rsidRDefault="008E79E1">
      <w:pPr>
        <w:pStyle w:val="3-BodyText"/>
        <w:rPr>
          <w:shd w:val="clear" w:color="auto" w:fill="FFFFFF"/>
        </w:rPr>
      </w:pPr>
      <w:r w:rsidRPr="0099114C">
        <w:t>The resubmission included new evidence from the avacopan EAP as supportive real-world evidence to demonstrate the tolerability and safety of avacopan</w:t>
      </w:r>
      <w:r w:rsidR="00D61C45" w:rsidRPr="0099114C">
        <w:t xml:space="preserve"> beyond 52 weeks</w:t>
      </w:r>
      <w:r w:rsidR="005E588C" w:rsidRPr="0099114C">
        <w:t xml:space="preserve"> (12 months)</w:t>
      </w:r>
      <w:r w:rsidRPr="0099114C">
        <w:rPr>
          <w:rStyle w:val="normaltextrun"/>
          <w:shd w:val="clear" w:color="auto" w:fill="FFFFFF"/>
        </w:rPr>
        <w:t xml:space="preserve">. </w:t>
      </w:r>
      <w:r w:rsidR="0035355D" w:rsidRPr="0099114C">
        <w:rPr>
          <w:rStyle w:val="normaltextrun"/>
          <w:rFonts w:cs="Calibri"/>
          <w:color w:val="000000"/>
          <w:shd w:val="clear" w:color="auto" w:fill="FFFFFF"/>
        </w:rPr>
        <w:t>Among the 30 patients enrolled in the EAP</w:t>
      </w:r>
      <w:r w:rsidR="00DC2AAA" w:rsidRPr="0099114C">
        <w:rPr>
          <w:rStyle w:val="normaltextrun"/>
          <w:rFonts w:cs="Calibri"/>
          <w:color w:val="000000"/>
          <w:shd w:val="clear" w:color="auto" w:fill="FFFFFF"/>
        </w:rPr>
        <w:t xml:space="preserve"> (mean treatment duration of 11.5 months)</w:t>
      </w:r>
      <w:r w:rsidR="0035355D" w:rsidRPr="0099114C">
        <w:rPr>
          <w:rStyle w:val="normaltextrun"/>
          <w:rFonts w:cs="Calibri"/>
          <w:color w:val="000000"/>
          <w:shd w:val="clear" w:color="auto" w:fill="FFFFFF"/>
        </w:rPr>
        <w:t>, eight experienced any AE. A</w:t>
      </w:r>
      <w:r w:rsidR="00983F17" w:rsidRPr="0099114C">
        <w:rPr>
          <w:rStyle w:val="normaltextrun"/>
          <w:rFonts w:cs="Calibri"/>
          <w:color w:val="000000"/>
          <w:shd w:val="clear" w:color="auto" w:fill="FFFFFF"/>
        </w:rPr>
        <w:t>mong a</w:t>
      </w:r>
      <w:r w:rsidR="0035355D" w:rsidRPr="0099114C">
        <w:rPr>
          <w:rStyle w:val="normaltextrun"/>
          <w:rFonts w:cs="Calibri"/>
          <w:color w:val="000000"/>
          <w:shd w:val="clear" w:color="auto" w:fill="FFFFFF"/>
        </w:rPr>
        <w:t xml:space="preserve"> subgroup of </w:t>
      </w:r>
      <w:r w:rsidR="00EE6E28" w:rsidRPr="0099114C">
        <w:rPr>
          <w:rStyle w:val="normaltextrun"/>
          <w:rFonts w:cs="Calibri"/>
          <w:color w:val="000000"/>
          <w:shd w:val="clear" w:color="auto" w:fill="FFFFFF"/>
        </w:rPr>
        <w:t xml:space="preserve">19 patients </w:t>
      </w:r>
      <w:r w:rsidR="00EE6E28" w:rsidRPr="0099114C">
        <w:rPr>
          <w:rStyle w:val="normaltextrun"/>
          <w:rFonts w:cs="Calibri"/>
          <w:color w:val="000000"/>
          <w:shd w:val="clear" w:color="auto" w:fill="FFFFFF"/>
        </w:rPr>
        <w:lastRenderedPageBreak/>
        <w:t>from the EAP who had longer-term use of avacopan (median duration: 17 months, range: 12-45 months)</w:t>
      </w:r>
      <w:r w:rsidR="00983F17" w:rsidRPr="0099114C">
        <w:rPr>
          <w:rStyle w:val="normaltextrun"/>
          <w:rFonts w:cs="Calibri"/>
          <w:color w:val="000000"/>
          <w:shd w:val="clear" w:color="auto" w:fill="FFFFFF"/>
        </w:rPr>
        <w:t>,</w:t>
      </w:r>
      <w:r w:rsidR="0042743E" w:rsidRPr="0099114C">
        <w:rPr>
          <w:rStyle w:val="normaltextrun"/>
          <w:rFonts w:cs="Calibri"/>
          <w:color w:val="000000"/>
          <w:shd w:val="clear" w:color="auto" w:fill="FFFFFF"/>
        </w:rPr>
        <w:t xml:space="preserve"> two</w:t>
      </w:r>
      <w:r w:rsidR="00983F17" w:rsidRPr="0099114C">
        <w:rPr>
          <w:rStyle w:val="normaltextrun"/>
          <w:rFonts w:cs="Calibri"/>
          <w:color w:val="000000"/>
          <w:shd w:val="clear" w:color="auto" w:fill="FFFFFF"/>
        </w:rPr>
        <w:t xml:space="preserve"> patients experienced A</w:t>
      </w:r>
      <w:r w:rsidR="00ED08D1" w:rsidRPr="0099114C">
        <w:rPr>
          <w:rStyle w:val="normaltextrun"/>
          <w:rFonts w:cs="Calibri"/>
          <w:color w:val="000000"/>
          <w:shd w:val="clear" w:color="auto" w:fill="FFFFFF"/>
        </w:rPr>
        <w:t>E</w:t>
      </w:r>
      <w:r w:rsidR="00983F17" w:rsidRPr="0099114C">
        <w:rPr>
          <w:rStyle w:val="normaltextrun"/>
          <w:rFonts w:cs="Calibri"/>
          <w:color w:val="000000"/>
          <w:shd w:val="clear" w:color="auto" w:fill="FFFFFF"/>
        </w:rPr>
        <w:t>s</w:t>
      </w:r>
      <w:r w:rsidR="0074640E" w:rsidRPr="0099114C">
        <w:rPr>
          <w:rStyle w:val="normaltextrun"/>
          <w:rFonts w:cs="Calibri"/>
          <w:color w:val="000000"/>
          <w:shd w:val="clear" w:color="auto" w:fill="FFFFFF"/>
        </w:rPr>
        <w:t xml:space="preserve"> (</w:t>
      </w:r>
      <w:r w:rsidR="00C0423C" w:rsidRPr="0099114C">
        <w:rPr>
          <w:rStyle w:val="normaltextrun"/>
          <w:rFonts w:cs="Calibri"/>
          <w:color w:val="000000"/>
          <w:shd w:val="clear" w:color="auto" w:fill="FFFFFF"/>
        </w:rPr>
        <w:t xml:space="preserve">related to </w:t>
      </w:r>
      <w:r w:rsidR="00041BBD" w:rsidRPr="0099114C">
        <w:rPr>
          <w:rStyle w:val="normaltextrun"/>
          <w:rFonts w:cs="Calibri"/>
          <w:color w:val="000000"/>
          <w:shd w:val="clear" w:color="auto" w:fill="FFFFFF"/>
        </w:rPr>
        <w:t>general disorders and administration site conditions</w:t>
      </w:r>
      <w:r w:rsidR="00BA02B1" w:rsidRPr="0099114C">
        <w:rPr>
          <w:rStyle w:val="normaltextrun"/>
          <w:rFonts w:cs="Calibri"/>
          <w:color w:val="000000"/>
          <w:shd w:val="clear" w:color="auto" w:fill="FFFFFF"/>
        </w:rPr>
        <w:t>, infections and infestations</w:t>
      </w:r>
      <w:r w:rsidR="00335C01" w:rsidRPr="0099114C">
        <w:rPr>
          <w:rStyle w:val="normaltextrun"/>
          <w:rFonts w:cs="Calibri"/>
          <w:color w:val="000000"/>
          <w:shd w:val="clear" w:color="auto" w:fill="FFFFFF"/>
        </w:rPr>
        <w:t xml:space="preserve">, </w:t>
      </w:r>
      <w:r w:rsidR="00A92B6E" w:rsidRPr="0099114C">
        <w:rPr>
          <w:rStyle w:val="normaltextrun"/>
          <w:rFonts w:cs="Calibri"/>
          <w:color w:val="000000"/>
          <w:shd w:val="clear" w:color="auto" w:fill="FFFFFF"/>
        </w:rPr>
        <w:t>musculoskeletal and connective tissue disorders</w:t>
      </w:r>
      <w:r w:rsidR="00BA173C" w:rsidRPr="0099114C">
        <w:rPr>
          <w:rStyle w:val="normaltextrun"/>
          <w:rFonts w:cs="Calibri"/>
          <w:color w:val="000000"/>
          <w:shd w:val="clear" w:color="auto" w:fill="FFFFFF"/>
        </w:rPr>
        <w:t>, vascular disorder)</w:t>
      </w:r>
      <w:r w:rsidR="00267950" w:rsidRPr="0099114C">
        <w:rPr>
          <w:rStyle w:val="normaltextrun"/>
          <w:rFonts w:cs="Calibri"/>
          <w:color w:val="000000"/>
          <w:shd w:val="clear" w:color="auto" w:fill="FFFFFF"/>
        </w:rPr>
        <w:t xml:space="preserve">. </w:t>
      </w:r>
      <w:r w:rsidR="00577E70" w:rsidRPr="0099114C">
        <w:rPr>
          <w:rStyle w:val="normaltextrun"/>
          <w:rFonts w:cs="Calibri"/>
          <w:color w:val="000000"/>
          <w:shd w:val="clear" w:color="auto" w:fill="FFFFFF"/>
        </w:rPr>
        <w:t>The additional evidence provi</w:t>
      </w:r>
      <w:r w:rsidR="00BA440A" w:rsidRPr="0099114C">
        <w:rPr>
          <w:rStyle w:val="normaltextrun"/>
          <w:rFonts w:cs="Calibri"/>
          <w:color w:val="000000"/>
          <w:shd w:val="clear" w:color="auto" w:fill="FFFFFF"/>
        </w:rPr>
        <w:t xml:space="preserve">des data </w:t>
      </w:r>
      <w:r w:rsidR="001A4367" w:rsidRPr="0099114C">
        <w:rPr>
          <w:rStyle w:val="normaltextrun"/>
          <w:rFonts w:cs="Calibri"/>
          <w:color w:val="000000"/>
          <w:shd w:val="clear" w:color="auto" w:fill="FFFFFF"/>
        </w:rPr>
        <w:t>for longer term use of avacopan, however</w:t>
      </w:r>
      <w:r w:rsidR="00217707" w:rsidRPr="0099114C">
        <w:rPr>
          <w:rStyle w:val="normaltextrun"/>
          <w:rFonts w:cs="Calibri"/>
          <w:color w:val="000000"/>
          <w:shd w:val="clear" w:color="auto" w:fill="FFFFFF"/>
        </w:rPr>
        <w:t xml:space="preserve"> this is based on small patient numbers</w:t>
      </w:r>
      <w:r w:rsidR="000D7E99" w:rsidRPr="0099114C">
        <w:rPr>
          <w:rStyle w:val="normaltextrun"/>
          <w:rFonts w:cs="Calibri"/>
          <w:color w:val="000000"/>
          <w:shd w:val="clear" w:color="auto" w:fill="FFFFFF"/>
        </w:rPr>
        <w:t xml:space="preserve"> thus d</w:t>
      </w:r>
      <w:r w:rsidR="001370F7" w:rsidRPr="0099114C">
        <w:rPr>
          <w:rStyle w:val="normaltextrun"/>
          <w:rFonts w:cs="Calibri"/>
          <w:color w:val="000000"/>
          <w:shd w:val="clear" w:color="auto" w:fill="FFFFFF"/>
        </w:rPr>
        <w:t>ata on the use of avacopan beyond 52 weeks remains limited.</w:t>
      </w:r>
    </w:p>
    <w:p w14:paraId="10A15E4C" w14:textId="77777777" w:rsidR="00DB5178" w:rsidRPr="0099114C" w:rsidRDefault="00DB5178" w:rsidP="00DB5178">
      <w:pPr>
        <w:pStyle w:val="4-SubsectionHeading"/>
      </w:pPr>
      <w:bookmarkStart w:id="58" w:name="_Toc156913968"/>
      <w:r w:rsidRPr="0099114C">
        <w:t>Benefits/harms</w:t>
      </w:r>
      <w:bookmarkEnd w:id="57"/>
      <w:bookmarkEnd w:id="58"/>
    </w:p>
    <w:p w14:paraId="19AB422F" w14:textId="77777777" w:rsidR="00DB5178" w:rsidRPr="0099114C" w:rsidRDefault="00DB5178" w:rsidP="00DB5178">
      <w:pPr>
        <w:pStyle w:val="3-BodyText"/>
      </w:pPr>
      <w:r w:rsidRPr="0099114C">
        <w:t>On the basis of direct evidence presented by the submission, for every 100 patients treated with avacopan + SOC in comparison with prednisone + SOC over the following treatment periods: </w:t>
      </w:r>
    </w:p>
    <w:p w14:paraId="5A16BDDE" w14:textId="77777777" w:rsidR="00DB5178" w:rsidRPr="0099114C" w:rsidRDefault="00DB5178" w:rsidP="00DB5178">
      <w:pPr>
        <w:pStyle w:val="3-BodyText"/>
        <w:numPr>
          <w:ilvl w:val="0"/>
          <w:numId w:val="34"/>
        </w:numPr>
      </w:pPr>
      <w:r w:rsidRPr="0099114C">
        <w:t>There would be no difference in disease remission at 26 weeks. </w:t>
      </w:r>
    </w:p>
    <w:p w14:paraId="357EE1B7" w14:textId="21773253" w:rsidR="00DB5178" w:rsidRPr="0099114C" w:rsidRDefault="00DB5178" w:rsidP="00DB5178">
      <w:pPr>
        <w:pStyle w:val="3-BodyText"/>
        <w:numPr>
          <w:ilvl w:val="0"/>
          <w:numId w:val="34"/>
        </w:numPr>
      </w:pPr>
      <w:r w:rsidRPr="0099114C">
        <w:t>Approximately 11 additional patients who achieved remission at 26 weeks would achieve sustained remission at Week 52 (</w:t>
      </w:r>
      <w:r w:rsidR="00834AD4" w:rsidRPr="0099114C">
        <w:fldChar w:fldCharType="begin" w:fldLock="1"/>
      </w:r>
      <w:r w:rsidR="00834AD4" w:rsidRPr="0099114C">
        <w:instrText xml:space="preserve"> REF _Ref155862315 \h </w:instrText>
      </w:r>
      <w:r w:rsidR="00F871C4" w:rsidRPr="0099114C">
        <w:instrText xml:space="preserve"> \* MERGEFORMAT </w:instrText>
      </w:r>
      <w:r w:rsidR="00834AD4" w:rsidRPr="0099114C">
        <w:fldChar w:fldCharType="separate"/>
      </w:r>
      <w:r w:rsidR="00A04368" w:rsidRPr="0099114C">
        <w:t xml:space="preserve">Table </w:t>
      </w:r>
      <w:r w:rsidR="00A04368" w:rsidRPr="00857B0D">
        <w:t>5</w:t>
      </w:r>
      <w:r w:rsidR="00834AD4" w:rsidRPr="0099114C">
        <w:fldChar w:fldCharType="end"/>
      </w:r>
      <w:r w:rsidRPr="0099114C">
        <w:t>). </w:t>
      </w:r>
      <w:r w:rsidR="0087163E" w:rsidRPr="0099114C">
        <w:t xml:space="preserve">The ESC considered that </w:t>
      </w:r>
      <w:r w:rsidR="00596054" w:rsidRPr="0099114C">
        <w:t xml:space="preserve">this </w:t>
      </w:r>
      <w:r w:rsidR="0087163E" w:rsidRPr="0099114C">
        <w:t xml:space="preserve">benefit was </w:t>
      </w:r>
      <w:r w:rsidR="00596054" w:rsidRPr="0099114C">
        <w:t xml:space="preserve">likely </w:t>
      </w:r>
      <w:r w:rsidR="0087163E" w:rsidRPr="0099114C">
        <w:t xml:space="preserve">overstated given that SOC for maintenance therapy was not appropriate </w:t>
      </w:r>
      <w:r w:rsidR="00596054" w:rsidRPr="0099114C">
        <w:t xml:space="preserve">for </w:t>
      </w:r>
      <w:r w:rsidR="0087163E" w:rsidRPr="0099114C">
        <w:t xml:space="preserve">the rituximab arm of the </w:t>
      </w:r>
      <w:r w:rsidR="0087163E" w:rsidRPr="0099114C">
        <w:rPr>
          <w:rStyle w:val="normaltextrun"/>
          <w:rFonts w:cs="Calibri"/>
          <w:color w:val="000000"/>
          <w:shd w:val="clear" w:color="auto" w:fill="FFFFFF"/>
        </w:rPr>
        <w:t>ADVOCATE trial</w:t>
      </w:r>
      <w:r w:rsidR="00596054" w:rsidRPr="0099114C">
        <w:rPr>
          <w:rStyle w:val="normaltextrun"/>
          <w:rFonts w:cs="Calibri"/>
          <w:color w:val="000000"/>
          <w:shd w:val="clear" w:color="auto" w:fill="FFFFFF"/>
        </w:rPr>
        <w:t>, where there was no maintenance treatment</w:t>
      </w:r>
      <w:r w:rsidR="0087163E" w:rsidRPr="0099114C">
        <w:rPr>
          <w:rStyle w:val="normaltextrun"/>
          <w:rFonts w:cs="Calibri"/>
          <w:color w:val="000000"/>
          <w:shd w:val="clear" w:color="auto" w:fill="FFFFFF"/>
        </w:rPr>
        <w:t>.</w:t>
      </w:r>
      <w:r w:rsidR="00596054" w:rsidRPr="0099114C">
        <w:rPr>
          <w:rStyle w:val="normaltextrun"/>
          <w:rFonts w:cs="Calibri"/>
          <w:color w:val="000000"/>
          <w:shd w:val="clear" w:color="auto" w:fill="FFFFFF"/>
        </w:rPr>
        <w:t xml:space="preserve"> </w:t>
      </w:r>
    </w:p>
    <w:p w14:paraId="5FA5EAD1" w14:textId="7684043D" w:rsidR="00DB5178" w:rsidRPr="0099114C" w:rsidRDefault="00DB5178" w:rsidP="00DB5178">
      <w:pPr>
        <w:pStyle w:val="3-BodyText"/>
        <w:numPr>
          <w:ilvl w:val="0"/>
          <w:numId w:val="34"/>
        </w:numPr>
      </w:pPr>
      <w:r w:rsidRPr="0099114C">
        <w:t>Approximately 15 fewer patients would experience endocrine or metabolic GC-related adverse events at Week 52 (</w:t>
      </w:r>
      <w:r w:rsidR="00464474" w:rsidRPr="0099114C">
        <w:fldChar w:fldCharType="begin" w:fldLock="1"/>
      </w:r>
      <w:r w:rsidR="00464474" w:rsidRPr="0099114C">
        <w:instrText xml:space="preserve"> REF _Ref155867259 \h </w:instrText>
      </w:r>
      <w:r w:rsidR="00F871C4" w:rsidRPr="0099114C">
        <w:instrText xml:space="preserve"> \* MERGEFORMAT </w:instrText>
      </w:r>
      <w:r w:rsidR="00464474" w:rsidRPr="0099114C">
        <w:fldChar w:fldCharType="separate"/>
      </w:r>
      <w:r w:rsidR="00A04368" w:rsidRPr="0099114C">
        <w:t xml:space="preserve">Table </w:t>
      </w:r>
      <w:r w:rsidR="00A04368" w:rsidRPr="00857B0D">
        <w:t>10</w:t>
      </w:r>
      <w:r w:rsidR="00464474" w:rsidRPr="0099114C">
        <w:fldChar w:fldCharType="end"/>
      </w:r>
      <w:r w:rsidRPr="0099114C">
        <w:t>). </w:t>
      </w:r>
    </w:p>
    <w:p w14:paraId="7B2E3CBF" w14:textId="18800EFD" w:rsidR="00DB5178" w:rsidRPr="0099114C" w:rsidRDefault="00DB5178" w:rsidP="00DB5178">
      <w:pPr>
        <w:pStyle w:val="3-BodyText"/>
        <w:numPr>
          <w:ilvl w:val="0"/>
          <w:numId w:val="34"/>
        </w:numPr>
      </w:pPr>
      <w:r w:rsidRPr="0099114C">
        <w:t>Approximately 9 fewer patients would experience dermatological GC-related adverse events at Week 52 (</w:t>
      </w:r>
      <w:r w:rsidR="00464474" w:rsidRPr="0099114C">
        <w:fldChar w:fldCharType="begin" w:fldLock="1"/>
      </w:r>
      <w:r w:rsidR="00464474" w:rsidRPr="0099114C">
        <w:instrText xml:space="preserve"> REF _Ref155867259 \h </w:instrText>
      </w:r>
      <w:r w:rsidR="00F871C4" w:rsidRPr="0099114C">
        <w:instrText xml:space="preserve"> \* MERGEFORMAT </w:instrText>
      </w:r>
      <w:r w:rsidR="00464474" w:rsidRPr="0099114C">
        <w:fldChar w:fldCharType="separate"/>
      </w:r>
      <w:r w:rsidR="00A04368" w:rsidRPr="0099114C">
        <w:t xml:space="preserve">Table </w:t>
      </w:r>
      <w:r w:rsidR="00A04368" w:rsidRPr="00857B0D">
        <w:t>10</w:t>
      </w:r>
      <w:r w:rsidR="00464474" w:rsidRPr="0099114C">
        <w:fldChar w:fldCharType="end"/>
      </w:r>
      <w:r w:rsidRPr="0099114C">
        <w:t>).</w:t>
      </w:r>
    </w:p>
    <w:p w14:paraId="37DD7003" w14:textId="694CCB8D" w:rsidR="00DB5178" w:rsidRPr="0099114C" w:rsidRDefault="00DB5178" w:rsidP="00DB5178">
      <w:pPr>
        <w:pStyle w:val="4-SubsectionHeading"/>
      </w:pPr>
      <w:bookmarkStart w:id="59" w:name="_Toc152591174"/>
      <w:bookmarkStart w:id="60" w:name="_Toc156913969"/>
      <w:r w:rsidRPr="0099114C">
        <w:t>Clinical claim</w:t>
      </w:r>
      <w:bookmarkEnd w:id="59"/>
      <w:bookmarkEnd w:id="60"/>
    </w:p>
    <w:p w14:paraId="1FC3660E" w14:textId="5C16020D" w:rsidR="004966B2" w:rsidRPr="0099114C" w:rsidRDefault="00DB5178" w:rsidP="000C068B">
      <w:pPr>
        <w:pStyle w:val="3-BodyText"/>
      </w:pPr>
      <w:r w:rsidRPr="0099114C">
        <w:rPr>
          <w:rFonts w:eastAsia="Calibri"/>
        </w:rPr>
        <w:t xml:space="preserve">The resubmission described avacopan as superior </w:t>
      </w:r>
      <w:r w:rsidR="007F029D" w:rsidRPr="0099114C">
        <w:t xml:space="preserve">compared to </w:t>
      </w:r>
      <w:r w:rsidR="00DD58AD" w:rsidRPr="0099114C">
        <w:t>GC</w:t>
      </w:r>
      <w:r w:rsidR="0012565A" w:rsidRPr="0099114C">
        <w:t xml:space="preserve"> +</w:t>
      </w:r>
      <w:r w:rsidR="007F029D" w:rsidRPr="0099114C">
        <w:t xml:space="preserve"> S</w:t>
      </w:r>
      <w:r w:rsidR="008C1C66" w:rsidRPr="0099114C">
        <w:t>O</w:t>
      </w:r>
      <w:r w:rsidR="007F029D" w:rsidRPr="0099114C">
        <w:t>C in terms of both efficacy and safety when administered for a treatment duration not exceeding 52 weeks per severe disease flare</w:t>
      </w:r>
      <w:r w:rsidR="006A739A" w:rsidRPr="0099114C">
        <w:t>.</w:t>
      </w:r>
      <w:r w:rsidR="004426B8" w:rsidRPr="0099114C">
        <w:t xml:space="preserve"> Th</w:t>
      </w:r>
      <w:r w:rsidR="00C402BD" w:rsidRPr="0099114C">
        <w:t xml:space="preserve">e addition of the 52-week timeframe is the only difference from </w:t>
      </w:r>
      <w:r w:rsidR="004426B8" w:rsidRPr="0099114C">
        <w:t>the previous submission</w:t>
      </w:r>
      <w:r w:rsidR="00C402BD" w:rsidRPr="0099114C">
        <w:t xml:space="preserve"> claim</w:t>
      </w:r>
      <w:r w:rsidR="004426B8" w:rsidRPr="0099114C">
        <w:t>.</w:t>
      </w:r>
      <w:r w:rsidR="00AF0A62" w:rsidRPr="0099114C">
        <w:t xml:space="preserve"> </w:t>
      </w:r>
    </w:p>
    <w:p w14:paraId="23BA4333" w14:textId="6F75C16B" w:rsidR="004966B2" w:rsidRPr="0099114C" w:rsidRDefault="00944DEF" w:rsidP="000C068B">
      <w:pPr>
        <w:pStyle w:val="3-BodyText"/>
        <w:rPr>
          <w:rFonts w:ascii="Calibri" w:hAnsi="Calibri"/>
          <w:snapToGrid/>
        </w:rPr>
      </w:pPr>
      <w:r w:rsidRPr="0099114C">
        <w:t>The</w:t>
      </w:r>
      <w:r w:rsidR="00523A93" w:rsidRPr="0099114C">
        <w:t xml:space="preserve"> evaluation considered the</w:t>
      </w:r>
      <w:r w:rsidR="003E5A3A" w:rsidRPr="0099114C">
        <w:t xml:space="preserve"> therapeutic conclusion presented in the resubmission for effectiveness remain</w:t>
      </w:r>
      <w:r w:rsidR="00523A93" w:rsidRPr="0099114C">
        <w:t>ed</w:t>
      </w:r>
      <w:r w:rsidR="003E5A3A" w:rsidRPr="0099114C">
        <w:t xml:space="preserve"> inadequately supported</w:t>
      </w:r>
      <w:r w:rsidR="00100773" w:rsidRPr="0099114C">
        <w:t>.</w:t>
      </w:r>
      <w:r w:rsidR="00EC6F42" w:rsidRPr="0099114C">
        <w:t xml:space="preserve"> </w:t>
      </w:r>
      <w:r w:rsidR="00100773" w:rsidRPr="0099114C">
        <w:t>The</w:t>
      </w:r>
      <w:r w:rsidR="00EC6F42" w:rsidRPr="0099114C">
        <w:t xml:space="preserve"> ESC considered the PBAC’s previous conclusions remain valid: </w:t>
      </w:r>
      <w:r w:rsidR="00EC6F42" w:rsidRPr="0099114C">
        <w:rPr>
          <w:rStyle w:val="normaltextrun"/>
        </w:rPr>
        <w:t xml:space="preserve">the magnitude of benefit that avacopan + SOC may provide in induction therapy compared to prednisolone + SOC was limited to a potential reduction in GC use with no significant benefit in remission at 26 weeks; </w:t>
      </w:r>
      <w:r w:rsidR="00EC6F42" w:rsidRPr="0099114C">
        <w:t xml:space="preserve">the clinical evidence provided was inadequate to assess remission at 52 weeks and did not support comparative assessment of use as maintenance therapy </w:t>
      </w:r>
      <w:r w:rsidR="00EC6F42" w:rsidRPr="0099114C">
        <w:rPr>
          <w:rStyle w:val="normaltextrun"/>
        </w:rPr>
        <w:t>(para 7.1, avacopan, PSD, July 2023 PBAC Meeting)</w:t>
      </w:r>
      <w:r w:rsidR="0099114C">
        <w:rPr>
          <w:rStyle w:val="normaltextrun"/>
        </w:rPr>
        <w:t xml:space="preserve">. </w:t>
      </w:r>
    </w:p>
    <w:p w14:paraId="43224930" w14:textId="74F1426D" w:rsidR="003E5A3A" w:rsidRPr="0099114C" w:rsidRDefault="00775E2E" w:rsidP="002E21D0">
      <w:pPr>
        <w:pStyle w:val="3-BodyText"/>
        <w:contextualSpacing/>
      </w:pPr>
      <w:r w:rsidRPr="0099114C">
        <w:t>The evaluation considered the e</w:t>
      </w:r>
      <w:r w:rsidR="00D6284B" w:rsidRPr="0099114C">
        <w:t xml:space="preserve">vidence provided to support the broader benefits of </w:t>
      </w:r>
      <w:r w:rsidR="005A4E86" w:rsidRPr="0099114C">
        <w:t xml:space="preserve">avacopan when used as induction </w:t>
      </w:r>
      <w:r w:rsidR="005A4E86" w:rsidRPr="0099114C">
        <w:rPr>
          <w:rFonts w:eastAsia="Calibri"/>
        </w:rPr>
        <w:t>therapy</w:t>
      </w:r>
      <w:r w:rsidR="005A4E86" w:rsidRPr="0099114C">
        <w:t xml:space="preserve"> or to </w:t>
      </w:r>
      <w:r w:rsidR="007270E5" w:rsidRPr="0099114C">
        <w:t>support</w:t>
      </w:r>
      <w:r w:rsidR="005A4E86" w:rsidRPr="0099114C">
        <w:t xml:space="preserve"> use </w:t>
      </w:r>
      <w:r w:rsidR="000A4985" w:rsidRPr="0099114C">
        <w:t>as</w:t>
      </w:r>
      <w:r w:rsidR="005A4E86" w:rsidRPr="0099114C">
        <w:t xml:space="preserve"> main</w:t>
      </w:r>
      <w:r w:rsidR="00723705" w:rsidRPr="0099114C">
        <w:t>tenance therapy</w:t>
      </w:r>
      <w:r w:rsidR="000A04A2" w:rsidRPr="0099114C">
        <w:t xml:space="preserve"> </w:t>
      </w:r>
      <w:r w:rsidR="00183FD2" w:rsidRPr="0099114C">
        <w:t>over 12 months</w:t>
      </w:r>
      <w:r w:rsidR="00480A69" w:rsidRPr="0099114C">
        <w:t xml:space="preserve"> per severe disease flare </w:t>
      </w:r>
      <w:r w:rsidR="000A04A2" w:rsidRPr="0099114C">
        <w:t>remain uncertain</w:t>
      </w:r>
      <w:r w:rsidR="00A3344D" w:rsidRPr="0099114C">
        <w:t>.</w:t>
      </w:r>
    </w:p>
    <w:p w14:paraId="75CBDF5F" w14:textId="0FFF4424" w:rsidR="00A3344D" w:rsidRPr="0099114C" w:rsidRDefault="00C82918" w:rsidP="002E21D0">
      <w:pPr>
        <w:pStyle w:val="ListParagraph"/>
        <w:numPr>
          <w:ilvl w:val="0"/>
          <w:numId w:val="66"/>
        </w:numPr>
        <w:spacing w:after="120"/>
      </w:pPr>
      <w:r w:rsidRPr="0099114C">
        <w:t xml:space="preserve">Although a statistically significant improvement in eGFR was observed at weeks 26 and 52 in patients with renal disease at baseline, </w:t>
      </w:r>
      <w:r w:rsidR="004C4B38" w:rsidRPr="0099114C">
        <w:t>improvemen</w:t>
      </w:r>
      <w:r w:rsidR="000F1EAC" w:rsidRPr="0099114C">
        <w:t>t</w:t>
      </w:r>
      <w:r w:rsidR="004C4B38" w:rsidRPr="0099114C">
        <w:t xml:space="preserve">s appeared to be </w:t>
      </w:r>
      <w:r w:rsidR="004C4B38" w:rsidRPr="0099114C">
        <w:lastRenderedPageBreak/>
        <w:t>driven by the eGFR &lt;30 mL/min/1.73m</w:t>
      </w:r>
      <w:r w:rsidR="004C4B38" w:rsidRPr="0099114C">
        <w:rPr>
          <w:vertAlign w:val="superscript"/>
        </w:rPr>
        <w:t>2</w:t>
      </w:r>
      <w:r w:rsidR="004C4B38" w:rsidRPr="0099114C">
        <w:t xml:space="preserve"> subgroup</w:t>
      </w:r>
      <w:r w:rsidR="00251607" w:rsidRPr="0099114C">
        <w:t xml:space="preserve"> and there</w:t>
      </w:r>
      <w:r w:rsidR="007B76F3" w:rsidRPr="0099114C">
        <w:t xml:space="preserve"> is uncertainty</w:t>
      </w:r>
      <w:r w:rsidR="0054784C" w:rsidRPr="0099114C">
        <w:t xml:space="preserve"> in the benefit attributable to the group which compared avacopan to no maintenance therapy (para 7.11, avacopan, PSD, July 2023 PBAC meeting).</w:t>
      </w:r>
      <w:r w:rsidR="00742082" w:rsidRPr="0099114C">
        <w:t xml:space="preserve"> It is also un</w:t>
      </w:r>
      <w:r w:rsidR="005664EE" w:rsidRPr="0099114C">
        <w:t>certain</w:t>
      </w:r>
      <w:r w:rsidR="00451C8D" w:rsidRPr="0099114C">
        <w:t xml:space="preserve"> whether these benefits would translate to the proposed PBS population (para 6.24, avacopan, ESC advice, July 2023).</w:t>
      </w:r>
      <w:r w:rsidR="00775E2E" w:rsidRPr="0099114C">
        <w:t xml:space="preserve"> The pre-PBAC response argued that </w:t>
      </w:r>
      <w:r w:rsidR="00DE621F" w:rsidRPr="0099114C">
        <w:t>the improvement in renal function as measured by eGFR at 52 weeks was acknowledged in international guidelines (EULAR and KDIGO)</w:t>
      </w:r>
      <w:r w:rsidR="00FE352B" w:rsidRPr="0099114C">
        <w:t xml:space="preserve"> </w:t>
      </w:r>
      <w:r w:rsidR="00DE621F" w:rsidRPr="0099114C">
        <w:t xml:space="preserve">(see paragraph </w:t>
      </w:r>
      <w:r w:rsidR="00D13D3A" w:rsidRPr="0099114C">
        <w:rPr>
          <w:highlight w:val="yellow"/>
        </w:rPr>
        <w:fldChar w:fldCharType="begin" w:fldLock="1"/>
      </w:r>
      <w:r w:rsidR="00D13D3A" w:rsidRPr="0099114C">
        <w:instrText xml:space="preserve"> REF _Ref161756847 \r \h </w:instrText>
      </w:r>
      <w:r w:rsidR="00D13D3A" w:rsidRPr="0099114C">
        <w:rPr>
          <w:highlight w:val="yellow"/>
        </w:rPr>
      </w:r>
      <w:r w:rsidR="00D13D3A" w:rsidRPr="0099114C">
        <w:rPr>
          <w:highlight w:val="yellow"/>
        </w:rPr>
        <w:fldChar w:fldCharType="separate"/>
      </w:r>
      <w:r w:rsidR="00D13D3A" w:rsidRPr="0099114C">
        <w:t>6.24</w:t>
      </w:r>
      <w:r w:rsidR="00D13D3A" w:rsidRPr="0099114C">
        <w:rPr>
          <w:highlight w:val="yellow"/>
        </w:rPr>
        <w:fldChar w:fldCharType="end"/>
      </w:r>
      <w:r w:rsidR="00DE621F" w:rsidRPr="0099114C">
        <w:t xml:space="preserve">). </w:t>
      </w:r>
    </w:p>
    <w:p w14:paraId="5154525D" w14:textId="6C314225" w:rsidR="00CF1EB0" w:rsidRPr="0099114C" w:rsidRDefault="00354F0E" w:rsidP="002E21D0">
      <w:pPr>
        <w:pStyle w:val="ListParagraph"/>
        <w:numPr>
          <w:ilvl w:val="0"/>
          <w:numId w:val="66"/>
        </w:numPr>
        <w:spacing w:after="120"/>
      </w:pPr>
      <w:r w:rsidRPr="0099114C">
        <w:t xml:space="preserve">Although </w:t>
      </w:r>
      <w:r w:rsidR="00E03B89" w:rsidRPr="0099114C">
        <w:t>patients in the avacopan + SOC arm achieved a 40% reduction in UACR sooner than those in the GC + SOC arm</w:t>
      </w:r>
      <w:r w:rsidR="00C954EF" w:rsidRPr="0099114C">
        <w:t xml:space="preserve">, </w:t>
      </w:r>
      <w:r w:rsidR="009E73F4" w:rsidRPr="0099114C">
        <w:t>the inference that this</w:t>
      </w:r>
      <w:r w:rsidR="00E02DA1" w:rsidRPr="0099114C">
        <w:t xml:space="preserve"> may have contributed to greater subsequent improvement in eGFR is uncertain. </w:t>
      </w:r>
      <w:r w:rsidR="00A636CC" w:rsidRPr="0099114C">
        <w:t xml:space="preserve">Further, </w:t>
      </w:r>
      <w:r w:rsidR="00285C75" w:rsidRPr="0099114C">
        <w:t xml:space="preserve">translation of this outcome to long term benefits including </w:t>
      </w:r>
      <w:r w:rsidR="00A636CC" w:rsidRPr="0099114C">
        <w:t>improvement in eGFR is uncertain</w:t>
      </w:r>
      <w:r w:rsidR="0099114C">
        <w:t xml:space="preserve">. </w:t>
      </w:r>
    </w:p>
    <w:p w14:paraId="088A0C12" w14:textId="6D2C2355" w:rsidR="00B145F5" w:rsidRPr="0099114C" w:rsidRDefault="00507B90" w:rsidP="002E21D0">
      <w:pPr>
        <w:pStyle w:val="ListParagraph"/>
        <w:numPr>
          <w:ilvl w:val="0"/>
          <w:numId w:val="66"/>
        </w:numPr>
        <w:spacing w:after="120"/>
      </w:pPr>
      <w:r w:rsidRPr="0099114C">
        <w:t xml:space="preserve">Evidence to support avacopan use in the maintenance setting remains limited, given no </w:t>
      </w:r>
      <w:r w:rsidR="00596054" w:rsidRPr="0099114C">
        <w:t>use of avacopan in combination with</w:t>
      </w:r>
      <w:r w:rsidRPr="0099114C">
        <w:t xml:space="preserve"> rituximab </w:t>
      </w:r>
      <w:r w:rsidR="00BE476C" w:rsidRPr="0099114C">
        <w:t>wa</w:t>
      </w:r>
      <w:r w:rsidR="00EC6F42" w:rsidRPr="0099114C">
        <w:t xml:space="preserve">s available and adjusting the benefit </w:t>
      </w:r>
      <w:r w:rsidR="00102280" w:rsidRPr="0099114C">
        <w:t xml:space="preserve">in the ADVOCATE trial </w:t>
      </w:r>
      <w:r w:rsidR="00EC6F42" w:rsidRPr="0099114C">
        <w:t>using the hazard for rituximab compared to azathioprine from RITAZAREM was not considered reliable</w:t>
      </w:r>
      <w:r w:rsidR="00B145F5" w:rsidRPr="0099114C">
        <w:t>.</w:t>
      </w:r>
    </w:p>
    <w:p w14:paraId="3B5F822B" w14:textId="26627B98" w:rsidR="00FD0AF9" w:rsidRPr="0099114C" w:rsidRDefault="007245F8" w:rsidP="002E21D0">
      <w:pPr>
        <w:pStyle w:val="3-BodyText"/>
      </w:pPr>
      <w:r w:rsidRPr="0099114C">
        <w:t>P</w:t>
      </w:r>
      <w:r w:rsidR="000F1682" w:rsidRPr="0099114C">
        <w:t>ost-hoc patient-reported health-related quality of life outcomes results appear to indicate that improvements in the quality of life of patients with AAV was higher (and statistically significant at week 52) in patients in the avacopan + SOC group compared to those in the GC + SOC group.</w:t>
      </w:r>
    </w:p>
    <w:p w14:paraId="2EE26E3E" w14:textId="6DE03AA9" w:rsidR="0056390D" w:rsidRPr="0099114C" w:rsidRDefault="0056390D" w:rsidP="002E21D0">
      <w:pPr>
        <w:pStyle w:val="3-BodyText"/>
      </w:pPr>
      <w:r w:rsidRPr="0099114C">
        <w:t xml:space="preserve">The ESC </w:t>
      </w:r>
      <w:r w:rsidR="00CF1EB0" w:rsidRPr="0099114C">
        <w:t>not</w:t>
      </w:r>
      <w:r w:rsidRPr="0099114C">
        <w:t xml:space="preserve">ed </w:t>
      </w:r>
      <w:r w:rsidR="00416162" w:rsidRPr="0099114C">
        <w:t xml:space="preserve">that a restriction to allow for a 12 month treatment cycle </w:t>
      </w:r>
      <w:r w:rsidR="00CF1EB0" w:rsidRPr="0099114C">
        <w:t>aligns with the ADVOCATE trial duration of use</w:t>
      </w:r>
      <w:r w:rsidR="00416162" w:rsidRPr="0099114C">
        <w:t xml:space="preserve">. However, the ESC advised </w:t>
      </w:r>
      <w:r w:rsidRPr="0099114C">
        <w:t xml:space="preserve">that as </w:t>
      </w:r>
      <w:r w:rsidR="0068249B" w:rsidRPr="0099114C">
        <w:t>the evidence supporting use in the maintenance setting was inadequate</w:t>
      </w:r>
      <w:r w:rsidR="005E73E4" w:rsidRPr="0099114C">
        <w:t>, the</w:t>
      </w:r>
      <w:r w:rsidRPr="0099114C">
        <w:t xml:space="preserve"> uncertainties associated with the benefits of avacopan outside of </w:t>
      </w:r>
      <w:r w:rsidR="00416162" w:rsidRPr="0099114C">
        <w:t xml:space="preserve">use </w:t>
      </w:r>
      <w:r w:rsidRPr="0099114C">
        <w:t>as a strategy to reduce exposure to GC</w:t>
      </w:r>
      <w:r w:rsidR="005E73E4" w:rsidRPr="0099114C">
        <w:t>s</w:t>
      </w:r>
      <w:r w:rsidRPr="0099114C">
        <w:t xml:space="preserve"> </w:t>
      </w:r>
      <w:r w:rsidR="00442026" w:rsidRPr="0099114C">
        <w:t xml:space="preserve">during induction </w:t>
      </w:r>
      <w:r w:rsidRPr="0099114C">
        <w:t xml:space="preserve">remained. </w:t>
      </w:r>
      <w:r w:rsidR="00600BD8" w:rsidRPr="0099114C">
        <w:t>The PBAC had also previously noted both the sponsor hearing and ANZVASC commented that the rapid weaning off GC between weeks 20</w:t>
      </w:r>
      <w:r w:rsidR="00102280" w:rsidRPr="0099114C">
        <w:sym w:font="Symbol" w:char="F02D"/>
      </w:r>
      <w:r w:rsidR="00600BD8" w:rsidRPr="0099114C">
        <w:t>21 in the ADVOCATE trial was not reflective of clinical practice, which PBAC considered may have led to an overestimation of treatment benefit with avacopan monotherapy compared to no therapy at 52 weeks (para 7.13, avacopan PSD, July</w:t>
      </w:r>
      <w:r w:rsidR="002E21D0">
        <w:t> </w:t>
      </w:r>
      <w:r w:rsidR="00600BD8" w:rsidRPr="0099114C">
        <w:t>2023 PBAC meeting).</w:t>
      </w:r>
    </w:p>
    <w:p w14:paraId="7897830F" w14:textId="3C86C43F" w:rsidR="006A10C1" w:rsidRPr="0099114C" w:rsidRDefault="00DB5178" w:rsidP="00877969">
      <w:pPr>
        <w:pStyle w:val="3-BodyText"/>
        <w:rPr>
          <w:rFonts w:eastAsia="Calibri" w:cstheme="minorHAnsi"/>
        </w:rPr>
      </w:pPr>
      <w:r w:rsidRPr="0099114C">
        <w:rPr>
          <w:rFonts w:eastAsia="Calibri"/>
        </w:rPr>
        <w:t xml:space="preserve">The resubmission described avacopan as superior in terms of safety compared to </w:t>
      </w:r>
      <w:r w:rsidR="00DD58AD" w:rsidRPr="0099114C">
        <w:rPr>
          <w:rFonts w:eastAsia="Calibri"/>
        </w:rPr>
        <w:t xml:space="preserve">GC </w:t>
      </w:r>
      <w:r w:rsidR="00A52380" w:rsidRPr="0099114C">
        <w:rPr>
          <w:rFonts w:eastAsia="Calibri"/>
        </w:rPr>
        <w:t xml:space="preserve">+ </w:t>
      </w:r>
      <w:r w:rsidR="009C4ECD" w:rsidRPr="0099114C">
        <w:rPr>
          <w:rFonts w:eastAsia="Calibri"/>
        </w:rPr>
        <w:t>SOC</w:t>
      </w:r>
      <w:r w:rsidRPr="0099114C">
        <w:rPr>
          <w:rFonts w:eastAsia="Calibri"/>
        </w:rPr>
        <w:t>.</w:t>
      </w:r>
      <w:r w:rsidR="00427CDE" w:rsidRPr="0099114C">
        <w:rPr>
          <w:rFonts w:eastAsia="Calibri"/>
        </w:rPr>
        <w:t xml:space="preserve"> </w:t>
      </w:r>
      <w:r w:rsidR="00255E90" w:rsidRPr="0099114C">
        <w:rPr>
          <w:rFonts w:eastAsia="Calibri"/>
        </w:rPr>
        <w:t>In July 2023, the PBAC</w:t>
      </w:r>
      <w:r w:rsidR="0090610C" w:rsidRPr="0099114C">
        <w:rPr>
          <w:rFonts w:eastAsia="Calibri"/>
        </w:rPr>
        <w:t xml:space="preserve"> considered the claim of superior comparative safety</w:t>
      </w:r>
      <w:r w:rsidR="001748C8" w:rsidRPr="0099114C">
        <w:rPr>
          <w:rFonts w:eastAsia="Calibri"/>
        </w:rPr>
        <w:t xml:space="preserve"> reasonable for the induction phase, noting there was no safety evidence on the cumulative risk of reinduction</w:t>
      </w:r>
      <w:r w:rsidR="00B041E9" w:rsidRPr="0099114C">
        <w:rPr>
          <w:rFonts w:eastAsia="Calibri"/>
        </w:rPr>
        <w:t xml:space="preserve"> or long-term safety data for maintenance treatment (para 7.13, avacopan PSD, July 2023 PBAC meeting). </w:t>
      </w:r>
      <w:r w:rsidR="00F06032" w:rsidRPr="0099114C">
        <w:rPr>
          <w:rFonts w:eastAsia="Calibri"/>
        </w:rPr>
        <w:t>Supplementary</w:t>
      </w:r>
      <w:r w:rsidR="000D3C2A" w:rsidRPr="0099114C">
        <w:rPr>
          <w:rFonts w:eastAsia="Calibri"/>
        </w:rPr>
        <w:t xml:space="preserve"> </w:t>
      </w:r>
      <w:r w:rsidR="00F06032" w:rsidRPr="0099114C">
        <w:rPr>
          <w:rFonts w:eastAsia="Calibri"/>
        </w:rPr>
        <w:t xml:space="preserve">evidence </w:t>
      </w:r>
      <w:r w:rsidR="004D164E" w:rsidRPr="0099114C">
        <w:rPr>
          <w:rFonts w:eastAsia="Calibri"/>
        </w:rPr>
        <w:t>in the form of a systematic review</w:t>
      </w:r>
      <w:r w:rsidR="00DD26B8" w:rsidRPr="0099114C">
        <w:rPr>
          <w:rFonts w:eastAsia="Calibri"/>
        </w:rPr>
        <w:t xml:space="preserve"> (</w:t>
      </w:r>
      <w:r w:rsidR="00263696" w:rsidRPr="0099114C">
        <w:rPr>
          <w:rFonts w:eastAsia="Calibri"/>
        </w:rPr>
        <w:t xml:space="preserve">industry sponsored </w:t>
      </w:r>
      <w:r w:rsidR="00DD26B8" w:rsidRPr="0099114C">
        <w:rPr>
          <w:rFonts w:eastAsia="Calibri"/>
        </w:rPr>
        <w:t xml:space="preserve">unpublished manuscript) </w:t>
      </w:r>
      <w:r w:rsidR="001405B3" w:rsidRPr="0099114C">
        <w:rPr>
          <w:rFonts w:eastAsia="Calibri"/>
        </w:rPr>
        <w:t xml:space="preserve">provided </w:t>
      </w:r>
      <w:r w:rsidR="00FA45E5" w:rsidRPr="0099114C">
        <w:rPr>
          <w:rFonts w:eastAsia="Calibri"/>
        </w:rPr>
        <w:t xml:space="preserve">by the resubmission </w:t>
      </w:r>
      <w:r w:rsidR="00263696" w:rsidRPr="0099114C">
        <w:t>appears to suggest that higher dose and longer exposure to GCs are likely to be associated</w:t>
      </w:r>
      <w:r w:rsidR="00641368" w:rsidRPr="0099114C">
        <w:t xml:space="preserve"> </w:t>
      </w:r>
      <w:r w:rsidR="00263696" w:rsidRPr="0099114C">
        <w:t xml:space="preserve">with higher risk of </w:t>
      </w:r>
      <w:r w:rsidR="00641368" w:rsidRPr="0099114C">
        <w:t>I</w:t>
      </w:r>
      <w:r w:rsidR="00263696" w:rsidRPr="0099114C">
        <w:t xml:space="preserve">nfection and long term AAV damage. </w:t>
      </w:r>
      <w:r w:rsidR="001405B3" w:rsidRPr="0099114C">
        <w:t>D</w:t>
      </w:r>
      <w:r w:rsidR="008752B8" w:rsidRPr="0099114C">
        <w:rPr>
          <w:rFonts w:eastAsia="Calibri"/>
        </w:rPr>
        <w:t>ata from avacopan EAP</w:t>
      </w:r>
      <w:r w:rsidR="00316E47" w:rsidRPr="0099114C">
        <w:rPr>
          <w:rFonts w:eastAsia="Calibri"/>
        </w:rPr>
        <w:t xml:space="preserve"> provide</w:t>
      </w:r>
      <w:r w:rsidR="001405B3" w:rsidRPr="0099114C">
        <w:rPr>
          <w:rFonts w:eastAsia="Calibri"/>
        </w:rPr>
        <w:t xml:space="preserve">d </w:t>
      </w:r>
      <w:r w:rsidR="001405B3" w:rsidRPr="0099114C">
        <w:rPr>
          <w:rStyle w:val="normaltextrun"/>
          <w:rFonts w:cs="Calibri"/>
          <w:color w:val="000000"/>
          <w:shd w:val="clear" w:color="auto" w:fill="FFFFFF"/>
        </w:rPr>
        <w:t xml:space="preserve">data for longer term use of avacopan, however this </w:t>
      </w:r>
      <w:r w:rsidR="007245F8" w:rsidRPr="0099114C">
        <w:rPr>
          <w:rStyle w:val="normaltextrun"/>
          <w:rFonts w:cs="Calibri"/>
          <w:color w:val="000000"/>
          <w:shd w:val="clear" w:color="auto" w:fill="FFFFFF"/>
        </w:rPr>
        <w:t>wa</w:t>
      </w:r>
      <w:r w:rsidR="001405B3" w:rsidRPr="0099114C">
        <w:rPr>
          <w:rStyle w:val="normaltextrun"/>
          <w:rFonts w:cs="Calibri"/>
          <w:color w:val="000000"/>
          <w:shd w:val="clear" w:color="auto" w:fill="FFFFFF"/>
        </w:rPr>
        <w:t>s based on small patient numbers thus data on the use of avacopan beyond 52</w:t>
      </w:r>
      <w:r w:rsidR="002E21D0">
        <w:rPr>
          <w:rStyle w:val="normaltextrun"/>
          <w:rFonts w:cs="Calibri"/>
          <w:color w:val="000000"/>
          <w:shd w:val="clear" w:color="auto" w:fill="FFFFFF"/>
        </w:rPr>
        <w:t> </w:t>
      </w:r>
      <w:r w:rsidR="001405B3" w:rsidRPr="0099114C">
        <w:rPr>
          <w:rStyle w:val="normaltextrun"/>
          <w:rFonts w:cs="Calibri"/>
          <w:color w:val="000000"/>
          <w:shd w:val="clear" w:color="auto" w:fill="FFFFFF"/>
        </w:rPr>
        <w:t>weeks remains limited.</w:t>
      </w:r>
      <w:r w:rsidR="00442026" w:rsidRPr="0099114C">
        <w:rPr>
          <w:rFonts w:cstheme="minorHAnsi"/>
          <w:i/>
          <w:iCs/>
        </w:rPr>
        <w:t xml:space="preserve"> </w:t>
      </w:r>
    </w:p>
    <w:p w14:paraId="3E671D37" w14:textId="4B57B321" w:rsidR="00CB63E9" w:rsidRPr="0099114C" w:rsidRDefault="00CB63E9" w:rsidP="00CB63E9">
      <w:pPr>
        <w:widowControl w:val="0"/>
        <w:numPr>
          <w:ilvl w:val="1"/>
          <w:numId w:val="1"/>
        </w:numPr>
        <w:spacing w:after="120"/>
        <w:rPr>
          <w:rFonts w:asciiTheme="minorHAnsi" w:hAnsiTheme="minorHAnsi"/>
          <w:snapToGrid w:val="0"/>
          <w:szCs w:val="20"/>
        </w:rPr>
      </w:pPr>
      <w:bookmarkStart w:id="61" w:name="_Hlk161866810"/>
      <w:bookmarkStart w:id="62" w:name="_Hlk76376200"/>
      <w:r w:rsidRPr="0099114C">
        <w:rPr>
          <w:rFonts w:asciiTheme="minorHAnsi" w:hAnsiTheme="minorHAnsi"/>
          <w:iCs/>
          <w:snapToGrid w:val="0"/>
        </w:rPr>
        <w:lastRenderedPageBreak/>
        <w:t>The</w:t>
      </w:r>
      <w:r w:rsidRPr="0099114C">
        <w:rPr>
          <w:rFonts w:asciiTheme="minorHAnsi" w:hAnsiTheme="minorHAnsi"/>
          <w:snapToGrid w:val="0"/>
          <w:szCs w:val="20"/>
        </w:rPr>
        <w:t xml:space="preserve"> PBAC considered that the claim of superior comparative effectiveness was</w:t>
      </w:r>
      <w:r w:rsidR="00F1328C" w:rsidRPr="0099114C">
        <w:rPr>
          <w:rFonts w:asciiTheme="minorHAnsi" w:hAnsiTheme="minorHAnsi"/>
          <w:snapToGrid w:val="0"/>
          <w:szCs w:val="20"/>
        </w:rPr>
        <w:t xml:space="preserve"> uncertain but likely </w:t>
      </w:r>
      <w:r w:rsidRPr="0099114C">
        <w:rPr>
          <w:rFonts w:asciiTheme="minorHAnsi" w:hAnsiTheme="minorHAnsi"/>
          <w:snapToGrid w:val="0"/>
          <w:szCs w:val="20"/>
        </w:rPr>
        <w:t>reasonable</w:t>
      </w:r>
      <w:r w:rsidR="00F1328C" w:rsidRPr="0099114C">
        <w:rPr>
          <w:rFonts w:asciiTheme="minorHAnsi" w:hAnsiTheme="minorHAnsi"/>
          <w:snapToGrid w:val="0"/>
          <w:szCs w:val="20"/>
        </w:rPr>
        <w:t xml:space="preserve"> for induction therapy and was </w:t>
      </w:r>
      <w:r w:rsidRPr="0099114C">
        <w:rPr>
          <w:rFonts w:asciiTheme="minorHAnsi" w:hAnsiTheme="minorHAnsi"/>
          <w:snapToGrid w:val="0"/>
          <w:szCs w:val="20"/>
        </w:rPr>
        <w:t>not adequately supported by the data</w:t>
      </w:r>
      <w:r w:rsidR="00F1328C" w:rsidRPr="0099114C">
        <w:rPr>
          <w:rFonts w:asciiTheme="minorHAnsi" w:hAnsiTheme="minorHAnsi"/>
          <w:snapToGrid w:val="0"/>
          <w:szCs w:val="20"/>
        </w:rPr>
        <w:t xml:space="preserve"> for maintenance therapy</w:t>
      </w:r>
      <w:r w:rsidRPr="0099114C">
        <w:rPr>
          <w:rFonts w:asciiTheme="minorHAnsi" w:hAnsiTheme="minorHAnsi"/>
          <w:snapToGrid w:val="0"/>
          <w:szCs w:val="20"/>
        </w:rPr>
        <w:t>.</w:t>
      </w:r>
      <w:r w:rsidR="00EE4188" w:rsidRPr="0099114C">
        <w:rPr>
          <w:rFonts w:asciiTheme="minorHAnsi" w:hAnsiTheme="minorHAnsi"/>
          <w:snapToGrid w:val="0"/>
          <w:szCs w:val="20"/>
        </w:rPr>
        <w:t xml:space="preserve"> </w:t>
      </w:r>
    </w:p>
    <w:bookmarkEnd w:id="61"/>
    <w:p w14:paraId="27BE3552" w14:textId="6B9141F3" w:rsidR="00CB63E9" w:rsidRPr="0099114C" w:rsidRDefault="00CB63E9" w:rsidP="00CB63E9">
      <w:pPr>
        <w:widowControl w:val="0"/>
        <w:numPr>
          <w:ilvl w:val="1"/>
          <w:numId w:val="1"/>
        </w:numPr>
        <w:spacing w:after="120"/>
        <w:rPr>
          <w:rFonts w:asciiTheme="minorHAnsi" w:hAnsiTheme="minorHAnsi"/>
          <w:snapToGrid w:val="0"/>
          <w:szCs w:val="20"/>
        </w:rPr>
      </w:pPr>
      <w:r w:rsidRPr="0099114C">
        <w:rPr>
          <w:rFonts w:asciiTheme="minorHAnsi" w:hAnsiTheme="minorHAnsi"/>
          <w:snapToGrid w:val="0"/>
          <w:szCs w:val="20"/>
        </w:rPr>
        <w:t>The PBAC considered that the claim of superior comparative safety was reasonable.</w:t>
      </w:r>
      <w:bookmarkEnd w:id="62"/>
    </w:p>
    <w:p w14:paraId="0093F492" w14:textId="77777777" w:rsidR="00DB5178" w:rsidRPr="0099114C" w:rsidRDefault="00DB5178" w:rsidP="00DB5178">
      <w:pPr>
        <w:pStyle w:val="4-SubsectionHeading"/>
      </w:pPr>
      <w:bookmarkStart w:id="63" w:name="_Toc152591175"/>
      <w:bookmarkStart w:id="64" w:name="_Toc156913970"/>
      <w:r w:rsidRPr="0099114C">
        <w:t>Economic analysis</w:t>
      </w:r>
      <w:bookmarkEnd w:id="63"/>
      <w:bookmarkEnd w:id="64"/>
      <w:r w:rsidRPr="0099114C">
        <w:t xml:space="preserve"> </w:t>
      </w:r>
    </w:p>
    <w:p w14:paraId="555764B7" w14:textId="3C5B6061" w:rsidR="006D6ACA" w:rsidRPr="00857B0D" w:rsidRDefault="00DB5178" w:rsidP="00DB5178">
      <w:pPr>
        <w:pStyle w:val="3-BodyText"/>
        <w:rPr>
          <w:b/>
          <w:bCs/>
          <w:color w:val="0066FF"/>
        </w:rPr>
      </w:pPr>
      <w:r w:rsidRPr="0099114C">
        <w:t xml:space="preserve">The resubmission presented a modelled cost-utility analysis based on </w:t>
      </w:r>
      <w:r w:rsidR="006D6ACA" w:rsidRPr="0099114C">
        <w:t xml:space="preserve">the </w:t>
      </w:r>
      <w:r w:rsidRPr="0099114C">
        <w:t xml:space="preserve">randomised trial (ADVOCATE) directly comparing avacopan + </w:t>
      </w:r>
      <w:r w:rsidR="009C4ECD" w:rsidRPr="0099114C">
        <w:t>SOC</w:t>
      </w:r>
      <w:r w:rsidRPr="0099114C">
        <w:t xml:space="preserve"> and GC + </w:t>
      </w:r>
      <w:r w:rsidR="009C4ECD" w:rsidRPr="0099114C">
        <w:t>SOC</w:t>
      </w:r>
      <w:r w:rsidRPr="0099114C">
        <w:t xml:space="preserve">. </w:t>
      </w:r>
      <w:r w:rsidR="006D6ACA" w:rsidRPr="0099114C">
        <w:t xml:space="preserve">The PBAC previously determined that a resubmission for avacopan should be based on the benefits of reducing GC when used as induction therapy (para 7.16, PSD, avacopan, July 2023 PBAC meeting). The </w:t>
      </w:r>
      <w:r w:rsidR="002B3645" w:rsidRPr="0099114C">
        <w:t>re</w:t>
      </w:r>
      <w:r w:rsidR="006D6ACA" w:rsidRPr="0099114C">
        <w:t xml:space="preserve">submission stated the sponsor was unable to proceed with a PBS listing for avacopan based on benefits of reducing </w:t>
      </w:r>
      <w:r w:rsidR="00E93DEA" w:rsidRPr="0099114C">
        <w:t>GCs</w:t>
      </w:r>
      <w:r w:rsidR="006D6ACA" w:rsidRPr="0099114C">
        <w:t xml:space="preserve"> alone. </w:t>
      </w:r>
    </w:p>
    <w:p w14:paraId="1D75F77F" w14:textId="06475F6B" w:rsidR="006D6ACA" w:rsidRPr="00857B0D" w:rsidRDefault="006D6ACA" w:rsidP="00DB5178">
      <w:pPr>
        <w:pStyle w:val="3-BodyText"/>
        <w:rPr>
          <w:b/>
          <w:bCs/>
          <w:color w:val="0066FF"/>
        </w:rPr>
      </w:pPr>
      <w:bookmarkStart w:id="65" w:name="_Ref161871146"/>
      <w:r w:rsidRPr="0099114C">
        <w:t xml:space="preserve">The </w:t>
      </w:r>
      <w:r w:rsidR="00D20B99" w:rsidRPr="0099114C">
        <w:t>re</w:t>
      </w:r>
      <w:r w:rsidRPr="0099114C">
        <w:t xml:space="preserve">submission argued that statistically significant improvements in renal function in the avacopan-treated arm compared with the prednisone arm were apparent at week 26 (i.e. in the induction phase when patients in the prednisone arm were still on background therapy with rituximab or cyclophosphamide). </w:t>
      </w:r>
      <w:r w:rsidR="00FA4841" w:rsidRPr="0099114C">
        <w:t xml:space="preserve">The </w:t>
      </w:r>
      <w:r w:rsidR="003B307D" w:rsidRPr="0099114C">
        <w:t>re</w:t>
      </w:r>
      <w:r w:rsidR="00FA4841" w:rsidRPr="0099114C">
        <w:t>submission argue</w:t>
      </w:r>
      <w:r w:rsidR="00853FBE" w:rsidRPr="0099114C">
        <w:t>d</w:t>
      </w:r>
      <w:r w:rsidRPr="0099114C">
        <w:t xml:space="preserve"> improvement persists and remains statistically significant at week 52 and is confirmed as clinically meaningful by clinicians. </w:t>
      </w:r>
      <w:r w:rsidR="001F6D95" w:rsidRPr="0099114C">
        <w:t xml:space="preserve">The </w:t>
      </w:r>
      <w:r w:rsidR="003B307D" w:rsidRPr="0099114C">
        <w:t>re</w:t>
      </w:r>
      <w:r w:rsidR="001F6D95" w:rsidRPr="0099114C">
        <w:t>submission argue</w:t>
      </w:r>
      <w:r w:rsidR="00853FBE" w:rsidRPr="0099114C">
        <w:t>d</w:t>
      </w:r>
      <w:r w:rsidR="001F6D95" w:rsidRPr="0099114C">
        <w:t xml:space="preserve"> that</w:t>
      </w:r>
      <w:r w:rsidRPr="0099114C">
        <w:t xml:space="preserve"> it would be incorrect to attribute this improvement solely due to patients receiving “no therapy” in the prednisone arm of ADVOCATE. The economic model structure is therefore the same as the previous submission, however a number of key inputs have been updated.</w:t>
      </w:r>
      <w:bookmarkEnd w:id="65"/>
    </w:p>
    <w:p w14:paraId="471A264F" w14:textId="44607730" w:rsidR="00DB5178" w:rsidRPr="00857B0D" w:rsidRDefault="00DB5178" w:rsidP="00DB5178">
      <w:pPr>
        <w:pStyle w:val="3-BodyText"/>
        <w:rPr>
          <w:b/>
          <w:bCs/>
          <w:color w:val="0066FF"/>
        </w:rPr>
      </w:pPr>
      <w:r w:rsidRPr="0099114C">
        <w:t xml:space="preserve">The </w:t>
      </w:r>
      <w:r w:rsidR="00DD38CA" w:rsidRPr="0099114C">
        <w:t xml:space="preserve">resubmission </w:t>
      </w:r>
      <w:r w:rsidRPr="0099114C">
        <w:t>economic model continue</w:t>
      </w:r>
      <w:r w:rsidR="00DD38CA" w:rsidRPr="0099114C">
        <w:t>d</w:t>
      </w:r>
      <w:r w:rsidRPr="0099114C">
        <w:t xml:space="preserve"> to include avacopan benefits from</w:t>
      </w:r>
      <w:r w:rsidR="00AA3D59" w:rsidRPr="0099114C">
        <w:t xml:space="preserve"> </w:t>
      </w:r>
      <w:r w:rsidRPr="0099114C">
        <w:t>clinical efficacy</w:t>
      </w:r>
      <w:r w:rsidR="00AA3D59" w:rsidRPr="0099114C">
        <w:t xml:space="preserve"> at </w:t>
      </w:r>
      <w:r w:rsidR="00C64CEB" w:rsidRPr="0099114C">
        <w:t>achieving</w:t>
      </w:r>
      <w:r w:rsidR="00AA3D59" w:rsidRPr="0099114C">
        <w:t xml:space="preserve"> remission</w:t>
      </w:r>
      <w:r w:rsidR="00C64CEB" w:rsidRPr="0099114C">
        <w:t xml:space="preserve">, </w:t>
      </w:r>
      <w:r w:rsidRPr="0099114C">
        <w:t xml:space="preserve">renal disease progression based on eGFR rates, mortality (from AAV, ESRD, and infection from GC toxicity) and GC toxicity. </w:t>
      </w:r>
      <w:r w:rsidR="006D6ACA" w:rsidRPr="0099114C">
        <w:t>The PBAC previously advised that a</w:t>
      </w:r>
      <w:r w:rsidRPr="0099114C">
        <w:t>dditional clinical evidence would be required to support broader benefits, including efficacy benefits, when used as induction therapy or to support use as maintenance therapy  (para 7.16, PSD, avacopan, July 2023 PBAC meeting).</w:t>
      </w:r>
    </w:p>
    <w:p w14:paraId="513C710D" w14:textId="19245FCA" w:rsidR="00DB5178" w:rsidRPr="00857B0D" w:rsidRDefault="00DD38CA" w:rsidP="00DB5178">
      <w:pPr>
        <w:pStyle w:val="3-BodyText"/>
        <w:rPr>
          <w:b/>
          <w:bCs/>
          <w:color w:val="0066FF"/>
        </w:rPr>
      </w:pPr>
      <w:bookmarkStart w:id="66" w:name="_Ref159256694"/>
      <w:r w:rsidRPr="0099114C">
        <w:t>K</w:t>
      </w:r>
      <w:r w:rsidR="00DB5178" w:rsidRPr="0099114C">
        <w:t xml:space="preserve">ey changes </w:t>
      </w:r>
      <w:r w:rsidRPr="0099114C">
        <w:t>made in the resubmission model</w:t>
      </w:r>
      <w:r w:rsidR="00DB5178" w:rsidRPr="0099114C">
        <w:t xml:space="preserve"> include</w:t>
      </w:r>
      <w:r w:rsidRPr="0099114C">
        <w:t>d</w:t>
      </w:r>
      <w:r w:rsidR="00DB5178" w:rsidRPr="0099114C">
        <w:t>:</w:t>
      </w:r>
      <w:bookmarkEnd w:id="66"/>
    </w:p>
    <w:p w14:paraId="16C9E88D" w14:textId="5B9ABFF8" w:rsidR="00DB5178" w:rsidRPr="00857B0D" w:rsidRDefault="00DB5178" w:rsidP="00DB5178">
      <w:pPr>
        <w:pStyle w:val="ListParagraph"/>
        <w:numPr>
          <w:ilvl w:val="0"/>
          <w:numId w:val="36"/>
        </w:numPr>
        <w:spacing w:after="120"/>
        <w:contextualSpacing w:val="0"/>
        <w:rPr>
          <w:b/>
          <w:bCs/>
        </w:rPr>
      </w:pPr>
      <w:r w:rsidRPr="00857B0D">
        <w:t xml:space="preserve">A </w:t>
      </w:r>
      <w:r w:rsidR="009C66B7" w:rsidRPr="00857B0D">
        <w:t xml:space="preserve">reduced </w:t>
      </w:r>
      <w:r w:rsidRPr="00857B0D">
        <w:t xml:space="preserve">time horizon </w:t>
      </w:r>
      <w:r w:rsidR="009C66B7" w:rsidRPr="00857B0D">
        <w:t>from 30 years to</w:t>
      </w:r>
      <w:r w:rsidRPr="00857B0D">
        <w:t xml:space="preserve"> 20 years</w:t>
      </w:r>
      <w:r w:rsidR="00DF0697" w:rsidRPr="00857B0D">
        <w:t>;</w:t>
      </w:r>
    </w:p>
    <w:p w14:paraId="5AEB211E" w14:textId="05BD23E6" w:rsidR="00DB5178" w:rsidRPr="00857B0D" w:rsidRDefault="00DB5178" w:rsidP="00DB5178">
      <w:pPr>
        <w:pStyle w:val="ListParagraph"/>
        <w:numPr>
          <w:ilvl w:val="0"/>
          <w:numId w:val="36"/>
        </w:numPr>
        <w:spacing w:after="120"/>
        <w:contextualSpacing w:val="0"/>
        <w:rPr>
          <w:b/>
          <w:bCs/>
        </w:rPr>
      </w:pPr>
      <w:r w:rsidRPr="00857B0D">
        <w:t>An adjusted comparator that allows rituximab to continue into the maintenance phase of treatment</w:t>
      </w:r>
      <w:r w:rsidR="00DF0697" w:rsidRPr="00857B0D">
        <w:t>;</w:t>
      </w:r>
    </w:p>
    <w:p w14:paraId="09626913" w14:textId="5AC361FC" w:rsidR="00DB5178" w:rsidRPr="00857B0D" w:rsidRDefault="00DB5178" w:rsidP="00DB5178">
      <w:pPr>
        <w:pStyle w:val="ListParagraph"/>
        <w:numPr>
          <w:ilvl w:val="0"/>
          <w:numId w:val="36"/>
        </w:numPr>
        <w:spacing w:after="120"/>
        <w:contextualSpacing w:val="0"/>
        <w:rPr>
          <w:b/>
          <w:bCs/>
        </w:rPr>
      </w:pPr>
      <w:r w:rsidRPr="00857B0D">
        <w:t xml:space="preserve">A </w:t>
      </w:r>
      <w:r w:rsidR="009A43B6" w:rsidRPr="00857B0D">
        <w:t xml:space="preserve">maximum </w:t>
      </w:r>
      <w:r w:rsidRPr="00857B0D">
        <w:t xml:space="preserve">treatment duration </w:t>
      </w:r>
      <w:r w:rsidR="009C66B7" w:rsidRPr="00857B0D">
        <w:t>reduced from 24 months to</w:t>
      </w:r>
      <w:r w:rsidRPr="00857B0D">
        <w:t xml:space="preserve"> 12 months</w:t>
      </w:r>
      <w:r w:rsidR="000844D8" w:rsidRPr="00857B0D">
        <w:t xml:space="preserve"> (</w:t>
      </w:r>
      <w:r w:rsidR="004C0D23" w:rsidRPr="00857B0D">
        <w:t>9.6 months applied in model</w:t>
      </w:r>
      <w:r w:rsidR="009A43B6" w:rsidRPr="00857B0D">
        <w:t xml:space="preserve"> down from 25.8 months previously</w:t>
      </w:r>
      <w:r w:rsidR="004C0D23" w:rsidRPr="00857B0D">
        <w:t>)</w:t>
      </w:r>
      <w:r w:rsidR="00DF0697" w:rsidRPr="00857B0D">
        <w:t>;</w:t>
      </w:r>
      <w:r w:rsidRPr="00857B0D">
        <w:t xml:space="preserve"> </w:t>
      </w:r>
    </w:p>
    <w:p w14:paraId="063698EA" w14:textId="31779697" w:rsidR="005E3497" w:rsidRPr="00857B0D" w:rsidRDefault="005E3497" w:rsidP="00DB5178">
      <w:pPr>
        <w:pStyle w:val="ListParagraph"/>
        <w:numPr>
          <w:ilvl w:val="0"/>
          <w:numId w:val="36"/>
        </w:numPr>
        <w:spacing w:after="120"/>
        <w:contextualSpacing w:val="0"/>
        <w:rPr>
          <w:b/>
          <w:bCs/>
        </w:rPr>
      </w:pPr>
      <w:r w:rsidRPr="00857B0D">
        <w:rPr>
          <w:lang w:eastAsia="en-GB"/>
        </w:rPr>
        <w:t>The treatment waning of avacopan was reduced from 1 year to 6 months;</w:t>
      </w:r>
    </w:p>
    <w:p w14:paraId="1F65A3F8" w14:textId="7FB86FBB" w:rsidR="00DB5178" w:rsidRPr="00857B0D" w:rsidRDefault="00DB5178" w:rsidP="00DB5178">
      <w:pPr>
        <w:pStyle w:val="ListParagraph"/>
        <w:numPr>
          <w:ilvl w:val="0"/>
          <w:numId w:val="36"/>
        </w:numPr>
        <w:spacing w:after="120"/>
        <w:contextualSpacing w:val="0"/>
        <w:rPr>
          <w:b/>
          <w:bCs/>
        </w:rPr>
      </w:pPr>
      <w:r w:rsidRPr="00857B0D">
        <w:t>A</w:t>
      </w:r>
      <w:r w:rsidR="00BC79FC" w:rsidRPr="00857B0D">
        <w:t xml:space="preserve"> re</w:t>
      </w:r>
      <w:r w:rsidR="00DF0697" w:rsidRPr="00857B0D">
        <w:t>vised</w:t>
      </w:r>
      <w:r w:rsidRPr="00857B0D">
        <w:t xml:space="preserve"> limit of 1 reinduction with avacopan</w:t>
      </w:r>
      <w:r w:rsidR="009C66B7" w:rsidRPr="00857B0D">
        <w:t xml:space="preserve"> down from up to 2 previously</w:t>
      </w:r>
      <w:r w:rsidR="00DF0697" w:rsidRPr="00857B0D">
        <w:t>;</w:t>
      </w:r>
    </w:p>
    <w:p w14:paraId="19501F10" w14:textId="0626617A" w:rsidR="00DB5178" w:rsidRPr="00857B0D" w:rsidRDefault="00DB5178" w:rsidP="00DB5178">
      <w:pPr>
        <w:pStyle w:val="ListParagraph"/>
        <w:numPr>
          <w:ilvl w:val="0"/>
          <w:numId w:val="36"/>
        </w:numPr>
        <w:spacing w:after="120"/>
        <w:contextualSpacing w:val="0"/>
        <w:rPr>
          <w:b/>
          <w:bCs/>
        </w:rPr>
      </w:pPr>
      <w:r w:rsidRPr="00857B0D">
        <w:t>An updated utility valuation set from Norman et al. (2023)</w:t>
      </w:r>
      <w:r w:rsidR="00DF0697" w:rsidRPr="00857B0D">
        <w:t>;</w:t>
      </w:r>
    </w:p>
    <w:p w14:paraId="31C4649B" w14:textId="00FC2B54" w:rsidR="00DB5178" w:rsidRPr="00857B0D" w:rsidRDefault="0097352B" w:rsidP="00DB5178">
      <w:pPr>
        <w:pStyle w:val="ListParagraph"/>
        <w:numPr>
          <w:ilvl w:val="0"/>
          <w:numId w:val="36"/>
        </w:numPr>
        <w:spacing w:after="120"/>
        <w:contextualSpacing w:val="0"/>
        <w:rPr>
          <w:b/>
          <w:bCs/>
        </w:rPr>
      </w:pPr>
      <w:r w:rsidRPr="00857B0D">
        <w:lastRenderedPageBreak/>
        <w:t>An</w:t>
      </w:r>
      <w:r w:rsidR="00DB5178" w:rsidRPr="00857B0D">
        <w:t xml:space="preserve"> </w:t>
      </w:r>
      <w:r w:rsidR="009C66B7" w:rsidRPr="00857B0D">
        <w:t xml:space="preserve">increase in the </w:t>
      </w:r>
      <w:r w:rsidR="00DB5178" w:rsidRPr="00857B0D">
        <w:t xml:space="preserve">hazard ratio </w:t>
      </w:r>
      <w:r w:rsidR="009C66B7" w:rsidRPr="00857B0D">
        <w:t>from 0.90 to</w:t>
      </w:r>
      <w:r w:rsidR="00DB5178" w:rsidRPr="00857B0D">
        <w:t xml:space="preserve"> 0.95</w:t>
      </w:r>
      <w:r w:rsidR="003129CF" w:rsidRPr="00857B0D">
        <w:t>5</w:t>
      </w:r>
      <w:r w:rsidR="00DB5178" w:rsidRPr="00857B0D">
        <w:t xml:space="preserve"> for unit change of eGFR and ESRD risk</w:t>
      </w:r>
      <w:r w:rsidR="00DA2EA0" w:rsidRPr="00857B0D">
        <w:t>;</w:t>
      </w:r>
      <w:r w:rsidR="00DB5178" w:rsidRPr="00857B0D">
        <w:t xml:space="preserve"> </w:t>
      </w:r>
    </w:p>
    <w:p w14:paraId="56546633" w14:textId="7B133E3B" w:rsidR="00DB5178" w:rsidRPr="00857B0D" w:rsidRDefault="00DB5178" w:rsidP="00DB5178">
      <w:pPr>
        <w:pStyle w:val="ListParagraph"/>
        <w:numPr>
          <w:ilvl w:val="0"/>
          <w:numId w:val="36"/>
        </w:numPr>
        <w:spacing w:after="120"/>
        <w:contextualSpacing w:val="0"/>
        <w:rPr>
          <w:b/>
        </w:rPr>
      </w:pPr>
      <w:r w:rsidRPr="00BE21CE">
        <w:t xml:space="preserve">A </w:t>
      </w:r>
      <w:r w:rsidR="005F1F42" w:rsidRPr="000032E8">
        <w:rPr>
          <w:color w:val="000000"/>
          <w:w w:val="15"/>
          <w:shd w:val="solid" w:color="000000" w:fill="000000"/>
          <w:fitText w:val="-20" w:id="-961807857"/>
          <w14:textFill>
            <w14:solidFill>
              <w14:srgbClr w14:val="000000">
                <w14:alpha w14:val="100000"/>
              </w14:srgbClr>
            </w14:solidFill>
          </w14:textFill>
        </w:rPr>
        <w:t xml:space="preserve">|  </w:t>
      </w:r>
      <w:r w:rsidR="005F1F42" w:rsidRPr="000032E8">
        <w:rPr>
          <w:color w:val="000000"/>
          <w:spacing w:val="-69"/>
          <w:w w:val="15"/>
          <w:shd w:val="solid" w:color="000000" w:fill="000000"/>
          <w:fitText w:val="-20" w:id="-961807857"/>
          <w14:textFill>
            <w14:solidFill>
              <w14:srgbClr w14:val="000000">
                <w14:alpha w14:val="100000"/>
              </w14:srgbClr>
            </w14:solidFill>
          </w14:textFill>
        </w:rPr>
        <w:t>|</w:t>
      </w:r>
      <w:r w:rsidRPr="00BE21CE">
        <w:t xml:space="preserve">% </w:t>
      </w:r>
      <w:r w:rsidRPr="00857B0D">
        <w:t xml:space="preserve">price </w:t>
      </w:r>
      <w:r w:rsidR="009C66B7" w:rsidRPr="00857B0D">
        <w:t xml:space="preserve">reduction </w:t>
      </w:r>
      <w:r w:rsidRPr="00857B0D">
        <w:t xml:space="preserve">for avacopan </w:t>
      </w:r>
      <w:r w:rsidR="009C66B7" w:rsidRPr="00857B0D">
        <w:rPr>
          <w:rFonts w:cs="Calibri"/>
        </w:rPr>
        <w:t>—</w:t>
      </w:r>
      <w:r w:rsidRPr="00857B0D">
        <w:t xml:space="preserve"> effective </w:t>
      </w:r>
      <w:r w:rsidR="009C66B7" w:rsidRPr="00857B0D">
        <w:rPr>
          <w:lang w:eastAsia="en-GB"/>
        </w:rPr>
        <w:t>AEMP reduced from $</w:t>
      </w:r>
      <w:r w:rsidR="005F1F42" w:rsidRPr="000032E8">
        <w:rPr>
          <w:color w:val="000000"/>
          <w:w w:val="15"/>
          <w:shd w:val="solid" w:color="000000" w:fill="000000"/>
          <w:fitText w:val="-20" w:id="-961807856"/>
          <w:lang w:eastAsia="en-GB"/>
          <w14:textFill>
            <w14:solidFill>
              <w14:srgbClr w14:val="000000">
                <w14:alpha w14:val="100000"/>
              </w14:srgbClr>
            </w14:solidFill>
          </w14:textFill>
        </w:rPr>
        <w:t xml:space="preserve">|  </w:t>
      </w:r>
      <w:r w:rsidR="005F1F42" w:rsidRPr="000032E8">
        <w:rPr>
          <w:color w:val="000000"/>
          <w:spacing w:val="-69"/>
          <w:w w:val="15"/>
          <w:shd w:val="solid" w:color="000000" w:fill="000000"/>
          <w:fitText w:val="-20" w:id="-961807856"/>
          <w:lang w:eastAsia="en-GB"/>
          <w14:textFill>
            <w14:solidFill>
              <w14:srgbClr w14:val="000000">
                <w14:alpha w14:val="100000"/>
              </w14:srgbClr>
            </w14:solidFill>
          </w14:textFill>
        </w:rPr>
        <w:t>|</w:t>
      </w:r>
      <w:r w:rsidR="009C66B7" w:rsidRPr="00857B0D">
        <w:t xml:space="preserve"> to </w:t>
      </w:r>
      <w:r w:rsidRPr="00857B0D">
        <w:t>$</w:t>
      </w:r>
      <w:r w:rsidR="005F1F42" w:rsidRPr="000032E8">
        <w:rPr>
          <w:color w:val="000000"/>
          <w:w w:val="15"/>
          <w:shd w:val="solid" w:color="000000" w:fill="000000"/>
          <w:fitText w:val="-20" w:id="-961807872"/>
          <w14:textFill>
            <w14:solidFill>
              <w14:srgbClr w14:val="000000">
                <w14:alpha w14:val="100000"/>
              </w14:srgbClr>
            </w14:solidFill>
          </w14:textFill>
        </w:rPr>
        <w:t xml:space="preserve">|  </w:t>
      </w:r>
      <w:r w:rsidR="005F1F42" w:rsidRPr="000032E8">
        <w:rPr>
          <w:color w:val="000000"/>
          <w:spacing w:val="-69"/>
          <w:w w:val="15"/>
          <w:shd w:val="solid" w:color="000000" w:fill="000000"/>
          <w:fitText w:val="-20" w:id="-961807872"/>
          <w14:textFill>
            <w14:solidFill>
              <w14:srgbClr w14:val="000000">
                <w14:alpha w14:val="100000"/>
              </w14:srgbClr>
            </w14:solidFill>
          </w14:textFill>
        </w:rPr>
        <w:t>|</w:t>
      </w:r>
      <w:r w:rsidR="00C0193D" w:rsidRPr="00857B0D">
        <w:t>; and</w:t>
      </w:r>
    </w:p>
    <w:p w14:paraId="352C2CD8" w14:textId="15E98A43" w:rsidR="00DD48F3" w:rsidRPr="00857B0D" w:rsidRDefault="00174128" w:rsidP="00DB5178">
      <w:pPr>
        <w:pStyle w:val="ListParagraph"/>
        <w:numPr>
          <w:ilvl w:val="0"/>
          <w:numId w:val="36"/>
        </w:numPr>
        <w:spacing w:after="120"/>
        <w:contextualSpacing w:val="0"/>
        <w:rPr>
          <w:b/>
          <w:bCs/>
        </w:rPr>
      </w:pPr>
      <w:r w:rsidRPr="00857B0D">
        <w:t>A weighted comparison</w:t>
      </w:r>
      <w:r w:rsidR="00444251" w:rsidRPr="00857B0D">
        <w:t xml:space="preserve"> </w:t>
      </w:r>
      <w:r w:rsidR="00230C6E" w:rsidRPr="00857B0D">
        <w:t xml:space="preserve">comprising of 50% of patients on </w:t>
      </w:r>
      <w:r w:rsidR="006D56FC" w:rsidRPr="0099114C">
        <w:t xml:space="preserve">cyclophosphamide </w:t>
      </w:r>
      <w:r w:rsidR="00C0193D" w:rsidRPr="0099114C">
        <w:t>+</w:t>
      </w:r>
      <w:r w:rsidR="006D56FC" w:rsidRPr="0099114C">
        <w:t xml:space="preserve"> azathioprine</w:t>
      </w:r>
      <w:r w:rsidR="0052167C" w:rsidRPr="0099114C">
        <w:t xml:space="preserve"> and 50% on rituximab</w:t>
      </w:r>
      <w:r w:rsidR="00C0193D" w:rsidRPr="0099114C">
        <w:t xml:space="preserve"> + rituximab to reflect current treatment guideline.</w:t>
      </w:r>
    </w:p>
    <w:p w14:paraId="7EE18ED6" w14:textId="74FA5225" w:rsidR="00DB5178" w:rsidRPr="00857B0D" w:rsidRDefault="00DB5178" w:rsidP="00DB5178">
      <w:pPr>
        <w:pStyle w:val="3-BodyText"/>
        <w:rPr>
          <w:b/>
          <w:bCs/>
          <w:color w:val="0066FF"/>
        </w:rPr>
      </w:pPr>
      <w:r w:rsidRPr="00857B0D">
        <w:t xml:space="preserve">The key components of the economic evaluation comparing avacopan + </w:t>
      </w:r>
      <w:r w:rsidR="000613C0" w:rsidRPr="00857B0D">
        <w:t xml:space="preserve">SOC </w:t>
      </w:r>
      <w:r w:rsidRPr="00857B0D">
        <w:t xml:space="preserve">to </w:t>
      </w:r>
      <w:r w:rsidR="00A95FAB" w:rsidRPr="00857B0D">
        <w:t>GC</w:t>
      </w:r>
      <w:r w:rsidRPr="00857B0D">
        <w:t xml:space="preserve"> + </w:t>
      </w:r>
      <w:r w:rsidR="009C4ECD" w:rsidRPr="00857B0D">
        <w:t>SOC</w:t>
      </w:r>
      <w:r w:rsidRPr="00857B0D">
        <w:t xml:space="preserve"> </w:t>
      </w:r>
      <w:r w:rsidR="00DD38CA" w:rsidRPr="00857B0D">
        <w:t>are</w:t>
      </w:r>
      <w:r w:rsidRPr="00857B0D">
        <w:t xml:space="preserve"> presented in </w:t>
      </w:r>
      <w:r w:rsidR="00DE5163" w:rsidRPr="00857B0D">
        <w:fldChar w:fldCharType="begin" w:fldLock="1"/>
      </w:r>
      <w:r w:rsidR="00DE5163" w:rsidRPr="00857B0D">
        <w:instrText xml:space="preserve"> REF _Ref155945428 \h </w:instrText>
      </w:r>
      <w:r w:rsidR="003C1D5F" w:rsidRPr="00857B0D">
        <w:instrText xml:space="preserve"> \* MERGEFORMAT </w:instrText>
      </w:r>
      <w:r w:rsidR="00DE5163" w:rsidRPr="00857B0D">
        <w:fldChar w:fldCharType="separate"/>
      </w:r>
      <w:r w:rsidR="00A04368" w:rsidRPr="0099114C">
        <w:t xml:space="preserve">Table </w:t>
      </w:r>
      <w:r w:rsidR="00A04368" w:rsidRPr="00857B0D">
        <w:t>11</w:t>
      </w:r>
      <w:r w:rsidR="00DE5163" w:rsidRPr="00857B0D">
        <w:fldChar w:fldCharType="end"/>
      </w:r>
      <w:r w:rsidR="008659E8" w:rsidRPr="00857B0D">
        <w:t>.</w:t>
      </w:r>
    </w:p>
    <w:p w14:paraId="2E319F8E" w14:textId="2364A121" w:rsidR="00DB5178" w:rsidRPr="0099114C" w:rsidRDefault="00DB5178" w:rsidP="00F910A6">
      <w:pPr>
        <w:pStyle w:val="TableFigureHeading"/>
        <w:keepLines/>
        <w:rPr>
          <w:rStyle w:val="CommentReference"/>
          <w:b/>
          <w:szCs w:val="24"/>
        </w:rPr>
      </w:pPr>
      <w:bookmarkStart w:id="67" w:name="_Ref155945428"/>
      <w:r w:rsidRPr="0099114C">
        <w:t xml:space="preserve">Table </w:t>
      </w:r>
      <w:fldSimple w:instr=" SEQ Table \* ARABIC " w:fldLock="1">
        <w:r w:rsidR="00A04368" w:rsidRPr="00857B0D">
          <w:t>11</w:t>
        </w:r>
      </w:fldSimple>
      <w:bookmarkEnd w:id="67"/>
      <w:r w:rsidRPr="0099114C">
        <w:t>:</w:t>
      </w:r>
      <w:r w:rsidRPr="0099114C">
        <w:rPr>
          <w:rStyle w:val="CommentReference"/>
          <w:b/>
          <w:szCs w:val="24"/>
        </w:rPr>
        <w:t xml:space="preserve">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1: Summary of model structure, key inputs and rationale"/>
      </w:tblPr>
      <w:tblGrid>
        <w:gridCol w:w="2517"/>
        <w:gridCol w:w="6499"/>
      </w:tblGrid>
      <w:tr w:rsidR="00DB5178" w:rsidRPr="0099114C" w14:paraId="49B3E682" w14:textId="77777777" w:rsidTr="0028314D">
        <w:trPr>
          <w:cantSplit/>
          <w:tblHeader/>
        </w:trPr>
        <w:tc>
          <w:tcPr>
            <w:tcW w:w="1396" w:type="pct"/>
            <w:shd w:val="clear" w:color="auto" w:fill="auto"/>
            <w:vAlign w:val="center"/>
          </w:tcPr>
          <w:p w14:paraId="40C2CF25" w14:textId="77777777" w:rsidR="00DB5178" w:rsidRPr="00857B0D" w:rsidRDefault="00DB5178" w:rsidP="00F910A6">
            <w:pPr>
              <w:pStyle w:val="In-tableHeading"/>
              <w:keepNext w:val="0"/>
              <w:rPr>
                <w:lang w:val="en-AU"/>
              </w:rPr>
            </w:pPr>
            <w:r w:rsidRPr="00857B0D">
              <w:rPr>
                <w:lang w:val="en-AU"/>
              </w:rPr>
              <w:t>Component</w:t>
            </w:r>
          </w:p>
        </w:tc>
        <w:tc>
          <w:tcPr>
            <w:tcW w:w="3604" w:type="pct"/>
            <w:shd w:val="clear" w:color="auto" w:fill="auto"/>
            <w:vAlign w:val="center"/>
          </w:tcPr>
          <w:p w14:paraId="0C91A000" w14:textId="77777777" w:rsidR="00DB5178" w:rsidRPr="00857B0D" w:rsidRDefault="00DB5178" w:rsidP="00F910A6">
            <w:pPr>
              <w:pStyle w:val="In-tableHeading"/>
              <w:keepNext w:val="0"/>
              <w:rPr>
                <w:lang w:val="en-AU"/>
              </w:rPr>
            </w:pPr>
            <w:r w:rsidRPr="00857B0D">
              <w:rPr>
                <w:lang w:val="en-AU"/>
              </w:rPr>
              <w:t>Summary</w:t>
            </w:r>
          </w:p>
        </w:tc>
      </w:tr>
      <w:tr w:rsidR="00DB5178" w:rsidRPr="0099114C" w14:paraId="2480BEE2" w14:textId="77777777" w:rsidTr="00F910A6">
        <w:trPr>
          <w:cantSplit/>
        </w:trPr>
        <w:tc>
          <w:tcPr>
            <w:tcW w:w="1396" w:type="pct"/>
            <w:shd w:val="clear" w:color="auto" w:fill="auto"/>
            <w:vAlign w:val="center"/>
          </w:tcPr>
          <w:p w14:paraId="159EE025" w14:textId="77777777" w:rsidR="00DB5178" w:rsidRPr="0099114C" w:rsidRDefault="00DB5178" w:rsidP="00F910A6">
            <w:pPr>
              <w:pStyle w:val="TableText"/>
              <w:keepNext w:val="0"/>
            </w:pPr>
            <w:r w:rsidRPr="0099114C">
              <w:t>Treatments</w:t>
            </w:r>
          </w:p>
        </w:tc>
        <w:tc>
          <w:tcPr>
            <w:tcW w:w="3604" w:type="pct"/>
            <w:shd w:val="clear" w:color="auto" w:fill="auto"/>
            <w:vAlign w:val="center"/>
          </w:tcPr>
          <w:p w14:paraId="0B09B9E5" w14:textId="53724C8C" w:rsidR="00DB5178" w:rsidRPr="0099114C" w:rsidRDefault="00DB5178" w:rsidP="00F910A6">
            <w:pPr>
              <w:pStyle w:val="TableText"/>
              <w:keepNext w:val="0"/>
              <w:shd w:val="clear" w:color="auto" w:fill="8EAADB" w:themeFill="accent1" w:themeFillTint="99"/>
            </w:pPr>
            <w:r w:rsidRPr="0099114C">
              <w:t>Induction: AVA+RTX or AVA+CYC</w:t>
            </w:r>
          </w:p>
          <w:p w14:paraId="0F2D407D" w14:textId="77777777" w:rsidR="00DB5178" w:rsidRPr="0099114C" w:rsidRDefault="00DB5178" w:rsidP="00F910A6">
            <w:pPr>
              <w:pStyle w:val="TableText"/>
              <w:keepNext w:val="0"/>
            </w:pPr>
            <w:r w:rsidRPr="0099114C">
              <w:t xml:space="preserve">Maintenance: </w:t>
            </w:r>
            <w:r w:rsidRPr="0099114C">
              <w:rPr>
                <w:u w:val="single"/>
              </w:rPr>
              <w:t>AVA+RTX</w:t>
            </w:r>
            <w:r w:rsidRPr="0099114C">
              <w:t xml:space="preserve"> (50%) or AVA+AZA (50%)</w:t>
            </w:r>
          </w:p>
          <w:p w14:paraId="560FBB06" w14:textId="77777777" w:rsidR="00DB5178" w:rsidRPr="0099114C" w:rsidRDefault="00DB5178" w:rsidP="00F910A6">
            <w:pPr>
              <w:pStyle w:val="TableText"/>
              <w:keepNext w:val="0"/>
            </w:pPr>
            <w:r w:rsidRPr="0099114C">
              <w:t>Vs</w:t>
            </w:r>
          </w:p>
          <w:p w14:paraId="3486B730" w14:textId="62EF860D" w:rsidR="00DB5178" w:rsidRPr="0099114C" w:rsidRDefault="00DB5178" w:rsidP="00F910A6">
            <w:pPr>
              <w:pStyle w:val="TableText"/>
              <w:keepNext w:val="0"/>
              <w:shd w:val="clear" w:color="auto" w:fill="8EAADB" w:themeFill="accent1" w:themeFillTint="99"/>
            </w:pPr>
            <w:r w:rsidRPr="0099114C">
              <w:t>Induction: GC+RTX or GC+CYC</w:t>
            </w:r>
          </w:p>
          <w:p w14:paraId="2F2E7665" w14:textId="77777777" w:rsidR="00DB5178" w:rsidRPr="0099114C" w:rsidRDefault="00DB5178" w:rsidP="00F910A6">
            <w:pPr>
              <w:pStyle w:val="TableText"/>
              <w:keepNext w:val="0"/>
            </w:pPr>
            <w:r w:rsidRPr="0099114C">
              <w:t>Maintenance: Tapered GC+RTX (50%) or Tapered GC+AZA (50%)</w:t>
            </w:r>
          </w:p>
        </w:tc>
      </w:tr>
      <w:tr w:rsidR="00DB5178" w:rsidRPr="0099114C" w14:paraId="7484256F" w14:textId="77777777" w:rsidTr="00F910A6">
        <w:trPr>
          <w:cantSplit/>
        </w:trPr>
        <w:tc>
          <w:tcPr>
            <w:tcW w:w="1396" w:type="pct"/>
            <w:shd w:val="clear" w:color="auto" w:fill="auto"/>
            <w:vAlign w:val="center"/>
          </w:tcPr>
          <w:p w14:paraId="7A27B4CC" w14:textId="77777777" w:rsidR="00DB5178" w:rsidRPr="0099114C" w:rsidRDefault="00DB5178" w:rsidP="00F910A6">
            <w:pPr>
              <w:pStyle w:val="TableText"/>
              <w:keepNext w:val="0"/>
            </w:pPr>
            <w:r w:rsidRPr="0099114C">
              <w:t>Time horizon</w:t>
            </w:r>
          </w:p>
        </w:tc>
        <w:tc>
          <w:tcPr>
            <w:tcW w:w="3604" w:type="pct"/>
            <w:shd w:val="clear" w:color="auto" w:fill="auto"/>
            <w:vAlign w:val="center"/>
          </w:tcPr>
          <w:p w14:paraId="604FE800" w14:textId="77777777" w:rsidR="00DB5178" w:rsidRPr="0099114C" w:rsidRDefault="00DB5178" w:rsidP="00F910A6">
            <w:pPr>
              <w:pStyle w:val="TableText"/>
              <w:keepNext w:val="0"/>
            </w:pPr>
            <w:r w:rsidRPr="0099114C">
              <w:t>20 years</w:t>
            </w:r>
          </w:p>
        </w:tc>
      </w:tr>
      <w:tr w:rsidR="00DB5178" w:rsidRPr="0099114C" w14:paraId="6DBBA645" w14:textId="77777777" w:rsidTr="00F910A6">
        <w:trPr>
          <w:cantSplit/>
        </w:trPr>
        <w:tc>
          <w:tcPr>
            <w:tcW w:w="1396" w:type="pct"/>
            <w:shd w:val="clear" w:color="auto" w:fill="auto"/>
            <w:vAlign w:val="center"/>
          </w:tcPr>
          <w:p w14:paraId="0C9D0093" w14:textId="77777777" w:rsidR="00DB5178" w:rsidRPr="0099114C" w:rsidRDefault="00DB5178" w:rsidP="00F910A6">
            <w:pPr>
              <w:pStyle w:val="TableText"/>
              <w:keepNext w:val="0"/>
            </w:pPr>
            <w:r w:rsidRPr="0099114C">
              <w:t>Outcomes</w:t>
            </w:r>
          </w:p>
        </w:tc>
        <w:tc>
          <w:tcPr>
            <w:tcW w:w="3604" w:type="pct"/>
            <w:shd w:val="clear" w:color="auto" w:fill="8EAADB" w:themeFill="accent1" w:themeFillTint="99"/>
            <w:vAlign w:val="center"/>
          </w:tcPr>
          <w:p w14:paraId="7E2BB495" w14:textId="77777777" w:rsidR="00DB5178" w:rsidRPr="0099114C" w:rsidRDefault="00DB5178" w:rsidP="00F910A6">
            <w:pPr>
              <w:pStyle w:val="TableText"/>
              <w:keepNext w:val="0"/>
            </w:pPr>
            <w:r w:rsidRPr="0099114C">
              <w:t>QALYs</w:t>
            </w:r>
          </w:p>
        </w:tc>
      </w:tr>
      <w:tr w:rsidR="00DB5178" w:rsidRPr="0099114C" w14:paraId="4EA1700C" w14:textId="77777777" w:rsidTr="00F910A6">
        <w:trPr>
          <w:cantSplit/>
        </w:trPr>
        <w:tc>
          <w:tcPr>
            <w:tcW w:w="1396" w:type="pct"/>
            <w:shd w:val="clear" w:color="auto" w:fill="auto"/>
            <w:vAlign w:val="center"/>
          </w:tcPr>
          <w:p w14:paraId="52E6A5DE" w14:textId="77777777" w:rsidR="00DB5178" w:rsidRPr="0099114C" w:rsidRDefault="00DB5178" w:rsidP="00F910A6">
            <w:pPr>
              <w:pStyle w:val="TableText"/>
              <w:keepNext w:val="0"/>
            </w:pPr>
            <w:r w:rsidRPr="0099114C">
              <w:t>Methods used to generate results</w:t>
            </w:r>
          </w:p>
        </w:tc>
        <w:tc>
          <w:tcPr>
            <w:tcW w:w="3604" w:type="pct"/>
            <w:shd w:val="clear" w:color="auto" w:fill="8EAADB" w:themeFill="accent1" w:themeFillTint="99"/>
            <w:vAlign w:val="center"/>
          </w:tcPr>
          <w:p w14:paraId="757618C7" w14:textId="77777777" w:rsidR="00DB5178" w:rsidRPr="0099114C" w:rsidRDefault="00DB5178" w:rsidP="00F910A6">
            <w:pPr>
              <w:pStyle w:val="TableText"/>
              <w:keepNext w:val="0"/>
            </w:pPr>
            <w:r w:rsidRPr="0099114C">
              <w:t>Cohort state transition Markov model</w:t>
            </w:r>
          </w:p>
        </w:tc>
      </w:tr>
      <w:tr w:rsidR="00DB5178" w:rsidRPr="0099114C" w14:paraId="642FDD57" w14:textId="77777777" w:rsidTr="00F910A6">
        <w:trPr>
          <w:cantSplit/>
        </w:trPr>
        <w:tc>
          <w:tcPr>
            <w:tcW w:w="1396" w:type="pct"/>
            <w:shd w:val="clear" w:color="auto" w:fill="auto"/>
            <w:vAlign w:val="center"/>
          </w:tcPr>
          <w:p w14:paraId="2254499D" w14:textId="77777777" w:rsidR="00DB5178" w:rsidRPr="0099114C" w:rsidRDefault="00DB5178" w:rsidP="00F910A6">
            <w:pPr>
              <w:pStyle w:val="TableText"/>
              <w:keepNext w:val="0"/>
            </w:pPr>
            <w:r w:rsidRPr="0099114C">
              <w:t>Health states</w:t>
            </w:r>
          </w:p>
        </w:tc>
        <w:tc>
          <w:tcPr>
            <w:tcW w:w="3604" w:type="pct"/>
            <w:shd w:val="clear" w:color="auto" w:fill="8EAADB" w:themeFill="accent1" w:themeFillTint="99"/>
            <w:vAlign w:val="center"/>
          </w:tcPr>
          <w:p w14:paraId="1698C9EE" w14:textId="77777777" w:rsidR="00DB5178" w:rsidRPr="0099114C" w:rsidRDefault="00DB5178" w:rsidP="00F910A6">
            <w:pPr>
              <w:pStyle w:val="TableText"/>
              <w:keepNext w:val="0"/>
            </w:pPr>
            <w:r w:rsidRPr="0099114C">
              <w:t xml:space="preserve">9 health states in total </w:t>
            </w:r>
          </w:p>
          <w:p w14:paraId="7E876448" w14:textId="77777777" w:rsidR="00DB5178" w:rsidRPr="0099114C" w:rsidRDefault="00DB5178" w:rsidP="00F910A6">
            <w:pPr>
              <w:pStyle w:val="TableText"/>
              <w:keepNext w:val="0"/>
            </w:pPr>
          </w:p>
          <w:p w14:paraId="2B1F2088" w14:textId="77777777" w:rsidR="00DB5178" w:rsidRPr="0099114C" w:rsidRDefault="00DB5178" w:rsidP="00F910A6">
            <w:pPr>
              <w:pStyle w:val="TableText"/>
              <w:keepNext w:val="0"/>
            </w:pPr>
            <w:r w:rsidRPr="0099114C">
              <w:t>Active disease, Remission (x3), Relapse (x3), ESRD, Death</w:t>
            </w:r>
          </w:p>
        </w:tc>
      </w:tr>
      <w:tr w:rsidR="00DB5178" w:rsidRPr="0099114C" w14:paraId="33AB8182" w14:textId="77777777" w:rsidTr="00F910A6">
        <w:trPr>
          <w:cantSplit/>
        </w:trPr>
        <w:tc>
          <w:tcPr>
            <w:tcW w:w="1396" w:type="pct"/>
            <w:shd w:val="clear" w:color="auto" w:fill="auto"/>
            <w:vAlign w:val="center"/>
          </w:tcPr>
          <w:p w14:paraId="1B4B4DF1" w14:textId="77777777" w:rsidR="00DB5178" w:rsidRPr="0099114C" w:rsidRDefault="00DB5178" w:rsidP="00F910A6">
            <w:pPr>
              <w:pStyle w:val="TableText"/>
              <w:keepNext w:val="0"/>
            </w:pPr>
            <w:r w:rsidRPr="0099114C">
              <w:t>Cycle length</w:t>
            </w:r>
          </w:p>
        </w:tc>
        <w:tc>
          <w:tcPr>
            <w:tcW w:w="3604" w:type="pct"/>
            <w:shd w:val="clear" w:color="auto" w:fill="8EAADB" w:themeFill="accent1" w:themeFillTint="99"/>
            <w:vAlign w:val="center"/>
          </w:tcPr>
          <w:p w14:paraId="32F9C947" w14:textId="77777777" w:rsidR="00DB5178" w:rsidRPr="0099114C" w:rsidRDefault="00DB5178" w:rsidP="00F910A6">
            <w:pPr>
              <w:pStyle w:val="TableText"/>
              <w:keepNext w:val="0"/>
            </w:pPr>
            <w:r w:rsidRPr="0099114C">
              <w:t>28 days</w:t>
            </w:r>
          </w:p>
        </w:tc>
      </w:tr>
      <w:tr w:rsidR="00DB5178" w:rsidRPr="0099114C" w14:paraId="6D296E30" w14:textId="77777777" w:rsidTr="00F910A6">
        <w:trPr>
          <w:cantSplit/>
        </w:trPr>
        <w:tc>
          <w:tcPr>
            <w:tcW w:w="1396" w:type="pct"/>
            <w:shd w:val="clear" w:color="auto" w:fill="auto"/>
            <w:vAlign w:val="center"/>
          </w:tcPr>
          <w:p w14:paraId="55943476" w14:textId="77777777" w:rsidR="00DB5178" w:rsidRPr="0099114C" w:rsidRDefault="00DB5178" w:rsidP="00F910A6">
            <w:pPr>
              <w:pStyle w:val="TableText"/>
              <w:keepNext w:val="0"/>
            </w:pPr>
            <w:r w:rsidRPr="0099114C">
              <w:t>Transition probabilities or</w:t>
            </w:r>
          </w:p>
          <w:p w14:paraId="31AD83B6" w14:textId="77777777" w:rsidR="00DB5178" w:rsidRPr="0099114C" w:rsidRDefault="00DB5178" w:rsidP="00F910A6">
            <w:pPr>
              <w:pStyle w:val="TableText"/>
              <w:keepNext w:val="0"/>
            </w:pPr>
            <w:r w:rsidRPr="0099114C">
              <w:t>Allocation to health states (if partitioned survival model)</w:t>
            </w:r>
          </w:p>
        </w:tc>
        <w:tc>
          <w:tcPr>
            <w:tcW w:w="3604" w:type="pct"/>
            <w:shd w:val="clear" w:color="auto" w:fill="auto"/>
            <w:vAlign w:val="center"/>
          </w:tcPr>
          <w:p w14:paraId="68A2A5B8" w14:textId="7F88F9A0" w:rsidR="00DB5178" w:rsidRPr="0099114C" w:rsidRDefault="00DB5178" w:rsidP="00F910A6">
            <w:pPr>
              <w:pStyle w:val="TableText"/>
              <w:keepNext w:val="0"/>
            </w:pPr>
            <w:r w:rsidRPr="0099114C">
              <w:rPr>
                <w:u w:val="single"/>
              </w:rPr>
              <w:t>Active disease to relapse and remission:</w:t>
            </w:r>
            <w:r w:rsidRPr="0099114C">
              <w:t xml:space="preserve"> Proportions of patients in remission at week 26 and 52 from the ADVOCATE trial</w:t>
            </w:r>
            <w:r w:rsidR="32635AE2" w:rsidRPr="0099114C">
              <w:t xml:space="preserve">. Patients on rituximab </w:t>
            </w:r>
            <w:r w:rsidR="007D6F12" w:rsidRPr="0099114C">
              <w:t xml:space="preserve">between weeks 26-52 (in both treatment and control arms) have </w:t>
            </w:r>
            <w:r w:rsidR="00DC7A71" w:rsidRPr="0099114C">
              <w:t>a lower</w:t>
            </w:r>
            <w:r w:rsidR="007D6F12" w:rsidRPr="0099114C">
              <w:t xml:space="preserve"> relapse risk adjusted by HR of 0.36 from the RITAZAREM trial. </w:t>
            </w:r>
          </w:p>
          <w:p w14:paraId="42BC846C" w14:textId="77777777" w:rsidR="00DB5178" w:rsidRPr="0099114C" w:rsidRDefault="00DB5178" w:rsidP="00F910A6">
            <w:pPr>
              <w:pStyle w:val="TableText"/>
              <w:keepNext w:val="0"/>
            </w:pPr>
          </w:p>
          <w:p w14:paraId="5530F162" w14:textId="36337F9F" w:rsidR="00DB5178" w:rsidRPr="0099114C" w:rsidRDefault="00DB5178" w:rsidP="00F910A6">
            <w:pPr>
              <w:pStyle w:val="TableText"/>
              <w:keepNext w:val="0"/>
            </w:pPr>
            <w:r w:rsidRPr="0099114C">
              <w:rPr>
                <w:u w:val="single"/>
              </w:rPr>
              <w:t>Relapse rate over time</w:t>
            </w:r>
            <w:r w:rsidRPr="0099114C">
              <w:t xml:space="preserve">: </w:t>
            </w:r>
            <w:r w:rsidR="00EB0B36" w:rsidRPr="0099114C">
              <w:t xml:space="preserve">Relapse rate after 2 years in remission is assumed to reduce to </w:t>
            </w:r>
            <w:r w:rsidR="00CE75D0" w:rsidRPr="0099114C">
              <w:t xml:space="preserve">1/5 of the relapse rate during the first </w:t>
            </w:r>
            <w:r w:rsidR="00B663FA" w:rsidRPr="0099114C">
              <w:t>2 years.</w:t>
            </w:r>
            <w:r w:rsidR="001028B3" w:rsidRPr="0099114C">
              <w:t xml:space="preserve"> This is based on assumption.</w:t>
            </w:r>
            <w:r w:rsidR="00B663FA" w:rsidRPr="0099114C">
              <w:t xml:space="preserve"> </w:t>
            </w:r>
          </w:p>
          <w:p w14:paraId="51A927C0" w14:textId="77777777" w:rsidR="00DB5178" w:rsidRPr="0099114C" w:rsidRDefault="00DB5178" w:rsidP="00F910A6">
            <w:pPr>
              <w:pStyle w:val="TableText"/>
              <w:keepNext w:val="0"/>
            </w:pPr>
          </w:p>
          <w:p w14:paraId="6166C0D9" w14:textId="77777777" w:rsidR="00DB5178" w:rsidRPr="0099114C" w:rsidRDefault="00DB5178" w:rsidP="00F910A6">
            <w:pPr>
              <w:pStyle w:val="TableText"/>
              <w:keepNext w:val="0"/>
            </w:pPr>
            <w:r w:rsidRPr="0099114C">
              <w:rPr>
                <w:u w:val="single"/>
              </w:rPr>
              <w:t>Transition to ESRD:</w:t>
            </w:r>
            <w:r w:rsidRPr="0099114C">
              <w:t xml:space="preserve"> Based on renal outcomes (eGFR) from the ADVOCATE trial, the association between eGFR and the probability of ESRD using a pooled HR of 0.95 from Gercik et al. (2020) and Brix et al. (2018) and assumed a decrement of 10 mL/min decrease in eGFR for each subsequent relapse based on advice from clinical experts and data from Slot et al. (2003).</w:t>
            </w:r>
          </w:p>
          <w:p w14:paraId="3E012557" w14:textId="77777777" w:rsidR="00DB5178" w:rsidRPr="0099114C" w:rsidRDefault="00DB5178" w:rsidP="00F910A6">
            <w:pPr>
              <w:pStyle w:val="TableText"/>
              <w:keepNext w:val="0"/>
            </w:pPr>
          </w:p>
          <w:p w14:paraId="4D0252A5" w14:textId="19F68FD8" w:rsidR="00DB5178" w:rsidRPr="0099114C" w:rsidRDefault="00DB5178" w:rsidP="00F910A6">
            <w:pPr>
              <w:pStyle w:val="TableText"/>
              <w:keepNext w:val="0"/>
            </w:pPr>
            <w:r w:rsidRPr="0099114C">
              <w:rPr>
                <w:u w:val="single"/>
                <w:shd w:val="clear" w:color="auto" w:fill="8EAADB" w:themeFill="accent1" w:themeFillTint="99"/>
              </w:rPr>
              <w:t>Background mortality</w:t>
            </w:r>
            <w:r w:rsidRPr="0099114C">
              <w:rPr>
                <w:shd w:val="clear" w:color="auto" w:fill="8EAADB" w:themeFill="accent1" w:themeFillTint="99"/>
              </w:rPr>
              <w:t>: Based on Australian life tables adjusted to reflect increased risk due to AAV (Wallace et al. 2016), ESRD (Choi et al. 2014) and risk of infection due to GC use (Little et al. 2014 and data from ADVOCATE trial).</w:t>
            </w:r>
          </w:p>
        </w:tc>
      </w:tr>
      <w:tr w:rsidR="00DB5178" w:rsidRPr="0099114C" w14:paraId="463E33E0" w14:textId="77777777" w:rsidTr="00F910A6">
        <w:trPr>
          <w:cantSplit/>
        </w:trPr>
        <w:tc>
          <w:tcPr>
            <w:tcW w:w="1396" w:type="pct"/>
            <w:shd w:val="clear" w:color="auto" w:fill="auto"/>
            <w:vAlign w:val="center"/>
          </w:tcPr>
          <w:p w14:paraId="69751701" w14:textId="77777777" w:rsidR="00DB5178" w:rsidRPr="0099114C" w:rsidRDefault="00DB5178" w:rsidP="00F910A6">
            <w:pPr>
              <w:pStyle w:val="TableText"/>
              <w:keepNext w:val="0"/>
            </w:pPr>
            <w:r w:rsidRPr="0099114C">
              <w:t>Extrapolation method</w:t>
            </w:r>
          </w:p>
        </w:tc>
        <w:tc>
          <w:tcPr>
            <w:tcW w:w="3604" w:type="pct"/>
            <w:shd w:val="clear" w:color="auto" w:fill="auto"/>
            <w:vAlign w:val="center"/>
          </w:tcPr>
          <w:p w14:paraId="5AB3FEAE" w14:textId="67D73CF9" w:rsidR="00DB5178" w:rsidRPr="0099114C" w:rsidRDefault="00DB5178" w:rsidP="00F910A6">
            <w:pPr>
              <w:pStyle w:val="TableText"/>
              <w:keepNext w:val="0"/>
            </w:pPr>
            <w:r w:rsidRPr="0099114C">
              <w:t xml:space="preserve">Treatment effect for avacopan was assumed to wane linearly to match the GC + SOC arm after 26 weeks of cessation of avacopan treatment. </w:t>
            </w:r>
          </w:p>
        </w:tc>
      </w:tr>
      <w:tr w:rsidR="00DB5178" w:rsidRPr="0099114C" w14:paraId="27441ED5" w14:textId="77777777" w:rsidTr="00F910A6">
        <w:trPr>
          <w:cantSplit/>
        </w:trPr>
        <w:tc>
          <w:tcPr>
            <w:tcW w:w="1396" w:type="pct"/>
            <w:shd w:val="clear" w:color="auto" w:fill="auto"/>
            <w:vAlign w:val="center"/>
          </w:tcPr>
          <w:p w14:paraId="5B58E9F8" w14:textId="77777777" w:rsidR="00DB5178" w:rsidRPr="0099114C" w:rsidRDefault="00DB5178" w:rsidP="00F910A6">
            <w:pPr>
              <w:pStyle w:val="TableText"/>
              <w:keepNext w:val="0"/>
            </w:pPr>
            <w:r w:rsidRPr="0099114C">
              <w:lastRenderedPageBreak/>
              <w:t>Health related quality of life</w:t>
            </w:r>
          </w:p>
        </w:tc>
        <w:tc>
          <w:tcPr>
            <w:tcW w:w="3604" w:type="pct"/>
            <w:shd w:val="clear" w:color="auto" w:fill="auto"/>
            <w:vAlign w:val="center"/>
          </w:tcPr>
          <w:p w14:paraId="7D14C7E0" w14:textId="6F6403F2" w:rsidR="00DB5178" w:rsidRPr="0099114C" w:rsidRDefault="00DB5178" w:rsidP="00F910A6">
            <w:pPr>
              <w:pStyle w:val="TableText"/>
              <w:keepNext w:val="0"/>
            </w:pPr>
            <w:r w:rsidRPr="0099114C">
              <w:t>Health state utility values for the following health states were sourced from the ADVOCATE trial: Active disease = 0.819, Remission = 0.881, Relapse = 0.810.</w:t>
            </w:r>
            <w:r w:rsidR="00A36E53" w:rsidRPr="0099114C">
              <w:t xml:space="preserve"> These have been updated from the previous model: Active disease = 0.702, Remission = 0.778, Relapse = 0.698.</w:t>
            </w:r>
          </w:p>
          <w:p w14:paraId="2144D516" w14:textId="77777777" w:rsidR="00DB5178" w:rsidRPr="0099114C" w:rsidRDefault="00DB5178" w:rsidP="00F910A6">
            <w:pPr>
              <w:pStyle w:val="TableText"/>
              <w:keepNext w:val="0"/>
            </w:pPr>
          </w:p>
          <w:p w14:paraId="23C07B99" w14:textId="77777777" w:rsidR="00BC6C95" w:rsidRPr="0099114C" w:rsidRDefault="00DB5178" w:rsidP="00F910A6">
            <w:pPr>
              <w:pStyle w:val="TableText"/>
              <w:keepNext w:val="0"/>
              <w:shd w:val="clear" w:color="auto" w:fill="8EAADB" w:themeFill="accent1" w:themeFillTint="99"/>
            </w:pPr>
            <w:r w:rsidRPr="0099114C">
              <w:t>For the ESRD health state, the following utility values were applied: Dialysis = 0.458 (</w:t>
            </w:r>
            <w:r w:rsidR="00E17F5A" w:rsidRPr="0099114C">
              <w:t>resubmission’s</w:t>
            </w:r>
            <w:r w:rsidRPr="0099114C">
              <w:t xml:space="preserve"> own calculations based on weighted average for dialysis based on utility values for peritoneal dialysis and haemodialysis from NICE 2020 HTA assessment of patiromer for treating hyperkalaemia and proportion of patients for each dialysis type from ANZDATA Annual Report 2021), Transplant = 0.712 (NICE 2020 HTA assessment of patiromer for treating hyperkalaemia)</w:t>
            </w:r>
            <w:r w:rsidR="00BC6C95" w:rsidRPr="0099114C">
              <w:t>.</w:t>
            </w:r>
          </w:p>
          <w:p w14:paraId="1CE7B7AE" w14:textId="77777777" w:rsidR="00F664A0" w:rsidRPr="0099114C" w:rsidRDefault="00F664A0" w:rsidP="00F910A6">
            <w:pPr>
              <w:pStyle w:val="TableText"/>
              <w:keepNext w:val="0"/>
              <w:shd w:val="clear" w:color="auto" w:fill="8EAADB" w:themeFill="accent1" w:themeFillTint="99"/>
            </w:pPr>
          </w:p>
          <w:p w14:paraId="68AF7871" w14:textId="2B5C3CCF" w:rsidR="00DB5178" w:rsidRPr="0099114C" w:rsidRDefault="00BC6C95" w:rsidP="00F910A6">
            <w:pPr>
              <w:pStyle w:val="TableText"/>
              <w:keepNext w:val="0"/>
            </w:pPr>
            <w:r w:rsidRPr="0099114C">
              <w:t xml:space="preserve">The ESC noted that </w:t>
            </w:r>
            <w:r w:rsidR="00A36E53" w:rsidRPr="0099114C">
              <w:t xml:space="preserve">the </w:t>
            </w:r>
            <w:r w:rsidRPr="0099114C">
              <w:t xml:space="preserve">utility value </w:t>
            </w:r>
            <w:r w:rsidR="00A36E53" w:rsidRPr="0099114C">
              <w:t xml:space="preserve">for the relapse health state </w:t>
            </w:r>
            <w:r w:rsidR="00F664A0" w:rsidRPr="0099114C">
              <w:t xml:space="preserve">had </w:t>
            </w:r>
            <w:r w:rsidR="00A36E53" w:rsidRPr="0099114C">
              <w:t>previously aligned with</w:t>
            </w:r>
            <w:r w:rsidRPr="0099114C">
              <w:t xml:space="preserve"> c</w:t>
            </w:r>
            <w:r w:rsidR="00DB5178" w:rsidRPr="0099114C">
              <w:t xml:space="preserve">onservative management </w:t>
            </w:r>
            <w:r w:rsidR="00A36E53" w:rsidRPr="0099114C">
              <w:t>of ESRD which has a utility of 0.696</w:t>
            </w:r>
            <w:r w:rsidR="00DB5178" w:rsidRPr="0099114C">
              <w:t xml:space="preserve">. </w:t>
            </w:r>
            <w:r w:rsidR="00DD38CA" w:rsidRPr="0099114C">
              <w:t>The u</w:t>
            </w:r>
            <w:r w:rsidR="00A36E53" w:rsidRPr="0099114C">
              <w:t>pdated relapse health state utility is now much higher at 0.810.</w:t>
            </w:r>
          </w:p>
          <w:p w14:paraId="2EAC83E2" w14:textId="77777777" w:rsidR="00DB5178" w:rsidRPr="0099114C" w:rsidRDefault="00DB5178" w:rsidP="00F910A6">
            <w:pPr>
              <w:pStyle w:val="TableText"/>
              <w:keepNext w:val="0"/>
            </w:pPr>
          </w:p>
          <w:p w14:paraId="2B4C401B" w14:textId="77777777" w:rsidR="00DB5178" w:rsidRPr="0099114C" w:rsidRDefault="00DB5178" w:rsidP="00F910A6">
            <w:pPr>
              <w:pStyle w:val="TableText"/>
              <w:keepNext w:val="0"/>
            </w:pPr>
            <w:r w:rsidRPr="0099114C">
              <w:t>Decrement due to GC related infection = -0.2, based on utility decrements associated with lower respiratory infections associated with hospitalisations (Rothberg et al. 2003 and Chit et al. 2015)</w:t>
            </w:r>
          </w:p>
        </w:tc>
      </w:tr>
      <w:tr w:rsidR="00D51353" w:rsidRPr="0099114C" w14:paraId="74451E13" w14:textId="77777777" w:rsidTr="00F910A6">
        <w:trPr>
          <w:cantSplit/>
        </w:trPr>
        <w:tc>
          <w:tcPr>
            <w:tcW w:w="1396" w:type="pct"/>
            <w:shd w:val="clear" w:color="auto" w:fill="auto"/>
            <w:vAlign w:val="center"/>
          </w:tcPr>
          <w:p w14:paraId="672DB272" w14:textId="4DF7F264" w:rsidR="00D51353" w:rsidRPr="0099114C" w:rsidRDefault="005F16C6" w:rsidP="00F910A6">
            <w:pPr>
              <w:pStyle w:val="TableText"/>
              <w:keepNext w:val="0"/>
            </w:pPr>
            <w:r w:rsidRPr="0099114C">
              <w:t>Costs</w:t>
            </w:r>
          </w:p>
        </w:tc>
        <w:tc>
          <w:tcPr>
            <w:tcW w:w="3604" w:type="pct"/>
            <w:shd w:val="clear" w:color="auto" w:fill="auto"/>
            <w:vAlign w:val="center"/>
          </w:tcPr>
          <w:p w14:paraId="5F239CD9" w14:textId="523C4081" w:rsidR="00D51353" w:rsidRPr="0099114C" w:rsidRDefault="005F16C6" w:rsidP="00F910A6">
            <w:pPr>
              <w:pStyle w:val="TableText"/>
              <w:keepNext w:val="0"/>
            </w:pPr>
            <w:r w:rsidRPr="00857B0D">
              <w:t xml:space="preserve">The model incorporated costs related to induction and maintenance therapies, monitoring of the disease, and hospitalisation and clinic visits to cover serious adverse events. No changes were made in the way costs were applied in the </w:t>
            </w:r>
            <w:proofErr w:type="gramStart"/>
            <w:r w:rsidRPr="00857B0D">
              <w:t>model</w:t>
            </w:r>
            <w:proofErr w:type="gramEnd"/>
            <w:r w:rsidRPr="00857B0D">
              <w:t xml:space="preserve"> but values were revised as described in </w:t>
            </w:r>
            <w:r w:rsidR="00636A2A" w:rsidRPr="00857B0D">
              <w:t>paragraph</w:t>
            </w:r>
            <w:r w:rsidR="00F83323" w:rsidRPr="00857B0D">
              <w:t xml:space="preserve"> </w:t>
            </w:r>
            <w:r w:rsidR="00F83323" w:rsidRPr="00857B0D">
              <w:fldChar w:fldCharType="begin" w:fldLock="1"/>
            </w:r>
            <w:r w:rsidR="00F83323" w:rsidRPr="00857B0D">
              <w:instrText xml:space="preserve"> REF _Ref155699633 \r \h </w:instrText>
            </w:r>
            <w:r w:rsidR="003C1D5F" w:rsidRPr="00857B0D">
              <w:instrText xml:space="preserve"> \* MERGEFORMAT </w:instrText>
            </w:r>
            <w:r w:rsidR="00F83323" w:rsidRPr="00857B0D">
              <w:fldChar w:fldCharType="separate"/>
            </w:r>
            <w:r w:rsidR="004936A1" w:rsidRPr="00857B0D">
              <w:t>6.75</w:t>
            </w:r>
            <w:r w:rsidR="00F83323" w:rsidRPr="00857B0D">
              <w:fldChar w:fldCharType="end"/>
            </w:r>
            <w:r w:rsidR="00636A2A" w:rsidRPr="00857B0D">
              <w:t>.</w:t>
            </w:r>
          </w:p>
        </w:tc>
      </w:tr>
    </w:tbl>
    <w:p w14:paraId="7B5F8EBE" w14:textId="77777777" w:rsidR="00DB5178" w:rsidRPr="0099114C" w:rsidRDefault="00DB5178" w:rsidP="00DB5178">
      <w:pPr>
        <w:pStyle w:val="FooterTableFigure"/>
      </w:pPr>
      <w:r w:rsidRPr="0099114C">
        <w:t>Source: Tables3-1, 3-2. 3-3 &amp; 3-13 of the resubmission</w:t>
      </w:r>
    </w:p>
    <w:p w14:paraId="1BF40629" w14:textId="4FD6C7F6" w:rsidR="00DB5178" w:rsidRPr="0099114C" w:rsidRDefault="00DB5178" w:rsidP="00DB5178">
      <w:pPr>
        <w:pStyle w:val="FooterTableFigure"/>
      </w:pPr>
      <w:r w:rsidRPr="0099114C">
        <w:t xml:space="preserve">Abbreviations: AAV, ANCA associated vasculitis; AVA, anca-associated vasculitis; </w:t>
      </w:r>
      <w:r w:rsidR="00EA7AD7" w:rsidRPr="0099114C">
        <w:t>CYC</w:t>
      </w:r>
      <w:r w:rsidR="00257C9A" w:rsidRPr="0099114C">
        <w:t>,</w:t>
      </w:r>
      <w:r w:rsidR="00610140" w:rsidRPr="0099114C">
        <w:t xml:space="preserve"> cyclophosphamide;</w:t>
      </w:r>
      <w:r w:rsidR="00340ADD" w:rsidRPr="0099114C">
        <w:t xml:space="preserve"> DRG, </w:t>
      </w:r>
      <w:r w:rsidR="0097352B" w:rsidRPr="0099114C">
        <w:t>Diagnosis</w:t>
      </w:r>
      <w:r w:rsidR="00340ADD" w:rsidRPr="0099114C">
        <w:t xml:space="preserve"> related group;</w:t>
      </w:r>
      <w:r w:rsidR="00257C9A" w:rsidRPr="0099114C">
        <w:t xml:space="preserve"> </w:t>
      </w:r>
      <w:r w:rsidRPr="0099114C">
        <w:t xml:space="preserve">eGFR, estimated glomerular filtration rate; ESRD, end-stage renal disease; GC, glucocorticoids; HR, hazard ratio; </w:t>
      </w:r>
      <w:r w:rsidR="005D1B73" w:rsidRPr="0099114C">
        <w:t xml:space="preserve">HTA, Health Technology Assessment; </w:t>
      </w:r>
      <w:r w:rsidR="00797F3E" w:rsidRPr="0099114C">
        <w:t xml:space="preserve">ICER, Incremental </w:t>
      </w:r>
      <w:r w:rsidR="007B793B" w:rsidRPr="0099114C">
        <w:t>c</w:t>
      </w:r>
      <w:r w:rsidR="00797F3E" w:rsidRPr="0099114C">
        <w:t>ost</w:t>
      </w:r>
      <w:r w:rsidR="007B793B" w:rsidRPr="0099114C">
        <w:t>-e</w:t>
      </w:r>
      <w:r w:rsidR="00797F3E" w:rsidRPr="0099114C">
        <w:t xml:space="preserve">ffectiveness </w:t>
      </w:r>
      <w:r w:rsidR="007B793B" w:rsidRPr="0099114C">
        <w:t>r</w:t>
      </w:r>
      <w:r w:rsidR="00797F3E" w:rsidRPr="0099114C">
        <w:t xml:space="preserve">atio; </w:t>
      </w:r>
      <w:r w:rsidR="005276B3" w:rsidRPr="0099114C">
        <w:t xml:space="preserve">IV, Intravenous; </w:t>
      </w:r>
      <w:r w:rsidR="00675EB3" w:rsidRPr="0099114C">
        <w:t xml:space="preserve">IVIg, intravenous immune globulin; MBS, </w:t>
      </w:r>
      <w:r w:rsidR="0097352B" w:rsidRPr="0099114C">
        <w:t>Medicare</w:t>
      </w:r>
      <w:r w:rsidR="00675EB3" w:rsidRPr="0099114C">
        <w:t xml:space="preserve"> Benefits Schedule; </w:t>
      </w:r>
      <w:r w:rsidR="002D68F0" w:rsidRPr="0099114C">
        <w:t>NBA, National Blood Authority;</w:t>
      </w:r>
      <w:r w:rsidR="00675EB3" w:rsidRPr="0099114C">
        <w:t xml:space="preserve"> </w:t>
      </w:r>
      <w:r w:rsidR="004D368E" w:rsidRPr="0099114C">
        <w:t>NICE</w:t>
      </w:r>
      <w:r w:rsidR="00FC6D55" w:rsidRPr="0099114C">
        <w:t>, National Institute for Health and Care Excellence</w:t>
      </w:r>
      <w:r w:rsidR="00465891" w:rsidRPr="0099114C">
        <w:t xml:space="preserve">; </w:t>
      </w:r>
      <w:r w:rsidRPr="0099114C">
        <w:t xml:space="preserve">PBAC, Pharmaceutical Benefits Advisory Committee; </w:t>
      </w:r>
      <w:r w:rsidR="005276B3" w:rsidRPr="0099114C">
        <w:t xml:space="preserve">PBS, pharmaceutical Benefits Scheme; </w:t>
      </w:r>
      <w:r w:rsidR="00A30FF0" w:rsidRPr="0099114C">
        <w:t xml:space="preserve">QALYS, quality-adjusted life year; </w:t>
      </w:r>
      <w:r w:rsidR="009A7641" w:rsidRPr="0099114C">
        <w:t xml:space="preserve">RTX. Rituximab; </w:t>
      </w:r>
      <w:r w:rsidR="009C4ECD" w:rsidRPr="0099114C">
        <w:t>SOC</w:t>
      </w:r>
      <w:r w:rsidRPr="0099114C">
        <w:t>, Standard of Care</w:t>
      </w:r>
    </w:p>
    <w:p w14:paraId="56B60662" w14:textId="18D0075A" w:rsidR="00DB5178" w:rsidRPr="000D15F9" w:rsidRDefault="00DB5178" w:rsidP="00DB5178">
      <w:pPr>
        <w:pStyle w:val="FooterTableFigure"/>
        <w:rPr>
          <w:color w:val="000000"/>
          <w:szCs w:val="18"/>
          <w:shd w:val="clear" w:color="auto" w:fill="FFFFFF"/>
        </w:rPr>
      </w:pPr>
      <w:r w:rsidRPr="0099114C">
        <w:rPr>
          <w:rStyle w:val="normaltextrun"/>
          <w:color w:val="000000"/>
          <w:szCs w:val="18"/>
          <w:shd w:val="clear" w:color="auto" w:fill="8EAADB" w:themeFill="accent1" w:themeFillTint="99"/>
        </w:rPr>
        <w:t>Blue Shading</w:t>
      </w:r>
      <w:r w:rsidRPr="0099114C">
        <w:rPr>
          <w:rStyle w:val="normaltextrun"/>
          <w:color w:val="000000"/>
          <w:szCs w:val="18"/>
          <w:shd w:val="clear" w:color="auto" w:fill="FFFFFF"/>
        </w:rPr>
        <w:t xml:space="preserve"> indicates data previously seen by the PBAC</w:t>
      </w:r>
    </w:p>
    <w:p w14:paraId="201FC322" w14:textId="232B1639" w:rsidR="00DB5178" w:rsidRPr="0099114C" w:rsidRDefault="00DB5178" w:rsidP="00DB5178">
      <w:pPr>
        <w:pStyle w:val="3-BodyText"/>
      </w:pPr>
      <w:r w:rsidRPr="00857B0D">
        <w:rPr>
          <w:lang w:eastAsia="en-GB"/>
        </w:rPr>
        <w:t xml:space="preserve">Newly diagnosed patients or relapsing patients enter the model in the Active disease health state, where they receive a first course of induction therapy. </w:t>
      </w:r>
      <w:r w:rsidRPr="0099114C">
        <w:t>Depending on response to treatment, patients either move to Remission or Relapse health states. Patients in the Relapse health state can receive 1 subsequent induction and can either remain in Relapse (considered to have refractory disease) or move into the Remission health state. Patients can develop ESRD at any stage of the disease and stay in the ESRD health state until death or end of the time horizon. Patients can transition into the Death health state from any health state, depending on the background mortality applied.</w:t>
      </w:r>
    </w:p>
    <w:p w14:paraId="7D8DA78B" w14:textId="238FD932" w:rsidR="00DB5178" w:rsidRPr="0099114C" w:rsidRDefault="00DB5178" w:rsidP="00DB5178">
      <w:pPr>
        <w:pStyle w:val="3-BodyText"/>
      </w:pPr>
      <w:r w:rsidRPr="0099114C">
        <w:t xml:space="preserve">The model presented in the resubmission maintains the claim of clinical superiority of avacopan for achieving and maintaining remission as well as reducing the risk of developing end-stage renal disease (ESRD), compared to </w:t>
      </w:r>
      <w:r w:rsidR="00B22C98" w:rsidRPr="0099114C">
        <w:t xml:space="preserve">GCs </w:t>
      </w:r>
      <w:r w:rsidRPr="0099114C">
        <w:t xml:space="preserve">+ </w:t>
      </w:r>
      <w:r w:rsidR="009C4ECD" w:rsidRPr="0099114C">
        <w:t>SOC</w:t>
      </w:r>
      <w:r w:rsidRPr="0099114C">
        <w:t>. This difference is maintained throughout the time horizon of the model</w:t>
      </w:r>
      <w:r w:rsidR="00DD38CA" w:rsidRPr="0099114C">
        <w:t>.</w:t>
      </w:r>
      <w:r w:rsidRPr="0099114C">
        <w:t xml:space="preserve"> </w:t>
      </w:r>
    </w:p>
    <w:p w14:paraId="55FF0B0C" w14:textId="3B298DF9" w:rsidR="0014770D" w:rsidRPr="0099114C" w:rsidRDefault="00DB5178">
      <w:pPr>
        <w:pStyle w:val="3-BodyText"/>
      </w:pPr>
      <w:r w:rsidRPr="0099114C">
        <w:t>The resubmission included a</w:t>
      </w:r>
      <w:r w:rsidR="00B233C7" w:rsidRPr="0099114C">
        <w:t xml:space="preserve"> revised </w:t>
      </w:r>
      <w:r w:rsidRPr="0099114C">
        <w:t xml:space="preserve">treatment scenario where patients who received rituximab for induction therapy (50% of the cohort) continued to receive rituximab for maintenance therapy for </w:t>
      </w:r>
      <w:r w:rsidR="00DD38A8" w:rsidRPr="0099114C">
        <w:t>W</w:t>
      </w:r>
      <w:r w:rsidRPr="0099114C">
        <w:t>eeks 26</w:t>
      </w:r>
      <w:r w:rsidR="00DD38A8" w:rsidRPr="0099114C">
        <w:t xml:space="preserve"> to 5</w:t>
      </w:r>
      <w:r w:rsidRPr="0099114C">
        <w:t xml:space="preserve">2. </w:t>
      </w:r>
      <w:r w:rsidR="0014770D" w:rsidRPr="00857B0D">
        <w:t xml:space="preserve">The </w:t>
      </w:r>
      <w:r w:rsidR="0014770D" w:rsidRPr="00857B0D">
        <w:rPr>
          <w:lang w:eastAsia="en-GB"/>
        </w:rPr>
        <w:t>resubmission noted that the use of rituximab for maintenance therapy resulted in a lower rate of relapse</w:t>
      </w:r>
      <w:r w:rsidR="005E3497" w:rsidRPr="00857B0D">
        <w:rPr>
          <w:lang w:eastAsia="en-GB"/>
        </w:rPr>
        <w:t xml:space="preserve">, resulting in a smaller </w:t>
      </w:r>
      <w:r w:rsidR="0014770D" w:rsidRPr="00857B0D">
        <w:rPr>
          <w:lang w:eastAsia="en-GB"/>
        </w:rPr>
        <w:t xml:space="preserve">difference </w:t>
      </w:r>
      <w:r w:rsidR="005E3497" w:rsidRPr="00857B0D">
        <w:rPr>
          <w:lang w:eastAsia="en-GB"/>
        </w:rPr>
        <w:t xml:space="preserve">in remission </w:t>
      </w:r>
      <w:r w:rsidR="0014770D" w:rsidRPr="00857B0D">
        <w:rPr>
          <w:lang w:eastAsia="en-GB"/>
        </w:rPr>
        <w:t xml:space="preserve">between the </w:t>
      </w:r>
      <w:r w:rsidR="005E3497" w:rsidRPr="00857B0D">
        <w:rPr>
          <w:lang w:eastAsia="en-GB"/>
        </w:rPr>
        <w:t xml:space="preserve">treatment </w:t>
      </w:r>
      <w:r w:rsidR="0014770D" w:rsidRPr="00857B0D">
        <w:rPr>
          <w:lang w:eastAsia="en-GB"/>
        </w:rPr>
        <w:t xml:space="preserve">arms </w:t>
      </w:r>
      <w:r w:rsidR="005E3497" w:rsidRPr="00857B0D">
        <w:rPr>
          <w:lang w:eastAsia="en-GB"/>
        </w:rPr>
        <w:t>and</w:t>
      </w:r>
      <w:r w:rsidR="0014770D" w:rsidRPr="00857B0D">
        <w:rPr>
          <w:lang w:eastAsia="en-GB"/>
        </w:rPr>
        <w:t xml:space="preserve"> an increased ICER. </w:t>
      </w:r>
      <w:bookmarkStart w:id="68" w:name="_Ref155701015"/>
    </w:p>
    <w:p w14:paraId="3EBFF884" w14:textId="4EE5C56F" w:rsidR="00DB5178" w:rsidRPr="0099114C" w:rsidRDefault="009416F8">
      <w:pPr>
        <w:pStyle w:val="3-BodyText"/>
      </w:pPr>
      <w:bookmarkStart w:id="69" w:name="_Ref161829141"/>
      <w:bookmarkEnd w:id="68"/>
      <w:r w:rsidRPr="0099114C">
        <w:lastRenderedPageBreak/>
        <w:t xml:space="preserve">The proportion of patients on concomitant treatment with </w:t>
      </w:r>
      <w:r w:rsidR="00CF33AD" w:rsidRPr="0099114C">
        <w:t>rituximab</w:t>
      </w:r>
      <w:r w:rsidRPr="0099114C">
        <w:t xml:space="preserve"> (50%) and </w:t>
      </w:r>
      <w:r w:rsidR="00CF33AD" w:rsidRPr="0099114C">
        <w:t>cyclophosphamide</w:t>
      </w:r>
      <w:r w:rsidRPr="0099114C">
        <w:t xml:space="preserve"> (50%) was based on a treatment survey conducted by </w:t>
      </w:r>
      <w:r w:rsidRPr="00857B0D">
        <w:t xml:space="preserve">Australian and New Zealand Vasculitis Society </w:t>
      </w:r>
      <w:r w:rsidRPr="0099114C">
        <w:t xml:space="preserve">(ANZVASC). </w:t>
      </w:r>
      <w:r w:rsidRPr="00857B0D">
        <w:t xml:space="preserve">Although the 50:50 split is more conservative than </w:t>
      </w:r>
      <w:r w:rsidR="00DB5178" w:rsidRPr="00857B0D">
        <w:t>the 57</w:t>
      </w:r>
      <w:r w:rsidR="0085484F" w:rsidRPr="00857B0D">
        <w:t>% cyclophosphamide</w:t>
      </w:r>
      <w:r w:rsidR="003E2506" w:rsidRPr="00857B0D">
        <w:t xml:space="preserve"> and </w:t>
      </w:r>
      <w:r w:rsidR="00DB5178" w:rsidRPr="00857B0D">
        <w:t>43</w:t>
      </w:r>
      <w:r w:rsidR="00B247FB" w:rsidRPr="00857B0D">
        <w:t>%</w:t>
      </w:r>
      <w:r w:rsidR="003E2506" w:rsidRPr="00857B0D">
        <w:t xml:space="preserve"> rituximab</w:t>
      </w:r>
      <w:r w:rsidR="00DB5178" w:rsidRPr="00857B0D">
        <w:t xml:space="preserve"> split </w:t>
      </w:r>
      <w:r w:rsidR="00DE0C1E" w:rsidRPr="00857B0D">
        <w:t>as presented in the survey</w:t>
      </w:r>
      <w:r w:rsidR="00BA44F0" w:rsidRPr="00857B0D">
        <w:t xml:space="preserve"> (based on Clinical Scenario 1</w:t>
      </w:r>
      <w:r w:rsidR="00BA44F0" w:rsidRPr="00857B0D">
        <w:rPr>
          <w:rStyle w:val="FootnoteReference"/>
          <w:lang w:eastAsia="en-GB"/>
        </w:rPr>
        <w:footnoteReference w:id="10"/>
      </w:r>
      <w:r w:rsidR="00BA44F0" w:rsidRPr="00857B0D">
        <w:t>)</w:t>
      </w:r>
      <w:r w:rsidR="0014770D" w:rsidRPr="00857B0D">
        <w:rPr>
          <w:lang w:eastAsia="en-GB"/>
        </w:rPr>
        <w:t>, it is uncertain, given that rituximab is now recommended in the EULAR Guidelines for maintenance therapy, is unrestricted on the PBS and appears to be more efficacious, whether the assumption will hold into the future. The ICER was sensitive to variations in the proportion of rituximab therapy</w:t>
      </w:r>
      <w:r w:rsidR="00527836" w:rsidRPr="00857B0D">
        <w:rPr>
          <w:lang w:eastAsia="en-GB"/>
        </w:rPr>
        <w:t xml:space="preserve"> (see </w:t>
      </w:r>
      <w:r w:rsidR="00527836" w:rsidRPr="00857B0D">
        <w:rPr>
          <w:lang w:eastAsia="en-GB"/>
        </w:rPr>
        <w:fldChar w:fldCharType="begin" w:fldLock="1"/>
      </w:r>
      <w:r w:rsidR="00527836" w:rsidRPr="00857B0D">
        <w:rPr>
          <w:lang w:eastAsia="en-GB"/>
        </w:rPr>
        <w:instrText xml:space="preserve"> REF _Ref153180010 \h </w:instrText>
      </w:r>
      <w:r w:rsidR="003E4713" w:rsidRPr="00857B0D">
        <w:rPr>
          <w:lang w:eastAsia="en-GB"/>
        </w:rPr>
        <w:instrText xml:space="preserve"> \* MERGEFORMAT </w:instrText>
      </w:r>
      <w:r w:rsidR="00527836" w:rsidRPr="00857B0D">
        <w:rPr>
          <w:lang w:eastAsia="en-GB"/>
        </w:rPr>
      </w:r>
      <w:r w:rsidR="00527836" w:rsidRPr="00857B0D">
        <w:rPr>
          <w:lang w:eastAsia="en-GB"/>
        </w:rPr>
        <w:fldChar w:fldCharType="separate"/>
      </w:r>
      <w:r w:rsidR="00A04368" w:rsidRPr="0099114C">
        <w:t xml:space="preserve">Table </w:t>
      </w:r>
      <w:r w:rsidR="00A04368" w:rsidRPr="00857B0D">
        <w:t>14</w:t>
      </w:r>
      <w:r w:rsidR="00527836" w:rsidRPr="00857B0D">
        <w:rPr>
          <w:lang w:eastAsia="en-GB"/>
        </w:rPr>
        <w:fldChar w:fldCharType="end"/>
      </w:r>
      <w:r w:rsidR="00527836" w:rsidRPr="00857B0D">
        <w:rPr>
          <w:lang w:eastAsia="en-GB"/>
        </w:rPr>
        <w:t xml:space="preserve">). </w:t>
      </w:r>
      <w:r w:rsidR="00DB5178" w:rsidRPr="00857B0D">
        <w:rPr>
          <w:lang w:eastAsia="en-GB"/>
        </w:rPr>
        <w:t>The previous submission did not consider rituximab as a maintenance therapy in the base case.</w:t>
      </w:r>
      <w:r w:rsidR="00870933" w:rsidRPr="00857B0D">
        <w:rPr>
          <w:lang w:eastAsia="en-GB"/>
        </w:rPr>
        <w:t xml:space="preserve"> </w:t>
      </w:r>
      <w:r w:rsidR="00527836" w:rsidRPr="00857B0D">
        <w:rPr>
          <w:lang w:eastAsia="en-GB"/>
        </w:rPr>
        <w:t xml:space="preserve">The </w:t>
      </w:r>
      <w:r w:rsidR="00267E11" w:rsidRPr="00857B0D">
        <w:rPr>
          <w:lang w:eastAsia="en-GB"/>
        </w:rPr>
        <w:t xml:space="preserve">ESC noted the </w:t>
      </w:r>
      <w:r w:rsidR="00BD4145" w:rsidRPr="00857B0D">
        <w:rPr>
          <w:lang w:eastAsia="en-GB"/>
        </w:rPr>
        <w:t>treatment split reported in the ANZVASC treatment survey varied depending on the clinical scenario</w:t>
      </w:r>
      <w:r w:rsidR="007A32F7" w:rsidRPr="00857B0D">
        <w:rPr>
          <w:lang w:eastAsia="en-GB"/>
        </w:rPr>
        <w:t xml:space="preserve">. </w:t>
      </w:r>
      <w:r w:rsidR="00267E11" w:rsidRPr="00857B0D">
        <w:rPr>
          <w:lang w:eastAsia="en-GB"/>
        </w:rPr>
        <w:t>R</w:t>
      </w:r>
      <w:r w:rsidR="00BD4145" w:rsidRPr="00857B0D">
        <w:rPr>
          <w:lang w:eastAsia="en-GB"/>
        </w:rPr>
        <w:t xml:space="preserve">ituximab </w:t>
      </w:r>
      <w:r w:rsidR="007A32F7" w:rsidRPr="00857B0D">
        <w:rPr>
          <w:lang w:eastAsia="en-GB"/>
        </w:rPr>
        <w:t xml:space="preserve">was </w:t>
      </w:r>
      <w:r w:rsidR="00BD4145" w:rsidRPr="00857B0D">
        <w:rPr>
          <w:lang w:eastAsia="en-GB"/>
        </w:rPr>
        <w:t>preferred by 86% of respondents if the scenario was varied from a 65 year old</w:t>
      </w:r>
      <w:r w:rsidR="00BA44F0" w:rsidRPr="00857B0D">
        <w:rPr>
          <w:lang w:eastAsia="en-GB"/>
        </w:rPr>
        <w:t xml:space="preserve"> (as reported in Clinical Scenario 1)</w:t>
      </w:r>
      <w:r w:rsidR="00BD4145" w:rsidRPr="00857B0D">
        <w:rPr>
          <w:lang w:eastAsia="en-GB"/>
        </w:rPr>
        <w:t xml:space="preserve"> to a 35 year old patient. When the scenario was changed </w:t>
      </w:r>
      <w:r w:rsidR="00BA44F0" w:rsidRPr="00857B0D">
        <w:rPr>
          <w:lang w:eastAsia="en-GB"/>
        </w:rPr>
        <w:t xml:space="preserve">to the patient being 75 years old, with a diagnosis of localised breast cancer four years prior, 69% of respondents indicated they would preferentially use rituximab compared to cyclophosphamide. </w:t>
      </w:r>
      <w:r w:rsidR="007A32F7" w:rsidRPr="00857B0D">
        <w:rPr>
          <w:lang w:eastAsia="en-GB"/>
        </w:rPr>
        <w:t xml:space="preserve">In addition, </w:t>
      </w:r>
      <w:r w:rsidR="00267E11" w:rsidRPr="00857B0D">
        <w:rPr>
          <w:lang w:eastAsia="en-GB"/>
        </w:rPr>
        <w:t xml:space="preserve">the ESC noted </w:t>
      </w:r>
      <w:r w:rsidR="00BC5F42" w:rsidRPr="00857B0D">
        <w:rPr>
          <w:lang w:eastAsia="en-GB"/>
        </w:rPr>
        <w:t>16% of the 55 respondents to the ANZVASC treatment survey were from New Zealand</w:t>
      </w:r>
      <w:r w:rsidR="007A32F7" w:rsidRPr="00857B0D">
        <w:rPr>
          <w:lang w:eastAsia="en-GB"/>
        </w:rPr>
        <w:t xml:space="preserve"> where access to rituximab was more difficult than access in Australia. The ESC considered that difficulties in accessing rituximab may have resulted in lower </w:t>
      </w:r>
      <w:r w:rsidR="00F51ADA" w:rsidRPr="00857B0D">
        <w:rPr>
          <w:lang w:eastAsia="en-GB"/>
        </w:rPr>
        <w:t xml:space="preserve">reported </w:t>
      </w:r>
      <w:r w:rsidR="007A32F7" w:rsidRPr="00857B0D">
        <w:rPr>
          <w:lang w:eastAsia="en-GB"/>
        </w:rPr>
        <w:t xml:space="preserve">use of rituximab in the responses from New Zealand participants. </w:t>
      </w:r>
      <w:r w:rsidR="00704001" w:rsidRPr="00857B0D">
        <w:rPr>
          <w:lang w:eastAsia="en-GB"/>
        </w:rPr>
        <w:t>Noting these considerations</w:t>
      </w:r>
      <w:r w:rsidR="00F51ADA" w:rsidRPr="00857B0D">
        <w:rPr>
          <w:lang w:eastAsia="en-GB"/>
        </w:rPr>
        <w:t xml:space="preserve"> </w:t>
      </w:r>
      <w:r w:rsidR="00704001" w:rsidRPr="00857B0D">
        <w:rPr>
          <w:lang w:eastAsia="en-GB"/>
        </w:rPr>
        <w:t xml:space="preserve">along </w:t>
      </w:r>
      <w:r w:rsidR="007A32F7" w:rsidRPr="00857B0D">
        <w:rPr>
          <w:lang w:eastAsia="en-GB"/>
        </w:rPr>
        <w:t>with guideline support for use and an unrestricted listing</w:t>
      </w:r>
      <w:r w:rsidR="00F51ADA" w:rsidRPr="00857B0D">
        <w:rPr>
          <w:lang w:eastAsia="en-GB"/>
        </w:rPr>
        <w:t>,</w:t>
      </w:r>
      <w:r w:rsidR="00BD4145" w:rsidRPr="00857B0D">
        <w:rPr>
          <w:lang w:eastAsia="en-GB"/>
        </w:rPr>
        <w:t xml:space="preserve"> </w:t>
      </w:r>
      <w:r w:rsidR="007A32F7" w:rsidRPr="00857B0D">
        <w:rPr>
          <w:lang w:eastAsia="en-GB"/>
        </w:rPr>
        <w:t>the ESC considered a 50:50 split</w:t>
      </w:r>
      <w:r w:rsidR="00267E11" w:rsidRPr="00857B0D">
        <w:rPr>
          <w:lang w:eastAsia="en-GB"/>
        </w:rPr>
        <w:t xml:space="preserve"> underestimated rituximab utilisation. The ESC considered rituximab would </w:t>
      </w:r>
      <w:r w:rsidR="00F51ADA" w:rsidRPr="00857B0D">
        <w:rPr>
          <w:lang w:eastAsia="en-GB"/>
        </w:rPr>
        <w:t xml:space="preserve">more </w:t>
      </w:r>
      <w:r w:rsidR="00267E11" w:rsidRPr="00857B0D">
        <w:rPr>
          <w:lang w:eastAsia="en-GB"/>
        </w:rPr>
        <w:t xml:space="preserve">likely be used in 70% </w:t>
      </w:r>
      <w:r w:rsidR="00586925" w:rsidRPr="00857B0D">
        <w:rPr>
          <w:lang w:eastAsia="en-GB"/>
        </w:rPr>
        <w:t>to</w:t>
      </w:r>
      <w:r w:rsidR="00267E11" w:rsidRPr="00857B0D">
        <w:rPr>
          <w:lang w:eastAsia="en-GB"/>
        </w:rPr>
        <w:t xml:space="preserve"> 90% of patients. </w:t>
      </w:r>
      <w:r w:rsidR="007A6A42" w:rsidRPr="0099114C">
        <w:rPr>
          <w:lang w:eastAsia="en-US"/>
        </w:rPr>
        <w:t>The pre-PBAC response  provided a revised base case that assumed 70% of patient receive rituximab</w:t>
      </w:r>
      <w:r w:rsidR="00EA1BB4" w:rsidRPr="0099114C">
        <w:rPr>
          <w:lang w:eastAsia="en-US"/>
        </w:rPr>
        <w:t xml:space="preserve"> </w:t>
      </w:r>
      <w:r w:rsidR="00EA1BB4" w:rsidRPr="00857B0D">
        <w:rPr>
          <w:lang w:eastAsia="en-GB"/>
        </w:rPr>
        <w:t xml:space="preserve">(see paragraph </w:t>
      </w:r>
      <w:r w:rsidR="00EA1BB4" w:rsidRPr="00857B0D">
        <w:rPr>
          <w:lang w:eastAsia="en-GB"/>
        </w:rPr>
        <w:fldChar w:fldCharType="begin" w:fldLock="1"/>
      </w:r>
      <w:r w:rsidR="00EA1BB4" w:rsidRPr="00857B0D">
        <w:rPr>
          <w:lang w:eastAsia="en-GB"/>
        </w:rPr>
        <w:instrText xml:space="preserve"> REF _Ref161910525 \r \h </w:instrText>
      </w:r>
      <w:r w:rsidR="00EA1BB4" w:rsidRPr="00857B0D">
        <w:rPr>
          <w:lang w:eastAsia="en-GB"/>
        </w:rPr>
      </w:r>
      <w:r w:rsidR="00EA1BB4" w:rsidRPr="00857B0D">
        <w:rPr>
          <w:lang w:eastAsia="en-GB"/>
        </w:rPr>
        <w:fldChar w:fldCharType="separate"/>
      </w:r>
      <w:r w:rsidR="00EA1BB4" w:rsidRPr="00857B0D">
        <w:rPr>
          <w:lang w:eastAsia="en-GB"/>
        </w:rPr>
        <w:t>6.81</w:t>
      </w:r>
      <w:r w:rsidR="00EA1BB4" w:rsidRPr="00857B0D">
        <w:rPr>
          <w:lang w:eastAsia="en-GB"/>
        </w:rPr>
        <w:fldChar w:fldCharType="end"/>
      </w:r>
      <w:r w:rsidR="00EA1BB4" w:rsidRPr="00857B0D">
        <w:rPr>
          <w:lang w:eastAsia="en-GB"/>
        </w:rPr>
        <w:t>)</w:t>
      </w:r>
      <w:r w:rsidR="007A6A42" w:rsidRPr="0099114C">
        <w:rPr>
          <w:lang w:eastAsia="en-US"/>
        </w:rPr>
        <w:t>.</w:t>
      </w:r>
      <w:bookmarkEnd w:id="69"/>
      <w:r w:rsidR="007A6A42" w:rsidRPr="0099114C">
        <w:rPr>
          <w:lang w:eastAsia="en-US"/>
        </w:rPr>
        <w:t xml:space="preserve"> </w:t>
      </w:r>
    </w:p>
    <w:p w14:paraId="348F2224" w14:textId="77777777" w:rsidR="00846BD2" w:rsidRPr="0099114C" w:rsidRDefault="00DB5178" w:rsidP="00DB5178">
      <w:pPr>
        <w:pStyle w:val="3-BodyText"/>
      </w:pPr>
      <w:r w:rsidRPr="0099114C">
        <w:t xml:space="preserve">The time horizon in the resubmission was </w:t>
      </w:r>
      <w:r w:rsidR="00AF697C" w:rsidRPr="0099114C">
        <w:t>revised</w:t>
      </w:r>
      <w:r w:rsidRPr="0099114C">
        <w:t xml:space="preserve"> from 30 years to 20 years. While this represents a reduction, the </w:t>
      </w:r>
      <w:r w:rsidR="00DD335A" w:rsidRPr="0099114C">
        <w:t>20-year</w:t>
      </w:r>
      <w:r w:rsidRPr="0099114C">
        <w:t xml:space="preserve"> time horizon still requires substantial extrapolation from the ADVOCATE trial data, which had a study duration of 52 weeks. </w:t>
      </w:r>
    </w:p>
    <w:p w14:paraId="65ADA662" w14:textId="001AEA42" w:rsidR="00DB5178" w:rsidRPr="0099114C" w:rsidRDefault="00846BD2" w:rsidP="00F918F5">
      <w:pPr>
        <w:pStyle w:val="3-BodyText"/>
        <w:rPr>
          <w:lang w:eastAsia="en-GB"/>
        </w:rPr>
      </w:pPr>
      <w:bookmarkStart w:id="70" w:name="_Ref155960043"/>
      <w:r w:rsidRPr="0099114C">
        <w:t xml:space="preserve">The </w:t>
      </w:r>
      <w:r w:rsidR="00DB5178" w:rsidRPr="0099114C">
        <w:t xml:space="preserve">resubmission </w:t>
      </w:r>
      <w:r w:rsidRPr="0099114C">
        <w:t xml:space="preserve">also </w:t>
      </w:r>
      <w:r w:rsidR="00DB5178" w:rsidRPr="0099114C">
        <w:t xml:space="preserve">reduced the </w:t>
      </w:r>
      <w:r w:rsidR="005E3497" w:rsidRPr="0099114C">
        <w:t xml:space="preserve">avacopan treatment </w:t>
      </w:r>
      <w:r w:rsidR="00DB5178" w:rsidRPr="0099114C">
        <w:t>waning period from 12</w:t>
      </w:r>
      <w:r w:rsidR="002E21D0">
        <w:t> </w:t>
      </w:r>
      <w:r w:rsidR="00DB5178" w:rsidRPr="0099114C">
        <w:t>months to 6 months</w:t>
      </w:r>
      <w:r w:rsidR="005E3497" w:rsidRPr="0099114C">
        <w:t xml:space="preserve"> follow</w:t>
      </w:r>
      <w:r w:rsidR="00E32130" w:rsidRPr="0099114C">
        <w:t>ing</w:t>
      </w:r>
      <w:r w:rsidR="005E3497" w:rsidRPr="0099114C">
        <w:t xml:space="preserve"> treatment cessation</w:t>
      </w:r>
      <w:r w:rsidR="00DB5178" w:rsidRPr="0099114C">
        <w:t xml:space="preserve">. </w:t>
      </w:r>
      <w:bookmarkEnd w:id="70"/>
      <w:r w:rsidR="007A6A42" w:rsidRPr="0099114C">
        <w:t>The pre-PBAC response acknowledged the uncertainty in the duration of treatment waning and reduced this to 3 months in the revised base case provided in the response</w:t>
      </w:r>
      <w:r w:rsidR="00EA1BB4" w:rsidRPr="0099114C">
        <w:t xml:space="preserve"> </w:t>
      </w:r>
      <w:r w:rsidR="00EA1BB4" w:rsidRPr="00857B0D">
        <w:rPr>
          <w:lang w:eastAsia="en-GB"/>
        </w:rPr>
        <w:t xml:space="preserve">(see paragraph </w:t>
      </w:r>
      <w:r w:rsidR="00EA1BB4" w:rsidRPr="00857B0D">
        <w:rPr>
          <w:lang w:eastAsia="en-GB"/>
        </w:rPr>
        <w:fldChar w:fldCharType="begin" w:fldLock="1"/>
      </w:r>
      <w:r w:rsidR="00EA1BB4" w:rsidRPr="00857B0D">
        <w:rPr>
          <w:lang w:eastAsia="en-GB"/>
        </w:rPr>
        <w:instrText xml:space="preserve"> REF _Ref161910525 \r \h </w:instrText>
      </w:r>
      <w:r w:rsidR="00EA1BB4" w:rsidRPr="00857B0D">
        <w:rPr>
          <w:lang w:eastAsia="en-GB"/>
        </w:rPr>
      </w:r>
      <w:r w:rsidR="00EA1BB4" w:rsidRPr="00857B0D">
        <w:rPr>
          <w:lang w:eastAsia="en-GB"/>
        </w:rPr>
        <w:fldChar w:fldCharType="separate"/>
      </w:r>
      <w:r w:rsidR="00EA1BB4" w:rsidRPr="00857B0D">
        <w:rPr>
          <w:lang w:eastAsia="en-GB"/>
        </w:rPr>
        <w:t>6.81</w:t>
      </w:r>
      <w:r w:rsidR="00EA1BB4" w:rsidRPr="00857B0D">
        <w:rPr>
          <w:lang w:eastAsia="en-GB"/>
        </w:rPr>
        <w:fldChar w:fldCharType="end"/>
      </w:r>
      <w:r w:rsidR="00EA1BB4" w:rsidRPr="00857B0D">
        <w:rPr>
          <w:lang w:eastAsia="en-GB"/>
        </w:rPr>
        <w:t>)</w:t>
      </w:r>
      <w:r w:rsidR="007A6A42" w:rsidRPr="0099114C">
        <w:t xml:space="preserve">. </w:t>
      </w:r>
    </w:p>
    <w:p w14:paraId="51D4F3EA" w14:textId="555BF76D" w:rsidR="00DB5178" w:rsidRPr="0099114C" w:rsidRDefault="00DB5178" w:rsidP="00DB5178">
      <w:pPr>
        <w:pStyle w:val="3-BodyText"/>
      </w:pPr>
      <w:r w:rsidRPr="0099114C">
        <w:t xml:space="preserve">The duration of treatment in the resubmission was reduced </w:t>
      </w:r>
      <w:r w:rsidR="00E32130" w:rsidRPr="0099114C">
        <w:t xml:space="preserve">from </w:t>
      </w:r>
      <w:r w:rsidR="0069419C" w:rsidRPr="0099114C">
        <w:t xml:space="preserve">a maximum of </w:t>
      </w:r>
      <w:r w:rsidR="00E32130" w:rsidRPr="0099114C">
        <w:t>24</w:t>
      </w:r>
      <w:r w:rsidR="002E21D0">
        <w:t> </w:t>
      </w:r>
      <w:r w:rsidR="00E32130" w:rsidRPr="0099114C">
        <w:t xml:space="preserve">months in the previous submission </w:t>
      </w:r>
      <w:r w:rsidRPr="0099114C">
        <w:t xml:space="preserve">to 12 months, and the number of reinductions was reduced to 1 (i.e., 2 inductions allowed). </w:t>
      </w:r>
      <w:r w:rsidR="00E32130" w:rsidRPr="0099114C">
        <w:t xml:space="preserve">Maintenance therapy </w:t>
      </w:r>
      <w:r w:rsidR="007A5A87" w:rsidRPr="0099114C">
        <w:t xml:space="preserve">now </w:t>
      </w:r>
      <w:r w:rsidR="00F1355B" w:rsidRPr="0099114C">
        <w:t xml:space="preserve">reflects </w:t>
      </w:r>
      <w:r w:rsidR="00E32130" w:rsidRPr="0099114C">
        <w:t xml:space="preserve">weeks 26 to 52 in the model. </w:t>
      </w:r>
    </w:p>
    <w:p w14:paraId="719E2A93" w14:textId="50FE2BF0" w:rsidR="00DB5178" w:rsidRPr="0099114C" w:rsidRDefault="00DB5178" w:rsidP="003D26D2">
      <w:pPr>
        <w:keepNext/>
        <w:spacing w:before="120" w:after="120"/>
        <w:rPr>
          <w:b/>
          <w:bCs/>
        </w:rPr>
      </w:pPr>
      <w:r w:rsidRPr="0099114C">
        <w:rPr>
          <w:b/>
          <w:bCs/>
        </w:rPr>
        <w:lastRenderedPageBreak/>
        <w:t>Transition probabilities</w:t>
      </w:r>
    </w:p>
    <w:p w14:paraId="54390F4C" w14:textId="0965B524" w:rsidR="00EC6020" w:rsidRPr="0099114C" w:rsidRDefault="008020E5" w:rsidP="00DB5178">
      <w:pPr>
        <w:pStyle w:val="3-BodyText"/>
        <w:rPr>
          <w:color w:val="0066FF"/>
        </w:rPr>
      </w:pPr>
      <w:r w:rsidRPr="0099114C">
        <w:t>T</w:t>
      </w:r>
      <w:r w:rsidR="00DB5178" w:rsidRPr="0099114C">
        <w:t>he transition probabilities presented in the resubmission for remission</w:t>
      </w:r>
      <w:r w:rsidR="008B33CB" w:rsidRPr="0099114C">
        <w:t xml:space="preserve"> </w:t>
      </w:r>
      <w:r w:rsidR="001C26CD" w:rsidRPr="0099114C">
        <w:t>and for relapse for patients treated with cyclophosphamide and azathioprine remain unchanged</w:t>
      </w:r>
      <w:r w:rsidR="008B33CB" w:rsidRPr="0099114C">
        <w:t>.</w:t>
      </w:r>
      <w:r w:rsidR="00DB5178" w:rsidRPr="0099114C">
        <w:t xml:space="preserve"> </w:t>
      </w:r>
    </w:p>
    <w:p w14:paraId="2D0DCBE7" w14:textId="550A6BDC" w:rsidR="00B646B5" w:rsidRPr="0099114C" w:rsidRDefault="00A313CA" w:rsidP="00DB5178">
      <w:pPr>
        <w:pStyle w:val="3-BodyText"/>
        <w:rPr>
          <w:color w:val="0066FF"/>
        </w:rPr>
      </w:pPr>
      <w:bookmarkStart w:id="71" w:name="_Ref159248690"/>
      <w:r w:rsidRPr="0099114C">
        <w:t>To adjust the remission and relapse rates for patients who receive rituximab maintenance</w:t>
      </w:r>
      <w:r w:rsidR="00CE07AE" w:rsidRPr="0099114C">
        <w:t>,</w:t>
      </w:r>
      <w:r w:rsidRPr="0099114C">
        <w:t xml:space="preserve"> a HR of 0.36 was applied</w:t>
      </w:r>
      <w:r w:rsidR="002927CA" w:rsidRPr="0099114C">
        <w:rPr>
          <w:bCs/>
        </w:rPr>
        <w:t xml:space="preserve"> to both arms of the model</w:t>
      </w:r>
      <w:r w:rsidR="002927CA" w:rsidRPr="0099114C">
        <w:t xml:space="preserve"> </w:t>
      </w:r>
      <w:r w:rsidRPr="0099114C">
        <w:t>based on results of the RITAZREM trial</w:t>
      </w:r>
      <w:r w:rsidRPr="0099114C">
        <w:rPr>
          <w:bCs/>
        </w:rPr>
        <w:t xml:space="preserve"> </w:t>
      </w:r>
      <w:r w:rsidR="0072105E" w:rsidRPr="0099114C">
        <w:t>(see para</w:t>
      </w:r>
      <w:r w:rsidR="00645C44" w:rsidRPr="0099114C">
        <w:t xml:space="preserve">graph </w:t>
      </w:r>
      <w:r w:rsidR="00C319F1" w:rsidRPr="0099114C">
        <w:fldChar w:fldCharType="begin" w:fldLock="1"/>
      </w:r>
      <w:r w:rsidR="00C319F1" w:rsidRPr="0099114C">
        <w:instrText xml:space="preserve"> REF _Ref161827782 \r \h </w:instrText>
      </w:r>
      <w:r w:rsidR="00C319F1" w:rsidRPr="0099114C">
        <w:fldChar w:fldCharType="separate"/>
      </w:r>
      <w:r w:rsidR="00C319F1" w:rsidRPr="0099114C">
        <w:t>6.35</w:t>
      </w:r>
      <w:r w:rsidR="00C319F1" w:rsidRPr="0099114C">
        <w:fldChar w:fldCharType="end"/>
      </w:r>
      <w:r w:rsidR="0072105E" w:rsidRPr="0099114C">
        <w:t>)</w:t>
      </w:r>
      <w:r w:rsidR="006B794F" w:rsidRPr="0099114C">
        <w:t xml:space="preserve">. </w:t>
      </w:r>
      <w:r w:rsidR="00B646B5" w:rsidRPr="0099114C">
        <w:t>The</w:t>
      </w:r>
      <w:r w:rsidR="00704001" w:rsidRPr="0099114C">
        <w:t xml:space="preserve"> evaluation considered</w:t>
      </w:r>
      <w:r w:rsidR="00704001" w:rsidRPr="0099114C">
        <w:rPr>
          <w:i/>
          <w:iCs/>
        </w:rPr>
        <w:t xml:space="preserve"> </w:t>
      </w:r>
      <w:r w:rsidR="00B646B5" w:rsidRPr="0099114C">
        <w:t xml:space="preserve">RITAZAREM may provide the best available evidence to estimate this parameter in the absence of </w:t>
      </w:r>
      <w:r w:rsidR="00887FA7" w:rsidRPr="0099114C">
        <w:t>a direct and indirect comparison reflecting Australian practice and population</w:t>
      </w:r>
      <w:r w:rsidR="00B646B5" w:rsidRPr="0099114C">
        <w:t>.</w:t>
      </w:r>
      <w:r w:rsidR="00EC3E16" w:rsidRPr="0099114C">
        <w:t xml:space="preserve"> The ICER is sensitive to this parameter. </w:t>
      </w:r>
      <w:r w:rsidR="00A422BC" w:rsidRPr="0099114C">
        <w:t xml:space="preserve">Applying the </w:t>
      </w:r>
      <w:r w:rsidR="00C2231C" w:rsidRPr="0099114C">
        <w:t>lower bound of the 95% CI of the HR (</w:t>
      </w:r>
      <w:r w:rsidR="00627A41" w:rsidRPr="0099114C">
        <w:t>0.18) increases the ICER to $</w:t>
      </w:r>
      <w:r w:rsidR="00F700B4" w:rsidRPr="00F700B4">
        <w:t>75,000 to &lt; $95,000</w:t>
      </w:r>
      <w:r w:rsidR="00F700B4" w:rsidRPr="00F700B4" w:rsidDel="00F700B4">
        <w:t xml:space="preserve"> </w:t>
      </w:r>
      <w:r w:rsidR="00EB6F9C" w:rsidRPr="0099114C">
        <w:t>(</w:t>
      </w:r>
      <w:r w:rsidR="0093142D" w:rsidRPr="0099114C">
        <w:t>12% increase from base case).</w:t>
      </w:r>
      <w:bookmarkEnd w:id="71"/>
      <w:r w:rsidR="008B0085" w:rsidRPr="0099114C">
        <w:t xml:space="preserve"> The ESC considered</w:t>
      </w:r>
      <w:r w:rsidR="00CE07AE" w:rsidRPr="0099114C">
        <w:t xml:space="preserve"> </w:t>
      </w:r>
      <w:r w:rsidR="00632045" w:rsidRPr="0099114C">
        <w:t xml:space="preserve">multiplying a probability with a hazard ratio results in a statistical accumulation of errors, and the </w:t>
      </w:r>
      <w:r w:rsidR="00CE07AE" w:rsidRPr="0099114C">
        <w:t xml:space="preserve">range of uncertainty </w:t>
      </w:r>
      <w:r w:rsidR="00632045" w:rsidRPr="0099114C">
        <w:t>makes</w:t>
      </w:r>
      <w:r w:rsidR="00CE07AE" w:rsidRPr="0099114C">
        <w:t xml:space="preserve"> th</w:t>
      </w:r>
      <w:r w:rsidR="00496591" w:rsidRPr="0099114C">
        <w:t>is</w:t>
      </w:r>
      <w:r w:rsidR="00CE07AE" w:rsidRPr="0099114C">
        <w:t xml:space="preserve"> </w:t>
      </w:r>
      <w:r w:rsidR="008B0085" w:rsidRPr="0099114C">
        <w:t xml:space="preserve">two-step approach </w:t>
      </w:r>
      <w:r w:rsidR="0020027B" w:rsidRPr="0099114C">
        <w:t>unreliable</w:t>
      </w:r>
      <w:r w:rsidR="008B0085" w:rsidRPr="0099114C">
        <w:t xml:space="preserve">. </w:t>
      </w:r>
      <w:r w:rsidR="00CE07AE" w:rsidRPr="0099114C">
        <w:t>T</w:t>
      </w:r>
      <w:r w:rsidR="00582969" w:rsidRPr="0099114C">
        <w:t xml:space="preserve">he ESC </w:t>
      </w:r>
      <w:r w:rsidR="00CE07AE" w:rsidRPr="0099114C">
        <w:t xml:space="preserve">also advised </w:t>
      </w:r>
      <w:r w:rsidR="0020027B" w:rsidRPr="0099114C">
        <w:t>that</w:t>
      </w:r>
      <w:r w:rsidR="00632045" w:rsidRPr="0099114C">
        <w:t xml:space="preserve"> given the variance of a product is not equal to the product of the variances, </w:t>
      </w:r>
      <w:r w:rsidR="00582969" w:rsidRPr="0099114C">
        <w:t xml:space="preserve">the </w:t>
      </w:r>
      <w:r w:rsidR="00CE07AE" w:rsidRPr="0099114C">
        <w:t xml:space="preserve">uncertainty of the two-step approach was greater than could be captured in the </w:t>
      </w:r>
      <w:r w:rsidR="00582969" w:rsidRPr="0099114C">
        <w:t xml:space="preserve">use of </w:t>
      </w:r>
      <w:r w:rsidR="00632045" w:rsidRPr="0099114C">
        <w:t xml:space="preserve">its </w:t>
      </w:r>
      <w:r w:rsidR="00582969" w:rsidRPr="0099114C">
        <w:t xml:space="preserve">confidence intervals in a sensitivity analysis (see </w:t>
      </w:r>
      <w:r w:rsidR="00582969" w:rsidRPr="0099114C">
        <w:fldChar w:fldCharType="begin" w:fldLock="1"/>
      </w:r>
      <w:r w:rsidR="00582969" w:rsidRPr="0099114C">
        <w:instrText xml:space="preserve"> REF _Ref153180010 \h  \* MERGEFORMAT </w:instrText>
      </w:r>
      <w:r w:rsidR="00582969" w:rsidRPr="0099114C">
        <w:fldChar w:fldCharType="separate"/>
      </w:r>
      <w:r w:rsidR="00C319F1" w:rsidRPr="0099114C">
        <w:t xml:space="preserve">Table </w:t>
      </w:r>
      <w:r w:rsidR="00C319F1" w:rsidRPr="00857B0D">
        <w:t>14</w:t>
      </w:r>
      <w:r w:rsidR="00582969" w:rsidRPr="0099114C">
        <w:fldChar w:fldCharType="end"/>
      </w:r>
      <w:r w:rsidR="00582969" w:rsidRPr="0099114C">
        <w:t>).</w:t>
      </w:r>
      <w:r w:rsidR="004E3B3B" w:rsidRPr="0099114C">
        <w:t xml:space="preserve"> The pre-PBAC response argued that the approach taken to adjust for rituximab maintenance efficacy in the model is based on the best available evidence from the RITAZAREM trial and is considered to be a reasonable reflection of Australian general practice. The pre-PBAC response stated that this approach was previously accepted by National Institute for Health and Care Excellence (NICE). </w:t>
      </w:r>
    </w:p>
    <w:p w14:paraId="10896916" w14:textId="40E78462" w:rsidR="009424F3" w:rsidRPr="0099114C" w:rsidRDefault="00582969" w:rsidP="00DB5178">
      <w:pPr>
        <w:pStyle w:val="3-BodyText"/>
        <w:rPr>
          <w:color w:val="0066FF"/>
        </w:rPr>
      </w:pPr>
      <w:r w:rsidRPr="0099114C">
        <w:t>The ESC noted that a</w:t>
      </w:r>
      <w:r w:rsidR="00BD0A19" w:rsidRPr="0099114C">
        <w:t>lthough the updated</w:t>
      </w:r>
      <w:r w:rsidR="006E4174" w:rsidRPr="0099114C">
        <w:t xml:space="preserve"> </w:t>
      </w:r>
      <w:r w:rsidR="006E4174" w:rsidRPr="0099114C">
        <w:rPr>
          <w:rFonts w:cs="Calibri"/>
        </w:rPr>
        <w:t xml:space="preserve">transition probabilities demonstrate a reduction in relapse rates between the arms compared to the previous submission, the </w:t>
      </w:r>
      <w:r w:rsidR="00C30496" w:rsidRPr="0099114C">
        <w:rPr>
          <w:rFonts w:cs="Calibri"/>
        </w:rPr>
        <w:t xml:space="preserve">relative difference between the two arms </w:t>
      </w:r>
      <w:r w:rsidR="00DD0B6D" w:rsidRPr="0099114C">
        <w:rPr>
          <w:rFonts w:cs="Calibri"/>
        </w:rPr>
        <w:t xml:space="preserve">is maintained and </w:t>
      </w:r>
      <w:r w:rsidR="006E4174" w:rsidRPr="0099114C">
        <w:rPr>
          <w:rFonts w:cs="Calibri"/>
        </w:rPr>
        <w:t xml:space="preserve">the issue </w:t>
      </w:r>
      <w:r w:rsidR="0047290C" w:rsidRPr="0099114C">
        <w:rPr>
          <w:rFonts w:cs="Calibri"/>
        </w:rPr>
        <w:t>remains that</w:t>
      </w:r>
      <w:r w:rsidR="006E4174" w:rsidRPr="0099114C">
        <w:rPr>
          <w:rFonts w:cs="Calibri"/>
        </w:rPr>
        <w:t xml:space="preserve"> the remission rate from the ADVOCATE trial </w:t>
      </w:r>
      <w:r w:rsidR="0047290C" w:rsidRPr="0099114C">
        <w:rPr>
          <w:rFonts w:cs="Calibri"/>
        </w:rPr>
        <w:t>(</w:t>
      </w:r>
      <w:r w:rsidR="006E4174" w:rsidRPr="0099114C">
        <w:rPr>
          <w:rFonts w:cs="Calibri"/>
        </w:rPr>
        <w:t xml:space="preserve">to which this </w:t>
      </w:r>
      <w:r w:rsidR="00754210" w:rsidRPr="0099114C">
        <w:rPr>
          <w:rFonts w:cs="Calibri"/>
        </w:rPr>
        <w:t>adjustment is made</w:t>
      </w:r>
      <w:r w:rsidR="0047290C" w:rsidRPr="0099114C">
        <w:rPr>
          <w:rFonts w:cs="Calibri"/>
        </w:rPr>
        <w:t>)</w:t>
      </w:r>
      <w:r w:rsidR="00754210" w:rsidRPr="0099114C">
        <w:rPr>
          <w:rFonts w:cs="Calibri"/>
        </w:rPr>
        <w:t xml:space="preserve"> </w:t>
      </w:r>
      <w:r w:rsidR="0004454E" w:rsidRPr="0099114C">
        <w:rPr>
          <w:rFonts w:cs="Calibri"/>
        </w:rPr>
        <w:t>is</w:t>
      </w:r>
      <w:r w:rsidR="006E4174" w:rsidRPr="0099114C">
        <w:rPr>
          <w:rFonts w:cs="Calibri"/>
        </w:rPr>
        <w:t xml:space="preserve"> highly uncertain</w:t>
      </w:r>
      <w:r w:rsidR="00754210" w:rsidRPr="0099114C">
        <w:rPr>
          <w:rFonts w:cs="Calibri"/>
        </w:rPr>
        <w:t xml:space="preserve">. </w:t>
      </w:r>
    </w:p>
    <w:p w14:paraId="5BD4500C" w14:textId="0CCE7FFE" w:rsidR="00DB5178" w:rsidRPr="0099114C" w:rsidRDefault="006B794F" w:rsidP="00DB5178">
      <w:pPr>
        <w:pStyle w:val="3-BodyText"/>
        <w:rPr>
          <w:color w:val="0066FF"/>
        </w:rPr>
      </w:pPr>
      <w:r w:rsidRPr="0099114C">
        <w:t xml:space="preserve">The </w:t>
      </w:r>
      <w:r w:rsidR="00DB5178" w:rsidRPr="0099114C">
        <w:t>transition probabilities for ESRD, which have been adjusted to be slightly more conservative, still maintain</w:t>
      </w:r>
      <w:r w:rsidR="004A3599" w:rsidRPr="0099114C">
        <w:t>s</w:t>
      </w:r>
      <w:r w:rsidR="00DB5178" w:rsidRPr="0099114C">
        <w:t xml:space="preserve"> superiority of avacopan</w:t>
      </w:r>
      <w:r w:rsidR="0023448A" w:rsidRPr="0099114C">
        <w:t xml:space="preserve"> in </w:t>
      </w:r>
      <w:r w:rsidR="00B76E26" w:rsidRPr="0099114C">
        <w:t>remission outcomes</w:t>
      </w:r>
      <w:r w:rsidR="00DB5178" w:rsidRPr="0099114C">
        <w:t>. This is inconsistent with previous PBAC determination that a resubmission for avacopan should be based on the benefits of reducing GC when used as induction therapy</w:t>
      </w:r>
      <w:r w:rsidR="00552E8F" w:rsidRPr="0099114C">
        <w:t xml:space="preserve"> and that a</w:t>
      </w:r>
      <w:r w:rsidR="00DB5178" w:rsidRPr="0099114C">
        <w:t>dditional clinical evidence would be required to support broader benefits, including efficacy benefits, when used as induction therapy or to support use as maintenance therapy (para 7.16, PSD, avacopan, July 2023 PBAC meeting).</w:t>
      </w:r>
    </w:p>
    <w:p w14:paraId="1AE1E49F" w14:textId="0BD8AAEC" w:rsidR="006A7448" w:rsidRPr="0099114C" w:rsidRDefault="00DB5178" w:rsidP="00DB5178">
      <w:pPr>
        <w:pStyle w:val="3-BodyText"/>
        <w:rPr>
          <w:color w:val="0066FF"/>
        </w:rPr>
      </w:pPr>
      <w:r w:rsidRPr="0099114C">
        <w:t xml:space="preserve">The remission and relapse rates applied in the model were based on proportions of patients in remission at Weeks 26 and 52 from the ADVOCATE trial. The resubmission did not </w:t>
      </w:r>
      <w:r w:rsidR="003B06F8" w:rsidRPr="0099114C">
        <w:t>change</w:t>
      </w:r>
      <w:r w:rsidRPr="0099114C">
        <w:t xml:space="preserve"> the rate of remission achieved at </w:t>
      </w:r>
      <w:r w:rsidR="003B06F8" w:rsidRPr="0099114C">
        <w:t>W</w:t>
      </w:r>
      <w:r w:rsidRPr="0099114C">
        <w:t>eek 26</w:t>
      </w:r>
      <w:r w:rsidR="00900D53" w:rsidRPr="0099114C">
        <w:t xml:space="preserve"> which maintained a difference in remission rates. </w:t>
      </w:r>
      <w:r w:rsidR="00425CE3" w:rsidRPr="0099114C">
        <w:t>This does not align with the trial results which demonstrated non-inferiority between the two treatment arms and did not demonstrate superiority</w:t>
      </w:r>
      <w:r w:rsidR="001B1985" w:rsidRPr="0099114C">
        <w:rPr>
          <w:lang w:eastAsia="en-US"/>
        </w:rPr>
        <w:t>.</w:t>
      </w:r>
      <w:r w:rsidR="0004779D" w:rsidRPr="0099114C">
        <w:rPr>
          <w:lang w:eastAsia="en-US"/>
        </w:rPr>
        <w:t xml:space="preserve"> </w:t>
      </w:r>
      <w:r w:rsidR="00C319F1" w:rsidRPr="0099114C">
        <w:rPr>
          <w:lang w:eastAsia="en-US"/>
        </w:rPr>
        <w:t>The pre-PBAC response  provided a revised base case that removed the modelled difference in remission at 26 weeks</w:t>
      </w:r>
      <w:r w:rsidR="00EA1BB4" w:rsidRPr="0099114C">
        <w:rPr>
          <w:lang w:eastAsia="en-US"/>
        </w:rPr>
        <w:t xml:space="preserve"> </w:t>
      </w:r>
      <w:r w:rsidR="00EA1BB4" w:rsidRPr="00857B0D">
        <w:rPr>
          <w:lang w:eastAsia="en-GB"/>
        </w:rPr>
        <w:t xml:space="preserve">(see paragraph </w:t>
      </w:r>
      <w:r w:rsidR="00EA1BB4" w:rsidRPr="00857B0D">
        <w:rPr>
          <w:lang w:eastAsia="en-GB"/>
        </w:rPr>
        <w:fldChar w:fldCharType="begin" w:fldLock="1"/>
      </w:r>
      <w:r w:rsidR="00EA1BB4" w:rsidRPr="00857B0D">
        <w:rPr>
          <w:lang w:eastAsia="en-GB"/>
        </w:rPr>
        <w:instrText xml:space="preserve"> REF _Ref161910525 \r \h </w:instrText>
      </w:r>
      <w:r w:rsidR="00EA1BB4" w:rsidRPr="00857B0D">
        <w:rPr>
          <w:lang w:eastAsia="en-GB"/>
        </w:rPr>
      </w:r>
      <w:r w:rsidR="00EA1BB4" w:rsidRPr="00857B0D">
        <w:rPr>
          <w:lang w:eastAsia="en-GB"/>
        </w:rPr>
        <w:fldChar w:fldCharType="separate"/>
      </w:r>
      <w:r w:rsidR="00EA1BB4" w:rsidRPr="00857B0D">
        <w:rPr>
          <w:lang w:eastAsia="en-GB"/>
        </w:rPr>
        <w:t>6.81</w:t>
      </w:r>
      <w:r w:rsidR="00EA1BB4" w:rsidRPr="00857B0D">
        <w:rPr>
          <w:lang w:eastAsia="en-GB"/>
        </w:rPr>
        <w:fldChar w:fldCharType="end"/>
      </w:r>
      <w:r w:rsidR="00EA1BB4" w:rsidRPr="00857B0D">
        <w:rPr>
          <w:lang w:eastAsia="en-GB"/>
        </w:rPr>
        <w:t>)</w:t>
      </w:r>
      <w:r w:rsidR="00C319F1" w:rsidRPr="0099114C">
        <w:rPr>
          <w:lang w:eastAsia="en-US"/>
        </w:rPr>
        <w:t xml:space="preserve">. </w:t>
      </w:r>
    </w:p>
    <w:p w14:paraId="737E1EF4" w14:textId="71449351" w:rsidR="00DB5178" w:rsidRPr="0099114C" w:rsidRDefault="00DB5178" w:rsidP="00DB5178">
      <w:pPr>
        <w:pStyle w:val="3-BodyText"/>
        <w:rPr>
          <w:color w:val="0066FF"/>
        </w:rPr>
      </w:pPr>
      <w:r w:rsidRPr="0099114C">
        <w:rPr>
          <w:lang w:eastAsia="en-US"/>
        </w:rPr>
        <w:lastRenderedPageBreak/>
        <w:t xml:space="preserve">The resubmission assumed that the treatment effect for the first induction was the same as for subsequent reinductions. </w:t>
      </w:r>
      <w:r w:rsidR="00C95BD0" w:rsidRPr="0099114C">
        <w:rPr>
          <w:lang w:eastAsia="en-US"/>
        </w:rPr>
        <w:t xml:space="preserve">Although the </w:t>
      </w:r>
      <w:r w:rsidRPr="0099114C">
        <w:rPr>
          <w:lang w:eastAsia="en-US"/>
        </w:rPr>
        <w:t>PBAC noted that avacopan would be suitable for reinduction therapy</w:t>
      </w:r>
      <w:r w:rsidR="00D01E29" w:rsidRPr="0099114C">
        <w:rPr>
          <w:lang w:eastAsia="en-US"/>
        </w:rPr>
        <w:t xml:space="preserve"> based on its mechanism of action</w:t>
      </w:r>
      <w:r w:rsidRPr="0099114C">
        <w:rPr>
          <w:lang w:eastAsia="en-US"/>
        </w:rPr>
        <w:t xml:space="preserve"> (para 7.5, avacopan PSD, July 2023 PBAC meeting)</w:t>
      </w:r>
      <w:r w:rsidR="00C95BD0" w:rsidRPr="0099114C">
        <w:rPr>
          <w:lang w:eastAsia="en-US"/>
        </w:rPr>
        <w:t xml:space="preserve">, </w:t>
      </w:r>
      <w:r w:rsidR="001D117D" w:rsidRPr="0099114C">
        <w:rPr>
          <w:lang w:eastAsia="en-US"/>
        </w:rPr>
        <w:t>the</w:t>
      </w:r>
      <w:r w:rsidRPr="0099114C">
        <w:rPr>
          <w:lang w:eastAsia="en-US"/>
        </w:rPr>
        <w:t xml:space="preserve"> magnitude of treatment effect for reinductions is not available from the ADVOCATE trial data and </w:t>
      </w:r>
      <w:r w:rsidR="00D01E29" w:rsidRPr="0099114C">
        <w:rPr>
          <w:lang w:eastAsia="en-US"/>
        </w:rPr>
        <w:t>remain</w:t>
      </w:r>
      <w:r w:rsidRPr="0099114C">
        <w:rPr>
          <w:lang w:eastAsia="en-US"/>
        </w:rPr>
        <w:t>s uncertain.</w:t>
      </w:r>
    </w:p>
    <w:p w14:paraId="48766D2D" w14:textId="34800982" w:rsidR="00DB5178" w:rsidRPr="0099114C" w:rsidRDefault="00DB5178" w:rsidP="00DB5178">
      <w:pPr>
        <w:pStyle w:val="3-BodyText"/>
        <w:rPr>
          <w:color w:val="0066FF"/>
        </w:rPr>
      </w:pPr>
      <w:r w:rsidRPr="0099114C">
        <w:t xml:space="preserve">The economic model incorporated eGFR data reported from the ADVOCATE trial to estimate the risk of ESRD for patients on avacopan + SOC and GC + SOC. Improvements in eGFR as reported in the trial were converted into the corresponding change in ESRD risk using an updated hazard ratio of 0.955 for ESRD per mL/min change in eGFR from baseline based on a pooled estimate from Gercik et al. (2020) (HR=0.9) and Brix et al. (2018) (HR=0.96). This is a more conservative estimate than </w:t>
      </w:r>
      <w:r w:rsidR="004C0E01" w:rsidRPr="0099114C">
        <w:t xml:space="preserve">the HR of 0.9 </w:t>
      </w:r>
      <w:r w:rsidRPr="0099114C">
        <w:t xml:space="preserve">previously </w:t>
      </w:r>
      <w:r w:rsidR="004C0E01" w:rsidRPr="0099114C">
        <w:t>applied</w:t>
      </w:r>
      <w:r w:rsidR="001D117D" w:rsidRPr="0099114C">
        <w:t>.</w:t>
      </w:r>
      <w:r w:rsidRPr="0099114C">
        <w:t xml:space="preserve"> </w:t>
      </w:r>
      <w:r w:rsidR="00C65BF9" w:rsidRPr="0099114C">
        <w:t>Applying a HR of 0.9</w:t>
      </w:r>
      <w:r w:rsidR="00C44E7F" w:rsidRPr="0099114C">
        <w:t xml:space="preserve"> decreases </w:t>
      </w:r>
      <w:r w:rsidRPr="0099114C">
        <w:t>the ICER from $</w:t>
      </w:r>
      <w:r w:rsidR="00F700B4" w:rsidRPr="00F700B4">
        <w:t xml:space="preserve">55,000 to &lt; $75,000 </w:t>
      </w:r>
      <w:r w:rsidR="00C44E7F" w:rsidRPr="0099114C">
        <w:t>/QALY gained</w:t>
      </w:r>
      <w:r w:rsidRPr="0099114C">
        <w:t xml:space="preserve"> </w:t>
      </w:r>
      <w:r w:rsidR="00AF764B" w:rsidRPr="0099114C">
        <w:t xml:space="preserve">(base case) </w:t>
      </w:r>
      <w:r w:rsidRPr="0099114C">
        <w:t>to $</w:t>
      </w:r>
      <w:r w:rsidR="00F700B4" w:rsidRPr="00F700B4">
        <w:t>35,000 to &lt; $45,000</w:t>
      </w:r>
      <w:r w:rsidR="00C44E7F" w:rsidRPr="0099114C">
        <w:t>/</w:t>
      </w:r>
      <w:r w:rsidR="00AF764B" w:rsidRPr="0099114C">
        <w:t>QALY gained</w:t>
      </w:r>
      <w:r w:rsidRPr="0099114C">
        <w:t xml:space="preserve"> (-37%). Although the updated HR represents a more conservative assumption in the model, the ICER </w:t>
      </w:r>
      <w:r w:rsidR="009C3CE3" w:rsidRPr="0099114C">
        <w:t xml:space="preserve">remains </w:t>
      </w:r>
      <w:r w:rsidRPr="0099114C">
        <w:t xml:space="preserve">sensitive to this outcome and there </w:t>
      </w:r>
      <w:r w:rsidR="003129CF" w:rsidRPr="0099114C">
        <w:t>wa</w:t>
      </w:r>
      <w:r w:rsidRPr="0099114C">
        <w:t>s significant uncertainty related to ESRD transition probabilities because:</w:t>
      </w:r>
    </w:p>
    <w:p w14:paraId="02473EFA" w14:textId="7F75266F" w:rsidR="00DB5178" w:rsidRPr="0099114C" w:rsidRDefault="00DB5178" w:rsidP="00D60915">
      <w:pPr>
        <w:pStyle w:val="ListParagraph"/>
        <w:numPr>
          <w:ilvl w:val="0"/>
          <w:numId w:val="37"/>
        </w:numPr>
        <w:spacing w:after="120"/>
        <w:ind w:left="1080"/>
        <w:contextualSpacing w:val="0"/>
        <w:rPr>
          <w:lang w:eastAsia="en-US"/>
        </w:rPr>
      </w:pPr>
      <w:r w:rsidRPr="00857B0D">
        <w:rPr>
          <w:lang w:eastAsia="en-GB"/>
        </w:rPr>
        <w:t>The transition probabilities applied for the Active disease to ESRD health state were calculated using baseline transition probabilities and the corresponding change in ESRD risk based on improvements in eGFR in the avacopan + SOC and GC + SOC arms of the ADVOCATE trial observed between Weeks 0 and 26 (5.8</w:t>
      </w:r>
      <w:r w:rsidR="003D26D2">
        <w:rPr>
          <w:lang w:eastAsia="en-GB"/>
        </w:rPr>
        <w:t> </w:t>
      </w:r>
      <w:r w:rsidRPr="00857B0D">
        <w:rPr>
          <w:lang w:eastAsia="en-GB"/>
        </w:rPr>
        <w:t xml:space="preserve">mL/min and 2.9 mL/min, respectively). The PBAC </w:t>
      </w:r>
      <w:r w:rsidR="003129CF" w:rsidRPr="00857B0D">
        <w:rPr>
          <w:lang w:eastAsia="en-GB"/>
        </w:rPr>
        <w:t xml:space="preserve">previously </w:t>
      </w:r>
      <w:r w:rsidRPr="00857B0D">
        <w:rPr>
          <w:lang w:eastAsia="en-GB"/>
        </w:rPr>
        <w:t>noted that</w:t>
      </w:r>
      <w:r w:rsidRPr="0099114C">
        <w:rPr>
          <w:lang w:eastAsia="en-US"/>
        </w:rPr>
        <w:t xml:space="preserve"> </w:t>
      </w:r>
      <w:r w:rsidR="003129CF" w:rsidRPr="0099114C">
        <w:rPr>
          <w:lang w:eastAsia="en-US"/>
        </w:rPr>
        <w:t xml:space="preserve">although there was an </w:t>
      </w:r>
      <w:r w:rsidRPr="0099114C">
        <w:rPr>
          <w:lang w:eastAsia="en-US"/>
        </w:rPr>
        <w:t xml:space="preserve">improvement in eGFR rates at both Week 26 and Week 52 </w:t>
      </w:r>
      <w:r w:rsidR="00C45B91" w:rsidRPr="0099114C">
        <w:rPr>
          <w:lang w:eastAsia="en-US"/>
        </w:rPr>
        <w:t>f</w:t>
      </w:r>
      <w:r w:rsidRPr="0099114C">
        <w:rPr>
          <w:lang w:eastAsia="en-US"/>
        </w:rPr>
        <w:t>or the population with renal disease</w:t>
      </w:r>
      <w:r w:rsidR="003129CF" w:rsidRPr="0099114C">
        <w:rPr>
          <w:lang w:eastAsia="en-US"/>
        </w:rPr>
        <w:t>,</w:t>
      </w:r>
      <w:r w:rsidRPr="0099114C">
        <w:rPr>
          <w:lang w:eastAsia="en-US"/>
        </w:rPr>
        <w:t xml:space="preserve"> </w:t>
      </w:r>
      <w:r w:rsidRPr="0099114C">
        <w:rPr>
          <w:rFonts w:eastAsia="Calibri"/>
        </w:rPr>
        <w:t xml:space="preserve">other parameters of renal disease such as UCAR at Week 52 and urinary MCP-1 to creatinine ratio at Week 52 did not show any significant difference in patients with renal disease. </w:t>
      </w:r>
      <w:r w:rsidR="007A6A42" w:rsidRPr="0099114C">
        <w:rPr>
          <w:rFonts w:eastAsia="Calibri"/>
        </w:rPr>
        <w:t>At that time t</w:t>
      </w:r>
      <w:r w:rsidRPr="0099114C">
        <w:rPr>
          <w:rFonts w:eastAsia="Calibri"/>
        </w:rPr>
        <w:t>he PBAC agreed with the ESC that the improvement in eGFR appeared to be driven by the eGFR &lt; 30 ml/min/1.73m</w:t>
      </w:r>
      <w:r w:rsidRPr="0099114C">
        <w:rPr>
          <w:rFonts w:eastAsia="Calibri"/>
          <w:vertAlign w:val="superscript"/>
        </w:rPr>
        <w:t>2</w:t>
      </w:r>
      <w:r w:rsidRPr="0099114C">
        <w:rPr>
          <w:rFonts w:eastAsia="Calibri"/>
        </w:rPr>
        <w:t xml:space="preserve"> subgroup </w:t>
      </w:r>
      <w:r w:rsidRPr="0099114C">
        <w:rPr>
          <w:lang w:eastAsia="en-US"/>
        </w:rPr>
        <w:t>and that it was not clear how much of the benefit was attributable to the group which compared avacopan to no maintenance therapy (para 7.11, avacopan PSD, July 2023 PBAC meeting).</w:t>
      </w:r>
      <w:r w:rsidRPr="00857B0D">
        <w:t xml:space="preserve"> The resubmission presented additional post hoc subgroup analyses of the ADVOCATE trial renal outcomes (eGFR and UCAR) but the original concerns remain. </w:t>
      </w:r>
      <w:r w:rsidR="0079114E" w:rsidRPr="00857B0D">
        <w:t xml:space="preserve">The change in </w:t>
      </w:r>
      <w:r w:rsidRPr="00857B0D">
        <w:t>eGFR is uncertain because the benefit was driven by patients with lower eGFR at baseline and the UCAR results whilst showing an initial benefit for avacopan failed to demonstrate statistical significance at 52 weeks.</w:t>
      </w:r>
      <w:r w:rsidRPr="0099114C">
        <w:t xml:space="preserve"> When the difference in eGFR response is removed in the model</w:t>
      </w:r>
      <w:r w:rsidR="00533E56" w:rsidRPr="0099114C">
        <w:t>,</w:t>
      </w:r>
      <w:r w:rsidRPr="0099114C">
        <w:t xml:space="preserve"> the ICER increases to $</w:t>
      </w:r>
      <w:r w:rsidR="00F700B4" w:rsidRPr="00F700B4">
        <w:t>95,000 to &lt;</w:t>
      </w:r>
      <w:r w:rsidR="003D26D2">
        <w:t> </w:t>
      </w:r>
      <w:r w:rsidR="00F700B4" w:rsidRPr="00F700B4">
        <w:t xml:space="preserve">$115,000 </w:t>
      </w:r>
      <w:r w:rsidR="00533E56" w:rsidRPr="0099114C">
        <w:t>/QALY gained</w:t>
      </w:r>
      <w:r w:rsidR="008065EA" w:rsidRPr="0099114C">
        <w:t xml:space="preserve"> </w:t>
      </w:r>
      <w:r w:rsidRPr="0099114C">
        <w:t>(+43%</w:t>
      </w:r>
      <w:r w:rsidR="008065EA" w:rsidRPr="0099114C">
        <w:t xml:space="preserve"> from base case</w:t>
      </w:r>
      <w:r w:rsidRPr="0099114C">
        <w:t>)</w:t>
      </w:r>
      <w:r w:rsidR="008065EA" w:rsidRPr="0099114C">
        <w:t>.</w:t>
      </w:r>
    </w:p>
    <w:p w14:paraId="0247B851" w14:textId="0F286AD5" w:rsidR="00DB5178" w:rsidRPr="0099114C" w:rsidRDefault="00DB5178" w:rsidP="003D26D2">
      <w:pPr>
        <w:pStyle w:val="ListBullet"/>
        <w:tabs>
          <w:tab w:val="clear" w:pos="360"/>
          <w:tab w:val="num" w:pos="1080"/>
        </w:tabs>
        <w:spacing w:after="120"/>
        <w:ind w:left="1077" w:hanging="357"/>
        <w:contextualSpacing w:val="0"/>
        <w:rPr>
          <w:lang w:eastAsia="en-US"/>
        </w:rPr>
      </w:pPr>
      <w:r w:rsidRPr="0099114C">
        <w:t xml:space="preserve">The resubmission assumed each subsequent relapse was </w:t>
      </w:r>
      <w:r w:rsidRPr="00857B0D">
        <w:rPr>
          <w:lang w:eastAsia="en-GB"/>
        </w:rPr>
        <w:t>associated with a 10</w:t>
      </w:r>
      <w:r w:rsidR="003129CF" w:rsidRPr="00857B0D">
        <w:rPr>
          <w:lang w:eastAsia="en-GB"/>
        </w:rPr>
        <w:t> </w:t>
      </w:r>
      <w:r w:rsidRPr="00857B0D">
        <w:rPr>
          <w:lang w:eastAsia="en-GB"/>
        </w:rPr>
        <w:t xml:space="preserve">mL/min decrease in eGFR. </w:t>
      </w:r>
      <w:r w:rsidR="003129CF" w:rsidRPr="00857B0D">
        <w:rPr>
          <w:lang w:eastAsia="en-GB"/>
        </w:rPr>
        <w:t xml:space="preserve">This is the same as the previous model. </w:t>
      </w:r>
      <w:r w:rsidRPr="00857B0D">
        <w:rPr>
          <w:lang w:eastAsia="en-GB"/>
        </w:rPr>
        <w:t>The magnitude of eGFR decrement applied is uncertain because of the large standard deviation in the observed data from Slot et al. (2003</w:t>
      </w:r>
      <w:r w:rsidR="00797DD0" w:rsidRPr="00857B0D">
        <w:rPr>
          <w:lang w:eastAsia="en-GB"/>
        </w:rPr>
        <w:t>).</w:t>
      </w:r>
      <w:r w:rsidR="000577B0" w:rsidRPr="00857B0D">
        <w:rPr>
          <w:lang w:eastAsia="en-GB"/>
        </w:rPr>
        <w:t xml:space="preserve"> </w:t>
      </w:r>
      <w:r w:rsidR="008B6FBD" w:rsidRPr="00857B0D">
        <w:rPr>
          <w:lang w:eastAsia="en-GB"/>
        </w:rPr>
        <w:t xml:space="preserve">The </w:t>
      </w:r>
      <w:r w:rsidR="00A86287" w:rsidRPr="00857B0D">
        <w:rPr>
          <w:lang w:eastAsia="en-GB"/>
        </w:rPr>
        <w:t>ESC</w:t>
      </w:r>
      <w:r w:rsidR="00A6465C" w:rsidRPr="00857B0D">
        <w:rPr>
          <w:lang w:eastAsia="en-GB"/>
        </w:rPr>
        <w:t xml:space="preserve"> previously</w:t>
      </w:r>
      <w:r w:rsidR="00A86287" w:rsidRPr="00857B0D">
        <w:rPr>
          <w:lang w:eastAsia="en-GB"/>
        </w:rPr>
        <w:t xml:space="preserve"> noted that</w:t>
      </w:r>
      <w:r w:rsidR="00BB4F95" w:rsidRPr="00857B0D">
        <w:rPr>
          <w:lang w:eastAsia="en-GB"/>
        </w:rPr>
        <w:t xml:space="preserve"> the</w:t>
      </w:r>
      <w:r w:rsidR="00E973A9" w:rsidRPr="00857B0D">
        <w:rPr>
          <w:lang w:eastAsia="en-GB"/>
        </w:rPr>
        <w:t xml:space="preserve"> information </w:t>
      </w:r>
      <w:r w:rsidR="00200FA5" w:rsidRPr="00857B0D">
        <w:rPr>
          <w:lang w:eastAsia="en-GB"/>
        </w:rPr>
        <w:t>from</w:t>
      </w:r>
      <w:r w:rsidR="00370D21" w:rsidRPr="00857B0D">
        <w:rPr>
          <w:lang w:eastAsia="en-GB"/>
        </w:rPr>
        <w:t xml:space="preserve"> the clinicians referred to was not provided (</w:t>
      </w:r>
      <w:r w:rsidR="000C0655" w:rsidRPr="00857B0D">
        <w:rPr>
          <w:lang w:eastAsia="en-GB"/>
        </w:rPr>
        <w:t xml:space="preserve">para </w:t>
      </w:r>
      <w:r w:rsidR="00E416FC" w:rsidRPr="00857B0D">
        <w:rPr>
          <w:lang w:eastAsia="en-GB"/>
        </w:rPr>
        <w:t xml:space="preserve">6.53, avacopan PSD, July 2023 PBAC meeting), this was not addressed in the </w:t>
      </w:r>
      <w:r w:rsidR="00E416FC" w:rsidRPr="00857B0D">
        <w:rPr>
          <w:lang w:eastAsia="en-GB"/>
        </w:rPr>
        <w:lastRenderedPageBreak/>
        <w:t>resubmission.</w:t>
      </w:r>
      <w:r w:rsidR="00797DD0" w:rsidRPr="00857B0D">
        <w:rPr>
          <w:lang w:eastAsia="en-GB"/>
        </w:rPr>
        <w:t xml:space="preserve"> </w:t>
      </w:r>
      <w:r w:rsidR="00824A6C" w:rsidRPr="0099114C">
        <w:t>The ICER presented in the resubmission remains sensitive to this assumption, when a decrease in eGFR of 5 m</w:t>
      </w:r>
      <w:r w:rsidR="00FC3FB3" w:rsidRPr="0099114C">
        <w:t>L</w:t>
      </w:r>
      <w:r w:rsidR="00824A6C" w:rsidRPr="0099114C">
        <w:t>/min is applied the ICER increases to $</w:t>
      </w:r>
      <w:r w:rsidR="00F700B4" w:rsidRPr="00F700B4">
        <w:t>75,000 to &lt; $95,000</w:t>
      </w:r>
      <w:r w:rsidR="00FC3FB3" w:rsidRPr="0099114C">
        <w:t>/QALY gained</w:t>
      </w:r>
      <w:r w:rsidR="009E07E8" w:rsidRPr="0099114C">
        <w:t xml:space="preserve"> (+10%</w:t>
      </w:r>
      <w:r w:rsidR="00FC3FB3" w:rsidRPr="0099114C">
        <w:t xml:space="preserve"> from base case</w:t>
      </w:r>
      <w:r w:rsidR="009E07E8" w:rsidRPr="0099114C">
        <w:t>)</w:t>
      </w:r>
      <w:r w:rsidR="003E4583" w:rsidRPr="0099114C">
        <w:t xml:space="preserve">. </w:t>
      </w:r>
    </w:p>
    <w:p w14:paraId="683A0F2A" w14:textId="1C972F3E" w:rsidR="00964E42" w:rsidRPr="0099114C" w:rsidRDefault="00DB5178" w:rsidP="003D26D2">
      <w:pPr>
        <w:pStyle w:val="ListBullet"/>
        <w:tabs>
          <w:tab w:val="clear" w:pos="360"/>
          <w:tab w:val="num" w:pos="1080"/>
        </w:tabs>
        <w:spacing w:after="120"/>
        <w:ind w:left="1077" w:hanging="357"/>
        <w:contextualSpacing w:val="0"/>
        <w:rPr>
          <w:lang w:eastAsia="en-US"/>
        </w:rPr>
      </w:pPr>
      <w:r w:rsidRPr="00857B0D">
        <w:rPr>
          <w:lang w:eastAsia="en-GB"/>
        </w:rPr>
        <w:t xml:space="preserve">Each subsequent relapse was subjected to the same decrement in eGFR and improvements in eGFR related to reinduction treatment. This assumption depends on </w:t>
      </w:r>
      <w:r w:rsidR="006131A0" w:rsidRPr="00857B0D">
        <w:rPr>
          <w:lang w:eastAsia="en-GB"/>
        </w:rPr>
        <w:t>several</w:t>
      </w:r>
      <w:r w:rsidRPr="00857B0D">
        <w:rPr>
          <w:lang w:eastAsia="en-GB"/>
        </w:rPr>
        <w:t xml:space="preserve"> input parameters which are uncertain. </w:t>
      </w:r>
      <w:r w:rsidR="006131A0" w:rsidRPr="00857B0D">
        <w:rPr>
          <w:lang w:eastAsia="en-GB"/>
        </w:rPr>
        <w:t xml:space="preserve">These are </w:t>
      </w:r>
      <w:r w:rsidRPr="0099114C">
        <w:t>the 10 m</w:t>
      </w:r>
      <w:r w:rsidR="006131A0" w:rsidRPr="0099114C">
        <w:t>L</w:t>
      </w:r>
      <w:r w:rsidRPr="0099114C">
        <w:t>/min magnitude of decrement applied for subsequent relapses</w:t>
      </w:r>
      <w:r w:rsidR="000D2501" w:rsidRPr="0099114C">
        <w:t xml:space="preserve"> and</w:t>
      </w:r>
      <w:r w:rsidR="0064697F" w:rsidRPr="0099114C">
        <w:t xml:space="preserve"> the </w:t>
      </w:r>
      <w:r w:rsidRPr="0099114C">
        <w:t xml:space="preserve">difference in eGFR recovery </w:t>
      </w:r>
      <w:r w:rsidR="0064697F" w:rsidRPr="0099114C">
        <w:t>(</w:t>
      </w:r>
      <w:r w:rsidRPr="0099114C">
        <w:t>not established in the clinical evidence</w:t>
      </w:r>
      <w:r w:rsidR="003129CF" w:rsidRPr="0099114C">
        <w:t>)</w:t>
      </w:r>
      <w:r w:rsidR="000D2501" w:rsidRPr="0099114C">
        <w:t xml:space="preserve">. </w:t>
      </w:r>
      <w:r w:rsidRPr="0099114C">
        <w:t>T</w:t>
      </w:r>
      <w:r w:rsidRPr="00857B0D">
        <w:rPr>
          <w:lang w:eastAsia="en-GB"/>
        </w:rPr>
        <w:t xml:space="preserve">he </w:t>
      </w:r>
      <w:r w:rsidR="00DD4E16" w:rsidRPr="00857B0D">
        <w:rPr>
          <w:lang w:eastAsia="en-GB"/>
        </w:rPr>
        <w:t xml:space="preserve">ESC noted the </w:t>
      </w:r>
      <w:r w:rsidRPr="00857B0D">
        <w:rPr>
          <w:lang w:eastAsia="en-GB"/>
        </w:rPr>
        <w:t>initial difference established from the ADVOCATE trial between arms is maintained and compounded over subsequent relapses in the economic model which favour</w:t>
      </w:r>
      <w:r w:rsidR="009570C4" w:rsidRPr="00857B0D">
        <w:rPr>
          <w:lang w:eastAsia="en-GB"/>
        </w:rPr>
        <w:t>s</w:t>
      </w:r>
      <w:r w:rsidRPr="00857B0D">
        <w:rPr>
          <w:lang w:eastAsia="en-GB"/>
        </w:rPr>
        <w:t xml:space="preserve"> the avacopan + SOC arm.</w:t>
      </w:r>
      <w:r w:rsidR="00885B10" w:rsidRPr="00857B0D">
        <w:rPr>
          <w:lang w:eastAsia="en-GB"/>
        </w:rPr>
        <w:t xml:space="preserve"> </w:t>
      </w:r>
      <w:r w:rsidR="00964E42" w:rsidRPr="00857B0D">
        <w:rPr>
          <w:lang w:eastAsia="en-GB"/>
        </w:rPr>
        <w:t xml:space="preserve">The pre-PBAC response  </w:t>
      </w:r>
      <w:r w:rsidR="00D77C55" w:rsidRPr="00857B0D">
        <w:rPr>
          <w:lang w:eastAsia="en-GB"/>
        </w:rPr>
        <w:t>argued that it was appropriate to model a benefit in terms of eGFR based on data from the ADVOCATE trial and hence this approach was maintained in the revised base case</w:t>
      </w:r>
      <w:r w:rsidR="00EA1BB4" w:rsidRPr="00857B0D">
        <w:rPr>
          <w:lang w:eastAsia="en-GB"/>
        </w:rPr>
        <w:t xml:space="preserve"> (see paragraph </w:t>
      </w:r>
      <w:r w:rsidR="00EA1BB4" w:rsidRPr="00857B0D">
        <w:rPr>
          <w:lang w:eastAsia="en-GB"/>
        </w:rPr>
        <w:fldChar w:fldCharType="begin" w:fldLock="1"/>
      </w:r>
      <w:r w:rsidR="00EA1BB4" w:rsidRPr="00857B0D">
        <w:rPr>
          <w:lang w:eastAsia="en-GB"/>
        </w:rPr>
        <w:instrText xml:space="preserve"> REF _Ref161910525 \r \h </w:instrText>
      </w:r>
      <w:r w:rsidR="00EA1BB4" w:rsidRPr="00857B0D">
        <w:rPr>
          <w:lang w:eastAsia="en-GB"/>
        </w:rPr>
      </w:r>
      <w:r w:rsidR="00EA1BB4" w:rsidRPr="00857B0D">
        <w:rPr>
          <w:lang w:eastAsia="en-GB"/>
        </w:rPr>
        <w:fldChar w:fldCharType="separate"/>
      </w:r>
      <w:r w:rsidR="00EA1BB4" w:rsidRPr="00857B0D">
        <w:rPr>
          <w:lang w:eastAsia="en-GB"/>
        </w:rPr>
        <w:t>6.81</w:t>
      </w:r>
      <w:r w:rsidR="00EA1BB4" w:rsidRPr="00857B0D">
        <w:rPr>
          <w:lang w:eastAsia="en-GB"/>
        </w:rPr>
        <w:fldChar w:fldCharType="end"/>
      </w:r>
      <w:r w:rsidR="00EA1BB4" w:rsidRPr="00857B0D">
        <w:rPr>
          <w:lang w:eastAsia="en-GB"/>
        </w:rPr>
        <w:t>)</w:t>
      </w:r>
      <w:r w:rsidR="00D77C55" w:rsidRPr="00857B0D">
        <w:rPr>
          <w:lang w:eastAsia="en-GB"/>
        </w:rPr>
        <w:t xml:space="preserve">. </w:t>
      </w:r>
    </w:p>
    <w:p w14:paraId="29686DD9" w14:textId="77777777" w:rsidR="00DB5178" w:rsidRPr="00857B0D" w:rsidRDefault="00DB5178" w:rsidP="003D26D2">
      <w:pPr>
        <w:pStyle w:val="ListBullet"/>
        <w:numPr>
          <w:ilvl w:val="0"/>
          <w:numId w:val="0"/>
        </w:numPr>
        <w:spacing w:before="120" w:after="120"/>
        <w:ind w:left="360" w:hanging="360"/>
        <w:rPr>
          <w:b/>
          <w:bCs/>
          <w:lang w:eastAsia="en-GB"/>
        </w:rPr>
      </w:pPr>
      <w:r w:rsidRPr="00857B0D">
        <w:rPr>
          <w:b/>
          <w:bCs/>
          <w:lang w:eastAsia="en-GB"/>
        </w:rPr>
        <w:t>Extrapolation</w:t>
      </w:r>
    </w:p>
    <w:p w14:paraId="264ADD18" w14:textId="5C933840" w:rsidR="00DB5178" w:rsidRPr="0099114C" w:rsidRDefault="00DB5178" w:rsidP="00DB5178">
      <w:pPr>
        <w:pStyle w:val="3-BodyText"/>
        <w:rPr>
          <w:color w:val="0066FF"/>
        </w:rPr>
      </w:pPr>
      <w:r w:rsidRPr="0099114C">
        <w:t xml:space="preserve">The resubmission reduced </w:t>
      </w:r>
      <w:r w:rsidR="00A054F5" w:rsidRPr="0099114C">
        <w:t xml:space="preserve">the </w:t>
      </w:r>
      <w:r w:rsidRPr="0099114C">
        <w:t xml:space="preserve">treatment waning period </w:t>
      </w:r>
      <w:r w:rsidR="00A054F5" w:rsidRPr="0099114C">
        <w:t xml:space="preserve">to </w:t>
      </w:r>
      <w:r w:rsidRPr="0099114C">
        <w:t>26 weeks, compared to 52</w:t>
      </w:r>
      <w:r w:rsidR="003D26D2">
        <w:t> </w:t>
      </w:r>
      <w:r w:rsidRPr="0099114C">
        <w:t xml:space="preserve">weeks in the previous submission. The application of </w:t>
      </w:r>
      <w:r w:rsidR="00A054F5" w:rsidRPr="0099114C">
        <w:t>26-week</w:t>
      </w:r>
      <w:r w:rsidRPr="0099114C">
        <w:t xml:space="preserve"> treatment waning is more conservative than the </w:t>
      </w:r>
      <w:r w:rsidR="00752B0A" w:rsidRPr="0099114C">
        <w:t>52-week</w:t>
      </w:r>
      <w:r w:rsidRPr="0099114C">
        <w:t xml:space="preserve"> waning used in the previous submission. </w:t>
      </w:r>
      <w:r w:rsidRPr="00857B0D">
        <w:t>There are limited data on treatment waning as the follow-up period without avacopan treatment in the ADVOCATE trial was 56 days (8 weeks)</w:t>
      </w:r>
      <w:r w:rsidR="003C5084" w:rsidRPr="00857B0D">
        <w:t xml:space="preserve"> which ESC considered</w:t>
      </w:r>
      <w:r w:rsidR="001E545C" w:rsidRPr="00857B0D">
        <w:t xml:space="preserve"> </w:t>
      </w:r>
      <w:r w:rsidR="00171605" w:rsidRPr="00857B0D">
        <w:t xml:space="preserve">unlikely to robustly inform a 12-month waning period </w:t>
      </w:r>
      <w:r w:rsidR="00171605" w:rsidRPr="0099114C">
        <w:rPr>
          <w:lang w:eastAsia="en-GB"/>
        </w:rPr>
        <w:t>(para 6.55, avacopan PSD, July</w:t>
      </w:r>
      <w:r w:rsidR="003D26D2">
        <w:rPr>
          <w:lang w:eastAsia="en-GB"/>
        </w:rPr>
        <w:t> </w:t>
      </w:r>
      <w:r w:rsidR="00171605" w:rsidRPr="0099114C">
        <w:rPr>
          <w:lang w:eastAsia="en-GB"/>
        </w:rPr>
        <w:t>2023 PBAC meeting). The resubmission did not present any further evidence in support of the treatment waning model. The ICER</w:t>
      </w:r>
      <w:r w:rsidR="001677D5" w:rsidRPr="0099114C">
        <w:rPr>
          <w:lang w:eastAsia="en-GB"/>
        </w:rPr>
        <w:t xml:space="preserve"> is highly sensitive </w:t>
      </w:r>
      <w:r w:rsidR="00171605" w:rsidRPr="0099114C">
        <w:rPr>
          <w:lang w:eastAsia="en-GB"/>
        </w:rPr>
        <w:t>to this assumption</w:t>
      </w:r>
      <w:r w:rsidR="001677D5" w:rsidRPr="0099114C">
        <w:rPr>
          <w:lang w:eastAsia="en-GB"/>
        </w:rPr>
        <w:t xml:space="preserve">. When </w:t>
      </w:r>
      <w:r w:rsidR="00171605" w:rsidRPr="0099114C">
        <w:rPr>
          <w:lang w:eastAsia="en-GB"/>
        </w:rPr>
        <w:t xml:space="preserve">time to treatment waning was </w:t>
      </w:r>
      <w:r w:rsidR="00297985" w:rsidRPr="0099114C">
        <w:rPr>
          <w:lang w:eastAsia="en-GB"/>
        </w:rPr>
        <w:t>reduced to 3-months</w:t>
      </w:r>
      <w:r w:rsidR="001677D5" w:rsidRPr="0099114C">
        <w:rPr>
          <w:lang w:eastAsia="en-GB"/>
        </w:rPr>
        <w:t>,</w:t>
      </w:r>
      <w:r w:rsidR="00171605" w:rsidRPr="0099114C">
        <w:rPr>
          <w:lang w:eastAsia="en-GB"/>
        </w:rPr>
        <w:t xml:space="preserve"> the ICER increased from $</w:t>
      </w:r>
      <w:r w:rsidR="00F700B4" w:rsidRPr="00F700B4">
        <w:rPr>
          <w:lang w:eastAsia="en-GB"/>
        </w:rPr>
        <w:t>55,000</w:t>
      </w:r>
      <w:r w:rsidR="003D26D2">
        <w:rPr>
          <w:lang w:eastAsia="en-GB"/>
        </w:rPr>
        <w:t> </w:t>
      </w:r>
      <w:r w:rsidR="00F700B4" w:rsidRPr="00F700B4">
        <w:rPr>
          <w:lang w:eastAsia="en-GB"/>
        </w:rPr>
        <w:t xml:space="preserve">to &lt; $75,000 </w:t>
      </w:r>
      <w:r w:rsidR="001677D5" w:rsidRPr="0099114C">
        <w:rPr>
          <w:lang w:eastAsia="en-GB"/>
        </w:rPr>
        <w:t>/QALY gained</w:t>
      </w:r>
      <w:r w:rsidR="00171605" w:rsidRPr="0099114C">
        <w:rPr>
          <w:lang w:eastAsia="en-GB"/>
        </w:rPr>
        <w:t xml:space="preserve"> (base case) to $</w:t>
      </w:r>
      <w:r w:rsidR="00F700B4" w:rsidRPr="00F700B4">
        <w:rPr>
          <w:lang w:eastAsia="en-GB"/>
        </w:rPr>
        <w:t>75,000 to &lt; $95,000</w:t>
      </w:r>
      <w:r w:rsidR="001677D5" w:rsidRPr="0099114C">
        <w:rPr>
          <w:lang w:eastAsia="en-GB"/>
        </w:rPr>
        <w:t>/QALY gained</w:t>
      </w:r>
      <w:r w:rsidR="00171605" w:rsidRPr="0099114C">
        <w:rPr>
          <w:lang w:eastAsia="en-GB"/>
        </w:rPr>
        <w:t xml:space="preserve"> (+</w:t>
      </w:r>
      <w:r w:rsidR="00CF2672" w:rsidRPr="0099114C">
        <w:rPr>
          <w:lang w:eastAsia="en-GB"/>
        </w:rPr>
        <w:t>24</w:t>
      </w:r>
      <w:r w:rsidR="00171605" w:rsidRPr="0099114C">
        <w:rPr>
          <w:lang w:eastAsia="en-GB"/>
        </w:rPr>
        <w:t xml:space="preserve">%). The structure of the model did not allow for changing of the </w:t>
      </w:r>
      <w:r w:rsidR="00A054F5" w:rsidRPr="0099114C">
        <w:rPr>
          <w:lang w:eastAsia="en-GB"/>
        </w:rPr>
        <w:t xml:space="preserve">linear </w:t>
      </w:r>
      <w:r w:rsidR="00171605" w:rsidRPr="0099114C">
        <w:rPr>
          <w:lang w:eastAsia="en-GB"/>
        </w:rPr>
        <w:t>shape of the waning function.</w:t>
      </w:r>
      <w:r w:rsidR="00D91C27" w:rsidRPr="0099114C">
        <w:rPr>
          <w:lang w:eastAsia="en-GB"/>
        </w:rPr>
        <w:t xml:space="preserve"> The ESC </w:t>
      </w:r>
      <w:r w:rsidR="00DD15E2" w:rsidRPr="0099114C">
        <w:rPr>
          <w:lang w:eastAsia="en-GB"/>
        </w:rPr>
        <w:t xml:space="preserve">noted </w:t>
      </w:r>
      <w:r w:rsidR="001B1985" w:rsidRPr="0099114C">
        <w:rPr>
          <w:lang w:eastAsia="en-GB"/>
        </w:rPr>
        <w:t xml:space="preserve">the PSCR stated </w:t>
      </w:r>
      <w:r w:rsidR="00496591" w:rsidRPr="0099114C">
        <w:rPr>
          <w:lang w:eastAsia="en-GB"/>
        </w:rPr>
        <w:t xml:space="preserve">that </w:t>
      </w:r>
      <w:r w:rsidR="001B1985" w:rsidRPr="0099114C">
        <w:rPr>
          <w:lang w:eastAsia="en-GB"/>
        </w:rPr>
        <w:t xml:space="preserve">while no data was provided to support treatment waning at 6 months, this was </w:t>
      </w:r>
      <w:r w:rsidR="00683A9C" w:rsidRPr="0099114C">
        <w:rPr>
          <w:lang w:eastAsia="en-GB"/>
        </w:rPr>
        <w:t xml:space="preserve">applied </w:t>
      </w:r>
      <w:r w:rsidR="001B1985" w:rsidRPr="0099114C">
        <w:rPr>
          <w:lang w:eastAsia="en-GB"/>
        </w:rPr>
        <w:t>based on mechanism of action and clinical opinion</w:t>
      </w:r>
      <w:r w:rsidR="00683A9C" w:rsidRPr="0099114C">
        <w:rPr>
          <w:lang w:eastAsia="en-GB"/>
        </w:rPr>
        <w:t>.</w:t>
      </w:r>
      <w:r w:rsidR="001B1985" w:rsidRPr="0099114C">
        <w:rPr>
          <w:lang w:eastAsia="en-GB"/>
        </w:rPr>
        <w:t xml:space="preserve"> </w:t>
      </w:r>
      <w:r w:rsidR="00683A9C" w:rsidRPr="0099114C">
        <w:rPr>
          <w:lang w:eastAsia="en-GB"/>
        </w:rPr>
        <w:t>T</w:t>
      </w:r>
      <w:r w:rsidR="00DD15E2" w:rsidRPr="0099114C">
        <w:rPr>
          <w:lang w:eastAsia="en-GB"/>
        </w:rPr>
        <w:t xml:space="preserve">he data on treatment waning from the ADVOCATE trial </w:t>
      </w:r>
      <w:r w:rsidR="0086769C" w:rsidRPr="0099114C">
        <w:rPr>
          <w:lang w:eastAsia="en-GB"/>
        </w:rPr>
        <w:t xml:space="preserve">was collected over an 8-week period </w:t>
      </w:r>
      <w:r w:rsidR="00DD15E2" w:rsidRPr="0099114C">
        <w:rPr>
          <w:lang w:eastAsia="en-GB"/>
        </w:rPr>
        <w:t xml:space="preserve">and </w:t>
      </w:r>
      <w:r w:rsidR="00683A9C" w:rsidRPr="0099114C">
        <w:rPr>
          <w:lang w:eastAsia="en-GB"/>
        </w:rPr>
        <w:t xml:space="preserve">the ESC </w:t>
      </w:r>
      <w:r w:rsidR="00DD15E2" w:rsidRPr="0099114C">
        <w:rPr>
          <w:lang w:eastAsia="en-GB"/>
        </w:rPr>
        <w:t xml:space="preserve">considered the application of 26-week treatment waning </w:t>
      </w:r>
      <w:r w:rsidR="0086769C" w:rsidRPr="0099114C">
        <w:rPr>
          <w:lang w:eastAsia="en-GB"/>
        </w:rPr>
        <w:t xml:space="preserve">period </w:t>
      </w:r>
      <w:r w:rsidR="00DD15E2" w:rsidRPr="0099114C">
        <w:rPr>
          <w:lang w:eastAsia="en-GB"/>
        </w:rPr>
        <w:t>was un</w:t>
      </w:r>
      <w:r w:rsidR="00A672E1" w:rsidRPr="0099114C">
        <w:rPr>
          <w:lang w:eastAsia="en-GB"/>
        </w:rPr>
        <w:t>likely to be conservative</w:t>
      </w:r>
      <w:r w:rsidR="00DD15E2" w:rsidRPr="0099114C">
        <w:rPr>
          <w:lang w:eastAsia="en-GB"/>
        </w:rPr>
        <w:t xml:space="preserve">. </w:t>
      </w:r>
    </w:p>
    <w:p w14:paraId="45776C3D" w14:textId="1FC7E773" w:rsidR="003971E5" w:rsidRPr="0099114C" w:rsidRDefault="003971E5" w:rsidP="00D73FC8">
      <w:pPr>
        <w:pStyle w:val="3-BodyText"/>
        <w:rPr>
          <w:color w:val="0066FF"/>
        </w:rPr>
      </w:pPr>
      <w:r w:rsidRPr="0099114C">
        <w:t xml:space="preserve">The </w:t>
      </w:r>
      <w:r w:rsidR="00DD15E2" w:rsidRPr="0099114C">
        <w:t>ESC noted the</w:t>
      </w:r>
      <w:r w:rsidR="00DD15E2" w:rsidRPr="0099114C">
        <w:rPr>
          <w:i/>
          <w:iCs/>
        </w:rPr>
        <w:t xml:space="preserve"> </w:t>
      </w:r>
      <w:r w:rsidRPr="0099114C">
        <w:t>difference in survival between the avacopan + SOC and GC + SOC arms appear to be small (&lt;1%) in the first 5 years. This small difference increase</w:t>
      </w:r>
      <w:r w:rsidR="00DD15E2" w:rsidRPr="0099114C">
        <w:t>d</w:t>
      </w:r>
      <w:r w:rsidRPr="0099114C">
        <w:t xml:space="preserve"> with progression through the model however relative to the results presented in the previous submission the difference in death rate is far smaller. For example, in the previous submission the difference in death rate in the avacopan arm compared to the GC + SOC was </w:t>
      </w:r>
      <w:r w:rsidR="00605CAC" w:rsidRPr="0099114C">
        <w:t>approx</w:t>
      </w:r>
      <w:r w:rsidR="006D7396" w:rsidRPr="0099114C">
        <w:t>imately</w:t>
      </w:r>
      <w:r w:rsidRPr="0099114C">
        <w:t xml:space="preserve"> 15% by Year 15, in the current submission by year 15 the difference in mortality rate is &lt;3%. This is likely be due to the reduction in th</w:t>
      </w:r>
      <w:r w:rsidR="00641368" w:rsidRPr="0099114C">
        <w:t>e</w:t>
      </w:r>
      <w:r w:rsidRPr="0099114C">
        <w:t xml:space="preserve"> difference in the portion of patients entering ESRD state. </w:t>
      </w:r>
    </w:p>
    <w:p w14:paraId="4C54B38E" w14:textId="77777777" w:rsidR="00DB5178" w:rsidRPr="0099114C" w:rsidRDefault="00DB5178" w:rsidP="003D26D2">
      <w:pPr>
        <w:spacing w:before="120" w:after="120"/>
        <w:rPr>
          <w:b/>
          <w:bCs/>
        </w:rPr>
      </w:pPr>
      <w:r w:rsidRPr="0099114C">
        <w:rPr>
          <w:b/>
          <w:bCs/>
        </w:rPr>
        <w:t>Utility values</w:t>
      </w:r>
    </w:p>
    <w:p w14:paraId="0C302257" w14:textId="0F9B4FD4" w:rsidR="00DB5178" w:rsidRPr="0099114C" w:rsidRDefault="00DB5178">
      <w:pPr>
        <w:pStyle w:val="3-BodyText"/>
      </w:pPr>
      <w:r w:rsidRPr="0099114C">
        <w:t xml:space="preserve">The resubmission presented an updated EQ-5D-5L utility value set </w:t>
      </w:r>
      <w:r w:rsidR="00CC2D70" w:rsidRPr="0099114C">
        <w:t xml:space="preserve">for Australia </w:t>
      </w:r>
      <w:r w:rsidRPr="0099114C">
        <w:t xml:space="preserve">from Norman et al. (2023). The model applied utility values </w:t>
      </w:r>
      <w:r w:rsidRPr="00857B0D">
        <w:rPr>
          <w:lang w:eastAsia="en-GB"/>
        </w:rPr>
        <w:t xml:space="preserve">from EQ-5D-5L data from the </w:t>
      </w:r>
      <w:r w:rsidRPr="00857B0D">
        <w:rPr>
          <w:lang w:eastAsia="en-GB"/>
        </w:rPr>
        <w:lastRenderedPageBreak/>
        <w:t xml:space="preserve">ADVOCATE trial stratified by health state (Active disease, Remission and Relapse) according to remission and relapse definitions of the ADVOCATE trial. Pooled utility values across the two study arms were applied. This </w:t>
      </w:r>
      <w:r w:rsidR="00CC2D70" w:rsidRPr="00857B0D">
        <w:rPr>
          <w:lang w:eastAsia="en-GB"/>
        </w:rPr>
        <w:t>wa</w:t>
      </w:r>
      <w:r w:rsidRPr="00857B0D">
        <w:rPr>
          <w:lang w:eastAsia="en-GB"/>
        </w:rPr>
        <w:t xml:space="preserve">s reasonable and the use of non-treatment specific health state values </w:t>
      </w:r>
      <w:r w:rsidR="000F6D49" w:rsidRPr="00857B0D">
        <w:rPr>
          <w:lang w:eastAsia="en-GB"/>
        </w:rPr>
        <w:t xml:space="preserve">minimises the risk of double counting. </w:t>
      </w:r>
    </w:p>
    <w:p w14:paraId="2DA22086" w14:textId="2A59FB06" w:rsidR="00DB5178" w:rsidRPr="0099114C" w:rsidRDefault="00DB5178" w:rsidP="00DB5178">
      <w:pPr>
        <w:pStyle w:val="3-BodyText"/>
      </w:pPr>
      <w:r w:rsidRPr="0099114C">
        <w:t xml:space="preserve">The resubmission applied a decrement of 0.2 for the occurrence of any GC-related infections. This was </w:t>
      </w:r>
      <w:r w:rsidR="00192CF0" w:rsidRPr="0099114C">
        <w:t>revised</w:t>
      </w:r>
      <w:r w:rsidRPr="0099114C">
        <w:t xml:space="preserve"> </w:t>
      </w:r>
      <w:r w:rsidR="005854CB" w:rsidRPr="0099114C">
        <w:t>from</w:t>
      </w:r>
      <w:r w:rsidRPr="0099114C">
        <w:t xml:space="preserve"> the previous submission </w:t>
      </w:r>
      <w:r w:rsidR="00DF0C23" w:rsidRPr="0099114C">
        <w:t>(</w:t>
      </w:r>
      <w:r w:rsidRPr="0099114C">
        <w:t>0.1</w:t>
      </w:r>
      <w:r w:rsidR="00DF0C23" w:rsidRPr="0099114C">
        <w:t xml:space="preserve"> decrement)</w:t>
      </w:r>
      <w:r w:rsidRPr="0099114C">
        <w:t xml:space="preserve">. The resubmission considered 0.2 to be a more reasonable assumption as it was based on literature estimates for lower respiratory infections associated with hospitalisation from Rothberg et al. (2003) and Chit et al. (2015). It is unclear whether utility values for lower respiratory infection were appropriate for GC related infection. The updated utility values were favourable to avacopan, decreasing the updated utility decrement from 0.2 to 0.1 increased the ICER from </w:t>
      </w:r>
      <w:r w:rsidRPr="00857B0D">
        <w:rPr>
          <w:lang w:eastAsia="en-GB"/>
        </w:rPr>
        <w:t>$</w:t>
      </w:r>
      <w:r w:rsidR="00F700B4" w:rsidRPr="00F700B4">
        <w:rPr>
          <w:lang w:eastAsia="en-GB"/>
        </w:rPr>
        <w:t xml:space="preserve">55,000 to &lt; $75,000 </w:t>
      </w:r>
      <w:r w:rsidR="00DF0C23" w:rsidRPr="00857B0D">
        <w:rPr>
          <w:lang w:eastAsia="en-GB"/>
        </w:rPr>
        <w:t>/QALY gained</w:t>
      </w:r>
      <w:r w:rsidRPr="00857B0D">
        <w:rPr>
          <w:lang w:eastAsia="en-GB"/>
        </w:rPr>
        <w:t xml:space="preserve"> to $</w:t>
      </w:r>
      <w:r w:rsidR="00F700B4" w:rsidRPr="00F700B4">
        <w:rPr>
          <w:lang w:eastAsia="en-GB"/>
        </w:rPr>
        <w:t>75,000</w:t>
      </w:r>
      <w:r w:rsidR="003D26D2">
        <w:rPr>
          <w:lang w:eastAsia="en-GB"/>
        </w:rPr>
        <w:t> </w:t>
      </w:r>
      <w:r w:rsidR="00F700B4" w:rsidRPr="00F700B4">
        <w:rPr>
          <w:lang w:eastAsia="en-GB"/>
        </w:rPr>
        <w:t>to &lt;</w:t>
      </w:r>
      <w:r w:rsidR="003D26D2">
        <w:rPr>
          <w:lang w:eastAsia="en-GB"/>
        </w:rPr>
        <w:t> </w:t>
      </w:r>
      <w:r w:rsidR="00F700B4" w:rsidRPr="00F700B4">
        <w:rPr>
          <w:lang w:eastAsia="en-GB"/>
        </w:rPr>
        <w:t>$95,000</w:t>
      </w:r>
      <w:r w:rsidR="00DF0C23" w:rsidRPr="00857B0D">
        <w:rPr>
          <w:lang w:eastAsia="en-GB"/>
        </w:rPr>
        <w:t>/QALY gained</w:t>
      </w:r>
      <w:r w:rsidRPr="00857B0D">
        <w:rPr>
          <w:lang w:eastAsia="en-GB"/>
        </w:rPr>
        <w:t xml:space="preserve"> (+13%).</w:t>
      </w:r>
      <w:r w:rsidR="00DD15E2" w:rsidRPr="00857B0D">
        <w:rPr>
          <w:lang w:eastAsia="en-GB"/>
        </w:rPr>
        <w:t xml:space="preserve"> The ESC considered that a</w:t>
      </w:r>
      <w:r w:rsidR="00A672E1" w:rsidRPr="00857B0D">
        <w:rPr>
          <w:lang w:eastAsia="en-GB"/>
        </w:rPr>
        <w:t xml:space="preserve"> utility decrement of 0.2 for any GC-related infections was high in the context of a condition that has a high </w:t>
      </w:r>
      <w:r w:rsidR="0086769C" w:rsidRPr="00857B0D">
        <w:rPr>
          <w:lang w:eastAsia="en-GB"/>
        </w:rPr>
        <w:t xml:space="preserve">existing </w:t>
      </w:r>
      <w:r w:rsidR="00A672E1" w:rsidRPr="00857B0D">
        <w:rPr>
          <w:lang w:eastAsia="en-GB"/>
        </w:rPr>
        <w:t>disease burden</w:t>
      </w:r>
      <w:r w:rsidR="0086769C" w:rsidRPr="00857B0D">
        <w:rPr>
          <w:lang w:eastAsia="en-GB"/>
        </w:rPr>
        <w:t xml:space="preserve"> </w:t>
      </w:r>
      <w:r w:rsidR="00A672E1" w:rsidRPr="00857B0D">
        <w:rPr>
          <w:lang w:eastAsia="en-GB"/>
        </w:rPr>
        <w:t>(</w:t>
      </w:r>
      <w:r w:rsidR="0086769C" w:rsidRPr="00857B0D">
        <w:rPr>
          <w:lang w:eastAsia="en-GB"/>
        </w:rPr>
        <w:t xml:space="preserve">see paragraph </w:t>
      </w:r>
      <w:r w:rsidR="0086769C" w:rsidRPr="00857B0D">
        <w:rPr>
          <w:lang w:eastAsia="en-GB"/>
        </w:rPr>
        <w:fldChar w:fldCharType="begin" w:fldLock="1"/>
      </w:r>
      <w:r w:rsidR="0086769C" w:rsidRPr="00857B0D">
        <w:rPr>
          <w:lang w:eastAsia="en-GB"/>
        </w:rPr>
        <w:instrText xml:space="preserve"> REF _Ref159252720 \r \h </w:instrText>
      </w:r>
      <w:r w:rsidR="00F728DF" w:rsidRPr="00857B0D">
        <w:rPr>
          <w:lang w:eastAsia="en-GB"/>
        </w:rPr>
        <w:instrText xml:space="preserve"> \* MERGEFORMAT </w:instrText>
      </w:r>
      <w:r w:rsidR="0086769C" w:rsidRPr="00857B0D">
        <w:rPr>
          <w:lang w:eastAsia="en-GB"/>
        </w:rPr>
      </w:r>
      <w:r w:rsidR="0086769C" w:rsidRPr="00857B0D">
        <w:rPr>
          <w:lang w:eastAsia="en-GB"/>
        </w:rPr>
        <w:fldChar w:fldCharType="separate"/>
      </w:r>
      <w:r w:rsidR="004936A1" w:rsidRPr="00857B0D">
        <w:rPr>
          <w:lang w:eastAsia="en-GB"/>
        </w:rPr>
        <w:t>4.1</w:t>
      </w:r>
      <w:r w:rsidR="0086769C" w:rsidRPr="00857B0D">
        <w:rPr>
          <w:lang w:eastAsia="en-GB"/>
        </w:rPr>
        <w:fldChar w:fldCharType="end"/>
      </w:r>
      <w:r w:rsidR="00A672E1" w:rsidRPr="00857B0D">
        <w:rPr>
          <w:lang w:eastAsia="en-GB"/>
        </w:rPr>
        <w:t xml:space="preserve">). </w:t>
      </w:r>
      <w:r w:rsidR="007A6A42" w:rsidRPr="00857B0D">
        <w:rPr>
          <w:lang w:eastAsia="en-GB"/>
        </w:rPr>
        <w:t>The pre-PBAC response provided a revised base case that applied a utility decrement of 0.1 for any GC-related infections</w:t>
      </w:r>
      <w:r w:rsidR="00EA1BB4" w:rsidRPr="00857B0D">
        <w:rPr>
          <w:lang w:eastAsia="en-GB"/>
        </w:rPr>
        <w:t xml:space="preserve"> (see paragraph </w:t>
      </w:r>
      <w:r w:rsidR="00EA1BB4" w:rsidRPr="00857B0D">
        <w:rPr>
          <w:lang w:eastAsia="en-GB"/>
        </w:rPr>
        <w:fldChar w:fldCharType="begin" w:fldLock="1"/>
      </w:r>
      <w:r w:rsidR="00EA1BB4" w:rsidRPr="00857B0D">
        <w:rPr>
          <w:lang w:eastAsia="en-GB"/>
        </w:rPr>
        <w:instrText xml:space="preserve"> REF _Ref161910525 \r \h </w:instrText>
      </w:r>
      <w:r w:rsidR="00EA1BB4" w:rsidRPr="00857B0D">
        <w:rPr>
          <w:lang w:eastAsia="en-GB"/>
        </w:rPr>
      </w:r>
      <w:r w:rsidR="00EA1BB4" w:rsidRPr="00857B0D">
        <w:rPr>
          <w:lang w:eastAsia="en-GB"/>
        </w:rPr>
        <w:fldChar w:fldCharType="separate"/>
      </w:r>
      <w:r w:rsidR="00EA1BB4" w:rsidRPr="00857B0D">
        <w:rPr>
          <w:lang w:eastAsia="en-GB"/>
        </w:rPr>
        <w:t>6.81</w:t>
      </w:r>
      <w:r w:rsidR="00EA1BB4" w:rsidRPr="00857B0D">
        <w:rPr>
          <w:lang w:eastAsia="en-GB"/>
        </w:rPr>
        <w:fldChar w:fldCharType="end"/>
      </w:r>
      <w:r w:rsidR="00EA1BB4" w:rsidRPr="00857B0D">
        <w:rPr>
          <w:lang w:eastAsia="en-GB"/>
        </w:rPr>
        <w:t>)</w:t>
      </w:r>
      <w:r w:rsidR="007A6A42" w:rsidRPr="00857B0D">
        <w:rPr>
          <w:lang w:eastAsia="en-GB"/>
        </w:rPr>
        <w:t xml:space="preserve">. </w:t>
      </w:r>
    </w:p>
    <w:p w14:paraId="3FC68202" w14:textId="785A595B" w:rsidR="00DB5178" w:rsidRPr="0099114C" w:rsidRDefault="00DB5178" w:rsidP="003D26D2">
      <w:pPr>
        <w:spacing w:before="120" w:after="120"/>
        <w:rPr>
          <w:b/>
          <w:bCs/>
        </w:rPr>
      </w:pPr>
      <w:r w:rsidRPr="0099114C">
        <w:rPr>
          <w:b/>
          <w:bCs/>
        </w:rPr>
        <w:t>Costs</w:t>
      </w:r>
    </w:p>
    <w:p w14:paraId="3D764B96" w14:textId="4049FB67" w:rsidR="00DB5178" w:rsidRPr="0099114C" w:rsidRDefault="00DB5178" w:rsidP="00DB5178">
      <w:pPr>
        <w:pStyle w:val="3-BodyText"/>
        <w:rPr>
          <w:color w:val="0066FF"/>
        </w:rPr>
      </w:pPr>
      <w:r w:rsidRPr="0099114C">
        <w:t>The model incorporated treatment costs relevant to both induction and maintenance therapies which included avacopan and recommended concomitant medications. Costs related to resource use for monitoring of the disease, and hospitalisation and clinic visits to cover serious adverse events including infections were included and were informed by the Australian Vasculitis Advisory Board and an unpublished draft manuscript from Monash Health Vasculitis Clinic.</w:t>
      </w:r>
    </w:p>
    <w:p w14:paraId="7E3E908E" w14:textId="0421B8F0" w:rsidR="00DB5178" w:rsidRPr="0099114C" w:rsidRDefault="00DB5178" w:rsidP="00DB5178">
      <w:pPr>
        <w:pStyle w:val="3-BodyText"/>
        <w:rPr>
          <w:color w:val="0066FF"/>
        </w:rPr>
      </w:pPr>
      <w:bookmarkStart w:id="72" w:name="_Ref155699633"/>
      <w:r w:rsidRPr="0099114C">
        <w:t xml:space="preserve">Several costs were </w:t>
      </w:r>
      <w:r w:rsidR="00E57781" w:rsidRPr="0099114C">
        <w:t>revised</w:t>
      </w:r>
      <w:r w:rsidRPr="0099114C">
        <w:t xml:space="preserve"> and are outlined below</w:t>
      </w:r>
      <w:r w:rsidR="007D6A22" w:rsidRPr="0099114C">
        <w:t>:</w:t>
      </w:r>
      <w:bookmarkEnd w:id="72"/>
    </w:p>
    <w:p w14:paraId="02B16D49" w14:textId="37B03601" w:rsidR="00CD3424" w:rsidRPr="0099114C" w:rsidRDefault="00CD3424" w:rsidP="003D26D2">
      <w:pPr>
        <w:pStyle w:val="ListParagraph"/>
        <w:numPr>
          <w:ilvl w:val="0"/>
          <w:numId w:val="42"/>
        </w:numPr>
        <w:spacing w:after="120"/>
        <w:ind w:left="1077" w:hanging="357"/>
        <w:contextualSpacing w:val="0"/>
      </w:pPr>
      <w:r w:rsidRPr="0099114C">
        <w:t>The AEMP of avacopan has been reduced to $</w:t>
      </w:r>
      <w:r w:rsidR="005F1F42" w:rsidRPr="006F30AA">
        <w:rPr>
          <w:color w:val="000000"/>
          <w:w w:val="15"/>
          <w:shd w:val="solid" w:color="000000" w:fill="000000"/>
          <w:fitText w:val="-20" w:id="-961807871"/>
          <w14:textFill>
            <w14:solidFill>
              <w14:srgbClr w14:val="000000">
                <w14:alpha w14:val="100000"/>
              </w14:srgbClr>
            </w14:solidFill>
          </w14:textFill>
        </w:rPr>
        <w:t xml:space="preserve">|  </w:t>
      </w:r>
      <w:r w:rsidR="005F1F42" w:rsidRPr="006F30AA">
        <w:rPr>
          <w:color w:val="000000"/>
          <w:spacing w:val="-69"/>
          <w:w w:val="15"/>
          <w:shd w:val="solid" w:color="000000" w:fill="000000"/>
          <w:fitText w:val="-20" w:id="-961807871"/>
          <w14:textFill>
            <w14:solidFill>
              <w14:srgbClr w14:val="000000">
                <w14:alpha w14:val="100000"/>
              </w14:srgbClr>
            </w14:solidFill>
          </w14:textFill>
        </w:rPr>
        <w:t>|</w:t>
      </w:r>
      <w:r w:rsidRPr="0099114C">
        <w:t xml:space="preserve"> (</w:t>
      </w:r>
      <w:r w:rsidR="005F1F42" w:rsidRPr="006F30AA">
        <w:rPr>
          <w:color w:val="000000"/>
          <w:w w:val="15"/>
          <w:shd w:val="solid" w:color="000000" w:fill="000000"/>
          <w:fitText w:val="-20" w:id="-961807870"/>
          <w14:textFill>
            <w14:solidFill>
              <w14:srgbClr w14:val="000000">
                <w14:alpha w14:val="100000"/>
              </w14:srgbClr>
            </w14:solidFill>
          </w14:textFill>
        </w:rPr>
        <w:t xml:space="preserve">|  </w:t>
      </w:r>
      <w:r w:rsidR="005F1F42" w:rsidRPr="006F30AA">
        <w:rPr>
          <w:color w:val="000000"/>
          <w:spacing w:val="-69"/>
          <w:w w:val="15"/>
          <w:shd w:val="solid" w:color="000000" w:fill="000000"/>
          <w:fitText w:val="-20" w:id="-961807870"/>
          <w14:textFill>
            <w14:solidFill>
              <w14:srgbClr w14:val="000000">
                <w14:alpha w14:val="100000"/>
              </w14:srgbClr>
            </w14:solidFill>
          </w14:textFill>
        </w:rPr>
        <w:t>|</w:t>
      </w:r>
      <w:r w:rsidRPr="00BE21CE">
        <w:t xml:space="preserve">% </w:t>
      </w:r>
      <w:r w:rsidRPr="0099114C">
        <w:t>reduction), which equates to $</w:t>
      </w:r>
      <w:r w:rsidR="005F1F42" w:rsidRPr="006F30AA">
        <w:rPr>
          <w:color w:val="000000"/>
          <w:w w:val="15"/>
          <w:shd w:val="solid" w:color="000000" w:fill="000000"/>
          <w:fitText w:val="-20" w:id="-961807869"/>
          <w14:textFill>
            <w14:solidFill>
              <w14:srgbClr w14:val="000000">
                <w14:alpha w14:val="100000"/>
              </w14:srgbClr>
            </w14:solidFill>
          </w14:textFill>
        </w:rPr>
        <w:t xml:space="preserve">|  </w:t>
      </w:r>
      <w:r w:rsidR="005F1F42" w:rsidRPr="006F30AA">
        <w:rPr>
          <w:color w:val="000000"/>
          <w:spacing w:val="-69"/>
          <w:w w:val="15"/>
          <w:shd w:val="solid" w:color="000000" w:fill="000000"/>
          <w:fitText w:val="-20" w:id="-961807869"/>
          <w14:textFill>
            <w14:solidFill>
              <w14:srgbClr w14:val="000000">
                <w14:alpha w14:val="100000"/>
              </w14:srgbClr>
            </w14:solidFill>
          </w14:textFill>
        </w:rPr>
        <w:t>|</w:t>
      </w:r>
      <w:r w:rsidRPr="0099114C">
        <w:t xml:space="preserve"> per</w:t>
      </w:r>
      <w:r w:rsidR="00BE21CE">
        <w:t xml:space="preserve"> capsule</w:t>
      </w:r>
      <w:r w:rsidRPr="0099114C">
        <w:t xml:space="preserve">. </w:t>
      </w:r>
      <w:r w:rsidR="00AA5742" w:rsidRPr="0099114C">
        <w:t>The pre-PBAC response offered a further price to an AEMP of $</w:t>
      </w:r>
      <w:r w:rsidR="005F1F42" w:rsidRPr="006F30AA">
        <w:rPr>
          <w:color w:val="000000"/>
          <w:w w:val="15"/>
          <w:shd w:val="solid" w:color="000000" w:fill="000000"/>
          <w:fitText w:val="-20" w:id="-961807868"/>
          <w14:textFill>
            <w14:solidFill>
              <w14:srgbClr w14:val="000000">
                <w14:alpha w14:val="100000"/>
              </w14:srgbClr>
            </w14:solidFill>
          </w14:textFill>
        </w:rPr>
        <w:t xml:space="preserve">|  </w:t>
      </w:r>
      <w:r w:rsidR="005F1F42" w:rsidRPr="006F30AA">
        <w:rPr>
          <w:color w:val="000000"/>
          <w:spacing w:val="-69"/>
          <w:w w:val="15"/>
          <w:shd w:val="solid" w:color="000000" w:fill="000000"/>
          <w:fitText w:val="-20" w:id="-961807868"/>
          <w14:textFill>
            <w14:solidFill>
              <w14:srgbClr w14:val="000000">
                <w14:alpha w14:val="100000"/>
              </w14:srgbClr>
            </w14:solidFill>
          </w14:textFill>
        </w:rPr>
        <w:t>|</w:t>
      </w:r>
      <w:r w:rsidR="00AA5742" w:rsidRPr="0099114C">
        <w:t>.</w:t>
      </w:r>
    </w:p>
    <w:p w14:paraId="6BBA2BAF" w14:textId="77777777" w:rsidR="00CD3424" w:rsidRPr="0099114C" w:rsidRDefault="00CD3424" w:rsidP="003D26D2">
      <w:pPr>
        <w:pStyle w:val="ListParagraph"/>
        <w:numPr>
          <w:ilvl w:val="0"/>
          <w:numId w:val="42"/>
        </w:numPr>
        <w:spacing w:after="120"/>
        <w:ind w:left="1077" w:hanging="357"/>
        <w:contextualSpacing w:val="0"/>
      </w:pPr>
      <w:r w:rsidRPr="0099114C">
        <w:t>Costs for medications (rituximab, cyclophosphamide, azathioprine), monitoring, ERD and terminal care have been updated to September 2023 values.</w:t>
      </w:r>
    </w:p>
    <w:p w14:paraId="602AD22F" w14:textId="0162B05E" w:rsidR="00DB5178" w:rsidRPr="0099114C" w:rsidRDefault="00DB5178" w:rsidP="003D26D2">
      <w:pPr>
        <w:pStyle w:val="ListParagraph"/>
        <w:numPr>
          <w:ilvl w:val="0"/>
          <w:numId w:val="42"/>
        </w:numPr>
        <w:spacing w:after="120"/>
        <w:ind w:left="1077" w:hanging="357"/>
        <w:contextualSpacing w:val="0"/>
      </w:pPr>
      <w:r w:rsidRPr="0099114C">
        <w:t xml:space="preserve">The treatment duration of avacopan has been </w:t>
      </w:r>
      <w:r w:rsidR="00CD3424" w:rsidRPr="0099114C">
        <w:t>revised to a maximum 12</w:t>
      </w:r>
      <w:r w:rsidR="00CD3424" w:rsidRPr="0099114C" w:rsidDel="007A5C23">
        <w:t xml:space="preserve"> </w:t>
      </w:r>
      <w:r w:rsidR="00CD3424" w:rsidRPr="0099114C">
        <w:t>month duration.</w:t>
      </w:r>
      <w:r w:rsidRPr="0099114C">
        <w:t xml:space="preserve"> </w:t>
      </w:r>
    </w:p>
    <w:p w14:paraId="65CE3E59" w14:textId="6C8F56D2" w:rsidR="00DB5178" w:rsidRPr="0099114C" w:rsidRDefault="00DB5178" w:rsidP="003D26D2">
      <w:pPr>
        <w:pStyle w:val="ListParagraph"/>
        <w:numPr>
          <w:ilvl w:val="0"/>
          <w:numId w:val="42"/>
        </w:numPr>
        <w:spacing w:after="120"/>
        <w:ind w:left="1077" w:hanging="357"/>
        <w:contextualSpacing w:val="0"/>
      </w:pPr>
      <w:r w:rsidRPr="0099114C">
        <w:t>For the combined arm (i.e. CYC/RTX) the weighting is 50% cyclophosphamide, 50% rituximab.</w:t>
      </w:r>
      <w:r w:rsidR="00AA5742" w:rsidRPr="0099114C">
        <w:t xml:space="preserve"> The </w:t>
      </w:r>
      <w:r w:rsidR="00AA5742" w:rsidRPr="0099114C">
        <w:rPr>
          <w:lang w:eastAsia="en-US"/>
        </w:rPr>
        <w:t>pre-PBAC response  provided a revised base case that assumed 70% of patient receive rituximab.</w:t>
      </w:r>
    </w:p>
    <w:p w14:paraId="343ABE0A" w14:textId="77777777" w:rsidR="00DB5178" w:rsidRPr="0099114C" w:rsidRDefault="00DB5178" w:rsidP="003D26D2">
      <w:pPr>
        <w:pStyle w:val="ListParagraph"/>
        <w:numPr>
          <w:ilvl w:val="0"/>
          <w:numId w:val="42"/>
        </w:numPr>
        <w:spacing w:after="120"/>
        <w:ind w:left="1077" w:hanging="357"/>
        <w:contextualSpacing w:val="0"/>
      </w:pPr>
      <w:r w:rsidRPr="0099114C">
        <w:t>The cost of rituximab has been added in cycles 7 to 13 for the rituximab maintenance scenario.</w:t>
      </w:r>
    </w:p>
    <w:p w14:paraId="4C995A14" w14:textId="77777777" w:rsidR="00DB5178" w:rsidRPr="0099114C" w:rsidRDefault="00DB5178" w:rsidP="003D26D2">
      <w:pPr>
        <w:pStyle w:val="ListParagraph"/>
        <w:numPr>
          <w:ilvl w:val="0"/>
          <w:numId w:val="42"/>
        </w:numPr>
        <w:spacing w:after="120"/>
        <w:ind w:left="1077" w:hanging="357"/>
        <w:contextualSpacing w:val="0"/>
      </w:pPr>
      <w:r w:rsidRPr="0099114C">
        <w:t xml:space="preserve">The base case assumes 1 reinduction with avacopan for patients that relapse. This is applied as the cost of induction plus a one-off cost of maintenance therapy. This </w:t>
      </w:r>
      <w:r w:rsidRPr="0099114C">
        <w:lastRenderedPageBreak/>
        <w:t>is estimated at 4.0 months duration (i.e. 6 months induction plus 4.0 months maintenance) to align with the average treatment duration of avacopan.</w:t>
      </w:r>
    </w:p>
    <w:p w14:paraId="32217FF1" w14:textId="77777777" w:rsidR="00DB5178" w:rsidRPr="0099114C" w:rsidRDefault="00DB5178" w:rsidP="003D26D2">
      <w:pPr>
        <w:pStyle w:val="ListParagraph"/>
        <w:numPr>
          <w:ilvl w:val="0"/>
          <w:numId w:val="42"/>
        </w:numPr>
        <w:spacing w:after="120"/>
        <w:ind w:left="1077" w:hanging="357"/>
        <w:contextualSpacing w:val="0"/>
      </w:pPr>
      <w:r w:rsidRPr="0099114C">
        <w:t>Hospital costs were updated to reflect 2020/2021 weights.</w:t>
      </w:r>
    </w:p>
    <w:p w14:paraId="07D0C0BF" w14:textId="1D812FE1" w:rsidR="00DB5178" w:rsidRPr="0099114C" w:rsidRDefault="00DB5178" w:rsidP="003D26D2">
      <w:pPr>
        <w:pStyle w:val="ListParagraph"/>
        <w:numPr>
          <w:ilvl w:val="0"/>
          <w:numId w:val="42"/>
        </w:numPr>
        <w:spacing w:after="120"/>
        <w:ind w:left="1077" w:hanging="357"/>
        <w:contextualSpacing w:val="0"/>
      </w:pPr>
      <w:r w:rsidRPr="0099114C">
        <w:t>Average cost per infection was updated for each arm.</w:t>
      </w:r>
    </w:p>
    <w:p w14:paraId="6E7F0A3E" w14:textId="6B5D876E" w:rsidR="00DB5178" w:rsidRPr="0099114C" w:rsidRDefault="00A53C4E" w:rsidP="00DB5178">
      <w:pPr>
        <w:pStyle w:val="3-BodyText"/>
        <w:rPr>
          <w:color w:val="0066FF"/>
        </w:rPr>
      </w:pPr>
      <w:r w:rsidRPr="0099114C">
        <w:fldChar w:fldCharType="begin" w:fldLock="1"/>
      </w:r>
      <w:r w:rsidRPr="0099114C">
        <w:instrText xml:space="preserve"> REF _Ref155946693 \h </w:instrText>
      </w:r>
      <w:r w:rsidRPr="0099114C">
        <w:fldChar w:fldCharType="separate"/>
      </w:r>
      <w:r w:rsidR="00A04368" w:rsidRPr="0099114C">
        <w:t xml:space="preserve">Table </w:t>
      </w:r>
      <w:r w:rsidR="00A04368" w:rsidRPr="00857B0D">
        <w:t>12</w:t>
      </w:r>
      <w:r w:rsidRPr="0099114C">
        <w:fldChar w:fldCharType="end"/>
      </w:r>
      <w:r w:rsidR="001B2869" w:rsidRPr="0099114C">
        <w:t xml:space="preserve"> </w:t>
      </w:r>
      <w:r w:rsidR="00DB5178" w:rsidRPr="0099114C">
        <w:t xml:space="preserve">summarises key drivers of the </w:t>
      </w:r>
      <w:r w:rsidR="005B06FD" w:rsidRPr="0099114C">
        <w:t xml:space="preserve">economic </w:t>
      </w:r>
      <w:r w:rsidR="00DB5178" w:rsidRPr="0099114C">
        <w:t>model</w:t>
      </w:r>
      <w:r w:rsidR="005B06FD" w:rsidRPr="0099114C">
        <w:t>.</w:t>
      </w:r>
      <w:r w:rsidR="00DB5178" w:rsidRPr="0099114C">
        <w:t xml:space="preserve"> </w:t>
      </w:r>
    </w:p>
    <w:p w14:paraId="1AB8E8D5" w14:textId="191C2720" w:rsidR="00DB5178" w:rsidRPr="0099114C" w:rsidRDefault="00DB5178" w:rsidP="001B2869">
      <w:pPr>
        <w:pStyle w:val="TableFigureHeading"/>
        <w:rPr>
          <w:rStyle w:val="CommentReference"/>
          <w:b/>
          <w:szCs w:val="24"/>
        </w:rPr>
      </w:pPr>
      <w:bookmarkStart w:id="73" w:name="_Ref155946693"/>
      <w:r w:rsidRPr="0099114C">
        <w:t xml:space="preserve">Table </w:t>
      </w:r>
      <w:fldSimple w:instr=" SEQ Table \* ARABIC " w:fldLock="1">
        <w:r w:rsidR="00A04368" w:rsidRPr="00857B0D">
          <w:t>12</w:t>
        </w:r>
      </w:fldSimple>
      <w:bookmarkEnd w:id="73"/>
      <w:r w:rsidRPr="0099114C">
        <w:t>:</w:t>
      </w:r>
      <w:r w:rsidRPr="0099114C">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2: Key drivers of the model"/>
      </w:tblPr>
      <w:tblGrid>
        <w:gridCol w:w="1128"/>
        <w:gridCol w:w="2835"/>
        <w:gridCol w:w="5053"/>
      </w:tblGrid>
      <w:tr w:rsidR="00DB5178" w:rsidRPr="0099114C" w14:paraId="5AAEF56F" w14:textId="77777777">
        <w:trPr>
          <w:tblHeader/>
        </w:trPr>
        <w:tc>
          <w:tcPr>
            <w:tcW w:w="626" w:type="pct"/>
            <w:shd w:val="clear" w:color="auto" w:fill="auto"/>
            <w:vAlign w:val="center"/>
          </w:tcPr>
          <w:p w14:paraId="42C8F40B" w14:textId="77777777" w:rsidR="00DB5178" w:rsidRPr="00857B0D" w:rsidRDefault="00DB5178">
            <w:pPr>
              <w:pStyle w:val="In-tableHeading"/>
              <w:jc w:val="center"/>
              <w:rPr>
                <w:lang w:val="en-AU"/>
              </w:rPr>
            </w:pPr>
            <w:r w:rsidRPr="00857B0D">
              <w:rPr>
                <w:lang w:val="en-AU"/>
              </w:rPr>
              <w:t>Description</w:t>
            </w:r>
          </w:p>
        </w:tc>
        <w:tc>
          <w:tcPr>
            <w:tcW w:w="1572" w:type="pct"/>
            <w:shd w:val="clear" w:color="auto" w:fill="auto"/>
            <w:vAlign w:val="center"/>
          </w:tcPr>
          <w:p w14:paraId="32471A78" w14:textId="77777777" w:rsidR="00DB5178" w:rsidRPr="00857B0D" w:rsidRDefault="00DB5178">
            <w:pPr>
              <w:pStyle w:val="In-tableHeading"/>
              <w:jc w:val="center"/>
              <w:rPr>
                <w:lang w:val="en-AU"/>
              </w:rPr>
            </w:pPr>
            <w:r w:rsidRPr="00857B0D">
              <w:rPr>
                <w:lang w:val="en-AU"/>
              </w:rPr>
              <w:t>Method/Value</w:t>
            </w:r>
          </w:p>
        </w:tc>
        <w:tc>
          <w:tcPr>
            <w:tcW w:w="2802" w:type="pct"/>
            <w:shd w:val="clear" w:color="auto" w:fill="auto"/>
            <w:vAlign w:val="center"/>
          </w:tcPr>
          <w:p w14:paraId="6CCF4A94" w14:textId="77777777" w:rsidR="00DB5178" w:rsidRPr="00857B0D" w:rsidRDefault="00DB5178">
            <w:pPr>
              <w:pStyle w:val="In-tableHeading"/>
              <w:jc w:val="center"/>
              <w:rPr>
                <w:lang w:val="en-AU"/>
              </w:rPr>
            </w:pPr>
            <w:r w:rsidRPr="00857B0D">
              <w:rPr>
                <w:lang w:val="en-AU"/>
              </w:rPr>
              <w:t>Impact</w:t>
            </w:r>
          </w:p>
          <w:p w14:paraId="676CF990" w14:textId="080180D9" w:rsidR="00DB5178" w:rsidRPr="00857B0D" w:rsidRDefault="00DB5178">
            <w:pPr>
              <w:pStyle w:val="In-tableHeading"/>
              <w:jc w:val="center"/>
              <w:rPr>
                <w:lang w:val="en-AU"/>
              </w:rPr>
            </w:pPr>
            <w:r w:rsidRPr="00857B0D">
              <w:rPr>
                <w:rFonts w:cs="Arial"/>
                <w:szCs w:val="20"/>
                <w:lang w:val="en-AU"/>
              </w:rPr>
              <w:t>Base case: $</w:t>
            </w:r>
            <w:r w:rsidR="000D15F9" w:rsidRPr="000D15F9">
              <w:rPr>
                <w:rFonts w:cs="Arial"/>
                <w:color w:val="000000"/>
                <w:szCs w:val="20"/>
                <w:shd w:val="solid" w:color="000000" w:fill="000000"/>
                <w:lang w:val="en-AU"/>
                <w14:textFill>
                  <w14:solidFill>
                    <w14:srgbClr w14:val="000000">
                      <w14:alpha w14:val="100000"/>
                    </w14:srgbClr>
                  </w14:solidFill>
                </w14:textFill>
              </w:rPr>
              <w:t>|</w:t>
            </w:r>
            <w:r w:rsidR="000D15F9">
              <w:rPr>
                <w:rFonts w:cs="Arial"/>
                <w:szCs w:val="20"/>
                <w:lang w:val="en-AU"/>
              </w:rPr>
              <w:t xml:space="preserve"> </w:t>
            </w:r>
            <w:r w:rsidR="000D15F9">
              <w:rPr>
                <w:szCs w:val="20"/>
                <w:vertAlign w:val="superscript"/>
              </w:rPr>
              <w:t>5</w:t>
            </w:r>
            <w:r w:rsidRPr="00857B0D">
              <w:rPr>
                <w:rFonts w:cs="Arial"/>
                <w:szCs w:val="20"/>
                <w:lang w:val="en-AU"/>
              </w:rPr>
              <w:t>/QALY gained</w:t>
            </w:r>
          </w:p>
        </w:tc>
      </w:tr>
      <w:tr w:rsidR="00DB5178" w:rsidRPr="0099114C" w14:paraId="0D0EA95C" w14:textId="77777777">
        <w:tc>
          <w:tcPr>
            <w:tcW w:w="626" w:type="pct"/>
            <w:shd w:val="clear" w:color="auto" w:fill="auto"/>
            <w:vAlign w:val="center"/>
          </w:tcPr>
          <w:p w14:paraId="050A814A" w14:textId="77777777" w:rsidR="00DB5178" w:rsidRPr="00857B0D" w:rsidRDefault="00DB5178">
            <w:pPr>
              <w:pStyle w:val="TableText"/>
            </w:pPr>
            <w:r w:rsidRPr="00857B0D">
              <w:t>Time horizon</w:t>
            </w:r>
          </w:p>
        </w:tc>
        <w:tc>
          <w:tcPr>
            <w:tcW w:w="1572" w:type="pct"/>
            <w:shd w:val="clear" w:color="auto" w:fill="auto"/>
            <w:vAlign w:val="center"/>
          </w:tcPr>
          <w:p w14:paraId="7F0E9ED0" w14:textId="77777777" w:rsidR="00DB5178" w:rsidRPr="00857B0D" w:rsidRDefault="00DB5178">
            <w:pPr>
              <w:pStyle w:val="TableText"/>
            </w:pPr>
            <w:r w:rsidRPr="00857B0D">
              <w:t>20 years</w:t>
            </w:r>
          </w:p>
        </w:tc>
        <w:tc>
          <w:tcPr>
            <w:tcW w:w="2802" w:type="pct"/>
            <w:shd w:val="clear" w:color="auto" w:fill="auto"/>
            <w:vAlign w:val="center"/>
          </w:tcPr>
          <w:p w14:paraId="6EEF94D6" w14:textId="77777777" w:rsidR="00DB5178" w:rsidRPr="00857B0D" w:rsidRDefault="00DB5178">
            <w:pPr>
              <w:pStyle w:val="TableText"/>
              <w:rPr>
                <w:iCs/>
              </w:rPr>
            </w:pPr>
            <w:r w:rsidRPr="00857B0D">
              <w:rPr>
                <w:iCs/>
              </w:rPr>
              <w:t>Very high, favours avacopan</w:t>
            </w:r>
          </w:p>
          <w:p w14:paraId="782DB892" w14:textId="220E932A" w:rsidR="00DB5178" w:rsidRPr="00857B0D" w:rsidRDefault="00DB5178">
            <w:pPr>
              <w:pStyle w:val="TableText"/>
              <w:rPr>
                <w:iCs/>
              </w:rPr>
            </w:pPr>
            <w:r w:rsidRPr="00857B0D">
              <w:rPr>
                <w:iCs/>
              </w:rPr>
              <w:t>Use of 15 and 10 year time horizon</w:t>
            </w:r>
            <w:r w:rsidR="006E2CB0" w:rsidRPr="00857B0D">
              <w:rPr>
                <w:iCs/>
              </w:rPr>
              <w:t>s</w:t>
            </w:r>
            <w:r w:rsidRPr="00857B0D">
              <w:rPr>
                <w:iCs/>
              </w:rPr>
              <w:t xml:space="preserve"> increase the ICER to $</w:t>
            </w:r>
            <w:r w:rsidR="005F1F42" w:rsidRPr="005F1F42">
              <w:rPr>
                <w:iCs/>
                <w:color w:val="000000"/>
                <w:spacing w:val="51"/>
                <w:shd w:val="solid" w:color="000000" w:fill="000000"/>
                <w:fitText w:val="325" w:id="-961807867"/>
                <w14:textFill>
                  <w14:solidFill>
                    <w14:srgbClr w14:val="000000">
                      <w14:alpha w14:val="100000"/>
                    </w14:srgbClr>
                  </w14:solidFill>
                </w14:textFill>
              </w:rPr>
              <w:t>|||</w:t>
            </w:r>
            <w:r w:rsidR="005F1F42" w:rsidRPr="005F1F42">
              <w:rPr>
                <w:iCs/>
                <w:color w:val="000000"/>
                <w:spacing w:val="2"/>
                <w:shd w:val="solid" w:color="000000" w:fill="000000"/>
                <w:fitText w:val="325" w:id="-961807867"/>
                <w14:textFill>
                  <w14:solidFill>
                    <w14:srgbClr w14:val="000000">
                      <w14:alpha w14:val="100000"/>
                    </w14:srgbClr>
                  </w14:solidFill>
                </w14:textFill>
              </w:rPr>
              <w:t>|</w:t>
            </w:r>
            <w:r w:rsidR="00233313" w:rsidRPr="009E5CCE">
              <w:rPr>
                <w:iCs/>
                <w:vertAlign w:val="superscript"/>
              </w:rPr>
              <w:t>1</w:t>
            </w:r>
            <w:r w:rsidR="00633449" w:rsidRPr="00857B0D">
              <w:rPr>
                <w:iCs/>
              </w:rPr>
              <w:t xml:space="preserve">/QALY </w:t>
            </w:r>
            <w:r w:rsidRPr="00857B0D">
              <w:rPr>
                <w:iCs/>
              </w:rPr>
              <w:t>(+20%) and $</w:t>
            </w:r>
            <w:r w:rsidR="005F1F42" w:rsidRPr="005F1F42">
              <w:rPr>
                <w:iCs/>
                <w:color w:val="000000"/>
                <w:spacing w:val="51"/>
                <w:shd w:val="solid" w:color="000000" w:fill="000000"/>
                <w:fitText w:val="326" w:id="-961807866"/>
                <w14:textFill>
                  <w14:solidFill>
                    <w14:srgbClr w14:val="000000">
                      <w14:alpha w14:val="100000"/>
                    </w14:srgbClr>
                  </w14:solidFill>
                </w14:textFill>
              </w:rPr>
              <w:t>|||</w:t>
            </w:r>
            <w:r w:rsidR="005F1F42" w:rsidRPr="005F1F42">
              <w:rPr>
                <w:iCs/>
                <w:color w:val="000000"/>
                <w:spacing w:val="3"/>
                <w:shd w:val="solid" w:color="000000" w:fill="000000"/>
                <w:fitText w:val="326" w:id="-961807866"/>
                <w14:textFill>
                  <w14:solidFill>
                    <w14:srgbClr w14:val="000000">
                      <w14:alpha w14:val="100000"/>
                    </w14:srgbClr>
                  </w14:solidFill>
                </w14:textFill>
              </w:rPr>
              <w:t>|</w:t>
            </w:r>
            <w:r w:rsidR="00233313" w:rsidRPr="009E5CCE">
              <w:rPr>
                <w:iCs/>
                <w:vertAlign w:val="superscript"/>
              </w:rPr>
              <w:t>2</w:t>
            </w:r>
            <w:r w:rsidR="00633449" w:rsidRPr="00857B0D">
              <w:rPr>
                <w:iCs/>
              </w:rPr>
              <w:t>/QALY</w:t>
            </w:r>
            <w:r w:rsidRPr="00857B0D">
              <w:rPr>
                <w:iCs/>
              </w:rPr>
              <w:t xml:space="preserve"> (+87%) respectively</w:t>
            </w:r>
          </w:p>
        </w:tc>
      </w:tr>
      <w:tr w:rsidR="00DB5178" w:rsidRPr="0099114C" w14:paraId="6932A176" w14:textId="77777777">
        <w:tc>
          <w:tcPr>
            <w:tcW w:w="626" w:type="pct"/>
            <w:shd w:val="clear" w:color="auto" w:fill="auto"/>
            <w:vAlign w:val="center"/>
          </w:tcPr>
          <w:p w14:paraId="0683ECB1" w14:textId="77777777" w:rsidR="00DB5178" w:rsidRPr="00857B0D" w:rsidRDefault="00DB5178">
            <w:pPr>
              <w:pStyle w:val="TableText"/>
            </w:pPr>
            <w:r w:rsidRPr="00857B0D">
              <w:t>Difference in remission and relapse rate</w:t>
            </w:r>
          </w:p>
        </w:tc>
        <w:tc>
          <w:tcPr>
            <w:tcW w:w="1572" w:type="pct"/>
            <w:shd w:val="clear" w:color="auto" w:fill="auto"/>
            <w:vAlign w:val="center"/>
          </w:tcPr>
          <w:p w14:paraId="0E1BF39B" w14:textId="65A4F1FA" w:rsidR="00DB5178" w:rsidRPr="00857B0D" w:rsidRDefault="00DB5178">
            <w:pPr>
              <w:pStyle w:val="TableText"/>
            </w:pPr>
            <w:r w:rsidRPr="00857B0D">
              <w:t xml:space="preserve">26 weeks: avacopan + </w:t>
            </w:r>
            <w:r w:rsidR="009C4ECD" w:rsidRPr="00857B0D">
              <w:t>SOC</w:t>
            </w:r>
            <w:r w:rsidRPr="00857B0D">
              <w:t xml:space="preserve"> 72.5% and GC + </w:t>
            </w:r>
            <w:r w:rsidR="009C4ECD" w:rsidRPr="00857B0D">
              <w:t>SOC</w:t>
            </w:r>
            <w:r w:rsidRPr="00857B0D">
              <w:t xml:space="preserve"> 70.1%</w:t>
            </w:r>
          </w:p>
          <w:p w14:paraId="615D48B7" w14:textId="2016088C" w:rsidR="00DB5178" w:rsidRPr="00857B0D" w:rsidRDefault="00DB5178">
            <w:pPr>
              <w:pStyle w:val="TableText"/>
            </w:pPr>
            <w:r w:rsidRPr="00857B0D">
              <w:t xml:space="preserve">52 weeks avacopan + </w:t>
            </w:r>
            <w:r w:rsidR="009C4ECD" w:rsidRPr="00857B0D">
              <w:t>SOC</w:t>
            </w:r>
            <w:r w:rsidRPr="00857B0D">
              <w:t xml:space="preserve"> 65.7% and GC + </w:t>
            </w:r>
            <w:r w:rsidR="009C4ECD" w:rsidRPr="00857B0D">
              <w:t>SOC</w:t>
            </w:r>
            <w:r w:rsidRPr="00857B0D">
              <w:t xml:space="preserve"> 54.9%</w:t>
            </w:r>
          </w:p>
        </w:tc>
        <w:tc>
          <w:tcPr>
            <w:tcW w:w="2802" w:type="pct"/>
            <w:shd w:val="clear" w:color="auto" w:fill="auto"/>
            <w:vAlign w:val="center"/>
          </w:tcPr>
          <w:p w14:paraId="52BB724A" w14:textId="77777777" w:rsidR="00DB5178" w:rsidRPr="00857B0D" w:rsidRDefault="00DB5178">
            <w:pPr>
              <w:pStyle w:val="TableText"/>
              <w:rPr>
                <w:iCs/>
              </w:rPr>
            </w:pPr>
            <w:r w:rsidRPr="00857B0D">
              <w:rPr>
                <w:iCs/>
              </w:rPr>
              <w:t xml:space="preserve">Very high, favours avacopan </w:t>
            </w:r>
          </w:p>
          <w:p w14:paraId="7C1C6A9A" w14:textId="3B2245B3" w:rsidR="00DB5178" w:rsidRPr="00857B0D" w:rsidRDefault="00DB5178">
            <w:pPr>
              <w:pStyle w:val="TableText"/>
              <w:rPr>
                <w:iCs/>
              </w:rPr>
            </w:pPr>
            <w:r w:rsidRPr="00857B0D">
              <w:rPr>
                <w:iCs/>
              </w:rPr>
              <w:t xml:space="preserve">When the difference in relapse and remission rate is equal to that of GC + </w:t>
            </w:r>
            <w:r w:rsidR="009C4ECD" w:rsidRPr="00857B0D">
              <w:rPr>
                <w:iCs/>
              </w:rPr>
              <w:t>SOC</w:t>
            </w:r>
            <w:r w:rsidRPr="00857B0D">
              <w:rPr>
                <w:iCs/>
              </w:rPr>
              <w:t xml:space="preserve"> the ICER increases to $</w:t>
            </w:r>
            <w:r w:rsidR="005F1F42" w:rsidRPr="005F1F42">
              <w:rPr>
                <w:iCs/>
                <w:color w:val="000000"/>
                <w:spacing w:val="51"/>
                <w:shd w:val="solid" w:color="000000" w:fill="000000"/>
                <w:fitText w:val="326" w:id="-961807616"/>
                <w14:textFill>
                  <w14:solidFill>
                    <w14:srgbClr w14:val="000000">
                      <w14:alpha w14:val="100000"/>
                    </w14:srgbClr>
                  </w14:solidFill>
                </w14:textFill>
              </w:rPr>
              <w:t>|||</w:t>
            </w:r>
            <w:r w:rsidR="005F1F42" w:rsidRPr="005F1F42">
              <w:rPr>
                <w:iCs/>
                <w:color w:val="000000"/>
                <w:spacing w:val="3"/>
                <w:shd w:val="solid" w:color="000000" w:fill="000000"/>
                <w:fitText w:val="326" w:id="-961807616"/>
                <w14:textFill>
                  <w14:solidFill>
                    <w14:srgbClr w14:val="000000">
                      <w14:alpha w14:val="100000"/>
                    </w14:srgbClr>
                  </w14:solidFill>
                </w14:textFill>
              </w:rPr>
              <w:t>|</w:t>
            </w:r>
            <w:r w:rsidR="00233313" w:rsidRPr="001A420F">
              <w:rPr>
                <w:iCs/>
                <w:vertAlign w:val="superscript"/>
              </w:rPr>
              <w:t>2</w:t>
            </w:r>
            <w:r w:rsidR="00883272" w:rsidRPr="00857B0D">
              <w:rPr>
                <w:iCs/>
              </w:rPr>
              <w:t>/</w:t>
            </w:r>
            <w:r w:rsidRPr="00857B0D">
              <w:rPr>
                <w:iCs/>
              </w:rPr>
              <w:t>QALY</w:t>
            </w:r>
            <w:r w:rsidR="00BD2363" w:rsidRPr="00857B0D">
              <w:rPr>
                <w:iCs/>
              </w:rPr>
              <w:t xml:space="preserve"> (+93%)</w:t>
            </w:r>
          </w:p>
        </w:tc>
      </w:tr>
      <w:tr w:rsidR="00DB5178" w:rsidRPr="0099114C" w14:paraId="5CDC03CB" w14:textId="77777777">
        <w:tc>
          <w:tcPr>
            <w:tcW w:w="626" w:type="pct"/>
            <w:shd w:val="clear" w:color="auto" w:fill="auto"/>
            <w:vAlign w:val="center"/>
          </w:tcPr>
          <w:p w14:paraId="56690E19" w14:textId="77777777" w:rsidR="00DB5178" w:rsidRPr="00857B0D" w:rsidRDefault="00DB5178">
            <w:pPr>
              <w:pStyle w:val="TableText"/>
            </w:pPr>
            <w:r w:rsidRPr="00857B0D">
              <w:t xml:space="preserve">Waning </w:t>
            </w:r>
          </w:p>
        </w:tc>
        <w:tc>
          <w:tcPr>
            <w:tcW w:w="1572" w:type="pct"/>
            <w:shd w:val="clear" w:color="auto" w:fill="auto"/>
            <w:vAlign w:val="center"/>
          </w:tcPr>
          <w:p w14:paraId="174EB3F2" w14:textId="77777777" w:rsidR="00DB5178" w:rsidRPr="00857B0D" w:rsidRDefault="00DB5178">
            <w:pPr>
              <w:pStyle w:val="TableText"/>
            </w:pPr>
            <w:r w:rsidRPr="00857B0D">
              <w:t xml:space="preserve">Treatment effect waned 6-months following cessation of treatment </w:t>
            </w:r>
          </w:p>
        </w:tc>
        <w:tc>
          <w:tcPr>
            <w:tcW w:w="2802" w:type="pct"/>
            <w:shd w:val="clear" w:color="auto" w:fill="auto"/>
            <w:vAlign w:val="center"/>
          </w:tcPr>
          <w:p w14:paraId="4159FCBE" w14:textId="77777777" w:rsidR="00DB5178" w:rsidRPr="00857B0D" w:rsidRDefault="00DB5178">
            <w:pPr>
              <w:pStyle w:val="TableText"/>
              <w:rPr>
                <w:iCs/>
              </w:rPr>
            </w:pPr>
            <w:r w:rsidRPr="00857B0D">
              <w:rPr>
                <w:iCs/>
              </w:rPr>
              <w:t>High, favours avacopan</w:t>
            </w:r>
          </w:p>
          <w:p w14:paraId="3441D6D9" w14:textId="4D856371" w:rsidR="00DB5178" w:rsidRPr="00857B0D" w:rsidRDefault="00DB5178">
            <w:pPr>
              <w:pStyle w:val="TableText"/>
              <w:rPr>
                <w:iCs/>
              </w:rPr>
            </w:pPr>
            <w:r w:rsidRPr="00857B0D">
              <w:rPr>
                <w:iCs/>
              </w:rPr>
              <w:t>When the treatment effect was stopped at the cessation of treatment the ICER increased to $</w:t>
            </w:r>
            <w:r w:rsidR="005F1F42" w:rsidRPr="005F1F42">
              <w:rPr>
                <w:iCs/>
                <w:color w:val="000000"/>
                <w:spacing w:val="51"/>
                <w:shd w:val="solid" w:color="000000" w:fill="000000"/>
                <w:fitText w:val="325" w:id="-961807615"/>
                <w14:textFill>
                  <w14:solidFill>
                    <w14:srgbClr w14:val="000000">
                      <w14:alpha w14:val="100000"/>
                    </w14:srgbClr>
                  </w14:solidFill>
                </w14:textFill>
              </w:rPr>
              <w:t>|||</w:t>
            </w:r>
            <w:r w:rsidR="005F1F42" w:rsidRPr="005F1F42">
              <w:rPr>
                <w:iCs/>
                <w:color w:val="000000"/>
                <w:spacing w:val="2"/>
                <w:shd w:val="solid" w:color="000000" w:fill="000000"/>
                <w:fitText w:val="325" w:id="-961807615"/>
                <w14:textFill>
                  <w14:solidFill>
                    <w14:srgbClr w14:val="000000">
                      <w14:alpha w14:val="100000"/>
                    </w14:srgbClr>
                  </w14:solidFill>
                </w14:textFill>
              </w:rPr>
              <w:t>|</w:t>
            </w:r>
            <w:r w:rsidR="00233313">
              <w:rPr>
                <w:iCs/>
                <w:vertAlign w:val="superscript"/>
              </w:rPr>
              <w:t>3</w:t>
            </w:r>
            <w:r w:rsidR="00883272" w:rsidRPr="00857B0D">
              <w:rPr>
                <w:iCs/>
              </w:rPr>
              <w:t>/</w:t>
            </w:r>
            <w:r w:rsidRPr="00857B0D">
              <w:rPr>
                <w:iCs/>
              </w:rPr>
              <w:t>QALY</w:t>
            </w:r>
            <w:r w:rsidR="00BD2363" w:rsidRPr="00857B0D">
              <w:rPr>
                <w:iCs/>
              </w:rPr>
              <w:t xml:space="preserve"> (+56%)</w:t>
            </w:r>
          </w:p>
        </w:tc>
      </w:tr>
      <w:tr w:rsidR="00DB5178" w:rsidRPr="0099114C" w14:paraId="2CC35510" w14:textId="77777777">
        <w:tc>
          <w:tcPr>
            <w:tcW w:w="626" w:type="pct"/>
            <w:shd w:val="clear" w:color="auto" w:fill="auto"/>
            <w:vAlign w:val="center"/>
          </w:tcPr>
          <w:p w14:paraId="7F8A6F17" w14:textId="77777777" w:rsidR="00DB5178" w:rsidRPr="00857B0D" w:rsidRDefault="00DB5178">
            <w:pPr>
              <w:pStyle w:val="TableText"/>
            </w:pPr>
            <w:r w:rsidRPr="00857B0D">
              <w:t xml:space="preserve">Proportion of infections avoided </w:t>
            </w:r>
          </w:p>
        </w:tc>
        <w:tc>
          <w:tcPr>
            <w:tcW w:w="1572" w:type="pct"/>
            <w:shd w:val="clear" w:color="auto" w:fill="auto"/>
            <w:vAlign w:val="center"/>
          </w:tcPr>
          <w:p w14:paraId="7CD4B838" w14:textId="77777777" w:rsidR="00DB5178" w:rsidRPr="00857B0D" w:rsidRDefault="00DB5178">
            <w:pPr>
              <w:pStyle w:val="TableText"/>
            </w:pPr>
            <w:r w:rsidRPr="00857B0D">
              <w:t>72.1% for those in the avacopan arm</w:t>
            </w:r>
          </w:p>
        </w:tc>
        <w:tc>
          <w:tcPr>
            <w:tcW w:w="2802" w:type="pct"/>
            <w:shd w:val="clear" w:color="auto" w:fill="auto"/>
            <w:vAlign w:val="center"/>
          </w:tcPr>
          <w:p w14:paraId="07AC27B8" w14:textId="77777777" w:rsidR="00DB5178" w:rsidRPr="00857B0D" w:rsidRDefault="00DB5178">
            <w:pPr>
              <w:pStyle w:val="TableText"/>
              <w:rPr>
                <w:iCs/>
              </w:rPr>
            </w:pPr>
            <w:r w:rsidRPr="00857B0D">
              <w:rPr>
                <w:iCs/>
              </w:rPr>
              <w:t>High, favours avacopan</w:t>
            </w:r>
          </w:p>
          <w:p w14:paraId="727C7C8E" w14:textId="75F399E7" w:rsidR="00DB5178" w:rsidRPr="00857B0D" w:rsidRDefault="00DB5178">
            <w:pPr>
              <w:pStyle w:val="TableText"/>
              <w:rPr>
                <w:iCs/>
              </w:rPr>
            </w:pPr>
            <w:r w:rsidRPr="00857B0D">
              <w:rPr>
                <w:iCs/>
              </w:rPr>
              <w:t>When no effect was assumed the ICER increased to $</w:t>
            </w:r>
            <w:r w:rsidR="005F1F42" w:rsidRPr="005F1F42">
              <w:rPr>
                <w:iCs/>
                <w:color w:val="000000"/>
                <w:spacing w:val="51"/>
                <w:shd w:val="solid" w:color="000000" w:fill="000000"/>
                <w:fitText w:val="326" w:id="-961807614"/>
                <w14:textFill>
                  <w14:solidFill>
                    <w14:srgbClr w14:val="000000">
                      <w14:alpha w14:val="100000"/>
                    </w14:srgbClr>
                  </w14:solidFill>
                </w14:textFill>
              </w:rPr>
              <w:t>|||</w:t>
            </w:r>
            <w:r w:rsidR="005F1F42" w:rsidRPr="005F1F42">
              <w:rPr>
                <w:iCs/>
                <w:color w:val="000000"/>
                <w:spacing w:val="3"/>
                <w:shd w:val="solid" w:color="000000" w:fill="000000"/>
                <w:fitText w:val="326" w:id="-961807614"/>
                <w14:textFill>
                  <w14:solidFill>
                    <w14:srgbClr w14:val="000000">
                      <w14:alpha w14:val="100000"/>
                    </w14:srgbClr>
                  </w14:solidFill>
                </w14:textFill>
              </w:rPr>
              <w:t>|</w:t>
            </w:r>
            <w:r w:rsidR="00233313" w:rsidRPr="001A420F">
              <w:rPr>
                <w:iCs/>
                <w:vertAlign w:val="superscript"/>
              </w:rPr>
              <w:t>2</w:t>
            </w:r>
            <w:r w:rsidR="00883272" w:rsidRPr="00857B0D">
              <w:rPr>
                <w:iCs/>
              </w:rPr>
              <w:t>/</w:t>
            </w:r>
            <w:r w:rsidR="007F1701" w:rsidRPr="00857B0D">
              <w:rPr>
                <w:iCs/>
              </w:rPr>
              <w:t xml:space="preserve">QALY </w:t>
            </w:r>
            <w:r w:rsidRPr="00857B0D">
              <w:rPr>
                <w:iCs/>
              </w:rPr>
              <w:t>(+82%)</w:t>
            </w:r>
          </w:p>
        </w:tc>
      </w:tr>
      <w:tr w:rsidR="00DB5178" w:rsidRPr="0099114C" w14:paraId="4BD2304B" w14:textId="77777777">
        <w:tc>
          <w:tcPr>
            <w:tcW w:w="626" w:type="pct"/>
            <w:shd w:val="clear" w:color="auto" w:fill="auto"/>
            <w:vAlign w:val="center"/>
          </w:tcPr>
          <w:p w14:paraId="5CA31BDB" w14:textId="77777777" w:rsidR="00DB5178" w:rsidRPr="00857B0D" w:rsidRDefault="00DB5178">
            <w:pPr>
              <w:pStyle w:val="TableText"/>
            </w:pPr>
            <w:r w:rsidRPr="00857B0D">
              <w:t>HR applied to corresponding change in eGFR</w:t>
            </w:r>
          </w:p>
        </w:tc>
        <w:tc>
          <w:tcPr>
            <w:tcW w:w="1572" w:type="pct"/>
            <w:shd w:val="clear" w:color="auto" w:fill="auto"/>
            <w:vAlign w:val="center"/>
          </w:tcPr>
          <w:p w14:paraId="7870809D" w14:textId="19E8A842" w:rsidR="00DB5178" w:rsidRPr="00857B0D" w:rsidRDefault="00DB5178">
            <w:pPr>
              <w:pStyle w:val="TableText"/>
            </w:pPr>
            <w:r w:rsidRPr="00857B0D">
              <w:t>HR=0.95</w:t>
            </w:r>
            <w:r w:rsidR="004C28EA" w:rsidRPr="00857B0D">
              <w:t>5</w:t>
            </w:r>
            <w:r w:rsidRPr="00857B0D">
              <w:t>, pooled data from Gercik et al. (2020) and Brix et al. (2018)</w:t>
            </w:r>
          </w:p>
        </w:tc>
        <w:tc>
          <w:tcPr>
            <w:tcW w:w="2802" w:type="pct"/>
            <w:shd w:val="clear" w:color="auto" w:fill="auto"/>
            <w:vAlign w:val="center"/>
          </w:tcPr>
          <w:p w14:paraId="0F0301FF" w14:textId="1790DBC7" w:rsidR="00DB5178" w:rsidRPr="00857B0D" w:rsidRDefault="00DB5178">
            <w:pPr>
              <w:pStyle w:val="TableText"/>
              <w:rPr>
                <w:iCs/>
              </w:rPr>
            </w:pPr>
            <w:r w:rsidRPr="00857B0D">
              <w:rPr>
                <w:iCs/>
              </w:rPr>
              <w:t xml:space="preserve">High, uncertain and could favour </w:t>
            </w:r>
            <w:r w:rsidR="006E2CB0" w:rsidRPr="00857B0D">
              <w:rPr>
                <w:iCs/>
              </w:rPr>
              <w:t>either.</w:t>
            </w:r>
          </w:p>
          <w:p w14:paraId="017049F7" w14:textId="4BDAAE73" w:rsidR="00DB5178" w:rsidRPr="00857B0D" w:rsidRDefault="00DB5178">
            <w:pPr>
              <w:pStyle w:val="TableText"/>
              <w:rPr>
                <w:iCs/>
              </w:rPr>
            </w:pPr>
            <w:r w:rsidRPr="00857B0D">
              <w:rPr>
                <w:iCs/>
              </w:rPr>
              <w:t>Using the HR of 0.90 applied in the previous submission decreases the ICER to $</w:t>
            </w:r>
            <w:r w:rsidR="005F1F42" w:rsidRPr="005F1F42">
              <w:rPr>
                <w:iCs/>
                <w:color w:val="000000"/>
                <w:spacing w:val="55"/>
                <w:shd w:val="solid" w:color="000000" w:fill="000000"/>
                <w:fitText w:val="338" w:id="-961807613"/>
                <w14:textFill>
                  <w14:solidFill>
                    <w14:srgbClr w14:val="000000">
                      <w14:alpha w14:val="100000"/>
                    </w14:srgbClr>
                  </w14:solidFill>
                </w14:textFill>
              </w:rPr>
              <w:t>|||</w:t>
            </w:r>
            <w:r w:rsidR="005F1F42" w:rsidRPr="005F1F42">
              <w:rPr>
                <w:iCs/>
                <w:color w:val="000000"/>
                <w:spacing w:val="3"/>
                <w:shd w:val="solid" w:color="000000" w:fill="000000"/>
                <w:fitText w:val="338" w:id="-961807613"/>
                <w14:textFill>
                  <w14:solidFill>
                    <w14:srgbClr w14:val="000000">
                      <w14:alpha w14:val="100000"/>
                    </w14:srgbClr>
                  </w14:solidFill>
                </w14:textFill>
              </w:rPr>
              <w:t>|</w:t>
            </w:r>
            <w:r w:rsidR="009D133A">
              <w:rPr>
                <w:iCs/>
                <w:vertAlign w:val="superscript"/>
              </w:rPr>
              <w:t>4</w:t>
            </w:r>
            <w:r w:rsidRPr="00857B0D">
              <w:rPr>
                <w:iCs/>
              </w:rPr>
              <w:t xml:space="preserve"> (-37%) using the 0.96 from Brix et al. (2018) increased the ICER to $</w:t>
            </w:r>
            <w:r w:rsidR="005F1F42" w:rsidRPr="005F1F42">
              <w:rPr>
                <w:iCs/>
                <w:color w:val="000000"/>
                <w:spacing w:val="51"/>
                <w:shd w:val="solid" w:color="000000" w:fill="000000"/>
                <w:fitText w:val="325" w:id="-961807612"/>
                <w14:textFill>
                  <w14:solidFill>
                    <w14:srgbClr w14:val="000000">
                      <w14:alpha w14:val="100000"/>
                    </w14:srgbClr>
                  </w14:solidFill>
                </w14:textFill>
              </w:rPr>
              <w:t>|||</w:t>
            </w:r>
            <w:r w:rsidR="005F1F42" w:rsidRPr="005F1F42">
              <w:rPr>
                <w:iCs/>
                <w:color w:val="000000"/>
                <w:spacing w:val="2"/>
                <w:shd w:val="solid" w:color="000000" w:fill="000000"/>
                <w:fitText w:val="325" w:id="-961807612"/>
                <w14:textFill>
                  <w14:solidFill>
                    <w14:srgbClr w14:val="000000">
                      <w14:alpha w14:val="100000"/>
                    </w14:srgbClr>
                  </w14:solidFill>
                </w14:textFill>
              </w:rPr>
              <w:t>|</w:t>
            </w:r>
            <w:r w:rsidR="009D133A">
              <w:rPr>
                <w:iCs/>
                <w:vertAlign w:val="superscript"/>
              </w:rPr>
              <w:t>5</w:t>
            </w:r>
            <w:r w:rsidR="00553427" w:rsidRPr="00857B0D">
              <w:rPr>
                <w:iCs/>
              </w:rPr>
              <w:t>/</w:t>
            </w:r>
            <w:r w:rsidR="007F1701" w:rsidRPr="00857B0D">
              <w:rPr>
                <w:iCs/>
              </w:rPr>
              <w:t>QALY</w:t>
            </w:r>
            <w:r w:rsidRPr="00857B0D">
              <w:rPr>
                <w:iCs/>
              </w:rPr>
              <w:t xml:space="preserve"> (+3%)</w:t>
            </w:r>
          </w:p>
        </w:tc>
      </w:tr>
    </w:tbl>
    <w:p w14:paraId="5993837D" w14:textId="77777777" w:rsidR="00DB5178" w:rsidRPr="0099114C" w:rsidRDefault="00DB5178" w:rsidP="00DB5178">
      <w:pPr>
        <w:pStyle w:val="FooterTableFigure"/>
      </w:pPr>
      <w:r w:rsidRPr="0099114C">
        <w:t>Source: Compiled during the evaluation using information from Table 3-35, p163 of the resubmission and outputs from Attachment 26</w:t>
      </w:r>
    </w:p>
    <w:p w14:paraId="0B283A57" w14:textId="625D12D0" w:rsidR="00DB5178" w:rsidRDefault="00DB5178" w:rsidP="00DB5178">
      <w:pPr>
        <w:pStyle w:val="FooterTableFigure"/>
      </w:pPr>
      <w:r w:rsidRPr="0099114C">
        <w:t>Abbreviations</w:t>
      </w:r>
      <w:r w:rsidR="00761CF0" w:rsidRPr="0099114C">
        <w:t xml:space="preserve"> </w:t>
      </w:r>
      <w:r w:rsidRPr="0099114C">
        <w:t>:</w:t>
      </w:r>
      <w:r w:rsidR="0083333E" w:rsidRPr="0099114C">
        <w:t>eG</w:t>
      </w:r>
      <w:r w:rsidR="00BD3867" w:rsidRPr="0099114C">
        <w:t>FR, estimated glomerular filtration rate;</w:t>
      </w:r>
      <w:r w:rsidRPr="0099114C">
        <w:t xml:space="preserve"> GC, glucocorticoid; </w:t>
      </w:r>
      <w:r w:rsidR="00761CF0" w:rsidRPr="0099114C">
        <w:t xml:space="preserve">HR, hazard ratio; </w:t>
      </w:r>
      <w:r w:rsidRPr="0099114C">
        <w:t xml:space="preserve">ICER, incremental cost-effectiveness ratio; QALY, quality-adjusted life year; </w:t>
      </w:r>
      <w:r w:rsidR="009C4ECD" w:rsidRPr="0099114C">
        <w:t>SOC</w:t>
      </w:r>
      <w:r w:rsidRPr="0099114C">
        <w:t>, Standard of care</w:t>
      </w:r>
      <w:r w:rsidR="00761CF0" w:rsidRPr="0099114C">
        <w:t>.</w:t>
      </w:r>
    </w:p>
    <w:p w14:paraId="7805C1F8" w14:textId="77777777" w:rsidR="00233313" w:rsidRPr="009E5CCE" w:rsidRDefault="00233313" w:rsidP="00233313">
      <w:pPr>
        <w:pStyle w:val="FooterTableFigure"/>
        <w:rPr>
          <w:i/>
          <w:iCs/>
        </w:rPr>
      </w:pPr>
      <w:r w:rsidRPr="009E5CCE">
        <w:rPr>
          <w:i/>
          <w:iCs/>
        </w:rPr>
        <w:t>The redacted values correspond to the following ranges:</w:t>
      </w:r>
    </w:p>
    <w:p w14:paraId="356C4397" w14:textId="64A70E45" w:rsidR="00233313" w:rsidRPr="009E5CCE" w:rsidRDefault="00233313" w:rsidP="00233313">
      <w:pPr>
        <w:pStyle w:val="FooterTableFigure"/>
        <w:rPr>
          <w:i/>
          <w:iCs/>
        </w:rPr>
      </w:pPr>
      <w:r w:rsidRPr="009E5CCE">
        <w:rPr>
          <w:i/>
          <w:iCs/>
          <w:vertAlign w:val="superscript"/>
        </w:rPr>
        <w:t xml:space="preserve">1 </w:t>
      </w:r>
      <w:r w:rsidRPr="009E5CCE">
        <w:rPr>
          <w:i/>
          <w:iCs/>
        </w:rPr>
        <w:t>$75,000 to &lt; $95,000</w:t>
      </w:r>
    </w:p>
    <w:p w14:paraId="489F9927" w14:textId="12C61809" w:rsidR="00233313" w:rsidRPr="009E5CCE" w:rsidRDefault="00233313" w:rsidP="00233313">
      <w:pPr>
        <w:pStyle w:val="FooterTableFigure"/>
        <w:rPr>
          <w:i/>
          <w:iCs/>
        </w:rPr>
      </w:pPr>
      <w:r w:rsidRPr="009E5CCE">
        <w:rPr>
          <w:i/>
          <w:iCs/>
          <w:vertAlign w:val="superscript"/>
        </w:rPr>
        <w:t>2</w:t>
      </w:r>
      <w:r w:rsidRPr="009E5CCE">
        <w:rPr>
          <w:i/>
          <w:iCs/>
        </w:rPr>
        <w:t xml:space="preserve"> $115,000 to &lt; $135,000</w:t>
      </w:r>
    </w:p>
    <w:p w14:paraId="16887D88" w14:textId="44945FF1" w:rsidR="009D133A" w:rsidRPr="009E5CCE" w:rsidRDefault="009D133A" w:rsidP="00233313">
      <w:pPr>
        <w:pStyle w:val="FooterTableFigure"/>
        <w:rPr>
          <w:i/>
          <w:iCs/>
        </w:rPr>
      </w:pPr>
      <w:r w:rsidRPr="009E5CCE">
        <w:rPr>
          <w:i/>
          <w:iCs/>
          <w:vertAlign w:val="superscript"/>
        </w:rPr>
        <w:t xml:space="preserve">3 </w:t>
      </w:r>
      <w:r w:rsidRPr="009E5CCE">
        <w:rPr>
          <w:i/>
          <w:iCs/>
        </w:rPr>
        <w:t>$95,000 to &lt; $115,000</w:t>
      </w:r>
    </w:p>
    <w:p w14:paraId="157D35C3" w14:textId="0F335BF2" w:rsidR="00233313" w:rsidRPr="009E5CCE" w:rsidRDefault="009D133A" w:rsidP="00233313">
      <w:pPr>
        <w:pStyle w:val="FooterTableFigure"/>
        <w:rPr>
          <w:i/>
          <w:iCs/>
        </w:rPr>
      </w:pPr>
      <w:r w:rsidRPr="009E5CCE">
        <w:rPr>
          <w:i/>
          <w:iCs/>
          <w:vertAlign w:val="superscript"/>
        </w:rPr>
        <w:t>4</w:t>
      </w:r>
      <w:r w:rsidRPr="009E5CCE">
        <w:rPr>
          <w:i/>
          <w:iCs/>
        </w:rPr>
        <w:t xml:space="preserve"> </w:t>
      </w:r>
      <w:r w:rsidR="00233313" w:rsidRPr="009E5CCE">
        <w:rPr>
          <w:i/>
          <w:iCs/>
        </w:rPr>
        <w:t>$35,000 to &lt; $45,000</w:t>
      </w:r>
    </w:p>
    <w:p w14:paraId="106324B7" w14:textId="5DD041E3" w:rsidR="00233313" w:rsidRPr="009E5CCE" w:rsidRDefault="009D133A" w:rsidP="00233313">
      <w:pPr>
        <w:pStyle w:val="FooterTableFigure"/>
        <w:rPr>
          <w:i/>
          <w:iCs/>
        </w:rPr>
      </w:pPr>
      <w:r w:rsidRPr="009E5CCE">
        <w:rPr>
          <w:i/>
          <w:iCs/>
          <w:vertAlign w:val="superscript"/>
        </w:rPr>
        <w:t>5</w:t>
      </w:r>
      <w:r w:rsidRPr="009E5CCE">
        <w:rPr>
          <w:i/>
          <w:iCs/>
        </w:rPr>
        <w:t xml:space="preserve"> </w:t>
      </w:r>
      <w:r w:rsidR="00233313" w:rsidRPr="009E5CCE">
        <w:rPr>
          <w:i/>
          <w:iCs/>
        </w:rPr>
        <w:t xml:space="preserve">$55,000 to &lt; $75,000 </w:t>
      </w:r>
    </w:p>
    <w:p w14:paraId="42115530" w14:textId="2B4C2076" w:rsidR="001C1F29" w:rsidRPr="0099114C" w:rsidRDefault="001C1F29" w:rsidP="00DB5178">
      <w:pPr>
        <w:pStyle w:val="3-BodyText"/>
      </w:pPr>
      <w:r w:rsidRPr="0099114C">
        <w:t xml:space="preserve">The results of the economic evaluation are presented in </w:t>
      </w:r>
      <w:r w:rsidRPr="0099114C">
        <w:fldChar w:fldCharType="begin" w:fldLock="1"/>
      </w:r>
      <w:r w:rsidRPr="0099114C">
        <w:instrText xml:space="preserve"> REF _Ref153179765 \h </w:instrText>
      </w:r>
      <w:r w:rsidRPr="0099114C">
        <w:fldChar w:fldCharType="separate"/>
      </w:r>
      <w:r w:rsidR="00A04368" w:rsidRPr="0099114C">
        <w:t xml:space="preserve">Table </w:t>
      </w:r>
      <w:r w:rsidR="00A04368" w:rsidRPr="00857B0D">
        <w:t>13</w:t>
      </w:r>
      <w:r w:rsidRPr="0099114C">
        <w:fldChar w:fldCharType="end"/>
      </w:r>
      <w:r w:rsidRPr="0099114C">
        <w:t>.</w:t>
      </w:r>
      <w:r w:rsidR="007160C9" w:rsidRPr="0099114C">
        <w:t xml:space="preserve"> The resubmission did not present a stepped economic evaluation</w:t>
      </w:r>
      <w:r w:rsidR="00BE4A35" w:rsidRPr="0099114C">
        <w:t xml:space="preserve">. This would have been informative </w:t>
      </w:r>
      <w:r w:rsidR="00FF1DC1" w:rsidRPr="0099114C">
        <w:t xml:space="preserve">to demonstrate the impact of </w:t>
      </w:r>
      <w:r w:rsidR="004726C4" w:rsidRPr="0099114C">
        <w:t>the transformation of costs and outcomes to include multiple relapse</w:t>
      </w:r>
      <w:r w:rsidR="006E2CB0" w:rsidRPr="0099114C">
        <w:t>s</w:t>
      </w:r>
      <w:r w:rsidR="004726C4" w:rsidRPr="0099114C">
        <w:t>, re-inductions with avacopan and treatment over the 20-year time horizon.</w:t>
      </w:r>
    </w:p>
    <w:p w14:paraId="5F1ABE7C" w14:textId="3C4093DD" w:rsidR="001C1F29" w:rsidRPr="0099114C" w:rsidRDefault="00DB5178" w:rsidP="003D26D2">
      <w:pPr>
        <w:pStyle w:val="TableFigureHeading"/>
        <w:rPr>
          <w:rStyle w:val="CommentReference"/>
          <w:b/>
          <w:szCs w:val="24"/>
        </w:rPr>
      </w:pPr>
      <w:bookmarkStart w:id="74" w:name="_Ref153179765"/>
      <w:bookmarkStart w:id="75" w:name="_Ref153179761"/>
      <w:r w:rsidRPr="0099114C">
        <w:lastRenderedPageBreak/>
        <w:t xml:space="preserve">Table </w:t>
      </w:r>
      <w:fldSimple w:instr=" SEQ Table \* ARABIC " w:fldLock="1">
        <w:r w:rsidR="00A04368" w:rsidRPr="00857B0D">
          <w:t>13</w:t>
        </w:r>
      </w:fldSimple>
      <w:bookmarkEnd w:id="74"/>
      <w:r w:rsidRPr="0099114C">
        <w:rPr>
          <w:rStyle w:val="CommentReference"/>
          <w:b/>
          <w:szCs w:val="24"/>
        </w:rPr>
        <w:t xml:space="preserve">: Results of the </w:t>
      </w:r>
      <w:r w:rsidR="001C1F29" w:rsidRPr="0099114C">
        <w:rPr>
          <w:rStyle w:val="CommentReference"/>
          <w:b/>
          <w:szCs w:val="24"/>
        </w:rPr>
        <w:t>economic evaluation</w:t>
      </w:r>
      <w:bookmarkEnd w:id="75"/>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3: Results of the economic evaluation"/>
      </w:tblPr>
      <w:tblGrid>
        <w:gridCol w:w="2766"/>
        <w:gridCol w:w="2449"/>
        <w:gridCol w:w="2294"/>
        <w:gridCol w:w="1507"/>
      </w:tblGrid>
      <w:tr w:rsidR="00D31226" w:rsidRPr="0099114C" w14:paraId="08B72692" w14:textId="77777777" w:rsidTr="00D31226">
        <w:trPr>
          <w:cantSplit/>
          <w:tblHeader/>
        </w:trPr>
        <w:tc>
          <w:tcPr>
            <w:tcW w:w="1534" w:type="pct"/>
            <w:tcBorders>
              <w:top w:val="single" w:sz="4" w:space="0" w:color="auto"/>
              <w:left w:val="single" w:sz="4" w:space="0" w:color="auto"/>
              <w:bottom w:val="single" w:sz="4" w:space="0" w:color="auto"/>
              <w:right w:val="single" w:sz="4" w:space="0" w:color="auto"/>
            </w:tcBorders>
            <w:vAlign w:val="center"/>
          </w:tcPr>
          <w:p w14:paraId="3730E79C" w14:textId="77777777" w:rsidR="00D31226" w:rsidRPr="00857B0D" w:rsidRDefault="00D31226" w:rsidP="003D26D2">
            <w:pPr>
              <w:pStyle w:val="In-tableHeading"/>
              <w:spacing w:line="256" w:lineRule="auto"/>
              <w:rPr>
                <w:kern w:val="2"/>
                <w:lang w:val="en-AU" w:eastAsia="en-US"/>
                <w14:ligatures w14:val="standardContextual"/>
              </w:rPr>
            </w:pPr>
          </w:p>
        </w:tc>
        <w:tc>
          <w:tcPr>
            <w:tcW w:w="1358" w:type="pct"/>
            <w:tcBorders>
              <w:top w:val="single" w:sz="4" w:space="0" w:color="auto"/>
              <w:left w:val="single" w:sz="4" w:space="0" w:color="auto"/>
              <w:bottom w:val="single" w:sz="4" w:space="0" w:color="auto"/>
              <w:right w:val="single" w:sz="4" w:space="0" w:color="auto"/>
            </w:tcBorders>
            <w:vAlign w:val="center"/>
            <w:hideMark/>
          </w:tcPr>
          <w:p w14:paraId="6A320AAF" w14:textId="77777777" w:rsidR="00D31226" w:rsidRPr="00857B0D" w:rsidRDefault="00D31226" w:rsidP="003D26D2">
            <w:pPr>
              <w:pStyle w:val="In-tableHeading"/>
              <w:spacing w:line="256" w:lineRule="auto"/>
              <w:jc w:val="center"/>
              <w:rPr>
                <w:kern w:val="2"/>
                <w:lang w:val="en-AU" w:eastAsia="en-US"/>
                <w14:ligatures w14:val="standardContextual"/>
              </w:rPr>
            </w:pPr>
            <w:r w:rsidRPr="00857B0D">
              <w:rPr>
                <w:kern w:val="2"/>
                <w:lang w:val="en-AU" w:eastAsia="en-US"/>
                <w14:ligatures w14:val="standardContextual"/>
              </w:rPr>
              <w:t>Avacopan + SOC</w:t>
            </w:r>
          </w:p>
        </w:tc>
        <w:tc>
          <w:tcPr>
            <w:tcW w:w="1272" w:type="pct"/>
            <w:tcBorders>
              <w:top w:val="single" w:sz="4" w:space="0" w:color="auto"/>
              <w:left w:val="single" w:sz="4" w:space="0" w:color="auto"/>
              <w:bottom w:val="single" w:sz="4" w:space="0" w:color="auto"/>
              <w:right w:val="single" w:sz="4" w:space="0" w:color="auto"/>
            </w:tcBorders>
            <w:vAlign w:val="center"/>
            <w:hideMark/>
          </w:tcPr>
          <w:p w14:paraId="1CD0D290" w14:textId="77777777" w:rsidR="00D31226" w:rsidRPr="00857B0D" w:rsidRDefault="00D31226" w:rsidP="003D26D2">
            <w:pPr>
              <w:pStyle w:val="In-tableHeading"/>
              <w:spacing w:line="256" w:lineRule="auto"/>
              <w:jc w:val="center"/>
              <w:rPr>
                <w:kern w:val="2"/>
                <w:lang w:val="en-AU" w:eastAsia="en-US"/>
                <w14:ligatures w14:val="standardContextual"/>
              </w:rPr>
            </w:pPr>
            <w:r w:rsidRPr="00857B0D">
              <w:rPr>
                <w:kern w:val="2"/>
                <w:lang w:val="en-AU" w:eastAsia="en-US"/>
                <w14:ligatures w14:val="standardContextual"/>
              </w:rPr>
              <w:t>GC + SOC</w:t>
            </w:r>
          </w:p>
        </w:tc>
        <w:tc>
          <w:tcPr>
            <w:tcW w:w="836" w:type="pct"/>
            <w:tcBorders>
              <w:top w:val="single" w:sz="4" w:space="0" w:color="auto"/>
              <w:left w:val="single" w:sz="4" w:space="0" w:color="auto"/>
              <w:bottom w:val="single" w:sz="4" w:space="0" w:color="auto"/>
              <w:right w:val="single" w:sz="4" w:space="0" w:color="auto"/>
            </w:tcBorders>
            <w:vAlign w:val="center"/>
            <w:hideMark/>
          </w:tcPr>
          <w:p w14:paraId="122AA2E0" w14:textId="77777777" w:rsidR="00D31226" w:rsidRPr="00857B0D" w:rsidRDefault="00D31226" w:rsidP="003D26D2">
            <w:pPr>
              <w:pStyle w:val="In-tableHeading"/>
              <w:spacing w:line="256" w:lineRule="auto"/>
              <w:jc w:val="center"/>
              <w:rPr>
                <w:kern w:val="2"/>
                <w:lang w:val="en-AU" w:eastAsia="en-US"/>
                <w14:ligatures w14:val="standardContextual"/>
              </w:rPr>
            </w:pPr>
            <w:r w:rsidRPr="00857B0D">
              <w:rPr>
                <w:kern w:val="2"/>
                <w:lang w:val="en-AU" w:eastAsia="en-US"/>
                <w14:ligatures w14:val="standardContextual"/>
              </w:rPr>
              <w:t>Increment</w:t>
            </w:r>
          </w:p>
        </w:tc>
      </w:tr>
      <w:tr w:rsidR="00D31226" w:rsidRPr="0099114C" w14:paraId="5CDC8830" w14:textId="77777777" w:rsidTr="00D31226">
        <w:trPr>
          <w:cantSplit/>
          <w:tblHeader/>
        </w:trPr>
        <w:tc>
          <w:tcPr>
            <w:tcW w:w="1534" w:type="pct"/>
            <w:tcBorders>
              <w:top w:val="single" w:sz="4" w:space="0" w:color="auto"/>
              <w:left w:val="single" w:sz="4" w:space="0" w:color="auto"/>
              <w:bottom w:val="single" w:sz="4" w:space="0" w:color="auto"/>
              <w:right w:val="single" w:sz="4" w:space="0" w:color="auto"/>
            </w:tcBorders>
            <w:vAlign w:val="center"/>
            <w:hideMark/>
          </w:tcPr>
          <w:p w14:paraId="754F758B" w14:textId="77777777" w:rsidR="00D31226" w:rsidRPr="0099114C" w:rsidRDefault="00D31226" w:rsidP="003D26D2">
            <w:pPr>
              <w:pStyle w:val="TableText"/>
              <w:spacing w:line="256" w:lineRule="auto"/>
              <w:rPr>
                <w:kern w:val="2"/>
                <w:lang w:eastAsia="en-US"/>
                <w14:ligatures w14:val="standardContextual"/>
              </w:rPr>
            </w:pPr>
            <w:r w:rsidRPr="0099114C">
              <w:rPr>
                <w:rFonts w:cs="Calibri"/>
                <w:b/>
                <w:color w:val="000000"/>
                <w:kern w:val="2"/>
                <w:szCs w:val="20"/>
                <w:lang w:eastAsia="en-GB"/>
                <w14:ligatures w14:val="standardContextual"/>
              </w:rPr>
              <w:t>Outcome: Life year (LY)</w:t>
            </w:r>
          </w:p>
        </w:tc>
        <w:tc>
          <w:tcPr>
            <w:tcW w:w="1358" w:type="pct"/>
            <w:tcBorders>
              <w:top w:val="single" w:sz="4" w:space="0" w:color="auto"/>
              <w:left w:val="single" w:sz="4" w:space="0" w:color="auto"/>
              <w:bottom w:val="single" w:sz="4" w:space="0" w:color="auto"/>
              <w:right w:val="single" w:sz="4" w:space="0" w:color="auto"/>
            </w:tcBorders>
            <w:vAlign w:val="center"/>
          </w:tcPr>
          <w:p w14:paraId="045D52C8" w14:textId="77777777" w:rsidR="00D31226" w:rsidRPr="0099114C" w:rsidRDefault="00D31226" w:rsidP="003D26D2">
            <w:pPr>
              <w:pStyle w:val="TableText"/>
              <w:spacing w:line="256" w:lineRule="auto"/>
              <w:rPr>
                <w:kern w:val="2"/>
                <w:lang w:eastAsia="en-US"/>
                <w14:ligatures w14:val="standardContextual"/>
              </w:rPr>
            </w:pPr>
          </w:p>
        </w:tc>
        <w:tc>
          <w:tcPr>
            <w:tcW w:w="1272" w:type="pct"/>
            <w:tcBorders>
              <w:top w:val="single" w:sz="4" w:space="0" w:color="auto"/>
              <w:left w:val="single" w:sz="4" w:space="0" w:color="auto"/>
              <w:bottom w:val="single" w:sz="4" w:space="0" w:color="auto"/>
              <w:right w:val="single" w:sz="4" w:space="0" w:color="auto"/>
            </w:tcBorders>
            <w:vAlign w:val="center"/>
          </w:tcPr>
          <w:p w14:paraId="0B3D6ABF" w14:textId="77777777" w:rsidR="00D31226" w:rsidRPr="0099114C" w:rsidRDefault="00D31226" w:rsidP="003D26D2">
            <w:pPr>
              <w:pStyle w:val="TableText"/>
              <w:spacing w:line="256" w:lineRule="auto"/>
              <w:rPr>
                <w:kern w:val="2"/>
                <w:lang w:eastAsia="en-US"/>
                <w14:ligatures w14:val="standardContextual"/>
              </w:rPr>
            </w:pPr>
          </w:p>
        </w:tc>
        <w:tc>
          <w:tcPr>
            <w:tcW w:w="836" w:type="pct"/>
            <w:tcBorders>
              <w:top w:val="single" w:sz="4" w:space="0" w:color="auto"/>
              <w:left w:val="single" w:sz="4" w:space="0" w:color="auto"/>
              <w:bottom w:val="single" w:sz="4" w:space="0" w:color="auto"/>
              <w:right w:val="single" w:sz="4" w:space="0" w:color="auto"/>
            </w:tcBorders>
            <w:vAlign w:val="center"/>
          </w:tcPr>
          <w:p w14:paraId="4E34DBAE" w14:textId="77777777" w:rsidR="00D31226" w:rsidRPr="0099114C" w:rsidRDefault="00D31226" w:rsidP="003D26D2">
            <w:pPr>
              <w:pStyle w:val="TableText"/>
              <w:spacing w:line="256" w:lineRule="auto"/>
              <w:rPr>
                <w:kern w:val="2"/>
                <w:lang w:eastAsia="en-US"/>
                <w14:ligatures w14:val="standardContextual"/>
              </w:rPr>
            </w:pPr>
          </w:p>
        </w:tc>
      </w:tr>
      <w:tr w:rsidR="00D31226" w:rsidRPr="0099114C" w14:paraId="1DC98E5F" w14:textId="77777777" w:rsidTr="00D31226">
        <w:trPr>
          <w:cantSplit/>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13617B72" w14:textId="77777777" w:rsidR="00D31226" w:rsidRPr="0099114C" w:rsidRDefault="00D31226" w:rsidP="003D26D2">
            <w:pPr>
              <w:pStyle w:val="TableText"/>
              <w:spacing w:line="256" w:lineRule="auto"/>
              <w:rPr>
                <w:b/>
                <w:bCs w:val="0"/>
                <w:kern w:val="2"/>
                <w:lang w:eastAsia="en-US"/>
                <w14:ligatures w14:val="standardContextual"/>
              </w:rPr>
            </w:pPr>
            <w:r w:rsidRPr="0099114C">
              <w:rPr>
                <w:b/>
                <w:bCs w:val="0"/>
                <w:kern w:val="2"/>
                <w:lang w:eastAsia="en-US"/>
                <w14:ligatures w14:val="standardContextual"/>
              </w:rPr>
              <w:t>Azathioprine scenario</w:t>
            </w:r>
          </w:p>
        </w:tc>
      </w:tr>
      <w:tr w:rsidR="00D31226" w:rsidRPr="0099114C" w14:paraId="1DB9CB04" w14:textId="77777777" w:rsidTr="00D31226">
        <w:trPr>
          <w:cantSplit/>
        </w:trPr>
        <w:tc>
          <w:tcPr>
            <w:tcW w:w="1534" w:type="pct"/>
            <w:tcBorders>
              <w:top w:val="single" w:sz="4" w:space="0" w:color="auto"/>
              <w:left w:val="single" w:sz="4" w:space="0" w:color="auto"/>
              <w:bottom w:val="single" w:sz="4" w:space="0" w:color="auto"/>
              <w:right w:val="single" w:sz="4" w:space="0" w:color="auto"/>
            </w:tcBorders>
            <w:vAlign w:val="center"/>
            <w:hideMark/>
          </w:tcPr>
          <w:p w14:paraId="586790B3" w14:textId="77777777" w:rsidR="00D31226" w:rsidRPr="0099114C" w:rsidRDefault="00D31226" w:rsidP="003D26D2">
            <w:pPr>
              <w:pStyle w:val="TableText"/>
              <w:spacing w:line="256" w:lineRule="auto"/>
              <w:rPr>
                <w:rFonts w:ascii="Times" w:hAnsi="Times"/>
                <w:kern w:val="2"/>
                <w:lang w:eastAsia="en-US"/>
                <w14:ligatures w14:val="standardContextual"/>
              </w:rPr>
            </w:pPr>
            <w:r w:rsidRPr="0099114C">
              <w:rPr>
                <w:kern w:val="2"/>
                <w:lang w:eastAsia="en-US"/>
                <w14:ligatures w14:val="standardContextual"/>
              </w:rPr>
              <w:t>Costs</w:t>
            </w:r>
          </w:p>
        </w:tc>
        <w:tc>
          <w:tcPr>
            <w:tcW w:w="1358" w:type="pct"/>
            <w:tcBorders>
              <w:top w:val="single" w:sz="4" w:space="0" w:color="auto"/>
              <w:left w:val="single" w:sz="4" w:space="0" w:color="auto"/>
              <w:bottom w:val="single" w:sz="4" w:space="0" w:color="auto"/>
              <w:right w:val="single" w:sz="4" w:space="0" w:color="auto"/>
            </w:tcBorders>
            <w:vAlign w:val="center"/>
            <w:hideMark/>
          </w:tcPr>
          <w:p w14:paraId="18271A17" w14:textId="2BA392CD" w:rsidR="00D31226" w:rsidRPr="0099114C" w:rsidRDefault="00D31226" w:rsidP="003D26D2">
            <w:pPr>
              <w:pStyle w:val="TableText"/>
              <w:spacing w:line="256" w:lineRule="auto"/>
              <w:jc w:val="center"/>
              <w:rPr>
                <w:rFonts w:ascii="Times" w:hAnsi="Times"/>
                <w:kern w:val="2"/>
                <w:lang w:eastAsia="en-US"/>
                <w14:ligatures w14:val="standardContextual"/>
              </w:rPr>
            </w:pPr>
            <w:r w:rsidRPr="0099114C">
              <w:rPr>
                <w:rFonts w:cs="Calibri"/>
                <w:color w:val="000000"/>
                <w:kern w:val="2"/>
                <w:szCs w:val="28"/>
                <w:lang w:eastAsia="en-GB"/>
                <w14:ligatures w14:val="standardContextual"/>
              </w:rPr>
              <w:t>$</w:t>
            </w:r>
            <w:r w:rsidR="005F1F42" w:rsidRPr="005F1F42">
              <w:rPr>
                <w:rFonts w:cs="Calibri"/>
                <w:color w:val="000000"/>
                <w:kern w:val="2"/>
                <w:szCs w:val="28"/>
                <w:shd w:val="solid" w:color="000000" w:fill="000000"/>
                <w:lang w:eastAsia="en-GB"/>
                <w14:textFill>
                  <w14:solidFill>
                    <w14:srgbClr w14:val="000000">
                      <w14:alpha w14:val="100000"/>
                    </w14:srgbClr>
                  </w14:solidFill>
                </w14:textFill>
                <w14:ligatures w14:val="standardContextual"/>
              </w:rPr>
              <w:t>|</w:t>
            </w:r>
          </w:p>
        </w:tc>
        <w:tc>
          <w:tcPr>
            <w:tcW w:w="1272" w:type="pct"/>
            <w:tcBorders>
              <w:top w:val="single" w:sz="4" w:space="0" w:color="auto"/>
              <w:left w:val="single" w:sz="4" w:space="0" w:color="auto"/>
              <w:bottom w:val="single" w:sz="4" w:space="0" w:color="auto"/>
              <w:right w:val="single" w:sz="4" w:space="0" w:color="auto"/>
            </w:tcBorders>
            <w:vAlign w:val="center"/>
            <w:hideMark/>
          </w:tcPr>
          <w:p w14:paraId="2F20AFE2" w14:textId="36AF90EA" w:rsidR="00D31226" w:rsidRPr="0099114C" w:rsidRDefault="00D31226" w:rsidP="003D26D2">
            <w:pPr>
              <w:pStyle w:val="TableText"/>
              <w:spacing w:line="256" w:lineRule="auto"/>
              <w:jc w:val="center"/>
              <w:rPr>
                <w:rFonts w:ascii="Times" w:hAnsi="Times"/>
                <w:kern w:val="2"/>
                <w:lang w:eastAsia="en-US"/>
                <w14:ligatures w14:val="standardContextual"/>
              </w:rPr>
            </w:pPr>
            <w:r w:rsidRPr="0099114C">
              <w:rPr>
                <w:rFonts w:cs="Calibri"/>
                <w:color w:val="000000"/>
                <w:kern w:val="2"/>
                <w:szCs w:val="28"/>
                <w:lang w:eastAsia="en-GB"/>
                <w14:ligatures w14:val="standardContextual"/>
              </w:rPr>
              <w:t>$244,862</w:t>
            </w:r>
          </w:p>
        </w:tc>
        <w:tc>
          <w:tcPr>
            <w:tcW w:w="836" w:type="pct"/>
            <w:tcBorders>
              <w:top w:val="single" w:sz="4" w:space="0" w:color="auto"/>
              <w:left w:val="single" w:sz="4" w:space="0" w:color="auto"/>
              <w:bottom w:val="single" w:sz="4" w:space="0" w:color="auto"/>
              <w:right w:val="single" w:sz="4" w:space="0" w:color="auto"/>
            </w:tcBorders>
            <w:vAlign w:val="center"/>
            <w:hideMark/>
          </w:tcPr>
          <w:p w14:paraId="14084E8A" w14:textId="53831D78" w:rsidR="00D31226" w:rsidRPr="0099114C" w:rsidRDefault="00D31226" w:rsidP="003D26D2">
            <w:pPr>
              <w:pStyle w:val="TableText"/>
              <w:spacing w:line="256" w:lineRule="auto"/>
              <w:jc w:val="center"/>
              <w:rPr>
                <w:rFonts w:ascii="Times" w:hAnsi="Times"/>
                <w:kern w:val="2"/>
                <w:lang w:eastAsia="en-US"/>
                <w14:ligatures w14:val="standardContextual"/>
              </w:rPr>
            </w:pPr>
            <w:r w:rsidRPr="0099114C">
              <w:rPr>
                <w:rFonts w:cs="Calibri"/>
                <w:color w:val="000000"/>
                <w:kern w:val="2"/>
                <w:szCs w:val="28"/>
                <w:lang w:eastAsia="en-GB"/>
                <w14:ligatures w14:val="standardContextual"/>
              </w:rPr>
              <w:t>$</w:t>
            </w:r>
            <w:r w:rsidR="005F1F42" w:rsidRPr="005F1F42">
              <w:rPr>
                <w:rFonts w:cs="Calibri"/>
                <w:color w:val="000000"/>
                <w:kern w:val="2"/>
                <w:szCs w:val="28"/>
                <w:shd w:val="solid" w:color="000000" w:fill="000000"/>
                <w:lang w:eastAsia="en-GB"/>
                <w14:textFill>
                  <w14:solidFill>
                    <w14:srgbClr w14:val="000000">
                      <w14:alpha w14:val="100000"/>
                    </w14:srgbClr>
                  </w14:solidFill>
                </w14:textFill>
                <w14:ligatures w14:val="standardContextual"/>
              </w:rPr>
              <w:t>|</w:t>
            </w:r>
          </w:p>
        </w:tc>
      </w:tr>
      <w:tr w:rsidR="00D31226" w:rsidRPr="0099114C" w14:paraId="6C9F3158" w14:textId="77777777" w:rsidTr="00D31226">
        <w:trPr>
          <w:cantSplit/>
        </w:trPr>
        <w:tc>
          <w:tcPr>
            <w:tcW w:w="1534" w:type="pct"/>
            <w:tcBorders>
              <w:top w:val="single" w:sz="4" w:space="0" w:color="auto"/>
              <w:left w:val="single" w:sz="4" w:space="0" w:color="auto"/>
              <w:bottom w:val="single" w:sz="4" w:space="0" w:color="auto"/>
              <w:right w:val="single" w:sz="4" w:space="0" w:color="auto"/>
            </w:tcBorders>
            <w:vAlign w:val="center"/>
            <w:hideMark/>
          </w:tcPr>
          <w:p w14:paraId="7BAE2BD8" w14:textId="4C651974" w:rsidR="00D31226" w:rsidRPr="0099114C" w:rsidRDefault="00641368" w:rsidP="003D26D2">
            <w:pPr>
              <w:pStyle w:val="TableText"/>
              <w:spacing w:line="256" w:lineRule="auto"/>
              <w:rPr>
                <w:rFonts w:ascii="Times" w:hAnsi="Times"/>
                <w:kern w:val="2"/>
                <w:lang w:eastAsia="en-US"/>
                <w14:ligatures w14:val="standardContextual"/>
              </w:rPr>
            </w:pPr>
            <w:r w:rsidRPr="0099114C">
              <w:rPr>
                <w:kern w:val="2"/>
                <w:lang w:eastAsia="en-US"/>
                <w14:ligatures w14:val="standardContextual"/>
              </w:rPr>
              <w:t>l</w:t>
            </w:r>
            <w:r w:rsidR="00D31226" w:rsidRPr="0099114C">
              <w:rPr>
                <w:kern w:val="2"/>
                <w:lang w:eastAsia="en-US"/>
                <w14:ligatures w14:val="standardContextual"/>
              </w:rPr>
              <w:t>Ys</w:t>
            </w:r>
          </w:p>
        </w:tc>
        <w:tc>
          <w:tcPr>
            <w:tcW w:w="1358" w:type="pct"/>
            <w:tcBorders>
              <w:top w:val="single" w:sz="4" w:space="0" w:color="auto"/>
              <w:left w:val="single" w:sz="4" w:space="0" w:color="auto"/>
              <w:bottom w:val="single" w:sz="4" w:space="0" w:color="auto"/>
              <w:right w:val="single" w:sz="4" w:space="0" w:color="auto"/>
            </w:tcBorders>
            <w:vAlign w:val="center"/>
            <w:hideMark/>
          </w:tcPr>
          <w:p w14:paraId="63D5040A" w14:textId="77777777" w:rsidR="00D31226" w:rsidRPr="0099114C" w:rsidRDefault="00D31226" w:rsidP="003D26D2">
            <w:pPr>
              <w:pStyle w:val="TableText"/>
              <w:spacing w:line="256" w:lineRule="auto"/>
              <w:jc w:val="center"/>
              <w:rPr>
                <w:rFonts w:ascii="Times" w:hAnsi="Times"/>
                <w:kern w:val="2"/>
                <w:lang w:eastAsia="en-US"/>
                <w14:ligatures w14:val="standardContextual"/>
              </w:rPr>
            </w:pPr>
            <w:r w:rsidRPr="0099114C">
              <w:rPr>
                <w:rFonts w:cs="Calibri"/>
                <w:color w:val="000000"/>
                <w:kern w:val="2"/>
                <w:szCs w:val="28"/>
                <w:lang w:eastAsia="en-GB"/>
                <w14:ligatures w14:val="standardContextual"/>
              </w:rPr>
              <w:t>9.21</w:t>
            </w:r>
          </w:p>
        </w:tc>
        <w:tc>
          <w:tcPr>
            <w:tcW w:w="1272" w:type="pct"/>
            <w:tcBorders>
              <w:top w:val="single" w:sz="4" w:space="0" w:color="auto"/>
              <w:left w:val="single" w:sz="4" w:space="0" w:color="auto"/>
              <w:bottom w:val="single" w:sz="4" w:space="0" w:color="auto"/>
              <w:right w:val="single" w:sz="4" w:space="0" w:color="auto"/>
            </w:tcBorders>
            <w:vAlign w:val="center"/>
            <w:hideMark/>
          </w:tcPr>
          <w:p w14:paraId="7E08D629" w14:textId="77777777" w:rsidR="00D31226" w:rsidRPr="0099114C" w:rsidRDefault="00D31226" w:rsidP="003D26D2">
            <w:pPr>
              <w:pStyle w:val="TableText"/>
              <w:spacing w:line="256" w:lineRule="auto"/>
              <w:jc w:val="center"/>
              <w:rPr>
                <w:rFonts w:ascii="Times" w:hAnsi="Times"/>
                <w:kern w:val="2"/>
                <w:lang w:eastAsia="en-US"/>
                <w14:ligatures w14:val="standardContextual"/>
              </w:rPr>
            </w:pPr>
            <w:r w:rsidRPr="0099114C">
              <w:rPr>
                <w:rFonts w:cs="Calibri"/>
                <w:color w:val="000000"/>
                <w:kern w:val="2"/>
                <w:szCs w:val="28"/>
                <w:lang w:eastAsia="en-GB"/>
                <w14:ligatures w14:val="standardContextual"/>
              </w:rPr>
              <w:t>9</w:t>
            </w:r>
          </w:p>
        </w:tc>
        <w:tc>
          <w:tcPr>
            <w:tcW w:w="836" w:type="pct"/>
            <w:tcBorders>
              <w:top w:val="single" w:sz="4" w:space="0" w:color="auto"/>
              <w:left w:val="single" w:sz="4" w:space="0" w:color="auto"/>
              <w:bottom w:val="single" w:sz="4" w:space="0" w:color="auto"/>
              <w:right w:val="single" w:sz="4" w:space="0" w:color="auto"/>
            </w:tcBorders>
            <w:vAlign w:val="center"/>
            <w:hideMark/>
          </w:tcPr>
          <w:p w14:paraId="340CDDA1" w14:textId="77777777" w:rsidR="00D31226" w:rsidRPr="0099114C" w:rsidRDefault="00D31226" w:rsidP="003D26D2">
            <w:pPr>
              <w:pStyle w:val="TableText"/>
              <w:spacing w:line="256" w:lineRule="auto"/>
              <w:jc w:val="center"/>
              <w:rPr>
                <w:kern w:val="2"/>
                <w:lang w:eastAsia="en-US"/>
                <w14:ligatures w14:val="standardContextual"/>
              </w:rPr>
            </w:pPr>
            <w:r w:rsidRPr="0099114C">
              <w:rPr>
                <w:rFonts w:cs="Calibri"/>
                <w:color w:val="000000"/>
                <w:kern w:val="2"/>
                <w:szCs w:val="28"/>
                <w:lang w:eastAsia="en-GB"/>
                <w14:ligatures w14:val="standardContextual"/>
              </w:rPr>
              <w:t>0.2</w:t>
            </w:r>
          </w:p>
        </w:tc>
      </w:tr>
      <w:tr w:rsidR="00D31226" w:rsidRPr="0099114C" w14:paraId="3899BB52" w14:textId="77777777" w:rsidTr="00D31226">
        <w:trPr>
          <w:cantSplit/>
        </w:trPr>
        <w:tc>
          <w:tcPr>
            <w:tcW w:w="4164" w:type="pct"/>
            <w:gridSpan w:val="3"/>
            <w:tcBorders>
              <w:top w:val="single" w:sz="4" w:space="0" w:color="auto"/>
              <w:left w:val="single" w:sz="4" w:space="0" w:color="auto"/>
              <w:bottom w:val="single" w:sz="4" w:space="0" w:color="auto"/>
              <w:right w:val="single" w:sz="4" w:space="0" w:color="auto"/>
            </w:tcBorders>
            <w:vAlign w:val="center"/>
            <w:hideMark/>
          </w:tcPr>
          <w:p w14:paraId="3234DE3A" w14:textId="77777777" w:rsidR="00D31226" w:rsidRPr="0099114C" w:rsidRDefault="00D31226" w:rsidP="003D26D2">
            <w:pPr>
              <w:pStyle w:val="TableText"/>
              <w:spacing w:line="256" w:lineRule="auto"/>
              <w:rPr>
                <w:rFonts w:ascii="Times" w:hAnsi="Times"/>
                <w:kern w:val="2"/>
                <w:lang w:eastAsia="en-US"/>
                <w14:ligatures w14:val="standardContextual"/>
              </w:rPr>
            </w:pPr>
            <w:r w:rsidRPr="0099114C">
              <w:rPr>
                <w:kern w:val="2"/>
                <w:lang w:eastAsia="en-US"/>
                <w14:ligatures w14:val="standardContextual"/>
              </w:rPr>
              <w:t>Incremental cost/extra LY gained</w:t>
            </w:r>
          </w:p>
        </w:tc>
        <w:tc>
          <w:tcPr>
            <w:tcW w:w="836" w:type="pct"/>
            <w:tcBorders>
              <w:top w:val="single" w:sz="4" w:space="0" w:color="auto"/>
              <w:left w:val="single" w:sz="4" w:space="0" w:color="auto"/>
              <w:bottom w:val="single" w:sz="4" w:space="0" w:color="auto"/>
              <w:right w:val="single" w:sz="4" w:space="0" w:color="auto"/>
            </w:tcBorders>
            <w:vAlign w:val="center"/>
            <w:hideMark/>
          </w:tcPr>
          <w:p w14:paraId="313E2838" w14:textId="33B9B4A6" w:rsidR="00D31226" w:rsidRPr="0099114C" w:rsidRDefault="00D31226" w:rsidP="003D26D2">
            <w:pPr>
              <w:keepNext/>
              <w:spacing w:line="256" w:lineRule="auto"/>
              <w:jc w:val="center"/>
              <w:rPr>
                <w:rFonts w:ascii="Arial Narrow" w:hAnsi="Arial Narrow" w:cs="Calibri"/>
                <w:color w:val="000000"/>
                <w:kern w:val="2"/>
                <w:sz w:val="20"/>
                <w:szCs w:val="28"/>
                <w:lang w:eastAsia="en-GB"/>
                <w14:ligatures w14:val="standardContextual"/>
              </w:rPr>
            </w:pPr>
            <w:r w:rsidRPr="0099114C">
              <w:rPr>
                <w:rFonts w:ascii="Arial Narrow" w:hAnsi="Arial Narrow" w:cs="Calibri"/>
                <w:color w:val="000000"/>
                <w:kern w:val="2"/>
                <w:sz w:val="20"/>
                <w:szCs w:val="28"/>
                <w:lang w:eastAsia="en-GB"/>
                <w14:ligatures w14:val="standardContextual"/>
              </w:rPr>
              <w:t>$</w:t>
            </w:r>
            <w:r w:rsidR="005F1F42" w:rsidRPr="005F1F42">
              <w:rPr>
                <w:rFonts w:ascii="Arial Narrow" w:hAnsi="Arial Narrow" w:cs="Calibri"/>
                <w:color w:val="000000"/>
                <w:kern w:val="2"/>
                <w:sz w:val="20"/>
                <w:szCs w:val="28"/>
                <w:shd w:val="solid" w:color="000000" w:fill="000000"/>
                <w:lang w:eastAsia="en-GB"/>
                <w14:textFill>
                  <w14:solidFill>
                    <w14:srgbClr w14:val="000000">
                      <w14:alpha w14:val="100000"/>
                    </w14:srgbClr>
                  </w14:solidFill>
                </w14:textFill>
                <w14:ligatures w14:val="standardContextual"/>
              </w:rPr>
              <w:t>|</w:t>
            </w:r>
            <w:r w:rsidR="00441753" w:rsidRPr="009E5CCE">
              <w:rPr>
                <w:rFonts w:ascii="Arial Narrow" w:hAnsi="Arial Narrow" w:cs="Calibri"/>
                <w:color w:val="000000"/>
                <w:kern w:val="2"/>
                <w:sz w:val="20"/>
                <w:szCs w:val="28"/>
                <w:vertAlign w:val="superscript"/>
                <w:lang w:eastAsia="en-GB"/>
                <w14:ligatures w14:val="standardContextual"/>
              </w:rPr>
              <w:t>1</w:t>
            </w:r>
          </w:p>
        </w:tc>
      </w:tr>
      <w:tr w:rsidR="00D31226" w:rsidRPr="0099114C" w14:paraId="2010E0A2" w14:textId="77777777" w:rsidTr="00D31226">
        <w:trPr>
          <w:cantSplit/>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7CB3FD7F" w14:textId="77777777" w:rsidR="00D31226" w:rsidRPr="00857B0D" w:rsidRDefault="00D31226" w:rsidP="003D26D2">
            <w:pPr>
              <w:pStyle w:val="In-tableHeading"/>
              <w:spacing w:line="256" w:lineRule="auto"/>
              <w:rPr>
                <w:kern w:val="2"/>
                <w:lang w:val="en-AU" w:eastAsia="en-US"/>
                <w14:ligatures w14:val="standardContextual"/>
              </w:rPr>
            </w:pPr>
            <w:r w:rsidRPr="00857B0D">
              <w:rPr>
                <w:kern w:val="2"/>
                <w:lang w:val="en-AU" w:eastAsia="en-US"/>
                <w14:ligatures w14:val="standardContextual"/>
              </w:rPr>
              <w:t>Rituximab scenario</w:t>
            </w:r>
          </w:p>
        </w:tc>
      </w:tr>
      <w:tr w:rsidR="00D31226" w:rsidRPr="0099114C" w14:paraId="0D54FE6A" w14:textId="77777777" w:rsidTr="00D31226">
        <w:trPr>
          <w:cantSplit/>
        </w:trPr>
        <w:tc>
          <w:tcPr>
            <w:tcW w:w="1534" w:type="pct"/>
            <w:tcBorders>
              <w:top w:val="single" w:sz="4" w:space="0" w:color="auto"/>
              <w:left w:val="single" w:sz="4" w:space="0" w:color="auto"/>
              <w:bottom w:val="single" w:sz="4" w:space="0" w:color="auto"/>
              <w:right w:val="single" w:sz="4" w:space="0" w:color="auto"/>
            </w:tcBorders>
            <w:vAlign w:val="center"/>
            <w:hideMark/>
          </w:tcPr>
          <w:p w14:paraId="4286651E" w14:textId="77777777" w:rsidR="00D31226" w:rsidRPr="0099114C" w:rsidRDefault="00D31226" w:rsidP="003D26D2">
            <w:pPr>
              <w:pStyle w:val="TableText"/>
              <w:spacing w:line="256" w:lineRule="auto"/>
              <w:rPr>
                <w:rFonts w:ascii="Times" w:hAnsi="Times"/>
                <w:kern w:val="2"/>
                <w:lang w:eastAsia="en-US"/>
                <w14:ligatures w14:val="standardContextual"/>
              </w:rPr>
            </w:pPr>
            <w:r w:rsidRPr="0099114C">
              <w:rPr>
                <w:kern w:val="2"/>
                <w:lang w:eastAsia="en-US"/>
                <w14:ligatures w14:val="standardContextual"/>
              </w:rPr>
              <w:t>Costs</w:t>
            </w:r>
          </w:p>
        </w:tc>
        <w:tc>
          <w:tcPr>
            <w:tcW w:w="1358" w:type="pct"/>
            <w:tcBorders>
              <w:top w:val="single" w:sz="4" w:space="0" w:color="auto"/>
              <w:left w:val="single" w:sz="4" w:space="0" w:color="auto"/>
              <w:bottom w:val="single" w:sz="4" w:space="0" w:color="auto"/>
              <w:right w:val="single" w:sz="4" w:space="0" w:color="auto"/>
            </w:tcBorders>
            <w:vAlign w:val="center"/>
            <w:hideMark/>
          </w:tcPr>
          <w:p w14:paraId="38E20791" w14:textId="54EB9269" w:rsidR="00D31226" w:rsidRPr="0099114C" w:rsidRDefault="00D31226" w:rsidP="003D26D2">
            <w:pPr>
              <w:pStyle w:val="TableText"/>
              <w:spacing w:line="256" w:lineRule="auto"/>
              <w:jc w:val="center"/>
              <w:rPr>
                <w:rFonts w:ascii="Times" w:hAnsi="Times"/>
                <w:kern w:val="2"/>
                <w:lang w:eastAsia="en-US"/>
                <w14:ligatures w14:val="standardContextual"/>
              </w:rPr>
            </w:pPr>
            <w:r w:rsidRPr="0099114C">
              <w:rPr>
                <w:rFonts w:cs="Calibri"/>
                <w:color w:val="000000"/>
                <w:kern w:val="2"/>
                <w:szCs w:val="28"/>
                <w:lang w:eastAsia="en-GB"/>
                <w14:ligatures w14:val="standardContextual"/>
              </w:rPr>
              <w:t>$</w:t>
            </w:r>
            <w:r w:rsidR="005F1F42" w:rsidRPr="005F1F42">
              <w:rPr>
                <w:rFonts w:cs="Calibri"/>
                <w:color w:val="000000"/>
                <w:kern w:val="2"/>
                <w:szCs w:val="28"/>
                <w:shd w:val="solid" w:color="000000" w:fill="000000"/>
                <w:lang w:eastAsia="en-GB"/>
                <w14:textFill>
                  <w14:solidFill>
                    <w14:srgbClr w14:val="000000">
                      <w14:alpha w14:val="100000"/>
                    </w14:srgbClr>
                  </w14:solidFill>
                </w14:textFill>
                <w14:ligatures w14:val="standardContextual"/>
              </w:rPr>
              <w:t>|</w:t>
            </w:r>
          </w:p>
        </w:tc>
        <w:tc>
          <w:tcPr>
            <w:tcW w:w="1272" w:type="pct"/>
            <w:tcBorders>
              <w:top w:val="single" w:sz="4" w:space="0" w:color="auto"/>
              <w:left w:val="single" w:sz="4" w:space="0" w:color="auto"/>
              <w:bottom w:val="single" w:sz="4" w:space="0" w:color="auto"/>
              <w:right w:val="single" w:sz="4" w:space="0" w:color="auto"/>
            </w:tcBorders>
            <w:vAlign w:val="center"/>
            <w:hideMark/>
          </w:tcPr>
          <w:p w14:paraId="52490D15" w14:textId="77777777" w:rsidR="00D31226" w:rsidRPr="0099114C" w:rsidRDefault="00D31226" w:rsidP="003D26D2">
            <w:pPr>
              <w:pStyle w:val="TableText"/>
              <w:spacing w:line="256" w:lineRule="auto"/>
              <w:jc w:val="center"/>
              <w:rPr>
                <w:rFonts w:ascii="Times" w:hAnsi="Times"/>
                <w:kern w:val="2"/>
                <w:lang w:eastAsia="en-US"/>
                <w14:ligatures w14:val="standardContextual"/>
              </w:rPr>
            </w:pPr>
            <w:r w:rsidRPr="0099114C">
              <w:rPr>
                <w:rFonts w:cs="Calibri"/>
                <w:color w:val="000000"/>
                <w:kern w:val="2"/>
                <w:szCs w:val="28"/>
                <w:lang w:eastAsia="en-GB"/>
                <w14:ligatures w14:val="standardContextual"/>
              </w:rPr>
              <w:t>$232,598</w:t>
            </w:r>
          </w:p>
        </w:tc>
        <w:tc>
          <w:tcPr>
            <w:tcW w:w="836" w:type="pct"/>
            <w:tcBorders>
              <w:top w:val="single" w:sz="4" w:space="0" w:color="auto"/>
              <w:left w:val="single" w:sz="4" w:space="0" w:color="auto"/>
              <w:bottom w:val="single" w:sz="4" w:space="0" w:color="auto"/>
              <w:right w:val="single" w:sz="4" w:space="0" w:color="auto"/>
            </w:tcBorders>
            <w:vAlign w:val="center"/>
            <w:hideMark/>
          </w:tcPr>
          <w:p w14:paraId="5787BC70" w14:textId="31210C43" w:rsidR="00D31226" w:rsidRPr="0099114C" w:rsidRDefault="00D31226" w:rsidP="003D26D2">
            <w:pPr>
              <w:pStyle w:val="TableText"/>
              <w:spacing w:line="256" w:lineRule="auto"/>
              <w:jc w:val="center"/>
              <w:rPr>
                <w:rFonts w:ascii="Times" w:hAnsi="Times"/>
                <w:kern w:val="2"/>
                <w:lang w:eastAsia="en-US"/>
                <w14:ligatures w14:val="standardContextual"/>
              </w:rPr>
            </w:pPr>
            <w:r w:rsidRPr="0099114C">
              <w:rPr>
                <w:rFonts w:cs="Calibri"/>
                <w:color w:val="000000"/>
                <w:kern w:val="2"/>
                <w:szCs w:val="28"/>
                <w:lang w:eastAsia="en-GB"/>
                <w14:ligatures w14:val="standardContextual"/>
              </w:rPr>
              <w:t>$</w:t>
            </w:r>
            <w:r w:rsidR="005F1F42" w:rsidRPr="005F1F42">
              <w:rPr>
                <w:rFonts w:cs="Calibri"/>
                <w:color w:val="000000"/>
                <w:kern w:val="2"/>
                <w:szCs w:val="28"/>
                <w:shd w:val="solid" w:color="000000" w:fill="000000"/>
                <w:lang w:eastAsia="en-GB"/>
                <w14:textFill>
                  <w14:solidFill>
                    <w14:srgbClr w14:val="000000">
                      <w14:alpha w14:val="100000"/>
                    </w14:srgbClr>
                  </w14:solidFill>
                </w14:textFill>
                <w14:ligatures w14:val="standardContextual"/>
              </w:rPr>
              <w:t>|</w:t>
            </w:r>
          </w:p>
        </w:tc>
      </w:tr>
      <w:tr w:rsidR="00D31226" w:rsidRPr="0099114C" w14:paraId="6F995426" w14:textId="77777777" w:rsidTr="00D31226">
        <w:trPr>
          <w:cantSplit/>
        </w:trPr>
        <w:tc>
          <w:tcPr>
            <w:tcW w:w="1534" w:type="pct"/>
            <w:tcBorders>
              <w:top w:val="single" w:sz="4" w:space="0" w:color="auto"/>
              <w:left w:val="single" w:sz="4" w:space="0" w:color="auto"/>
              <w:bottom w:val="single" w:sz="4" w:space="0" w:color="auto"/>
              <w:right w:val="single" w:sz="4" w:space="0" w:color="auto"/>
            </w:tcBorders>
            <w:vAlign w:val="center"/>
            <w:hideMark/>
          </w:tcPr>
          <w:p w14:paraId="10B0E74D" w14:textId="3735C553" w:rsidR="00D31226" w:rsidRPr="0099114C" w:rsidRDefault="00641368" w:rsidP="003D26D2">
            <w:pPr>
              <w:pStyle w:val="TableText"/>
              <w:spacing w:line="256" w:lineRule="auto"/>
              <w:rPr>
                <w:rFonts w:ascii="Times" w:hAnsi="Times"/>
                <w:kern w:val="2"/>
                <w:lang w:eastAsia="en-US"/>
                <w14:ligatures w14:val="standardContextual"/>
              </w:rPr>
            </w:pPr>
            <w:r w:rsidRPr="0099114C">
              <w:rPr>
                <w:kern w:val="2"/>
                <w:lang w:eastAsia="en-US"/>
                <w14:ligatures w14:val="standardContextual"/>
              </w:rPr>
              <w:t>l</w:t>
            </w:r>
            <w:r w:rsidR="00D31226" w:rsidRPr="0099114C">
              <w:rPr>
                <w:kern w:val="2"/>
                <w:lang w:eastAsia="en-US"/>
                <w14:ligatures w14:val="standardContextual"/>
              </w:rPr>
              <w:t>Ys</w:t>
            </w:r>
          </w:p>
        </w:tc>
        <w:tc>
          <w:tcPr>
            <w:tcW w:w="1358" w:type="pct"/>
            <w:tcBorders>
              <w:top w:val="single" w:sz="4" w:space="0" w:color="auto"/>
              <w:left w:val="single" w:sz="4" w:space="0" w:color="auto"/>
              <w:bottom w:val="single" w:sz="4" w:space="0" w:color="auto"/>
              <w:right w:val="single" w:sz="4" w:space="0" w:color="auto"/>
            </w:tcBorders>
            <w:vAlign w:val="center"/>
            <w:hideMark/>
          </w:tcPr>
          <w:p w14:paraId="6DA630B0" w14:textId="77777777" w:rsidR="00D31226" w:rsidRPr="0099114C" w:rsidRDefault="00D31226" w:rsidP="003D26D2">
            <w:pPr>
              <w:pStyle w:val="TableText"/>
              <w:spacing w:line="256" w:lineRule="auto"/>
              <w:jc w:val="center"/>
              <w:rPr>
                <w:rFonts w:ascii="Times" w:hAnsi="Times"/>
                <w:kern w:val="2"/>
                <w:lang w:eastAsia="en-US"/>
                <w14:ligatures w14:val="standardContextual"/>
              </w:rPr>
            </w:pPr>
            <w:r w:rsidRPr="0099114C">
              <w:rPr>
                <w:rFonts w:cs="Calibri"/>
                <w:color w:val="000000"/>
                <w:kern w:val="2"/>
                <w:szCs w:val="28"/>
                <w:lang w:eastAsia="en-GB"/>
                <w14:ligatures w14:val="standardContextual"/>
              </w:rPr>
              <w:t>9.27</w:t>
            </w:r>
          </w:p>
        </w:tc>
        <w:tc>
          <w:tcPr>
            <w:tcW w:w="1272" w:type="pct"/>
            <w:tcBorders>
              <w:top w:val="single" w:sz="4" w:space="0" w:color="auto"/>
              <w:left w:val="single" w:sz="4" w:space="0" w:color="auto"/>
              <w:bottom w:val="single" w:sz="4" w:space="0" w:color="auto"/>
              <w:right w:val="single" w:sz="4" w:space="0" w:color="auto"/>
            </w:tcBorders>
            <w:vAlign w:val="center"/>
            <w:hideMark/>
          </w:tcPr>
          <w:p w14:paraId="1BA6C73A" w14:textId="77777777" w:rsidR="00D31226" w:rsidRPr="0099114C" w:rsidRDefault="00D31226" w:rsidP="003D26D2">
            <w:pPr>
              <w:pStyle w:val="TableText"/>
              <w:spacing w:line="256" w:lineRule="auto"/>
              <w:jc w:val="center"/>
              <w:rPr>
                <w:rFonts w:ascii="Times" w:hAnsi="Times"/>
                <w:kern w:val="2"/>
                <w:lang w:eastAsia="en-US"/>
                <w14:ligatures w14:val="standardContextual"/>
              </w:rPr>
            </w:pPr>
            <w:r w:rsidRPr="0099114C">
              <w:rPr>
                <w:rFonts w:cs="Calibri"/>
                <w:color w:val="000000"/>
                <w:kern w:val="2"/>
                <w:szCs w:val="28"/>
                <w:lang w:eastAsia="en-GB"/>
                <w14:ligatures w14:val="standardContextual"/>
              </w:rPr>
              <w:t>9.15</w:t>
            </w:r>
          </w:p>
        </w:tc>
        <w:tc>
          <w:tcPr>
            <w:tcW w:w="836" w:type="pct"/>
            <w:tcBorders>
              <w:top w:val="single" w:sz="4" w:space="0" w:color="auto"/>
              <w:left w:val="single" w:sz="4" w:space="0" w:color="auto"/>
              <w:bottom w:val="single" w:sz="4" w:space="0" w:color="auto"/>
              <w:right w:val="single" w:sz="4" w:space="0" w:color="auto"/>
            </w:tcBorders>
            <w:vAlign w:val="center"/>
            <w:hideMark/>
          </w:tcPr>
          <w:p w14:paraId="6835B623" w14:textId="77777777" w:rsidR="00D31226" w:rsidRPr="0099114C" w:rsidRDefault="00D31226" w:rsidP="003D26D2">
            <w:pPr>
              <w:pStyle w:val="TableText"/>
              <w:spacing w:line="256" w:lineRule="auto"/>
              <w:jc w:val="center"/>
              <w:rPr>
                <w:kern w:val="2"/>
                <w:lang w:eastAsia="en-US"/>
                <w14:ligatures w14:val="standardContextual"/>
              </w:rPr>
            </w:pPr>
            <w:r w:rsidRPr="0099114C">
              <w:rPr>
                <w:rFonts w:cs="Calibri"/>
                <w:color w:val="000000"/>
                <w:kern w:val="2"/>
                <w:szCs w:val="28"/>
                <w:lang w:eastAsia="en-GB"/>
                <w14:ligatures w14:val="standardContextual"/>
              </w:rPr>
              <w:t>0.15</w:t>
            </w:r>
          </w:p>
        </w:tc>
      </w:tr>
      <w:tr w:rsidR="00D31226" w:rsidRPr="0099114C" w14:paraId="6C96DC56" w14:textId="77777777" w:rsidTr="00D31226">
        <w:trPr>
          <w:cantSplit/>
        </w:trPr>
        <w:tc>
          <w:tcPr>
            <w:tcW w:w="4164" w:type="pct"/>
            <w:gridSpan w:val="3"/>
            <w:tcBorders>
              <w:top w:val="single" w:sz="4" w:space="0" w:color="auto"/>
              <w:left w:val="single" w:sz="4" w:space="0" w:color="auto"/>
              <w:bottom w:val="single" w:sz="4" w:space="0" w:color="auto"/>
              <w:right w:val="single" w:sz="4" w:space="0" w:color="auto"/>
            </w:tcBorders>
            <w:vAlign w:val="center"/>
            <w:hideMark/>
          </w:tcPr>
          <w:p w14:paraId="683E242C" w14:textId="77777777" w:rsidR="00D31226" w:rsidRPr="0099114C" w:rsidRDefault="00D31226" w:rsidP="003D26D2">
            <w:pPr>
              <w:pStyle w:val="TableText"/>
              <w:spacing w:line="256" w:lineRule="auto"/>
              <w:rPr>
                <w:rFonts w:ascii="Times" w:hAnsi="Times"/>
                <w:kern w:val="2"/>
                <w:lang w:eastAsia="en-US"/>
                <w14:ligatures w14:val="standardContextual"/>
              </w:rPr>
            </w:pPr>
            <w:r w:rsidRPr="0099114C">
              <w:rPr>
                <w:kern w:val="2"/>
                <w:lang w:eastAsia="en-US"/>
                <w14:ligatures w14:val="standardContextual"/>
              </w:rPr>
              <w:t>Incremental cost/extra LY gained</w:t>
            </w:r>
          </w:p>
        </w:tc>
        <w:tc>
          <w:tcPr>
            <w:tcW w:w="836" w:type="pct"/>
            <w:tcBorders>
              <w:top w:val="single" w:sz="4" w:space="0" w:color="auto"/>
              <w:left w:val="single" w:sz="4" w:space="0" w:color="auto"/>
              <w:bottom w:val="single" w:sz="4" w:space="0" w:color="auto"/>
              <w:right w:val="single" w:sz="4" w:space="0" w:color="auto"/>
            </w:tcBorders>
            <w:hideMark/>
          </w:tcPr>
          <w:p w14:paraId="32FE9B41" w14:textId="427830D6" w:rsidR="00D31226" w:rsidRPr="0099114C" w:rsidRDefault="00D31226" w:rsidP="003D26D2">
            <w:pPr>
              <w:keepNext/>
              <w:spacing w:line="256" w:lineRule="auto"/>
              <w:jc w:val="center"/>
              <w:rPr>
                <w:rFonts w:ascii="Arial Narrow" w:hAnsi="Arial Narrow" w:cs="Calibri"/>
                <w:color w:val="000000"/>
                <w:kern w:val="2"/>
                <w:sz w:val="20"/>
                <w:szCs w:val="28"/>
                <w:lang w:eastAsia="en-GB"/>
                <w14:ligatures w14:val="standardContextual"/>
              </w:rPr>
            </w:pPr>
            <w:r w:rsidRPr="0099114C">
              <w:rPr>
                <w:rFonts w:ascii="Arial Narrow" w:hAnsi="Arial Narrow" w:cs="Calibri"/>
                <w:color w:val="000000"/>
                <w:kern w:val="2"/>
                <w:sz w:val="20"/>
                <w:szCs w:val="28"/>
                <w:lang w:eastAsia="en-GB"/>
                <w14:ligatures w14:val="standardContextual"/>
              </w:rPr>
              <w:t>$</w:t>
            </w:r>
            <w:r w:rsidR="005F1F42" w:rsidRPr="005F1F42">
              <w:rPr>
                <w:rFonts w:ascii="Arial Narrow" w:hAnsi="Arial Narrow" w:cs="Calibri"/>
                <w:color w:val="000000"/>
                <w:kern w:val="2"/>
                <w:sz w:val="20"/>
                <w:szCs w:val="28"/>
                <w:shd w:val="solid" w:color="000000" w:fill="000000"/>
                <w:lang w:eastAsia="en-GB"/>
                <w14:textFill>
                  <w14:solidFill>
                    <w14:srgbClr w14:val="000000">
                      <w14:alpha w14:val="100000"/>
                    </w14:srgbClr>
                  </w14:solidFill>
                </w14:textFill>
                <w14:ligatures w14:val="standardContextual"/>
              </w:rPr>
              <w:t>|</w:t>
            </w:r>
            <w:r w:rsidR="00441753" w:rsidRPr="009E5CCE">
              <w:rPr>
                <w:rFonts w:ascii="Arial Narrow" w:hAnsi="Arial Narrow" w:cs="Calibri"/>
                <w:color w:val="000000"/>
                <w:kern w:val="2"/>
                <w:sz w:val="20"/>
                <w:szCs w:val="28"/>
                <w:vertAlign w:val="superscript"/>
                <w:lang w:eastAsia="en-GB"/>
                <w14:ligatures w14:val="standardContextual"/>
              </w:rPr>
              <w:t>2</w:t>
            </w:r>
          </w:p>
        </w:tc>
      </w:tr>
      <w:tr w:rsidR="00D31226" w:rsidRPr="0099114C" w14:paraId="7D8AF06F" w14:textId="77777777" w:rsidTr="009E5CCE">
        <w:trPr>
          <w:cantSplit/>
        </w:trPr>
        <w:tc>
          <w:tcPr>
            <w:tcW w:w="416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28FB345" w14:textId="77777777" w:rsidR="00D31226" w:rsidRPr="0099114C" w:rsidRDefault="00D31226" w:rsidP="003D26D2">
            <w:pPr>
              <w:pStyle w:val="TableText"/>
              <w:spacing w:line="256" w:lineRule="auto"/>
              <w:rPr>
                <w:b/>
                <w:bCs w:val="0"/>
                <w:kern w:val="2"/>
                <w:lang w:eastAsia="en-US"/>
                <w14:ligatures w14:val="standardContextual"/>
              </w:rPr>
            </w:pPr>
            <w:r w:rsidRPr="0099114C">
              <w:rPr>
                <w:b/>
                <w:bCs w:val="0"/>
                <w:kern w:val="2"/>
                <w:lang w:eastAsia="en-US"/>
                <w14:ligatures w14:val="standardContextual"/>
              </w:rPr>
              <w:t>Weighted ICER (50:50): Incremental cost/extra LY gained</w:t>
            </w:r>
          </w:p>
        </w:tc>
        <w:tc>
          <w:tcPr>
            <w:tcW w:w="836" w:type="pct"/>
            <w:tcBorders>
              <w:top w:val="single" w:sz="4" w:space="0" w:color="auto"/>
              <w:left w:val="single" w:sz="4" w:space="0" w:color="auto"/>
              <w:bottom w:val="single" w:sz="4" w:space="0" w:color="auto"/>
              <w:right w:val="single" w:sz="4" w:space="0" w:color="auto"/>
            </w:tcBorders>
            <w:shd w:val="clear" w:color="auto" w:fill="auto"/>
            <w:hideMark/>
          </w:tcPr>
          <w:p w14:paraId="0DDD4ACA" w14:textId="1EDAF323" w:rsidR="00D31226" w:rsidRPr="0099114C" w:rsidRDefault="00D31226" w:rsidP="003D26D2">
            <w:pPr>
              <w:keepNext/>
              <w:spacing w:line="256" w:lineRule="auto"/>
              <w:jc w:val="center"/>
              <w:rPr>
                <w:rFonts w:ascii="Arial Narrow" w:hAnsi="Arial Narrow" w:cs="Calibri"/>
                <w:b/>
                <w:color w:val="000000"/>
                <w:kern w:val="2"/>
                <w:sz w:val="20"/>
                <w:szCs w:val="28"/>
                <w:lang w:eastAsia="en-GB"/>
                <w14:ligatures w14:val="standardContextual"/>
              </w:rPr>
            </w:pPr>
            <w:r w:rsidRPr="0099114C">
              <w:rPr>
                <w:rFonts w:ascii="Arial Narrow" w:hAnsi="Arial Narrow" w:cs="Calibri"/>
                <w:b/>
                <w:color w:val="000000"/>
                <w:kern w:val="2"/>
                <w:sz w:val="20"/>
                <w:szCs w:val="28"/>
                <w:lang w:eastAsia="en-GB"/>
                <w14:ligatures w14:val="standardContextual"/>
              </w:rPr>
              <w:t>$</w:t>
            </w:r>
            <w:r w:rsidR="005F1F42" w:rsidRPr="005F1F42">
              <w:rPr>
                <w:rFonts w:ascii="Arial Narrow" w:hAnsi="Arial Narrow" w:cs="Calibri"/>
                <w:b/>
                <w:color w:val="000000"/>
                <w:kern w:val="2"/>
                <w:sz w:val="20"/>
                <w:szCs w:val="28"/>
                <w:shd w:val="solid" w:color="000000" w:fill="000000"/>
                <w:lang w:eastAsia="en-GB"/>
                <w14:textFill>
                  <w14:solidFill>
                    <w14:srgbClr w14:val="000000">
                      <w14:alpha w14:val="100000"/>
                    </w14:srgbClr>
                  </w14:solidFill>
                </w14:textFill>
                <w14:ligatures w14:val="standardContextual"/>
              </w:rPr>
              <w:t>|</w:t>
            </w:r>
            <w:r w:rsidR="00441753" w:rsidRPr="009E5CCE">
              <w:rPr>
                <w:rFonts w:ascii="Arial Narrow" w:hAnsi="Arial Narrow" w:cs="Calibri"/>
                <w:b/>
                <w:color w:val="000000"/>
                <w:kern w:val="2"/>
                <w:sz w:val="20"/>
                <w:szCs w:val="28"/>
                <w:vertAlign w:val="superscript"/>
                <w:lang w:eastAsia="en-GB"/>
                <w14:ligatures w14:val="standardContextual"/>
              </w:rPr>
              <w:t>3</w:t>
            </w:r>
          </w:p>
        </w:tc>
      </w:tr>
      <w:tr w:rsidR="00D31226" w:rsidRPr="0099114C" w14:paraId="10C9F046" w14:textId="77777777" w:rsidTr="00D31226">
        <w:trPr>
          <w:cantSplit/>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5636D659" w14:textId="77777777" w:rsidR="00D31226" w:rsidRPr="0099114C" w:rsidRDefault="00D31226" w:rsidP="003D26D2">
            <w:pPr>
              <w:pStyle w:val="TableText"/>
              <w:spacing w:line="256" w:lineRule="auto"/>
              <w:rPr>
                <w:b/>
                <w:bCs w:val="0"/>
                <w:kern w:val="2"/>
                <w:lang w:eastAsia="en-US"/>
                <w14:ligatures w14:val="standardContextual"/>
              </w:rPr>
            </w:pPr>
            <w:r w:rsidRPr="0099114C">
              <w:rPr>
                <w:b/>
                <w:bCs w:val="0"/>
                <w:kern w:val="2"/>
                <w:lang w:eastAsia="en-US"/>
                <w14:ligatures w14:val="standardContextual"/>
              </w:rPr>
              <w:t>Outcome: Quality-adjusted life year (QALY)</w:t>
            </w:r>
          </w:p>
        </w:tc>
      </w:tr>
      <w:tr w:rsidR="00D31226" w:rsidRPr="0099114C" w14:paraId="37BE9E5C" w14:textId="77777777" w:rsidTr="00D31226">
        <w:trPr>
          <w:cantSplit/>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2E135C09" w14:textId="77777777" w:rsidR="00D31226" w:rsidRPr="0099114C" w:rsidRDefault="00D31226" w:rsidP="003D26D2">
            <w:pPr>
              <w:pStyle w:val="TableText"/>
              <w:spacing w:line="256" w:lineRule="auto"/>
              <w:rPr>
                <w:b/>
                <w:bCs w:val="0"/>
                <w:kern w:val="2"/>
                <w:lang w:eastAsia="en-US"/>
                <w14:ligatures w14:val="standardContextual"/>
              </w:rPr>
            </w:pPr>
            <w:r w:rsidRPr="0099114C">
              <w:rPr>
                <w:b/>
                <w:bCs w:val="0"/>
                <w:kern w:val="2"/>
                <w:lang w:eastAsia="en-US"/>
                <w14:ligatures w14:val="standardContextual"/>
              </w:rPr>
              <w:t>Azathioprine scenario</w:t>
            </w:r>
          </w:p>
        </w:tc>
      </w:tr>
      <w:tr w:rsidR="00D31226" w:rsidRPr="0099114C" w14:paraId="62B734DC" w14:textId="77777777" w:rsidTr="00D31226">
        <w:trPr>
          <w:cantSplit/>
        </w:trPr>
        <w:tc>
          <w:tcPr>
            <w:tcW w:w="1534" w:type="pct"/>
            <w:tcBorders>
              <w:top w:val="single" w:sz="4" w:space="0" w:color="auto"/>
              <w:left w:val="single" w:sz="4" w:space="0" w:color="auto"/>
              <w:bottom w:val="single" w:sz="4" w:space="0" w:color="auto"/>
              <w:right w:val="single" w:sz="4" w:space="0" w:color="auto"/>
            </w:tcBorders>
            <w:vAlign w:val="center"/>
            <w:hideMark/>
          </w:tcPr>
          <w:p w14:paraId="26CE0824" w14:textId="77777777" w:rsidR="00D31226" w:rsidRPr="0099114C" w:rsidRDefault="00D31226" w:rsidP="003D26D2">
            <w:pPr>
              <w:pStyle w:val="TableText"/>
              <w:spacing w:line="256" w:lineRule="auto"/>
              <w:rPr>
                <w:rFonts w:ascii="Times" w:hAnsi="Times"/>
                <w:kern w:val="2"/>
                <w:lang w:eastAsia="en-US"/>
                <w14:ligatures w14:val="standardContextual"/>
              </w:rPr>
            </w:pPr>
            <w:r w:rsidRPr="0099114C">
              <w:rPr>
                <w:kern w:val="2"/>
                <w:lang w:eastAsia="en-US"/>
                <w14:ligatures w14:val="standardContextual"/>
              </w:rPr>
              <w:t>Costs</w:t>
            </w:r>
          </w:p>
        </w:tc>
        <w:tc>
          <w:tcPr>
            <w:tcW w:w="1358" w:type="pct"/>
            <w:tcBorders>
              <w:top w:val="single" w:sz="4" w:space="0" w:color="auto"/>
              <w:left w:val="single" w:sz="4" w:space="0" w:color="auto"/>
              <w:bottom w:val="single" w:sz="4" w:space="0" w:color="auto"/>
              <w:right w:val="single" w:sz="4" w:space="0" w:color="auto"/>
            </w:tcBorders>
            <w:vAlign w:val="center"/>
            <w:hideMark/>
          </w:tcPr>
          <w:p w14:paraId="491B02F4" w14:textId="6F1A31CE" w:rsidR="00D31226" w:rsidRPr="0099114C" w:rsidRDefault="00D31226" w:rsidP="003D26D2">
            <w:pPr>
              <w:pStyle w:val="TableText"/>
              <w:spacing w:line="256" w:lineRule="auto"/>
              <w:jc w:val="center"/>
              <w:rPr>
                <w:rFonts w:ascii="Times" w:hAnsi="Times"/>
                <w:kern w:val="2"/>
                <w:lang w:eastAsia="en-US"/>
                <w14:ligatures w14:val="standardContextual"/>
              </w:rPr>
            </w:pPr>
            <w:r w:rsidRPr="0099114C">
              <w:rPr>
                <w:rFonts w:cs="Calibri"/>
                <w:color w:val="000000"/>
                <w:kern w:val="2"/>
                <w:szCs w:val="28"/>
                <w:lang w:eastAsia="en-GB"/>
                <w14:ligatures w14:val="standardContextual"/>
              </w:rPr>
              <w:t>$</w:t>
            </w:r>
            <w:r w:rsidR="005F1F42" w:rsidRPr="005F1F42">
              <w:rPr>
                <w:rFonts w:cs="Calibri"/>
                <w:color w:val="000000"/>
                <w:kern w:val="2"/>
                <w:szCs w:val="28"/>
                <w:shd w:val="solid" w:color="000000" w:fill="000000"/>
                <w:lang w:eastAsia="en-GB"/>
                <w14:textFill>
                  <w14:solidFill>
                    <w14:srgbClr w14:val="000000">
                      <w14:alpha w14:val="100000"/>
                    </w14:srgbClr>
                  </w14:solidFill>
                </w14:textFill>
                <w14:ligatures w14:val="standardContextual"/>
              </w:rPr>
              <w:t>|</w:t>
            </w:r>
          </w:p>
        </w:tc>
        <w:tc>
          <w:tcPr>
            <w:tcW w:w="1272" w:type="pct"/>
            <w:tcBorders>
              <w:top w:val="single" w:sz="4" w:space="0" w:color="auto"/>
              <w:left w:val="single" w:sz="4" w:space="0" w:color="auto"/>
              <w:bottom w:val="single" w:sz="4" w:space="0" w:color="auto"/>
              <w:right w:val="single" w:sz="4" w:space="0" w:color="auto"/>
            </w:tcBorders>
            <w:vAlign w:val="center"/>
            <w:hideMark/>
          </w:tcPr>
          <w:p w14:paraId="2C4D151F" w14:textId="77777777" w:rsidR="00D31226" w:rsidRPr="0099114C" w:rsidRDefault="00D31226" w:rsidP="003D26D2">
            <w:pPr>
              <w:pStyle w:val="TableText"/>
              <w:spacing w:line="256" w:lineRule="auto"/>
              <w:jc w:val="center"/>
              <w:rPr>
                <w:rFonts w:ascii="Times" w:hAnsi="Times"/>
                <w:kern w:val="2"/>
                <w:lang w:eastAsia="en-US"/>
                <w14:ligatures w14:val="standardContextual"/>
              </w:rPr>
            </w:pPr>
            <w:r w:rsidRPr="0099114C">
              <w:rPr>
                <w:rFonts w:cs="Calibri"/>
                <w:color w:val="000000"/>
                <w:kern w:val="2"/>
                <w:szCs w:val="28"/>
                <w:lang w:eastAsia="en-GB"/>
                <w14:ligatures w14:val="standardContextual"/>
              </w:rPr>
              <w:t>$244,862</w:t>
            </w:r>
          </w:p>
        </w:tc>
        <w:tc>
          <w:tcPr>
            <w:tcW w:w="836" w:type="pct"/>
            <w:tcBorders>
              <w:top w:val="single" w:sz="4" w:space="0" w:color="auto"/>
              <w:left w:val="single" w:sz="4" w:space="0" w:color="auto"/>
              <w:bottom w:val="single" w:sz="4" w:space="0" w:color="auto"/>
              <w:right w:val="single" w:sz="4" w:space="0" w:color="auto"/>
            </w:tcBorders>
            <w:vAlign w:val="center"/>
            <w:hideMark/>
          </w:tcPr>
          <w:p w14:paraId="24300EDF" w14:textId="0F30505E" w:rsidR="00D31226" w:rsidRPr="0099114C" w:rsidRDefault="00D31226" w:rsidP="003D26D2">
            <w:pPr>
              <w:pStyle w:val="TableText"/>
              <w:spacing w:line="256" w:lineRule="auto"/>
              <w:jc w:val="center"/>
              <w:rPr>
                <w:rFonts w:ascii="Times" w:hAnsi="Times"/>
                <w:kern w:val="2"/>
                <w:lang w:eastAsia="en-US"/>
                <w14:ligatures w14:val="standardContextual"/>
              </w:rPr>
            </w:pPr>
            <w:r w:rsidRPr="0099114C">
              <w:rPr>
                <w:rFonts w:cs="Calibri"/>
                <w:color w:val="000000"/>
                <w:kern w:val="2"/>
                <w:szCs w:val="28"/>
                <w:lang w:eastAsia="en-GB"/>
                <w14:ligatures w14:val="standardContextual"/>
              </w:rPr>
              <w:t>$</w:t>
            </w:r>
            <w:r w:rsidR="005F1F42" w:rsidRPr="005F1F42">
              <w:rPr>
                <w:rFonts w:cs="Calibri"/>
                <w:color w:val="000000"/>
                <w:kern w:val="2"/>
                <w:szCs w:val="28"/>
                <w:shd w:val="solid" w:color="000000" w:fill="000000"/>
                <w:lang w:eastAsia="en-GB"/>
                <w14:textFill>
                  <w14:solidFill>
                    <w14:srgbClr w14:val="000000">
                      <w14:alpha w14:val="100000"/>
                    </w14:srgbClr>
                  </w14:solidFill>
                </w14:textFill>
                <w14:ligatures w14:val="standardContextual"/>
              </w:rPr>
              <w:t>|</w:t>
            </w:r>
          </w:p>
        </w:tc>
      </w:tr>
      <w:tr w:rsidR="00D31226" w:rsidRPr="0099114C" w14:paraId="1F78A743" w14:textId="77777777" w:rsidTr="00D31226">
        <w:trPr>
          <w:cantSplit/>
        </w:trPr>
        <w:tc>
          <w:tcPr>
            <w:tcW w:w="1534" w:type="pct"/>
            <w:tcBorders>
              <w:top w:val="single" w:sz="4" w:space="0" w:color="auto"/>
              <w:left w:val="single" w:sz="4" w:space="0" w:color="auto"/>
              <w:bottom w:val="single" w:sz="4" w:space="0" w:color="auto"/>
              <w:right w:val="single" w:sz="4" w:space="0" w:color="auto"/>
            </w:tcBorders>
            <w:vAlign w:val="center"/>
            <w:hideMark/>
          </w:tcPr>
          <w:p w14:paraId="2973D070" w14:textId="77777777" w:rsidR="00D31226" w:rsidRPr="0099114C" w:rsidRDefault="00D31226" w:rsidP="003D26D2">
            <w:pPr>
              <w:pStyle w:val="TableText"/>
              <w:spacing w:line="256" w:lineRule="auto"/>
              <w:rPr>
                <w:rFonts w:ascii="Times" w:hAnsi="Times"/>
                <w:kern w:val="2"/>
                <w:lang w:eastAsia="en-US"/>
                <w14:ligatures w14:val="standardContextual"/>
              </w:rPr>
            </w:pPr>
            <w:r w:rsidRPr="0099114C">
              <w:rPr>
                <w:kern w:val="2"/>
                <w:lang w:eastAsia="en-US"/>
                <w14:ligatures w14:val="standardContextual"/>
              </w:rPr>
              <w:t>QALYs</w:t>
            </w:r>
          </w:p>
        </w:tc>
        <w:tc>
          <w:tcPr>
            <w:tcW w:w="1358" w:type="pct"/>
            <w:tcBorders>
              <w:top w:val="single" w:sz="4" w:space="0" w:color="auto"/>
              <w:left w:val="single" w:sz="4" w:space="0" w:color="auto"/>
              <w:bottom w:val="single" w:sz="4" w:space="0" w:color="auto"/>
              <w:right w:val="single" w:sz="4" w:space="0" w:color="auto"/>
            </w:tcBorders>
            <w:vAlign w:val="center"/>
            <w:hideMark/>
          </w:tcPr>
          <w:p w14:paraId="5B101D78" w14:textId="77777777" w:rsidR="00D31226" w:rsidRPr="0099114C" w:rsidRDefault="00D31226" w:rsidP="003D26D2">
            <w:pPr>
              <w:pStyle w:val="TableText"/>
              <w:spacing w:line="256" w:lineRule="auto"/>
              <w:jc w:val="center"/>
              <w:rPr>
                <w:rFonts w:ascii="Times" w:hAnsi="Times"/>
                <w:kern w:val="2"/>
                <w:lang w:eastAsia="en-US"/>
                <w14:ligatures w14:val="standardContextual"/>
              </w:rPr>
            </w:pPr>
            <w:r w:rsidRPr="0099114C">
              <w:rPr>
                <w:rFonts w:cs="Calibri"/>
                <w:color w:val="000000"/>
                <w:kern w:val="2"/>
                <w:szCs w:val="28"/>
                <w:lang w:eastAsia="en-GB"/>
                <w14:ligatures w14:val="standardContextual"/>
              </w:rPr>
              <w:t>7.35</w:t>
            </w:r>
          </w:p>
        </w:tc>
        <w:tc>
          <w:tcPr>
            <w:tcW w:w="1272" w:type="pct"/>
            <w:tcBorders>
              <w:top w:val="single" w:sz="4" w:space="0" w:color="auto"/>
              <w:left w:val="single" w:sz="4" w:space="0" w:color="auto"/>
              <w:bottom w:val="single" w:sz="4" w:space="0" w:color="auto"/>
              <w:right w:val="single" w:sz="4" w:space="0" w:color="auto"/>
            </w:tcBorders>
            <w:vAlign w:val="center"/>
            <w:hideMark/>
          </w:tcPr>
          <w:p w14:paraId="14477B0F" w14:textId="77777777" w:rsidR="00D31226" w:rsidRPr="0099114C" w:rsidRDefault="00D31226" w:rsidP="003D26D2">
            <w:pPr>
              <w:pStyle w:val="TableText"/>
              <w:spacing w:line="256" w:lineRule="auto"/>
              <w:jc w:val="center"/>
              <w:rPr>
                <w:rFonts w:ascii="Times" w:hAnsi="Times"/>
                <w:kern w:val="2"/>
                <w:lang w:eastAsia="en-US"/>
                <w14:ligatures w14:val="standardContextual"/>
              </w:rPr>
            </w:pPr>
            <w:r w:rsidRPr="0099114C">
              <w:rPr>
                <w:rFonts w:cs="Calibri"/>
                <w:color w:val="000000"/>
                <w:kern w:val="2"/>
                <w:szCs w:val="28"/>
                <w:lang w:eastAsia="en-GB"/>
                <w14:ligatures w14:val="standardContextual"/>
              </w:rPr>
              <w:t>6.98</w:t>
            </w:r>
          </w:p>
        </w:tc>
        <w:tc>
          <w:tcPr>
            <w:tcW w:w="836" w:type="pct"/>
            <w:tcBorders>
              <w:top w:val="single" w:sz="4" w:space="0" w:color="auto"/>
              <w:left w:val="single" w:sz="4" w:space="0" w:color="auto"/>
              <w:bottom w:val="single" w:sz="4" w:space="0" w:color="auto"/>
              <w:right w:val="single" w:sz="4" w:space="0" w:color="auto"/>
            </w:tcBorders>
            <w:vAlign w:val="center"/>
            <w:hideMark/>
          </w:tcPr>
          <w:p w14:paraId="1548A899" w14:textId="77777777" w:rsidR="00D31226" w:rsidRPr="0099114C" w:rsidRDefault="00D31226" w:rsidP="003D26D2">
            <w:pPr>
              <w:pStyle w:val="TableText"/>
              <w:spacing w:line="256" w:lineRule="auto"/>
              <w:jc w:val="center"/>
              <w:rPr>
                <w:kern w:val="2"/>
                <w:lang w:eastAsia="en-US"/>
                <w14:ligatures w14:val="standardContextual"/>
              </w:rPr>
            </w:pPr>
            <w:r w:rsidRPr="0099114C">
              <w:rPr>
                <w:rFonts w:cs="Calibri"/>
                <w:color w:val="000000"/>
                <w:kern w:val="2"/>
                <w:szCs w:val="28"/>
                <w:lang w:eastAsia="en-GB"/>
                <w14:ligatures w14:val="standardContextual"/>
              </w:rPr>
              <w:t>0.37</w:t>
            </w:r>
          </w:p>
        </w:tc>
      </w:tr>
      <w:tr w:rsidR="00D31226" w:rsidRPr="0099114C" w14:paraId="73D1BC19" w14:textId="77777777" w:rsidTr="00D31226">
        <w:trPr>
          <w:cantSplit/>
        </w:trPr>
        <w:tc>
          <w:tcPr>
            <w:tcW w:w="4164" w:type="pct"/>
            <w:gridSpan w:val="3"/>
            <w:tcBorders>
              <w:top w:val="single" w:sz="4" w:space="0" w:color="auto"/>
              <w:left w:val="single" w:sz="4" w:space="0" w:color="auto"/>
              <w:bottom w:val="single" w:sz="4" w:space="0" w:color="auto"/>
              <w:right w:val="single" w:sz="4" w:space="0" w:color="auto"/>
            </w:tcBorders>
            <w:vAlign w:val="center"/>
            <w:hideMark/>
          </w:tcPr>
          <w:p w14:paraId="72B57939" w14:textId="77777777" w:rsidR="00D31226" w:rsidRPr="0099114C" w:rsidRDefault="00D31226" w:rsidP="003D26D2">
            <w:pPr>
              <w:pStyle w:val="TableText"/>
              <w:spacing w:line="256" w:lineRule="auto"/>
              <w:rPr>
                <w:rFonts w:ascii="Times" w:hAnsi="Times"/>
                <w:kern w:val="2"/>
                <w:lang w:eastAsia="en-US"/>
                <w14:ligatures w14:val="standardContextual"/>
              </w:rPr>
            </w:pPr>
            <w:r w:rsidRPr="0099114C">
              <w:rPr>
                <w:kern w:val="2"/>
                <w:lang w:eastAsia="en-US"/>
                <w14:ligatures w14:val="standardContextual"/>
              </w:rPr>
              <w:t>Incremental cost/extra QALY gained</w:t>
            </w:r>
          </w:p>
        </w:tc>
        <w:tc>
          <w:tcPr>
            <w:tcW w:w="836" w:type="pct"/>
            <w:tcBorders>
              <w:top w:val="single" w:sz="4" w:space="0" w:color="auto"/>
              <w:left w:val="single" w:sz="4" w:space="0" w:color="auto"/>
              <w:bottom w:val="single" w:sz="4" w:space="0" w:color="auto"/>
              <w:right w:val="single" w:sz="4" w:space="0" w:color="auto"/>
            </w:tcBorders>
            <w:vAlign w:val="center"/>
            <w:hideMark/>
          </w:tcPr>
          <w:p w14:paraId="36F86F47" w14:textId="5E0128C2" w:rsidR="00D31226" w:rsidRPr="0099114C" w:rsidRDefault="00D31226" w:rsidP="003D26D2">
            <w:pPr>
              <w:keepNext/>
              <w:spacing w:line="256" w:lineRule="auto"/>
              <w:jc w:val="center"/>
              <w:rPr>
                <w:rFonts w:ascii="Arial Narrow" w:hAnsi="Arial Narrow" w:cs="Calibri"/>
                <w:color w:val="000000"/>
                <w:kern w:val="2"/>
                <w:sz w:val="20"/>
                <w:szCs w:val="28"/>
                <w:lang w:eastAsia="en-GB"/>
                <w14:ligatures w14:val="standardContextual"/>
              </w:rPr>
            </w:pPr>
            <w:r w:rsidRPr="0099114C">
              <w:rPr>
                <w:rFonts w:ascii="Arial Narrow" w:hAnsi="Arial Narrow" w:cs="Calibri"/>
                <w:color w:val="000000"/>
                <w:kern w:val="2"/>
                <w:sz w:val="20"/>
                <w:szCs w:val="28"/>
                <w:lang w:eastAsia="en-GB"/>
                <w14:ligatures w14:val="standardContextual"/>
              </w:rPr>
              <w:t>$</w:t>
            </w:r>
            <w:r w:rsidR="005F1F42" w:rsidRPr="005F1F42">
              <w:rPr>
                <w:rFonts w:ascii="Arial Narrow" w:hAnsi="Arial Narrow" w:cs="Calibri"/>
                <w:color w:val="000000"/>
                <w:kern w:val="2"/>
                <w:sz w:val="20"/>
                <w:szCs w:val="28"/>
                <w:shd w:val="solid" w:color="000000" w:fill="000000"/>
                <w:lang w:eastAsia="en-GB"/>
                <w14:textFill>
                  <w14:solidFill>
                    <w14:srgbClr w14:val="000000">
                      <w14:alpha w14:val="100000"/>
                    </w14:srgbClr>
                  </w14:solidFill>
                </w14:textFill>
                <w14:ligatures w14:val="standardContextual"/>
              </w:rPr>
              <w:t>|</w:t>
            </w:r>
            <w:r w:rsidR="00441753" w:rsidRPr="009E5CCE">
              <w:rPr>
                <w:rFonts w:ascii="Arial Narrow" w:hAnsi="Arial Narrow" w:cs="Calibri"/>
                <w:color w:val="000000"/>
                <w:kern w:val="2"/>
                <w:sz w:val="20"/>
                <w:szCs w:val="28"/>
                <w:vertAlign w:val="superscript"/>
                <w:lang w:eastAsia="en-GB"/>
                <w14:ligatures w14:val="standardContextual"/>
              </w:rPr>
              <w:t>4</w:t>
            </w:r>
          </w:p>
        </w:tc>
      </w:tr>
      <w:tr w:rsidR="00D31226" w:rsidRPr="0099114C" w14:paraId="7819A006" w14:textId="77777777" w:rsidTr="00D31226">
        <w:trPr>
          <w:cantSplit/>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502A0BF5" w14:textId="77777777" w:rsidR="00D31226" w:rsidRPr="00857B0D" w:rsidRDefault="00D31226" w:rsidP="003D26D2">
            <w:pPr>
              <w:pStyle w:val="In-tableHeading"/>
              <w:spacing w:line="256" w:lineRule="auto"/>
              <w:rPr>
                <w:kern w:val="2"/>
                <w:lang w:val="en-AU" w:eastAsia="en-US"/>
                <w14:ligatures w14:val="standardContextual"/>
              </w:rPr>
            </w:pPr>
            <w:r w:rsidRPr="00857B0D">
              <w:rPr>
                <w:kern w:val="2"/>
                <w:lang w:val="en-AU" w:eastAsia="en-US"/>
                <w14:ligatures w14:val="standardContextual"/>
              </w:rPr>
              <w:t>Rituximab scenario</w:t>
            </w:r>
          </w:p>
        </w:tc>
      </w:tr>
      <w:tr w:rsidR="00D31226" w:rsidRPr="0099114C" w14:paraId="0C59D42C" w14:textId="77777777" w:rsidTr="00D31226">
        <w:trPr>
          <w:cantSplit/>
        </w:trPr>
        <w:tc>
          <w:tcPr>
            <w:tcW w:w="1534" w:type="pct"/>
            <w:tcBorders>
              <w:top w:val="single" w:sz="4" w:space="0" w:color="auto"/>
              <w:left w:val="single" w:sz="4" w:space="0" w:color="auto"/>
              <w:bottom w:val="single" w:sz="4" w:space="0" w:color="auto"/>
              <w:right w:val="single" w:sz="4" w:space="0" w:color="auto"/>
            </w:tcBorders>
            <w:vAlign w:val="center"/>
            <w:hideMark/>
          </w:tcPr>
          <w:p w14:paraId="0A1D0736" w14:textId="77777777" w:rsidR="00D31226" w:rsidRPr="0099114C" w:rsidRDefault="00D31226" w:rsidP="003D26D2">
            <w:pPr>
              <w:pStyle w:val="TableText"/>
              <w:spacing w:line="256" w:lineRule="auto"/>
              <w:rPr>
                <w:rFonts w:ascii="Times" w:hAnsi="Times"/>
                <w:kern w:val="2"/>
                <w:lang w:eastAsia="en-US"/>
                <w14:ligatures w14:val="standardContextual"/>
              </w:rPr>
            </w:pPr>
            <w:r w:rsidRPr="0099114C">
              <w:rPr>
                <w:kern w:val="2"/>
                <w:lang w:eastAsia="en-US"/>
                <w14:ligatures w14:val="standardContextual"/>
              </w:rPr>
              <w:t>Costs</w:t>
            </w:r>
          </w:p>
        </w:tc>
        <w:tc>
          <w:tcPr>
            <w:tcW w:w="1358" w:type="pct"/>
            <w:tcBorders>
              <w:top w:val="single" w:sz="4" w:space="0" w:color="auto"/>
              <w:left w:val="single" w:sz="4" w:space="0" w:color="auto"/>
              <w:bottom w:val="single" w:sz="4" w:space="0" w:color="auto"/>
              <w:right w:val="single" w:sz="4" w:space="0" w:color="auto"/>
            </w:tcBorders>
            <w:vAlign w:val="center"/>
            <w:hideMark/>
          </w:tcPr>
          <w:p w14:paraId="16AA4E01" w14:textId="6E8E6DD9" w:rsidR="00D31226" w:rsidRPr="0099114C" w:rsidRDefault="00D31226" w:rsidP="003D26D2">
            <w:pPr>
              <w:pStyle w:val="TableText"/>
              <w:spacing w:line="256" w:lineRule="auto"/>
              <w:jc w:val="center"/>
              <w:rPr>
                <w:rFonts w:ascii="Times" w:hAnsi="Times"/>
                <w:kern w:val="2"/>
                <w:lang w:eastAsia="en-US"/>
                <w14:ligatures w14:val="standardContextual"/>
              </w:rPr>
            </w:pPr>
            <w:r w:rsidRPr="0099114C">
              <w:rPr>
                <w:rFonts w:cs="Calibri"/>
                <w:color w:val="000000"/>
                <w:kern w:val="2"/>
                <w:szCs w:val="28"/>
                <w:lang w:eastAsia="en-GB"/>
                <w14:ligatures w14:val="standardContextual"/>
              </w:rPr>
              <w:t>$</w:t>
            </w:r>
            <w:r w:rsidR="005F1F42" w:rsidRPr="005F1F42">
              <w:rPr>
                <w:rFonts w:cs="Calibri"/>
                <w:color w:val="000000"/>
                <w:kern w:val="2"/>
                <w:szCs w:val="28"/>
                <w:shd w:val="solid" w:color="000000" w:fill="000000"/>
                <w:lang w:eastAsia="en-GB"/>
                <w14:textFill>
                  <w14:solidFill>
                    <w14:srgbClr w14:val="000000">
                      <w14:alpha w14:val="100000"/>
                    </w14:srgbClr>
                  </w14:solidFill>
                </w14:textFill>
                <w14:ligatures w14:val="standardContextual"/>
              </w:rPr>
              <w:t>|</w:t>
            </w:r>
          </w:p>
        </w:tc>
        <w:tc>
          <w:tcPr>
            <w:tcW w:w="1272" w:type="pct"/>
            <w:tcBorders>
              <w:top w:val="single" w:sz="4" w:space="0" w:color="auto"/>
              <w:left w:val="single" w:sz="4" w:space="0" w:color="auto"/>
              <w:bottom w:val="single" w:sz="4" w:space="0" w:color="auto"/>
              <w:right w:val="single" w:sz="4" w:space="0" w:color="auto"/>
            </w:tcBorders>
            <w:vAlign w:val="center"/>
            <w:hideMark/>
          </w:tcPr>
          <w:p w14:paraId="1E7F365C" w14:textId="77777777" w:rsidR="00D31226" w:rsidRPr="0099114C" w:rsidRDefault="00D31226" w:rsidP="003D26D2">
            <w:pPr>
              <w:pStyle w:val="TableText"/>
              <w:spacing w:line="256" w:lineRule="auto"/>
              <w:jc w:val="center"/>
              <w:rPr>
                <w:rFonts w:ascii="Times" w:hAnsi="Times"/>
                <w:kern w:val="2"/>
                <w:lang w:eastAsia="en-US"/>
                <w14:ligatures w14:val="standardContextual"/>
              </w:rPr>
            </w:pPr>
            <w:r w:rsidRPr="0099114C">
              <w:rPr>
                <w:rFonts w:cs="Calibri"/>
                <w:color w:val="000000"/>
                <w:kern w:val="2"/>
                <w:szCs w:val="28"/>
                <w:lang w:eastAsia="en-GB"/>
                <w14:ligatures w14:val="standardContextual"/>
              </w:rPr>
              <w:t>$244,862</w:t>
            </w:r>
          </w:p>
        </w:tc>
        <w:tc>
          <w:tcPr>
            <w:tcW w:w="836" w:type="pct"/>
            <w:tcBorders>
              <w:top w:val="single" w:sz="4" w:space="0" w:color="auto"/>
              <w:left w:val="single" w:sz="4" w:space="0" w:color="auto"/>
              <w:bottom w:val="single" w:sz="4" w:space="0" w:color="auto"/>
              <w:right w:val="single" w:sz="4" w:space="0" w:color="auto"/>
            </w:tcBorders>
            <w:vAlign w:val="center"/>
            <w:hideMark/>
          </w:tcPr>
          <w:p w14:paraId="11553187" w14:textId="4D61E517" w:rsidR="00D31226" w:rsidRPr="0099114C" w:rsidRDefault="00D31226" w:rsidP="003D26D2">
            <w:pPr>
              <w:pStyle w:val="TableText"/>
              <w:spacing w:line="256" w:lineRule="auto"/>
              <w:jc w:val="center"/>
              <w:rPr>
                <w:rFonts w:ascii="Times" w:hAnsi="Times"/>
                <w:kern w:val="2"/>
                <w:lang w:eastAsia="en-US"/>
                <w14:ligatures w14:val="standardContextual"/>
              </w:rPr>
            </w:pPr>
            <w:r w:rsidRPr="0099114C">
              <w:rPr>
                <w:rFonts w:cs="Calibri"/>
                <w:color w:val="000000"/>
                <w:kern w:val="2"/>
                <w:szCs w:val="28"/>
                <w:lang w:eastAsia="en-GB"/>
                <w14:ligatures w14:val="standardContextual"/>
              </w:rPr>
              <w:t>$</w:t>
            </w:r>
            <w:r w:rsidR="005F1F42" w:rsidRPr="005F1F42">
              <w:rPr>
                <w:rFonts w:cs="Calibri"/>
                <w:color w:val="000000"/>
                <w:kern w:val="2"/>
                <w:szCs w:val="28"/>
                <w:shd w:val="solid" w:color="000000" w:fill="000000"/>
                <w:lang w:eastAsia="en-GB"/>
                <w14:textFill>
                  <w14:solidFill>
                    <w14:srgbClr w14:val="000000">
                      <w14:alpha w14:val="100000"/>
                    </w14:srgbClr>
                  </w14:solidFill>
                </w14:textFill>
                <w14:ligatures w14:val="standardContextual"/>
              </w:rPr>
              <w:t>|</w:t>
            </w:r>
          </w:p>
        </w:tc>
      </w:tr>
      <w:tr w:rsidR="00D31226" w:rsidRPr="0099114C" w14:paraId="53831699" w14:textId="77777777" w:rsidTr="00D31226">
        <w:trPr>
          <w:cantSplit/>
        </w:trPr>
        <w:tc>
          <w:tcPr>
            <w:tcW w:w="1534" w:type="pct"/>
            <w:tcBorders>
              <w:top w:val="single" w:sz="4" w:space="0" w:color="auto"/>
              <w:left w:val="single" w:sz="4" w:space="0" w:color="auto"/>
              <w:bottom w:val="single" w:sz="4" w:space="0" w:color="auto"/>
              <w:right w:val="single" w:sz="4" w:space="0" w:color="auto"/>
            </w:tcBorders>
            <w:vAlign w:val="center"/>
            <w:hideMark/>
          </w:tcPr>
          <w:p w14:paraId="6D2D6470" w14:textId="77777777" w:rsidR="00D31226" w:rsidRPr="0099114C" w:rsidRDefault="00D31226" w:rsidP="003D26D2">
            <w:pPr>
              <w:pStyle w:val="TableText"/>
              <w:spacing w:line="256" w:lineRule="auto"/>
              <w:rPr>
                <w:rFonts w:ascii="Times" w:hAnsi="Times"/>
                <w:kern w:val="2"/>
                <w:lang w:eastAsia="en-US"/>
                <w14:ligatures w14:val="standardContextual"/>
              </w:rPr>
            </w:pPr>
            <w:r w:rsidRPr="0099114C">
              <w:rPr>
                <w:kern w:val="2"/>
                <w:lang w:eastAsia="en-US"/>
                <w14:ligatures w14:val="standardContextual"/>
              </w:rPr>
              <w:t>QALYs</w:t>
            </w:r>
          </w:p>
        </w:tc>
        <w:tc>
          <w:tcPr>
            <w:tcW w:w="1358" w:type="pct"/>
            <w:tcBorders>
              <w:top w:val="single" w:sz="4" w:space="0" w:color="auto"/>
              <w:left w:val="single" w:sz="4" w:space="0" w:color="auto"/>
              <w:bottom w:val="single" w:sz="4" w:space="0" w:color="auto"/>
              <w:right w:val="single" w:sz="4" w:space="0" w:color="auto"/>
            </w:tcBorders>
            <w:vAlign w:val="center"/>
            <w:hideMark/>
          </w:tcPr>
          <w:p w14:paraId="01730F55" w14:textId="77777777" w:rsidR="00D31226" w:rsidRPr="0099114C" w:rsidRDefault="00D31226" w:rsidP="003D26D2">
            <w:pPr>
              <w:pStyle w:val="TableText"/>
              <w:spacing w:line="256" w:lineRule="auto"/>
              <w:jc w:val="center"/>
              <w:rPr>
                <w:rFonts w:ascii="Times" w:hAnsi="Times"/>
                <w:kern w:val="2"/>
                <w:lang w:eastAsia="en-US"/>
                <w14:ligatures w14:val="standardContextual"/>
              </w:rPr>
            </w:pPr>
            <w:r w:rsidRPr="0099114C">
              <w:rPr>
                <w:rFonts w:cs="Calibri"/>
                <w:color w:val="000000"/>
                <w:kern w:val="2"/>
                <w:szCs w:val="28"/>
                <w:lang w:eastAsia="en-GB"/>
                <w14:ligatures w14:val="standardContextual"/>
              </w:rPr>
              <w:t>7.45</w:t>
            </w:r>
          </w:p>
        </w:tc>
        <w:tc>
          <w:tcPr>
            <w:tcW w:w="1272" w:type="pct"/>
            <w:tcBorders>
              <w:top w:val="single" w:sz="4" w:space="0" w:color="auto"/>
              <w:left w:val="single" w:sz="4" w:space="0" w:color="auto"/>
              <w:bottom w:val="single" w:sz="4" w:space="0" w:color="auto"/>
              <w:right w:val="single" w:sz="4" w:space="0" w:color="auto"/>
            </w:tcBorders>
            <w:vAlign w:val="center"/>
            <w:hideMark/>
          </w:tcPr>
          <w:p w14:paraId="361FE00F" w14:textId="77777777" w:rsidR="00D31226" w:rsidRPr="0099114C" w:rsidRDefault="00D31226" w:rsidP="003D26D2">
            <w:pPr>
              <w:pStyle w:val="TableText"/>
              <w:spacing w:line="256" w:lineRule="auto"/>
              <w:jc w:val="center"/>
              <w:rPr>
                <w:rFonts w:ascii="Times" w:hAnsi="Times"/>
                <w:kern w:val="2"/>
                <w:lang w:eastAsia="en-US"/>
                <w14:ligatures w14:val="standardContextual"/>
              </w:rPr>
            </w:pPr>
            <w:r w:rsidRPr="0099114C">
              <w:rPr>
                <w:rFonts w:cs="Calibri"/>
                <w:color w:val="000000"/>
                <w:kern w:val="2"/>
                <w:szCs w:val="28"/>
                <w:lang w:eastAsia="en-GB"/>
                <w14:ligatures w14:val="standardContextual"/>
              </w:rPr>
              <w:t>7.16</w:t>
            </w:r>
          </w:p>
        </w:tc>
        <w:tc>
          <w:tcPr>
            <w:tcW w:w="836" w:type="pct"/>
            <w:tcBorders>
              <w:top w:val="single" w:sz="4" w:space="0" w:color="auto"/>
              <w:left w:val="single" w:sz="4" w:space="0" w:color="auto"/>
              <w:bottom w:val="single" w:sz="4" w:space="0" w:color="auto"/>
              <w:right w:val="single" w:sz="4" w:space="0" w:color="auto"/>
            </w:tcBorders>
            <w:vAlign w:val="center"/>
            <w:hideMark/>
          </w:tcPr>
          <w:p w14:paraId="7FE3716B" w14:textId="77777777" w:rsidR="00D31226" w:rsidRPr="0099114C" w:rsidRDefault="00D31226" w:rsidP="003D26D2">
            <w:pPr>
              <w:pStyle w:val="TableText"/>
              <w:spacing w:line="256" w:lineRule="auto"/>
              <w:jc w:val="center"/>
              <w:rPr>
                <w:kern w:val="2"/>
                <w:lang w:eastAsia="en-US"/>
                <w14:ligatures w14:val="standardContextual"/>
              </w:rPr>
            </w:pPr>
            <w:r w:rsidRPr="0099114C">
              <w:rPr>
                <w:rFonts w:cs="Calibri"/>
                <w:color w:val="000000"/>
                <w:kern w:val="2"/>
                <w:szCs w:val="28"/>
                <w:lang w:eastAsia="en-GB"/>
                <w14:ligatures w14:val="standardContextual"/>
              </w:rPr>
              <w:t>0.29</w:t>
            </w:r>
          </w:p>
        </w:tc>
      </w:tr>
      <w:tr w:rsidR="00D31226" w:rsidRPr="0099114C" w14:paraId="6A47872B" w14:textId="77777777" w:rsidTr="00D31226">
        <w:trPr>
          <w:cantSplit/>
        </w:trPr>
        <w:tc>
          <w:tcPr>
            <w:tcW w:w="4164" w:type="pct"/>
            <w:gridSpan w:val="3"/>
            <w:tcBorders>
              <w:top w:val="single" w:sz="4" w:space="0" w:color="auto"/>
              <w:left w:val="single" w:sz="4" w:space="0" w:color="auto"/>
              <w:bottom w:val="single" w:sz="4" w:space="0" w:color="auto"/>
              <w:right w:val="single" w:sz="4" w:space="0" w:color="auto"/>
            </w:tcBorders>
            <w:vAlign w:val="center"/>
            <w:hideMark/>
          </w:tcPr>
          <w:p w14:paraId="6706C7D1" w14:textId="77777777" w:rsidR="00D31226" w:rsidRPr="0099114C" w:rsidRDefault="00D31226" w:rsidP="003D26D2">
            <w:pPr>
              <w:pStyle w:val="TableText"/>
              <w:spacing w:line="256" w:lineRule="auto"/>
              <w:rPr>
                <w:rFonts w:ascii="Times" w:hAnsi="Times"/>
                <w:kern w:val="2"/>
                <w:lang w:eastAsia="en-US"/>
                <w14:ligatures w14:val="standardContextual"/>
              </w:rPr>
            </w:pPr>
            <w:r w:rsidRPr="0099114C">
              <w:rPr>
                <w:kern w:val="2"/>
                <w:lang w:eastAsia="en-US"/>
                <w14:ligatures w14:val="standardContextual"/>
              </w:rPr>
              <w:t>Incremental cost/extra QALY gained</w:t>
            </w:r>
          </w:p>
        </w:tc>
        <w:tc>
          <w:tcPr>
            <w:tcW w:w="836" w:type="pct"/>
            <w:tcBorders>
              <w:top w:val="single" w:sz="4" w:space="0" w:color="auto"/>
              <w:left w:val="single" w:sz="4" w:space="0" w:color="auto"/>
              <w:bottom w:val="single" w:sz="4" w:space="0" w:color="auto"/>
              <w:right w:val="single" w:sz="4" w:space="0" w:color="auto"/>
            </w:tcBorders>
            <w:hideMark/>
          </w:tcPr>
          <w:p w14:paraId="0A2C8DC5" w14:textId="5ED9ADB1" w:rsidR="00D31226" w:rsidRPr="0099114C" w:rsidRDefault="00D31226" w:rsidP="003D26D2">
            <w:pPr>
              <w:keepNext/>
              <w:spacing w:line="256" w:lineRule="auto"/>
              <w:jc w:val="center"/>
              <w:rPr>
                <w:rFonts w:ascii="Arial Narrow" w:hAnsi="Arial Narrow" w:cs="Calibri"/>
                <w:color w:val="000000"/>
                <w:kern w:val="2"/>
                <w:sz w:val="20"/>
                <w:szCs w:val="28"/>
                <w:lang w:eastAsia="en-GB"/>
                <w14:ligatures w14:val="standardContextual"/>
              </w:rPr>
            </w:pPr>
            <w:r w:rsidRPr="0099114C">
              <w:rPr>
                <w:rFonts w:ascii="Arial Narrow" w:hAnsi="Arial Narrow" w:cs="Calibri"/>
                <w:color w:val="000000"/>
                <w:kern w:val="2"/>
                <w:sz w:val="20"/>
                <w:szCs w:val="28"/>
                <w:lang w:eastAsia="en-GB"/>
                <w14:ligatures w14:val="standardContextual"/>
              </w:rPr>
              <w:t>$</w:t>
            </w:r>
            <w:r w:rsidR="005F1F42" w:rsidRPr="005F1F42">
              <w:rPr>
                <w:rFonts w:ascii="Arial Narrow" w:hAnsi="Arial Narrow" w:cs="Calibri"/>
                <w:color w:val="000000"/>
                <w:kern w:val="2"/>
                <w:sz w:val="20"/>
                <w:szCs w:val="28"/>
                <w:shd w:val="solid" w:color="000000" w:fill="000000"/>
                <w:lang w:eastAsia="en-GB"/>
                <w14:textFill>
                  <w14:solidFill>
                    <w14:srgbClr w14:val="000000">
                      <w14:alpha w14:val="100000"/>
                    </w14:srgbClr>
                  </w14:solidFill>
                </w14:textFill>
                <w14:ligatures w14:val="standardContextual"/>
              </w:rPr>
              <w:t>|</w:t>
            </w:r>
            <w:r w:rsidR="00441753" w:rsidRPr="009E5CCE">
              <w:rPr>
                <w:rFonts w:ascii="Arial Narrow" w:hAnsi="Arial Narrow" w:cs="Calibri"/>
                <w:color w:val="000000"/>
                <w:kern w:val="2"/>
                <w:sz w:val="20"/>
                <w:szCs w:val="28"/>
                <w:vertAlign w:val="superscript"/>
                <w:lang w:eastAsia="en-GB"/>
                <w14:ligatures w14:val="standardContextual"/>
              </w:rPr>
              <w:t>1</w:t>
            </w:r>
          </w:p>
        </w:tc>
      </w:tr>
      <w:tr w:rsidR="00D31226" w:rsidRPr="0099114C" w14:paraId="5FCC66FE" w14:textId="77777777" w:rsidTr="009E5CCE">
        <w:trPr>
          <w:cantSplit/>
        </w:trPr>
        <w:tc>
          <w:tcPr>
            <w:tcW w:w="416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5197D32" w14:textId="77777777" w:rsidR="00D31226" w:rsidRPr="0099114C" w:rsidRDefault="00D31226" w:rsidP="003D26D2">
            <w:pPr>
              <w:pStyle w:val="TableText"/>
              <w:spacing w:line="256" w:lineRule="auto"/>
              <w:rPr>
                <w:kern w:val="2"/>
                <w:lang w:eastAsia="en-US"/>
                <w14:ligatures w14:val="standardContextual"/>
              </w:rPr>
            </w:pPr>
            <w:r w:rsidRPr="0099114C">
              <w:rPr>
                <w:b/>
                <w:bCs w:val="0"/>
                <w:kern w:val="2"/>
                <w:lang w:eastAsia="en-US"/>
                <w14:ligatures w14:val="standardContextual"/>
              </w:rPr>
              <w:t>Weighted ICER (50:50): Incremental cost/extra QALY gained</w:t>
            </w:r>
          </w:p>
        </w:tc>
        <w:tc>
          <w:tcPr>
            <w:tcW w:w="836" w:type="pct"/>
            <w:tcBorders>
              <w:top w:val="single" w:sz="4" w:space="0" w:color="auto"/>
              <w:left w:val="single" w:sz="4" w:space="0" w:color="auto"/>
              <w:bottom w:val="single" w:sz="4" w:space="0" w:color="auto"/>
              <w:right w:val="single" w:sz="4" w:space="0" w:color="auto"/>
            </w:tcBorders>
            <w:shd w:val="clear" w:color="auto" w:fill="auto"/>
            <w:hideMark/>
          </w:tcPr>
          <w:p w14:paraId="4DE4DBAD" w14:textId="08F0F62D" w:rsidR="00D31226" w:rsidRPr="0099114C" w:rsidRDefault="00D31226" w:rsidP="003D26D2">
            <w:pPr>
              <w:keepNext/>
              <w:spacing w:line="256" w:lineRule="auto"/>
              <w:jc w:val="center"/>
              <w:rPr>
                <w:rFonts w:ascii="Arial Narrow" w:hAnsi="Arial Narrow" w:cs="Calibri"/>
                <w:b/>
                <w:bCs/>
                <w:color w:val="000000"/>
                <w:kern w:val="2"/>
                <w:sz w:val="20"/>
                <w:szCs w:val="28"/>
                <w:lang w:eastAsia="en-GB"/>
                <w14:ligatures w14:val="standardContextual"/>
              </w:rPr>
            </w:pPr>
            <w:r w:rsidRPr="0099114C">
              <w:rPr>
                <w:rFonts w:ascii="Arial Narrow" w:hAnsi="Arial Narrow" w:cs="Calibri"/>
                <w:b/>
                <w:bCs/>
                <w:color w:val="000000"/>
                <w:kern w:val="2"/>
                <w:sz w:val="20"/>
                <w:szCs w:val="28"/>
                <w:lang w:eastAsia="en-GB"/>
                <w14:ligatures w14:val="standardContextual"/>
              </w:rPr>
              <w:t>$</w:t>
            </w:r>
            <w:r w:rsidR="005F1F42" w:rsidRPr="005F1F42">
              <w:rPr>
                <w:rFonts w:ascii="Arial Narrow" w:hAnsi="Arial Narrow" w:cs="Calibri"/>
                <w:b/>
                <w:bCs/>
                <w:color w:val="000000"/>
                <w:kern w:val="2"/>
                <w:sz w:val="20"/>
                <w:szCs w:val="28"/>
                <w:shd w:val="solid" w:color="000000" w:fill="000000"/>
                <w:lang w:eastAsia="en-GB"/>
                <w14:textFill>
                  <w14:solidFill>
                    <w14:srgbClr w14:val="000000">
                      <w14:alpha w14:val="100000"/>
                    </w14:srgbClr>
                  </w14:solidFill>
                </w14:textFill>
                <w14:ligatures w14:val="standardContextual"/>
              </w:rPr>
              <w:t>|</w:t>
            </w:r>
            <w:r w:rsidR="0049032D" w:rsidRPr="009E5CCE">
              <w:rPr>
                <w:rFonts w:ascii="Arial Narrow" w:hAnsi="Arial Narrow" w:cs="Calibri"/>
                <w:b/>
                <w:bCs/>
                <w:color w:val="000000"/>
                <w:kern w:val="2"/>
                <w:sz w:val="20"/>
                <w:szCs w:val="28"/>
                <w:vertAlign w:val="superscript"/>
                <w:lang w:eastAsia="en-GB"/>
                <w14:ligatures w14:val="standardContextual"/>
              </w:rPr>
              <w:t>5</w:t>
            </w:r>
          </w:p>
        </w:tc>
      </w:tr>
    </w:tbl>
    <w:p w14:paraId="552408B9" w14:textId="67AA1779" w:rsidR="001C1F29" w:rsidRPr="0099114C" w:rsidRDefault="001C1F29" w:rsidP="003D26D2">
      <w:pPr>
        <w:pStyle w:val="FooterTableFigure"/>
        <w:keepNext/>
        <w:rPr>
          <w:rStyle w:val="CommentReference"/>
        </w:rPr>
      </w:pPr>
      <w:r w:rsidRPr="0099114C">
        <w:t>Source: Table 3-31, p160 of the resubmission</w:t>
      </w:r>
    </w:p>
    <w:p w14:paraId="626F7D24" w14:textId="7F2637B1" w:rsidR="001C1F29" w:rsidRDefault="001C1F29" w:rsidP="003D26D2">
      <w:pPr>
        <w:pStyle w:val="FooterTableFigure"/>
        <w:keepNext/>
        <w:rPr>
          <w:rFonts w:eastAsia="Calibri"/>
          <w:szCs w:val="20"/>
        </w:rPr>
      </w:pPr>
      <w:r w:rsidRPr="0099114C">
        <w:rPr>
          <w:rFonts w:eastAsia="Calibri"/>
          <w:szCs w:val="20"/>
        </w:rPr>
        <w:t xml:space="preserve">Abbreviations: GC, Glucocorticoids; ICER; Incremental cost-effectiveness ratio; </w:t>
      </w:r>
      <w:r w:rsidR="00347B8D" w:rsidRPr="0099114C">
        <w:rPr>
          <w:rFonts w:eastAsia="Calibri"/>
          <w:szCs w:val="20"/>
        </w:rPr>
        <w:t xml:space="preserve">LY, life-year; </w:t>
      </w:r>
      <w:r w:rsidRPr="0099114C">
        <w:rPr>
          <w:rFonts w:eastAsia="Calibri"/>
          <w:szCs w:val="20"/>
        </w:rPr>
        <w:t>QALY</w:t>
      </w:r>
      <w:r w:rsidR="00444746" w:rsidRPr="0099114C">
        <w:rPr>
          <w:rFonts w:eastAsia="Calibri"/>
          <w:szCs w:val="20"/>
        </w:rPr>
        <w:t>,</w:t>
      </w:r>
      <w:r w:rsidRPr="0099114C">
        <w:rPr>
          <w:rFonts w:eastAsia="Calibri"/>
          <w:szCs w:val="20"/>
        </w:rPr>
        <w:t xml:space="preserve"> quality adjusted life year; SOC, standard of care</w:t>
      </w:r>
    </w:p>
    <w:p w14:paraId="075C59FA" w14:textId="77777777" w:rsidR="00441753" w:rsidRPr="009E5CCE" w:rsidRDefault="00441753" w:rsidP="003D26D2">
      <w:pPr>
        <w:pStyle w:val="FooterTableFigure"/>
        <w:keepNext/>
        <w:rPr>
          <w:rFonts w:eastAsia="Calibri"/>
          <w:i/>
          <w:iCs/>
          <w:szCs w:val="20"/>
        </w:rPr>
      </w:pPr>
      <w:r w:rsidRPr="009E5CCE">
        <w:rPr>
          <w:rFonts w:eastAsia="Calibri"/>
          <w:i/>
          <w:iCs/>
          <w:szCs w:val="20"/>
        </w:rPr>
        <w:t xml:space="preserve">The redacted values correspond to the following ranges: </w:t>
      </w:r>
    </w:p>
    <w:p w14:paraId="76D9E31D" w14:textId="48A9BA0B" w:rsidR="00441753" w:rsidRPr="009E5CCE" w:rsidRDefault="00441753" w:rsidP="003D26D2">
      <w:pPr>
        <w:pStyle w:val="FooterTableFigure"/>
        <w:keepNext/>
        <w:rPr>
          <w:rFonts w:eastAsia="Calibri"/>
          <w:i/>
          <w:iCs/>
          <w:szCs w:val="20"/>
        </w:rPr>
      </w:pPr>
      <w:r w:rsidRPr="009E5CCE">
        <w:rPr>
          <w:rFonts w:eastAsia="Calibri"/>
          <w:i/>
          <w:iCs/>
          <w:szCs w:val="20"/>
          <w:vertAlign w:val="superscript"/>
        </w:rPr>
        <w:t>1</w:t>
      </w:r>
      <w:r w:rsidRPr="009E5CCE">
        <w:rPr>
          <w:rFonts w:eastAsia="Calibri"/>
          <w:i/>
          <w:iCs/>
          <w:szCs w:val="20"/>
        </w:rPr>
        <w:t xml:space="preserve"> $75,000 to &lt; $95,000</w:t>
      </w:r>
    </w:p>
    <w:p w14:paraId="35774C4E" w14:textId="5CEE23B0" w:rsidR="00441753" w:rsidRPr="009E5CCE" w:rsidRDefault="00441753" w:rsidP="003D26D2">
      <w:pPr>
        <w:pStyle w:val="FooterTableFigure"/>
        <w:keepNext/>
        <w:rPr>
          <w:rFonts w:eastAsia="Calibri"/>
          <w:i/>
          <w:iCs/>
          <w:szCs w:val="20"/>
        </w:rPr>
      </w:pPr>
      <w:r w:rsidRPr="009E5CCE">
        <w:rPr>
          <w:rFonts w:eastAsia="Calibri"/>
          <w:i/>
          <w:iCs/>
          <w:szCs w:val="20"/>
          <w:vertAlign w:val="superscript"/>
        </w:rPr>
        <w:t>2</w:t>
      </w:r>
      <w:r w:rsidRPr="009E5CCE">
        <w:rPr>
          <w:rFonts w:eastAsia="Calibri"/>
          <w:i/>
          <w:iCs/>
          <w:szCs w:val="20"/>
        </w:rPr>
        <w:t xml:space="preserve"> $155,000 to &lt; $255,000</w:t>
      </w:r>
    </w:p>
    <w:p w14:paraId="00F4C7D1" w14:textId="696E3F56" w:rsidR="00441753" w:rsidRPr="009E5CCE" w:rsidRDefault="00441753" w:rsidP="003D26D2">
      <w:pPr>
        <w:pStyle w:val="FooterTableFigure"/>
        <w:keepNext/>
        <w:rPr>
          <w:rFonts w:eastAsia="Calibri"/>
          <w:i/>
          <w:iCs/>
          <w:szCs w:val="20"/>
        </w:rPr>
      </w:pPr>
      <w:r w:rsidRPr="009E5CCE">
        <w:rPr>
          <w:rFonts w:eastAsia="Calibri"/>
          <w:i/>
          <w:iCs/>
          <w:szCs w:val="20"/>
          <w:vertAlign w:val="superscript"/>
        </w:rPr>
        <w:t>3</w:t>
      </w:r>
      <w:r w:rsidRPr="009E5CCE">
        <w:rPr>
          <w:rFonts w:eastAsia="Calibri"/>
          <w:i/>
          <w:iCs/>
          <w:szCs w:val="20"/>
        </w:rPr>
        <w:t xml:space="preserve"> $115,000 to &lt; $135,000</w:t>
      </w:r>
    </w:p>
    <w:p w14:paraId="404BA41D" w14:textId="51C80F01" w:rsidR="00441753" w:rsidRPr="009E5CCE" w:rsidRDefault="00441753" w:rsidP="003D26D2">
      <w:pPr>
        <w:pStyle w:val="FooterTableFigure"/>
        <w:keepNext/>
        <w:rPr>
          <w:rFonts w:eastAsia="Calibri"/>
          <w:i/>
          <w:iCs/>
          <w:szCs w:val="20"/>
        </w:rPr>
      </w:pPr>
      <w:r w:rsidRPr="009E5CCE">
        <w:rPr>
          <w:rFonts w:eastAsia="Calibri"/>
          <w:i/>
          <w:iCs/>
          <w:szCs w:val="20"/>
          <w:vertAlign w:val="superscript"/>
        </w:rPr>
        <w:t>4</w:t>
      </w:r>
      <w:r w:rsidRPr="009E5CCE">
        <w:rPr>
          <w:rFonts w:eastAsia="Calibri"/>
          <w:i/>
          <w:iCs/>
          <w:szCs w:val="20"/>
        </w:rPr>
        <w:t xml:space="preserve"> $45,000 to &lt; $55,000</w:t>
      </w:r>
    </w:p>
    <w:p w14:paraId="7D17A9DC" w14:textId="00168017" w:rsidR="00441753" w:rsidRPr="003D26D2" w:rsidRDefault="0049032D" w:rsidP="00441753">
      <w:pPr>
        <w:pStyle w:val="FooterTableFigure"/>
        <w:rPr>
          <w:rFonts w:eastAsia="Calibri"/>
          <w:i/>
          <w:iCs/>
          <w:szCs w:val="20"/>
        </w:rPr>
      </w:pPr>
      <w:r w:rsidRPr="009E5CCE">
        <w:rPr>
          <w:rFonts w:eastAsia="Calibri"/>
          <w:i/>
          <w:iCs/>
          <w:szCs w:val="20"/>
          <w:vertAlign w:val="superscript"/>
        </w:rPr>
        <w:t>5</w:t>
      </w:r>
      <w:r w:rsidRPr="009E5CCE">
        <w:rPr>
          <w:rFonts w:eastAsia="Calibri"/>
          <w:i/>
          <w:iCs/>
          <w:szCs w:val="20"/>
        </w:rPr>
        <w:t xml:space="preserve"> </w:t>
      </w:r>
      <w:r w:rsidR="00441753" w:rsidRPr="009E5CCE">
        <w:rPr>
          <w:rFonts w:eastAsia="Calibri"/>
          <w:i/>
          <w:iCs/>
          <w:szCs w:val="20"/>
        </w:rPr>
        <w:t xml:space="preserve">$55,000 to &lt; $75,000 </w:t>
      </w:r>
    </w:p>
    <w:p w14:paraId="33A6F90D" w14:textId="7A78DB46" w:rsidR="00861D8C" w:rsidRPr="0099114C" w:rsidRDefault="00DB5178" w:rsidP="004A08BF">
      <w:pPr>
        <w:pStyle w:val="3-BodyText"/>
      </w:pPr>
      <w:r w:rsidRPr="0099114C">
        <w:t xml:space="preserve">Results of the key univariate sensitivity analysis are presented in </w:t>
      </w:r>
      <w:r w:rsidR="00861D8C" w:rsidRPr="0099114C">
        <w:fldChar w:fldCharType="begin" w:fldLock="1"/>
      </w:r>
      <w:r w:rsidR="00861D8C" w:rsidRPr="0099114C">
        <w:instrText xml:space="preserve"> REF _Ref153180010 \h </w:instrText>
      </w:r>
      <w:r w:rsidR="00861D8C" w:rsidRPr="0099114C">
        <w:fldChar w:fldCharType="separate"/>
      </w:r>
      <w:r w:rsidR="00A04368" w:rsidRPr="0099114C">
        <w:t xml:space="preserve">Table </w:t>
      </w:r>
      <w:r w:rsidR="00A04368" w:rsidRPr="00857B0D">
        <w:t>14</w:t>
      </w:r>
      <w:r w:rsidR="00861D8C" w:rsidRPr="0099114C">
        <w:fldChar w:fldCharType="end"/>
      </w:r>
      <w:r w:rsidR="00861D8C" w:rsidRPr="0099114C">
        <w:t>.</w:t>
      </w:r>
    </w:p>
    <w:p w14:paraId="00804E93" w14:textId="41686DDF" w:rsidR="00DB5178" w:rsidRPr="0099114C" w:rsidRDefault="00861D8C" w:rsidP="00861D8C">
      <w:pPr>
        <w:pStyle w:val="Caption"/>
        <w:rPr>
          <w:rStyle w:val="CommentReference"/>
          <w:b/>
          <w:szCs w:val="24"/>
        </w:rPr>
      </w:pPr>
      <w:bookmarkStart w:id="76" w:name="_Ref153180010"/>
      <w:r w:rsidRPr="0099114C">
        <w:t xml:space="preserve">Table </w:t>
      </w:r>
      <w:fldSimple w:instr=" SEQ Table \* ARABIC " w:fldLock="1">
        <w:r w:rsidR="00A04368" w:rsidRPr="00857B0D">
          <w:t>14</w:t>
        </w:r>
      </w:fldSimple>
      <w:bookmarkEnd w:id="76"/>
      <w:r w:rsidRPr="0099114C">
        <w:t xml:space="preserve">: </w:t>
      </w:r>
      <w:r w:rsidR="00DB5178" w:rsidRPr="0099114C">
        <w:rPr>
          <w:rStyle w:val="CommentReference"/>
          <w:b/>
          <w:szCs w:val="24"/>
        </w:rPr>
        <w:t>Results of the univariate sensitivity analysis</w:t>
      </w:r>
    </w:p>
    <w:tbl>
      <w:tblPr>
        <w:tblStyle w:val="HTATableshaded"/>
        <w:tblW w:w="5000" w:type="pct"/>
        <w:tblLook w:val="04A0" w:firstRow="1" w:lastRow="0" w:firstColumn="1" w:lastColumn="0" w:noHBand="0" w:noVBand="1"/>
        <w:tblCaption w:val="Table 14: Results of the univariate sensitivity analysis"/>
      </w:tblPr>
      <w:tblGrid>
        <w:gridCol w:w="3256"/>
        <w:gridCol w:w="1439"/>
        <w:gridCol w:w="1441"/>
        <w:gridCol w:w="1441"/>
        <w:gridCol w:w="1439"/>
      </w:tblGrid>
      <w:tr w:rsidR="000A4F38" w:rsidRPr="0099114C" w14:paraId="36B27E32" w14:textId="77777777" w:rsidTr="003D26D2">
        <w:trPr>
          <w:cnfStyle w:val="100000000000" w:firstRow="1" w:lastRow="0" w:firstColumn="0" w:lastColumn="0" w:oddVBand="0" w:evenVBand="0" w:oddHBand="0" w:evenHBand="0" w:firstRowFirstColumn="0" w:firstRowLastColumn="0" w:lastRowFirstColumn="0" w:lastRowLastColumn="0"/>
          <w:trHeight w:val="227"/>
          <w:tblHeader/>
        </w:trPr>
        <w:tc>
          <w:tcPr>
            <w:tcW w:w="1806" w:type="pct"/>
            <w:vAlign w:val="center"/>
            <w:hideMark/>
          </w:tcPr>
          <w:p w14:paraId="291545F1" w14:textId="77777777" w:rsidR="00AD5695" w:rsidRPr="0099114C" w:rsidRDefault="00AD5695" w:rsidP="00E4798D">
            <w:pPr>
              <w:pStyle w:val="Tabletextleft"/>
              <w:spacing w:before="0" w:after="0"/>
              <w:rPr>
                <w:rFonts w:ascii="Arial Narrow" w:hAnsi="Arial Narrow"/>
                <w:b/>
                <w:sz w:val="20"/>
              </w:rPr>
            </w:pPr>
            <w:r w:rsidRPr="0099114C">
              <w:rPr>
                <w:rFonts w:ascii="Arial Narrow" w:hAnsi="Arial Narrow"/>
                <w:b/>
                <w:sz w:val="20"/>
              </w:rPr>
              <w:t>Description</w:t>
            </w:r>
          </w:p>
        </w:tc>
        <w:tc>
          <w:tcPr>
            <w:tcW w:w="798" w:type="pct"/>
            <w:vAlign w:val="center"/>
            <w:hideMark/>
          </w:tcPr>
          <w:p w14:paraId="3029059E" w14:textId="77777777" w:rsidR="00AD5695" w:rsidRPr="0099114C" w:rsidRDefault="00AD5695" w:rsidP="00E4798D">
            <w:pPr>
              <w:pStyle w:val="Tabletextleft"/>
              <w:spacing w:before="0" w:after="0"/>
              <w:jc w:val="center"/>
              <w:rPr>
                <w:rFonts w:ascii="Arial Narrow" w:hAnsi="Arial Narrow"/>
                <w:b/>
                <w:sz w:val="20"/>
              </w:rPr>
            </w:pPr>
            <w:r w:rsidRPr="0099114C">
              <w:rPr>
                <w:rFonts w:ascii="Arial Narrow" w:hAnsi="Arial Narrow"/>
                <w:b/>
                <w:sz w:val="20"/>
              </w:rPr>
              <w:t>Incremental cost</w:t>
            </w:r>
          </w:p>
        </w:tc>
        <w:tc>
          <w:tcPr>
            <w:tcW w:w="799" w:type="pct"/>
            <w:vAlign w:val="center"/>
            <w:hideMark/>
          </w:tcPr>
          <w:p w14:paraId="30C95AC9" w14:textId="77777777" w:rsidR="00AD5695" w:rsidRPr="0099114C" w:rsidRDefault="00AD5695" w:rsidP="00E4798D">
            <w:pPr>
              <w:pStyle w:val="Tabletextleft"/>
              <w:spacing w:before="0" w:after="0"/>
              <w:jc w:val="center"/>
              <w:rPr>
                <w:rFonts w:ascii="Arial Narrow" w:hAnsi="Arial Narrow"/>
                <w:b/>
                <w:sz w:val="20"/>
              </w:rPr>
            </w:pPr>
            <w:r w:rsidRPr="0099114C">
              <w:rPr>
                <w:rFonts w:ascii="Arial Narrow" w:hAnsi="Arial Narrow"/>
                <w:b/>
                <w:sz w:val="20"/>
              </w:rPr>
              <w:t>Incremental QALYs</w:t>
            </w:r>
          </w:p>
        </w:tc>
        <w:tc>
          <w:tcPr>
            <w:tcW w:w="799" w:type="pct"/>
            <w:vAlign w:val="center"/>
            <w:hideMark/>
          </w:tcPr>
          <w:p w14:paraId="75ECEE0C" w14:textId="2B632CC9" w:rsidR="00AD5695" w:rsidRPr="0099114C" w:rsidRDefault="00AD5695" w:rsidP="00E4798D">
            <w:pPr>
              <w:pStyle w:val="Tabletextleft"/>
              <w:spacing w:before="0" w:after="0"/>
              <w:jc w:val="center"/>
              <w:rPr>
                <w:rFonts w:ascii="Arial Narrow" w:hAnsi="Arial Narrow"/>
                <w:b/>
                <w:sz w:val="20"/>
              </w:rPr>
            </w:pPr>
            <w:r w:rsidRPr="0099114C">
              <w:rPr>
                <w:rFonts w:ascii="Arial Narrow" w:hAnsi="Arial Narrow"/>
                <w:b/>
                <w:sz w:val="20"/>
              </w:rPr>
              <w:t>ICER</w:t>
            </w:r>
          </w:p>
        </w:tc>
        <w:tc>
          <w:tcPr>
            <w:tcW w:w="799" w:type="pct"/>
            <w:vAlign w:val="center"/>
            <w:hideMark/>
          </w:tcPr>
          <w:p w14:paraId="1D7543B0" w14:textId="77777777" w:rsidR="00AD5695" w:rsidRPr="0099114C" w:rsidRDefault="00AD5695" w:rsidP="00E4798D">
            <w:pPr>
              <w:pStyle w:val="Tabletextleft"/>
              <w:spacing w:before="0" w:after="0"/>
              <w:jc w:val="center"/>
              <w:rPr>
                <w:rFonts w:ascii="Arial Narrow" w:hAnsi="Arial Narrow"/>
                <w:b/>
                <w:sz w:val="20"/>
              </w:rPr>
            </w:pPr>
            <w:r w:rsidRPr="0099114C">
              <w:rPr>
                <w:rFonts w:ascii="Arial Narrow" w:hAnsi="Arial Narrow"/>
                <w:b/>
                <w:sz w:val="20"/>
              </w:rPr>
              <w:t>% change in ICER</w:t>
            </w:r>
          </w:p>
        </w:tc>
      </w:tr>
      <w:tr w:rsidR="000A4F38" w:rsidRPr="0099114C" w14:paraId="2B7A0594" w14:textId="77777777" w:rsidTr="003D26D2">
        <w:trPr>
          <w:trHeight w:val="227"/>
        </w:trPr>
        <w:tc>
          <w:tcPr>
            <w:tcW w:w="1806" w:type="pct"/>
            <w:vAlign w:val="center"/>
            <w:hideMark/>
          </w:tcPr>
          <w:p w14:paraId="78A01409" w14:textId="77777777" w:rsidR="00AD5695" w:rsidRPr="0099114C" w:rsidRDefault="00AD5695" w:rsidP="00E4798D">
            <w:pPr>
              <w:pStyle w:val="Tabletextleft"/>
              <w:spacing w:before="0" w:after="0"/>
              <w:rPr>
                <w:rFonts w:ascii="Arial Narrow" w:hAnsi="Arial Narrow"/>
                <w:sz w:val="20"/>
              </w:rPr>
            </w:pPr>
            <w:r w:rsidRPr="0099114C">
              <w:rPr>
                <w:rFonts w:ascii="Arial Narrow" w:hAnsi="Arial Narrow"/>
                <w:sz w:val="20"/>
              </w:rPr>
              <w:t>Base case</w:t>
            </w:r>
          </w:p>
        </w:tc>
        <w:tc>
          <w:tcPr>
            <w:tcW w:w="798" w:type="pct"/>
            <w:vAlign w:val="center"/>
            <w:hideMark/>
          </w:tcPr>
          <w:p w14:paraId="302D8F3D" w14:textId="5B675E33"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sz w:val="20"/>
              </w:rPr>
              <w:t>$</w:t>
            </w:r>
            <w:r w:rsidR="005F1F42" w:rsidRPr="005F1F42">
              <w:rPr>
                <w:rFonts w:ascii="Arial Narrow" w:hAnsi="Arial Narrow"/>
                <w:color w:val="000000"/>
                <w:sz w:val="20"/>
                <w:shd w:val="solid" w:color="000000" w:fill="000000"/>
                <w14:textFill>
                  <w14:solidFill>
                    <w14:srgbClr w14:val="000000">
                      <w14:alpha w14:val="100000"/>
                    </w14:srgbClr>
                  </w14:solidFill>
                </w14:textFill>
              </w:rPr>
              <w:t>|</w:t>
            </w:r>
          </w:p>
        </w:tc>
        <w:tc>
          <w:tcPr>
            <w:tcW w:w="799" w:type="pct"/>
            <w:vAlign w:val="center"/>
            <w:hideMark/>
          </w:tcPr>
          <w:p w14:paraId="5EDCD546" w14:textId="77777777"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sz w:val="20"/>
              </w:rPr>
              <w:t>0.33</w:t>
            </w:r>
          </w:p>
        </w:tc>
        <w:tc>
          <w:tcPr>
            <w:tcW w:w="799" w:type="pct"/>
            <w:vAlign w:val="center"/>
            <w:hideMark/>
          </w:tcPr>
          <w:p w14:paraId="58EECE85" w14:textId="49BC35CD" w:rsidR="00AD5695" w:rsidRPr="0099114C" w:rsidRDefault="005F1F42" w:rsidP="00E4798D">
            <w:pPr>
              <w:pStyle w:val="Tabletextleft"/>
              <w:spacing w:before="0" w:after="0"/>
              <w:jc w:val="center"/>
              <w:rPr>
                <w:rFonts w:ascii="Arial Narrow" w:hAnsi="Arial Narrow"/>
                <w:sz w:val="20"/>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0049032D" w:rsidRPr="009E5CCE">
              <w:rPr>
                <w:rFonts w:ascii="Arial Narrow" w:hAnsi="Arial Narrow"/>
                <w:sz w:val="20"/>
                <w:vertAlign w:val="superscript"/>
              </w:rPr>
              <w:t>1</w:t>
            </w:r>
          </w:p>
        </w:tc>
        <w:tc>
          <w:tcPr>
            <w:tcW w:w="799" w:type="pct"/>
            <w:vAlign w:val="center"/>
            <w:hideMark/>
          </w:tcPr>
          <w:p w14:paraId="5C75BA54" w14:textId="77777777"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sz w:val="20"/>
              </w:rPr>
              <w:t>-</w:t>
            </w:r>
          </w:p>
        </w:tc>
      </w:tr>
      <w:tr w:rsidR="00AD5695" w:rsidRPr="0099114C" w14:paraId="1B165EA0" w14:textId="77777777" w:rsidTr="003D26D2">
        <w:trPr>
          <w:trHeight w:val="227"/>
        </w:trPr>
        <w:tc>
          <w:tcPr>
            <w:tcW w:w="5000" w:type="pct"/>
            <w:gridSpan w:val="5"/>
            <w:vAlign w:val="center"/>
          </w:tcPr>
          <w:p w14:paraId="0334C92C" w14:textId="77777777" w:rsidR="00AD5695" w:rsidRPr="0099114C" w:rsidRDefault="00AD5695" w:rsidP="00E4798D">
            <w:pPr>
              <w:pStyle w:val="Tabletextleft"/>
              <w:spacing w:before="0" w:after="0"/>
              <w:rPr>
                <w:rFonts w:ascii="Arial Narrow" w:hAnsi="Arial Narrow"/>
                <w:b/>
                <w:sz w:val="20"/>
              </w:rPr>
            </w:pPr>
            <w:r w:rsidRPr="0099114C">
              <w:rPr>
                <w:rFonts w:ascii="Arial Narrow" w:hAnsi="Arial Narrow"/>
                <w:b/>
                <w:sz w:val="20"/>
              </w:rPr>
              <w:t>Remission rate (base case: 26 weeks, AVA 72.3% GC + SOC 70.1%; 52 weeks, AVA 65.7% GC + SOC 54.9%; 60 weeks AVA 62% GC + SOC 50.6%)</w:t>
            </w:r>
          </w:p>
        </w:tc>
      </w:tr>
      <w:tr w:rsidR="000A4F38" w:rsidRPr="0099114C" w14:paraId="18E2E73F" w14:textId="77777777" w:rsidTr="003D26D2">
        <w:trPr>
          <w:trHeight w:val="227"/>
        </w:trPr>
        <w:tc>
          <w:tcPr>
            <w:tcW w:w="1806" w:type="pct"/>
            <w:vAlign w:val="center"/>
          </w:tcPr>
          <w:p w14:paraId="4438D819" w14:textId="6400B028" w:rsidR="00AD5695" w:rsidRPr="0099114C" w:rsidRDefault="00AD5695" w:rsidP="00E4798D">
            <w:pPr>
              <w:pStyle w:val="Tabletextleft"/>
              <w:spacing w:before="0" w:after="0"/>
              <w:rPr>
                <w:rFonts w:ascii="Arial Narrow" w:hAnsi="Arial Narrow"/>
                <w:sz w:val="20"/>
                <w:vertAlign w:val="superscript"/>
              </w:rPr>
            </w:pPr>
            <w:r w:rsidRPr="0099114C">
              <w:rPr>
                <w:rFonts w:ascii="Arial Narrow" w:hAnsi="Arial Narrow"/>
                <w:sz w:val="20"/>
              </w:rPr>
              <w:t>Equal to GC + SOC values at 26 weeks (no difference)</w:t>
            </w:r>
            <w:r w:rsidR="0086769C" w:rsidRPr="0099114C">
              <w:rPr>
                <w:rFonts w:ascii="Arial Narrow" w:hAnsi="Arial Narrow"/>
                <w:sz w:val="20"/>
              </w:rPr>
              <w:t xml:space="preserve"> </w:t>
            </w:r>
            <w:r w:rsidR="0086769C" w:rsidRPr="0099114C">
              <w:rPr>
                <w:rFonts w:ascii="Arial Narrow" w:hAnsi="Arial Narrow"/>
                <w:sz w:val="20"/>
                <w:vertAlign w:val="superscript"/>
              </w:rPr>
              <w:t>a</w:t>
            </w:r>
          </w:p>
        </w:tc>
        <w:tc>
          <w:tcPr>
            <w:tcW w:w="798" w:type="pct"/>
            <w:vAlign w:val="center"/>
          </w:tcPr>
          <w:p w14:paraId="53C71BDC" w14:textId="4640DE43" w:rsidR="00AD5695" w:rsidRPr="0099114C" w:rsidRDefault="00AD5695" w:rsidP="00E4798D">
            <w:pPr>
              <w:pStyle w:val="Tabletextleft"/>
              <w:spacing w:before="0" w:after="0"/>
              <w:jc w:val="center"/>
              <w:rPr>
                <w:rFonts w:ascii="Arial Narrow" w:hAnsi="Arial Narrow" w:cs="Calibri"/>
                <w:color w:val="000000"/>
                <w:sz w:val="20"/>
              </w:rPr>
            </w:pPr>
            <w:r w:rsidRPr="0099114C">
              <w:rPr>
                <w:rFonts w:ascii="Arial Narrow" w:hAnsi="Arial Narrow" w:cs="Calibri"/>
                <w:color w:val="000000"/>
                <w:sz w:val="20"/>
              </w:rPr>
              <w:t>$</w:t>
            </w:r>
            <w:r w:rsidR="005F1F42" w:rsidRPr="005F1F42">
              <w:rPr>
                <w:rFonts w:ascii="Arial Narrow" w:hAnsi="Arial Narrow" w:cs="Calibri"/>
                <w:color w:val="000000"/>
                <w:sz w:val="20"/>
                <w:shd w:val="solid" w:color="000000" w:fill="000000"/>
                <w14:textFill>
                  <w14:solidFill>
                    <w14:srgbClr w14:val="000000">
                      <w14:alpha w14:val="100000"/>
                    </w14:srgbClr>
                  </w14:solidFill>
                </w14:textFill>
              </w:rPr>
              <w:t>|</w:t>
            </w:r>
          </w:p>
        </w:tc>
        <w:tc>
          <w:tcPr>
            <w:tcW w:w="799" w:type="pct"/>
            <w:vAlign w:val="center"/>
          </w:tcPr>
          <w:p w14:paraId="1884AC87" w14:textId="77777777" w:rsidR="00AD5695" w:rsidRPr="0099114C" w:rsidRDefault="00AD5695" w:rsidP="00E4798D">
            <w:pPr>
              <w:pStyle w:val="Tabletextleft"/>
              <w:spacing w:before="0" w:after="0"/>
              <w:jc w:val="center"/>
              <w:rPr>
                <w:rFonts w:ascii="Arial Narrow" w:hAnsi="Arial Narrow" w:cs="Calibri"/>
                <w:color w:val="000000"/>
                <w:sz w:val="20"/>
              </w:rPr>
            </w:pPr>
            <w:r w:rsidRPr="0099114C">
              <w:rPr>
                <w:rFonts w:ascii="Arial Narrow" w:hAnsi="Arial Narrow" w:cs="Calibri"/>
                <w:color w:val="000000"/>
                <w:sz w:val="20"/>
              </w:rPr>
              <w:t>0.33</w:t>
            </w:r>
          </w:p>
        </w:tc>
        <w:tc>
          <w:tcPr>
            <w:tcW w:w="799" w:type="pct"/>
            <w:vAlign w:val="center"/>
          </w:tcPr>
          <w:p w14:paraId="34DB7635" w14:textId="6D18A997" w:rsidR="00AD5695" w:rsidRPr="009E5CCE" w:rsidRDefault="005F1F42" w:rsidP="00E4798D">
            <w:pPr>
              <w:pStyle w:val="Tabletextleft"/>
              <w:spacing w:before="0" w:after="0"/>
              <w:jc w:val="center"/>
              <w:rPr>
                <w:rFonts w:ascii="Arial Narrow" w:hAnsi="Arial Narrow" w:cs="Calibri"/>
                <w:color w:val="000000"/>
                <w:sz w:val="20"/>
                <w:highlight w:val="lightGray"/>
              </w:rPr>
            </w:pPr>
            <w:r w:rsidRPr="005F1F42">
              <w:rPr>
                <w:rFonts w:ascii="Arial Narrow" w:hAnsi="Arial Narrow" w:cs="Calibri"/>
                <w:color w:val="000000"/>
                <w:sz w:val="20"/>
                <w:shd w:val="solid" w:color="000000" w:fill="000000"/>
                <w14:textFill>
                  <w14:solidFill>
                    <w14:srgbClr w14:val="000000">
                      <w14:alpha w14:val="100000"/>
                    </w14:srgbClr>
                  </w14:solidFill>
                </w14:textFill>
              </w:rPr>
              <w:t>|</w:t>
            </w:r>
            <w:r w:rsidR="00A94571" w:rsidRPr="001A420F">
              <w:rPr>
                <w:rFonts w:ascii="Arial Narrow" w:hAnsi="Arial Narrow"/>
                <w:sz w:val="20"/>
                <w:vertAlign w:val="superscript"/>
              </w:rPr>
              <w:t>1</w:t>
            </w:r>
          </w:p>
        </w:tc>
        <w:tc>
          <w:tcPr>
            <w:tcW w:w="799" w:type="pct"/>
            <w:vAlign w:val="center"/>
          </w:tcPr>
          <w:p w14:paraId="6252ADD0" w14:textId="2B800E4F" w:rsidR="00AD5695" w:rsidRPr="0099114C" w:rsidRDefault="003D26D2" w:rsidP="00E4798D">
            <w:pPr>
              <w:pStyle w:val="Tabletextleft"/>
              <w:spacing w:before="0" w:after="0"/>
              <w:jc w:val="center"/>
              <w:rPr>
                <w:rFonts w:ascii="Arial Narrow" w:hAnsi="Arial Narrow" w:cs="Calibri"/>
                <w:color w:val="000000"/>
                <w:sz w:val="20"/>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Pr="0099114C">
              <w:rPr>
                <w:rFonts w:ascii="Arial Narrow" w:hAnsi="Arial Narrow"/>
                <w:sz w:val="20"/>
              </w:rPr>
              <w:t>%</w:t>
            </w:r>
          </w:p>
        </w:tc>
      </w:tr>
      <w:tr w:rsidR="000A4F38" w:rsidRPr="0099114C" w14:paraId="49C20288" w14:textId="77777777" w:rsidTr="003D26D2">
        <w:trPr>
          <w:trHeight w:val="227"/>
        </w:trPr>
        <w:tc>
          <w:tcPr>
            <w:tcW w:w="1806" w:type="pct"/>
            <w:vAlign w:val="center"/>
          </w:tcPr>
          <w:p w14:paraId="53CE17D4" w14:textId="4CA6EAAD" w:rsidR="00AD5695" w:rsidRPr="0099114C" w:rsidRDefault="00AD5695" w:rsidP="00E4798D">
            <w:pPr>
              <w:pStyle w:val="Tabletextleft"/>
              <w:spacing w:before="0" w:after="0"/>
              <w:rPr>
                <w:rFonts w:ascii="Arial Narrow" w:hAnsi="Arial Narrow"/>
                <w:sz w:val="20"/>
              </w:rPr>
            </w:pPr>
            <w:r w:rsidRPr="0099114C">
              <w:rPr>
                <w:rFonts w:ascii="Arial Narrow" w:hAnsi="Arial Narrow"/>
                <w:sz w:val="20"/>
              </w:rPr>
              <w:t>Equal to GC + SOC values at all stages (no difference)</w:t>
            </w:r>
            <w:r w:rsidR="0086769C" w:rsidRPr="0099114C">
              <w:rPr>
                <w:rFonts w:ascii="Arial Narrow" w:hAnsi="Arial Narrow"/>
                <w:sz w:val="20"/>
              </w:rPr>
              <w:t xml:space="preserve"> </w:t>
            </w:r>
            <w:r w:rsidR="0086769C" w:rsidRPr="0099114C">
              <w:rPr>
                <w:rFonts w:ascii="Arial Narrow" w:hAnsi="Arial Narrow"/>
                <w:sz w:val="20"/>
                <w:vertAlign w:val="superscript"/>
              </w:rPr>
              <w:t>a</w:t>
            </w:r>
          </w:p>
        </w:tc>
        <w:tc>
          <w:tcPr>
            <w:tcW w:w="798" w:type="pct"/>
            <w:vAlign w:val="center"/>
          </w:tcPr>
          <w:p w14:paraId="247505D8" w14:textId="4CFDB32E"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cs="Calibri"/>
                <w:color w:val="000000"/>
                <w:sz w:val="20"/>
              </w:rPr>
              <w:t>$</w:t>
            </w:r>
            <w:r w:rsidR="005F1F42" w:rsidRPr="005F1F42">
              <w:rPr>
                <w:rFonts w:ascii="Arial Narrow" w:hAnsi="Arial Narrow" w:cs="Calibri"/>
                <w:color w:val="000000"/>
                <w:sz w:val="20"/>
                <w:shd w:val="solid" w:color="000000" w:fill="000000"/>
                <w14:textFill>
                  <w14:solidFill>
                    <w14:srgbClr w14:val="000000">
                      <w14:alpha w14:val="100000"/>
                    </w14:srgbClr>
                  </w14:solidFill>
                </w14:textFill>
              </w:rPr>
              <w:t>|</w:t>
            </w:r>
          </w:p>
        </w:tc>
        <w:tc>
          <w:tcPr>
            <w:tcW w:w="799" w:type="pct"/>
            <w:vAlign w:val="center"/>
          </w:tcPr>
          <w:p w14:paraId="386E038A" w14:textId="77777777"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cs="Calibri"/>
                <w:color w:val="000000"/>
                <w:sz w:val="20"/>
              </w:rPr>
              <w:t>0.23</w:t>
            </w:r>
          </w:p>
        </w:tc>
        <w:tc>
          <w:tcPr>
            <w:tcW w:w="799" w:type="pct"/>
            <w:vAlign w:val="center"/>
          </w:tcPr>
          <w:p w14:paraId="6F8A9754" w14:textId="40F0F57D" w:rsidR="00AD5695" w:rsidRPr="009E5CCE" w:rsidRDefault="005F1F42" w:rsidP="00E4798D">
            <w:pPr>
              <w:pStyle w:val="Tabletextleft"/>
              <w:spacing w:before="0" w:after="0"/>
              <w:jc w:val="center"/>
              <w:rPr>
                <w:rFonts w:ascii="Arial Narrow" w:hAnsi="Arial Narrow"/>
                <w:sz w:val="20"/>
                <w:highlight w:val="lightGray"/>
              </w:rPr>
            </w:pPr>
            <w:r w:rsidRPr="005F1F42">
              <w:rPr>
                <w:rFonts w:ascii="Arial Narrow" w:hAnsi="Arial Narrow" w:cs="Calibri"/>
                <w:color w:val="000000"/>
                <w:sz w:val="20"/>
                <w:shd w:val="solid" w:color="000000" w:fill="000000"/>
                <w14:textFill>
                  <w14:solidFill>
                    <w14:srgbClr w14:val="000000">
                      <w14:alpha w14:val="100000"/>
                    </w14:srgbClr>
                  </w14:solidFill>
                </w14:textFill>
              </w:rPr>
              <w:t>|</w:t>
            </w:r>
            <w:r w:rsidR="00A94571" w:rsidRPr="009E5CCE">
              <w:rPr>
                <w:rFonts w:ascii="Arial Narrow" w:hAnsi="Arial Narrow" w:cs="Calibri"/>
                <w:color w:val="000000"/>
                <w:sz w:val="20"/>
                <w:vertAlign w:val="superscript"/>
              </w:rPr>
              <w:t>2</w:t>
            </w:r>
          </w:p>
        </w:tc>
        <w:tc>
          <w:tcPr>
            <w:tcW w:w="799" w:type="pct"/>
            <w:vAlign w:val="center"/>
          </w:tcPr>
          <w:p w14:paraId="32DC5552" w14:textId="40D850C8" w:rsidR="00AD5695" w:rsidRPr="0099114C" w:rsidRDefault="003D26D2" w:rsidP="00E4798D">
            <w:pPr>
              <w:pStyle w:val="Tabletextleft"/>
              <w:spacing w:before="0" w:after="0"/>
              <w:jc w:val="center"/>
              <w:rPr>
                <w:rFonts w:ascii="Arial Narrow" w:hAnsi="Arial Narrow"/>
                <w:sz w:val="20"/>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Pr="0099114C">
              <w:rPr>
                <w:rFonts w:ascii="Arial Narrow" w:hAnsi="Arial Narrow"/>
                <w:sz w:val="20"/>
              </w:rPr>
              <w:t>%</w:t>
            </w:r>
          </w:p>
        </w:tc>
      </w:tr>
      <w:tr w:rsidR="00AD5695" w:rsidRPr="0099114C" w14:paraId="06007759" w14:textId="77777777" w:rsidTr="003D26D2">
        <w:trPr>
          <w:trHeight w:val="227"/>
        </w:trPr>
        <w:tc>
          <w:tcPr>
            <w:tcW w:w="5000" w:type="pct"/>
            <w:gridSpan w:val="5"/>
            <w:vAlign w:val="center"/>
          </w:tcPr>
          <w:p w14:paraId="32E7E9C8" w14:textId="77777777" w:rsidR="00AD5695" w:rsidRPr="0099114C" w:rsidRDefault="00AD5695" w:rsidP="00E4798D">
            <w:pPr>
              <w:pStyle w:val="Tabletextleft"/>
              <w:spacing w:before="0" w:after="0"/>
              <w:jc w:val="left"/>
              <w:rPr>
                <w:rFonts w:ascii="Arial Narrow" w:hAnsi="Arial Narrow" w:cs="Calibri"/>
                <w:b/>
                <w:color w:val="000000"/>
                <w:sz w:val="20"/>
              </w:rPr>
            </w:pPr>
            <w:r w:rsidRPr="0099114C">
              <w:rPr>
                <w:rFonts w:ascii="Arial Narrow" w:hAnsi="Arial Narrow"/>
                <w:b/>
                <w:sz w:val="20"/>
              </w:rPr>
              <w:t>HR for rituximab maintenance adjustment (base case 0.36, RITAZAREM trial (Smith et al. (2019))</w:t>
            </w:r>
          </w:p>
        </w:tc>
      </w:tr>
      <w:tr w:rsidR="000A4F38" w:rsidRPr="0099114C" w14:paraId="75C76356" w14:textId="77777777" w:rsidTr="003D26D2">
        <w:trPr>
          <w:trHeight w:val="227"/>
        </w:trPr>
        <w:tc>
          <w:tcPr>
            <w:tcW w:w="1806" w:type="pct"/>
            <w:vAlign w:val="center"/>
          </w:tcPr>
          <w:p w14:paraId="5AEF5511" w14:textId="685EEC31" w:rsidR="00AD5695" w:rsidRPr="0099114C" w:rsidRDefault="00AD5695" w:rsidP="00E4798D">
            <w:pPr>
              <w:pStyle w:val="Tabletextleft"/>
              <w:spacing w:before="0" w:after="0"/>
              <w:rPr>
                <w:rFonts w:ascii="Arial Narrow" w:hAnsi="Arial Narrow"/>
                <w:sz w:val="20"/>
              </w:rPr>
            </w:pPr>
            <w:r w:rsidRPr="0099114C">
              <w:rPr>
                <w:rFonts w:ascii="Arial Narrow" w:hAnsi="Arial Narrow"/>
                <w:sz w:val="20"/>
              </w:rPr>
              <w:t>95% CI lower bound (0.18)</w:t>
            </w:r>
            <w:r w:rsidR="0086769C" w:rsidRPr="0099114C">
              <w:rPr>
                <w:rFonts w:ascii="Arial Narrow" w:hAnsi="Arial Narrow"/>
                <w:sz w:val="20"/>
              </w:rPr>
              <w:t xml:space="preserve"> </w:t>
            </w:r>
            <w:r w:rsidR="0086769C" w:rsidRPr="0099114C">
              <w:rPr>
                <w:rFonts w:ascii="Arial Narrow" w:hAnsi="Arial Narrow"/>
                <w:sz w:val="20"/>
                <w:vertAlign w:val="superscript"/>
              </w:rPr>
              <w:t>a</w:t>
            </w:r>
          </w:p>
        </w:tc>
        <w:tc>
          <w:tcPr>
            <w:tcW w:w="798" w:type="pct"/>
            <w:vAlign w:val="center"/>
          </w:tcPr>
          <w:p w14:paraId="2A9F4ECF" w14:textId="6F4DD643" w:rsidR="00AD5695" w:rsidRPr="0049032D" w:rsidRDefault="00AD5695" w:rsidP="00E4798D">
            <w:pPr>
              <w:pStyle w:val="Tabletextleft"/>
              <w:spacing w:before="0" w:after="0"/>
              <w:jc w:val="center"/>
              <w:rPr>
                <w:rFonts w:ascii="Arial Narrow" w:hAnsi="Arial Narrow" w:cs="Calibri"/>
                <w:color w:val="000000"/>
                <w:sz w:val="20"/>
              </w:rPr>
            </w:pPr>
            <w:r w:rsidRPr="0049032D">
              <w:rPr>
                <w:rFonts w:ascii="Arial Narrow" w:hAnsi="Arial Narrow" w:cs="Calibri"/>
                <w:color w:val="000000"/>
                <w:sz w:val="20"/>
              </w:rPr>
              <w:t>$</w:t>
            </w:r>
            <w:r w:rsidR="005F1F42" w:rsidRPr="005F1F42">
              <w:rPr>
                <w:rFonts w:ascii="Arial Narrow" w:hAnsi="Arial Narrow" w:cs="Calibri"/>
                <w:color w:val="000000"/>
                <w:sz w:val="20"/>
                <w:shd w:val="solid" w:color="000000" w:fill="000000"/>
                <w14:textFill>
                  <w14:solidFill>
                    <w14:srgbClr w14:val="000000">
                      <w14:alpha w14:val="100000"/>
                    </w14:srgbClr>
                  </w14:solidFill>
                </w14:textFill>
              </w:rPr>
              <w:t>|</w:t>
            </w:r>
          </w:p>
        </w:tc>
        <w:tc>
          <w:tcPr>
            <w:tcW w:w="799" w:type="pct"/>
            <w:vAlign w:val="center"/>
          </w:tcPr>
          <w:p w14:paraId="3C9F28AD" w14:textId="77777777" w:rsidR="00AD5695" w:rsidRPr="0099114C" w:rsidRDefault="00AD5695" w:rsidP="00E4798D">
            <w:pPr>
              <w:pStyle w:val="Tabletextleft"/>
              <w:spacing w:before="0" w:after="0"/>
              <w:jc w:val="center"/>
              <w:rPr>
                <w:rFonts w:ascii="Arial Narrow" w:hAnsi="Arial Narrow" w:cs="Calibri"/>
                <w:color w:val="000000"/>
                <w:sz w:val="20"/>
              </w:rPr>
            </w:pPr>
            <w:r w:rsidRPr="0099114C">
              <w:rPr>
                <w:rFonts w:ascii="Arial Narrow" w:hAnsi="Arial Narrow" w:cs="Calibri"/>
                <w:color w:val="000000"/>
                <w:sz w:val="20"/>
              </w:rPr>
              <w:t>0.32</w:t>
            </w:r>
          </w:p>
        </w:tc>
        <w:tc>
          <w:tcPr>
            <w:tcW w:w="799" w:type="pct"/>
            <w:vAlign w:val="center"/>
          </w:tcPr>
          <w:p w14:paraId="40E847A5" w14:textId="0036D5AE" w:rsidR="00AD5695" w:rsidRPr="009E5CCE" w:rsidRDefault="005F1F42" w:rsidP="00E4798D">
            <w:pPr>
              <w:pStyle w:val="Tabletextleft"/>
              <w:spacing w:before="0" w:after="0"/>
              <w:jc w:val="center"/>
              <w:rPr>
                <w:rFonts w:ascii="Arial Narrow" w:hAnsi="Arial Narrow" w:cs="Calibri"/>
                <w:color w:val="000000"/>
                <w:sz w:val="20"/>
                <w:highlight w:val="lightGray"/>
              </w:rPr>
            </w:pPr>
            <w:r w:rsidRPr="005F1F42">
              <w:rPr>
                <w:rFonts w:ascii="Arial Narrow" w:hAnsi="Arial Narrow" w:cs="Calibri"/>
                <w:color w:val="000000"/>
                <w:sz w:val="20"/>
                <w:shd w:val="solid" w:color="000000" w:fill="000000"/>
                <w14:textFill>
                  <w14:solidFill>
                    <w14:srgbClr w14:val="000000">
                      <w14:alpha w14:val="100000"/>
                    </w14:srgbClr>
                  </w14:solidFill>
                </w14:textFill>
              </w:rPr>
              <w:t>|</w:t>
            </w:r>
            <w:r w:rsidR="00A94571" w:rsidRPr="009E5CCE">
              <w:rPr>
                <w:rFonts w:ascii="Arial Narrow" w:hAnsi="Arial Narrow" w:cs="Calibri"/>
                <w:color w:val="000000"/>
                <w:sz w:val="20"/>
                <w:vertAlign w:val="superscript"/>
              </w:rPr>
              <w:t>3</w:t>
            </w:r>
          </w:p>
        </w:tc>
        <w:tc>
          <w:tcPr>
            <w:tcW w:w="799" w:type="pct"/>
            <w:vAlign w:val="center"/>
          </w:tcPr>
          <w:p w14:paraId="2A1153C5" w14:textId="1EA4B7A2" w:rsidR="00AD5695" w:rsidRPr="0099114C" w:rsidRDefault="003D26D2" w:rsidP="00E4798D">
            <w:pPr>
              <w:pStyle w:val="Tabletextleft"/>
              <w:spacing w:before="0" w:after="0"/>
              <w:jc w:val="center"/>
              <w:rPr>
                <w:rFonts w:ascii="Arial Narrow" w:hAnsi="Arial Narrow" w:cs="Calibri"/>
                <w:color w:val="000000"/>
                <w:sz w:val="20"/>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Pr="0099114C">
              <w:rPr>
                <w:rFonts w:ascii="Arial Narrow" w:hAnsi="Arial Narrow"/>
                <w:sz w:val="20"/>
              </w:rPr>
              <w:t>%</w:t>
            </w:r>
          </w:p>
        </w:tc>
      </w:tr>
      <w:tr w:rsidR="000A4F38" w:rsidRPr="0099114C" w14:paraId="0C2A5F0F" w14:textId="77777777" w:rsidTr="003D26D2">
        <w:trPr>
          <w:trHeight w:val="227"/>
        </w:trPr>
        <w:tc>
          <w:tcPr>
            <w:tcW w:w="1806" w:type="pct"/>
            <w:vAlign w:val="center"/>
          </w:tcPr>
          <w:p w14:paraId="7D3AD1F9" w14:textId="2321F4B1" w:rsidR="00AD5695" w:rsidRPr="0099114C" w:rsidRDefault="00AD5695" w:rsidP="00E4798D">
            <w:pPr>
              <w:pStyle w:val="Tabletextleft"/>
              <w:spacing w:before="0" w:after="0"/>
              <w:rPr>
                <w:rFonts w:ascii="Arial Narrow" w:hAnsi="Arial Narrow"/>
                <w:sz w:val="20"/>
              </w:rPr>
            </w:pPr>
            <w:r w:rsidRPr="0099114C">
              <w:rPr>
                <w:rFonts w:ascii="Arial Narrow" w:hAnsi="Arial Narrow"/>
                <w:sz w:val="20"/>
              </w:rPr>
              <w:t>95% CI upper bound (0.66)</w:t>
            </w:r>
            <w:r w:rsidR="0086769C" w:rsidRPr="0099114C">
              <w:rPr>
                <w:rFonts w:ascii="Arial Narrow" w:hAnsi="Arial Narrow"/>
                <w:sz w:val="20"/>
              </w:rPr>
              <w:t xml:space="preserve"> </w:t>
            </w:r>
            <w:r w:rsidR="0086769C" w:rsidRPr="0099114C">
              <w:rPr>
                <w:rFonts w:ascii="Arial Narrow" w:hAnsi="Arial Narrow"/>
                <w:sz w:val="20"/>
                <w:vertAlign w:val="superscript"/>
              </w:rPr>
              <w:t>a</w:t>
            </w:r>
          </w:p>
        </w:tc>
        <w:tc>
          <w:tcPr>
            <w:tcW w:w="798" w:type="pct"/>
            <w:vAlign w:val="center"/>
          </w:tcPr>
          <w:p w14:paraId="549647D9" w14:textId="1C8FE8FE" w:rsidR="00AD5695" w:rsidRPr="0049032D" w:rsidRDefault="00AD5695" w:rsidP="00E4798D">
            <w:pPr>
              <w:pStyle w:val="Tabletextleft"/>
              <w:spacing w:before="0" w:after="0"/>
              <w:jc w:val="center"/>
              <w:rPr>
                <w:rFonts w:ascii="Arial Narrow" w:hAnsi="Arial Narrow" w:cs="Calibri"/>
                <w:color w:val="000000"/>
                <w:sz w:val="20"/>
              </w:rPr>
            </w:pPr>
            <w:r w:rsidRPr="0049032D">
              <w:rPr>
                <w:rFonts w:ascii="Arial Narrow" w:hAnsi="Arial Narrow" w:cs="Calibri"/>
                <w:color w:val="000000"/>
                <w:sz w:val="20"/>
              </w:rPr>
              <w:t>$</w:t>
            </w:r>
            <w:r w:rsidR="005F1F42" w:rsidRPr="005F1F42">
              <w:rPr>
                <w:rFonts w:ascii="Arial Narrow" w:hAnsi="Arial Narrow" w:cs="Calibri"/>
                <w:color w:val="000000"/>
                <w:sz w:val="20"/>
                <w:shd w:val="solid" w:color="000000" w:fill="000000"/>
                <w14:textFill>
                  <w14:solidFill>
                    <w14:srgbClr w14:val="000000">
                      <w14:alpha w14:val="100000"/>
                    </w14:srgbClr>
                  </w14:solidFill>
                </w14:textFill>
              </w:rPr>
              <w:t>|</w:t>
            </w:r>
          </w:p>
        </w:tc>
        <w:tc>
          <w:tcPr>
            <w:tcW w:w="799" w:type="pct"/>
            <w:vAlign w:val="center"/>
          </w:tcPr>
          <w:p w14:paraId="244F3C8E" w14:textId="77777777" w:rsidR="00AD5695" w:rsidRPr="0099114C" w:rsidRDefault="00AD5695" w:rsidP="00E4798D">
            <w:pPr>
              <w:pStyle w:val="Tabletextleft"/>
              <w:spacing w:before="0" w:after="0"/>
              <w:jc w:val="center"/>
              <w:rPr>
                <w:rFonts w:ascii="Arial Narrow" w:hAnsi="Arial Narrow" w:cs="Calibri"/>
                <w:color w:val="000000"/>
                <w:sz w:val="20"/>
              </w:rPr>
            </w:pPr>
            <w:r w:rsidRPr="0099114C">
              <w:rPr>
                <w:rFonts w:ascii="Arial Narrow" w:hAnsi="Arial Narrow" w:cs="Calibri"/>
                <w:color w:val="000000"/>
                <w:sz w:val="20"/>
              </w:rPr>
              <w:t>0.35</w:t>
            </w:r>
          </w:p>
        </w:tc>
        <w:tc>
          <w:tcPr>
            <w:tcW w:w="799" w:type="pct"/>
            <w:vAlign w:val="center"/>
          </w:tcPr>
          <w:p w14:paraId="0ED2DC92" w14:textId="6AF232D5" w:rsidR="00AD5695" w:rsidRPr="009E5CCE" w:rsidRDefault="005F1F42" w:rsidP="00E4798D">
            <w:pPr>
              <w:pStyle w:val="Tabletextleft"/>
              <w:spacing w:before="0" w:after="0"/>
              <w:jc w:val="center"/>
              <w:rPr>
                <w:rFonts w:ascii="Arial Narrow" w:hAnsi="Arial Narrow" w:cs="Calibri"/>
                <w:color w:val="000000"/>
                <w:sz w:val="20"/>
                <w:highlight w:val="lightGray"/>
              </w:rPr>
            </w:pPr>
            <w:r w:rsidRPr="005F1F42">
              <w:rPr>
                <w:rFonts w:ascii="Arial Narrow" w:hAnsi="Arial Narrow" w:cs="Calibri"/>
                <w:color w:val="000000"/>
                <w:sz w:val="20"/>
                <w:shd w:val="solid" w:color="000000" w:fill="000000"/>
                <w14:textFill>
                  <w14:solidFill>
                    <w14:srgbClr w14:val="000000">
                      <w14:alpha w14:val="100000"/>
                    </w14:srgbClr>
                  </w14:solidFill>
                </w14:textFill>
              </w:rPr>
              <w:t>|</w:t>
            </w:r>
            <w:r w:rsidR="00A94571" w:rsidRPr="001A420F">
              <w:rPr>
                <w:rFonts w:ascii="Arial Narrow" w:hAnsi="Arial Narrow"/>
                <w:sz w:val="20"/>
                <w:vertAlign w:val="superscript"/>
              </w:rPr>
              <w:t>1</w:t>
            </w:r>
          </w:p>
        </w:tc>
        <w:tc>
          <w:tcPr>
            <w:tcW w:w="799" w:type="pct"/>
            <w:vAlign w:val="center"/>
          </w:tcPr>
          <w:p w14:paraId="4A647D5E" w14:textId="2C5A17EA" w:rsidR="00AD5695" w:rsidRPr="0099114C" w:rsidRDefault="00AD5695" w:rsidP="00E4798D">
            <w:pPr>
              <w:pStyle w:val="Tabletextleft"/>
              <w:spacing w:before="0" w:after="0"/>
              <w:jc w:val="center"/>
              <w:rPr>
                <w:rFonts w:ascii="Arial Narrow" w:hAnsi="Arial Narrow" w:cs="Calibri"/>
                <w:color w:val="000000"/>
                <w:sz w:val="20"/>
              </w:rPr>
            </w:pPr>
            <w:r w:rsidRPr="0099114C">
              <w:rPr>
                <w:rFonts w:ascii="Arial Narrow" w:hAnsi="Arial Narrow" w:cs="Calibri"/>
                <w:color w:val="000000"/>
                <w:sz w:val="20"/>
              </w:rPr>
              <w:t>-</w:t>
            </w:r>
            <w:r w:rsidR="003D26D2" w:rsidRPr="005F1F42">
              <w:rPr>
                <w:rFonts w:ascii="Arial Narrow" w:hAnsi="Arial Narrow"/>
                <w:color w:val="000000"/>
                <w:sz w:val="20"/>
                <w:shd w:val="solid" w:color="000000" w:fill="000000"/>
                <w14:textFill>
                  <w14:solidFill>
                    <w14:srgbClr w14:val="000000">
                      <w14:alpha w14:val="100000"/>
                    </w14:srgbClr>
                  </w14:solidFill>
                </w14:textFill>
              </w:rPr>
              <w:t>|</w:t>
            </w:r>
            <w:r w:rsidR="003D26D2" w:rsidRPr="0099114C">
              <w:rPr>
                <w:rFonts w:ascii="Arial Narrow" w:hAnsi="Arial Narrow"/>
                <w:sz w:val="20"/>
              </w:rPr>
              <w:t>%</w:t>
            </w:r>
          </w:p>
        </w:tc>
      </w:tr>
      <w:tr w:rsidR="00AD5695" w:rsidRPr="0099114C" w14:paraId="60D1B5A9" w14:textId="77777777" w:rsidTr="003D26D2">
        <w:trPr>
          <w:trHeight w:val="227"/>
        </w:trPr>
        <w:tc>
          <w:tcPr>
            <w:tcW w:w="5000" w:type="pct"/>
            <w:gridSpan w:val="5"/>
            <w:vAlign w:val="center"/>
            <w:hideMark/>
          </w:tcPr>
          <w:p w14:paraId="508D891B" w14:textId="67FEB5CC" w:rsidR="00AD5695" w:rsidRPr="009E5CCE" w:rsidRDefault="003D26D2" w:rsidP="00E4798D">
            <w:pPr>
              <w:pStyle w:val="Tabletextleft"/>
              <w:spacing w:before="0" w:after="0"/>
              <w:jc w:val="left"/>
              <w:rPr>
                <w:rFonts w:ascii="Arial Narrow" w:hAnsi="Arial Narrow"/>
                <w:sz w:val="20"/>
                <w:highlight w:val="lightGray"/>
              </w:rPr>
            </w:pPr>
            <w:r w:rsidRPr="003D26D2">
              <w:rPr>
                <w:rFonts w:ascii="Arial Narrow" w:hAnsi="Arial Narrow"/>
                <w:b/>
                <w:sz w:val="20"/>
              </w:rPr>
              <w:t>Time horizon (base case 20 years)</w:t>
            </w:r>
          </w:p>
        </w:tc>
      </w:tr>
      <w:tr w:rsidR="000A4F38" w:rsidRPr="0099114C" w14:paraId="181BE92A" w14:textId="77777777" w:rsidTr="003D26D2">
        <w:trPr>
          <w:trHeight w:val="227"/>
        </w:trPr>
        <w:tc>
          <w:tcPr>
            <w:tcW w:w="1806" w:type="pct"/>
            <w:vAlign w:val="center"/>
          </w:tcPr>
          <w:p w14:paraId="683300F7" w14:textId="6D64F534" w:rsidR="00AD5695" w:rsidRPr="0099114C" w:rsidRDefault="00AD5695" w:rsidP="00E4798D">
            <w:pPr>
              <w:pStyle w:val="Tabletextleft"/>
              <w:spacing w:before="0" w:after="0"/>
              <w:rPr>
                <w:rFonts w:ascii="Arial Narrow" w:hAnsi="Arial Narrow"/>
                <w:sz w:val="20"/>
              </w:rPr>
            </w:pPr>
            <w:r w:rsidRPr="0099114C">
              <w:rPr>
                <w:rFonts w:ascii="Arial Narrow" w:hAnsi="Arial Narrow"/>
                <w:sz w:val="20"/>
              </w:rPr>
              <w:t>10 years</w:t>
            </w:r>
            <w:r w:rsidR="0086769C" w:rsidRPr="0099114C">
              <w:rPr>
                <w:rFonts w:ascii="Arial Narrow" w:hAnsi="Arial Narrow"/>
                <w:sz w:val="20"/>
              </w:rPr>
              <w:t xml:space="preserve"> </w:t>
            </w:r>
            <w:r w:rsidR="0086769C" w:rsidRPr="0099114C">
              <w:rPr>
                <w:rFonts w:ascii="Arial Narrow" w:hAnsi="Arial Narrow"/>
                <w:sz w:val="20"/>
                <w:vertAlign w:val="superscript"/>
              </w:rPr>
              <w:t>a</w:t>
            </w:r>
          </w:p>
        </w:tc>
        <w:tc>
          <w:tcPr>
            <w:tcW w:w="798" w:type="pct"/>
            <w:vAlign w:val="center"/>
          </w:tcPr>
          <w:p w14:paraId="07B8E524" w14:textId="7E4F9BCB" w:rsidR="00AD5695" w:rsidRPr="0049032D" w:rsidRDefault="00AD5695" w:rsidP="00E4798D">
            <w:pPr>
              <w:pStyle w:val="Tabletextleft"/>
              <w:spacing w:before="0" w:after="0"/>
              <w:jc w:val="center"/>
              <w:rPr>
                <w:rFonts w:ascii="Arial Narrow" w:hAnsi="Arial Narrow"/>
                <w:sz w:val="20"/>
              </w:rPr>
            </w:pPr>
            <w:r w:rsidRPr="0049032D">
              <w:rPr>
                <w:rFonts w:ascii="Arial Narrow" w:hAnsi="Arial Narrow" w:cs="Calibri"/>
                <w:color w:val="000000"/>
                <w:sz w:val="20"/>
              </w:rPr>
              <w:t>$</w:t>
            </w:r>
            <w:r w:rsidR="005F1F42" w:rsidRPr="005F1F42">
              <w:rPr>
                <w:rFonts w:ascii="Arial Narrow" w:hAnsi="Arial Narrow" w:cs="Calibri"/>
                <w:color w:val="000000"/>
                <w:sz w:val="20"/>
                <w:shd w:val="solid" w:color="000000" w:fill="000000"/>
                <w14:textFill>
                  <w14:solidFill>
                    <w14:srgbClr w14:val="000000">
                      <w14:alpha w14:val="100000"/>
                    </w14:srgbClr>
                  </w14:solidFill>
                </w14:textFill>
              </w:rPr>
              <w:t>|</w:t>
            </w:r>
          </w:p>
        </w:tc>
        <w:tc>
          <w:tcPr>
            <w:tcW w:w="799" w:type="pct"/>
            <w:vAlign w:val="center"/>
          </w:tcPr>
          <w:p w14:paraId="5B3B4EA6" w14:textId="77777777"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cs="Calibri"/>
                <w:color w:val="000000"/>
                <w:sz w:val="20"/>
              </w:rPr>
              <w:t>0.20</w:t>
            </w:r>
          </w:p>
        </w:tc>
        <w:tc>
          <w:tcPr>
            <w:tcW w:w="799" w:type="pct"/>
            <w:vAlign w:val="center"/>
          </w:tcPr>
          <w:p w14:paraId="0D451578" w14:textId="0EA9B305" w:rsidR="00AD5695" w:rsidRPr="009E5CCE" w:rsidRDefault="005F1F42" w:rsidP="00E4798D">
            <w:pPr>
              <w:pStyle w:val="Tabletextleft"/>
              <w:spacing w:before="0" w:after="0"/>
              <w:jc w:val="center"/>
              <w:rPr>
                <w:rFonts w:ascii="Arial Narrow" w:hAnsi="Arial Narrow"/>
                <w:sz w:val="20"/>
                <w:highlight w:val="lightGray"/>
              </w:rPr>
            </w:pPr>
            <w:r w:rsidRPr="005F1F42">
              <w:rPr>
                <w:rFonts w:ascii="Arial Narrow" w:hAnsi="Arial Narrow" w:cs="Calibri"/>
                <w:color w:val="000000"/>
                <w:sz w:val="20"/>
                <w:shd w:val="solid" w:color="000000" w:fill="000000"/>
                <w14:textFill>
                  <w14:solidFill>
                    <w14:srgbClr w14:val="000000">
                      <w14:alpha w14:val="100000"/>
                    </w14:srgbClr>
                  </w14:solidFill>
                </w14:textFill>
              </w:rPr>
              <w:t>|</w:t>
            </w:r>
            <w:r w:rsidR="00A94571" w:rsidRPr="001A420F">
              <w:rPr>
                <w:rFonts w:ascii="Arial Narrow" w:hAnsi="Arial Narrow" w:cs="Calibri"/>
                <w:color w:val="000000"/>
                <w:sz w:val="20"/>
                <w:vertAlign w:val="superscript"/>
              </w:rPr>
              <w:t>2</w:t>
            </w:r>
          </w:p>
        </w:tc>
        <w:tc>
          <w:tcPr>
            <w:tcW w:w="799" w:type="pct"/>
            <w:vAlign w:val="center"/>
          </w:tcPr>
          <w:p w14:paraId="2E5543EF" w14:textId="1761837F" w:rsidR="00AD5695" w:rsidRPr="0099114C" w:rsidRDefault="003D26D2" w:rsidP="00E4798D">
            <w:pPr>
              <w:pStyle w:val="Tabletextleft"/>
              <w:spacing w:before="0" w:after="0"/>
              <w:jc w:val="center"/>
              <w:rPr>
                <w:rFonts w:ascii="Arial Narrow" w:hAnsi="Arial Narrow"/>
                <w:sz w:val="20"/>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Pr="0099114C">
              <w:rPr>
                <w:rFonts w:ascii="Arial Narrow" w:hAnsi="Arial Narrow"/>
                <w:sz w:val="20"/>
              </w:rPr>
              <w:t>%</w:t>
            </w:r>
          </w:p>
        </w:tc>
      </w:tr>
      <w:tr w:rsidR="000A4F38" w:rsidRPr="0099114C" w14:paraId="242ADBC6" w14:textId="77777777" w:rsidTr="003D26D2">
        <w:trPr>
          <w:trHeight w:val="227"/>
        </w:trPr>
        <w:tc>
          <w:tcPr>
            <w:tcW w:w="1806" w:type="pct"/>
            <w:vAlign w:val="center"/>
            <w:hideMark/>
          </w:tcPr>
          <w:p w14:paraId="01CCB2B9" w14:textId="77777777" w:rsidR="00AD5695" w:rsidRPr="0099114C" w:rsidRDefault="00AD5695" w:rsidP="00E4798D">
            <w:pPr>
              <w:pStyle w:val="Tabletextleft"/>
              <w:spacing w:before="0" w:after="0"/>
              <w:rPr>
                <w:rFonts w:ascii="Arial Narrow" w:hAnsi="Arial Narrow"/>
                <w:sz w:val="20"/>
              </w:rPr>
            </w:pPr>
            <w:r w:rsidRPr="0099114C">
              <w:rPr>
                <w:rFonts w:ascii="Arial Narrow" w:hAnsi="Arial Narrow"/>
                <w:sz w:val="20"/>
              </w:rPr>
              <w:t>15 years</w:t>
            </w:r>
          </w:p>
        </w:tc>
        <w:tc>
          <w:tcPr>
            <w:tcW w:w="798" w:type="pct"/>
            <w:vAlign w:val="center"/>
            <w:hideMark/>
          </w:tcPr>
          <w:p w14:paraId="24F11B1B" w14:textId="252C3459" w:rsidR="00AD5695" w:rsidRPr="0049032D" w:rsidRDefault="00AD5695" w:rsidP="00E4798D">
            <w:pPr>
              <w:pStyle w:val="Tabletextleft"/>
              <w:spacing w:before="0" w:after="0"/>
              <w:jc w:val="center"/>
              <w:rPr>
                <w:rFonts w:ascii="Arial Narrow" w:hAnsi="Arial Narrow"/>
                <w:sz w:val="20"/>
              </w:rPr>
            </w:pPr>
            <w:r w:rsidRPr="0049032D">
              <w:rPr>
                <w:rFonts w:ascii="Arial Narrow" w:hAnsi="Arial Narrow"/>
                <w:sz w:val="20"/>
              </w:rPr>
              <w:t>$</w:t>
            </w:r>
            <w:r w:rsidR="005F1F42" w:rsidRPr="005F1F42">
              <w:rPr>
                <w:rFonts w:ascii="Arial Narrow" w:hAnsi="Arial Narrow"/>
                <w:color w:val="000000"/>
                <w:sz w:val="20"/>
                <w:shd w:val="solid" w:color="000000" w:fill="000000"/>
                <w14:textFill>
                  <w14:solidFill>
                    <w14:srgbClr w14:val="000000">
                      <w14:alpha w14:val="100000"/>
                    </w14:srgbClr>
                  </w14:solidFill>
                </w14:textFill>
              </w:rPr>
              <w:t>|</w:t>
            </w:r>
          </w:p>
        </w:tc>
        <w:tc>
          <w:tcPr>
            <w:tcW w:w="799" w:type="pct"/>
            <w:vAlign w:val="center"/>
            <w:hideMark/>
          </w:tcPr>
          <w:p w14:paraId="50A9A19E" w14:textId="77777777"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sz w:val="20"/>
              </w:rPr>
              <w:t>0.28</w:t>
            </w:r>
          </w:p>
        </w:tc>
        <w:tc>
          <w:tcPr>
            <w:tcW w:w="799" w:type="pct"/>
            <w:vAlign w:val="center"/>
            <w:hideMark/>
          </w:tcPr>
          <w:p w14:paraId="16AA0DD5" w14:textId="123E6DCE" w:rsidR="00AD5695" w:rsidRPr="009E5CCE" w:rsidRDefault="005F1F42" w:rsidP="00E4798D">
            <w:pPr>
              <w:pStyle w:val="Tabletextleft"/>
              <w:spacing w:before="0" w:after="0"/>
              <w:jc w:val="center"/>
              <w:rPr>
                <w:rFonts w:ascii="Arial Narrow" w:hAnsi="Arial Narrow"/>
                <w:sz w:val="20"/>
                <w:highlight w:val="lightGray"/>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00A94571" w:rsidRPr="001A420F">
              <w:rPr>
                <w:rFonts w:ascii="Arial Narrow" w:hAnsi="Arial Narrow" w:cs="Calibri"/>
                <w:color w:val="000000"/>
                <w:sz w:val="20"/>
                <w:vertAlign w:val="superscript"/>
              </w:rPr>
              <w:t>3</w:t>
            </w:r>
          </w:p>
        </w:tc>
        <w:tc>
          <w:tcPr>
            <w:tcW w:w="799" w:type="pct"/>
            <w:vAlign w:val="center"/>
            <w:hideMark/>
          </w:tcPr>
          <w:p w14:paraId="14E15948" w14:textId="457CD720" w:rsidR="00AD5695" w:rsidRPr="0099114C" w:rsidRDefault="003D26D2" w:rsidP="00E4798D">
            <w:pPr>
              <w:pStyle w:val="Tabletextleft"/>
              <w:spacing w:before="0" w:after="0"/>
              <w:jc w:val="center"/>
              <w:rPr>
                <w:rFonts w:ascii="Arial Narrow" w:hAnsi="Arial Narrow"/>
                <w:sz w:val="20"/>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Pr="0099114C">
              <w:rPr>
                <w:rFonts w:ascii="Arial Narrow" w:hAnsi="Arial Narrow"/>
                <w:sz w:val="20"/>
              </w:rPr>
              <w:t>%</w:t>
            </w:r>
          </w:p>
        </w:tc>
      </w:tr>
      <w:tr w:rsidR="000A4F38" w:rsidRPr="0099114C" w14:paraId="2D32CCE9" w14:textId="77777777" w:rsidTr="003D26D2">
        <w:trPr>
          <w:trHeight w:val="227"/>
        </w:trPr>
        <w:tc>
          <w:tcPr>
            <w:tcW w:w="1806" w:type="pct"/>
            <w:vAlign w:val="center"/>
            <w:hideMark/>
          </w:tcPr>
          <w:p w14:paraId="1B3E12C0" w14:textId="77777777" w:rsidR="00AD5695" w:rsidRPr="0099114C" w:rsidRDefault="00AD5695" w:rsidP="00E4798D">
            <w:pPr>
              <w:pStyle w:val="Tabletextleft"/>
              <w:spacing w:before="0" w:after="0"/>
              <w:rPr>
                <w:rFonts w:ascii="Arial Narrow" w:hAnsi="Arial Narrow"/>
                <w:sz w:val="20"/>
              </w:rPr>
            </w:pPr>
            <w:r w:rsidRPr="0099114C">
              <w:rPr>
                <w:rFonts w:ascii="Arial Narrow" w:hAnsi="Arial Narrow"/>
                <w:sz w:val="20"/>
              </w:rPr>
              <w:t>30 years</w:t>
            </w:r>
          </w:p>
        </w:tc>
        <w:tc>
          <w:tcPr>
            <w:tcW w:w="798" w:type="pct"/>
            <w:vAlign w:val="center"/>
            <w:hideMark/>
          </w:tcPr>
          <w:p w14:paraId="3761FEBB" w14:textId="5C357605" w:rsidR="00AD5695" w:rsidRPr="0049032D" w:rsidRDefault="00AD5695" w:rsidP="00E4798D">
            <w:pPr>
              <w:pStyle w:val="Tabletextleft"/>
              <w:spacing w:before="0" w:after="0"/>
              <w:jc w:val="center"/>
              <w:rPr>
                <w:rFonts w:ascii="Arial Narrow" w:hAnsi="Arial Narrow"/>
                <w:sz w:val="20"/>
              </w:rPr>
            </w:pPr>
            <w:r w:rsidRPr="0049032D">
              <w:rPr>
                <w:rFonts w:ascii="Arial Narrow" w:hAnsi="Arial Narrow"/>
                <w:sz w:val="20"/>
              </w:rPr>
              <w:t>$</w:t>
            </w:r>
            <w:r w:rsidR="005F1F42" w:rsidRPr="005F1F42">
              <w:rPr>
                <w:rFonts w:ascii="Arial Narrow" w:hAnsi="Arial Narrow"/>
                <w:color w:val="000000"/>
                <w:sz w:val="20"/>
                <w:shd w:val="solid" w:color="000000" w:fill="000000"/>
                <w14:textFill>
                  <w14:solidFill>
                    <w14:srgbClr w14:val="000000">
                      <w14:alpha w14:val="100000"/>
                    </w14:srgbClr>
                  </w14:solidFill>
                </w14:textFill>
              </w:rPr>
              <w:t>|</w:t>
            </w:r>
          </w:p>
        </w:tc>
        <w:tc>
          <w:tcPr>
            <w:tcW w:w="799" w:type="pct"/>
            <w:vAlign w:val="center"/>
            <w:hideMark/>
          </w:tcPr>
          <w:p w14:paraId="45762180" w14:textId="77777777"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sz w:val="20"/>
              </w:rPr>
              <w:t>0.36</w:t>
            </w:r>
          </w:p>
        </w:tc>
        <w:tc>
          <w:tcPr>
            <w:tcW w:w="799" w:type="pct"/>
            <w:vAlign w:val="center"/>
            <w:hideMark/>
          </w:tcPr>
          <w:p w14:paraId="5FF015F9" w14:textId="594E7D70" w:rsidR="00AD5695" w:rsidRPr="009E5CCE" w:rsidRDefault="005F1F42" w:rsidP="00E4798D">
            <w:pPr>
              <w:pStyle w:val="Tabletextleft"/>
              <w:spacing w:before="0" w:after="0"/>
              <w:jc w:val="center"/>
              <w:rPr>
                <w:rFonts w:ascii="Arial Narrow" w:hAnsi="Arial Narrow"/>
                <w:sz w:val="20"/>
                <w:highlight w:val="lightGray"/>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00A94571" w:rsidRPr="001A420F">
              <w:rPr>
                <w:rFonts w:ascii="Arial Narrow" w:hAnsi="Arial Narrow"/>
                <w:sz w:val="20"/>
                <w:vertAlign w:val="superscript"/>
              </w:rPr>
              <w:t>1</w:t>
            </w:r>
          </w:p>
        </w:tc>
        <w:tc>
          <w:tcPr>
            <w:tcW w:w="799" w:type="pct"/>
            <w:vAlign w:val="center"/>
            <w:hideMark/>
          </w:tcPr>
          <w:p w14:paraId="1887CF92" w14:textId="308C1500"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sz w:val="20"/>
              </w:rPr>
              <w:t>-</w:t>
            </w:r>
            <w:r w:rsidR="003D26D2" w:rsidRPr="005F1F42">
              <w:rPr>
                <w:rFonts w:ascii="Arial Narrow" w:hAnsi="Arial Narrow"/>
                <w:color w:val="000000"/>
                <w:sz w:val="20"/>
                <w:shd w:val="solid" w:color="000000" w:fill="000000"/>
                <w14:textFill>
                  <w14:solidFill>
                    <w14:srgbClr w14:val="000000">
                      <w14:alpha w14:val="100000"/>
                    </w14:srgbClr>
                  </w14:solidFill>
                </w14:textFill>
              </w:rPr>
              <w:t>|</w:t>
            </w:r>
            <w:r w:rsidR="003D26D2" w:rsidRPr="0099114C">
              <w:rPr>
                <w:rFonts w:ascii="Arial Narrow" w:hAnsi="Arial Narrow"/>
                <w:sz w:val="20"/>
              </w:rPr>
              <w:t>%</w:t>
            </w:r>
          </w:p>
        </w:tc>
      </w:tr>
      <w:tr w:rsidR="00AD5695" w:rsidRPr="0099114C" w14:paraId="43496FA4" w14:textId="77777777" w:rsidTr="003D26D2">
        <w:trPr>
          <w:trHeight w:val="227"/>
        </w:trPr>
        <w:tc>
          <w:tcPr>
            <w:tcW w:w="5000" w:type="pct"/>
            <w:gridSpan w:val="5"/>
            <w:vAlign w:val="center"/>
            <w:hideMark/>
          </w:tcPr>
          <w:p w14:paraId="10EBDB51" w14:textId="4769DD47" w:rsidR="00AD5695" w:rsidRPr="0099114C" w:rsidRDefault="00AD5695" w:rsidP="00E4798D">
            <w:pPr>
              <w:pStyle w:val="Tabletextleft"/>
              <w:keepNext/>
              <w:keepLines/>
              <w:spacing w:before="0" w:after="0"/>
              <w:jc w:val="left"/>
              <w:rPr>
                <w:rFonts w:ascii="Arial Narrow" w:hAnsi="Arial Narrow"/>
                <w:sz w:val="20"/>
              </w:rPr>
            </w:pPr>
            <w:r w:rsidRPr="0099114C">
              <w:rPr>
                <w:rFonts w:ascii="Arial Narrow" w:hAnsi="Arial Narrow"/>
                <w:b/>
                <w:sz w:val="20"/>
              </w:rPr>
              <w:t>Discount rate</w:t>
            </w:r>
            <w:r w:rsidR="00C63A1B" w:rsidRPr="0099114C">
              <w:rPr>
                <w:rFonts w:ascii="Arial Narrow" w:hAnsi="Arial Narrow"/>
                <w:b/>
                <w:sz w:val="20"/>
              </w:rPr>
              <w:t xml:space="preserve"> (base case 5%)</w:t>
            </w:r>
          </w:p>
        </w:tc>
      </w:tr>
      <w:tr w:rsidR="000A4F38" w:rsidRPr="0099114C" w14:paraId="69A84FD3" w14:textId="77777777" w:rsidTr="003D26D2">
        <w:trPr>
          <w:trHeight w:val="227"/>
        </w:trPr>
        <w:tc>
          <w:tcPr>
            <w:tcW w:w="1806" w:type="pct"/>
            <w:vAlign w:val="center"/>
            <w:hideMark/>
          </w:tcPr>
          <w:p w14:paraId="734CCFC6" w14:textId="77777777" w:rsidR="00AD5695" w:rsidRPr="0099114C" w:rsidRDefault="00AD5695" w:rsidP="00E4798D">
            <w:pPr>
              <w:pStyle w:val="Tabletextleft"/>
              <w:keepNext/>
              <w:keepLines/>
              <w:spacing w:before="0" w:after="0"/>
              <w:rPr>
                <w:rFonts w:ascii="Arial Narrow" w:hAnsi="Arial Narrow"/>
                <w:sz w:val="20"/>
              </w:rPr>
            </w:pPr>
            <w:r w:rsidRPr="0099114C">
              <w:rPr>
                <w:rFonts w:ascii="Arial Narrow" w:hAnsi="Arial Narrow"/>
                <w:sz w:val="20"/>
              </w:rPr>
              <w:t>3.50%</w:t>
            </w:r>
          </w:p>
        </w:tc>
        <w:tc>
          <w:tcPr>
            <w:tcW w:w="798" w:type="pct"/>
            <w:vAlign w:val="center"/>
            <w:hideMark/>
          </w:tcPr>
          <w:p w14:paraId="64CBE007" w14:textId="69DEA7A5" w:rsidR="00AD5695" w:rsidRPr="0049032D" w:rsidRDefault="00AD5695" w:rsidP="00E4798D">
            <w:pPr>
              <w:pStyle w:val="Tabletextleft"/>
              <w:keepNext/>
              <w:keepLines/>
              <w:spacing w:before="0" w:after="0"/>
              <w:jc w:val="center"/>
              <w:rPr>
                <w:rFonts w:ascii="Arial Narrow" w:hAnsi="Arial Narrow"/>
                <w:sz w:val="20"/>
              </w:rPr>
            </w:pPr>
            <w:r w:rsidRPr="0049032D">
              <w:rPr>
                <w:rFonts w:ascii="Arial Narrow" w:hAnsi="Arial Narrow"/>
                <w:sz w:val="20"/>
              </w:rPr>
              <w:t>$</w:t>
            </w:r>
            <w:r w:rsidR="005F1F42" w:rsidRPr="005F1F42">
              <w:rPr>
                <w:rFonts w:ascii="Arial Narrow" w:hAnsi="Arial Narrow"/>
                <w:color w:val="000000"/>
                <w:sz w:val="20"/>
                <w:shd w:val="solid" w:color="000000" w:fill="000000"/>
                <w14:textFill>
                  <w14:solidFill>
                    <w14:srgbClr w14:val="000000">
                      <w14:alpha w14:val="100000"/>
                    </w14:srgbClr>
                  </w14:solidFill>
                </w14:textFill>
              </w:rPr>
              <w:t>|</w:t>
            </w:r>
          </w:p>
        </w:tc>
        <w:tc>
          <w:tcPr>
            <w:tcW w:w="799" w:type="pct"/>
            <w:vAlign w:val="center"/>
            <w:hideMark/>
          </w:tcPr>
          <w:p w14:paraId="7C5E6B8B" w14:textId="77777777" w:rsidR="00AD5695" w:rsidRPr="0099114C" w:rsidRDefault="00AD5695" w:rsidP="00E4798D">
            <w:pPr>
              <w:pStyle w:val="Tabletextleft"/>
              <w:keepNext/>
              <w:keepLines/>
              <w:spacing w:before="0" w:after="0"/>
              <w:jc w:val="center"/>
              <w:rPr>
                <w:rFonts w:ascii="Arial Narrow" w:hAnsi="Arial Narrow"/>
                <w:sz w:val="20"/>
              </w:rPr>
            </w:pPr>
            <w:r w:rsidRPr="0099114C">
              <w:rPr>
                <w:rFonts w:ascii="Arial Narrow" w:hAnsi="Arial Narrow"/>
                <w:sz w:val="20"/>
              </w:rPr>
              <w:t>0.38</w:t>
            </w:r>
          </w:p>
        </w:tc>
        <w:tc>
          <w:tcPr>
            <w:tcW w:w="799" w:type="pct"/>
            <w:vAlign w:val="center"/>
            <w:hideMark/>
          </w:tcPr>
          <w:p w14:paraId="4D50AF21" w14:textId="7CF413B8" w:rsidR="00AD5695" w:rsidRPr="009E5CCE" w:rsidRDefault="005F1F42" w:rsidP="00E4798D">
            <w:pPr>
              <w:pStyle w:val="Tabletextleft"/>
              <w:keepNext/>
              <w:keepLines/>
              <w:spacing w:before="0" w:after="0"/>
              <w:jc w:val="center"/>
              <w:rPr>
                <w:rFonts w:ascii="Arial Narrow" w:hAnsi="Arial Narrow"/>
                <w:sz w:val="20"/>
                <w:highlight w:val="lightGray"/>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00A94571" w:rsidRPr="001A420F">
              <w:rPr>
                <w:rFonts w:ascii="Arial Narrow" w:hAnsi="Arial Narrow"/>
                <w:sz w:val="20"/>
                <w:vertAlign w:val="superscript"/>
              </w:rPr>
              <w:t>1</w:t>
            </w:r>
          </w:p>
        </w:tc>
        <w:tc>
          <w:tcPr>
            <w:tcW w:w="799" w:type="pct"/>
            <w:vAlign w:val="center"/>
            <w:hideMark/>
          </w:tcPr>
          <w:p w14:paraId="2B5B53BD" w14:textId="55EC0613" w:rsidR="00AD5695" w:rsidRPr="0099114C" w:rsidRDefault="00AD5695" w:rsidP="00E4798D">
            <w:pPr>
              <w:pStyle w:val="Tabletextleft"/>
              <w:keepNext/>
              <w:keepLines/>
              <w:spacing w:before="0" w:after="0"/>
              <w:jc w:val="center"/>
              <w:rPr>
                <w:rFonts w:ascii="Arial Narrow" w:hAnsi="Arial Narrow"/>
                <w:sz w:val="20"/>
              </w:rPr>
            </w:pPr>
            <w:r w:rsidRPr="0099114C">
              <w:rPr>
                <w:rFonts w:ascii="Arial Narrow" w:hAnsi="Arial Narrow"/>
                <w:sz w:val="20"/>
              </w:rPr>
              <w:t>-</w:t>
            </w:r>
            <w:r w:rsidR="003D26D2" w:rsidRPr="005F1F42">
              <w:rPr>
                <w:rFonts w:ascii="Arial Narrow" w:hAnsi="Arial Narrow"/>
                <w:color w:val="000000"/>
                <w:sz w:val="20"/>
                <w:shd w:val="solid" w:color="000000" w:fill="000000"/>
                <w14:textFill>
                  <w14:solidFill>
                    <w14:srgbClr w14:val="000000">
                      <w14:alpha w14:val="100000"/>
                    </w14:srgbClr>
                  </w14:solidFill>
                </w14:textFill>
              </w:rPr>
              <w:t>|</w:t>
            </w:r>
            <w:r w:rsidRPr="0099114C">
              <w:rPr>
                <w:rFonts w:ascii="Arial Narrow" w:hAnsi="Arial Narrow"/>
                <w:sz w:val="20"/>
              </w:rPr>
              <w:t>%</w:t>
            </w:r>
          </w:p>
        </w:tc>
      </w:tr>
      <w:tr w:rsidR="000A4F38" w:rsidRPr="0099114C" w14:paraId="13A2682E" w14:textId="77777777" w:rsidTr="003D26D2">
        <w:trPr>
          <w:trHeight w:val="227"/>
        </w:trPr>
        <w:tc>
          <w:tcPr>
            <w:tcW w:w="1806" w:type="pct"/>
            <w:vAlign w:val="center"/>
            <w:hideMark/>
          </w:tcPr>
          <w:p w14:paraId="790B4D81" w14:textId="77777777" w:rsidR="00AD5695" w:rsidRPr="0099114C" w:rsidRDefault="00AD5695" w:rsidP="00E4798D">
            <w:pPr>
              <w:pStyle w:val="Tabletextleft"/>
              <w:spacing w:before="0" w:after="0"/>
              <w:rPr>
                <w:rFonts w:ascii="Arial Narrow" w:hAnsi="Arial Narrow"/>
                <w:sz w:val="20"/>
              </w:rPr>
            </w:pPr>
            <w:r w:rsidRPr="0099114C">
              <w:rPr>
                <w:rFonts w:ascii="Arial Narrow" w:hAnsi="Arial Narrow"/>
                <w:sz w:val="20"/>
              </w:rPr>
              <w:t>0%</w:t>
            </w:r>
          </w:p>
        </w:tc>
        <w:tc>
          <w:tcPr>
            <w:tcW w:w="798" w:type="pct"/>
            <w:vAlign w:val="center"/>
            <w:hideMark/>
          </w:tcPr>
          <w:p w14:paraId="41A957BB" w14:textId="61476A20" w:rsidR="00AD5695" w:rsidRPr="0049032D" w:rsidRDefault="00AD5695" w:rsidP="00E4798D">
            <w:pPr>
              <w:pStyle w:val="Tabletextleft"/>
              <w:spacing w:before="0" w:after="0"/>
              <w:jc w:val="center"/>
              <w:rPr>
                <w:rFonts w:ascii="Arial Narrow" w:hAnsi="Arial Narrow"/>
                <w:sz w:val="20"/>
              </w:rPr>
            </w:pPr>
            <w:r w:rsidRPr="0049032D">
              <w:rPr>
                <w:rFonts w:ascii="Arial Narrow" w:hAnsi="Arial Narrow"/>
                <w:sz w:val="20"/>
              </w:rPr>
              <w:t>$</w:t>
            </w:r>
            <w:r w:rsidR="005F1F42" w:rsidRPr="005F1F42">
              <w:rPr>
                <w:rFonts w:ascii="Arial Narrow" w:hAnsi="Arial Narrow"/>
                <w:color w:val="000000"/>
                <w:sz w:val="20"/>
                <w:shd w:val="solid" w:color="000000" w:fill="000000"/>
                <w14:textFill>
                  <w14:solidFill>
                    <w14:srgbClr w14:val="000000">
                      <w14:alpha w14:val="100000"/>
                    </w14:srgbClr>
                  </w14:solidFill>
                </w14:textFill>
              </w:rPr>
              <w:t>|</w:t>
            </w:r>
          </w:p>
        </w:tc>
        <w:tc>
          <w:tcPr>
            <w:tcW w:w="799" w:type="pct"/>
            <w:vAlign w:val="center"/>
            <w:hideMark/>
          </w:tcPr>
          <w:p w14:paraId="1897832B" w14:textId="77777777"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sz w:val="20"/>
              </w:rPr>
              <w:t>0.53</w:t>
            </w:r>
          </w:p>
        </w:tc>
        <w:tc>
          <w:tcPr>
            <w:tcW w:w="799" w:type="pct"/>
            <w:vAlign w:val="center"/>
            <w:hideMark/>
          </w:tcPr>
          <w:p w14:paraId="078FC11F" w14:textId="2BC0EAB8" w:rsidR="00AD5695" w:rsidRPr="009E5CCE" w:rsidRDefault="005F1F42" w:rsidP="00E4798D">
            <w:pPr>
              <w:pStyle w:val="Tabletextleft"/>
              <w:spacing w:before="0" w:after="0"/>
              <w:jc w:val="center"/>
              <w:rPr>
                <w:rFonts w:ascii="Arial Narrow" w:hAnsi="Arial Narrow"/>
                <w:sz w:val="20"/>
                <w:highlight w:val="lightGray"/>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006A169C" w:rsidRPr="009E5CCE">
              <w:rPr>
                <w:rFonts w:ascii="Arial Narrow" w:hAnsi="Arial Narrow"/>
                <w:sz w:val="20"/>
                <w:vertAlign w:val="superscript"/>
              </w:rPr>
              <w:t>4</w:t>
            </w:r>
          </w:p>
        </w:tc>
        <w:tc>
          <w:tcPr>
            <w:tcW w:w="799" w:type="pct"/>
            <w:vAlign w:val="center"/>
            <w:hideMark/>
          </w:tcPr>
          <w:p w14:paraId="30F07417" w14:textId="5181A525"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sz w:val="20"/>
              </w:rPr>
              <w:t>-</w:t>
            </w:r>
            <w:r w:rsidR="003D26D2" w:rsidRPr="005F1F42">
              <w:rPr>
                <w:rFonts w:ascii="Arial Narrow" w:hAnsi="Arial Narrow"/>
                <w:color w:val="000000"/>
                <w:sz w:val="20"/>
                <w:shd w:val="solid" w:color="000000" w:fill="000000"/>
                <w14:textFill>
                  <w14:solidFill>
                    <w14:srgbClr w14:val="000000">
                      <w14:alpha w14:val="100000"/>
                    </w14:srgbClr>
                  </w14:solidFill>
                </w14:textFill>
              </w:rPr>
              <w:t>|</w:t>
            </w:r>
            <w:r w:rsidR="003D26D2" w:rsidRPr="0099114C">
              <w:rPr>
                <w:rFonts w:ascii="Arial Narrow" w:hAnsi="Arial Narrow"/>
                <w:sz w:val="20"/>
              </w:rPr>
              <w:t>%</w:t>
            </w:r>
          </w:p>
        </w:tc>
      </w:tr>
      <w:tr w:rsidR="00AD5695" w:rsidRPr="0099114C" w14:paraId="45134BD5" w14:textId="77777777" w:rsidTr="003D26D2">
        <w:trPr>
          <w:trHeight w:val="227"/>
        </w:trPr>
        <w:tc>
          <w:tcPr>
            <w:tcW w:w="5000" w:type="pct"/>
            <w:gridSpan w:val="5"/>
            <w:vAlign w:val="center"/>
            <w:hideMark/>
          </w:tcPr>
          <w:p w14:paraId="58836DAC" w14:textId="77777777" w:rsidR="00AD5695" w:rsidRPr="0099114C" w:rsidRDefault="00AD5695" w:rsidP="00E4798D">
            <w:pPr>
              <w:pStyle w:val="Tabletextleft"/>
              <w:spacing w:before="0" w:after="0"/>
              <w:jc w:val="left"/>
              <w:rPr>
                <w:rFonts w:ascii="Arial Narrow" w:hAnsi="Arial Narrow"/>
                <w:sz w:val="20"/>
              </w:rPr>
            </w:pPr>
            <w:r w:rsidRPr="0099114C">
              <w:rPr>
                <w:rFonts w:ascii="Arial Narrow" w:hAnsi="Arial Narrow"/>
                <w:b/>
                <w:sz w:val="20"/>
              </w:rPr>
              <w:lastRenderedPageBreak/>
              <w:t>Treatment waning (base case 6 months)</w:t>
            </w:r>
          </w:p>
        </w:tc>
      </w:tr>
      <w:tr w:rsidR="000A4F38" w:rsidRPr="0099114C" w14:paraId="366B7781" w14:textId="77777777" w:rsidTr="003D26D2">
        <w:trPr>
          <w:trHeight w:val="227"/>
        </w:trPr>
        <w:tc>
          <w:tcPr>
            <w:tcW w:w="1806" w:type="pct"/>
            <w:vAlign w:val="center"/>
            <w:hideMark/>
          </w:tcPr>
          <w:p w14:paraId="1050F6E2" w14:textId="77777777" w:rsidR="00AD5695" w:rsidRPr="0099114C" w:rsidRDefault="00AD5695" w:rsidP="00E4798D">
            <w:pPr>
              <w:pStyle w:val="Tabletextleft"/>
              <w:spacing w:before="0" w:after="0"/>
              <w:rPr>
                <w:rFonts w:ascii="Arial Narrow" w:hAnsi="Arial Narrow"/>
                <w:sz w:val="20"/>
              </w:rPr>
            </w:pPr>
            <w:r w:rsidRPr="0099114C">
              <w:rPr>
                <w:rFonts w:ascii="Arial Narrow" w:hAnsi="Arial Narrow"/>
                <w:sz w:val="20"/>
              </w:rPr>
              <w:t>No waning</w:t>
            </w:r>
          </w:p>
        </w:tc>
        <w:tc>
          <w:tcPr>
            <w:tcW w:w="798" w:type="pct"/>
            <w:vAlign w:val="center"/>
            <w:hideMark/>
          </w:tcPr>
          <w:p w14:paraId="0D1C010A" w14:textId="52081771"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sz w:val="20"/>
              </w:rPr>
              <w:t>-$</w:t>
            </w:r>
            <w:r w:rsidR="005F1F42" w:rsidRPr="005F1F42">
              <w:rPr>
                <w:rFonts w:ascii="Arial Narrow" w:hAnsi="Arial Narrow"/>
                <w:color w:val="000000"/>
                <w:sz w:val="20"/>
                <w:shd w:val="solid" w:color="000000" w:fill="000000"/>
                <w14:textFill>
                  <w14:solidFill>
                    <w14:srgbClr w14:val="000000">
                      <w14:alpha w14:val="100000"/>
                    </w14:srgbClr>
                  </w14:solidFill>
                </w14:textFill>
              </w:rPr>
              <w:t>|</w:t>
            </w:r>
          </w:p>
        </w:tc>
        <w:tc>
          <w:tcPr>
            <w:tcW w:w="799" w:type="pct"/>
            <w:vAlign w:val="center"/>
            <w:hideMark/>
          </w:tcPr>
          <w:p w14:paraId="0660944F" w14:textId="77777777"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sz w:val="20"/>
              </w:rPr>
              <w:t>0.74</w:t>
            </w:r>
          </w:p>
        </w:tc>
        <w:tc>
          <w:tcPr>
            <w:tcW w:w="799" w:type="pct"/>
            <w:vAlign w:val="center"/>
            <w:hideMark/>
          </w:tcPr>
          <w:p w14:paraId="42264C9A" w14:textId="77777777"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cs="Calibri"/>
                <w:color w:val="000000"/>
                <w:sz w:val="20"/>
              </w:rPr>
              <w:t>Dominant</w:t>
            </w:r>
          </w:p>
        </w:tc>
        <w:tc>
          <w:tcPr>
            <w:tcW w:w="799" w:type="pct"/>
            <w:vAlign w:val="center"/>
            <w:hideMark/>
          </w:tcPr>
          <w:p w14:paraId="525588BC" w14:textId="77777777"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cs="Calibri"/>
                <w:color w:val="000000"/>
                <w:sz w:val="20"/>
              </w:rPr>
              <w:t>NA</w:t>
            </w:r>
          </w:p>
        </w:tc>
      </w:tr>
      <w:tr w:rsidR="000A4F38" w:rsidRPr="0099114C" w14:paraId="7B1E0CF8" w14:textId="77777777" w:rsidTr="003D26D2">
        <w:trPr>
          <w:trHeight w:val="227"/>
        </w:trPr>
        <w:tc>
          <w:tcPr>
            <w:tcW w:w="1806" w:type="pct"/>
            <w:vAlign w:val="center"/>
            <w:hideMark/>
          </w:tcPr>
          <w:p w14:paraId="53D45638" w14:textId="77777777" w:rsidR="00AD5695" w:rsidRPr="0099114C" w:rsidRDefault="00AD5695" w:rsidP="00E4798D">
            <w:pPr>
              <w:pStyle w:val="Tabletextleft"/>
              <w:spacing w:before="0" w:after="0"/>
              <w:rPr>
                <w:rFonts w:ascii="Arial Narrow" w:hAnsi="Arial Narrow"/>
                <w:sz w:val="20"/>
              </w:rPr>
            </w:pPr>
            <w:r w:rsidRPr="0099114C">
              <w:rPr>
                <w:rFonts w:ascii="Arial Narrow" w:hAnsi="Arial Narrow"/>
                <w:sz w:val="20"/>
              </w:rPr>
              <w:t>Immediate waning</w:t>
            </w:r>
          </w:p>
        </w:tc>
        <w:tc>
          <w:tcPr>
            <w:tcW w:w="798" w:type="pct"/>
            <w:vAlign w:val="center"/>
            <w:hideMark/>
          </w:tcPr>
          <w:p w14:paraId="13FC91B1" w14:textId="73DBB5C5"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sz w:val="20"/>
              </w:rPr>
              <w:t>$</w:t>
            </w:r>
            <w:r w:rsidR="005F1F42" w:rsidRPr="005F1F42">
              <w:rPr>
                <w:rFonts w:ascii="Arial Narrow" w:hAnsi="Arial Narrow"/>
                <w:color w:val="000000"/>
                <w:sz w:val="20"/>
                <w:shd w:val="solid" w:color="000000" w:fill="000000"/>
                <w14:textFill>
                  <w14:solidFill>
                    <w14:srgbClr w14:val="000000">
                      <w14:alpha w14:val="100000"/>
                    </w14:srgbClr>
                  </w14:solidFill>
                </w14:textFill>
              </w:rPr>
              <w:t>|</w:t>
            </w:r>
          </w:p>
        </w:tc>
        <w:tc>
          <w:tcPr>
            <w:tcW w:w="799" w:type="pct"/>
            <w:vAlign w:val="center"/>
            <w:hideMark/>
          </w:tcPr>
          <w:p w14:paraId="5B6DE3A1" w14:textId="77777777"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sz w:val="20"/>
              </w:rPr>
              <w:t>0.27</w:t>
            </w:r>
          </w:p>
        </w:tc>
        <w:tc>
          <w:tcPr>
            <w:tcW w:w="799" w:type="pct"/>
            <w:vAlign w:val="center"/>
            <w:hideMark/>
          </w:tcPr>
          <w:p w14:paraId="21C27766" w14:textId="16EFE000" w:rsidR="00AD5695" w:rsidRPr="009E5CCE" w:rsidRDefault="005F1F42" w:rsidP="00E4798D">
            <w:pPr>
              <w:pStyle w:val="Tabletextleft"/>
              <w:spacing w:before="0" w:after="0"/>
              <w:jc w:val="center"/>
              <w:rPr>
                <w:rFonts w:ascii="Arial Narrow" w:hAnsi="Arial Narrow"/>
                <w:sz w:val="20"/>
                <w:highlight w:val="lightGray"/>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006A169C" w:rsidRPr="009E5CCE">
              <w:rPr>
                <w:rFonts w:ascii="Arial Narrow" w:hAnsi="Arial Narrow"/>
                <w:sz w:val="20"/>
                <w:vertAlign w:val="superscript"/>
              </w:rPr>
              <w:t>5</w:t>
            </w:r>
          </w:p>
        </w:tc>
        <w:tc>
          <w:tcPr>
            <w:tcW w:w="799" w:type="pct"/>
            <w:vAlign w:val="center"/>
            <w:hideMark/>
          </w:tcPr>
          <w:p w14:paraId="3C6B4AB6" w14:textId="7DA78B15" w:rsidR="00AD5695" w:rsidRPr="0099114C" w:rsidRDefault="003D26D2" w:rsidP="00E4798D">
            <w:pPr>
              <w:pStyle w:val="Tabletextleft"/>
              <w:spacing w:before="0" w:after="0"/>
              <w:jc w:val="center"/>
              <w:rPr>
                <w:rFonts w:ascii="Arial Narrow" w:hAnsi="Arial Narrow"/>
                <w:sz w:val="20"/>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Pr="0099114C">
              <w:rPr>
                <w:rFonts w:ascii="Arial Narrow" w:hAnsi="Arial Narrow"/>
                <w:sz w:val="20"/>
              </w:rPr>
              <w:t>%</w:t>
            </w:r>
          </w:p>
        </w:tc>
      </w:tr>
      <w:tr w:rsidR="000A4F38" w:rsidRPr="0099114C" w14:paraId="072C7740" w14:textId="77777777" w:rsidTr="003D26D2">
        <w:trPr>
          <w:trHeight w:val="227"/>
        </w:trPr>
        <w:tc>
          <w:tcPr>
            <w:tcW w:w="1806" w:type="pct"/>
            <w:vAlign w:val="center"/>
            <w:hideMark/>
          </w:tcPr>
          <w:p w14:paraId="4AE472AA" w14:textId="77777777" w:rsidR="00AD5695" w:rsidRPr="0099114C" w:rsidRDefault="00AD5695" w:rsidP="00E4798D">
            <w:pPr>
              <w:pStyle w:val="Tabletextleft"/>
              <w:spacing w:before="0" w:after="0"/>
              <w:rPr>
                <w:rFonts w:ascii="Arial Narrow" w:hAnsi="Arial Narrow"/>
                <w:sz w:val="20"/>
              </w:rPr>
            </w:pPr>
            <w:r w:rsidRPr="0099114C">
              <w:rPr>
                <w:rFonts w:ascii="Arial Narrow" w:hAnsi="Arial Narrow"/>
                <w:sz w:val="20"/>
              </w:rPr>
              <w:t>Wane after 3 months</w:t>
            </w:r>
          </w:p>
        </w:tc>
        <w:tc>
          <w:tcPr>
            <w:tcW w:w="798" w:type="pct"/>
            <w:vAlign w:val="center"/>
            <w:hideMark/>
          </w:tcPr>
          <w:p w14:paraId="390FC53E" w14:textId="64F09FD9"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sz w:val="20"/>
              </w:rPr>
              <w:t>$</w:t>
            </w:r>
            <w:r w:rsidR="005F1F42" w:rsidRPr="005F1F42">
              <w:rPr>
                <w:rFonts w:ascii="Arial Narrow" w:hAnsi="Arial Narrow"/>
                <w:color w:val="000000"/>
                <w:sz w:val="20"/>
                <w:shd w:val="solid" w:color="000000" w:fill="000000"/>
                <w14:textFill>
                  <w14:solidFill>
                    <w14:srgbClr w14:val="000000">
                      <w14:alpha w14:val="100000"/>
                    </w14:srgbClr>
                  </w14:solidFill>
                </w14:textFill>
              </w:rPr>
              <w:t>|</w:t>
            </w:r>
          </w:p>
        </w:tc>
        <w:tc>
          <w:tcPr>
            <w:tcW w:w="799" w:type="pct"/>
            <w:vAlign w:val="center"/>
            <w:hideMark/>
          </w:tcPr>
          <w:p w14:paraId="2D0E9B10" w14:textId="77777777"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sz w:val="20"/>
              </w:rPr>
              <w:t>0.30</w:t>
            </w:r>
          </w:p>
        </w:tc>
        <w:tc>
          <w:tcPr>
            <w:tcW w:w="799" w:type="pct"/>
            <w:vAlign w:val="center"/>
            <w:hideMark/>
          </w:tcPr>
          <w:p w14:paraId="245F8FDA" w14:textId="24C0B1CE" w:rsidR="00AD5695" w:rsidRPr="009E5CCE" w:rsidRDefault="005F1F42" w:rsidP="00E4798D">
            <w:pPr>
              <w:pStyle w:val="Tabletextleft"/>
              <w:spacing w:before="0" w:after="0"/>
              <w:jc w:val="center"/>
              <w:rPr>
                <w:rFonts w:ascii="Arial Narrow" w:hAnsi="Arial Narrow"/>
                <w:sz w:val="20"/>
                <w:highlight w:val="lightGray"/>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00A94571" w:rsidRPr="001A420F">
              <w:rPr>
                <w:rFonts w:ascii="Arial Narrow" w:hAnsi="Arial Narrow" w:cs="Calibri"/>
                <w:color w:val="000000"/>
                <w:sz w:val="20"/>
                <w:vertAlign w:val="superscript"/>
              </w:rPr>
              <w:t>3</w:t>
            </w:r>
          </w:p>
        </w:tc>
        <w:tc>
          <w:tcPr>
            <w:tcW w:w="799" w:type="pct"/>
            <w:vAlign w:val="center"/>
            <w:hideMark/>
          </w:tcPr>
          <w:p w14:paraId="011E6C46" w14:textId="6337E232" w:rsidR="00AD5695" w:rsidRPr="0099114C" w:rsidRDefault="003D26D2" w:rsidP="00E4798D">
            <w:pPr>
              <w:pStyle w:val="Tabletextleft"/>
              <w:spacing w:before="0" w:after="0"/>
              <w:jc w:val="center"/>
              <w:rPr>
                <w:rFonts w:ascii="Arial Narrow" w:hAnsi="Arial Narrow"/>
                <w:sz w:val="20"/>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Pr="0099114C">
              <w:rPr>
                <w:rFonts w:ascii="Arial Narrow" w:hAnsi="Arial Narrow"/>
                <w:sz w:val="20"/>
              </w:rPr>
              <w:t>%</w:t>
            </w:r>
          </w:p>
        </w:tc>
      </w:tr>
      <w:tr w:rsidR="000A4F38" w:rsidRPr="0099114C" w14:paraId="5D01DF3D" w14:textId="77777777" w:rsidTr="003D26D2">
        <w:trPr>
          <w:trHeight w:val="227"/>
        </w:trPr>
        <w:tc>
          <w:tcPr>
            <w:tcW w:w="1806" w:type="pct"/>
            <w:vAlign w:val="center"/>
            <w:hideMark/>
          </w:tcPr>
          <w:p w14:paraId="4FE7801B" w14:textId="77777777" w:rsidR="00AD5695" w:rsidRPr="0099114C" w:rsidRDefault="00AD5695" w:rsidP="00E4798D">
            <w:pPr>
              <w:pStyle w:val="Tabletextleft"/>
              <w:spacing w:before="0" w:after="0"/>
              <w:rPr>
                <w:rFonts w:ascii="Arial Narrow" w:hAnsi="Arial Narrow"/>
                <w:sz w:val="20"/>
              </w:rPr>
            </w:pPr>
            <w:r w:rsidRPr="0099114C">
              <w:rPr>
                <w:rFonts w:ascii="Arial Narrow" w:hAnsi="Arial Narrow"/>
                <w:sz w:val="20"/>
              </w:rPr>
              <w:t>Wane after 1 year</w:t>
            </w:r>
          </w:p>
        </w:tc>
        <w:tc>
          <w:tcPr>
            <w:tcW w:w="798" w:type="pct"/>
            <w:vAlign w:val="center"/>
            <w:hideMark/>
          </w:tcPr>
          <w:p w14:paraId="7F2A7771" w14:textId="36E0F1B8"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sz w:val="20"/>
              </w:rPr>
              <w:t>$</w:t>
            </w:r>
            <w:r w:rsidR="005F1F42" w:rsidRPr="005F1F42">
              <w:rPr>
                <w:rFonts w:ascii="Arial Narrow" w:hAnsi="Arial Narrow"/>
                <w:color w:val="000000"/>
                <w:sz w:val="20"/>
                <w:shd w:val="solid" w:color="000000" w:fill="000000"/>
                <w14:textFill>
                  <w14:solidFill>
                    <w14:srgbClr w14:val="000000">
                      <w14:alpha w14:val="100000"/>
                    </w14:srgbClr>
                  </w14:solidFill>
                </w14:textFill>
              </w:rPr>
              <w:t>|</w:t>
            </w:r>
          </w:p>
        </w:tc>
        <w:tc>
          <w:tcPr>
            <w:tcW w:w="799" w:type="pct"/>
            <w:vAlign w:val="center"/>
            <w:hideMark/>
          </w:tcPr>
          <w:p w14:paraId="1B35144D" w14:textId="77777777"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sz w:val="20"/>
              </w:rPr>
              <w:t>0.39</w:t>
            </w:r>
          </w:p>
        </w:tc>
        <w:tc>
          <w:tcPr>
            <w:tcW w:w="799" w:type="pct"/>
            <w:vAlign w:val="center"/>
            <w:hideMark/>
          </w:tcPr>
          <w:p w14:paraId="5E589753" w14:textId="06B361B0" w:rsidR="00AD5695" w:rsidRPr="009E5CCE" w:rsidRDefault="005F1F42" w:rsidP="00E4798D">
            <w:pPr>
              <w:pStyle w:val="Tabletextleft"/>
              <w:spacing w:before="0" w:after="0"/>
              <w:jc w:val="center"/>
              <w:rPr>
                <w:rFonts w:ascii="Arial Narrow" w:hAnsi="Arial Narrow"/>
                <w:sz w:val="20"/>
                <w:highlight w:val="lightGray"/>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006A169C" w:rsidRPr="009E5CCE">
              <w:rPr>
                <w:rFonts w:ascii="Arial Narrow" w:hAnsi="Arial Narrow"/>
                <w:sz w:val="20"/>
                <w:vertAlign w:val="superscript"/>
              </w:rPr>
              <w:t>6</w:t>
            </w:r>
          </w:p>
        </w:tc>
        <w:tc>
          <w:tcPr>
            <w:tcW w:w="799" w:type="pct"/>
            <w:vAlign w:val="center"/>
            <w:hideMark/>
          </w:tcPr>
          <w:p w14:paraId="07B244B1" w14:textId="3F3DEAE3"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sz w:val="20"/>
              </w:rPr>
              <w:t>-</w:t>
            </w:r>
            <w:r w:rsidR="003D26D2" w:rsidRPr="005F1F42">
              <w:rPr>
                <w:rFonts w:ascii="Arial Narrow" w:hAnsi="Arial Narrow"/>
                <w:color w:val="000000"/>
                <w:sz w:val="20"/>
                <w:shd w:val="solid" w:color="000000" w:fill="000000"/>
                <w14:textFill>
                  <w14:solidFill>
                    <w14:srgbClr w14:val="000000">
                      <w14:alpha w14:val="100000"/>
                    </w14:srgbClr>
                  </w14:solidFill>
                </w14:textFill>
              </w:rPr>
              <w:t>|</w:t>
            </w:r>
            <w:r w:rsidR="003D26D2" w:rsidRPr="0099114C">
              <w:rPr>
                <w:rFonts w:ascii="Arial Narrow" w:hAnsi="Arial Narrow"/>
                <w:sz w:val="20"/>
              </w:rPr>
              <w:t>%</w:t>
            </w:r>
          </w:p>
        </w:tc>
      </w:tr>
      <w:tr w:rsidR="00AD5695" w:rsidRPr="0099114C" w14:paraId="0200EA56" w14:textId="77777777" w:rsidTr="003D26D2">
        <w:trPr>
          <w:trHeight w:val="227"/>
        </w:trPr>
        <w:tc>
          <w:tcPr>
            <w:tcW w:w="5000" w:type="pct"/>
            <w:gridSpan w:val="5"/>
            <w:vAlign w:val="center"/>
          </w:tcPr>
          <w:p w14:paraId="2BDE160E" w14:textId="77777777" w:rsidR="00AD5695" w:rsidRPr="0099114C" w:rsidRDefault="00AD5695" w:rsidP="00E4798D">
            <w:pPr>
              <w:pStyle w:val="Tabletextleft"/>
              <w:spacing w:before="0" w:after="0"/>
              <w:jc w:val="left"/>
              <w:rPr>
                <w:rFonts w:ascii="Arial Narrow" w:hAnsi="Arial Narrow"/>
                <w:b/>
                <w:sz w:val="20"/>
              </w:rPr>
            </w:pPr>
            <w:r w:rsidRPr="0099114C">
              <w:rPr>
                <w:rFonts w:ascii="Arial Narrow" w:hAnsi="Arial Narrow"/>
                <w:b/>
                <w:sz w:val="20"/>
              </w:rPr>
              <w:t>Relapse rate adjustment after 2 years in remission (base case 0.2)</w:t>
            </w:r>
          </w:p>
        </w:tc>
      </w:tr>
      <w:tr w:rsidR="000A4F38" w:rsidRPr="0099114C" w14:paraId="4E2E400C" w14:textId="77777777" w:rsidTr="003D26D2">
        <w:trPr>
          <w:trHeight w:val="227"/>
        </w:trPr>
        <w:tc>
          <w:tcPr>
            <w:tcW w:w="1806" w:type="pct"/>
            <w:vAlign w:val="center"/>
          </w:tcPr>
          <w:p w14:paraId="782A9126" w14:textId="6F495A56" w:rsidR="00AD5695" w:rsidRPr="0099114C" w:rsidRDefault="00AD5695" w:rsidP="00E4798D">
            <w:pPr>
              <w:pStyle w:val="Tabletextleft"/>
              <w:spacing w:before="0" w:after="0"/>
              <w:rPr>
                <w:rFonts w:ascii="Arial Narrow" w:hAnsi="Arial Narrow"/>
                <w:sz w:val="20"/>
              </w:rPr>
            </w:pPr>
            <w:r w:rsidRPr="0099114C">
              <w:rPr>
                <w:rFonts w:ascii="Arial Narrow" w:hAnsi="Arial Narrow"/>
                <w:sz w:val="20"/>
              </w:rPr>
              <w:t>0.1</w:t>
            </w:r>
            <w:r w:rsidR="0086769C" w:rsidRPr="0099114C">
              <w:rPr>
                <w:rFonts w:ascii="Arial Narrow" w:hAnsi="Arial Narrow"/>
                <w:sz w:val="20"/>
              </w:rPr>
              <w:t xml:space="preserve"> </w:t>
            </w:r>
            <w:r w:rsidR="0086769C" w:rsidRPr="0099114C">
              <w:rPr>
                <w:rFonts w:ascii="Arial Narrow" w:hAnsi="Arial Narrow"/>
                <w:sz w:val="20"/>
                <w:vertAlign w:val="superscript"/>
              </w:rPr>
              <w:t>a</w:t>
            </w:r>
          </w:p>
        </w:tc>
        <w:tc>
          <w:tcPr>
            <w:tcW w:w="798" w:type="pct"/>
            <w:vAlign w:val="center"/>
          </w:tcPr>
          <w:p w14:paraId="140F4995" w14:textId="70FE0228"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cs="Calibri"/>
                <w:color w:val="000000"/>
                <w:sz w:val="20"/>
              </w:rPr>
              <w:t>$</w:t>
            </w:r>
            <w:r w:rsidR="005F1F42" w:rsidRPr="005F1F42">
              <w:rPr>
                <w:rFonts w:ascii="Arial Narrow" w:hAnsi="Arial Narrow" w:cs="Calibri"/>
                <w:color w:val="000000"/>
                <w:sz w:val="20"/>
                <w:shd w:val="solid" w:color="000000" w:fill="000000"/>
                <w14:textFill>
                  <w14:solidFill>
                    <w14:srgbClr w14:val="000000">
                      <w14:alpha w14:val="100000"/>
                    </w14:srgbClr>
                  </w14:solidFill>
                </w14:textFill>
              </w:rPr>
              <w:t>|</w:t>
            </w:r>
          </w:p>
        </w:tc>
        <w:tc>
          <w:tcPr>
            <w:tcW w:w="799" w:type="pct"/>
            <w:vAlign w:val="center"/>
          </w:tcPr>
          <w:p w14:paraId="29869D64" w14:textId="77777777"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cs="Calibri"/>
                <w:color w:val="000000"/>
                <w:sz w:val="20"/>
              </w:rPr>
              <w:t>0.34</w:t>
            </w:r>
          </w:p>
        </w:tc>
        <w:tc>
          <w:tcPr>
            <w:tcW w:w="799" w:type="pct"/>
            <w:vAlign w:val="center"/>
          </w:tcPr>
          <w:p w14:paraId="2C50CB03" w14:textId="6DD0DDEF" w:rsidR="00AD5695" w:rsidRPr="009E5CCE" w:rsidRDefault="005F1F42" w:rsidP="00E4798D">
            <w:pPr>
              <w:pStyle w:val="Tabletextleft"/>
              <w:spacing w:before="0" w:after="0"/>
              <w:jc w:val="center"/>
              <w:rPr>
                <w:rFonts w:ascii="Arial Narrow" w:hAnsi="Arial Narrow"/>
                <w:sz w:val="20"/>
                <w:highlight w:val="lightGray"/>
              </w:rPr>
            </w:pPr>
            <w:r w:rsidRPr="005F1F42">
              <w:rPr>
                <w:rFonts w:ascii="Arial Narrow" w:hAnsi="Arial Narrow" w:cs="Calibri"/>
                <w:color w:val="000000"/>
                <w:sz w:val="20"/>
                <w:shd w:val="solid" w:color="000000" w:fill="000000"/>
                <w14:textFill>
                  <w14:solidFill>
                    <w14:srgbClr w14:val="000000">
                      <w14:alpha w14:val="100000"/>
                    </w14:srgbClr>
                  </w14:solidFill>
                </w14:textFill>
              </w:rPr>
              <w:t>|</w:t>
            </w:r>
            <w:r w:rsidR="00A94571" w:rsidRPr="001A420F">
              <w:rPr>
                <w:rFonts w:ascii="Arial Narrow" w:hAnsi="Arial Narrow"/>
                <w:sz w:val="20"/>
                <w:vertAlign w:val="superscript"/>
              </w:rPr>
              <w:t>1</w:t>
            </w:r>
          </w:p>
        </w:tc>
        <w:tc>
          <w:tcPr>
            <w:tcW w:w="799" w:type="pct"/>
            <w:vAlign w:val="center"/>
          </w:tcPr>
          <w:p w14:paraId="32890915" w14:textId="621331C9"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cs="Calibri"/>
                <w:color w:val="000000"/>
                <w:sz w:val="20"/>
              </w:rPr>
              <w:t>-</w:t>
            </w:r>
            <w:r w:rsidR="003D26D2" w:rsidRPr="005F1F42">
              <w:rPr>
                <w:rFonts w:ascii="Arial Narrow" w:hAnsi="Arial Narrow"/>
                <w:color w:val="000000"/>
                <w:sz w:val="20"/>
                <w:shd w:val="solid" w:color="000000" w:fill="000000"/>
                <w14:textFill>
                  <w14:solidFill>
                    <w14:srgbClr w14:val="000000">
                      <w14:alpha w14:val="100000"/>
                    </w14:srgbClr>
                  </w14:solidFill>
                </w14:textFill>
              </w:rPr>
              <w:t>|</w:t>
            </w:r>
            <w:r w:rsidR="003D26D2" w:rsidRPr="0099114C">
              <w:rPr>
                <w:rFonts w:ascii="Arial Narrow" w:hAnsi="Arial Narrow"/>
                <w:sz w:val="20"/>
              </w:rPr>
              <w:t>%</w:t>
            </w:r>
          </w:p>
        </w:tc>
      </w:tr>
      <w:tr w:rsidR="000A4F38" w:rsidRPr="0099114C" w14:paraId="3A88EEDA" w14:textId="77777777" w:rsidTr="003D26D2">
        <w:trPr>
          <w:trHeight w:val="227"/>
        </w:trPr>
        <w:tc>
          <w:tcPr>
            <w:tcW w:w="1806" w:type="pct"/>
            <w:vAlign w:val="center"/>
          </w:tcPr>
          <w:p w14:paraId="5F5BE8E5" w14:textId="6F782E3F" w:rsidR="00AD5695" w:rsidRPr="0099114C" w:rsidRDefault="00AD5695" w:rsidP="00E4798D">
            <w:pPr>
              <w:pStyle w:val="Tabletextleft"/>
              <w:spacing w:before="0" w:after="0"/>
              <w:rPr>
                <w:rFonts w:ascii="Arial Narrow" w:hAnsi="Arial Narrow"/>
                <w:sz w:val="20"/>
              </w:rPr>
            </w:pPr>
            <w:r w:rsidRPr="0099114C">
              <w:rPr>
                <w:rFonts w:ascii="Arial Narrow" w:hAnsi="Arial Narrow"/>
                <w:sz w:val="20"/>
              </w:rPr>
              <w:t>0.3</w:t>
            </w:r>
            <w:r w:rsidR="0086769C" w:rsidRPr="0099114C">
              <w:rPr>
                <w:rFonts w:ascii="Arial Narrow" w:hAnsi="Arial Narrow"/>
                <w:sz w:val="20"/>
              </w:rPr>
              <w:t xml:space="preserve"> </w:t>
            </w:r>
            <w:r w:rsidR="0086769C" w:rsidRPr="0099114C">
              <w:rPr>
                <w:rFonts w:ascii="Arial Narrow" w:hAnsi="Arial Narrow"/>
                <w:sz w:val="20"/>
                <w:vertAlign w:val="superscript"/>
              </w:rPr>
              <w:t>a</w:t>
            </w:r>
          </w:p>
        </w:tc>
        <w:tc>
          <w:tcPr>
            <w:tcW w:w="798" w:type="pct"/>
            <w:vAlign w:val="center"/>
          </w:tcPr>
          <w:p w14:paraId="64027F8B" w14:textId="6A2AB35E" w:rsidR="00AD5695" w:rsidRPr="0099114C" w:rsidRDefault="00AD5695" w:rsidP="00E4798D">
            <w:pPr>
              <w:pStyle w:val="Tabletextleft"/>
              <w:spacing w:before="0" w:after="0"/>
              <w:jc w:val="center"/>
              <w:rPr>
                <w:rFonts w:ascii="Arial Narrow" w:hAnsi="Arial Narrow" w:cs="Calibri"/>
                <w:color w:val="000000"/>
                <w:sz w:val="20"/>
              </w:rPr>
            </w:pPr>
            <w:r w:rsidRPr="0099114C">
              <w:rPr>
                <w:rFonts w:ascii="Arial Narrow" w:hAnsi="Arial Narrow" w:cs="Calibri"/>
                <w:color w:val="000000"/>
                <w:sz w:val="20"/>
              </w:rPr>
              <w:t>$</w:t>
            </w:r>
            <w:r w:rsidR="005F1F42" w:rsidRPr="005F1F42">
              <w:rPr>
                <w:rFonts w:ascii="Arial Narrow" w:hAnsi="Arial Narrow" w:cs="Calibri"/>
                <w:color w:val="000000"/>
                <w:sz w:val="20"/>
                <w:shd w:val="solid" w:color="000000" w:fill="000000"/>
                <w14:textFill>
                  <w14:solidFill>
                    <w14:srgbClr w14:val="000000">
                      <w14:alpha w14:val="100000"/>
                    </w14:srgbClr>
                  </w14:solidFill>
                </w14:textFill>
              </w:rPr>
              <w:t>|</w:t>
            </w:r>
          </w:p>
        </w:tc>
        <w:tc>
          <w:tcPr>
            <w:tcW w:w="799" w:type="pct"/>
            <w:vAlign w:val="center"/>
          </w:tcPr>
          <w:p w14:paraId="4EE3D5FB" w14:textId="77777777" w:rsidR="00AD5695" w:rsidRPr="0099114C" w:rsidRDefault="00AD5695" w:rsidP="00E4798D">
            <w:pPr>
              <w:pStyle w:val="Tabletextleft"/>
              <w:spacing w:before="0" w:after="0"/>
              <w:jc w:val="center"/>
              <w:rPr>
                <w:rFonts w:ascii="Arial Narrow" w:hAnsi="Arial Narrow" w:cs="Calibri"/>
                <w:color w:val="000000"/>
                <w:sz w:val="20"/>
              </w:rPr>
            </w:pPr>
            <w:r w:rsidRPr="0099114C">
              <w:rPr>
                <w:rFonts w:ascii="Arial Narrow" w:hAnsi="Arial Narrow" w:cs="Calibri"/>
                <w:color w:val="000000"/>
                <w:sz w:val="20"/>
              </w:rPr>
              <w:t>0.32</w:t>
            </w:r>
          </w:p>
        </w:tc>
        <w:tc>
          <w:tcPr>
            <w:tcW w:w="799" w:type="pct"/>
            <w:vAlign w:val="center"/>
          </w:tcPr>
          <w:p w14:paraId="1594D9E6" w14:textId="00C6CF84" w:rsidR="00AD5695" w:rsidRPr="009E5CCE" w:rsidRDefault="005F1F42" w:rsidP="00E4798D">
            <w:pPr>
              <w:pStyle w:val="Tabletextleft"/>
              <w:spacing w:before="0" w:after="0"/>
              <w:jc w:val="center"/>
              <w:rPr>
                <w:rFonts w:ascii="Arial Narrow" w:hAnsi="Arial Narrow" w:cs="Calibri"/>
                <w:color w:val="000000"/>
                <w:sz w:val="20"/>
                <w:highlight w:val="lightGray"/>
              </w:rPr>
            </w:pPr>
            <w:r w:rsidRPr="005F1F42">
              <w:rPr>
                <w:rFonts w:ascii="Arial Narrow" w:hAnsi="Arial Narrow" w:cs="Calibri"/>
                <w:color w:val="000000"/>
                <w:sz w:val="20"/>
                <w:shd w:val="solid" w:color="000000" w:fill="000000"/>
                <w14:textFill>
                  <w14:solidFill>
                    <w14:srgbClr w14:val="000000">
                      <w14:alpha w14:val="100000"/>
                    </w14:srgbClr>
                  </w14:solidFill>
                </w14:textFill>
              </w:rPr>
              <w:t>|</w:t>
            </w:r>
            <w:r w:rsidR="00A94571" w:rsidRPr="001A420F">
              <w:rPr>
                <w:rFonts w:ascii="Arial Narrow" w:hAnsi="Arial Narrow" w:cs="Calibri"/>
                <w:color w:val="000000"/>
                <w:sz w:val="20"/>
                <w:vertAlign w:val="superscript"/>
              </w:rPr>
              <w:t>3</w:t>
            </w:r>
          </w:p>
        </w:tc>
        <w:tc>
          <w:tcPr>
            <w:tcW w:w="799" w:type="pct"/>
            <w:vAlign w:val="center"/>
          </w:tcPr>
          <w:p w14:paraId="0A780C9F" w14:textId="16625464" w:rsidR="00AD5695" w:rsidRPr="0099114C" w:rsidRDefault="003D26D2" w:rsidP="00E4798D">
            <w:pPr>
              <w:pStyle w:val="Tabletextleft"/>
              <w:spacing w:before="0" w:after="0"/>
              <w:jc w:val="center"/>
              <w:rPr>
                <w:rFonts w:ascii="Arial Narrow" w:hAnsi="Arial Narrow" w:cs="Calibri"/>
                <w:color w:val="000000"/>
                <w:sz w:val="20"/>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Pr="0099114C">
              <w:rPr>
                <w:rFonts w:ascii="Arial Narrow" w:hAnsi="Arial Narrow"/>
                <w:sz w:val="20"/>
              </w:rPr>
              <w:t>%</w:t>
            </w:r>
          </w:p>
        </w:tc>
      </w:tr>
      <w:tr w:rsidR="00AD5695" w:rsidRPr="0099114C" w14:paraId="5B381DD2" w14:textId="77777777" w:rsidTr="003D26D2">
        <w:trPr>
          <w:trHeight w:val="227"/>
        </w:trPr>
        <w:tc>
          <w:tcPr>
            <w:tcW w:w="5000" w:type="pct"/>
            <w:gridSpan w:val="5"/>
            <w:vAlign w:val="center"/>
          </w:tcPr>
          <w:p w14:paraId="323FF8CA" w14:textId="77777777" w:rsidR="00AD5695" w:rsidRPr="0099114C" w:rsidRDefault="00AD5695" w:rsidP="00E4798D">
            <w:pPr>
              <w:pStyle w:val="Tabletextleft"/>
              <w:spacing w:before="0" w:after="0"/>
              <w:jc w:val="left"/>
              <w:rPr>
                <w:rFonts w:ascii="Arial Narrow" w:hAnsi="Arial Narrow"/>
                <w:b/>
                <w:sz w:val="20"/>
              </w:rPr>
            </w:pPr>
            <w:r w:rsidRPr="0099114C">
              <w:rPr>
                <w:rFonts w:ascii="Arial Narrow" w:hAnsi="Arial Narrow"/>
                <w:b/>
                <w:sz w:val="20"/>
              </w:rPr>
              <w:t>Proportion of infections avoided through avacopan (base case 73.1%)</w:t>
            </w:r>
          </w:p>
        </w:tc>
      </w:tr>
      <w:tr w:rsidR="000A4F38" w:rsidRPr="0099114C" w14:paraId="61514873" w14:textId="77777777" w:rsidTr="003D26D2">
        <w:trPr>
          <w:trHeight w:val="227"/>
        </w:trPr>
        <w:tc>
          <w:tcPr>
            <w:tcW w:w="1806" w:type="pct"/>
            <w:vAlign w:val="center"/>
          </w:tcPr>
          <w:p w14:paraId="12DCE339" w14:textId="4A12BFA6" w:rsidR="00AD5695" w:rsidRPr="0099114C" w:rsidRDefault="00AD5695" w:rsidP="00E4798D">
            <w:pPr>
              <w:pStyle w:val="Tabletextleft"/>
              <w:spacing w:before="0" w:after="0"/>
              <w:rPr>
                <w:rFonts w:ascii="Arial Narrow" w:hAnsi="Arial Narrow"/>
                <w:sz w:val="20"/>
              </w:rPr>
            </w:pPr>
            <w:r w:rsidRPr="0099114C">
              <w:rPr>
                <w:rFonts w:ascii="Arial Narrow" w:hAnsi="Arial Narrow"/>
                <w:sz w:val="20"/>
              </w:rPr>
              <w:t>0%</w:t>
            </w:r>
            <w:r w:rsidR="0086769C" w:rsidRPr="0099114C">
              <w:rPr>
                <w:rFonts w:ascii="Arial Narrow" w:hAnsi="Arial Narrow"/>
                <w:sz w:val="20"/>
              </w:rPr>
              <w:t xml:space="preserve"> </w:t>
            </w:r>
            <w:r w:rsidR="0086769C" w:rsidRPr="0099114C">
              <w:rPr>
                <w:rFonts w:ascii="Arial Narrow" w:hAnsi="Arial Narrow"/>
                <w:sz w:val="20"/>
                <w:vertAlign w:val="superscript"/>
              </w:rPr>
              <w:t>a</w:t>
            </w:r>
          </w:p>
        </w:tc>
        <w:tc>
          <w:tcPr>
            <w:tcW w:w="798" w:type="pct"/>
            <w:vAlign w:val="center"/>
          </w:tcPr>
          <w:p w14:paraId="3F05C4B1" w14:textId="0DD50768"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cs="Calibri"/>
                <w:color w:val="000000"/>
                <w:sz w:val="20"/>
              </w:rPr>
              <w:t>$</w:t>
            </w:r>
            <w:r w:rsidR="005F1F42" w:rsidRPr="005F1F42">
              <w:rPr>
                <w:rFonts w:ascii="Arial Narrow" w:hAnsi="Arial Narrow" w:cs="Calibri"/>
                <w:color w:val="000000"/>
                <w:sz w:val="20"/>
                <w:shd w:val="solid" w:color="000000" w:fill="000000"/>
                <w14:textFill>
                  <w14:solidFill>
                    <w14:srgbClr w14:val="000000">
                      <w14:alpha w14:val="100000"/>
                    </w14:srgbClr>
                  </w14:solidFill>
                </w14:textFill>
              </w:rPr>
              <w:t>|</w:t>
            </w:r>
          </w:p>
        </w:tc>
        <w:tc>
          <w:tcPr>
            <w:tcW w:w="799" w:type="pct"/>
            <w:vAlign w:val="center"/>
          </w:tcPr>
          <w:p w14:paraId="5B57A2F9" w14:textId="77777777"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cs="Calibri"/>
                <w:color w:val="000000"/>
                <w:sz w:val="20"/>
              </w:rPr>
              <w:t>0.26</w:t>
            </w:r>
          </w:p>
        </w:tc>
        <w:tc>
          <w:tcPr>
            <w:tcW w:w="799" w:type="pct"/>
            <w:vAlign w:val="center"/>
          </w:tcPr>
          <w:p w14:paraId="4C142125" w14:textId="0CB4D374" w:rsidR="00AD5695" w:rsidRPr="009E5CCE" w:rsidRDefault="005F1F42" w:rsidP="00E4798D">
            <w:pPr>
              <w:pStyle w:val="Tabletextleft"/>
              <w:spacing w:before="0" w:after="0"/>
              <w:jc w:val="center"/>
              <w:rPr>
                <w:rFonts w:ascii="Arial Narrow" w:hAnsi="Arial Narrow"/>
                <w:sz w:val="20"/>
                <w:highlight w:val="lightGray"/>
              </w:rPr>
            </w:pPr>
            <w:r w:rsidRPr="005F1F42">
              <w:rPr>
                <w:rFonts w:ascii="Arial Narrow" w:hAnsi="Arial Narrow" w:cs="Calibri"/>
                <w:color w:val="000000"/>
                <w:sz w:val="20"/>
                <w:shd w:val="solid" w:color="000000" w:fill="000000"/>
                <w14:textFill>
                  <w14:solidFill>
                    <w14:srgbClr w14:val="000000">
                      <w14:alpha w14:val="100000"/>
                    </w14:srgbClr>
                  </w14:solidFill>
                </w14:textFill>
              </w:rPr>
              <w:t>|</w:t>
            </w:r>
            <w:r w:rsidR="00A94571" w:rsidRPr="001A420F">
              <w:rPr>
                <w:rFonts w:ascii="Arial Narrow" w:hAnsi="Arial Narrow" w:cs="Calibri"/>
                <w:color w:val="000000"/>
                <w:sz w:val="20"/>
                <w:vertAlign w:val="superscript"/>
              </w:rPr>
              <w:t>2</w:t>
            </w:r>
          </w:p>
        </w:tc>
        <w:tc>
          <w:tcPr>
            <w:tcW w:w="799" w:type="pct"/>
            <w:vAlign w:val="center"/>
          </w:tcPr>
          <w:p w14:paraId="3B48577E" w14:textId="667502A1" w:rsidR="00AD5695" w:rsidRPr="0099114C" w:rsidRDefault="003D26D2" w:rsidP="00E4798D">
            <w:pPr>
              <w:pStyle w:val="Tabletextleft"/>
              <w:spacing w:before="0" w:after="0"/>
              <w:jc w:val="center"/>
              <w:rPr>
                <w:rFonts w:ascii="Arial Narrow" w:hAnsi="Arial Narrow"/>
                <w:sz w:val="20"/>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Pr="0099114C">
              <w:rPr>
                <w:rFonts w:ascii="Arial Narrow" w:hAnsi="Arial Narrow"/>
                <w:sz w:val="20"/>
              </w:rPr>
              <w:t>%</w:t>
            </w:r>
          </w:p>
        </w:tc>
      </w:tr>
      <w:tr w:rsidR="000A4F38" w:rsidRPr="0099114C" w14:paraId="00633064" w14:textId="77777777" w:rsidTr="003D26D2">
        <w:trPr>
          <w:trHeight w:val="227"/>
        </w:trPr>
        <w:tc>
          <w:tcPr>
            <w:tcW w:w="1806" w:type="pct"/>
            <w:vAlign w:val="center"/>
          </w:tcPr>
          <w:p w14:paraId="06554F27" w14:textId="7786DB78" w:rsidR="00AD5695" w:rsidRPr="0099114C" w:rsidRDefault="00AD5695" w:rsidP="00E4798D">
            <w:pPr>
              <w:pStyle w:val="Tabletextleft"/>
              <w:spacing w:before="0" w:after="0"/>
              <w:rPr>
                <w:rFonts w:ascii="Arial Narrow" w:hAnsi="Arial Narrow"/>
                <w:sz w:val="20"/>
              </w:rPr>
            </w:pPr>
            <w:r w:rsidRPr="0099114C">
              <w:rPr>
                <w:rFonts w:ascii="Arial Narrow" w:hAnsi="Arial Narrow"/>
                <w:sz w:val="20"/>
              </w:rPr>
              <w:t>+10%</w:t>
            </w:r>
            <w:r w:rsidR="0086769C" w:rsidRPr="0099114C">
              <w:rPr>
                <w:rFonts w:ascii="Arial Narrow" w:hAnsi="Arial Narrow"/>
                <w:sz w:val="20"/>
              </w:rPr>
              <w:t xml:space="preserve"> </w:t>
            </w:r>
            <w:r w:rsidR="0086769C" w:rsidRPr="0099114C">
              <w:rPr>
                <w:rFonts w:ascii="Arial Narrow" w:hAnsi="Arial Narrow"/>
                <w:sz w:val="20"/>
                <w:vertAlign w:val="superscript"/>
              </w:rPr>
              <w:t>a</w:t>
            </w:r>
          </w:p>
        </w:tc>
        <w:tc>
          <w:tcPr>
            <w:tcW w:w="798" w:type="pct"/>
            <w:vAlign w:val="center"/>
          </w:tcPr>
          <w:p w14:paraId="11CA49D0" w14:textId="0E01E145" w:rsidR="00AD5695" w:rsidRPr="0099114C" w:rsidRDefault="00AD5695" w:rsidP="00E4798D">
            <w:pPr>
              <w:pStyle w:val="Tabletextleft"/>
              <w:spacing w:before="0" w:after="0"/>
              <w:jc w:val="center"/>
              <w:rPr>
                <w:rFonts w:ascii="Arial Narrow" w:hAnsi="Arial Narrow" w:cs="Calibri"/>
                <w:color w:val="000000"/>
                <w:sz w:val="20"/>
              </w:rPr>
            </w:pPr>
            <w:r w:rsidRPr="0099114C">
              <w:rPr>
                <w:rFonts w:ascii="Arial Narrow" w:hAnsi="Arial Narrow" w:cs="Calibri"/>
                <w:color w:val="000000"/>
                <w:sz w:val="20"/>
              </w:rPr>
              <w:t>$</w:t>
            </w:r>
            <w:r w:rsidR="005F1F42" w:rsidRPr="005F1F42">
              <w:rPr>
                <w:rFonts w:ascii="Arial Narrow" w:hAnsi="Arial Narrow" w:cs="Calibri"/>
                <w:color w:val="000000"/>
                <w:sz w:val="20"/>
                <w:shd w:val="solid" w:color="000000" w:fill="000000"/>
                <w14:textFill>
                  <w14:solidFill>
                    <w14:srgbClr w14:val="000000">
                      <w14:alpha w14:val="100000"/>
                    </w14:srgbClr>
                  </w14:solidFill>
                </w14:textFill>
              </w:rPr>
              <w:t>|</w:t>
            </w:r>
            <w:r w:rsidRPr="0099114C">
              <w:rPr>
                <w:rFonts w:ascii="Arial Narrow" w:hAnsi="Arial Narrow" w:cs="Calibri"/>
                <w:color w:val="000000"/>
                <w:sz w:val="20"/>
              </w:rPr>
              <w:t xml:space="preserve"> </w:t>
            </w:r>
          </w:p>
        </w:tc>
        <w:tc>
          <w:tcPr>
            <w:tcW w:w="799" w:type="pct"/>
            <w:vAlign w:val="center"/>
          </w:tcPr>
          <w:p w14:paraId="187E5E59" w14:textId="77777777" w:rsidR="00AD5695" w:rsidRPr="0099114C" w:rsidRDefault="00AD5695" w:rsidP="00E4798D">
            <w:pPr>
              <w:pStyle w:val="Tabletextleft"/>
              <w:spacing w:before="0" w:after="0"/>
              <w:jc w:val="center"/>
              <w:rPr>
                <w:rFonts w:ascii="Arial Narrow" w:hAnsi="Arial Narrow" w:cs="Calibri"/>
                <w:color w:val="000000"/>
                <w:sz w:val="20"/>
              </w:rPr>
            </w:pPr>
            <w:r w:rsidRPr="0099114C">
              <w:rPr>
                <w:rFonts w:ascii="Arial Narrow" w:hAnsi="Arial Narrow" w:cs="Calibri"/>
                <w:color w:val="000000"/>
                <w:sz w:val="20"/>
              </w:rPr>
              <w:t xml:space="preserve">0.34 </w:t>
            </w:r>
          </w:p>
        </w:tc>
        <w:tc>
          <w:tcPr>
            <w:tcW w:w="799" w:type="pct"/>
            <w:vAlign w:val="center"/>
          </w:tcPr>
          <w:p w14:paraId="42F62F22" w14:textId="53FAE71F" w:rsidR="00AD5695" w:rsidRPr="009E5CCE" w:rsidRDefault="005F1F42" w:rsidP="00E4798D">
            <w:pPr>
              <w:pStyle w:val="Tabletextleft"/>
              <w:spacing w:before="0" w:after="0"/>
              <w:jc w:val="center"/>
              <w:rPr>
                <w:rFonts w:ascii="Arial Narrow" w:hAnsi="Arial Narrow" w:cs="Calibri"/>
                <w:color w:val="000000"/>
                <w:sz w:val="20"/>
                <w:highlight w:val="lightGray"/>
              </w:rPr>
            </w:pPr>
            <w:r w:rsidRPr="005F1F42">
              <w:rPr>
                <w:rFonts w:ascii="Arial Narrow" w:hAnsi="Arial Narrow" w:cs="Calibri"/>
                <w:color w:val="000000"/>
                <w:sz w:val="20"/>
                <w:shd w:val="solid" w:color="000000" w:fill="000000"/>
                <w14:textFill>
                  <w14:solidFill>
                    <w14:srgbClr w14:val="000000">
                      <w14:alpha w14:val="100000"/>
                    </w14:srgbClr>
                  </w14:solidFill>
                </w14:textFill>
              </w:rPr>
              <w:t>|</w:t>
            </w:r>
            <w:r w:rsidRPr="005F1F42">
              <w:rPr>
                <w:rFonts w:ascii="Arial Narrow" w:hAnsi="Arial Narrow" w:cs="Calibri"/>
                <w:color w:val="000000"/>
                <w:sz w:val="20"/>
              </w:rPr>
              <w:t xml:space="preserve"> </w:t>
            </w:r>
            <w:r w:rsidR="00A94571" w:rsidRPr="001A420F">
              <w:rPr>
                <w:rFonts w:ascii="Arial Narrow" w:hAnsi="Arial Narrow"/>
                <w:sz w:val="20"/>
                <w:vertAlign w:val="superscript"/>
              </w:rPr>
              <w:t>1</w:t>
            </w:r>
          </w:p>
        </w:tc>
        <w:tc>
          <w:tcPr>
            <w:tcW w:w="799" w:type="pct"/>
            <w:vAlign w:val="center"/>
          </w:tcPr>
          <w:p w14:paraId="797B0B08" w14:textId="7C9CB8C2" w:rsidR="00AD5695" w:rsidRPr="0099114C" w:rsidRDefault="00AD5695" w:rsidP="00E4798D">
            <w:pPr>
              <w:pStyle w:val="Tabletextleft"/>
              <w:spacing w:before="0" w:after="0"/>
              <w:jc w:val="center"/>
              <w:rPr>
                <w:rFonts w:ascii="Arial Narrow" w:hAnsi="Arial Narrow" w:cs="Calibri"/>
                <w:color w:val="000000"/>
                <w:sz w:val="20"/>
              </w:rPr>
            </w:pPr>
            <w:r w:rsidRPr="0099114C">
              <w:rPr>
                <w:rFonts w:ascii="Arial Narrow" w:hAnsi="Arial Narrow" w:cs="Calibri"/>
                <w:color w:val="000000"/>
                <w:sz w:val="20"/>
              </w:rPr>
              <w:t>-</w:t>
            </w:r>
            <w:r w:rsidR="003D26D2" w:rsidRPr="005F1F42">
              <w:rPr>
                <w:rFonts w:ascii="Arial Narrow" w:hAnsi="Arial Narrow"/>
                <w:color w:val="000000"/>
                <w:sz w:val="20"/>
                <w:shd w:val="solid" w:color="000000" w:fill="000000"/>
                <w14:textFill>
                  <w14:solidFill>
                    <w14:srgbClr w14:val="000000">
                      <w14:alpha w14:val="100000"/>
                    </w14:srgbClr>
                  </w14:solidFill>
                </w14:textFill>
              </w:rPr>
              <w:t>|</w:t>
            </w:r>
            <w:r w:rsidR="003D26D2" w:rsidRPr="0099114C">
              <w:rPr>
                <w:rFonts w:ascii="Arial Narrow" w:hAnsi="Arial Narrow"/>
                <w:sz w:val="20"/>
              </w:rPr>
              <w:t>%</w:t>
            </w:r>
          </w:p>
        </w:tc>
      </w:tr>
      <w:tr w:rsidR="000A4F38" w:rsidRPr="0099114C" w14:paraId="1124905D" w14:textId="77777777" w:rsidTr="003D26D2">
        <w:trPr>
          <w:trHeight w:val="227"/>
        </w:trPr>
        <w:tc>
          <w:tcPr>
            <w:tcW w:w="1806" w:type="pct"/>
            <w:vAlign w:val="center"/>
          </w:tcPr>
          <w:p w14:paraId="784410D1" w14:textId="216713CC" w:rsidR="00AD5695" w:rsidRPr="0099114C" w:rsidRDefault="00AD5695" w:rsidP="00E4798D">
            <w:pPr>
              <w:pStyle w:val="Tabletextleft"/>
              <w:spacing w:before="0" w:after="0"/>
              <w:rPr>
                <w:rFonts w:ascii="Arial Narrow" w:hAnsi="Arial Narrow"/>
                <w:sz w:val="20"/>
              </w:rPr>
            </w:pPr>
            <w:r w:rsidRPr="0099114C">
              <w:rPr>
                <w:rFonts w:ascii="Arial Narrow" w:hAnsi="Arial Narrow"/>
                <w:sz w:val="20"/>
              </w:rPr>
              <w:t>-10%</w:t>
            </w:r>
            <w:r w:rsidR="0086769C" w:rsidRPr="0099114C">
              <w:rPr>
                <w:rFonts w:ascii="Arial Narrow" w:hAnsi="Arial Narrow"/>
                <w:sz w:val="20"/>
              </w:rPr>
              <w:t xml:space="preserve"> </w:t>
            </w:r>
            <w:r w:rsidR="0086769C" w:rsidRPr="0099114C">
              <w:rPr>
                <w:rFonts w:ascii="Arial Narrow" w:hAnsi="Arial Narrow"/>
                <w:sz w:val="20"/>
                <w:vertAlign w:val="superscript"/>
              </w:rPr>
              <w:t>a</w:t>
            </w:r>
          </w:p>
        </w:tc>
        <w:tc>
          <w:tcPr>
            <w:tcW w:w="798" w:type="pct"/>
            <w:vAlign w:val="center"/>
          </w:tcPr>
          <w:p w14:paraId="66460D5F" w14:textId="5BFA17A3" w:rsidR="00AD5695" w:rsidRPr="0099114C" w:rsidRDefault="00AD5695" w:rsidP="00E4798D">
            <w:pPr>
              <w:pStyle w:val="Tabletextleft"/>
              <w:spacing w:before="0" w:after="0"/>
              <w:jc w:val="center"/>
              <w:rPr>
                <w:rFonts w:ascii="Arial Narrow" w:hAnsi="Arial Narrow" w:cs="Calibri"/>
                <w:color w:val="000000"/>
                <w:sz w:val="20"/>
              </w:rPr>
            </w:pPr>
            <w:r w:rsidRPr="0099114C">
              <w:rPr>
                <w:rFonts w:ascii="Arial Narrow" w:hAnsi="Arial Narrow" w:cs="Calibri"/>
                <w:color w:val="000000"/>
                <w:sz w:val="20"/>
              </w:rPr>
              <w:t>$</w:t>
            </w:r>
            <w:r w:rsidR="005F1F42" w:rsidRPr="005F1F42">
              <w:rPr>
                <w:rFonts w:ascii="Arial Narrow" w:hAnsi="Arial Narrow" w:cs="Calibri"/>
                <w:color w:val="000000"/>
                <w:sz w:val="20"/>
                <w:shd w:val="solid" w:color="000000" w:fill="000000"/>
                <w14:textFill>
                  <w14:solidFill>
                    <w14:srgbClr w14:val="000000">
                      <w14:alpha w14:val="100000"/>
                    </w14:srgbClr>
                  </w14:solidFill>
                </w14:textFill>
              </w:rPr>
              <w:t>|</w:t>
            </w:r>
            <w:r w:rsidRPr="0099114C">
              <w:rPr>
                <w:rFonts w:ascii="Arial Narrow" w:hAnsi="Arial Narrow" w:cs="Calibri"/>
                <w:color w:val="000000"/>
                <w:sz w:val="20"/>
              </w:rPr>
              <w:t xml:space="preserve"> </w:t>
            </w:r>
          </w:p>
        </w:tc>
        <w:tc>
          <w:tcPr>
            <w:tcW w:w="799" w:type="pct"/>
            <w:vAlign w:val="center"/>
          </w:tcPr>
          <w:p w14:paraId="287BEFDF" w14:textId="77777777" w:rsidR="00AD5695" w:rsidRPr="0099114C" w:rsidRDefault="00AD5695" w:rsidP="00E4798D">
            <w:pPr>
              <w:pStyle w:val="Tabletextleft"/>
              <w:spacing w:before="0" w:after="0"/>
              <w:jc w:val="center"/>
              <w:rPr>
                <w:rFonts w:ascii="Arial Narrow" w:hAnsi="Arial Narrow" w:cs="Calibri"/>
                <w:color w:val="000000"/>
                <w:sz w:val="20"/>
              </w:rPr>
            </w:pPr>
            <w:r w:rsidRPr="0099114C">
              <w:rPr>
                <w:rFonts w:ascii="Arial Narrow" w:hAnsi="Arial Narrow" w:cs="Calibri"/>
                <w:color w:val="000000"/>
                <w:sz w:val="20"/>
              </w:rPr>
              <w:t xml:space="preserve">0.32 </w:t>
            </w:r>
          </w:p>
        </w:tc>
        <w:tc>
          <w:tcPr>
            <w:tcW w:w="799" w:type="pct"/>
            <w:vAlign w:val="center"/>
          </w:tcPr>
          <w:p w14:paraId="35AE093E" w14:textId="425031B6" w:rsidR="00AD5695" w:rsidRPr="009E5CCE" w:rsidRDefault="005F1F42" w:rsidP="00E4798D">
            <w:pPr>
              <w:pStyle w:val="Tabletextleft"/>
              <w:spacing w:before="0" w:after="0"/>
              <w:jc w:val="center"/>
              <w:rPr>
                <w:rFonts w:ascii="Arial Narrow" w:hAnsi="Arial Narrow" w:cs="Calibri"/>
                <w:color w:val="000000"/>
                <w:sz w:val="20"/>
                <w:highlight w:val="lightGray"/>
              </w:rPr>
            </w:pPr>
            <w:r w:rsidRPr="005F1F42">
              <w:rPr>
                <w:rFonts w:ascii="Arial Narrow" w:hAnsi="Arial Narrow" w:cs="Calibri"/>
                <w:color w:val="000000"/>
                <w:sz w:val="20"/>
                <w:shd w:val="solid" w:color="000000" w:fill="000000"/>
                <w14:textFill>
                  <w14:solidFill>
                    <w14:srgbClr w14:val="000000">
                      <w14:alpha w14:val="100000"/>
                    </w14:srgbClr>
                  </w14:solidFill>
                </w14:textFill>
              </w:rPr>
              <w:t>|</w:t>
            </w:r>
            <w:r w:rsidR="00A94571" w:rsidRPr="001A420F">
              <w:rPr>
                <w:rFonts w:ascii="Arial Narrow" w:hAnsi="Arial Narrow"/>
                <w:sz w:val="20"/>
                <w:vertAlign w:val="superscript"/>
              </w:rPr>
              <w:t>1</w:t>
            </w:r>
            <w:r w:rsidRPr="005F1F42">
              <w:rPr>
                <w:rFonts w:ascii="Arial Narrow" w:hAnsi="Arial Narrow" w:cs="Calibri"/>
                <w:color w:val="000000"/>
                <w:sz w:val="20"/>
              </w:rPr>
              <w:t xml:space="preserve"> </w:t>
            </w:r>
          </w:p>
        </w:tc>
        <w:tc>
          <w:tcPr>
            <w:tcW w:w="799" w:type="pct"/>
            <w:vAlign w:val="center"/>
          </w:tcPr>
          <w:p w14:paraId="70A55115" w14:textId="484A3D2F" w:rsidR="00AD5695" w:rsidRPr="0099114C" w:rsidRDefault="003D26D2" w:rsidP="00E4798D">
            <w:pPr>
              <w:pStyle w:val="Tabletextleft"/>
              <w:spacing w:before="0" w:after="0"/>
              <w:jc w:val="center"/>
              <w:rPr>
                <w:rFonts w:ascii="Arial Narrow" w:hAnsi="Arial Narrow" w:cs="Calibri"/>
                <w:color w:val="000000"/>
                <w:sz w:val="20"/>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Pr="0099114C">
              <w:rPr>
                <w:rFonts w:ascii="Arial Narrow" w:hAnsi="Arial Narrow"/>
                <w:sz w:val="20"/>
              </w:rPr>
              <w:t>%</w:t>
            </w:r>
          </w:p>
        </w:tc>
      </w:tr>
      <w:tr w:rsidR="00AD5695" w:rsidRPr="0099114C" w14:paraId="4AD03076" w14:textId="77777777" w:rsidTr="003D26D2">
        <w:trPr>
          <w:trHeight w:val="227"/>
        </w:trPr>
        <w:tc>
          <w:tcPr>
            <w:tcW w:w="5000" w:type="pct"/>
            <w:gridSpan w:val="5"/>
            <w:vAlign w:val="center"/>
            <w:hideMark/>
          </w:tcPr>
          <w:p w14:paraId="42C2EB78" w14:textId="77777777" w:rsidR="00AD5695" w:rsidRPr="0099114C" w:rsidRDefault="00AD5695" w:rsidP="00E4798D">
            <w:pPr>
              <w:pStyle w:val="Tabletextleft"/>
              <w:spacing w:before="0" w:after="0"/>
              <w:jc w:val="left"/>
              <w:rPr>
                <w:rFonts w:ascii="Arial Narrow" w:hAnsi="Arial Narrow"/>
                <w:sz w:val="20"/>
              </w:rPr>
            </w:pPr>
            <w:r w:rsidRPr="0099114C">
              <w:rPr>
                <w:rFonts w:ascii="Arial Narrow" w:hAnsi="Arial Narrow"/>
                <w:b/>
                <w:sz w:val="20"/>
              </w:rPr>
              <w:t>ESRD parameters  (base case 10 mL/min eGFR drop on relapse, HR improvement (0.955)</w:t>
            </w:r>
          </w:p>
        </w:tc>
      </w:tr>
      <w:tr w:rsidR="000A4F38" w:rsidRPr="0099114C" w14:paraId="5B218EE6" w14:textId="77777777" w:rsidTr="003D26D2">
        <w:trPr>
          <w:trHeight w:val="227"/>
        </w:trPr>
        <w:tc>
          <w:tcPr>
            <w:tcW w:w="1806" w:type="pct"/>
            <w:vAlign w:val="center"/>
          </w:tcPr>
          <w:p w14:paraId="2FDFFEDA" w14:textId="77777777" w:rsidR="00AD5695" w:rsidRPr="0099114C" w:rsidRDefault="00AD5695" w:rsidP="00E4798D">
            <w:pPr>
              <w:pStyle w:val="Tabletextleft"/>
              <w:spacing w:before="0" w:after="0"/>
              <w:rPr>
                <w:rFonts w:ascii="Arial Narrow" w:eastAsia="Calibri" w:hAnsi="Arial Narrow"/>
                <w:sz w:val="20"/>
              </w:rPr>
            </w:pPr>
            <w:r w:rsidRPr="0099114C">
              <w:rPr>
                <w:rFonts w:ascii="Arial Narrow" w:hAnsi="Arial Narrow"/>
                <w:sz w:val="20"/>
              </w:rPr>
              <w:t>5 mL/min eGFR drop on relapse</w:t>
            </w:r>
          </w:p>
        </w:tc>
        <w:tc>
          <w:tcPr>
            <w:tcW w:w="798" w:type="pct"/>
            <w:vAlign w:val="center"/>
          </w:tcPr>
          <w:p w14:paraId="3F40BED2" w14:textId="4EC2D730"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sz w:val="20"/>
              </w:rPr>
              <w:t>$</w:t>
            </w:r>
            <w:r w:rsidR="005F1F42" w:rsidRPr="005F1F42">
              <w:rPr>
                <w:rFonts w:ascii="Arial Narrow" w:hAnsi="Arial Narrow"/>
                <w:color w:val="000000"/>
                <w:sz w:val="20"/>
                <w:shd w:val="solid" w:color="000000" w:fill="000000"/>
                <w14:textFill>
                  <w14:solidFill>
                    <w14:srgbClr w14:val="000000">
                      <w14:alpha w14:val="100000"/>
                    </w14:srgbClr>
                  </w14:solidFill>
                </w14:textFill>
              </w:rPr>
              <w:t>|</w:t>
            </w:r>
          </w:p>
        </w:tc>
        <w:tc>
          <w:tcPr>
            <w:tcW w:w="799" w:type="pct"/>
            <w:vAlign w:val="center"/>
          </w:tcPr>
          <w:p w14:paraId="31E55F06" w14:textId="77777777" w:rsidR="00AD5695" w:rsidRPr="0099114C" w:rsidRDefault="00AD5695" w:rsidP="00E4798D">
            <w:pPr>
              <w:pStyle w:val="Tabletextleft"/>
              <w:spacing w:before="0" w:after="0"/>
              <w:jc w:val="center"/>
              <w:rPr>
                <w:rFonts w:ascii="Arial Narrow" w:eastAsia="Calibri" w:hAnsi="Arial Narrow"/>
                <w:sz w:val="20"/>
              </w:rPr>
            </w:pPr>
            <w:r w:rsidRPr="0099114C">
              <w:rPr>
                <w:rFonts w:ascii="Arial Narrow" w:hAnsi="Arial Narrow"/>
                <w:sz w:val="20"/>
              </w:rPr>
              <w:t>0.31</w:t>
            </w:r>
          </w:p>
        </w:tc>
        <w:tc>
          <w:tcPr>
            <w:tcW w:w="799" w:type="pct"/>
            <w:vAlign w:val="center"/>
          </w:tcPr>
          <w:p w14:paraId="477B2FC3" w14:textId="32408257" w:rsidR="00AD5695" w:rsidRPr="009E5CCE" w:rsidRDefault="005F1F42" w:rsidP="00E4798D">
            <w:pPr>
              <w:pStyle w:val="Tabletextleft"/>
              <w:spacing w:before="0" w:after="0"/>
              <w:jc w:val="center"/>
              <w:rPr>
                <w:rFonts w:ascii="Arial Narrow" w:hAnsi="Arial Narrow"/>
                <w:sz w:val="20"/>
                <w:highlight w:val="lightGray"/>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00A94571" w:rsidRPr="001A420F">
              <w:rPr>
                <w:rFonts w:ascii="Arial Narrow" w:hAnsi="Arial Narrow" w:cs="Calibri"/>
                <w:color w:val="000000"/>
                <w:sz w:val="20"/>
                <w:vertAlign w:val="superscript"/>
              </w:rPr>
              <w:t>3</w:t>
            </w:r>
          </w:p>
        </w:tc>
        <w:tc>
          <w:tcPr>
            <w:tcW w:w="799" w:type="pct"/>
            <w:vAlign w:val="center"/>
          </w:tcPr>
          <w:p w14:paraId="5BE429B9" w14:textId="0AE8E7FF" w:rsidR="00AD5695" w:rsidRPr="0099114C" w:rsidRDefault="003D26D2" w:rsidP="00E4798D">
            <w:pPr>
              <w:pStyle w:val="Tabletextleft"/>
              <w:spacing w:before="0" w:after="0"/>
              <w:jc w:val="center"/>
              <w:rPr>
                <w:rFonts w:ascii="Arial Narrow" w:hAnsi="Arial Narrow"/>
                <w:sz w:val="20"/>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Pr="0099114C">
              <w:rPr>
                <w:rFonts w:ascii="Arial Narrow" w:hAnsi="Arial Narrow"/>
                <w:sz w:val="20"/>
              </w:rPr>
              <w:t>%</w:t>
            </w:r>
          </w:p>
        </w:tc>
      </w:tr>
      <w:tr w:rsidR="000A4F38" w:rsidRPr="0099114C" w14:paraId="55967087" w14:textId="77777777" w:rsidTr="003D26D2">
        <w:trPr>
          <w:trHeight w:val="227"/>
        </w:trPr>
        <w:tc>
          <w:tcPr>
            <w:tcW w:w="1806" w:type="pct"/>
            <w:vAlign w:val="center"/>
            <w:hideMark/>
          </w:tcPr>
          <w:p w14:paraId="3173EE97" w14:textId="77777777" w:rsidR="00AD5695" w:rsidRPr="0099114C" w:rsidRDefault="00AD5695" w:rsidP="00E4798D">
            <w:pPr>
              <w:pStyle w:val="Tabletextleft"/>
              <w:spacing w:before="0" w:after="0"/>
              <w:rPr>
                <w:rFonts w:ascii="Arial Narrow" w:hAnsi="Arial Narrow"/>
                <w:sz w:val="20"/>
              </w:rPr>
            </w:pPr>
            <w:r w:rsidRPr="0099114C">
              <w:rPr>
                <w:rFonts w:ascii="Arial Narrow" w:hAnsi="Arial Narrow"/>
                <w:sz w:val="20"/>
              </w:rPr>
              <w:t>20mL/min eGFR drop on relapse</w:t>
            </w:r>
          </w:p>
        </w:tc>
        <w:tc>
          <w:tcPr>
            <w:tcW w:w="798" w:type="pct"/>
            <w:vAlign w:val="center"/>
            <w:hideMark/>
          </w:tcPr>
          <w:p w14:paraId="4794D2F3" w14:textId="00359043"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sz w:val="20"/>
              </w:rPr>
              <w:t>$</w:t>
            </w:r>
            <w:r w:rsidR="005F1F42" w:rsidRPr="005F1F42">
              <w:rPr>
                <w:rFonts w:ascii="Arial Narrow" w:hAnsi="Arial Narrow"/>
                <w:color w:val="000000"/>
                <w:sz w:val="20"/>
                <w:shd w:val="solid" w:color="000000" w:fill="000000"/>
                <w14:textFill>
                  <w14:solidFill>
                    <w14:srgbClr w14:val="000000">
                      <w14:alpha w14:val="100000"/>
                    </w14:srgbClr>
                  </w14:solidFill>
                </w14:textFill>
              </w:rPr>
              <w:t>|</w:t>
            </w:r>
          </w:p>
        </w:tc>
        <w:tc>
          <w:tcPr>
            <w:tcW w:w="799" w:type="pct"/>
            <w:vAlign w:val="center"/>
            <w:hideMark/>
          </w:tcPr>
          <w:p w14:paraId="336D81AE" w14:textId="77777777"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sz w:val="20"/>
              </w:rPr>
              <w:t>0.37</w:t>
            </w:r>
          </w:p>
        </w:tc>
        <w:tc>
          <w:tcPr>
            <w:tcW w:w="799" w:type="pct"/>
            <w:vAlign w:val="center"/>
            <w:hideMark/>
          </w:tcPr>
          <w:p w14:paraId="0B14BC0B" w14:textId="3A4FCABA" w:rsidR="00AD5695" w:rsidRPr="009E5CCE" w:rsidRDefault="005F1F42" w:rsidP="00E4798D">
            <w:pPr>
              <w:pStyle w:val="Tabletextleft"/>
              <w:spacing w:before="0" w:after="0"/>
              <w:jc w:val="center"/>
              <w:rPr>
                <w:rFonts w:ascii="Arial Narrow" w:hAnsi="Arial Narrow"/>
                <w:sz w:val="20"/>
                <w:highlight w:val="lightGray"/>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00A94571" w:rsidRPr="001A420F">
              <w:rPr>
                <w:rFonts w:ascii="Arial Narrow" w:hAnsi="Arial Narrow"/>
                <w:sz w:val="20"/>
                <w:vertAlign w:val="superscript"/>
              </w:rPr>
              <w:t>1</w:t>
            </w:r>
          </w:p>
        </w:tc>
        <w:tc>
          <w:tcPr>
            <w:tcW w:w="799" w:type="pct"/>
            <w:vAlign w:val="center"/>
            <w:hideMark/>
          </w:tcPr>
          <w:p w14:paraId="357E9E94" w14:textId="1328BDA2"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sz w:val="20"/>
              </w:rPr>
              <w:t>-</w:t>
            </w:r>
            <w:r w:rsidR="00E4798D" w:rsidRPr="005F1F42">
              <w:rPr>
                <w:rFonts w:ascii="Arial Narrow" w:hAnsi="Arial Narrow"/>
                <w:color w:val="000000"/>
                <w:sz w:val="20"/>
                <w:shd w:val="solid" w:color="000000" w:fill="000000"/>
                <w14:textFill>
                  <w14:solidFill>
                    <w14:srgbClr w14:val="000000">
                      <w14:alpha w14:val="100000"/>
                    </w14:srgbClr>
                  </w14:solidFill>
                </w14:textFill>
              </w:rPr>
              <w:t>|</w:t>
            </w:r>
            <w:r w:rsidR="00E4798D" w:rsidRPr="0099114C">
              <w:rPr>
                <w:rFonts w:ascii="Arial Narrow" w:hAnsi="Arial Narrow"/>
                <w:sz w:val="20"/>
              </w:rPr>
              <w:t>%</w:t>
            </w:r>
          </w:p>
        </w:tc>
      </w:tr>
      <w:tr w:rsidR="000A4F38" w:rsidRPr="0099114C" w14:paraId="7641F267" w14:textId="77777777" w:rsidTr="003D26D2">
        <w:trPr>
          <w:trHeight w:val="227"/>
        </w:trPr>
        <w:tc>
          <w:tcPr>
            <w:tcW w:w="1806" w:type="pct"/>
            <w:vAlign w:val="center"/>
            <w:hideMark/>
          </w:tcPr>
          <w:p w14:paraId="0767BFF1" w14:textId="77777777" w:rsidR="00AD5695" w:rsidRPr="00857B0D" w:rsidRDefault="00AD5695" w:rsidP="00E4798D">
            <w:pPr>
              <w:pStyle w:val="Tabletextleft"/>
              <w:spacing w:before="0" w:after="0"/>
              <w:rPr>
                <w:rFonts w:ascii="Arial Narrow" w:hAnsi="Arial Narrow"/>
                <w:sz w:val="20"/>
              </w:rPr>
            </w:pPr>
            <w:r w:rsidRPr="00857B0D">
              <w:rPr>
                <w:rFonts w:ascii="Arial Narrow" w:hAnsi="Arial Narrow"/>
                <w:sz w:val="20"/>
              </w:rPr>
              <w:t xml:space="preserve">Brix et al. 2018 HR </w:t>
            </w:r>
            <w:r w:rsidRPr="0099114C">
              <w:rPr>
                <w:rFonts w:ascii="Arial Narrow" w:hAnsi="Arial Narrow"/>
                <w:sz w:val="20"/>
              </w:rPr>
              <w:t>improvement</w:t>
            </w:r>
            <w:r w:rsidRPr="00857B0D">
              <w:rPr>
                <w:rFonts w:ascii="Arial Narrow" w:hAnsi="Arial Narrow"/>
                <w:sz w:val="20"/>
              </w:rPr>
              <w:t xml:space="preserve"> in </w:t>
            </w:r>
            <w:r w:rsidRPr="0099114C">
              <w:rPr>
                <w:rFonts w:ascii="Arial Narrow" w:hAnsi="Arial Narrow"/>
                <w:sz w:val="20"/>
              </w:rPr>
              <w:t>eGFR</w:t>
            </w:r>
            <w:r w:rsidRPr="00857B0D">
              <w:rPr>
                <w:rFonts w:ascii="Arial Narrow" w:hAnsi="Arial Narrow"/>
                <w:sz w:val="20"/>
              </w:rPr>
              <w:t xml:space="preserve"> (0.96)</w:t>
            </w:r>
          </w:p>
        </w:tc>
        <w:tc>
          <w:tcPr>
            <w:tcW w:w="798" w:type="pct"/>
            <w:vAlign w:val="center"/>
            <w:hideMark/>
          </w:tcPr>
          <w:p w14:paraId="323B2C4F" w14:textId="3A96EEB7"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sz w:val="20"/>
              </w:rPr>
              <w:t>$</w:t>
            </w:r>
            <w:r w:rsidR="005F1F42" w:rsidRPr="005F1F42">
              <w:rPr>
                <w:rFonts w:ascii="Arial Narrow" w:hAnsi="Arial Narrow"/>
                <w:color w:val="000000"/>
                <w:sz w:val="20"/>
                <w:shd w:val="solid" w:color="000000" w:fill="000000"/>
                <w14:textFill>
                  <w14:solidFill>
                    <w14:srgbClr w14:val="000000">
                      <w14:alpha w14:val="100000"/>
                    </w14:srgbClr>
                  </w14:solidFill>
                </w14:textFill>
              </w:rPr>
              <w:t>|</w:t>
            </w:r>
          </w:p>
        </w:tc>
        <w:tc>
          <w:tcPr>
            <w:tcW w:w="799" w:type="pct"/>
            <w:vAlign w:val="center"/>
            <w:hideMark/>
          </w:tcPr>
          <w:p w14:paraId="231FAF8A" w14:textId="77777777"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sz w:val="20"/>
              </w:rPr>
              <w:t>0.32</w:t>
            </w:r>
          </w:p>
        </w:tc>
        <w:tc>
          <w:tcPr>
            <w:tcW w:w="799" w:type="pct"/>
            <w:vAlign w:val="center"/>
            <w:hideMark/>
          </w:tcPr>
          <w:p w14:paraId="119DF6A3" w14:textId="7C710859" w:rsidR="00AD5695" w:rsidRPr="009E5CCE" w:rsidRDefault="005F1F42" w:rsidP="00E4798D">
            <w:pPr>
              <w:pStyle w:val="Tabletextleft"/>
              <w:spacing w:before="0" w:after="0"/>
              <w:jc w:val="center"/>
              <w:rPr>
                <w:rFonts w:ascii="Arial Narrow" w:hAnsi="Arial Narrow"/>
                <w:sz w:val="20"/>
                <w:highlight w:val="lightGray"/>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00A94571" w:rsidRPr="001A420F">
              <w:rPr>
                <w:rFonts w:ascii="Arial Narrow" w:hAnsi="Arial Narrow"/>
                <w:sz w:val="20"/>
                <w:vertAlign w:val="superscript"/>
              </w:rPr>
              <w:t>1</w:t>
            </w:r>
          </w:p>
        </w:tc>
        <w:tc>
          <w:tcPr>
            <w:tcW w:w="799" w:type="pct"/>
            <w:vAlign w:val="center"/>
            <w:hideMark/>
          </w:tcPr>
          <w:p w14:paraId="740B72D9" w14:textId="778FE45D" w:rsidR="00AD5695" w:rsidRPr="0099114C" w:rsidRDefault="00E4798D" w:rsidP="00E4798D">
            <w:pPr>
              <w:pStyle w:val="Tabletextleft"/>
              <w:spacing w:before="0" w:after="0"/>
              <w:jc w:val="center"/>
              <w:rPr>
                <w:rFonts w:ascii="Arial Narrow" w:hAnsi="Arial Narrow"/>
                <w:sz w:val="20"/>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Pr="0099114C">
              <w:rPr>
                <w:rFonts w:ascii="Arial Narrow" w:hAnsi="Arial Narrow"/>
                <w:sz w:val="20"/>
              </w:rPr>
              <w:t>%</w:t>
            </w:r>
          </w:p>
        </w:tc>
      </w:tr>
      <w:tr w:rsidR="000A4F38" w:rsidRPr="0099114C" w14:paraId="4F6E4E72" w14:textId="77777777" w:rsidTr="003D26D2">
        <w:trPr>
          <w:trHeight w:val="227"/>
        </w:trPr>
        <w:tc>
          <w:tcPr>
            <w:tcW w:w="1806" w:type="pct"/>
            <w:vAlign w:val="center"/>
            <w:hideMark/>
          </w:tcPr>
          <w:p w14:paraId="5AFD581F" w14:textId="77777777" w:rsidR="00AD5695" w:rsidRPr="0099114C" w:rsidRDefault="00AD5695" w:rsidP="00E4798D">
            <w:pPr>
              <w:pStyle w:val="Tabletextleft"/>
              <w:spacing w:before="0" w:after="0"/>
              <w:rPr>
                <w:rFonts w:ascii="Arial Narrow" w:hAnsi="Arial Narrow"/>
                <w:sz w:val="20"/>
              </w:rPr>
            </w:pPr>
            <w:r w:rsidRPr="0099114C">
              <w:rPr>
                <w:rFonts w:ascii="Arial Narrow" w:hAnsi="Arial Narrow"/>
                <w:sz w:val="20"/>
              </w:rPr>
              <w:t>Gercik et al. 2020 HR improvement in eGFR (0.90)</w:t>
            </w:r>
          </w:p>
        </w:tc>
        <w:tc>
          <w:tcPr>
            <w:tcW w:w="798" w:type="pct"/>
            <w:vAlign w:val="center"/>
            <w:hideMark/>
          </w:tcPr>
          <w:p w14:paraId="442A7D18" w14:textId="576B017B"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sz w:val="20"/>
              </w:rPr>
              <w:t>$</w:t>
            </w:r>
            <w:r w:rsidR="005F1F42" w:rsidRPr="005F1F42">
              <w:rPr>
                <w:rFonts w:ascii="Arial Narrow" w:hAnsi="Arial Narrow"/>
                <w:color w:val="000000"/>
                <w:sz w:val="20"/>
                <w:shd w:val="solid" w:color="000000" w:fill="000000"/>
                <w14:textFill>
                  <w14:solidFill>
                    <w14:srgbClr w14:val="000000">
                      <w14:alpha w14:val="100000"/>
                    </w14:srgbClr>
                  </w14:solidFill>
                </w14:textFill>
              </w:rPr>
              <w:t>|</w:t>
            </w:r>
          </w:p>
        </w:tc>
        <w:tc>
          <w:tcPr>
            <w:tcW w:w="799" w:type="pct"/>
            <w:vAlign w:val="center"/>
            <w:hideMark/>
          </w:tcPr>
          <w:p w14:paraId="2D0DE7C6" w14:textId="77777777"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sz w:val="20"/>
              </w:rPr>
              <w:t>0.42</w:t>
            </w:r>
          </w:p>
        </w:tc>
        <w:tc>
          <w:tcPr>
            <w:tcW w:w="799" w:type="pct"/>
            <w:vAlign w:val="center"/>
            <w:hideMark/>
          </w:tcPr>
          <w:p w14:paraId="0981598B" w14:textId="27CB61BA" w:rsidR="00AD5695" w:rsidRPr="009E5CCE" w:rsidRDefault="005F1F42" w:rsidP="00E4798D">
            <w:pPr>
              <w:pStyle w:val="Tabletextleft"/>
              <w:spacing w:before="0" w:after="0"/>
              <w:jc w:val="center"/>
              <w:rPr>
                <w:rFonts w:ascii="Arial Narrow" w:hAnsi="Arial Narrow"/>
                <w:sz w:val="20"/>
                <w:highlight w:val="lightGray"/>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006A169C" w:rsidRPr="001A420F">
              <w:rPr>
                <w:rFonts w:ascii="Arial Narrow" w:hAnsi="Arial Narrow"/>
                <w:sz w:val="20"/>
                <w:vertAlign w:val="superscript"/>
              </w:rPr>
              <w:t>6</w:t>
            </w:r>
          </w:p>
        </w:tc>
        <w:tc>
          <w:tcPr>
            <w:tcW w:w="799" w:type="pct"/>
            <w:vAlign w:val="center"/>
            <w:hideMark/>
          </w:tcPr>
          <w:p w14:paraId="4254EF54" w14:textId="55010B6B"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sz w:val="20"/>
              </w:rPr>
              <w:t>-</w:t>
            </w:r>
            <w:r w:rsidR="00E4798D" w:rsidRPr="005F1F42">
              <w:rPr>
                <w:rFonts w:ascii="Arial Narrow" w:hAnsi="Arial Narrow"/>
                <w:color w:val="000000"/>
                <w:sz w:val="20"/>
                <w:shd w:val="solid" w:color="000000" w:fill="000000"/>
                <w14:textFill>
                  <w14:solidFill>
                    <w14:srgbClr w14:val="000000">
                      <w14:alpha w14:val="100000"/>
                    </w14:srgbClr>
                  </w14:solidFill>
                </w14:textFill>
              </w:rPr>
              <w:t>|</w:t>
            </w:r>
            <w:r w:rsidR="00E4798D" w:rsidRPr="0099114C">
              <w:rPr>
                <w:rFonts w:ascii="Arial Narrow" w:hAnsi="Arial Narrow"/>
                <w:sz w:val="20"/>
              </w:rPr>
              <w:t>%</w:t>
            </w:r>
          </w:p>
        </w:tc>
      </w:tr>
      <w:tr w:rsidR="000A4F38" w:rsidRPr="0099114C" w14:paraId="2E97A2FE" w14:textId="77777777" w:rsidTr="003D26D2">
        <w:trPr>
          <w:trHeight w:val="227"/>
        </w:trPr>
        <w:tc>
          <w:tcPr>
            <w:tcW w:w="1806" w:type="pct"/>
            <w:vAlign w:val="center"/>
          </w:tcPr>
          <w:p w14:paraId="55C43897" w14:textId="77777777" w:rsidR="00AD5695" w:rsidRPr="0099114C" w:rsidRDefault="00AD5695" w:rsidP="00E4798D">
            <w:pPr>
              <w:pStyle w:val="Tabletextleft"/>
              <w:spacing w:before="0" w:after="0"/>
              <w:rPr>
                <w:rFonts w:ascii="Arial Narrow" w:hAnsi="Arial Narrow"/>
                <w:sz w:val="20"/>
              </w:rPr>
            </w:pPr>
            <w:r w:rsidRPr="0099114C">
              <w:rPr>
                <w:rFonts w:ascii="Arial Narrow" w:hAnsi="Arial Narrow"/>
                <w:sz w:val="20"/>
              </w:rPr>
              <w:t xml:space="preserve">Avacopan eGFR recovery equal to GC + SOC in avacopan arm </w:t>
            </w:r>
          </w:p>
        </w:tc>
        <w:tc>
          <w:tcPr>
            <w:tcW w:w="798" w:type="pct"/>
            <w:vAlign w:val="center"/>
          </w:tcPr>
          <w:p w14:paraId="63BBD624" w14:textId="6719EE78"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cs="Calibri"/>
                <w:color w:val="000000"/>
                <w:sz w:val="20"/>
              </w:rPr>
              <w:t>$</w:t>
            </w:r>
            <w:r w:rsidR="005F1F42" w:rsidRPr="005F1F42">
              <w:rPr>
                <w:rFonts w:ascii="Arial Narrow" w:hAnsi="Arial Narrow" w:cs="Calibri"/>
                <w:color w:val="000000"/>
                <w:sz w:val="20"/>
                <w:shd w:val="solid" w:color="000000" w:fill="000000"/>
                <w14:textFill>
                  <w14:solidFill>
                    <w14:srgbClr w14:val="000000">
                      <w14:alpha w14:val="100000"/>
                    </w14:srgbClr>
                  </w14:solidFill>
                </w14:textFill>
              </w:rPr>
              <w:t>|</w:t>
            </w:r>
            <w:r w:rsidRPr="0099114C">
              <w:rPr>
                <w:rFonts w:ascii="Arial Narrow" w:hAnsi="Arial Narrow" w:cs="Calibri"/>
                <w:color w:val="000000"/>
                <w:sz w:val="20"/>
              </w:rPr>
              <w:t xml:space="preserve"> </w:t>
            </w:r>
          </w:p>
        </w:tc>
        <w:tc>
          <w:tcPr>
            <w:tcW w:w="799" w:type="pct"/>
            <w:vAlign w:val="center"/>
          </w:tcPr>
          <w:p w14:paraId="38130263" w14:textId="77777777"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cs="Calibri"/>
                <w:color w:val="000000"/>
                <w:sz w:val="20"/>
              </w:rPr>
              <w:t xml:space="preserve">0.27 </w:t>
            </w:r>
          </w:p>
        </w:tc>
        <w:tc>
          <w:tcPr>
            <w:tcW w:w="799" w:type="pct"/>
            <w:vAlign w:val="center"/>
          </w:tcPr>
          <w:p w14:paraId="4C4F6B9A" w14:textId="5404569C" w:rsidR="00AD5695" w:rsidRPr="009E5CCE" w:rsidRDefault="005F1F42" w:rsidP="00E4798D">
            <w:pPr>
              <w:pStyle w:val="Tabletextleft"/>
              <w:spacing w:before="0" w:after="0"/>
              <w:jc w:val="center"/>
              <w:rPr>
                <w:rFonts w:ascii="Arial Narrow" w:hAnsi="Arial Narrow"/>
                <w:sz w:val="20"/>
                <w:highlight w:val="lightGray"/>
              </w:rPr>
            </w:pPr>
            <w:r w:rsidRPr="005F1F42">
              <w:rPr>
                <w:rFonts w:ascii="Arial Narrow" w:hAnsi="Arial Narrow" w:cs="Calibri"/>
                <w:color w:val="000000"/>
                <w:sz w:val="20"/>
                <w:shd w:val="solid" w:color="000000" w:fill="000000"/>
                <w14:textFill>
                  <w14:solidFill>
                    <w14:srgbClr w14:val="000000">
                      <w14:alpha w14:val="100000"/>
                    </w14:srgbClr>
                  </w14:solidFill>
                </w14:textFill>
              </w:rPr>
              <w:t>|</w:t>
            </w:r>
            <w:r w:rsidRPr="005F1F42">
              <w:rPr>
                <w:rFonts w:ascii="Arial Narrow" w:hAnsi="Arial Narrow" w:cs="Calibri"/>
                <w:color w:val="000000"/>
                <w:sz w:val="20"/>
              </w:rPr>
              <w:t xml:space="preserve"> </w:t>
            </w:r>
            <w:r w:rsidR="006A169C" w:rsidRPr="001A420F">
              <w:rPr>
                <w:rFonts w:ascii="Arial Narrow" w:hAnsi="Arial Narrow"/>
                <w:sz w:val="20"/>
                <w:vertAlign w:val="superscript"/>
              </w:rPr>
              <w:t>5</w:t>
            </w:r>
          </w:p>
        </w:tc>
        <w:tc>
          <w:tcPr>
            <w:tcW w:w="799" w:type="pct"/>
            <w:vAlign w:val="center"/>
          </w:tcPr>
          <w:p w14:paraId="1DDFD268" w14:textId="6577C7F1" w:rsidR="00AD5695" w:rsidRPr="0099114C" w:rsidRDefault="00E4798D" w:rsidP="00E4798D">
            <w:pPr>
              <w:pStyle w:val="Tabletextleft"/>
              <w:spacing w:before="0" w:after="0"/>
              <w:jc w:val="center"/>
              <w:rPr>
                <w:rFonts w:ascii="Arial Narrow" w:hAnsi="Arial Narrow"/>
                <w:sz w:val="20"/>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Pr="0099114C">
              <w:rPr>
                <w:rFonts w:ascii="Arial Narrow" w:hAnsi="Arial Narrow"/>
                <w:sz w:val="20"/>
              </w:rPr>
              <w:t>%</w:t>
            </w:r>
          </w:p>
        </w:tc>
      </w:tr>
      <w:tr w:rsidR="00AD5695" w:rsidRPr="0099114C" w14:paraId="708FC2BB" w14:textId="77777777" w:rsidTr="003D26D2">
        <w:trPr>
          <w:trHeight w:val="227"/>
        </w:trPr>
        <w:tc>
          <w:tcPr>
            <w:tcW w:w="5000" w:type="pct"/>
            <w:gridSpan w:val="5"/>
            <w:vAlign w:val="center"/>
          </w:tcPr>
          <w:p w14:paraId="0A54C17E" w14:textId="77777777" w:rsidR="00AD5695" w:rsidRPr="0099114C" w:rsidRDefault="00AD5695" w:rsidP="00E4798D">
            <w:pPr>
              <w:pStyle w:val="Tabletextleft"/>
              <w:spacing w:before="0" w:after="0"/>
              <w:jc w:val="left"/>
              <w:rPr>
                <w:rFonts w:ascii="Arial Narrow" w:hAnsi="Arial Narrow"/>
                <w:sz w:val="20"/>
              </w:rPr>
            </w:pPr>
            <w:r w:rsidRPr="0099114C">
              <w:rPr>
                <w:rFonts w:ascii="Arial Narrow" w:hAnsi="Arial Narrow"/>
                <w:b/>
                <w:sz w:val="20"/>
              </w:rPr>
              <w:t>Utility (Base case, remission 0.881, active disease 0.819, relapse 0.810, weighted dialysis 0.458, transplant 0.712, conservative management 0.810)</w:t>
            </w:r>
          </w:p>
        </w:tc>
      </w:tr>
      <w:tr w:rsidR="000A4F38" w:rsidRPr="0099114C" w14:paraId="59064137" w14:textId="77777777" w:rsidTr="003D26D2">
        <w:trPr>
          <w:trHeight w:val="227"/>
        </w:trPr>
        <w:tc>
          <w:tcPr>
            <w:tcW w:w="1806" w:type="pct"/>
            <w:vAlign w:val="center"/>
          </w:tcPr>
          <w:p w14:paraId="562E7678" w14:textId="77777777" w:rsidR="00AD5695" w:rsidRPr="0099114C" w:rsidRDefault="00AD5695" w:rsidP="00E4798D">
            <w:pPr>
              <w:pStyle w:val="Tabletextleft"/>
              <w:spacing w:before="0" w:after="0"/>
              <w:rPr>
                <w:rFonts w:ascii="Arial Narrow" w:hAnsi="Arial Narrow"/>
                <w:sz w:val="20"/>
              </w:rPr>
            </w:pPr>
            <w:r w:rsidRPr="0099114C">
              <w:rPr>
                <w:rFonts w:ascii="Arial Narrow" w:hAnsi="Arial Narrow"/>
                <w:sz w:val="20"/>
              </w:rPr>
              <w:t>Treatment specific utilities (avacopan: remission 0.889; active disease 0.819, relapse 0.864. GC + SoC: remission 0.873, active disease 0.818 relapse 0.787)</w:t>
            </w:r>
          </w:p>
        </w:tc>
        <w:tc>
          <w:tcPr>
            <w:tcW w:w="798" w:type="pct"/>
            <w:vAlign w:val="center"/>
          </w:tcPr>
          <w:p w14:paraId="4F83C138" w14:textId="3BE20E0B"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sz w:val="20"/>
              </w:rPr>
              <w:t>$</w:t>
            </w:r>
            <w:r w:rsidR="005F1F42" w:rsidRPr="005F1F42">
              <w:rPr>
                <w:rFonts w:ascii="Arial Narrow" w:hAnsi="Arial Narrow"/>
                <w:color w:val="000000"/>
                <w:sz w:val="20"/>
                <w:shd w:val="solid" w:color="000000" w:fill="000000"/>
                <w14:textFill>
                  <w14:solidFill>
                    <w14:srgbClr w14:val="000000">
                      <w14:alpha w14:val="100000"/>
                    </w14:srgbClr>
                  </w14:solidFill>
                </w14:textFill>
              </w:rPr>
              <w:t>|</w:t>
            </w:r>
          </w:p>
        </w:tc>
        <w:tc>
          <w:tcPr>
            <w:tcW w:w="799" w:type="pct"/>
            <w:vAlign w:val="center"/>
          </w:tcPr>
          <w:p w14:paraId="0C986334" w14:textId="77777777"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sz w:val="20"/>
              </w:rPr>
              <w:t>0.37</w:t>
            </w:r>
          </w:p>
        </w:tc>
        <w:tc>
          <w:tcPr>
            <w:tcW w:w="799" w:type="pct"/>
            <w:vAlign w:val="center"/>
          </w:tcPr>
          <w:p w14:paraId="4D227DE8" w14:textId="3373527A" w:rsidR="00AD5695" w:rsidRPr="009E5CCE" w:rsidRDefault="005F1F42" w:rsidP="00E4798D">
            <w:pPr>
              <w:pStyle w:val="Tabletextleft"/>
              <w:spacing w:before="0" w:after="0"/>
              <w:jc w:val="center"/>
              <w:rPr>
                <w:rFonts w:ascii="Arial Narrow" w:hAnsi="Arial Narrow"/>
                <w:sz w:val="20"/>
                <w:highlight w:val="lightGray"/>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00A94571" w:rsidRPr="001A420F">
              <w:rPr>
                <w:rFonts w:ascii="Arial Narrow" w:hAnsi="Arial Narrow"/>
                <w:sz w:val="20"/>
                <w:vertAlign w:val="superscript"/>
              </w:rPr>
              <w:t>1</w:t>
            </w:r>
          </w:p>
        </w:tc>
        <w:tc>
          <w:tcPr>
            <w:tcW w:w="799" w:type="pct"/>
            <w:vAlign w:val="center"/>
          </w:tcPr>
          <w:p w14:paraId="3F451A14" w14:textId="678C5CB1"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sz w:val="20"/>
              </w:rPr>
              <w:t>-</w:t>
            </w:r>
            <w:r w:rsidR="00E4798D" w:rsidRPr="005F1F42">
              <w:rPr>
                <w:rFonts w:ascii="Arial Narrow" w:hAnsi="Arial Narrow"/>
                <w:color w:val="000000"/>
                <w:sz w:val="20"/>
                <w:shd w:val="solid" w:color="000000" w:fill="000000"/>
                <w14:textFill>
                  <w14:solidFill>
                    <w14:srgbClr w14:val="000000">
                      <w14:alpha w14:val="100000"/>
                    </w14:srgbClr>
                  </w14:solidFill>
                </w14:textFill>
              </w:rPr>
              <w:t>|</w:t>
            </w:r>
            <w:r w:rsidR="00E4798D" w:rsidRPr="0099114C">
              <w:rPr>
                <w:rFonts w:ascii="Arial Narrow" w:hAnsi="Arial Narrow"/>
                <w:sz w:val="20"/>
              </w:rPr>
              <w:t>%</w:t>
            </w:r>
          </w:p>
        </w:tc>
      </w:tr>
      <w:tr w:rsidR="000A4F38" w:rsidRPr="0099114C" w14:paraId="0CCD195E" w14:textId="77777777" w:rsidTr="003D26D2">
        <w:trPr>
          <w:trHeight w:val="227"/>
        </w:trPr>
        <w:tc>
          <w:tcPr>
            <w:tcW w:w="1806" w:type="pct"/>
            <w:vAlign w:val="center"/>
          </w:tcPr>
          <w:p w14:paraId="6000AD8D" w14:textId="77777777" w:rsidR="00AD5695" w:rsidRPr="0099114C" w:rsidRDefault="00AD5695" w:rsidP="00E4798D">
            <w:pPr>
              <w:pStyle w:val="Tabletextleft"/>
              <w:spacing w:before="0" w:after="0"/>
              <w:rPr>
                <w:rFonts w:ascii="Arial Narrow" w:hAnsi="Arial Narrow"/>
                <w:sz w:val="20"/>
              </w:rPr>
            </w:pPr>
            <w:r w:rsidRPr="0099114C">
              <w:rPr>
                <w:rFonts w:ascii="Arial Narrow" w:hAnsi="Arial Narrow"/>
                <w:sz w:val="20"/>
              </w:rPr>
              <w:t>Utility values from the previous submission (remission 0.842, active disease 0.780 and relapse 0.760)</w:t>
            </w:r>
          </w:p>
        </w:tc>
        <w:tc>
          <w:tcPr>
            <w:tcW w:w="798" w:type="pct"/>
            <w:vAlign w:val="center"/>
          </w:tcPr>
          <w:p w14:paraId="150EDA82" w14:textId="286CA756"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sz w:val="20"/>
              </w:rPr>
              <w:t>$</w:t>
            </w:r>
            <w:r w:rsidR="005F1F42" w:rsidRPr="005F1F42">
              <w:rPr>
                <w:rFonts w:ascii="Arial Narrow" w:hAnsi="Arial Narrow"/>
                <w:color w:val="000000"/>
                <w:sz w:val="20"/>
                <w:shd w:val="solid" w:color="000000" w:fill="000000"/>
                <w14:textFill>
                  <w14:solidFill>
                    <w14:srgbClr w14:val="000000">
                      <w14:alpha w14:val="100000"/>
                    </w14:srgbClr>
                  </w14:solidFill>
                </w14:textFill>
              </w:rPr>
              <w:t>|</w:t>
            </w:r>
          </w:p>
        </w:tc>
        <w:tc>
          <w:tcPr>
            <w:tcW w:w="799" w:type="pct"/>
            <w:vAlign w:val="center"/>
          </w:tcPr>
          <w:p w14:paraId="75E1705C" w14:textId="77777777"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sz w:val="20"/>
              </w:rPr>
              <w:t>0.32</w:t>
            </w:r>
          </w:p>
        </w:tc>
        <w:tc>
          <w:tcPr>
            <w:tcW w:w="799" w:type="pct"/>
            <w:vAlign w:val="center"/>
          </w:tcPr>
          <w:p w14:paraId="64A07008" w14:textId="169D513B" w:rsidR="00AD5695" w:rsidRPr="009E5CCE" w:rsidRDefault="005F1F42" w:rsidP="00E4798D">
            <w:pPr>
              <w:pStyle w:val="Tabletextleft"/>
              <w:spacing w:before="0" w:after="0"/>
              <w:jc w:val="center"/>
              <w:rPr>
                <w:rFonts w:ascii="Arial Narrow" w:hAnsi="Arial Narrow"/>
                <w:sz w:val="20"/>
                <w:highlight w:val="lightGray"/>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00A94571" w:rsidRPr="001A420F">
              <w:rPr>
                <w:rFonts w:ascii="Arial Narrow" w:hAnsi="Arial Narrow"/>
                <w:sz w:val="20"/>
                <w:vertAlign w:val="superscript"/>
              </w:rPr>
              <w:t>1</w:t>
            </w:r>
          </w:p>
        </w:tc>
        <w:tc>
          <w:tcPr>
            <w:tcW w:w="799" w:type="pct"/>
            <w:vAlign w:val="center"/>
          </w:tcPr>
          <w:p w14:paraId="79F6D16C" w14:textId="6C5A9261" w:rsidR="00AD5695" w:rsidRPr="0099114C" w:rsidRDefault="00E4798D" w:rsidP="00E4798D">
            <w:pPr>
              <w:pStyle w:val="Tabletextleft"/>
              <w:spacing w:before="0" w:after="0"/>
              <w:jc w:val="center"/>
              <w:rPr>
                <w:rFonts w:ascii="Arial Narrow" w:hAnsi="Arial Narrow"/>
                <w:sz w:val="20"/>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Pr="0099114C">
              <w:rPr>
                <w:rFonts w:ascii="Arial Narrow" w:hAnsi="Arial Narrow"/>
                <w:sz w:val="20"/>
              </w:rPr>
              <w:t>%</w:t>
            </w:r>
          </w:p>
        </w:tc>
      </w:tr>
      <w:tr w:rsidR="000A4F38" w:rsidRPr="0099114C" w14:paraId="739F8EA9" w14:textId="77777777" w:rsidTr="003D26D2">
        <w:trPr>
          <w:trHeight w:val="227"/>
        </w:trPr>
        <w:tc>
          <w:tcPr>
            <w:tcW w:w="1806" w:type="pct"/>
            <w:vAlign w:val="center"/>
          </w:tcPr>
          <w:p w14:paraId="3352EBD0" w14:textId="3801019C" w:rsidR="00AD5695" w:rsidRPr="0099114C" w:rsidRDefault="00AD5695" w:rsidP="00E4798D">
            <w:pPr>
              <w:pStyle w:val="Tabletextleft"/>
              <w:spacing w:before="0" w:after="0"/>
              <w:rPr>
                <w:rFonts w:ascii="Arial Narrow" w:hAnsi="Arial Narrow"/>
                <w:sz w:val="20"/>
              </w:rPr>
            </w:pPr>
            <w:r w:rsidRPr="0099114C">
              <w:rPr>
                <w:rFonts w:ascii="Arial Narrow" w:hAnsi="Arial Narrow"/>
                <w:sz w:val="20"/>
              </w:rPr>
              <w:t>EQ-5D-3L instrument used</w:t>
            </w:r>
            <w:r w:rsidR="0086769C" w:rsidRPr="0099114C">
              <w:rPr>
                <w:rFonts w:ascii="Arial Narrow" w:hAnsi="Arial Narrow"/>
                <w:sz w:val="20"/>
              </w:rPr>
              <w:t xml:space="preserve"> </w:t>
            </w:r>
            <w:r w:rsidR="0086769C" w:rsidRPr="0099114C">
              <w:rPr>
                <w:rFonts w:ascii="Arial Narrow" w:hAnsi="Arial Narrow"/>
                <w:sz w:val="20"/>
                <w:vertAlign w:val="superscript"/>
              </w:rPr>
              <w:t>a</w:t>
            </w:r>
          </w:p>
        </w:tc>
        <w:tc>
          <w:tcPr>
            <w:tcW w:w="798" w:type="pct"/>
            <w:vAlign w:val="center"/>
          </w:tcPr>
          <w:p w14:paraId="0F2D5B0A" w14:textId="182FDAF6"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cs="Calibri"/>
                <w:color w:val="000000"/>
                <w:sz w:val="20"/>
              </w:rPr>
              <w:t>$</w:t>
            </w:r>
            <w:r w:rsidR="005F1F42" w:rsidRPr="005F1F42">
              <w:rPr>
                <w:rFonts w:ascii="Arial Narrow" w:hAnsi="Arial Narrow" w:cs="Calibri"/>
                <w:color w:val="000000"/>
                <w:sz w:val="20"/>
                <w:shd w:val="solid" w:color="000000" w:fill="000000"/>
                <w14:textFill>
                  <w14:solidFill>
                    <w14:srgbClr w14:val="000000">
                      <w14:alpha w14:val="100000"/>
                    </w14:srgbClr>
                  </w14:solidFill>
                </w14:textFill>
              </w:rPr>
              <w:t>|</w:t>
            </w:r>
          </w:p>
        </w:tc>
        <w:tc>
          <w:tcPr>
            <w:tcW w:w="799" w:type="pct"/>
            <w:vAlign w:val="center"/>
          </w:tcPr>
          <w:p w14:paraId="5A0A4541" w14:textId="77777777"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cs="Calibri"/>
                <w:color w:val="000000"/>
                <w:sz w:val="20"/>
              </w:rPr>
              <w:t>0.29</w:t>
            </w:r>
          </w:p>
        </w:tc>
        <w:tc>
          <w:tcPr>
            <w:tcW w:w="799" w:type="pct"/>
            <w:vAlign w:val="center"/>
          </w:tcPr>
          <w:p w14:paraId="570FB869" w14:textId="01BC686A" w:rsidR="00AD5695" w:rsidRPr="009E5CCE" w:rsidRDefault="005F1F42" w:rsidP="00E4798D">
            <w:pPr>
              <w:pStyle w:val="Tabletextleft"/>
              <w:spacing w:before="0" w:after="0"/>
              <w:jc w:val="center"/>
              <w:rPr>
                <w:rFonts w:ascii="Arial Narrow" w:hAnsi="Arial Narrow"/>
                <w:sz w:val="20"/>
                <w:highlight w:val="lightGray"/>
              </w:rPr>
            </w:pPr>
            <w:r w:rsidRPr="005F1F42">
              <w:rPr>
                <w:rFonts w:ascii="Arial Narrow" w:hAnsi="Arial Narrow" w:cs="Calibri"/>
                <w:color w:val="000000"/>
                <w:sz w:val="20"/>
                <w:shd w:val="solid" w:color="000000" w:fill="000000"/>
                <w14:textFill>
                  <w14:solidFill>
                    <w14:srgbClr w14:val="000000">
                      <w14:alpha w14:val="100000"/>
                    </w14:srgbClr>
                  </w14:solidFill>
                </w14:textFill>
              </w:rPr>
              <w:t>|</w:t>
            </w:r>
            <w:r w:rsidR="00A94571" w:rsidRPr="001A420F">
              <w:rPr>
                <w:rFonts w:ascii="Arial Narrow" w:hAnsi="Arial Narrow" w:cs="Calibri"/>
                <w:color w:val="000000"/>
                <w:sz w:val="20"/>
                <w:vertAlign w:val="superscript"/>
              </w:rPr>
              <w:t>3</w:t>
            </w:r>
          </w:p>
        </w:tc>
        <w:tc>
          <w:tcPr>
            <w:tcW w:w="799" w:type="pct"/>
            <w:vAlign w:val="center"/>
          </w:tcPr>
          <w:p w14:paraId="11228045" w14:textId="3D4B21AC" w:rsidR="00AD5695" w:rsidRPr="0099114C" w:rsidRDefault="00E4798D" w:rsidP="00E4798D">
            <w:pPr>
              <w:pStyle w:val="Tabletextleft"/>
              <w:spacing w:before="0" w:after="0"/>
              <w:jc w:val="center"/>
              <w:rPr>
                <w:rFonts w:ascii="Arial Narrow" w:hAnsi="Arial Narrow"/>
                <w:sz w:val="20"/>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Pr="0099114C">
              <w:rPr>
                <w:rFonts w:ascii="Arial Narrow" w:hAnsi="Arial Narrow"/>
                <w:sz w:val="20"/>
              </w:rPr>
              <w:t>%</w:t>
            </w:r>
          </w:p>
        </w:tc>
      </w:tr>
      <w:tr w:rsidR="000A4F38" w:rsidRPr="0099114C" w14:paraId="4D459FAF" w14:textId="77777777" w:rsidTr="003D26D2">
        <w:trPr>
          <w:trHeight w:val="227"/>
        </w:trPr>
        <w:tc>
          <w:tcPr>
            <w:tcW w:w="1806" w:type="pct"/>
            <w:vAlign w:val="center"/>
          </w:tcPr>
          <w:p w14:paraId="4B30E10E" w14:textId="57C12027" w:rsidR="00AD5695" w:rsidRPr="0099114C" w:rsidRDefault="00AD5695" w:rsidP="00E4798D">
            <w:pPr>
              <w:pStyle w:val="Tabletextleft"/>
              <w:spacing w:before="0" w:after="0"/>
              <w:rPr>
                <w:rFonts w:ascii="Arial Narrow" w:hAnsi="Arial Narrow"/>
                <w:sz w:val="20"/>
              </w:rPr>
            </w:pPr>
            <w:r w:rsidRPr="0099114C">
              <w:rPr>
                <w:rFonts w:ascii="Arial Narrow" w:hAnsi="Arial Narrow"/>
                <w:sz w:val="20"/>
              </w:rPr>
              <w:t>Utility decrement 0.1 for acute infection (base case 0.2)</w:t>
            </w:r>
            <w:r w:rsidR="0086769C" w:rsidRPr="0099114C">
              <w:rPr>
                <w:rFonts w:ascii="Arial Narrow" w:hAnsi="Arial Narrow"/>
                <w:sz w:val="20"/>
              </w:rPr>
              <w:t xml:space="preserve"> </w:t>
            </w:r>
            <w:r w:rsidR="0086769C" w:rsidRPr="0099114C">
              <w:rPr>
                <w:rFonts w:ascii="Arial Narrow" w:hAnsi="Arial Narrow"/>
                <w:sz w:val="20"/>
                <w:vertAlign w:val="superscript"/>
              </w:rPr>
              <w:t>a</w:t>
            </w:r>
          </w:p>
        </w:tc>
        <w:tc>
          <w:tcPr>
            <w:tcW w:w="798" w:type="pct"/>
            <w:vAlign w:val="center"/>
          </w:tcPr>
          <w:p w14:paraId="2D36B313" w14:textId="78511E88" w:rsidR="00AD5695" w:rsidRPr="0099114C" w:rsidRDefault="00AD5695" w:rsidP="00E4798D">
            <w:pPr>
              <w:pStyle w:val="Tabletextleft"/>
              <w:spacing w:before="0" w:after="0"/>
              <w:jc w:val="center"/>
              <w:rPr>
                <w:rFonts w:ascii="Arial Narrow" w:hAnsi="Arial Narrow" w:cs="Calibri"/>
                <w:color w:val="000000"/>
                <w:sz w:val="20"/>
              </w:rPr>
            </w:pPr>
            <w:r w:rsidRPr="0099114C">
              <w:rPr>
                <w:rFonts w:ascii="Arial Narrow" w:hAnsi="Arial Narrow" w:cs="Calibri"/>
                <w:color w:val="000000"/>
                <w:sz w:val="20"/>
              </w:rPr>
              <w:t>$</w:t>
            </w:r>
            <w:r w:rsidR="005F1F42" w:rsidRPr="005F1F42">
              <w:rPr>
                <w:rFonts w:ascii="Arial Narrow" w:hAnsi="Arial Narrow" w:cs="Calibri"/>
                <w:color w:val="000000"/>
                <w:sz w:val="20"/>
                <w:shd w:val="solid" w:color="000000" w:fill="000000"/>
                <w14:textFill>
                  <w14:solidFill>
                    <w14:srgbClr w14:val="000000">
                      <w14:alpha w14:val="100000"/>
                    </w14:srgbClr>
                  </w14:solidFill>
                </w14:textFill>
              </w:rPr>
              <w:t>|</w:t>
            </w:r>
          </w:p>
        </w:tc>
        <w:tc>
          <w:tcPr>
            <w:tcW w:w="799" w:type="pct"/>
            <w:vAlign w:val="center"/>
          </w:tcPr>
          <w:p w14:paraId="2680A357" w14:textId="77777777" w:rsidR="00AD5695" w:rsidRPr="0099114C" w:rsidRDefault="00AD5695" w:rsidP="00E4798D">
            <w:pPr>
              <w:pStyle w:val="Tabletextleft"/>
              <w:spacing w:before="0" w:after="0"/>
              <w:jc w:val="center"/>
              <w:rPr>
                <w:rFonts w:ascii="Arial Narrow" w:hAnsi="Arial Narrow" w:cs="Calibri"/>
                <w:color w:val="000000"/>
                <w:sz w:val="20"/>
              </w:rPr>
            </w:pPr>
            <w:r w:rsidRPr="0099114C">
              <w:rPr>
                <w:rFonts w:ascii="Arial Narrow" w:hAnsi="Arial Narrow" w:cs="Calibri"/>
                <w:color w:val="000000"/>
                <w:sz w:val="20"/>
              </w:rPr>
              <w:t>0.29</w:t>
            </w:r>
          </w:p>
        </w:tc>
        <w:tc>
          <w:tcPr>
            <w:tcW w:w="799" w:type="pct"/>
            <w:vAlign w:val="center"/>
          </w:tcPr>
          <w:p w14:paraId="3007065D" w14:textId="6D101443" w:rsidR="00AD5695" w:rsidRPr="009E5CCE" w:rsidRDefault="005F1F42" w:rsidP="00E4798D">
            <w:pPr>
              <w:pStyle w:val="Tabletextleft"/>
              <w:spacing w:before="0" w:after="0"/>
              <w:jc w:val="center"/>
              <w:rPr>
                <w:rFonts w:ascii="Arial Narrow" w:hAnsi="Arial Narrow" w:cs="Calibri"/>
                <w:color w:val="000000"/>
                <w:sz w:val="20"/>
                <w:highlight w:val="lightGray"/>
              </w:rPr>
            </w:pPr>
            <w:r w:rsidRPr="005F1F42">
              <w:rPr>
                <w:rFonts w:ascii="Arial Narrow" w:hAnsi="Arial Narrow" w:cs="Calibri"/>
                <w:color w:val="000000"/>
                <w:sz w:val="20"/>
                <w:shd w:val="solid" w:color="000000" w:fill="000000"/>
                <w14:textFill>
                  <w14:solidFill>
                    <w14:srgbClr w14:val="000000">
                      <w14:alpha w14:val="100000"/>
                    </w14:srgbClr>
                  </w14:solidFill>
                </w14:textFill>
              </w:rPr>
              <w:t>|</w:t>
            </w:r>
            <w:r w:rsidR="00A94571" w:rsidRPr="001A420F">
              <w:rPr>
                <w:rFonts w:ascii="Arial Narrow" w:hAnsi="Arial Narrow" w:cs="Calibri"/>
                <w:color w:val="000000"/>
                <w:sz w:val="20"/>
                <w:vertAlign w:val="superscript"/>
              </w:rPr>
              <w:t>3</w:t>
            </w:r>
          </w:p>
        </w:tc>
        <w:tc>
          <w:tcPr>
            <w:tcW w:w="799" w:type="pct"/>
            <w:vAlign w:val="center"/>
          </w:tcPr>
          <w:p w14:paraId="188BFBBF" w14:textId="2EB67B4D" w:rsidR="00AD5695" w:rsidRPr="0099114C" w:rsidRDefault="00E4798D" w:rsidP="00E4798D">
            <w:pPr>
              <w:pStyle w:val="Tabletextleft"/>
              <w:spacing w:before="0" w:after="0"/>
              <w:jc w:val="center"/>
              <w:rPr>
                <w:rFonts w:ascii="Arial Narrow" w:hAnsi="Arial Narrow" w:cs="Calibri"/>
                <w:color w:val="000000"/>
                <w:sz w:val="20"/>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Pr="0099114C">
              <w:rPr>
                <w:rFonts w:ascii="Arial Narrow" w:hAnsi="Arial Narrow"/>
                <w:sz w:val="20"/>
              </w:rPr>
              <w:t>%</w:t>
            </w:r>
          </w:p>
        </w:tc>
      </w:tr>
      <w:tr w:rsidR="000A4F38" w:rsidRPr="0099114C" w14:paraId="4BEB6AA0" w14:textId="77777777" w:rsidTr="003D26D2">
        <w:trPr>
          <w:trHeight w:val="227"/>
        </w:trPr>
        <w:tc>
          <w:tcPr>
            <w:tcW w:w="1806" w:type="pct"/>
            <w:vAlign w:val="center"/>
          </w:tcPr>
          <w:p w14:paraId="030BD97D" w14:textId="40723E93" w:rsidR="00AD5695" w:rsidRPr="0099114C" w:rsidRDefault="00AD5695" w:rsidP="00E4798D">
            <w:pPr>
              <w:pStyle w:val="Tabletextleft"/>
              <w:spacing w:before="0" w:after="0"/>
              <w:rPr>
                <w:rFonts w:ascii="Arial Narrow" w:hAnsi="Arial Narrow"/>
                <w:sz w:val="20"/>
              </w:rPr>
            </w:pPr>
            <w:r w:rsidRPr="0099114C">
              <w:rPr>
                <w:rFonts w:ascii="Arial Narrow" w:hAnsi="Arial Narrow"/>
                <w:sz w:val="20"/>
              </w:rPr>
              <w:t>ESRD utility for dialysis and transplant from Wyld et al. (2012)</w:t>
            </w:r>
            <w:r w:rsidR="0086769C" w:rsidRPr="0099114C">
              <w:rPr>
                <w:rFonts w:ascii="Arial Narrow" w:hAnsi="Arial Narrow"/>
                <w:sz w:val="20"/>
              </w:rPr>
              <w:t xml:space="preserve"> </w:t>
            </w:r>
            <w:r w:rsidR="0086769C" w:rsidRPr="0099114C">
              <w:rPr>
                <w:rFonts w:ascii="Arial Narrow" w:hAnsi="Arial Narrow"/>
                <w:sz w:val="20"/>
                <w:vertAlign w:val="superscript"/>
              </w:rPr>
              <w:t>a</w:t>
            </w:r>
          </w:p>
        </w:tc>
        <w:tc>
          <w:tcPr>
            <w:tcW w:w="798" w:type="pct"/>
            <w:vAlign w:val="center"/>
          </w:tcPr>
          <w:p w14:paraId="78A34CE0" w14:textId="7C2C7145" w:rsidR="00AD5695" w:rsidRPr="0099114C" w:rsidRDefault="00AD5695" w:rsidP="00E4798D">
            <w:pPr>
              <w:pStyle w:val="Tabletextleft"/>
              <w:spacing w:before="0" w:after="0"/>
              <w:jc w:val="center"/>
              <w:rPr>
                <w:rFonts w:ascii="Arial Narrow" w:hAnsi="Arial Narrow" w:cs="Calibri"/>
                <w:color w:val="000000"/>
                <w:sz w:val="20"/>
              </w:rPr>
            </w:pPr>
            <w:r w:rsidRPr="0099114C">
              <w:rPr>
                <w:rFonts w:ascii="Arial Narrow" w:hAnsi="Arial Narrow" w:cs="Calibri"/>
                <w:color w:val="000000"/>
                <w:sz w:val="20"/>
              </w:rPr>
              <w:t>$</w:t>
            </w:r>
            <w:r w:rsidR="005F1F42" w:rsidRPr="005F1F42">
              <w:rPr>
                <w:rFonts w:ascii="Arial Narrow" w:hAnsi="Arial Narrow" w:cs="Calibri"/>
                <w:color w:val="000000"/>
                <w:sz w:val="20"/>
                <w:shd w:val="solid" w:color="000000" w:fill="000000"/>
                <w14:textFill>
                  <w14:solidFill>
                    <w14:srgbClr w14:val="000000">
                      <w14:alpha w14:val="100000"/>
                    </w14:srgbClr>
                  </w14:solidFill>
                </w14:textFill>
              </w:rPr>
              <w:t>|</w:t>
            </w:r>
          </w:p>
        </w:tc>
        <w:tc>
          <w:tcPr>
            <w:tcW w:w="799" w:type="pct"/>
            <w:vAlign w:val="center"/>
          </w:tcPr>
          <w:p w14:paraId="2BC91D9F" w14:textId="77777777" w:rsidR="00AD5695" w:rsidRPr="0099114C" w:rsidRDefault="00AD5695" w:rsidP="00E4798D">
            <w:pPr>
              <w:pStyle w:val="Tabletextleft"/>
              <w:spacing w:before="0" w:after="0"/>
              <w:jc w:val="center"/>
              <w:rPr>
                <w:rFonts w:ascii="Arial Narrow" w:hAnsi="Arial Narrow" w:cs="Calibri"/>
                <w:color w:val="000000"/>
                <w:sz w:val="20"/>
              </w:rPr>
            </w:pPr>
            <w:r w:rsidRPr="0099114C">
              <w:rPr>
                <w:rFonts w:ascii="Arial Narrow" w:hAnsi="Arial Narrow" w:cs="Calibri"/>
                <w:color w:val="000000"/>
                <w:sz w:val="20"/>
              </w:rPr>
              <w:t>0.28</w:t>
            </w:r>
          </w:p>
        </w:tc>
        <w:tc>
          <w:tcPr>
            <w:tcW w:w="799" w:type="pct"/>
            <w:vAlign w:val="center"/>
          </w:tcPr>
          <w:p w14:paraId="5D822B0F" w14:textId="11E63D7E" w:rsidR="00AD5695" w:rsidRPr="0099114C" w:rsidRDefault="005F1F42" w:rsidP="00E4798D">
            <w:pPr>
              <w:pStyle w:val="Tabletextleft"/>
              <w:spacing w:before="0" w:after="0"/>
              <w:jc w:val="center"/>
              <w:rPr>
                <w:rFonts w:ascii="Arial Narrow" w:hAnsi="Arial Narrow" w:cs="Calibri"/>
                <w:color w:val="000000"/>
                <w:sz w:val="20"/>
              </w:rPr>
            </w:pPr>
            <w:r w:rsidRPr="005F1F42">
              <w:rPr>
                <w:rFonts w:ascii="Arial Narrow" w:hAnsi="Arial Narrow" w:cs="Calibri"/>
                <w:color w:val="000000"/>
                <w:sz w:val="20"/>
                <w:shd w:val="solid" w:color="000000" w:fill="000000"/>
                <w14:textFill>
                  <w14:solidFill>
                    <w14:srgbClr w14:val="000000">
                      <w14:alpha w14:val="100000"/>
                    </w14:srgbClr>
                  </w14:solidFill>
                </w14:textFill>
              </w:rPr>
              <w:t>|</w:t>
            </w:r>
            <w:r w:rsidR="00A94571" w:rsidRPr="001A420F">
              <w:rPr>
                <w:rFonts w:ascii="Arial Narrow" w:hAnsi="Arial Narrow" w:cs="Calibri"/>
                <w:color w:val="000000"/>
                <w:sz w:val="20"/>
                <w:vertAlign w:val="superscript"/>
              </w:rPr>
              <w:t>3</w:t>
            </w:r>
          </w:p>
        </w:tc>
        <w:tc>
          <w:tcPr>
            <w:tcW w:w="799" w:type="pct"/>
            <w:vAlign w:val="center"/>
          </w:tcPr>
          <w:p w14:paraId="65BAD788" w14:textId="19A796F8" w:rsidR="00AD5695" w:rsidRPr="0099114C" w:rsidRDefault="00E4798D" w:rsidP="00E4798D">
            <w:pPr>
              <w:pStyle w:val="Tabletextleft"/>
              <w:spacing w:before="0" w:after="0"/>
              <w:jc w:val="center"/>
              <w:rPr>
                <w:rFonts w:ascii="Arial Narrow" w:hAnsi="Arial Narrow" w:cs="Calibri"/>
                <w:color w:val="000000"/>
                <w:sz w:val="20"/>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Pr="0099114C">
              <w:rPr>
                <w:rFonts w:ascii="Arial Narrow" w:hAnsi="Arial Narrow"/>
                <w:sz w:val="20"/>
              </w:rPr>
              <w:t>%</w:t>
            </w:r>
          </w:p>
        </w:tc>
      </w:tr>
      <w:tr w:rsidR="00AD5695" w:rsidRPr="0099114C" w14:paraId="6F194999" w14:textId="77777777" w:rsidTr="003D26D2">
        <w:trPr>
          <w:trHeight w:val="227"/>
        </w:trPr>
        <w:tc>
          <w:tcPr>
            <w:tcW w:w="5000" w:type="pct"/>
            <w:gridSpan w:val="5"/>
            <w:vAlign w:val="center"/>
            <w:hideMark/>
          </w:tcPr>
          <w:p w14:paraId="21665D62" w14:textId="77777777" w:rsidR="00AD5695" w:rsidRPr="0099114C" w:rsidRDefault="00AD5695" w:rsidP="00E4798D">
            <w:pPr>
              <w:pStyle w:val="Tabletextleft"/>
              <w:keepNext/>
              <w:keepLines/>
              <w:spacing w:before="0" w:after="0"/>
              <w:jc w:val="left"/>
              <w:rPr>
                <w:rFonts w:ascii="Arial Narrow" w:hAnsi="Arial Narrow"/>
                <w:sz w:val="20"/>
              </w:rPr>
            </w:pPr>
            <w:r w:rsidRPr="0099114C">
              <w:rPr>
                <w:rFonts w:ascii="Arial Narrow" w:hAnsi="Arial Narrow"/>
                <w:b/>
                <w:sz w:val="20"/>
              </w:rPr>
              <w:t>Rituximab maintenance weighting (base case 50%)</w:t>
            </w:r>
          </w:p>
        </w:tc>
      </w:tr>
      <w:tr w:rsidR="000A4F38" w:rsidRPr="0099114C" w14:paraId="3D6C530E" w14:textId="77777777" w:rsidTr="003D26D2">
        <w:trPr>
          <w:trHeight w:val="227"/>
        </w:trPr>
        <w:tc>
          <w:tcPr>
            <w:tcW w:w="1806" w:type="pct"/>
            <w:vAlign w:val="center"/>
          </w:tcPr>
          <w:p w14:paraId="382959FC" w14:textId="69EDD4FC" w:rsidR="00AD5695" w:rsidRPr="0099114C" w:rsidRDefault="00AD5695" w:rsidP="00E4798D">
            <w:pPr>
              <w:pStyle w:val="Tabletextleft"/>
              <w:keepNext/>
              <w:keepLines/>
              <w:spacing w:before="0" w:after="0"/>
              <w:rPr>
                <w:rFonts w:ascii="Arial Narrow" w:hAnsi="Arial Narrow"/>
                <w:sz w:val="20"/>
              </w:rPr>
            </w:pPr>
            <w:r w:rsidRPr="0099114C">
              <w:rPr>
                <w:rFonts w:ascii="Arial Narrow" w:hAnsi="Arial Narrow"/>
                <w:sz w:val="20"/>
              </w:rPr>
              <w:t>100% rituximab use</w:t>
            </w:r>
            <w:r w:rsidR="00AB4D8C" w:rsidRPr="0099114C">
              <w:rPr>
                <w:rFonts w:ascii="Arial Narrow" w:hAnsi="Arial Narrow"/>
                <w:sz w:val="20"/>
                <w:vertAlign w:val="superscript"/>
              </w:rPr>
              <w:t xml:space="preserve"> a</w:t>
            </w:r>
          </w:p>
        </w:tc>
        <w:tc>
          <w:tcPr>
            <w:tcW w:w="798" w:type="pct"/>
            <w:vAlign w:val="center"/>
          </w:tcPr>
          <w:p w14:paraId="256DE580" w14:textId="465F5F17" w:rsidR="00AD5695" w:rsidRPr="0099114C" w:rsidRDefault="00AD5695" w:rsidP="00E4798D">
            <w:pPr>
              <w:pStyle w:val="Tabletextleft"/>
              <w:keepNext/>
              <w:keepLines/>
              <w:spacing w:before="0" w:after="0"/>
              <w:jc w:val="center"/>
              <w:rPr>
                <w:rFonts w:ascii="Arial Narrow" w:hAnsi="Arial Narrow"/>
                <w:sz w:val="20"/>
              </w:rPr>
            </w:pPr>
            <w:r w:rsidRPr="0099114C">
              <w:rPr>
                <w:rFonts w:ascii="Arial Narrow" w:hAnsi="Arial Narrow"/>
                <w:sz w:val="20"/>
              </w:rPr>
              <w:t>$</w:t>
            </w:r>
            <w:r w:rsidR="005F1F42" w:rsidRPr="005F1F42">
              <w:rPr>
                <w:rFonts w:ascii="Arial Narrow" w:hAnsi="Arial Narrow"/>
                <w:color w:val="000000"/>
                <w:sz w:val="20"/>
                <w:shd w:val="solid" w:color="000000" w:fill="000000"/>
                <w14:textFill>
                  <w14:solidFill>
                    <w14:srgbClr w14:val="000000">
                      <w14:alpha w14:val="100000"/>
                    </w14:srgbClr>
                  </w14:solidFill>
                </w14:textFill>
              </w:rPr>
              <w:t>|</w:t>
            </w:r>
          </w:p>
        </w:tc>
        <w:tc>
          <w:tcPr>
            <w:tcW w:w="799" w:type="pct"/>
            <w:vAlign w:val="center"/>
          </w:tcPr>
          <w:p w14:paraId="040A27E2" w14:textId="77777777" w:rsidR="00AD5695" w:rsidRPr="0099114C" w:rsidRDefault="00AD5695" w:rsidP="00E4798D">
            <w:pPr>
              <w:pStyle w:val="Tabletextleft"/>
              <w:keepNext/>
              <w:keepLines/>
              <w:spacing w:before="0" w:after="0"/>
              <w:jc w:val="center"/>
              <w:rPr>
                <w:rFonts w:ascii="Arial Narrow" w:hAnsi="Arial Narrow"/>
                <w:sz w:val="20"/>
              </w:rPr>
            </w:pPr>
            <w:r w:rsidRPr="0099114C">
              <w:rPr>
                <w:rFonts w:ascii="Arial Narrow" w:hAnsi="Arial Narrow"/>
                <w:sz w:val="20"/>
              </w:rPr>
              <w:t>0.29</w:t>
            </w:r>
          </w:p>
        </w:tc>
        <w:tc>
          <w:tcPr>
            <w:tcW w:w="799" w:type="pct"/>
            <w:vAlign w:val="center"/>
          </w:tcPr>
          <w:p w14:paraId="14A8CE6A" w14:textId="6409CC97" w:rsidR="00AD5695" w:rsidRPr="009E5CCE" w:rsidRDefault="005F1F42" w:rsidP="00E4798D">
            <w:pPr>
              <w:pStyle w:val="Tabletextleft"/>
              <w:keepNext/>
              <w:keepLines/>
              <w:spacing w:before="0" w:after="0"/>
              <w:jc w:val="center"/>
              <w:rPr>
                <w:rFonts w:ascii="Arial Narrow" w:hAnsi="Arial Narrow"/>
                <w:sz w:val="20"/>
                <w:highlight w:val="lightGray"/>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00A94571" w:rsidRPr="001A420F">
              <w:rPr>
                <w:rFonts w:ascii="Arial Narrow" w:hAnsi="Arial Narrow" w:cs="Calibri"/>
                <w:color w:val="000000"/>
                <w:sz w:val="20"/>
                <w:vertAlign w:val="superscript"/>
              </w:rPr>
              <w:t>3</w:t>
            </w:r>
          </w:p>
        </w:tc>
        <w:tc>
          <w:tcPr>
            <w:tcW w:w="799" w:type="pct"/>
            <w:vAlign w:val="center"/>
          </w:tcPr>
          <w:p w14:paraId="2B036CA9" w14:textId="0E117EA1" w:rsidR="00AD5695" w:rsidRPr="0099114C" w:rsidRDefault="00E4798D" w:rsidP="00E4798D">
            <w:pPr>
              <w:pStyle w:val="Tabletextleft"/>
              <w:keepNext/>
              <w:keepLines/>
              <w:spacing w:before="0" w:after="0"/>
              <w:jc w:val="center"/>
              <w:rPr>
                <w:rFonts w:ascii="Arial Narrow" w:hAnsi="Arial Narrow"/>
                <w:sz w:val="20"/>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Pr="0099114C">
              <w:rPr>
                <w:rFonts w:ascii="Arial Narrow" w:hAnsi="Arial Narrow"/>
                <w:sz w:val="20"/>
              </w:rPr>
              <w:t>%</w:t>
            </w:r>
          </w:p>
        </w:tc>
      </w:tr>
      <w:tr w:rsidR="000A4F38" w:rsidRPr="0099114C" w14:paraId="1F4D4BD2" w14:textId="77777777" w:rsidTr="003D26D2">
        <w:trPr>
          <w:trHeight w:val="227"/>
        </w:trPr>
        <w:tc>
          <w:tcPr>
            <w:tcW w:w="1806" w:type="pct"/>
          </w:tcPr>
          <w:p w14:paraId="56FF973D" w14:textId="609F1807" w:rsidR="00AB4D8C" w:rsidRPr="0099114C" w:rsidRDefault="00AB4D8C" w:rsidP="00E4798D">
            <w:pPr>
              <w:pStyle w:val="Tabletextleft"/>
              <w:keepNext/>
              <w:keepLines/>
              <w:spacing w:before="0" w:after="0"/>
              <w:rPr>
                <w:rFonts w:ascii="Arial Narrow" w:hAnsi="Arial Narrow"/>
                <w:sz w:val="20"/>
              </w:rPr>
            </w:pPr>
            <w:r w:rsidRPr="0099114C">
              <w:rPr>
                <w:rFonts w:ascii="Arial Narrow" w:hAnsi="Arial Narrow"/>
                <w:sz w:val="20"/>
              </w:rPr>
              <w:t>90% rituximab use</w:t>
            </w:r>
          </w:p>
        </w:tc>
        <w:tc>
          <w:tcPr>
            <w:tcW w:w="798" w:type="pct"/>
          </w:tcPr>
          <w:p w14:paraId="2659E8A9" w14:textId="4533263C" w:rsidR="00AB4D8C" w:rsidRPr="0099114C" w:rsidRDefault="00AB4D8C" w:rsidP="00E4798D">
            <w:pPr>
              <w:pStyle w:val="Tabletextleft"/>
              <w:keepNext/>
              <w:keepLines/>
              <w:spacing w:before="0" w:after="0"/>
              <w:jc w:val="center"/>
              <w:rPr>
                <w:rFonts w:ascii="Arial Narrow" w:hAnsi="Arial Narrow"/>
                <w:sz w:val="20"/>
              </w:rPr>
            </w:pPr>
            <w:r w:rsidRPr="0099114C">
              <w:rPr>
                <w:rFonts w:ascii="Arial Narrow" w:hAnsi="Arial Narrow"/>
                <w:sz w:val="20"/>
              </w:rPr>
              <w:t>$</w:t>
            </w:r>
            <w:r w:rsidR="005F1F42" w:rsidRPr="005F1F42">
              <w:rPr>
                <w:rFonts w:ascii="Arial Narrow" w:hAnsi="Arial Narrow"/>
                <w:color w:val="000000"/>
                <w:sz w:val="20"/>
                <w:shd w:val="solid" w:color="000000" w:fill="000000"/>
                <w14:textFill>
                  <w14:solidFill>
                    <w14:srgbClr w14:val="000000">
                      <w14:alpha w14:val="100000"/>
                    </w14:srgbClr>
                  </w14:solidFill>
                </w14:textFill>
              </w:rPr>
              <w:t>|</w:t>
            </w:r>
          </w:p>
        </w:tc>
        <w:tc>
          <w:tcPr>
            <w:tcW w:w="799" w:type="pct"/>
          </w:tcPr>
          <w:p w14:paraId="623F6BA4" w14:textId="3D7A12E6" w:rsidR="00AB4D8C" w:rsidRPr="0099114C" w:rsidRDefault="00AB4D8C" w:rsidP="00E4798D">
            <w:pPr>
              <w:pStyle w:val="Tabletextleft"/>
              <w:keepNext/>
              <w:keepLines/>
              <w:spacing w:before="0" w:after="0"/>
              <w:jc w:val="center"/>
              <w:rPr>
                <w:rFonts w:ascii="Arial Narrow" w:hAnsi="Arial Narrow"/>
                <w:sz w:val="20"/>
              </w:rPr>
            </w:pPr>
            <w:r w:rsidRPr="0099114C">
              <w:rPr>
                <w:rFonts w:ascii="Arial Narrow" w:hAnsi="Arial Narrow"/>
                <w:sz w:val="20"/>
              </w:rPr>
              <w:t xml:space="preserve"> 0.30 </w:t>
            </w:r>
          </w:p>
        </w:tc>
        <w:tc>
          <w:tcPr>
            <w:tcW w:w="799" w:type="pct"/>
          </w:tcPr>
          <w:p w14:paraId="36116106" w14:textId="58E40CFF" w:rsidR="00AB4D8C" w:rsidRPr="009E5CCE" w:rsidRDefault="005F1F42" w:rsidP="00E4798D">
            <w:pPr>
              <w:pStyle w:val="Tabletextleft"/>
              <w:keepNext/>
              <w:keepLines/>
              <w:spacing w:before="0" w:after="0"/>
              <w:jc w:val="center"/>
              <w:rPr>
                <w:rFonts w:ascii="Arial Narrow" w:hAnsi="Arial Narrow"/>
                <w:sz w:val="20"/>
                <w:highlight w:val="lightGray"/>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00A94571" w:rsidRPr="001A420F">
              <w:rPr>
                <w:rFonts w:ascii="Arial Narrow" w:hAnsi="Arial Narrow" w:cs="Calibri"/>
                <w:color w:val="000000"/>
                <w:sz w:val="20"/>
                <w:vertAlign w:val="superscript"/>
              </w:rPr>
              <w:t>3</w:t>
            </w:r>
          </w:p>
        </w:tc>
        <w:tc>
          <w:tcPr>
            <w:tcW w:w="799" w:type="pct"/>
          </w:tcPr>
          <w:p w14:paraId="53C3F2FA" w14:textId="5033A3A1" w:rsidR="00AB4D8C" w:rsidRPr="0099114C" w:rsidRDefault="00E4798D" w:rsidP="00E4798D">
            <w:pPr>
              <w:pStyle w:val="Tabletextleft"/>
              <w:keepNext/>
              <w:keepLines/>
              <w:spacing w:before="0" w:after="0"/>
              <w:jc w:val="center"/>
              <w:rPr>
                <w:rFonts w:ascii="Arial Narrow" w:hAnsi="Arial Narrow"/>
                <w:sz w:val="20"/>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Pr="0099114C">
              <w:rPr>
                <w:rFonts w:ascii="Arial Narrow" w:hAnsi="Arial Narrow"/>
                <w:sz w:val="20"/>
              </w:rPr>
              <w:t>%</w:t>
            </w:r>
          </w:p>
        </w:tc>
      </w:tr>
      <w:tr w:rsidR="000A4F38" w:rsidRPr="0099114C" w14:paraId="70643196" w14:textId="77777777" w:rsidTr="003D26D2">
        <w:trPr>
          <w:trHeight w:val="227"/>
        </w:trPr>
        <w:tc>
          <w:tcPr>
            <w:tcW w:w="1806" w:type="pct"/>
            <w:vAlign w:val="center"/>
            <w:hideMark/>
          </w:tcPr>
          <w:p w14:paraId="7FBB1ABF" w14:textId="77777777" w:rsidR="00AD5695" w:rsidRPr="0099114C" w:rsidRDefault="00AD5695" w:rsidP="00E4798D">
            <w:pPr>
              <w:pStyle w:val="Tabletextleft"/>
              <w:spacing w:before="0" w:after="0"/>
              <w:rPr>
                <w:rFonts w:ascii="Arial Narrow" w:hAnsi="Arial Narrow"/>
                <w:sz w:val="20"/>
              </w:rPr>
            </w:pPr>
            <w:r w:rsidRPr="0099114C">
              <w:rPr>
                <w:rFonts w:ascii="Arial Narrow" w:hAnsi="Arial Narrow"/>
                <w:sz w:val="20"/>
              </w:rPr>
              <w:t>70% rituximab use</w:t>
            </w:r>
          </w:p>
        </w:tc>
        <w:tc>
          <w:tcPr>
            <w:tcW w:w="798" w:type="pct"/>
            <w:vAlign w:val="center"/>
            <w:hideMark/>
          </w:tcPr>
          <w:p w14:paraId="47FE0959" w14:textId="1D420A57"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sz w:val="20"/>
              </w:rPr>
              <w:t>$</w:t>
            </w:r>
            <w:r w:rsidR="005F1F42" w:rsidRPr="005F1F42">
              <w:rPr>
                <w:rFonts w:ascii="Arial Narrow" w:hAnsi="Arial Narrow"/>
                <w:color w:val="000000"/>
                <w:sz w:val="20"/>
                <w:shd w:val="solid" w:color="000000" w:fill="000000"/>
                <w14:textFill>
                  <w14:solidFill>
                    <w14:srgbClr w14:val="000000">
                      <w14:alpha w14:val="100000"/>
                    </w14:srgbClr>
                  </w14:solidFill>
                </w14:textFill>
              </w:rPr>
              <w:t>|</w:t>
            </w:r>
          </w:p>
        </w:tc>
        <w:tc>
          <w:tcPr>
            <w:tcW w:w="799" w:type="pct"/>
            <w:vAlign w:val="center"/>
            <w:hideMark/>
          </w:tcPr>
          <w:p w14:paraId="77B96DD3" w14:textId="77777777"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sz w:val="20"/>
              </w:rPr>
              <w:t>0.31</w:t>
            </w:r>
          </w:p>
        </w:tc>
        <w:tc>
          <w:tcPr>
            <w:tcW w:w="799" w:type="pct"/>
            <w:vAlign w:val="center"/>
            <w:hideMark/>
          </w:tcPr>
          <w:p w14:paraId="1FB73755" w14:textId="7E578A6A" w:rsidR="00AD5695" w:rsidRPr="009E5CCE" w:rsidRDefault="005F1F42" w:rsidP="00E4798D">
            <w:pPr>
              <w:pStyle w:val="Tabletextleft"/>
              <w:spacing w:before="0" w:after="0"/>
              <w:jc w:val="center"/>
              <w:rPr>
                <w:rFonts w:ascii="Arial Narrow" w:hAnsi="Arial Narrow"/>
                <w:sz w:val="20"/>
                <w:highlight w:val="lightGray"/>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00A94571" w:rsidRPr="001A420F">
              <w:rPr>
                <w:rFonts w:ascii="Arial Narrow" w:hAnsi="Arial Narrow" w:cs="Calibri"/>
                <w:color w:val="000000"/>
                <w:sz w:val="20"/>
                <w:vertAlign w:val="superscript"/>
              </w:rPr>
              <w:t>3</w:t>
            </w:r>
          </w:p>
        </w:tc>
        <w:tc>
          <w:tcPr>
            <w:tcW w:w="799" w:type="pct"/>
            <w:vAlign w:val="center"/>
            <w:hideMark/>
          </w:tcPr>
          <w:p w14:paraId="52D27F23" w14:textId="681939B8" w:rsidR="00AD5695" w:rsidRPr="0099114C" w:rsidRDefault="00E4798D" w:rsidP="00E4798D">
            <w:pPr>
              <w:pStyle w:val="Tabletextleft"/>
              <w:spacing w:before="0" w:after="0"/>
              <w:jc w:val="center"/>
              <w:rPr>
                <w:rFonts w:ascii="Arial Narrow" w:hAnsi="Arial Narrow"/>
                <w:sz w:val="20"/>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Pr="0099114C">
              <w:rPr>
                <w:rFonts w:ascii="Arial Narrow" w:hAnsi="Arial Narrow"/>
                <w:sz w:val="20"/>
              </w:rPr>
              <w:t>%</w:t>
            </w:r>
          </w:p>
        </w:tc>
      </w:tr>
      <w:tr w:rsidR="000A4F38" w:rsidRPr="0099114C" w14:paraId="439F3BF0" w14:textId="77777777" w:rsidTr="003D26D2">
        <w:trPr>
          <w:trHeight w:val="227"/>
        </w:trPr>
        <w:tc>
          <w:tcPr>
            <w:tcW w:w="1806" w:type="pct"/>
            <w:vAlign w:val="center"/>
          </w:tcPr>
          <w:p w14:paraId="4ECF3975" w14:textId="3C81D391" w:rsidR="00AD5695" w:rsidRPr="0099114C" w:rsidRDefault="00AD5695" w:rsidP="00E4798D">
            <w:pPr>
              <w:pStyle w:val="Tabletextleft"/>
              <w:spacing w:before="0" w:after="0"/>
              <w:rPr>
                <w:rFonts w:ascii="Arial Narrow" w:hAnsi="Arial Narrow"/>
                <w:sz w:val="20"/>
              </w:rPr>
            </w:pPr>
            <w:r w:rsidRPr="0099114C">
              <w:rPr>
                <w:rFonts w:ascii="Arial Narrow" w:hAnsi="Arial Narrow"/>
                <w:sz w:val="20"/>
              </w:rPr>
              <w:t>43% rituximab use</w:t>
            </w:r>
            <w:r w:rsidR="00AB4D8C" w:rsidRPr="0099114C">
              <w:rPr>
                <w:rFonts w:ascii="Arial Narrow" w:hAnsi="Arial Narrow"/>
                <w:sz w:val="20"/>
                <w:vertAlign w:val="superscript"/>
              </w:rPr>
              <w:t xml:space="preserve"> a</w:t>
            </w:r>
          </w:p>
        </w:tc>
        <w:tc>
          <w:tcPr>
            <w:tcW w:w="798" w:type="pct"/>
            <w:vAlign w:val="center"/>
          </w:tcPr>
          <w:p w14:paraId="7EDC21FB" w14:textId="2775D91C"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sz w:val="20"/>
              </w:rPr>
              <w:t>$</w:t>
            </w:r>
            <w:r w:rsidR="005F1F42" w:rsidRPr="005F1F42">
              <w:rPr>
                <w:rFonts w:ascii="Arial Narrow" w:hAnsi="Arial Narrow"/>
                <w:color w:val="000000"/>
                <w:sz w:val="20"/>
                <w:shd w:val="solid" w:color="000000" w:fill="000000"/>
                <w14:textFill>
                  <w14:solidFill>
                    <w14:srgbClr w14:val="000000">
                      <w14:alpha w14:val="100000"/>
                    </w14:srgbClr>
                  </w14:solidFill>
                </w14:textFill>
              </w:rPr>
              <w:t>|</w:t>
            </w:r>
          </w:p>
        </w:tc>
        <w:tc>
          <w:tcPr>
            <w:tcW w:w="799" w:type="pct"/>
            <w:vAlign w:val="center"/>
          </w:tcPr>
          <w:p w14:paraId="5E108A46" w14:textId="77777777"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sz w:val="20"/>
              </w:rPr>
              <w:t>0.34</w:t>
            </w:r>
          </w:p>
        </w:tc>
        <w:tc>
          <w:tcPr>
            <w:tcW w:w="799" w:type="pct"/>
            <w:vAlign w:val="center"/>
          </w:tcPr>
          <w:p w14:paraId="3B959571" w14:textId="17B62548" w:rsidR="00AD5695" w:rsidRPr="009E5CCE" w:rsidRDefault="005F1F42" w:rsidP="00E4798D">
            <w:pPr>
              <w:pStyle w:val="Tabletextleft"/>
              <w:spacing w:before="0" w:after="0"/>
              <w:jc w:val="center"/>
              <w:rPr>
                <w:rFonts w:ascii="Arial Narrow" w:hAnsi="Arial Narrow"/>
                <w:sz w:val="20"/>
                <w:highlight w:val="lightGray"/>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00A94571" w:rsidRPr="001A420F">
              <w:rPr>
                <w:rFonts w:ascii="Arial Narrow" w:hAnsi="Arial Narrow"/>
                <w:sz w:val="20"/>
                <w:vertAlign w:val="superscript"/>
              </w:rPr>
              <w:t>1</w:t>
            </w:r>
          </w:p>
        </w:tc>
        <w:tc>
          <w:tcPr>
            <w:tcW w:w="799" w:type="pct"/>
            <w:vAlign w:val="center"/>
          </w:tcPr>
          <w:p w14:paraId="7492ED1C" w14:textId="2AC826B4"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sz w:val="20"/>
              </w:rPr>
              <w:t>-</w:t>
            </w:r>
            <w:r w:rsidR="00E4798D" w:rsidRPr="005F1F42">
              <w:rPr>
                <w:rFonts w:ascii="Arial Narrow" w:hAnsi="Arial Narrow"/>
                <w:color w:val="000000"/>
                <w:sz w:val="20"/>
                <w:shd w:val="solid" w:color="000000" w:fill="000000"/>
                <w14:textFill>
                  <w14:solidFill>
                    <w14:srgbClr w14:val="000000">
                      <w14:alpha w14:val="100000"/>
                    </w14:srgbClr>
                  </w14:solidFill>
                </w14:textFill>
              </w:rPr>
              <w:t>|</w:t>
            </w:r>
            <w:r w:rsidR="00E4798D" w:rsidRPr="0099114C">
              <w:rPr>
                <w:rFonts w:ascii="Arial Narrow" w:hAnsi="Arial Narrow"/>
                <w:sz w:val="20"/>
              </w:rPr>
              <w:t>%</w:t>
            </w:r>
          </w:p>
        </w:tc>
      </w:tr>
      <w:tr w:rsidR="000A4F38" w:rsidRPr="0099114C" w14:paraId="1A331EB7" w14:textId="77777777" w:rsidTr="003D26D2">
        <w:trPr>
          <w:trHeight w:val="227"/>
        </w:trPr>
        <w:tc>
          <w:tcPr>
            <w:tcW w:w="1806" w:type="pct"/>
            <w:vAlign w:val="center"/>
            <w:hideMark/>
          </w:tcPr>
          <w:p w14:paraId="4ECB4E43" w14:textId="77777777" w:rsidR="00AD5695" w:rsidRPr="0099114C" w:rsidRDefault="00AD5695" w:rsidP="00E4798D">
            <w:pPr>
              <w:pStyle w:val="Tabletextleft"/>
              <w:spacing w:before="0" w:after="0"/>
              <w:rPr>
                <w:rFonts w:ascii="Arial Narrow" w:hAnsi="Arial Narrow"/>
                <w:sz w:val="20"/>
              </w:rPr>
            </w:pPr>
            <w:r w:rsidRPr="0099114C">
              <w:rPr>
                <w:rFonts w:ascii="Arial Narrow" w:hAnsi="Arial Narrow"/>
                <w:sz w:val="20"/>
              </w:rPr>
              <w:t>30% rituximab use</w:t>
            </w:r>
          </w:p>
        </w:tc>
        <w:tc>
          <w:tcPr>
            <w:tcW w:w="798" w:type="pct"/>
            <w:vAlign w:val="center"/>
            <w:hideMark/>
          </w:tcPr>
          <w:p w14:paraId="688645A4" w14:textId="5B5C582A"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sz w:val="20"/>
              </w:rPr>
              <w:t>$</w:t>
            </w:r>
            <w:r w:rsidR="005F1F42" w:rsidRPr="005F1F42">
              <w:rPr>
                <w:rFonts w:ascii="Arial Narrow" w:hAnsi="Arial Narrow"/>
                <w:color w:val="000000"/>
                <w:sz w:val="20"/>
                <w:shd w:val="solid" w:color="000000" w:fill="000000"/>
                <w14:textFill>
                  <w14:solidFill>
                    <w14:srgbClr w14:val="000000">
                      <w14:alpha w14:val="100000"/>
                    </w14:srgbClr>
                  </w14:solidFill>
                </w14:textFill>
              </w:rPr>
              <w:t>|</w:t>
            </w:r>
          </w:p>
        </w:tc>
        <w:tc>
          <w:tcPr>
            <w:tcW w:w="799" w:type="pct"/>
            <w:vAlign w:val="center"/>
            <w:hideMark/>
          </w:tcPr>
          <w:p w14:paraId="022A949A" w14:textId="77777777"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sz w:val="20"/>
              </w:rPr>
              <w:t>0.35</w:t>
            </w:r>
          </w:p>
        </w:tc>
        <w:tc>
          <w:tcPr>
            <w:tcW w:w="799" w:type="pct"/>
            <w:vAlign w:val="center"/>
            <w:hideMark/>
          </w:tcPr>
          <w:p w14:paraId="36937A43" w14:textId="5E7835A0" w:rsidR="00AD5695" w:rsidRPr="009E5CCE" w:rsidRDefault="005F1F42" w:rsidP="00E4798D">
            <w:pPr>
              <w:pStyle w:val="Tabletextleft"/>
              <w:spacing w:before="0" w:after="0"/>
              <w:jc w:val="center"/>
              <w:rPr>
                <w:rFonts w:ascii="Arial Narrow" w:hAnsi="Arial Narrow"/>
                <w:sz w:val="20"/>
                <w:highlight w:val="lightGray"/>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006A169C" w:rsidRPr="009E5CCE">
              <w:rPr>
                <w:rFonts w:ascii="Arial Narrow" w:hAnsi="Arial Narrow"/>
                <w:sz w:val="20"/>
                <w:vertAlign w:val="superscript"/>
              </w:rPr>
              <w:t>1</w:t>
            </w:r>
          </w:p>
        </w:tc>
        <w:tc>
          <w:tcPr>
            <w:tcW w:w="799" w:type="pct"/>
            <w:vAlign w:val="center"/>
            <w:hideMark/>
          </w:tcPr>
          <w:p w14:paraId="52C63D86" w14:textId="5B819F94"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sz w:val="20"/>
              </w:rPr>
              <w:t>-</w:t>
            </w:r>
            <w:r w:rsidR="00E4798D" w:rsidRPr="005F1F42">
              <w:rPr>
                <w:rFonts w:ascii="Arial Narrow" w:hAnsi="Arial Narrow"/>
                <w:color w:val="000000"/>
                <w:sz w:val="20"/>
                <w:shd w:val="solid" w:color="000000" w:fill="000000"/>
                <w14:textFill>
                  <w14:solidFill>
                    <w14:srgbClr w14:val="000000">
                      <w14:alpha w14:val="100000"/>
                    </w14:srgbClr>
                  </w14:solidFill>
                </w14:textFill>
              </w:rPr>
              <w:t>|</w:t>
            </w:r>
            <w:r w:rsidR="00E4798D" w:rsidRPr="0099114C">
              <w:rPr>
                <w:rFonts w:ascii="Arial Narrow" w:hAnsi="Arial Narrow"/>
                <w:sz w:val="20"/>
              </w:rPr>
              <w:t>%</w:t>
            </w:r>
          </w:p>
        </w:tc>
      </w:tr>
      <w:tr w:rsidR="000A4F38" w:rsidRPr="0099114C" w14:paraId="19CD7310" w14:textId="77777777" w:rsidTr="003D26D2">
        <w:trPr>
          <w:trHeight w:val="227"/>
        </w:trPr>
        <w:tc>
          <w:tcPr>
            <w:tcW w:w="1806" w:type="pct"/>
            <w:vAlign w:val="center"/>
          </w:tcPr>
          <w:p w14:paraId="362E0E93" w14:textId="23F4B4DA" w:rsidR="00AD5695" w:rsidRPr="0099114C" w:rsidRDefault="00AD5695" w:rsidP="00E4798D">
            <w:pPr>
              <w:pStyle w:val="Tabletextleft"/>
              <w:spacing w:before="0" w:after="0"/>
              <w:rPr>
                <w:rFonts w:ascii="Arial Narrow" w:hAnsi="Arial Narrow"/>
                <w:sz w:val="20"/>
              </w:rPr>
            </w:pPr>
            <w:r w:rsidRPr="0099114C">
              <w:rPr>
                <w:rFonts w:ascii="Arial Narrow" w:hAnsi="Arial Narrow"/>
                <w:sz w:val="20"/>
              </w:rPr>
              <w:t>0% rituximab use</w:t>
            </w:r>
            <w:r w:rsidR="00AB4D8C" w:rsidRPr="0099114C">
              <w:rPr>
                <w:rFonts w:ascii="Arial Narrow" w:hAnsi="Arial Narrow"/>
                <w:sz w:val="20"/>
                <w:vertAlign w:val="superscript"/>
              </w:rPr>
              <w:t xml:space="preserve"> a</w:t>
            </w:r>
          </w:p>
        </w:tc>
        <w:tc>
          <w:tcPr>
            <w:tcW w:w="798" w:type="pct"/>
            <w:vAlign w:val="center"/>
          </w:tcPr>
          <w:p w14:paraId="1FF1EACE" w14:textId="0CC30D34"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sz w:val="20"/>
              </w:rPr>
              <w:t>$</w:t>
            </w:r>
            <w:r w:rsidR="005F1F42" w:rsidRPr="005F1F42">
              <w:rPr>
                <w:rFonts w:ascii="Arial Narrow" w:hAnsi="Arial Narrow"/>
                <w:color w:val="000000"/>
                <w:sz w:val="20"/>
                <w:shd w:val="solid" w:color="000000" w:fill="000000"/>
                <w14:textFill>
                  <w14:solidFill>
                    <w14:srgbClr w14:val="000000">
                      <w14:alpha w14:val="100000"/>
                    </w14:srgbClr>
                  </w14:solidFill>
                </w14:textFill>
              </w:rPr>
              <w:t>|</w:t>
            </w:r>
          </w:p>
        </w:tc>
        <w:tc>
          <w:tcPr>
            <w:tcW w:w="799" w:type="pct"/>
            <w:vAlign w:val="center"/>
          </w:tcPr>
          <w:p w14:paraId="1EC9ACAA" w14:textId="77777777"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sz w:val="20"/>
              </w:rPr>
              <w:t>0.37</w:t>
            </w:r>
          </w:p>
        </w:tc>
        <w:tc>
          <w:tcPr>
            <w:tcW w:w="799" w:type="pct"/>
            <w:vAlign w:val="center"/>
          </w:tcPr>
          <w:p w14:paraId="39F1C8B4" w14:textId="544B3C6A" w:rsidR="00AD5695" w:rsidRPr="009E5CCE" w:rsidRDefault="005F1F42" w:rsidP="00E4798D">
            <w:pPr>
              <w:pStyle w:val="Tabletextleft"/>
              <w:spacing w:before="0" w:after="0"/>
              <w:jc w:val="center"/>
              <w:rPr>
                <w:rFonts w:ascii="Arial Narrow" w:hAnsi="Arial Narrow"/>
                <w:sz w:val="20"/>
                <w:highlight w:val="lightGray"/>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006A169C" w:rsidRPr="009E5CCE">
              <w:rPr>
                <w:rFonts w:ascii="Arial Narrow" w:hAnsi="Arial Narrow"/>
                <w:sz w:val="20"/>
                <w:vertAlign w:val="superscript"/>
              </w:rPr>
              <w:t>7</w:t>
            </w:r>
          </w:p>
        </w:tc>
        <w:tc>
          <w:tcPr>
            <w:tcW w:w="799" w:type="pct"/>
            <w:vAlign w:val="center"/>
          </w:tcPr>
          <w:p w14:paraId="0BAD7E28" w14:textId="16D3E8F4" w:rsidR="00AD5695" w:rsidRPr="0099114C" w:rsidRDefault="00AD5695" w:rsidP="00E4798D">
            <w:pPr>
              <w:pStyle w:val="Tabletextleft"/>
              <w:spacing w:before="0" w:after="0"/>
              <w:jc w:val="center"/>
              <w:rPr>
                <w:rFonts w:ascii="Arial Narrow" w:hAnsi="Arial Narrow"/>
                <w:sz w:val="20"/>
              </w:rPr>
            </w:pPr>
            <w:r w:rsidRPr="0099114C">
              <w:rPr>
                <w:rFonts w:ascii="Arial Narrow" w:hAnsi="Arial Narrow"/>
                <w:sz w:val="20"/>
              </w:rPr>
              <w:t>-</w:t>
            </w:r>
            <w:r w:rsidR="00E4798D" w:rsidRPr="005F1F42">
              <w:rPr>
                <w:rFonts w:ascii="Arial Narrow" w:hAnsi="Arial Narrow"/>
                <w:color w:val="000000"/>
                <w:sz w:val="20"/>
                <w:shd w:val="solid" w:color="000000" w:fill="000000"/>
                <w14:textFill>
                  <w14:solidFill>
                    <w14:srgbClr w14:val="000000">
                      <w14:alpha w14:val="100000"/>
                    </w14:srgbClr>
                  </w14:solidFill>
                </w14:textFill>
              </w:rPr>
              <w:t>|</w:t>
            </w:r>
            <w:r w:rsidR="00E4798D" w:rsidRPr="0099114C">
              <w:rPr>
                <w:rFonts w:ascii="Arial Narrow" w:hAnsi="Arial Narrow"/>
                <w:sz w:val="20"/>
              </w:rPr>
              <w:t>%</w:t>
            </w:r>
          </w:p>
        </w:tc>
      </w:tr>
      <w:tr w:rsidR="00AB4D8C" w:rsidRPr="0099114C" w14:paraId="5A9AB23E" w14:textId="77777777" w:rsidTr="003D26D2">
        <w:trPr>
          <w:trHeight w:val="227"/>
        </w:trPr>
        <w:tc>
          <w:tcPr>
            <w:tcW w:w="5000" w:type="pct"/>
            <w:gridSpan w:val="5"/>
          </w:tcPr>
          <w:p w14:paraId="369704AA" w14:textId="26B39F0D" w:rsidR="00AB4D8C" w:rsidRPr="0099114C" w:rsidRDefault="00AB4D8C" w:rsidP="00E4798D">
            <w:pPr>
              <w:pStyle w:val="Tabletextleft"/>
              <w:spacing w:before="0" w:after="0"/>
              <w:jc w:val="left"/>
              <w:rPr>
                <w:rFonts w:ascii="Arial Narrow" w:hAnsi="Arial Narrow"/>
                <w:sz w:val="20"/>
              </w:rPr>
            </w:pPr>
            <w:r w:rsidRPr="0099114C">
              <w:rPr>
                <w:rFonts w:ascii="Arial Narrow" w:hAnsi="Arial Narrow"/>
                <w:b/>
                <w:sz w:val="20"/>
              </w:rPr>
              <w:t>Multivariate sensitivity analyses</w:t>
            </w:r>
          </w:p>
        </w:tc>
      </w:tr>
      <w:tr w:rsidR="00AB4D8C" w:rsidRPr="0099114C" w14:paraId="24857C3C" w14:textId="77777777" w:rsidTr="003D26D2">
        <w:trPr>
          <w:trHeight w:val="227"/>
        </w:trPr>
        <w:tc>
          <w:tcPr>
            <w:tcW w:w="5000" w:type="pct"/>
            <w:gridSpan w:val="5"/>
          </w:tcPr>
          <w:p w14:paraId="6C8424D2" w14:textId="53E96B38" w:rsidR="00AB4D8C" w:rsidRPr="0099114C" w:rsidRDefault="00AB4D8C" w:rsidP="00E4798D">
            <w:pPr>
              <w:pStyle w:val="Tabletextleft"/>
              <w:spacing w:before="0" w:after="0"/>
              <w:jc w:val="left"/>
              <w:rPr>
                <w:rFonts w:ascii="Arial Narrow" w:hAnsi="Arial Narrow"/>
                <w:sz w:val="20"/>
              </w:rPr>
            </w:pPr>
            <w:r w:rsidRPr="0099114C">
              <w:rPr>
                <w:rFonts w:ascii="Arial Narrow" w:hAnsi="Arial Narrow"/>
                <w:b/>
                <w:sz w:val="20"/>
              </w:rPr>
              <w:t>Scenario 1: Rituximab maintenance weighting (70%)</w:t>
            </w:r>
          </w:p>
        </w:tc>
      </w:tr>
      <w:tr w:rsidR="000A4F38" w:rsidRPr="0099114C" w14:paraId="275D6417" w14:textId="77777777" w:rsidTr="003D26D2">
        <w:trPr>
          <w:trHeight w:val="227"/>
        </w:trPr>
        <w:tc>
          <w:tcPr>
            <w:tcW w:w="0" w:type="pct"/>
          </w:tcPr>
          <w:p w14:paraId="303EE76C" w14:textId="3CC337B5" w:rsidR="00AB4D8C" w:rsidRPr="0099114C" w:rsidRDefault="00AB4D8C" w:rsidP="00E4798D">
            <w:pPr>
              <w:pStyle w:val="Tabletextleft"/>
              <w:spacing w:before="0" w:after="0"/>
              <w:rPr>
                <w:rFonts w:ascii="Arial Narrow" w:hAnsi="Arial Narrow"/>
                <w:sz w:val="20"/>
              </w:rPr>
            </w:pPr>
            <w:r w:rsidRPr="0099114C">
              <w:rPr>
                <w:rFonts w:ascii="Arial Narrow" w:hAnsi="Arial Narrow"/>
                <w:sz w:val="20"/>
              </w:rPr>
              <w:t>Remission rate equal to GC + SOC values at 26 weeks (no difference)</w:t>
            </w:r>
          </w:p>
        </w:tc>
        <w:tc>
          <w:tcPr>
            <w:tcW w:w="0" w:type="pct"/>
            <w:shd w:val="clear" w:color="auto" w:fill="auto"/>
          </w:tcPr>
          <w:p w14:paraId="7840E5AF" w14:textId="7E88EBB7" w:rsidR="00AB4D8C" w:rsidRPr="0099114C" w:rsidRDefault="00AB4D8C" w:rsidP="00E4798D">
            <w:pPr>
              <w:pStyle w:val="Tabletextleft"/>
              <w:spacing w:before="0" w:after="0"/>
              <w:jc w:val="center"/>
              <w:rPr>
                <w:rFonts w:ascii="Arial Narrow" w:hAnsi="Arial Narrow"/>
                <w:sz w:val="20"/>
              </w:rPr>
            </w:pPr>
            <w:r w:rsidRPr="0099114C">
              <w:rPr>
                <w:rFonts w:ascii="Arial Narrow" w:hAnsi="Arial Narrow"/>
                <w:sz w:val="20"/>
              </w:rPr>
              <w:t>$</w:t>
            </w:r>
            <w:r w:rsidR="005F1F42" w:rsidRPr="005F1F42">
              <w:rPr>
                <w:rFonts w:ascii="Arial Narrow" w:hAnsi="Arial Narrow"/>
                <w:color w:val="000000"/>
                <w:sz w:val="20"/>
                <w:shd w:val="solid" w:color="000000" w:fill="000000"/>
                <w14:textFill>
                  <w14:solidFill>
                    <w14:srgbClr w14:val="000000">
                      <w14:alpha w14:val="100000"/>
                    </w14:srgbClr>
                  </w14:solidFill>
                </w14:textFill>
              </w:rPr>
              <w:t>|</w:t>
            </w:r>
          </w:p>
        </w:tc>
        <w:tc>
          <w:tcPr>
            <w:tcW w:w="0" w:type="pct"/>
          </w:tcPr>
          <w:p w14:paraId="6CB86767" w14:textId="46019712" w:rsidR="00AB4D8C" w:rsidRPr="0099114C" w:rsidRDefault="00AB4D8C" w:rsidP="00E4798D">
            <w:pPr>
              <w:pStyle w:val="Tabletextleft"/>
              <w:spacing w:before="0" w:after="0"/>
              <w:jc w:val="center"/>
              <w:rPr>
                <w:rFonts w:ascii="Arial Narrow" w:hAnsi="Arial Narrow"/>
                <w:sz w:val="20"/>
              </w:rPr>
            </w:pPr>
            <w:r w:rsidRPr="0099114C">
              <w:rPr>
                <w:rFonts w:ascii="Arial Narrow" w:hAnsi="Arial Narrow"/>
                <w:sz w:val="20"/>
              </w:rPr>
              <w:t xml:space="preserve"> 0.31 </w:t>
            </w:r>
          </w:p>
        </w:tc>
        <w:tc>
          <w:tcPr>
            <w:tcW w:w="0" w:type="pct"/>
          </w:tcPr>
          <w:p w14:paraId="7963CBEE" w14:textId="112CE3D4" w:rsidR="00AB4D8C" w:rsidRPr="009E5CCE" w:rsidRDefault="005F1F42" w:rsidP="00E4798D">
            <w:pPr>
              <w:pStyle w:val="Tabletextleft"/>
              <w:spacing w:before="0" w:after="0"/>
              <w:jc w:val="center"/>
              <w:rPr>
                <w:rFonts w:ascii="Arial Narrow" w:hAnsi="Arial Narrow"/>
                <w:sz w:val="20"/>
                <w:highlight w:val="lightGray"/>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00A94571" w:rsidRPr="001A420F">
              <w:rPr>
                <w:rFonts w:ascii="Arial Narrow" w:hAnsi="Arial Narrow" w:cs="Calibri"/>
                <w:color w:val="000000"/>
                <w:sz w:val="20"/>
                <w:vertAlign w:val="superscript"/>
              </w:rPr>
              <w:t>3</w:t>
            </w:r>
          </w:p>
        </w:tc>
        <w:tc>
          <w:tcPr>
            <w:tcW w:w="0" w:type="pct"/>
          </w:tcPr>
          <w:p w14:paraId="049370DC" w14:textId="6CAA4828" w:rsidR="00AB4D8C" w:rsidRPr="0099114C" w:rsidRDefault="00E4798D" w:rsidP="00E4798D">
            <w:pPr>
              <w:pStyle w:val="Tabletextleft"/>
              <w:spacing w:before="0" w:after="0"/>
              <w:jc w:val="center"/>
              <w:rPr>
                <w:rFonts w:ascii="Arial Narrow" w:hAnsi="Arial Narrow"/>
                <w:sz w:val="20"/>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Pr="0099114C">
              <w:rPr>
                <w:rFonts w:ascii="Arial Narrow" w:hAnsi="Arial Narrow"/>
                <w:sz w:val="20"/>
              </w:rPr>
              <w:t>%</w:t>
            </w:r>
          </w:p>
        </w:tc>
      </w:tr>
      <w:tr w:rsidR="000A4F38" w:rsidRPr="0099114C" w14:paraId="3078FF13" w14:textId="77777777" w:rsidTr="003D26D2">
        <w:trPr>
          <w:trHeight w:val="227"/>
        </w:trPr>
        <w:tc>
          <w:tcPr>
            <w:tcW w:w="1806" w:type="pct"/>
          </w:tcPr>
          <w:p w14:paraId="229CF43E" w14:textId="49C70265" w:rsidR="00AB4D8C" w:rsidRPr="0099114C" w:rsidRDefault="00AB4D8C" w:rsidP="00E4798D">
            <w:pPr>
              <w:pStyle w:val="Tabletextleft"/>
              <w:spacing w:before="0" w:after="0"/>
              <w:rPr>
                <w:rFonts w:ascii="Arial Narrow" w:hAnsi="Arial Narrow"/>
                <w:sz w:val="20"/>
              </w:rPr>
            </w:pPr>
            <w:r w:rsidRPr="0099114C">
              <w:rPr>
                <w:rFonts w:ascii="Arial Narrow" w:hAnsi="Arial Narrow"/>
                <w:sz w:val="20"/>
              </w:rPr>
              <w:t>As above + utility decrement 0.1 for acute infection</w:t>
            </w:r>
          </w:p>
        </w:tc>
        <w:tc>
          <w:tcPr>
            <w:tcW w:w="798" w:type="pct"/>
          </w:tcPr>
          <w:p w14:paraId="7A52AA03" w14:textId="134C99B9" w:rsidR="00AB4D8C" w:rsidRPr="0099114C" w:rsidRDefault="00AB4D8C" w:rsidP="00E4798D">
            <w:pPr>
              <w:pStyle w:val="Tabletextleft"/>
              <w:spacing w:before="0" w:after="0"/>
              <w:jc w:val="center"/>
              <w:rPr>
                <w:rFonts w:ascii="Arial Narrow" w:hAnsi="Arial Narrow"/>
                <w:sz w:val="20"/>
              </w:rPr>
            </w:pPr>
            <w:r w:rsidRPr="0099114C">
              <w:rPr>
                <w:rFonts w:ascii="Arial Narrow" w:hAnsi="Arial Narrow"/>
                <w:sz w:val="20"/>
              </w:rPr>
              <w:t>$</w:t>
            </w:r>
            <w:r w:rsidR="005F1F42" w:rsidRPr="005F1F42">
              <w:rPr>
                <w:rFonts w:ascii="Arial Narrow" w:hAnsi="Arial Narrow"/>
                <w:color w:val="000000"/>
                <w:sz w:val="20"/>
                <w:shd w:val="solid" w:color="000000" w:fill="000000"/>
                <w14:textFill>
                  <w14:solidFill>
                    <w14:srgbClr w14:val="000000">
                      <w14:alpha w14:val="100000"/>
                    </w14:srgbClr>
                  </w14:solidFill>
                </w14:textFill>
              </w:rPr>
              <w:t>|</w:t>
            </w:r>
          </w:p>
        </w:tc>
        <w:tc>
          <w:tcPr>
            <w:tcW w:w="799" w:type="pct"/>
          </w:tcPr>
          <w:p w14:paraId="50513DD5" w14:textId="76203209" w:rsidR="00AB4D8C" w:rsidRPr="0099114C" w:rsidRDefault="00AB4D8C" w:rsidP="00E4798D">
            <w:pPr>
              <w:pStyle w:val="Tabletextleft"/>
              <w:spacing w:before="0" w:after="0"/>
              <w:jc w:val="center"/>
              <w:rPr>
                <w:rFonts w:ascii="Arial Narrow" w:hAnsi="Arial Narrow"/>
                <w:sz w:val="20"/>
              </w:rPr>
            </w:pPr>
            <w:r w:rsidRPr="0099114C">
              <w:rPr>
                <w:rFonts w:ascii="Arial Narrow" w:hAnsi="Arial Narrow"/>
                <w:sz w:val="20"/>
              </w:rPr>
              <w:t xml:space="preserve"> 0.27 </w:t>
            </w:r>
          </w:p>
        </w:tc>
        <w:tc>
          <w:tcPr>
            <w:tcW w:w="799" w:type="pct"/>
          </w:tcPr>
          <w:p w14:paraId="57BE0140" w14:textId="1F5A30D3" w:rsidR="00AB4D8C" w:rsidRPr="009E5CCE" w:rsidRDefault="005F1F42" w:rsidP="00E4798D">
            <w:pPr>
              <w:pStyle w:val="Tabletextleft"/>
              <w:spacing w:before="0" w:after="0"/>
              <w:jc w:val="center"/>
              <w:rPr>
                <w:rFonts w:ascii="Arial Narrow" w:hAnsi="Arial Narrow"/>
                <w:sz w:val="20"/>
                <w:highlight w:val="lightGray"/>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00A94571" w:rsidRPr="001A420F">
              <w:rPr>
                <w:rFonts w:ascii="Arial Narrow" w:hAnsi="Arial Narrow" w:cs="Calibri"/>
                <w:color w:val="000000"/>
                <w:sz w:val="20"/>
                <w:vertAlign w:val="superscript"/>
              </w:rPr>
              <w:t>3</w:t>
            </w:r>
          </w:p>
        </w:tc>
        <w:tc>
          <w:tcPr>
            <w:tcW w:w="799" w:type="pct"/>
          </w:tcPr>
          <w:p w14:paraId="2F42CB2B" w14:textId="4EEC291E" w:rsidR="00AB4D8C" w:rsidRPr="0099114C" w:rsidRDefault="00E4798D" w:rsidP="00E4798D">
            <w:pPr>
              <w:pStyle w:val="Tabletextleft"/>
              <w:spacing w:before="0" w:after="0"/>
              <w:jc w:val="center"/>
              <w:rPr>
                <w:rFonts w:ascii="Arial Narrow" w:hAnsi="Arial Narrow"/>
                <w:sz w:val="20"/>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Pr="0099114C">
              <w:rPr>
                <w:rFonts w:ascii="Arial Narrow" w:hAnsi="Arial Narrow"/>
                <w:sz w:val="20"/>
              </w:rPr>
              <w:t>%</w:t>
            </w:r>
          </w:p>
        </w:tc>
      </w:tr>
      <w:tr w:rsidR="000A4F38" w:rsidRPr="0099114C" w14:paraId="41D35D22" w14:textId="77777777" w:rsidTr="003D26D2">
        <w:trPr>
          <w:trHeight w:val="227"/>
        </w:trPr>
        <w:tc>
          <w:tcPr>
            <w:tcW w:w="1806" w:type="pct"/>
          </w:tcPr>
          <w:p w14:paraId="5AC1E837" w14:textId="7BD6A7F0" w:rsidR="00AB4D8C" w:rsidRPr="0099114C" w:rsidRDefault="00AB4D8C" w:rsidP="00E4798D">
            <w:pPr>
              <w:pStyle w:val="Tabletextleft"/>
              <w:spacing w:before="0" w:after="0"/>
              <w:rPr>
                <w:rFonts w:ascii="Arial Narrow" w:hAnsi="Arial Narrow"/>
                <w:sz w:val="20"/>
              </w:rPr>
            </w:pPr>
            <w:r w:rsidRPr="0099114C">
              <w:rPr>
                <w:rFonts w:ascii="Arial Narrow" w:hAnsi="Arial Narrow"/>
                <w:sz w:val="20"/>
              </w:rPr>
              <w:t>As above + treatment waning after 3 months</w:t>
            </w:r>
          </w:p>
        </w:tc>
        <w:tc>
          <w:tcPr>
            <w:tcW w:w="798" w:type="pct"/>
          </w:tcPr>
          <w:p w14:paraId="5BF66C68" w14:textId="1EF11721" w:rsidR="00AB4D8C" w:rsidRPr="0099114C" w:rsidRDefault="00AB4D8C" w:rsidP="00E4798D">
            <w:pPr>
              <w:pStyle w:val="Tabletextleft"/>
              <w:spacing w:before="0" w:after="0"/>
              <w:jc w:val="center"/>
              <w:rPr>
                <w:rFonts w:ascii="Arial Narrow" w:hAnsi="Arial Narrow"/>
                <w:sz w:val="20"/>
              </w:rPr>
            </w:pPr>
            <w:r w:rsidRPr="0099114C">
              <w:rPr>
                <w:rFonts w:ascii="Arial Narrow" w:hAnsi="Arial Narrow"/>
                <w:sz w:val="20"/>
              </w:rPr>
              <w:t>$</w:t>
            </w:r>
            <w:r w:rsidR="005F1F42" w:rsidRPr="005F1F42">
              <w:rPr>
                <w:rFonts w:ascii="Arial Narrow" w:hAnsi="Arial Narrow"/>
                <w:color w:val="000000"/>
                <w:sz w:val="20"/>
                <w:shd w:val="solid" w:color="000000" w:fill="000000"/>
                <w14:textFill>
                  <w14:solidFill>
                    <w14:srgbClr w14:val="000000">
                      <w14:alpha w14:val="100000"/>
                    </w14:srgbClr>
                  </w14:solidFill>
                </w14:textFill>
              </w:rPr>
              <w:t>|</w:t>
            </w:r>
          </w:p>
        </w:tc>
        <w:tc>
          <w:tcPr>
            <w:tcW w:w="799" w:type="pct"/>
          </w:tcPr>
          <w:p w14:paraId="17A9B73D" w14:textId="0C587F9E" w:rsidR="00AB4D8C" w:rsidRPr="0099114C" w:rsidRDefault="00AB4D8C" w:rsidP="00E4798D">
            <w:pPr>
              <w:pStyle w:val="Tabletextleft"/>
              <w:spacing w:before="0" w:after="0"/>
              <w:jc w:val="center"/>
              <w:rPr>
                <w:rFonts w:ascii="Arial Narrow" w:hAnsi="Arial Narrow"/>
                <w:sz w:val="20"/>
              </w:rPr>
            </w:pPr>
            <w:r w:rsidRPr="0099114C">
              <w:rPr>
                <w:rFonts w:ascii="Arial Narrow" w:hAnsi="Arial Narrow"/>
                <w:sz w:val="20"/>
              </w:rPr>
              <w:t xml:space="preserve"> 0.23 </w:t>
            </w:r>
          </w:p>
        </w:tc>
        <w:tc>
          <w:tcPr>
            <w:tcW w:w="799" w:type="pct"/>
          </w:tcPr>
          <w:p w14:paraId="64E75063" w14:textId="0EBA27FD" w:rsidR="00AB4D8C" w:rsidRPr="009E5CCE" w:rsidRDefault="005F1F42" w:rsidP="00E4798D">
            <w:pPr>
              <w:pStyle w:val="Tabletextleft"/>
              <w:spacing w:before="0" w:after="0"/>
              <w:jc w:val="center"/>
              <w:rPr>
                <w:rFonts w:ascii="Arial Narrow" w:hAnsi="Arial Narrow"/>
                <w:sz w:val="20"/>
                <w:highlight w:val="lightGray"/>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00A94571" w:rsidRPr="001A420F">
              <w:rPr>
                <w:rFonts w:ascii="Arial Narrow" w:hAnsi="Arial Narrow" w:cs="Calibri"/>
                <w:color w:val="000000"/>
                <w:sz w:val="20"/>
                <w:vertAlign w:val="superscript"/>
              </w:rPr>
              <w:t>2</w:t>
            </w:r>
          </w:p>
        </w:tc>
        <w:tc>
          <w:tcPr>
            <w:tcW w:w="799" w:type="pct"/>
          </w:tcPr>
          <w:p w14:paraId="1903CCC5" w14:textId="2452C25E" w:rsidR="00AB4D8C" w:rsidRPr="0099114C" w:rsidRDefault="00E4798D" w:rsidP="00E4798D">
            <w:pPr>
              <w:pStyle w:val="Tabletextleft"/>
              <w:spacing w:before="0" w:after="0"/>
              <w:jc w:val="center"/>
              <w:rPr>
                <w:rFonts w:ascii="Arial Narrow" w:hAnsi="Arial Narrow"/>
                <w:sz w:val="20"/>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Pr="0099114C">
              <w:rPr>
                <w:rFonts w:ascii="Arial Narrow" w:hAnsi="Arial Narrow"/>
                <w:sz w:val="20"/>
              </w:rPr>
              <w:t>%</w:t>
            </w:r>
          </w:p>
        </w:tc>
      </w:tr>
      <w:tr w:rsidR="000A4F38" w:rsidRPr="0099114C" w14:paraId="5032A98D" w14:textId="77777777" w:rsidTr="003D26D2">
        <w:trPr>
          <w:trHeight w:val="227"/>
        </w:trPr>
        <w:tc>
          <w:tcPr>
            <w:tcW w:w="1806" w:type="pct"/>
          </w:tcPr>
          <w:p w14:paraId="5420C479" w14:textId="0AEDBB47" w:rsidR="00AB4D8C" w:rsidRPr="0099114C" w:rsidRDefault="00AB4D8C" w:rsidP="00E4798D">
            <w:pPr>
              <w:pStyle w:val="Tabletextleft"/>
              <w:spacing w:before="0" w:after="0"/>
              <w:rPr>
                <w:rFonts w:ascii="Arial Narrow" w:hAnsi="Arial Narrow"/>
                <w:sz w:val="20"/>
              </w:rPr>
            </w:pPr>
            <w:r w:rsidRPr="0099114C">
              <w:rPr>
                <w:rFonts w:ascii="Arial Narrow" w:hAnsi="Arial Narrow"/>
                <w:sz w:val="20"/>
              </w:rPr>
              <w:t xml:space="preserve">As above + avacopan eGFR recovery equal to GC + SOC </w:t>
            </w:r>
          </w:p>
        </w:tc>
        <w:tc>
          <w:tcPr>
            <w:tcW w:w="798" w:type="pct"/>
          </w:tcPr>
          <w:p w14:paraId="081E3558" w14:textId="64B91252" w:rsidR="00AB4D8C" w:rsidRPr="0099114C" w:rsidRDefault="00AB4D8C" w:rsidP="00E4798D">
            <w:pPr>
              <w:pStyle w:val="Tabletextleft"/>
              <w:spacing w:before="0" w:after="0"/>
              <w:jc w:val="center"/>
              <w:rPr>
                <w:rFonts w:ascii="Arial Narrow" w:hAnsi="Arial Narrow"/>
                <w:sz w:val="20"/>
              </w:rPr>
            </w:pPr>
            <w:r w:rsidRPr="0099114C">
              <w:rPr>
                <w:rFonts w:ascii="Arial Narrow" w:hAnsi="Arial Narrow"/>
                <w:sz w:val="20"/>
              </w:rPr>
              <w:t>$</w:t>
            </w:r>
            <w:r w:rsidR="005F1F42" w:rsidRPr="005F1F42">
              <w:rPr>
                <w:rFonts w:ascii="Arial Narrow" w:hAnsi="Arial Narrow"/>
                <w:color w:val="000000"/>
                <w:sz w:val="20"/>
                <w:shd w:val="solid" w:color="000000" w:fill="000000"/>
                <w14:textFill>
                  <w14:solidFill>
                    <w14:srgbClr w14:val="000000">
                      <w14:alpha w14:val="100000"/>
                    </w14:srgbClr>
                  </w14:solidFill>
                </w14:textFill>
              </w:rPr>
              <w:t>|</w:t>
            </w:r>
          </w:p>
        </w:tc>
        <w:tc>
          <w:tcPr>
            <w:tcW w:w="799" w:type="pct"/>
          </w:tcPr>
          <w:p w14:paraId="09F12D37" w14:textId="07FBA22E" w:rsidR="00AB4D8C" w:rsidRPr="0099114C" w:rsidRDefault="00AB4D8C" w:rsidP="00E4798D">
            <w:pPr>
              <w:pStyle w:val="Tabletextleft"/>
              <w:spacing w:before="0" w:after="0"/>
              <w:jc w:val="center"/>
              <w:rPr>
                <w:rFonts w:ascii="Arial Narrow" w:hAnsi="Arial Narrow"/>
                <w:sz w:val="20"/>
              </w:rPr>
            </w:pPr>
            <w:r w:rsidRPr="0099114C">
              <w:rPr>
                <w:rFonts w:ascii="Arial Narrow" w:hAnsi="Arial Narrow"/>
                <w:sz w:val="20"/>
              </w:rPr>
              <w:t xml:space="preserve"> 0.17 </w:t>
            </w:r>
          </w:p>
        </w:tc>
        <w:tc>
          <w:tcPr>
            <w:tcW w:w="799" w:type="pct"/>
          </w:tcPr>
          <w:p w14:paraId="04604BF5" w14:textId="0EA84DBF" w:rsidR="00AB4D8C" w:rsidRPr="009E5CCE" w:rsidRDefault="005F1F42" w:rsidP="00E4798D">
            <w:pPr>
              <w:pStyle w:val="Tabletextleft"/>
              <w:spacing w:before="0" w:after="0"/>
              <w:jc w:val="center"/>
              <w:rPr>
                <w:rFonts w:ascii="Arial Narrow" w:hAnsi="Arial Narrow"/>
                <w:sz w:val="20"/>
                <w:highlight w:val="lightGray"/>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00D835B1" w:rsidRPr="009E5CCE">
              <w:rPr>
                <w:rFonts w:ascii="Arial Narrow" w:hAnsi="Arial Narrow"/>
                <w:sz w:val="20"/>
                <w:vertAlign w:val="superscript"/>
              </w:rPr>
              <w:t>9</w:t>
            </w:r>
          </w:p>
        </w:tc>
        <w:tc>
          <w:tcPr>
            <w:tcW w:w="799" w:type="pct"/>
          </w:tcPr>
          <w:p w14:paraId="7D4EB996" w14:textId="4E5F9EA9" w:rsidR="00AB4D8C" w:rsidRPr="0099114C" w:rsidRDefault="00E4798D" w:rsidP="00E4798D">
            <w:pPr>
              <w:pStyle w:val="Tabletextleft"/>
              <w:spacing w:before="0" w:after="0"/>
              <w:jc w:val="center"/>
              <w:rPr>
                <w:rFonts w:ascii="Arial Narrow" w:hAnsi="Arial Narrow"/>
                <w:sz w:val="20"/>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Pr="0099114C">
              <w:rPr>
                <w:rFonts w:ascii="Arial Narrow" w:hAnsi="Arial Narrow"/>
                <w:sz w:val="20"/>
              </w:rPr>
              <w:t>%</w:t>
            </w:r>
          </w:p>
        </w:tc>
      </w:tr>
      <w:tr w:rsidR="00AB4D8C" w:rsidRPr="0099114C" w14:paraId="1FBA5D9B" w14:textId="77777777" w:rsidTr="003D26D2">
        <w:trPr>
          <w:trHeight w:val="227"/>
        </w:trPr>
        <w:tc>
          <w:tcPr>
            <w:tcW w:w="0" w:type="pct"/>
            <w:gridSpan w:val="5"/>
          </w:tcPr>
          <w:p w14:paraId="6C76AC3C" w14:textId="10EF33B4" w:rsidR="00AB4D8C" w:rsidRPr="0099114C" w:rsidRDefault="00AB4D8C" w:rsidP="00E4798D">
            <w:pPr>
              <w:pStyle w:val="Tabletextleft"/>
              <w:spacing w:before="0" w:after="0"/>
              <w:jc w:val="left"/>
              <w:rPr>
                <w:rFonts w:ascii="Arial Narrow" w:hAnsi="Arial Narrow"/>
                <w:sz w:val="20"/>
              </w:rPr>
            </w:pPr>
            <w:r w:rsidRPr="0099114C">
              <w:rPr>
                <w:rFonts w:ascii="Arial Narrow" w:hAnsi="Arial Narrow"/>
                <w:b/>
                <w:sz w:val="20"/>
              </w:rPr>
              <w:lastRenderedPageBreak/>
              <w:t>Scenario 2: Rituximab maintenance weighting (90%)</w:t>
            </w:r>
          </w:p>
        </w:tc>
      </w:tr>
      <w:tr w:rsidR="000A4F38" w:rsidRPr="0099114C" w14:paraId="250AF047" w14:textId="77777777" w:rsidTr="003D26D2">
        <w:trPr>
          <w:trHeight w:val="227"/>
        </w:trPr>
        <w:tc>
          <w:tcPr>
            <w:tcW w:w="1806" w:type="pct"/>
          </w:tcPr>
          <w:p w14:paraId="0888B988" w14:textId="439F3D02" w:rsidR="00AB4D8C" w:rsidRPr="0099114C" w:rsidRDefault="00AB4D8C" w:rsidP="00E4798D">
            <w:pPr>
              <w:pStyle w:val="Tabletextleft"/>
              <w:spacing w:before="0" w:after="0"/>
              <w:rPr>
                <w:rFonts w:ascii="Arial Narrow" w:hAnsi="Arial Narrow"/>
                <w:sz w:val="20"/>
              </w:rPr>
            </w:pPr>
            <w:r w:rsidRPr="0099114C">
              <w:rPr>
                <w:rFonts w:ascii="Arial Narrow" w:hAnsi="Arial Narrow"/>
                <w:sz w:val="20"/>
              </w:rPr>
              <w:t>Remission rate equal to GC + SOC values at 26 weeks (no difference)</w:t>
            </w:r>
          </w:p>
        </w:tc>
        <w:tc>
          <w:tcPr>
            <w:tcW w:w="798" w:type="pct"/>
          </w:tcPr>
          <w:p w14:paraId="00424085" w14:textId="7166CD63" w:rsidR="00AB4D8C" w:rsidRPr="0099114C" w:rsidRDefault="00AB4D8C" w:rsidP="00E4798D">
            <w:pPr>
              <w:pStyle w:val="Tabletextleft"/>
              <w:spacing w:before="0" w:after="0"/>
              <w:jc w:val="center"/>
              <w:rPr>
                <w:rFonts w:ascii="Arial Narrow" w:hAnsi="Arial Narrow"/>
                <w:sz w:val="20"/>
              </w:rPr>
            </w:pPr>
            <w:r w:rsidRPr="0099114C">
              <w:rPr>
                <w:rFonts w:ascii="Arial Narrow" w:hAnsi="Arial Narrow"/>
                <w:sz w:val="20"/>
              </w:rPr>
              <w:t>$</w:t>
            </w:r>
            <w:r w:rsidR="005F1F42" w:rsidRPr="005F1F42">
              <w:rPr>
                <w:rFonts w:ascii="Arial Narrow" w:hAnsi="Arial Narrow"/>
                <w:color w:val="000000"/>
                <w:sz w:val="20"/>
                <w:shd w:val="solid" w:color="000000" w:fill="000000"/>
                <w14:textFill>
                  <w14:solidFill>
                    <w14:srgbClr w14:val="000000">
                      <w14:alpha w14:val="100000"/>
                    </w14:srgbClr>
                  </w14:solidFill>
                </w14:textFill>
              </w:rPr>
              <w:t>|</w:t>
            </w:r>
          </w:p>
        </w:tc>
        <w:tc>
          <w:tcPr>
            <w:tcW w:w="799" w:type="pct"/>
          </w:tcPr>
          <w:p w14:paraId="08B1E4F1" w14:textId="0D4FA2D8" w:rsidR="00AB4D8C" w:rsidRPr="0099114C" w:rsidRDefault="00AB4D8C" w:rsidP="00E4798D">
            <w:pPr>
              <w:pStyle w:val="Tabletextleft"/>
              <w:spacing w:before="0" w:after="0"/>
              <w:jc w:val="center"/>
              <w:rPr>
                <w:rFonts w:ascii="Arial Narrow" w:hAnsi="Arial Narrow"/>
                <w:sz w:val="20"/>
              </w:rPr>
            </w:pPr>
            <w:r w:rsidRPr="0099114C">
              <w:rPr>
                <w:rFonts w:ascii="Arial Narrow" w:hAnsi="Arial Narrow"/>
                <w:sz w:val="20"/>
              </w:rPr>
              <w:t xml:space="preserve"> 0.28 </w:t>
            </w:r>
          </w:p>
        </w:tc>
        <w:tc>
          <w:tcPr>
            <w:tcW w:w="799" w:type="pct"/>
          </w:tcPr>
          <w:p w14:paraId="2BA8B4FD" w14:textId="47A52D6D" w:rsidR="00AB4D8C" w:rsidRPr="009E5CCE" w:rsidRDefault="005F1F42" w:rsidP="00E4798D">
            <w:pPr>
              <w:pStyle w:val="Tabletextleft"/>
              <w:spacing w:before="0" w:after="0"/>
              <w:jc w:val="center"/>
              <w:rPr>
                <w:rFonts w:ascii="Arial Narrow" w:hAnsi="Arial Narrow"/>
                <w:sz w:val="20"/>
                <w:highlight w:val="lightGray"/>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00A94571" w:rsidRPr="001A420F">
              <w:rPr>
                <w:rFonts w:ascii="Arial Narrow" w:hAnsi="Arial Narrow" w:cs="Calibri"/>
                <w:color w:val="000000"/>
                <w:sz w:val="20"/>
                <w:vertAlign w:val="superscript"/>
              </w:rPr>
              <w:t>3</w:t>
            </w:r>
          </w:p>
        </w:tc>
        <w:tc>
          <w:tcPr>
            <w:tcW w:w="799" w:type="pct"/>
          </w:tcPr>
          <w:p w14:paraId="0234220D" w14:textId="3C0A841A" w:rsidR="00AB4D8C" w:rsidRPr="0099114C" w:rsidRDefault="00E4798D" w:rsidP="00E4798D">
            <w:pPr>
              <w:pStyle w:val="Tabletextleft"/>
              <w:spacing w:before="0" w:after="0"/>
              <w:jc w:val="center"/>
              <w:rPr>
                <w:rFonts w:ascii="Arial Narrow" w:hAnsi="Arial Narrow"/>
                <w:sz w:val="20"/>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Pr="0099114C">
              <w:rPr>
                <w:rFonts w:ascii="Arial Narrow" w:hAnsi="Arial Narrow"/>
                <w:sz w:val="20"/>
              </w:rPr>
              <w:t>%</w:t>
            </w:r>
          </w:p>
        </w:tc>
      </w:tr>
      <w:tr w:rsidR="000A4F38" w:rsidRPr="0099114C" w14:paraId="09A54072" w14:textId="77777777" w:rsidTr="003D26D2">
        <w:trPr>
          <w:trHeight w:val="227"/>
        </w:trPr>
        <w:tc>
          <w:tcPr>
            <w:tcW w:w="1806" w:type="pct"/>
          </w:tcPr>
          <w:p w14:paraId="14507429" w14:textId="0175E41E" w:rsidR="00AB4D8C" w:rsidRPr="0099114C" w:rsidRDefault="00AB4D8C" w:rsidP="00E4798D">
            <w:pPr>
              <w:pStyle w:val="Tabletextleft"/>
              <w:spacing w:before="0" w:after="0"/>
              <w:rPr>
                <w:rFonts w:ascii="Arial Narrow" w:hAnsi="Arial Narrow"/>
                <w:sz w:val="20"/>
              </w:rPr>
            </w:pPr>
            <w:r w:rsidRPr="0099114C">
              <w:rPr>
                <w:rFonts w:ascii="Arial Narrow" w:hAnsi="Arial Narrow"/>
                <w:sz w:val="20"/>
              </w:rPr>
              <w:t>As above + utility decrement 0.1 for acute infection</w:t>
            </w:r>
          </w:p>
        </w:tc>
        <w:tc>
          <w:tcPr>
            <w:tcW w:w="798" w:type="pct"/>
          </w:tcPr>
          <w:p w14:paraId="6D85007D" w14:textId="4EA5B920" w:rsidR="00AB4D8C" w:rsidRPr="0099114C" w:rsidRDefault="00AB4D8C" w:rsidP="00E4798D">
            <w:pPr>
              <w:pStyle w:val="Tabletextleft"/>
              <w:spacing w:before="0" w:after="0"/>
              <w:jc w:val="center"/>
              <w:rPr>
                <w:rFonts w:ascii="Arial Narrow" w:hAnsi="Arial Narrow"/>
                <w:sz w:val="20"/>
              </w:rPr>
            </w:pPr>
            <w:r w:rsidRPr="0099114C">
              <w:rPr>
                <w:rFonts w:ascii="Arial Narrow" w:hAnsi="Arial Narrow"/>
                <w:sz w:val="20"/>
              </w:rPr>
              <w:t>$</w:t>
            </w:r>
            <w:r w:rsidR="005F1F42" w:rsidRPr="005F1F42">
              <w:rPr>
                <w:rFonts w:ascii="Arial Narrow" w:hAnsi="Arial Narrow"/>
                <w:color w:val="000000"/>
                <w:sz w:val="20"/>
                <w:shd w:val="solid" w:color="000000" w:fill="000000"/>
                <w14:textFill>
                  <w14:solidFill>
                    <w14:srgbClr w14:val="000000">
                      <w14:alpha w14:val="100000"/>
                    </w14:srgbClr>
                  </w14:solidFill>
                </w14:textFill>
              </w:rPr>
              <w:t>|</w:t>
            </w:r>
          </w:p>
        </w:tc>
        <w:tc>
          <w:tcPr>
            <w:tcW w:w="799" w:type="pct"/>
          </w:tcPr>
          <w:p w14:paraId="2270B313" w14:textId="4979593C" w:rsidR="00AB4D8C" w:rsidRPr="0099114C" w:rsidRDefault="00AB4D8C" w:rsidP="00E4798D">
            <w:pPr>
              <w:pStyle w:val="Tabletextleft"/>
              <w:spacing w:before="0" w:after="0"/>
              <w:jc w:val="center"/>
              <w:rPr>
                <w:rFonts w:ascii="Arial Narrow" w:hAnsi="Arial Narrow"/>
                <w:sz w:val="20"/>
              </w:rPr>
            </w:pPr>
            <w:r w:rsidRPr="0099114C">
              <w:rPr>
                <w:rFonts w:ascii="Arial Narrow" w:hAnsi="Arial Narrow"/>
                <w:sz w:val="20"/>
              </w:rPr>
              <w:t xml:space="preserve"> 0.25 </w:t>
            </w:r>
          </w:p>
        </w:tc>
        <w:tc>
          <w:tcPr>
            <w:tcW w:w="799" w:type="pct"/>
          </w:tcPr>
          <w:p w14:paraId="58929686" w14:textId="1003194B" w:rsidR="00AB4D8C" w:rsidRPr="009E5CCE" w:rsidRDefault="005F1F42" w:rsidP="00E4798D">
            <w:pPr>
              <w:pStyle w:val="Tabletextleft"/>
              <w:spacing w:before="0" w:after="0"/>
              <w:jc w:val="center"/>
              <w:rPr>
                <w:rFonts w:ascii="Arial Narrow" w:hAnsi="Arial Narrow"/>
                <w:sz w:val="20"/>
                <w:highlight w:val="lightGray"/>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006A169C" w:rsidRPr="001A420F">
              <w:rPr>
                <w:rFonts w:ascii="Arial Narrow" w:hAnsi="Arial Narrow"/>
                <w:sz w:val="20"/>
                <w:vertAlign w:val="superscript"/>
              </w:rPr>
              <w:t>5</w:t>
            </w:r>
          </w:p>
        </w:tc>
        <w:tc>
          <w:tcPr>
            <w:tcW w:w="799" w:type="pct"/>
          </w:tcPr>
          <w:p w14:paraId="0AA57C7B" w14:textId="797ABFEF" w:rsidR="00AB4D8C" w:rsidRPr="0099114C" w:rsidRDefault="00E4798D" w:rsidP="00E4798D">
            <w:pPr>
              <w:pStyle w:val="Tabletextleft"/>
              <w:spacing w:before="0" w:after="0"/>
              <w:jc w:val="center"/>
              <w:rPr>
                <w:rFonts w:ascii="Arial Narrow" w:hAnsi="Arial Narrow"/>
                <w:sz w:val="20"/>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Pr="0099114C">
              <w:rPr>
                <w:rFonts w:ascii="Arial Narrow" w:hAnsi="Arial Narrow"/>
                <w:sz w:val="20"/>
              </w:rPr>
              <w:t>%</w:t>
            </w:r>
          </w:p>
        </w:tc>
      </w:tr>
      <w:tr w:rsidR="000A4F38" w:rsidRPr="0099114C" w14:paraId="3992E4CF" w14:textId="77777777" w:rsidTr="003D26D2">
        <w:trPr>
          <w:trHeight w:val="227"/>
        </w:trPr>
        <w:tc>
          <w:tcPr>
            <w:tcW w:w="1806" w:type="pct"/>
          </w:tcPr>
          <w:p w14:paraId="5CFC303F" w14:textId="02ADA3CC" w:rsidR="00AB4D8C" w:rsidRPr="0099114C" w:rsidRDefault="00AB4D8C" w:rsidP="00E4798D">
            <w:pPr>
              <w:pStyle w:val="Tabletextleft"/>
              <w:spacing w:before="0" w:after="0"/>
              <w:rPr>
                <w:rFonts w:ascii="Arial Narrow" w:hAnsi="Arial Narrow"/>
                <w:sz w:val="20"/>
              </w:rPr>
            </w:pPr>
            <w:r w:rsidRPr="0099114C">
              <w:rPr>
                <w:rFonts w:ascii="Arial Narrow" w:hAnsi="Arial Narrow"/>
                <w:sz w:val="20"/>
              </w:rPr>
              <w:t>As above + treatment waning after 3 months</w:t>
            </w:r>
          </w:p>
        </w:tc>
        <w:tc>
          <w:tcPr>
            <w:tcW w:w="798" w:type="pct"/>
          </w:tcPr>
          <w:p w14:paraId="51D3CEE1" w14:textId="39BC17DF" w:rsidR="00AB4D8C" w:rsidRPr="0099114C" w:rsidRDefault="00AB4D8C" w:rsidP="00E4798D">
            <w:pPr>
              <w:pStyle w:val="Tabletextleft"/>
              <w:spacing w:before="0" w:after="0"/>
              <w:jc w:val="center"/>
              <w:rPr>
                <w:rFonts w:ascii="Arial Narrow" w:hAnsi="Arial Narrow"/>
                <w:sz w:val="20"/>
              </w:rPr>
            </w:pPr>
            <w:r w:rsidRPr="0099114C">
              <w:rPr>
                <w:rFonts w:ascii="Arial Narrow" w:hAnsi="Arial Narrow"/>
                <w:sz w:val="20"/>
              </w:rPr>
              <w:t>$</w:t>
            </w:r>
            <w:r w:rsidR="005F1F42" w:rsidRPr="005F1F42">
              <w:rPr>
                <w:rFonts w:ascii="Arial Narrow" w:hAnsi="Arial Narrow"/>
                <w:color w:val="000000"/>
                <w:sz w:val="20"/>
                <w:shd w:val="solid" w:color="000000" w:fill="000000"/>
                <w14:textFill>
                  <w14:solidFill>
                    <w14:srgbClr w14:val="000000">
                      <w14:alpha w14:val="100000"/>
                    </w14:srgbClr>
                  </w14:solidFill>
                </w14:textFill>
              </w:rPr>
              <w:t>|</w:t>
            </w:r>
          </w:p>
        </w:tc>
        <w:tc>
          <w:tcPr>
            <w:tcW w:w="799" w:type="pct"/>
          </w:tcPr>
          <w:p w14:paraId="45B48074" w14:textId="4E43FDFC" w:rsidR="00AB4D8C" w:rsidRPr="0099114C" w:rsidRDefault="00AB4D8C" w:rsidP="00E4798D">
            <w:pPr>
              <w:pStyle w:val="Tabletextleft"/>
              <w:spacing w:before="0" w:after="0"/>
              <w:jc w:val="center"/>
              <w:rPr>
                <w:rFonts w:ascii="Arial Narrow" w:hAnsi="Arial Narrow"/>
                <w:sz w:val="20"/>
              </w:rPr>
            </w:pPr>
            <w:r w:rsidRPr="0099114C">
              <w:rPr>
                <w:rFonts w:ascii="Arial Narrow" w:hAnsi="Arial Narrow"/>
                <w:sz w:val="20"/>
              </w:rPr>
              <w:t xml:space="preserve"> 0.21 </w:t>
            </w:r>
          </w:p>
        </w:tc>
        <w:tc>
          <w:tcPr>
            <w:tcW w:w="799" w:type="pct"/>
          </w:tcPr>
          <w:p w14:paraId="38B0BF81" w14:textId="2F0916E4" w:rsidR="00AB4D8C" w:rsidRPr="009E5CCE" w:rsidRDefault="005F1F42" w:rsidP="00E4798D">
            <w:pPr>
              <w:pStyle w:val="Tabletextleft"/>
              <w:spacing w:before="0" w:after="0"/>
              <w:jc w:val="center"/>
              <w:rPr>
                <w:rFonts w:ascii="Arial Narrow" w:hAnsi="Arial Narrow"/>
                <w:sz w:val="20"/>
                <w:highlight w:val="lightGray"/>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006A169C" w:rsidRPr="009E5CCE">
              <w:rPr>
                <w:rFonts w:ascii="Arial Narrow" w:hAnsi="Arial Narrow"/>
                <w:sz w:val="20"/>
                <w:vertAlign w:val="superscript"/>
              </w:rPr>
              <w:t>8</w:t>
            </w:r>
          </w:p>
        </w:tc>
        <w:tc>
          <w:tcPr>
            <w:tcW w:w="799" w:type="pct"/>
          </w:tcPr>
          <w:p w14:paraId="6FAF77C6" w14:textId="1F15CCB0" w:rsidR="00AB4D8C" w:rsidRPr="0099114C" w:rsidRDefault="00E4798D" w:rsidP="00E4798D">
            <w:pPr>
              <w:pStyle w:val="Tabletextleft"/>
              <w:spacing w:before="0" w:after="0"/>
              <w:jc w:val="center"/>
              <w:rPr>
                <w:rFonts w:ascii="Arial Narrow" w:hAnsi="Arial Narrow"/>
                <w:sz w:val="20"/>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Pr="0099114C">
              <w:rPr>
                <w:rFonts w:ascii="Arial Narrow" w:hAnsi="Arial Narrow"/>
                <w:sz w:val="20"/>
              </w:rPr>
              <w:t>%</w:t>
            </w:r>
          </w:p>
        </w:tc>
      </w:tr>
      <w:tr w:rsidR="000A4F38" w:rsidRPr="0099114C" w14:paraId="11A5EA0B" w14:textId="77777777" w:rsidTr="003D26D2">
        <w:trPr>
          <w:trHeight w:val="227"/>
        </w:trPr>
        <w:tc>
          <w:tcPr>
            <w:tcW w:w="1806" w:type="pct"/>
          </w:tcPr>
          <w:p w14:paraId="70044BE2" w14:textId="22067FFD" w:rsidR="00AB4D8C" w:rsidRPr="0099114C" w:rsidRDefault="00AB4D8C" w:rsidP="00E4798D">
            <w:pPr>
              <w:pStyle w:val="Tabletextleft"/>
              <w:spacing w:before="0" w:after="0"/>
              <w:rPr>
                <w:rFonts w:ascii="Arial Narrow" w:hAnsi="Arial Narrow"/>
                <w:sz w:val="20"/>
              </w:rPr>
            </w:pPr>
            <w:r w:rsidRPr="0099114C">
              <w:rPr>
                <w:rFonts w:ascii="Arial Narrow" w:hAnsi="Arial Narrow"/>
                <w:sz w:val="20"/>
              </w:rPr>
              <w:t xml:space="preserve">As above + avacopan eGFR recovery equal to GC + SOC </w:t>
            </w:r>
          </w:p>
        </w:tc>
        <w:tc>
          <w:tcPr>
            <w:tcW w:w="798" w:type="pct"/>
          </w:tcPr>
          <w:p w14:paraId="6FE022B2" w14:textId="659014D3" w:rsidR="00AB4D8C" w:rsidRPr="0099114C" w:rsidRDefault="00AB4D8C" w:rsidP="00E4798D">
            <w:pPr>
              <w:pStyle w:val="Tabletextleft"/>
              <w:spacing w:before="0" w:after="0"/>
              <w:jc w:val="center"/>
              <w:rPr>
                <w:rFonts w:ascii="Arial Narrow" w:hAnsi="Arial Narrow"/>
                <w:sz w:val="20"/>
              </w:rPr>
            </w:pPr>
            <w:r w:rsidRPr="0099114C">
              <w:rPr>
                <w:rFonts w:ascii="Arial Narrow" w:hAnsi="Arial Narrow"/>
                <w:sz w:val="20"/>
              </w:rPr>
              <w:t>$</w:t>
            </w:r>
            <w:r w:rsidR="005F1F42" w:rsidRPr="005F1F42">
              <w:rPr>
                <w:rFonts w:ascii="Arial Narrow" w:hAnsi="Arial Narrow"/>
                <w:color w:val="000000"/>
                <w:sz w:val="20"/>
                <w:shd w:val="solid" w:color="000000" w:fill="000000"/>
                <w14:textFill>
                  <w14:solidFill>
                    <w14:srgbClr w14:val="000000">
                      <w14:alpha w14:val="100000"/>
                    </w14:srgbClr>
                  </w14:solidFill>
                </w14:textFill>
              </w:rPr>
              <w:t>|</w:t>
            </w:r>
          </w:p>
        </w:tc>
        <w:tc>
          <w:tcPr>
            <w:tcW w:w="799" w:type="pct"/>
          </w:tcPr>
          <w:p w14:paraId="04A001C6" w14:textId="484C923A" w:rsidR="00AB4D8C" w:rsidRPr="0099114C" w:rsidRDefault="00AB4D8C" w:rsidP="00E4798D">
            <w:pPr>
              <w:pStyle w:val="Tabletextleft"/>
              <w:spacing w:before="0" w:after="0"/>
              <w:jc w:val="center"/>
              <w:rPr>
                <w:rFonts w:ascii="Arial Narrow" w:hAnsi="Arial Narrow"/>
                <w:sz w:val="20"/>
              </w:rPr>
            </w:pPr>
            <w:r w:rsidRPr="0099114C">
              <w:rPr>
                <w:rFonts w:ascii="Arial Narrow" w:hAnsi="Arial Narrow"/>
                <w:sz w:val="20"/>
              </w:rPr>
              <w:t xml:space="preserve"> 0.15 </w:t>
            </w:r>
          </w:p>
        </w:tc>
        <w:tc>
          <w:tcPr>
            <w:tcW w:w="799" w:type="pct"/>
          </w:tcPr>
          <w:p w14:paraId="0970CD31" w14:textId="45FF1F7F" w:rsidR="00AB4D8C" w:rsidRPr="009E5CCE" w:rsidRDefault="005F1F42" w:rsidP="00E4798D">
            <w:pPr>
              <w:pStyle w:val="Tabletextleft"/>
              <w:spacing w:before="0" w:after="0"/>
              <w:jc w:val="center"/>
              <w:rPr>
                <w:rFonts w:ascii="Arial Narrow" w:hAnsi="Arial Narrow"/>
                <w:sz w:val="20"/>
                <w:highlight w:val="lightGray"/>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006A169C" w:rsidRPr="009E5CCE">
              <w:rPr>
                <w:rFonts w:ascii="Arial Narrow" w:hAnsi="Arial Narrow"/>
                <w:sz w:val="20"/>
                <w:vertAlign w:val="superscript"/>
              </w:rPr>
              <w:t>9</w:t>
            </w:r>
            <w:r w:rsidRPr="005F1F42">
              <w:rPr>
                <w:rFonts w:ascii="Arial Narrow" w:hAnsi="Arial Narrow"/>
                <w:sz w:val="20"/>
              </w:rPr>
              <w:t xml:space="preserve"> </w:t>
            </w:r>
          </w:p>
        </w:tc>
        <w:tc>
          <w:tcPr>
            <w:tcW w:w="799" w:type="pct"/>
          </w:tcPr>
          <w:p w14:paraId="477C967C" w14:textId="44BD954B" w:rsidR="00AB4D8C" w:rsidRPr="0099114C" w:rsidRDefault="00E4798D" w:rsidP="00E4798D">
            <w:pPr>
              <w:pStyle w:val="Tabletextleft"/>
              <w:spacing w:before="0" w:after="0"/>
              <w:jc w:val="center"/>
              <w:rPr>
                <w:rFonts w:ascii="Arial Narrow" w:hAnsi="Arial Narrow"/>
                <w:sz w:val="20"/>
              </w:rPr>
            </w:pPr>
            <w:r w:rsidRPr="005F1F42">
              <w:rPr>
                <w:rFonts w:ascii="Arial Narrow" w:hAnsi="Arial Narrow"/>
                <w:color w:val="000000"/>
                <w:sz w:val="20"/>
                <w:shd w:val="solid" w:color="000000" w:fill="000000"/>
                <w14:textFill>
                  <w14:solidFill>
                    <w14:srgbClr w14:val="000000">
                      <w14:alpha w14:val="100000"/>
                    </w14:srgbClr>
                  </w14:solidFill>
                </w14:textFill>
              </w:rPr>
              <w:t>|</w:t>
            </w:r>
            <w:r w:rsidRPr="0099114C">
              <w:rPr>
                <w:rFonts w:ascii="Arial Narrow" w:hAnsi="Arial Narrow"/>
                <w:sz w:val="20"/>
              </w:rPr>
              <w:t>%</w:t>
            </w:r>
          </w:p>
        </w:tc>
      </w:tr>
    </w:tbl>
    <w:p w14:paraId="3227A668" w14:textId="176BA2FA" w:rsidR="00DB5178" w:rsidRPr="0099114C" w:rsidRDefault="00DB5178" w:rsidP="00DB5178">
      <w:pPr>
        <w:pStyle w:val="FooterTableFigure"/>
      </w:pPr>
      <w:r w:rsidRPr="0099114C">
        <w:t>Source: Table 3-35, p162 of the resubmission and complied during the evaluation</w:t>
      </w:r>
      <w:r w:rsidR="00AB4D8C" w:rsidRPr="0099114C">
        <w:t xml:space="preserve"> and </w:t>
      </w:r>
      <w:r w:rsidR="00AB4D8C" w:rsidRPr="0099114C">
        <w:rPr>
          <w:i/>
          <w:iCs/>
        </w:rPr>
        <w:t>updated during the preparation of the ESC advice</w:t>
      </w:r>
    </w:p>
    <w:p w14:paraId="3627A053" w14:textId="6E6CE929" w:rsidR="00DB5178" w:rsidRPr="00857B0D" w:rsidRDefault="00DB5178" w:rsidP="00DB5178">
      <w:pPr>
        <w:pStyle w:val="FooterTableFigure"/>
      </w:pPr>
      <w:r w:rsidRPr="00857B0D">
        <w:t xml:space="preserve">Abbreviations: AAV, ANCA-associated vasculitis; </w:t>
      </w:r>
      <w:r w:rsidR="00BF7118" w:rsidRPr="00857B0D">
        <w:t>CI, confidence interval;</w:t>
      </w:r>
      <w:r w:rsidRPr="00857B0D">
        <w:t xml:space="preserve"> eGFR, estimated glomerular filtration rate; ESRD, end-stage kidney disease; </w:t>
      </w:r>
      <w:r w:rsidR="00534E36" w:rsidRPr="00857B0D">
        <w:t>EQ-5D-3L, European Quality of Life 5 Dimensions 3 Level Version</w:t>
      </w:r>
      <w:r w:rsidR="00DE6E55" w:rsidRPr="00857B0D">
        <w:t xml:space="preserve">; </w:t>
      </w:r>
      <w:r w:rsidRPr="00857B0D">
        <w:t xml:space="preserve">GC, glucocorticoids; HR, Hazard ratio; </w:t>
      </w:r>
      <w:r w:rsidR="002665F3" w:rsidRPr="00857B0D">
        <w:t>ICER, Incremental</w:t>
      </w:r>
      <w:r w:rsidR="00A81A23" w:rsidRPr="00857B0D">
        <w:t xml:space="preserve"> cost-effectiveness ratio; QALY; quality-adjusted life year; </w:t>
      </w:r>
      <w:r w:rsidR="009C4ECD" w:rsidRPr="00857B0D">
        <w:t>SOC</w:t>
      </w:r>
      <w:r w:rsidRPr="00857B0D">
        <w:t>, standard of care</w:t>
      </w:r>
    </w:p>
    <w:p w14:paraId="293E6100" w14:textId="3AD282E6" w:rsidR="00DB5178" w:rsidRDefault="0086769C" w:rsidP="00DB5178">
      <w:pPr>
        <w:pStyle w:val="FooterTableFigure"/>
      </w:pPr>
      <w:r w:rsidRPr="00857B0D">
        <w:rPr>
          <w:vertAlign w:val="superscript"/>
        </w:rPr>
        <w:t xml:space="preserve">a </w:t>
      </w:r>
      <w:r w:rsidRPr="00857B0D">
        <w:t>C</w:t>
      </w:r>
      <w:r w:rsidR="00DB5178" w:rsidRPr="00857B0D">
        <w:t>ompleted as part of the evaluation</w:t>
      </w:r>
    </w:p>
    <w:p w14:paraId="0A754B32" w14:textId="77777777" w:rsidR="0049032D" w:rsidRPr="009E5CCE" w:rsidRDefault="0049032D" w:rsidP="0049032D">
      <w:pPr>
        <w:pStyle w:val="FooterTableFigure"/>
        <w:rPr>
          <w:i/>
          <w:iCs/>
        </w:rPr>
      </w:pPr>
      <w:r w:rsidRPr="009E5CCE">
        <w:rPr>
          <w:i/>
          <w:iCs/>
        </w:rPr>
        <w:t xml:space="preserve">The redacted values correspond to the following ranges: </w:t>
      </w:r>
    </w:p>
    <w:p w14:paraId="7954F564" w14:textId="739CE499" w:rsidR="00A94571" w:rsidRPr="009E5CCE" w:rsidRDefault="00A94571" w:rsidP="0049032D">
      <w:pPr>
        <w:pStyle w:val="FooterTableFigure"/>
        <w:rPr>
          <w:i/>
          <w:iCs/>
        </w:rPr>
      </w:pPr>
      <w:r w:rsidRPr="009E5CCE">
        <w:rPr>
          <w:i/>
          <w:iCs/>
          <w:vertAlign w:val="superscript"/>
        </w:rPr>
        <w:t>1</w:t>
      </w:r>
      <w:r w:rsidRPr="009E5CCE">
        <w:rPr>
          <w:i/>
          <w:iCs/>
        </w:rPr>
        <w:t xml:space="preserve"> $55,000 to &lt; $75,000</w:t>
      </w:r>
    </w:p>
    <w:p w14:paraId="3DA56D0D" w14:textId="3463510D" w:rsidR="00A94571" w:rsidRPr="009E5CCE" w:rsidRDefault="00A94571" w:rsidP="0049032D">
      <w:pPr>
        <w:pStyle w:val="FooterTableFigure"/>
        <w:rPr>
          <w:i/>
          <w:iCs/>
        </w:rPr>
      </w:pPr>
      <w:r w:rsidRPr="009E5CCE">
        <w:rPr>
          <w:i/>
          <w:iCs/>
          <w:vertAlign w:val="superscript"/>
        </w:rPr>
        <w:t>2</w:t>
      </w:r>
      <w:r w:rsidRPr="009E5CCE">
        <w:rPr>
          <w:i/>
          <w:iCs/>
        </w:rPr>
        <w:t xml:space="preserve"> $115,000 to &lt; $135,000</w:t>
      </w:r>
    </w:p>
    <w:p w14:paraId="25E07DCF" w14:textId="7F40E7A3" w:rsidR="00A94571" w:rsidRPr="009E5CCE" w:rsidRDefault="00A94571" w:rsidP="0049032D">
      <w:pPr>
        <w:pStyle w:val="FooterTableFigure"/>
        <w:rPr>
          <w:i/>
          <w:iCs/>
        </w:rPr>
      </w:pPr>
      <w:r w:rsidRPr="009E5CCE">
        <w:rPr>
          <w:i/>
          <w:iCs/>
          <w:vertAlign w:val="superscript"/>
        </w:rPr>
        <w:t>3</w:t>
      </w:r>
      <w:r w:rsidRPr="009E5CCE">
        <w:rPr>
          <w:i/>
          <w:iCs/>
        </w:rPr>
        <w:t xml:space="preserve"> $75,000 to &lt; $95,000</w:t>
      </w:r>
    </w:p>
    <w:p w14:paraId="2F2321F6" w14:textId="5E2836FE" w:rsidR="006A169C" w:rsidRPr="009E5CCE" w:rsidRDefault="006A169C" w:rsidP="0049032D">
      <w:pPr>
        <w:pStyle w:val="FooterTableFigure"/>
        <w:rPr>
          <w:i/>
          <w:iCs/>
        </w:rPr>
      </w:pPr>
      <w:r w:rsidRPr="009E5CCE">
        <w:rPr>
          <w:i/>
          <w:iCs/>
          <w:vertAlign w:val="superscript"/>
        </w:rPr>
        <w:t>4</w:t>
      </w:r>
      <w:r w:rsidRPr="009E5CCE">
        <w:rPr>
          <w:i/>
          <w:iCs/>
        </w:rPr>
        <w:t xml:space="preserve"> $25,000 to &lt; $35,000</w:t>
      </w:r>
    </w:p>
    <w:p w14:paraId="1D86FC8E" w14:textId="6E329585" w:rsidR="006A169C" w:rsidRPr="009E5CCE" w:rsidRDefault="006A169C" w:rsidP="0049032D">
      <w:pPr>
        <w:pStyle w:val="FooterTableFigure"/>
        <w:rPr>
          <w:i/>
          <w:iCs/>
        </w:rPr>
      </w:pPr>
      <w:r w:rsidRPr="009E5CCE">
        <w:rPr>
          <w:i/>
          <w:iCs/>
          <w:vertAlign w:val="superscript"/>
        </w:rPr>
        <w:t>5</w:t>
      </w:r>
      <w:r w:rsidRPr="009E5CCE">
        <w:rPr>
          <w:i/>
          <w:iCs/>
        </w:rPr>
        <w:t xml:space="preserve"> $95,000 to &lt; $115,000</w:t>
      </w:r>
    </w:p>
    <w:p w14:paraId="7B8931F1" w14:textId="53FF915C" w:rsidR="006A169C" w:rsidRPr="009E5CCE" w:rsidRDefault="006A169C" w:rsidP="0049032D">
      <w:pPr>
        <w:pStyle w:val="FooterTableFigure"/>
        <w:rPr>
          <w:i/>
          <w:iCs/>
        </w:rPr>
      </w:pPr>
      <w:r w:rsidRPr="009E5CCE">
        <w:rPr>
          <w:i/>
          <w:iCs/>
          <w:vertAlign w:val="superscript"/>
        </w:rPr>
        <w:t>6</w:t>
      </w:r>
      <w:r w:rsidRPr="009E5CCE">
        <w:rPr>
          <w:i/>
          <w:iCs/>
        </w:rPr>
        <w:t xml:space="preserve"> $35,000 to &lt; $45,000</w:t>
      </w:r>
    </w:p>
    <w:p w14:paraId="442EF046" w14:textId="5A747CD8" w:rsidR="006A169C" w:rsidRPr="009E5CCE" w:rsidRDefault="006A169C" w:rsidP="0049032D">
      <w:pPr>
        <w:pStyle w:val="FooterTableFigure"/>
        <w:rPr>
          <w:i/>
          <w:iCs/>
        </w:rPr>
      </w:pPr>
      <w:r w:rsidRPr="009E5CCE">
        <w:rPr>
          <w:i/>
          <w:iCs/>
          <w:vertAlign w:val="superscript"/>
        </w:rPr>
        <w:t>7</w:t>
      </w:r>
      <w:r w:rsidRPr="009E5CCE">
        <w:rPr>
          <w:i/>
          <w:iCs/>
        </w:rPr>
        <w:t xml:space="preserve"> $45,000 to &lt; $55,000</w:t>
      </w:r>
    </w:p>
    <w:p w14:paraId="7A6CC828" w14:textId="320ECAB1" w:rsidR="006A169C" w:rsidRPr="009E5CCE" w:rsidRDefault="00D835B1" w:rsidP="0049032D">
      <w:pPr>
        <w:pStyle w:val="FooterTableFigure"/>
        <w:rPr>
          <w:i/>
          <w:iCs/>
        </w:rPr>
      </w:pPr>
      <w:r w:rsidRPr="009E5CCE">
        <w:rPr>
          <w:i/>
          <w:iCs/>
          <w:vertAlign w:val="superscript"/>
        </w:rPr>
        <w:t>8</w:t>
      </w:r>
      <w:r w:rsidRPr="009E5CCE">
        <w:rPr>
          <w:i/>
          <w:iCs/>
        </w:rPr>
        <w:t xml:space="preserve"> $135,000 to &lt; $155,000</w:t>
      </w:r>
    </w:p>
    <w:p w14:paraId="562B83E6" w14:textId="16B9E5F3" w:rsidR="00D835B1" w:rsidRPr="003D26D2" w:rsidRDefault="00D835B1" w:rsidP="0049032D">
      <w:pPr>
        <w:pStyle w:val="FooterTableFigure"/>
        <w:rPr>
          <w:i/>
          <w:iCs/>
        </w:rPr>
      </w:pPr>
      <w:r w:rsidRPr="009E5CCE">
        <w:rPr>
          <w:i/>
          <w:iCs/>
          <w:vertAlign w:val="superscript"/>
        </w:rPr>
        <w:t>9</w:t>
      </w:r>
      <w:r w:rsidRPr="009E5CCE">
        <w:rPr>
          <w:i/>
          <w:iCs/>
        </w:rPr>
        <w:t xml:space="preserve"> $155,000 to &lt; $255,000</w:t>
      </w:r>
    </w:p>
    <w:p w14:paraId="4ECCB4F4" w14:textId="474F6901" w:rsidR="00AA5742" w:rsidRPr="00857B0D" w:rsidRDefault="00BE3E22" w:rsidP="005E73E4">
      <w:pPr>
        <w:pStyle w:val="3-BodyText"/>
      </w:pPr>
      <w:bookmarkStart w:id="77" w:name="_Ref159270848"/>
      <w:bookmarkStart w:id="78" w:name="_Hlk161870133"/>
      <w:r w:rsidRPr="00857B0D">
        <w:t xml:space="preserve">The ESC considered that, with the changes to the economic model outlined in paragraph </w:t>
      </w:r>
      <w:r w:rsidRPr="00857B0D">
        <w:fldChar w:fldCharType="begin" w:fldLock="1"/>
      </w:r>
      <w:r w:rsidRPr="00857B0D">
        <w:instrText xml:space="preserve"> REF _Ref159256694 \r \h  \* MERGEFORMAT </w:instrText>
      </w:r>
      <w:r w:rsidRPr="00857B0D">
        <w:fldChar w:fldCharType="separate"/>
      </w:r>
      <w:r w:rsidR="00AA5742" w:rsidRPr="00857B0D">
        <w:t>6.55</w:t>
      </w:r>
      <w:r w:rsidRPr="00857B0D">
        <w:fldChar w:fldCharType="end"/>
      </w:r>
      <w:r w:rsidRPr="00857B0D">
        <w:t xml:space="preserve">, the model </w:t>
      </w:r>
      <w:r w:rsidR="00F51ADA" w:rsidRPr="00857B0D">
        <w:t>wa</w:t>
      </w:r>
      <w:r w:rsidRPr="00857B0D">
        <w:t xml:space="preserve">s somewhat more conservative in some parameters (e.g. hazard ratio for unit change of eGFR and ESRD risk, price and treatment duration), less conservative in others (e.g. utility decrement for acute in infection) and unchanged in many. The ESC </w:t>
      </w:r>
      <w:r w:rsidR="006259D8" w:rsidRPr="00857B0D">
        <w:t xml:space="preserve">considered that the base case rituximab maintenance weighting was unlikely to reflect clinical practice and noted </w:t>
      </w:r>
      <w:r w:rsidR="00BC03B3" w:rsidRPr="00857B0D">
        <w:t>that</w:t>
      </w:r>
      <w:r w:rsidR="005B6BC4" w:rsidRPr="00857B0D">
        <w:t xml:space="preserve"> increasing this input to 70% or 90% rituximab use increased the ICER from a base case of $</w:t>
      </w:r>
      <w:r w:rsidR="00462E7C" w:rsidRPr="00462E7C">
        <w:t>55,000 to &lt;</w:t>
      </w:r>
      <w:r w:rsidR="00E4798D">
        <w:t> </w:t>
      </w:r>
      <w:r w:rsidR="00462E7C" w:rsidRPr="00462E7C">
        <w:t xml:space="preserve">$75,000 </w:t>
      </w:r>
      <w:r w:rsidR="005B6BC4" w:rsidRPr="00857B0D">
        <w:t>/QALY to $</w:t>
      </w:r>
      <w:r w:rsidR="00462E7C" w:rsidRPr="00462E7C">
        <w:t>75,000 to &lt; $95,000</w:t>
      </w:r>
      <w:r w:rsidR="005B6BC4" w:rsidRPr="00857B0D">
        <w:t>/QALY or $</w:t>
      </w:r>
      <w:r w:rsidR="00462E7C" w:rsidRPr="00462E7C">
        <w:t>75,000 to &lt; $95,000</w:t>
      </w:r>
      <w:r w:rsidR="005B6BC4" w:rsidRPr="00857B0D">
        <w:t xml:space="preserve">/QALY respectively. The ESC noted that the ICER further increased in the multivariate analyses incorporating a rituximab maintenance weighting of 70% or 90% (see </w:t>
      </w:r>
      <w:r w:rsidR="005B6BC4" w:rsidRPr="00857B0D">
        <w:fldChar w:fldCharType="begin" w:fldLock="1"/>
      </w:r>
      <w:r w:rsidR="005B6BC4" w:rsidRPr="00857B0D">
        <w:instrText xml:space="preserve"> REF _Ref153180010 \h  \* MERGEFORMAT </w:instrText>
      </w:r>
      <w:r w:rsidR="005B6BC4" w:rsidRPr="00857B0D">
        <w:fldChar w:fldCharType="separate"/>
      </w:r>
      <w:r w:rsidR="00A04368" w:rsidRPr="0099114C">
        <w:t xml:space="preserve">Table </w:t>
      </w:r>
      <w:r w:rsidR="00A04368" w:rsidRPr="00857B0D">
        <w:t>14</w:t>
      </w:r>
      <w:r w:rsidR="005B6BC4" w:rsidRPr="00857B0D">
        <w:fldChar w:fldCharType="end"/>
      </w:r>
      <w:r w:rsidR="005B6BC4" w:rsidRPr="00857B0D">
        <w:t xml:space="preserve">). </w:t>
      </w:r>
      <w:r w:rsidR="00F51ADA" w:rsidRPr="00857B0D">
        <w:t>Overall, t</w:t>
      </w:r>
      <w:r w:rsidR="005B6BC4" w:rsidRPr="00857B0D">
        <w:t xml:space="preserve">he ESC </w:t>
      </w:r>
      <w:r w:rsidR="00F51ADA" w:rsidRPr="00857B0D">
        <w:t>advised</w:t>
      </w:r>
      <w:r w:rsidR="005B6BC4" w:rsidRPr="00857B0D">
        <w:t xml:space="preserve"> that despite the changes to the economic model </w:t>
      </w:r>
      <w:r w:rsidR="00F51ADA" w:rsidRPr="00857B0D">
        <w:t xml:space="preserve">in the resubmission </w:t>
      </w:r>
      <w:r w:rsidR="005B6BC4" w:rsidRPr="00857B0D">
        <w:t>the ICER remained highly uncertain</w:t>
      </w:r>
      <w:r w:rsidR="00AD71BB" w:rsidRPr="00857B0D">
        <w:t xml:space="preserve"> and inadequately supported by the clinical evidence</w:t>
      </w:r>
      <w:r w:rsidR="005B6BC4" w:rsidRPr="00857B0D">
        <w:t>.</w:t>
      </w:r>
      <w:bookmarkEnd w:id="77"/>
    </w:p>
    <w:p w14:paraId="3275A89D" w14:textId="6FC3998E" w:rsidR="00885B10" w:rsidRPr="00857B0D" w:rsidRDefault="00964E42" w:rsidP="005E73E4">
      <w:pPr>
        <w:pStyle w:val="3-BodyText"/>
      </w:pPr>
      <w:bookmarkStart w:id="79" w:name="_Ref161910525"/>
      <w:r w:rsidRPr="00857B0D">
        <w:t xml:space="preserve">The </w:t>
      </w:r>
      <w:r w:rsidR="00D77C55" w:rsidRPr="00857B0D">
        <w:t>pre-PBAC response  acknowledged the concerns raised by the ESC and provided a revised base case that incorporated a rituximab maintenance weighting of 70%, a remission rate equal to GC + SOC values at 26 weeks (</w:t>
      </w:r>
      <w:r w:rsidR="00F762F2" w:rsidRPr="00857B0D">
        <w:t xml:space="preserve">i.e. </w:t>
      </w:r>
      <w:r w:rsidR="00D77C55" w:rsidRPr="00857B0D">
        <w:t xml:space="preserve">no difference), a </w:t>
      </w:r>
      <w:r w:rsidR="00D77C55" w:rsidRPr="00857B0D">
        <w:rPr>
          <w:lang w:eastAsia="en-GB"/>
        </w:rPr>
        <w:t>utility decrement of 0.1 for any GC-related infections and treatment wa</w:t>
      </w:r>
      <w:r w:rsidR="00F762F2" w:rsidRPr="00857B0D">
        <w:rPr>
          <w:lang w:eastAsia="en-GB"/>
        </w:rPr>
        <w:t>ning for avacopan after 3 months. At the AEMP offered in the pre-PBAC response ($</w:t>
      </w:r>
      <w:r w:rsidR="005F1F42" w:rsidRPr="006F30AA">
        <w:rPr>
          <w:color w:val="000000"/>
          <w:w w:val="15"/>
          <w:shd w:val="solid" w:color="000000" w:fill="000000"/>
          <w:fitText w:val="-20" w:id="-961807605"/>
          <w:lang w:eastAsia="en-GB"/>
          <w14:textFill>
            <w14:solidFill>
              <w14:srgbClr w14:val="000000">
                <w14:alpha w14:val="100000"/>
              </w14:srgbClr>
            </w14:solidFill>
          </w14:textFill>
        </w:rPr>
        <w:t xml:space="preserve">|  </w:t>
      </w:r>
      <w:r w:rsidR="005F1F42" w:rsidRPr="006F30AA">
        <w:rPr>
          <w:color w:val="000000"/>
          <w:spacing w:val="-69"/>
          <w:w w:val="15"/>
          <w:shd w:val="solid" w:color="000000" w:fill="000000"/>
          <w:fitText w:val="-20" w:id="-961807605"/>
          <w:lang w:eastAsia="en-GB"/>
          <w14:textFill>
            <w14:solidFill>
              <w14:srgbClr w14:val="000000">
                <w14:alpha w14:val="100000"/>
              </w14:srgbClr>
            </w14:solidFill>
          </w14:textFill>
        </w:rPr>
        <w:t>|</w:t>
      </w:r>
      <w:r w:rsidR="00F762F2" w:rsidRPr="00857B0D">
        <w:rPr>
          <w:lang w:eastAsia="en-GB"/>
        </w:rPr>
        <w:t>), the revised base case resulted in an ICER of $</w:t>
      </w:r>
      <w:r w:rsidR="00462E7C" w:rsidRPr="00462E7C">
        <w:rPr>
          <w:lang w:eastAsia="en-GB"/>
        </w:rPr>
        <w:t xml:space="preserve">55,000 to &lt; $75,000 </w:t>
      </w:r>
      <w:r w:rsidR="00F762F2" w:rsidRPr="00857B0D">
        <w:rPr>
          <w:lang w:eastAsia="en-GB"/>
        </w:rPr>
        <w:t>/QALY.</w:t>
      </w:r>
      <w:bookmarkEnd w:id="79"/>
    </w:p>
    <w:p w14:paraId="11CACB2A" w14:textId="77777777" w:rsidR="00DB5178" w:rsidRPr="0099114C" w:rsidRDefault="00DB5178" w:rsidP="00DB5178">
      <w:pPr>
        <w:pStyle w:val="4-SubsectionHeading"/>
      </w:pPr>
      <w:bookmarkStart w:id="80" w:name="_Toc152591176"/>
      <w:bookmarkStart w:id="81" w:name="_Toc156913971"/>
      <w:bookmarkEnd w:id="78"/>
      <w:r w:rsidRPr="0099114C">
        <w:t>Avacopan cost/patient/</w:t>
      </w:r>
      <w:bookmarkEnd w:id="80"/>
      <w:r w:rsidRPr="0099114C">
        <w:t>course</w:t>
      </w:r>
      <w:bookmarkEnd w:id="81"/>
    </w:p>
    <w:p w14:paraId="2BE0BD6F" w14:textId="6CF429DD" w:rsidR="00DB5178" w:rsidRPr="0099114C" w:rsidRDefault="00DB5178" w:rsidP="00DB5178">
      <w:pPr>
        <w:pStyle w:val="3-BodyText"/>
      </w:pPr>
      <w:r w:rsidRPr="0099114C">
        <w:t>The average drug cost per course of treatment of avacopan (i.e., cost per relapse event) was $</w:t>
      </w:r>
      <w:r w:rsidR="005F1F42" w:rsidRPr="006F30AA">
        <w:rPr>
          <w:color w:val="000000"/>
          <w:w w:val="15"/>
          <w:shd w:val="solid" w:color="000000" w:fill="000000"/>
          <w:fitText w:val="-20" w:id="-961807604"/>
          <w14:textFill>
            <w14:solidFill>
              <w14:srgbClr w14:val="000000">
                <w14:alpha w14:val="100000"/>
              </w14:srgbClr>
            </w14:solidFill>
          </w14:textFill>
        </w:rPr>
        <w:t xml:space="preserve">|  </w:t>
      </w:r>
      <w:r w:rsidR="005F1F42" w:rsidRPr="006F30AA">
        <w:rPr>
          <w:color w:val="000000"/>
          <w:spacing w:val="-69"/>
          <w:w w:val="15"/>
          <w:shd w:val="solid" w:color="000000" w:fill="000000"/>
          <w:fitText w:val="-20" w:id="-961807604"/>
          <w14:textFill>
            <w14:solidFill>
              <w14:srgbClr w14:val="000000">
                <w14:alpha w14:val="100000"/>
              </w14:srgbClr>
            </w14:solidFill>
          </w14:textFill>
        </w:rPr>
        <w:t>|</w:t>
      </w:r>
      <w:r w:rsidR="00552EB1" w:rsidRPr="0099114C">
        <w:t xml:space="preserve"> (estimates from the economic mo</w:t>
      </w:r>
      <w:r w:rsidR="00833B96" w:rsidRPr="0099114C">
        <w:t>d</w:t>
      </w:r>
      <w:r w:rsidR="00552EB1" w:rsidRPr="0099114C">
        <w:t>el</w:t>
      </w:r>
      <w:r w:rsidR="00104766" w:rsidRPr="0099114C">
        <w:t xml:space="preserve"> based on average duration of </w:t>
      </w:r>
      <w:r w:rsidR="00104766" w:rsidRPr="0099114C">
        <w:lastRenderedPageBreak/>
        <w:t>treatment of 9.6 months</w:t>
      </w:r>
      <w:r w:rsidR="00552EB1" w:rsidRPr="0099114C">
        <w:t>)</w:t>
      </w:r>
      <w:r w:rsidRPr="0099114C">
        <w:t xml:space="preserve">. This represents a </w:t>
      </w:r>
      <w:r w:rsidR="005F1F42" w:rsidRPr="006F30AA">
        <w:rPr>
          <w:color w:val="000000"/>
          <w:w w:val="15"/>
          <w:shd w:val="solid" w:color="000000" w:fill="000000"/>
          <w:fitText w:val="-20" w:id="-961807603"/>
          <w14:textFill>
            <w14:solidFill>
              <w14:srgbClr w14:val="000000">
                <w14:alpha w14:val="100000"/>
              </w14:srgbClr>
            </w14:solidFill>
          </w14:textFill>
        </w:rPr>
        <w:t xml:space="preserve">|  </w:t>
      </w:r>
      <w:r w:rsidR="005F1F42" w:rsidRPr="006F30AA">
        <w:rPr>
          <w:color w:val="000000"/>
          <w:spacing w:val="-69"/>
          <w:w w:val="15"/>
          <w:shd w:val="solid" w:color="000000" w:fill="000000"/>
          <w:fitText w:val="-20" w:id="-961807603"/>
          <w14:textFill>
            <w14:solidFill>
              <w14:srgbClr w14:val="000000">
                <w14:alpha w14:val="100000"/>
              </w14:srgbClr>
            </w14:solidFill>
          </w14:textFill>
        </w:rPr>
        <w:t>|</w:t>
      </w:r>
      <w:r w:rsidRPr="00BE21CE">
        <w:t xml:space="preserve">% </w:t>
      </w:r>
      <w:r w:rsidRPr="0099114C">
        <w:t>reduction in the cost per year presented in the previous submission ($</w:t>
      </w:r>
      <w:r w:rsidR="005F1F42" w:rsidRPr="006F30AA">
        <w:rPr>
          <w:color w:val="000000"/>
          <w:w w:val="15"/>
          <w:shd w:val="solid" w:color="000000" w:fill="000000"/>
          <w:fitText w:val="-20" w:id="-961807602"/>
          <w14:textFill>
            <w14:solidFill>
              <w14:srgbClr w14:val="000000">
                <w14:alpha w14:val="100000"/>
              </w14:srgbClr>
            </w14:solidFill>
          </w14:textFill>
        </w:rPr>
        <w:t xml:space="preserve">|  </w:t>
      </w:r>
      <w:r w:rsidR="005F1F42" w:rsidRPr="006F30AA">
        <w:rPr>
          <w:color w:val="000000"/>
          <w:spacing w:val="-69"/>
          <w:w w:val="15"/>
          <w:shd w:val="solid" w:color="000000" w:fill="000000"/>
          <w:fitText w:val="-20" w:id="-961807602"/>
          <w14:textFill>
            <w14:solidFill>
              <w14:srgbClr w14:val="000000">
                <w14:alpha w14:val="100000"/>
              </w14:srgbClr>
            </w14:solidFill>
          </w14:textFill>
        </w:rPr>
        <w:t>|</w:t>
      </w:r>
      <w:r w:rsidRPr="0099114C">
        <w:t xml:space="preserve">). This was due to a lower proposed price for avacopan and a </w:t>
      </w:r>
      <w:r w:rsidR="00130523" w:rsidRPr="0099114C">
        <w:t>maximum</w:t>
      </w:r>
      <w:r w:rsidRPr="0099114C">
        <w:t xml:space="preserve"> 12</w:t>
      </w:r>
      <w:r w:rsidR="00FD34FE" w:rsidRPr="0099114C">
        <w:t>-</w:t>
      </w:r>
      <w:r w:rsidRPr="0099114C">
        <w:t>month treatment duration</w:t>
      </w:r>
      <w:r w:rsidR="0099114C">
        <w:t xml:space="preserve">. </w:t>
      </w:r>
    </w:p>
    <w:p w14:paraId="67D0277C" w14:textId="2ABD5B35" w:rsidR="00DB5178" w:rsidRPr="0099114C" w:rsidRDefault="00DB5178" w:rsidP="00DB5178">
      <w:pPr>
        <w:pStyle w:val="3-BodyText"/>
      </w:pPr>
      <w:r w:rsidRPr="0099114C">
        <w:t xml:space="preserve">A comparison of avacopan use between the trial setting, the economic model and the financial estimates is presented in </w:t>
      </w:r>
      <w:r w:rsidR="009B4171" w:rsidRPr="0099114C">
        <w:fldChar w:fldCharType="begin" w:fldLock="1"/>
      </w:r>
      <w:r w:rsidR="009B4171" w:rsidRPr="0099114C">
        <w:rPr>
          <w:highlight w:val="yellow"/>
        </w:rPr>
        <w:instrText xml:space="preserve"> REF _Ref153197503 \h </w:instrText>
      </w:r>
      <w:r w:rsidR="00A05B39" w:rsidRPr="0099114C">
        <w:rPr>
          <w:highlight w:val="yellow"/>
        </w:rPr>
        <w:instrText xml:space="preserve"> \* MERGEFORMAT </w:instrText>
      </w:r>
      <w:r w:rsidR="009B4171" w:rsidRPr="0099114C">
        <w:fldChar w:fldCharType="separate"/>
      </w:r>
      <w:r w:rsidR="00A04368" w:rsidRPr="0099114C">
        <w:t xml:space="preserve">Table </w:t>
      </w:r>
      <w:r w:rsidR="00A04368" w:rsidRPr="00857B0D">
        <w:t>15</w:t>
      </w:r>
      <w:r w:rsidR="009B4171" w:rsidRPr="0099114C">
        <w:fldChar w:fldCharType="end"/>
      </w:r>
      <w:r w:rsidRPr="0099114C">
        <w:t xml:space="preserve">. </w:t>
      </w:r>
    </w:p>
    <w:p w14:paraId="3787A9EC" w14:textId="1531FF98" w:rsidR="00DB5178" w:rsidRPr="0099114C" w:rsidRDefault="00DB5178" w:rsidP="004A08BF">
      <w:pPr>
        <w:pStyle w:val="TableFigureHeading"/>
        <w:rPr>
          <w:rStyle w:val="CommentReference"/>
          <w:b/>
          <w:szCs w:val="24"/>
        </w:rPr>
      </w:pPr>
      <w:bookmarkStart w:id="82" w:name="_Ref153197503"/>
      <w:r w:rsidRPr="0099114C">
        <w:t xml:space="preserve">Table </w:t>
      </w:r>
      <w:fldSimple w:instr=" SEQ Table \* ARABIC " w:fldLock="1">
        <w:r w:rsidR="00A04368" w:rsidRPr="00857B0D">
          <w:t>15</w:t>
        </w:r>
      </w:fldSimple>
      <w:bookmarkEnd w:id="82"/>
      <w:r w:rsidRPr="0099114C">
        <w:t>:</w:t>
      </w:r>
      <w:r w:rsidRPr="0099114C">
        <w:rPr>
          <w:rStyle w:val="CommentReference"/>
          <w:b/>
          <w:szCs w:val="24"/>
        </w:rPr>
        <w:t xml:space="preserve"> Drug cost per patient for proposed and comparator drugs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5: Drug cost per patient for proposed and comparator drugs"/>
      </w:tblPr>
      <w:tblGrid>
        <w:gridCol w:w="2547"/>
        <w:gridCol w:w="1984"/>
        <w:gridCol w:w="2410"/>
        <w:gridCol w:w="2075"/>
      </w:tblGrid>
      <w:tr w:rsidR="00C15752" w:rsidRPr="0099114C" w14:paraId="4ACAD718" w14:textId="77777777" w:rsidTr="00E4798D">
        <w:trPr>
          <w:cantSplit/>
          <w:trHeight w:val="170"/>
          <w:tblHeader/>
          <w:jc w:val="center"/>
        </w:trPr>
        <w:tc>
          <w:tcPr>
            <w:tcW w:w="2547" w:type="dxa"/>
            <w:shd w:val="clear" w:color="auto" w:fill="auto"/>
            <w:vAlign w:val="center"/>
          </w:tcPr>
          <w:p w14:paraId="13E7CD1F" w14:textId="77777777" w:rsidR="00C15752" w:rsidRPr="00857B0D" w:rsidRDefault="00C15752">
            <w:pPr>
              <w:pStyle w:val="In-tableHeading"/>
              <w:jc w:val="center"/>
              <w:rPr>
                <w:lang w:val="en-AU"/>
              </w:rPr>
            </w:pPr>
          </w:p>
        </w:tc>
        <w:tc>
          <w:tcPr>
            <w:tcW w:w="1984" w:type="dxa"/>
            <w:shd w:val="clear" w:color="auto" w:fill="auto"/>
            <w:vAlign w:val="center"/>
          </w:tcPr>
          <w:p w14:paraId="3EB4E778" w14:textId="77777777" w:rsidR="00C15752" w:rsidRPr="00857B0D" w:rsidRDefault="00C15752">
            <w:pPr>
              <w:pStyle w:val="In-tableHeading"/>
              <w:jc w:val="center"/>
              <w:rPr>
                <w:lang w:val="en-AU"/>
              </w:rPr>
            </w:pPr>
            <w:r w:rsidRPr="00857B0D">
              <w:rPr>
                <w:lang w:val="en-AU"/>
              </w:rPr>
              <w:t>Trial dose and duration</w:t>
            </w:r>
          </w:p>
        </w:tc>
        <w:tc>
          <w:tcPr>
            <w:tcW w:w="2410" w:type="dxa"/>
            <w:shd w:val="clear" w:color="auto" w:fill="auto"/>
            <w:vAlign w:val="center"/>
          </w:tcPr>
          <w:p w14:paraId="3D20ABD4" w14:textId="77777777" w:rsidR="00C15752" w:rsidRPr="00857B0D" w:rsidRDefault="00C15752">
            <w:pPr>
              <w:pStyle w:val="In-tableHeading"/>
              <w:jc w:val="center"/>
              <w:rPr>
                <w:lang w:val="en-AU"/>
              </w:rPr>
            </w:pPr>
            <w:r w:rsidRPr="00857B0D">
              <w:rPr>
                <w:lang w:val="en-AU"/>
              </w:rPr>
              <w:t>Model</w:t>
            </w:r>
          </w:p>
        </w:tc>
        <w:tc>
          <w:tcPr>
            <w:tcW w:w="2075" w:type="dxa"/>
            <w:shd w:val="clear" w:color="auto" w:fill="auto"/>
            <w:vAlign w:val="center"/>
          </w:tcPr>
          <w:p w14:paraId="296CB790" w14:textId="77777777" w:rsidR="00C15752" w:rsidRPr="00857B0D" w:rsidRDefault="00C15752">
            <w:pPr>
              <w:pStyle w:val="In-tableHeading"/>
              <w:jc w:val="center"/>
              <w:rPr>
                <w:lang w:val="en-AU"/>
              </w:rPr>
            </w:pPr>
            <w:r w:rsidRPr="00857B0D">
              <w:rPr>
                <w:lang w:val="en-AU"/>
              </w:rPr>
              <w:t>Financial estimates</w:t>
            </w:r>
          </w:p>
        </w:tc>
      </w:tr>
      <w:tr w:rsidR="00C15752" w:rsidRPr="0099114C" w14:paraId="55AB75A8" w14:textId="77777777" w:rsidTr="00E4798D">
        <w:trPr>
          <w:cantSplit/>
          <w:trHeight w:val="170"/>
          <w:tblHeader/>
          <w:jc w:val="center"/>
        </w:trPr>
        <w:tc>
          <w:tcPr>
            <w:tcW w:w="2547" w:type="dxa"/>
            <w:shd w:val="clear" w:color="auto" w:fill="auto"/>
            <w:vAlign w:val="center"/>
          </w:tcPr>
          <w:p w14:paraId="62AA8E01" w14:textId="77777777" w:rsidR="00C15752" w:rsidRPr="00857B0D" w:rsidRDefault="00C15752">
            <w:pPr>
              <w:pStyle w:val="In-tableHeading"/>
              <w:rPr>
                <w:b w:val="0"/>
                <w:bCs/>
                <w:lang w:val="en-AU"/>
              </w:rPr>
            </w:pPr>
            <w:r w:rsidRPr="00857B0D">
              <w:rPr>
                <w:b w:val="0"/>
                <w:bCs/>
                <w:lang w:val="en-AU"/>
              </w:rPr>
              <w:t>Proposed regimen</w:t>
            </w:r>
          </w:p>
        </w:tc>
        <w:tc>
          <w:tcPr>
            <w:tcW w:w="1984" w:type="dxa"/>
            <w:shd w:val="clear" w:color="auto" w:fill="auto"/>
            <w:vAlign w:val="center"/>
          </w:tcPr>
          <w:p w14:paraId="4416B7D8" w14:textId="6D4F9128" w:rsidR="00C15752" w:rsidRPr="00857B0D" w:rsidRDefault="00C15752">
            <w:pPr>
              <w:pStyle w:val="In-tableHeading"/>
              <w:jc w:val="center"/>
              <w:rPr>
                <w:b w:val="0"/>
                <w:bCs/>
                <w:lang w:val="en-AU"/>
              </w:rPr>
            </w:pPr>
            <w:r w:rsidRPr="00857B0D">
              <w:rPr>
                <w:b w:val="0"/>
                <w:bCs/>
                <w:lang w:val="en-AU"/>
              </w:rPr>
              <w:t>30 mg twice daily for 12</w:t>
            </w:r>
            <w:r w:rsidR="00E4798D">
              <w:rPr>
                <w:b w:val="0"/>
                <w:bCs/>
                <w:lang w:val="en-AU"/>
              </w:rPr>
              <w:t> </w:t>
            </w:r>
            <w:r w:rsidRPr="00857B0D">
              <w:rPr>
                <w:b w:val="0"/>
                <w:bCs/>
                <w:lang w:val="en-AU"/>
              </w:rPr>
              <w:t>months</w:t>
            </w:r>
          </w:p>
        </w:tc>
        <w:tc>
          <w:tcPr>
            <w:tcW w:w="2410" w:type="dxa"/>
            <w:shd w:val="clear" w:color="auto" w:fill="auto"/>
            <w:vAlign w:val="center"/>
          </w:tcPr>
          <w:p w14:paraId="3697C07F" w14:textId="77777777" w:rsidR="00C15752" w:rsidRPr="00857B0D" w:rsidRDefault="00C15752">
            <w:pPr>
              <w:pStyle w:val="In-tableHeading"/>
              <w:jc w:val="center"/>
              <w:rPr>
                <w:b w:val="0"/>
                <w:bCs/>
                <w:lang w:val="en-AU"/>
              </w:rPr>
            </w:pPr>
            <w:r w:rsidRPr="00857B0D">
              <w:rPr>
                <w:b w:val="0"/>
                <w:bCs/>
                <w:lang w:val="en-AU"/>
              </w:rPr>
              <w:t>30 mg twice daily for 6 months (induction) followed by 6 months (maintenance)</w:t>
            </w:r>
          </w:p>
        </w:tc>
        <w:tc>
          <w:tcPr>
            <w:tcW w:w="2075" w:type="dxa"/>
            <w:shd w:val="clear" w:color="auto" w:fill="auto"/>
            <w:vAlign w:val="center"/>
          </w:tcPr>
          <w:p w14:paraId="76C0989B" w14:textId="77777777" w:rsidR="00C15752" w:rsidRPr="00857B0D" w:rsidRDefault="00C15752">
            <w:pPr>
              <w:pStyle w:val="In-tableHeading"/>
              <w:jc w:val="center"/>
              <w:rPr>
                <w:b w:val="0"/>
                <w:vertAlign w:val="superscript"/>
                <w:lang w:val="en-AU"/>
              </w:rPr>
            </w:pPr>
            <w:r w:rsidRPr="00857B0D">
              <w:rPr>
                <w:b w:val="0"/>
                <w:lang w:val="en-AU"/>
              </w:rPr>
              <w:t>30 mg twice daily for up to 12 months</w:t>
            </w:r>
          </w:p>
        </w:tc>
      </w:tr>
      <w:tr w:rsidR="00C15752" w:rsidRPr="0099114C" w14:paraId="149EFDE0" w14:textId="77777777" w:rsidTr="00E4798D">
        <w:trPr>
          <w:cantSplit/>
          <w:trHeight w:val="170"/>
          <w:tblHeader/>
          <w:jc w:val="center"/>
        </w:trPr>
        <w:tc>
          <w:tcPr>
            <w:tcW w:w="2547" w:type="dxa"/>
            <w:shd w:val="clear" w:color="auto" w:fill="auto"/>
            <w:vAlign w:val="center"/>
          </w:tcPr>
          <w:p w14:paraId="2DCD97E8" w14:textId="77777777" w:rsidR="00C15752" w:rsidRPr="00857B0D" w:rsidRDefault="00C15752">
            <w:pPr>
              <w:pStyle w:val="In-tableHeading"/>
              <w:rPr>
                <w:b w:val="0"/>
                <w:bCs/>
                <w:lang w:val="en-AU"/>
              </w:rPr>
            </w:pPr>
            <w:r w:rsidRPr="00857B0D">
              <w:rPr>
                <w:b w:val="0"/>
                <w:bCs/>
                <w:lang w:val="en-AU"/>
              </w:rPr>
              <w:t>Avacopan re-induction</w:t>
            </w:r>
          </w:p>
        </w:tc>
        <w:tc>
          <w:tcPr>
            <w:tcW w:w="1984" w:type="dxa"/>
            <w:shd w:val="clear" w:color="auto" w:fill="auto"/>
            <w:vAlign w:val="center"/>
          </w:tcPr>
          <w:p w14:paraId="43496C02" w14:textId="77777777" w:rsidR="00C15752" w:rsidRPr="00857B0D" w:rsidRDefault="00C15752">
            <w:pPr>
              <w:pStyle w:val="In-tableHeading"/>
              <w:jc w:val="center"/>
              <w:rPr>
                <w:b w:val="0"/>
                <w:bCs/>
                <w:lang w:val="en-AU"/>
              </w:rPr>
            </w:pPr>
            <w:r w:rsidRPr="00857B0D">
              <w:rPr>
                <w:b w:val="0"/>
                <w:bCs/>
                <w:lang w:val="en-AU"/>
              </w:rPr>
              <w:t>No</w:t>
            </w:r>
          </w:p>
        </w:tc>
        <w:tc>
          <w:tcPr>
            <w:tcW w:w="2410" w:type="dxa"/>
            <w:shd w:val="clear" w:color="auto" w:fill="auto"/>
            <w:vAlign w:val="center"/>
          </w:tcPr>
          <w:p w14:paraId="72C16290" w14:textId="77777777" w:rsidR="00C15752" w:rsidRPr="00857B0D" w:rsidRDefault="00C15752">
            <w:pPr>
              <w:pStyle w:val="In-tableHeading"/>
              <w:jc w:val="center"/>
              <w:rPr>
                <w:b w:val="0"/>
                <w:bCs/>
                <w:lang w:val="en-AU"/>
              </w:rPr>
            </w:pPr>
            <w:r w:rsidRPr="00857B0D">
              <w:rPr>
                <w:b w:val="0"/>
                <w:bCs/>
                <w:lang w:val="en-AU"/>
              </w:rPr>
              <w:t>1</w:t>
            </w:r>
          </w:p>
        </w:tc>
        <w:tc>
          <w:tcPr>
            <w:tcW w:w="2075" w:type="dxa"/>
            <w:shd w:val="clear" w:color="auto" w:fill="auto"/>
            <w:vAlign w:val="center"/>
          </w:tcPr>
          <w:p w14:paraId="7FEF2658" w14:textId="77777777" w:rsidR="00C15752" w:rsidRPr="00857B0D" w:rsidRDefault="00C15752">
            <w:pPr>
              <w:pStyle w:val="In-tableHeading"/>
              <w:jc w:val="center"/>
              <w:rPr>
                <w:b w:val="0"/>
                <w:bCs/>
                <w:lang w:val="en-AU"/>
              </w:rPr>
            </w:pPr>
            <w:r w:rsidRPr="00857B0D">
              <w:rPr>
                <w:b w:val="0"/>
                <w:bCs/>
                <w:lang w:val="en-AU"/>
              </w:rPr>
              <w:t>1</w:t>
            </w:r>
          </w:p>
        </w:tc>
      </w:tr>
      <w:tr w:rsidR="00C15752" w:rsidRPr="0099114C" w14:paraId="0A255F7C" w14:textId="77777777" w:rsidTr="00E4798D">
        <w:trPr>
          <w:cantSplit/>
          <w:trHeight w:val="170"/>
          <w:tblHeader/>
          <w:jc w:val="center"/>
        </w:trPr>
        <w:tc>
          <w:tcPr>
            <w:tcW w:w="2547" w:type="dxa"/>
            <w:shd w:val="clear" w:color="auto" w:fill="auto"/>
            <w:vAlign w:val="center"/>
          </w:tcPr>
          <w:p w14:paraId="327E3040" w14:textId="77777777" w:rsidR="00C15752" w:rsidRPr="00857B0D" w:rsidRDefault="00C15752">
            <w:pPr>
              <w:pStyle w:val="In-tableHeading"/>
              <w:rPr>
                <w:b w:val="0"/>
                <w:bCs/>
                <w:lang w:val="en-AU"/>
              </w:rPr>
            </w:pPr>
            <w:r w:rsidRPr="00857B0D">
              <w:rPr>
                <w:b w:val="0"/>
                <w:bCs/>
                <w:lang w:val="en-AU"/>
              </w:rPr>
              <w:t>Mean total duration of treatment</w:t>
            </w:r>
          </w:p>
        </w:tc>
        <w:tc>
          <w:tcPr>
            <w:tcW w:w="1984" w:type="dxa"/>
            <w:shd w:val="clear" w:color="auto" w:fill="auto"/>
            <w:vAlign w:val="center"/>
          </w:tcPr>
          <w:p w14:paraId="2E0DD1BB" w14:textId="77777777" w:rsidR="00C15752" w:rsidRPr="00857B0D" w:rsidRDefault="00C15752">
            <w:pPr>
              <w:pStyle w:val="In-tableHeading"/>
              <w:jc w:val="center"/>
              <w:rPr>
                <w:b w:val="0"/>
                <w:bCs/>
                <w:lang w:val="en-AU"/>
              </w:rPr>
            </w:pPr>
            <w:r w:rsidRPr="00857B0D">
              <w:rPr>
                <w:b w:val="0"/>
                <w:bCs/>
                <w:lang w:val="en-AU"/>
              </w:rPr>
              <w:t>10.0 months</w:t>
            </w:r>
          </w:p>
        </w:tc>
        <w:tc>
          <w:tcPr>
            <w:tcW w:w="2410" w:type="dxa"/>
            <w:shd w:val="clear" w:color="auto" w:fill="auto"/>
            <w:vAlign w:val="center"/>
          </w:tcPr>
          <w:p w14:paraId="6333BB8A" w14:textId="77777777" w:rsidR="00C15752" w:rsidRPr="00857B0D" w:rsidRDefault="00C15752">
            <w:pPr>
              <w:pStyle w:val="In-tableHeading"/>
              <w:jc w:val="center"/>
              <w:rPr>
                <w:b w:val="0"/>
                <w:bCs/>
                <w:lang w:val="en-AU"/>
              </w:rPr>
            </w:pPr>
            <w:r w:rsidRPr="00857B0D">
              <w:rPr>
                <w:b w:val="0"/>
                <w:bCs/>
                <w:lang w:val="en-AU"/>
              </w:rPr>
              <w:t>9.6 months</w:t>
            </w:r>
          </w:p>
        </w:tc>
        <w:tc>
          <w:tcPr>
            <w:tcW w:w="2075" w:type="dxa"/>
            <w:shd w:val="clear" w:color="auto" w:fill="auto"/>
            <w:vAlign w:val="center"/>
          </w:tcPr>
          <w:p w14:paraId="52AE7758" w14:textId="7EE4492D" w:rsidR="00C15752" w:rsidRPr="00857B0D" w:rsidRDefault="00B22858">
            <w:pPr>
              <w:pStyle w:val="In-tableHeading"/>
              <w:jc w:val="center"/>
              <w:rPr>
                <w:b w:val="0"/>
                <w:bCs/>
                <w:i/>
                <w:iCs/>
                <w:lang w:val="en-AU"/>
              </w:rPr>
            </w:pPr>
            <w:r w:rsidRPr="00857B0D">
              <w:rPr>
                <w:b w:val="0"/>
                <w:bCs/>
                <w:lang w:val="en-AU"/>
              </w:rPr>
              <w:t>9.6</w:t>
            </w:r>
            <w:r w:rsidR="00C15752" w:rsidRPr="00857B0D">
              <w:rPr>
                <w:b w:val="0"/>
                <w:bCs/>
                <w:lang w:val="en-AU"/>
              </w:rPr>
              <w:t xml:space="preserve"> months</w:t>
            </w:r>
          </w:p>
        </w:tc>
      </w:tr>
      <w:tr w:rsidR="00C15752" w:rsidRPr="0099114C" w14:paraId="224BB756" w14:textId="77777777" w:rsidTr="00E4798D">
        <w:trPr>
          <w:cantSplit/>
          <w:trHeight w:val="170"/>
          <w:jc w:val="center"/>
        </w:trPr>
        <w:tc>
          <w:tcPr>
            <w:tcW w:w="2547" w:type="dxa"/>
            <w:shd w:val="clear" w:color="auto" w:fill="auto"/>
            <w:vAlign w:val="center"/>
          </w:tcPr>
          <w:p w14:paraId="56CCDCD4" w14:textId="77777777" w:rsidR="00C15752" w:rsidRPr="00857B0D" w:rsidRDefault="00C15752">
            <w:pPr>
              <w:pStyle w:val="TableText"/>
            </w:pPr>
            <w:r w:rsidRPr="00857B0D">
              <w:t>Compliance</w:t>
            </w:r>
          </w:p>
        </w:tc>
        <w:tc>
          <w:tcPr>
            <w:tcW w:w="1984" w:type="dxa"/>
            <w:shd w:val="clear" w:color="auto" w:fill="auto"/>
            <w:vAlign w:val="center"/>
          </w:tcPr>
          <w:p w14:paraId="0C40A77B" w14:textId="77777777" w:rsidR="00C15752" w:rsidRPr="00857B0D" w:rsidRDefault="00C15752">
            <w:pPr>
              <w:pStyle w:val="TableText"/>
              <w:jc w:val="center"/>
              <w:rPr>
                <w:bCs w:val="0"/>
              </w:rPr>
            </w:pPr>
            <w:r w:rsidRPr="00857B0D">
              <w:rPr>
                <w:bCs w:val="0"/>
              </w:rPr>
              <w:t>86.4%</w:t>
            </w:r>
          </w:p>
        </w:tc>
        <w:tc>
          <w:tcPr>
            <w:tcW w:w="2410" w:type="dxa"/>
            <w:shd w:val="clear" w:color="auto" w:fill="auto"/>
            <w:vAlign w:val="center"/>
          </w:tcPr>
          <w:p w14:paraId="2765D3D4" w14:textId="77777777" w:rsidR="00C15752" w:rsidRPr="00857B0D" w:rsidRDefault="00C15752">
            <w:pPr>
              <w:pStyle w:val="TableText"/>
              <w:jc w:val="center"/>
              <w:rPr>
                <w:bCs w:val="0"/>
              </w:rPr>
            </w:pPr>
            <w:r w:rsidRPr="00857B0D">
              <w:rPr>
                <w:bCs w:val="0"/>
              </w:rPr>
              <w:t>86.4%</w:t>
            </w:r>
          </w:p>
        </w:tc>
        <w:tc>
          <w:tcPr>
            <w:tcW w:w="2075" w:type="dxa"/>
            <w:shd w:val="clear" w:color="auto" w:fill="auto"/>
            <w:vAlign w:val="center"/>
          </w:tcPr>
          <w:p w14:paraId="087C440F" w14:textId="77777777" w:rsidR="00C15752" w:rsidRPr="00857B0D" w:rsidRDefault="00C15752">
            <w:pPr>
              <w:pStyle w:val="TableText"/>
              <w:jc w:val="center"/>
              <w:rPr>
                <w:bCs w:val="0"/>
                <w:vertAlign w:val="superscript"/>
              </w:rPr>
            </w:pPr>
            <w:r w:rsidRPr="00857B0D">
              <w:rPr>
                <w:bCs w:val="0"/>
              </w:rPr>
              <w:t>86.4%</w:t>
            </w:r>
          </w:p>
        </w:tc>
      </w:tr>
      <w:tr w:rsidR="00C15752" w:rsidRPr="0099114C" w14:paraId="3D8CC6ED" w14:textId="77777777" w:rsidTr="00E4798D">
        <w:trPr>
          <w:cantSplit/>
          <w:trHeight w:val="170"/>
          <w:jc w:val="center"/>
        </w:trPr>
        <w:tc>
          <w:tcPr>
            <w:tcW w:w="2547" w:type="dxa"/>
            <w:shd w:val="clear" w:color="auto" w:fill="auto"/>
            <w:vAlign w:val="center"/>
          </w:tcPr>
          <w:p w14:paraId="4DC52772" w14:textId="77777777" w:rsidR="00C15752" w:rsidRPr="00857B0D" w:rsidRDefault="00C15752">
            <w:pPr>
              <w:pStyle w:val="TableText"/>
            </w:pPr>
            <w:r w:rsidRPr="00857B0D">
              <w:t>Cost/patient/course</w:t>
            </w:r>
          </w:p>
        </w:tc>
        <w:tc>
          <w:tcPr>
            <w:tcW w:w="1984" w:type="dxa"/>
            <w:shd w:val="clear" w:color="auto" w:fill="auto"/>
            <w:vAlign w:val="center"/>
          </w:tcPr>
          <w:p w14:paraId="1F872C03" w14:textId="47BA248A" w:rsidR="00C15752" w:rsidRPr="00857B0D" w:rsidRDefault="00C15752">
            <w:pPr>
              <w:jc w:val="center"/>
              <w:rPr>
                <w:vertAlign w:val="superscript"/>
              </w:rPr>
            </w:pPr>
            <w:r w:rsidRPr="0099114C">
              <w:rPr>
                <w:rFonts w:ascii="Arial Narrow" w:hAnsi="Arial Narrow" w:cs="Calibri"/>
                <w:color w:val="000000"/>
                <w:sz w:val="20"/>
                <w:szCs w:val="20"/>
              </w:rPr>
              <w:t>$</w:t>
            </w:r>
            <w:r w:rsidR="005F1F42" w:rsidRPr="005F1F42">
              <w:rPr>
                <w:rFonts w:ascii="Arial Narrow" w:hAnsi="Arial Narrow" w:cs="Calibri"/>
                <w:color w:val="000000"/>
                <w:sz w:val="20"/>
                <w:szCs w:val="20"/>
                <w:shd w:val="solid" w:color="000000" w:fill="000000"/>
                <w14:textFill>
                  <w14:solidFill>
                    <w14:srgbClr w14:val="000000">
                      <w14:alpha w14:val="100000"/>
                    </w14:srgbClr>
                  </w14:solidFill>
                </w14:textFill>
              </w:rPr>
              <w:t>|</w:t>
            </w:r>
            <w:r w:rsidRPr="0099114C">
              <w:rPr>
                <w:rFonts w:ascii="Arial Narrow" w:hAnsi="Arial Narrow" w:cs="Calibri"/>
                <w:color w:val="000000"/>
                <w:sz w:val="20"/>
                <w:szCs w:val="20"/>
                <w:vertAlign w:val="superscript"/>
              </w:rPr>
              <w:t>a</w:t>
            </w:r>
          </w:p>
        </w:tc>
        <w:tc>
          <w:tcPr>
            <w:tcW w:w="2410" w:type="dxa"/>
            <w:shd w:val="clear" w:color="auto" w:fill="auto"/>
            <w:vAlign w:val="center"/>
          </w:tcPr>
          <w:p w14:paraId="1FB042A3" w14:textId="2D74ED75" w:rsidR="00C15752" w:rsidRPr="00857B0D" w:rsidRDefault="00C15752">
            <w:pPr>
              <w:pStyle w:val="TableText"/>
              <w:jc w:val="center"/>
              <w:rPr>
                <w:bCs w:val="0"/>
                <w:vertAlign w:val="superscript"/>
              </w:rPr>
            </w:pPr>
            <w:r w:rsidRPr="00857B0D">
              <w:rPr>
                <w:bCs w:val="0"/>
              </w:rPr>
              <w:t>$</w:t>
            </w:r>
            <w:r w:rsidR="005F1F42" w:rsidRPr="005F1F42">
              <w:rPr>
                <w:bCs w:val="0"/>
                <w:color w:val="000000"/>
                <w:shd w:val="solid" w:color="000000" w:fill="000000"/>
                <w14:textFill>
                  <w14:solidFill>
                    <w14:srgbClr w14:val="000000">
                      <w14:alpha w14:val="100000"/>
                    </w14:srgbClr>
                  </w14:solidFill>
                </w14:textFill>
              </w:rPr>
              <w:t>|</w:t>
            </w:r>
            <w:r w:rsidRPr="00857B0D">
              <w:rPr>
                <w:bCs w:val="0"/>
                <w:vertAlign w:val="superscript"/>
              </w:rPr>
              <w:t>a</w:t>
            </w:r>
          </w:p>
        </w:tc>
        <w:tc>
          <w:tcPr>
            <w:tcW w:w="2075" w:type="dxa"/>
            <w:shd w:val="clear" w:color="auto" w:fill="auto"/>
            <w:vAlign w:val="center"/>
          </w:tcPr>
          <w:p w14:paraId="47F92EFF" w14:textId="57091EB6" w:rsidR="00C15752" w:rsidRPr="00857B0D" w:rsidRDefault="00B22858">
            <w:pPr>
              <w:pStyle w:val="TableText"/>
              <w:jc w:val="center"/>
              <w:rPr>
                <w:bCs w:val="0"/>
                <w:vertAlign w:val="superscript"/>
              </w:rPr>
            </w:pPr>
            <w:r w:rsidRPr="00857B0D">
              <w:rPr>
                <w:bCs w:val="0"/>
              </w:rPr>
              <w:t>$</w:t>
            </w:r>
            <w:r w:rsidR="005F1F42" w:rsidRPr="005F1F42">
              <w:rPr>
                <w:bCs w:val="0"/>
                <w:color w:val="000000"/>
                <w:shd w:val="solid" w:color="000000" w:fill="000000"/>
                <w14:textFill>
                  <w14:solidFill>
                    <w14:srgbClr w14:val="000000">
                      <w14:alpha w14:val="100000"/>
                    </w14:srgbClr>
                  </w14:solidFill>
                </w14:textFill>
              </w:rPr>
              <w:t>|</w:t>
            </w:r>
            <w:r w:rsidRPr="00857B0D">
              <w:rPr>
                <w:bCs w:val="0"/>
                <w:vertAlign w:val="superscript"/>
              </w:rPr>
              <w:t>a</w:t>
            </w:r>
          </w:p>
        </w:tc>
      </w:tr>
    </w:tbl>
    <w:p w14:paraId="07721CA6" w14:textId="77777777" w:rsidR="00DB5178" w:rsidRPr="0099114C" w:rsidRDefault="00DB5178" w:rsidP="00DB5178">
      <w:pPr>
        <w:pStyle w:val="FooterTableFigure"/>
      </w:pPr>
      <w:bookmarkStart w:id="83" w:name="_Toc152591177"/>
      <w:r w:rsidRPr="0099114C">
        <w:t>Source: Compiled during the evaluation from Attachment 26 – Avacopan CE model &amp; Attachment 29 – Avacopan Section 4 financial model</w:t>
      </w:r>
    </w:p>
    <w:p w14:paraId="3FC1BFC8" w14:textId="77777777" w:rsidR="00DB5178" w:rsidRPr="0099114C" w:rsidRDefault="00DB5178" w:rsidP="00DB5178">
      <w:pPr>
        <w:pStyle w:val="FooterTableFigure"/>
      </w:pPr>
      <w:r w:rsidRPr="0099114C">
        <w:t xml:space="preserve">Abbreviations: mg, milligram </w:t>
      </w:r>
    </w:p>
    <w:p w14:paraId="250A7D68" w14:textId="4C7C2102" w:rsidR="00B22858" w:rsidRPr="0099114C" w:rsidRDefault="00FF1C7B" w:rsidP="00896515">
      <w:pPr>
        <w:pStyle w:val="FooterTableFigure"/>
      </w:pPr>
      <w:r w:rsidRPr="0099114C">
        <w:t>a</w:t>
      </w:r>
      <w:r w:rsidR="00102756" w:rsidRPr="0099114C">
        <w:t xml:space="preserve"> </w:t>
      </w:r>
      <w:r w:rsidR="00896515" w:rsidRPr="0099114C">
        <w:t xml:space="preserve">DPMQ multiplied by compliance rate </w:t>
      </w:r>
      <w:r w:rsidR="00531273" w:rsidRPr="0099114C">
        <w:t xml:space="preserve">multiplied by length of course. </w:t>
      </w:r>
    </w:p>
    <w:p w14:paraId="394E61A1" w14:textId="5DC95265" w:rsidR="00B22858" w:rsidRPr="0099114C" w:rsidRDefault="00B22858" w:rsidP="00E5029B">
      <w:pPr>
        <w:pStyle w:val="3-BodyText"/>
      </w:pPr>
      <w:r w:rsidRPr="0099114C">
        <w:t xml:space="preserve">The pre-PBAC response </w:t>
      </w:r>
      <w:r w:rsidR="00DE621F" w:rsidRPr="0099114C">
        <w:t xml:space="preserve"> </w:t>
      </w:r>
      <w:r w:rsidRPr="0099114C">
        <w:t xml:space="preserve">offered a </w:t>
      </w:r>
      <w:r w:rsidR="005F1F42" w:rsidRPr="005F1F42">
        <w:rPr>
          <w:color w:val="000000"/>
          <w:w w:val="60"/>
          <w:shd w:val="solid" w:color="000000" w:fill="000000"/>
          <w:fitText w:val="468" w:id="-961807601"/>
          <w14:textFill>
            <w14:solidFill>
              <w14:srgbClr w14:val="000000">
                <w14:alpha w14:val="100000"/>
              </w14:srgbClr>
            </w14:solidFill>
          </w14:textFill>
        </w:rPr>
        <w:t>|||  ||</w:t>
      </w:r>
      <w:r w:rsidR="005F1F42" w:rsidRPr="005F1F42">
        <w:rPr>
          <w:color w:val="000000"/>
          <w:spacing w:val="4"/>
          <w:w w:val="60"/>
          <w:shd w:val="solid" w:color="000000" w:fill="000000"/>
          <w:fitText w:val="468" w:id="-961807601"/>
          <w14:textFill>
            <w14:solidFill>
              <w14:srgbClr w14:val="000000">
                <w14:alpha w14:val="100000"/>
              </w14:srgbClr>
            </w14:solidFill>
          </w14:textFill>
        </w:rPr>
        <w:t>|</w:t>
      </w:r>
      <w:r w:rsidRPr="00BE21CE">
        <w:t xml:space="preserve">% </w:t>
      </w:r>
      <w:r w:rsidRPr="0099114C">
        <w:t>price reduction from an AEMP of $</w:t>
      </w:r>
      <w:r w:rsidR="005F1F42" w:rsidRPr="005F1F42">
        <w:rPr>
          <w:color w:val="000000"/>
          <w:w w:val="60"/>
          <w:shd w:val="solid" w:color="000000" w:fill="000000"/>
          <w:fitText w:val="468" w:id="-961807600"/>
          <w14:textFill>
            <w14:solidFill>
              <w14:srgbClr w14:val="000000">
                <w14:alpha w14:val="100000"/>
              </w14:srgbClr>
            </w14:solidFill>
          </w14:textFill>
        </w:rPr>
        <w:t>|||  ||</w:t>
      </w:r>
      <w:r w:rsidR="005F1F42" w:rsidRPr="005F1F42">
        <w:rPr>
          <w:color w:val="000000"/>
          <w:spacing w:val="4"/>
          <w:w w:val="60"/>
          <w:shd w:val="solid" w:color="000000" w:fill="000000"/>
          <w:fitText w:val="468" w:id="-961807600"/>
          <w14:textFill>
            <w14:solidFill>
              <w14:srgbClr w14:val="000000">
                <w14:alpha w14:val="100000"/>
              </w14:srgbClr>
            </w14:solidFill>
          </w14:textFill>
        </w:rPr>
        <w:t>|</w:t>
      </w:r>
      <w:r w:rsidRPr="0099114C">
        <w:t xml:space="preserve"> to an AEMP of $</w:t>
      </w:r>
      <w:r w:rsidR="005F1F42" w:rsidRPr="006F30AA">
        <w:rPr>
          <w:color w:val="000000"/>
          <w:w w:val="15"/>
          <w:shd w:val="solid" w:color="000000" w:fill="000000"/>
          <w:fitText w:val="-20" w:id="-961807616"/>
          <w14:textFill>
            <w14:solidFill>
              <w14:srgbClr w14:val="000000">
                <w14:alpha w14:val="100000"/>
              </w14:srgbClr>
            </w14:solidFill>
          </w14:textFill>
        </w:rPr>
        <w:t xml:space="preserve">|  </w:t>
      </w:r>
      <w:r w:rsidR="005F1F42" w:rsidRPr="006F30AA">
        <w:rPr>
          <w:color w:val="000000"/>
          <w:spacing w:val="-69"/>
          <w:w w:val="15"/>
          <w:shd w:val="solid" w:color="000000" w:fill="000000"/>
          <w:fitText w:val="-20" w:id="-961807616"/>
          <w14:textFill>
            <w14:solidFill>
              <w14:srgbClr w14:val="000000">
                <w14:alpha w14:val="100000"/>
              </w14:srgbClr>
            </w14:solidFill>
          </w14:textFill>
        </w:rPr>
        <w:t>|</w:t>
      </w:r>
      <w:r w:rsidRPr="0099114C">
        <w:t>.</w:t>
      </w:r>
    </w:p>
    <w:p w14:paraId="06E72D55" w14:textId="77777777" w:rsidR="00DB5178" w:rsidRPr="0099114C" w:rsidRDefault="00DB5178" w:rsidP="00DB5178">
      <w:pPr>
        <w:pStyle w:val="4-SubsectionHeading"/>
      </w:pPr>
      <w:bookmarkStart w:id="84" w:name="_Toc156913972"/>
      <w:r w:rsidRPr="0099114C">
        <w:t>Estimated PBS usage &amp; financial implications</w:t>
      </w:r>
      <w:bookmarkEnd w:id="83"/>
      <w:bookmarkEnd w:id="84"/>
    </w:p>
    <w:p w14:paraId="2934F210" w14:textId="0663674C" w:rsidR="00CB63E9" w:rsidRPr="0099114C" w:rsidRDefault="00CB63E9" w:rsidP="00CB63E9">
      <w:pPr>
        <w:pStyle w:val="3-BodyText"/>
        <w:rPr>
          <w:color w:val="0066FF"/>
        </w:rPr>
      </w:pPr>
      <w:bookmarkStart w:id="85" w:name="_Toc152591178"/>
      <w:bookmarkStart w:id="86" w:name="_Toc156913973"/>
      <w:r w:rsidRPr="0099114C">
        <w:t>This resubmission was considered by DUSC.</w:t>
      </w:r>
      <w:r w:rsidRPr="0099114C">
        <w:rPr>
          <w:color w:val="0070C0"/>
        </w:rPr>
        <w:t xml:space="preserve"> </w:t>
      </w:r>
    </w:p>
    <w:p w14:paraId="581FE299" w14:textId="198A663C" w:rsidR="00A01F40" w:rsidRPr="0099114C" w:rsidRDefault="00CB63E9" w:rsidP="00CB63E9">
      <w:pPr>
        <w:pStyle w:val="3-BodyText"/>
        <w:rPr>
          <w:color w:val="0066FF"/>
        </w:rPr>
      </w:pPr>
      <w:bookmarkStart w:id="87" w:name="_Ref141788596"/>
      <w:bookmarkStart w:id="88" w:name="_Ref161907483"/>
      <w:r w:rsidRPr="0099114C">
        <w:rPr>
          <w:iCs/>
        </w:rPr>
        <w:t>The July 2023 submission was considered by DUSC</w:t>
      </w:r>
      <w:r w:rsidR="00C204E3" w:rsidRPr="0099114C">
        <w:rPr>
          <w:iCs/>
        </w:rPr>
        <w:t xml:space="preserve"> with the </w:t>
      </w:r>
      <w:r w:rsidR="00A10FF6" w:rsidRPr="0099114C">
        <w:rPr>
          <w:iCs/>
        </w:rPr>
        <w:t>subcommittee</w:t>
      </w:r>
      <w:r w:rsidR="00C204E3" w:rsidRPr="0099114C">
        <w:rPr>
          <w:iCs/>
        </w:rPr>
        <w:t xml:space="preserve"> advising the estimates were reasonable </w:t>
      </w:r>
      <w:r w:rsidR="0015687D" w:rsidRPr="0099114C">
        <w:rPr>
          <w:iCs/>
        </w:rPr>
        <w:t xml:space="preserve">if Population 3 was removed which had a substantial amount of uncertainty </w:t>
      </w:r>
      <w:r w:rsidR="00C204E3" w:rsidRPr="0099114C">
        <w:rPr>
          <w:iCs/>
        </w:rPr>
        <w:t>(para 6.80, avacopan PSD, July 2023 PBAC Meeting). The July</w:t>
      </w:r>
      <w:r w:rsidR="00E4798D">
        <w:rPr>
          <w:iCs/>
        </w:rPr>
        <w:t> </w:t>
      </w:r>
      <w:r w:rsidR="00C204E3" w:rsidRPr="0099114C">
        <w:rPr>
          <w:iCs/>
        </w:rPr>
        <w:t xml:space="preserve">2023 submission used an epidemiological approach and identified four patient populations that would be eligible for avacopan: </w:t>
      </w:r>
      <w:r w:rsidR="00C204E3" w:rsidRPr="0099114C">
        <w:t xml:space="preserve">(1) newly diagnosed; (2) relapsed; (3) re-induction; and (4) grandfathered patients </w:t>
      </w:r>
      <w:r w:rsidR="00C204E3" w:rsidRPr="0099114C">
        <w:rPr>
          <w:iCs/>
        </w:rPr>
        <w:t>(para 6.73, avacopan PSD, July 2023 PBAC Meeting).</w:t>
      </w:r>
      <w:r w:rsidR="00C204E3" w:rsidRPr="0099114C">
        <w:t xml:space="preserve"> In July 2023, </w:t>
      </w:r>
      <w:r w:rsidR="00F762F2" w:rsidRPr="0099114C">
        <w:rPr>
          <w:iCs/>
        </w:rPr>
        <w:t xml:space="preserve">the </w:t>
      </w:r>
      <w:r w:rsidRPr="0099114C">
        <w:rPr>
          <w:iCs/>
        </w:rPr>
        <w:t>PBAC noted DUSC advice that the estimated use of avacopan was aligned with the previous use of rituximab for the same indications between 2016-2022 and that avacopan was unlikely to increase the patient population</w:t>
      </w:r>
      <w:bookmarkEnd w:id="87"/>
      <w:r w:rsidR="00C204E3" w:rsidRPr="0099114C">
        <w:rPr>
          <w:iCs/>
        </w:rPr>
        <w:t xml:space="preserve">. At that time, </w:t>
      </w:r>
      <w:r w:rsidR="00C204E3" w:rsidRPr="0099114C">
        <w:t xml:space="preserve">the PBAC agreed with the DUSC that the remaining uncertainty with respect to the eligible population could be reduced by removing Population 3 from the financial model. In addition, the PBAC agreed with the DUSC that grandfathered patients could be removed from the financial model as these patients would have been counted from the prevalent pool </w:t>
      </w:r>
      <w:r w:rsidRPr="0099114C">
        <w:rPr>
          <w:iCs/>
        </w:rPr>
        <w:t>(para 7.15, avacopan PSD, July 2023 PBAC Meeting).</w:t>
      </w:r>
      <w:bookmarkEnd w:id="88"/>
      <w:r w:rsidRPr="0099114C">
        <w:t xml:space="preserve"> </w:t>
      </w:r>
    </w:p>
    <w:p w14:paraId="2D1898F6" w14:textId="21F2EA1D" w:rsidR="00CB63E9" w:rsidRPr="0099114C" w:rsidRDefault="00CB63E9" w:rsidP="00A01F40">
      <w:pPr>
        <w:pStyle w:val="3-BodyText"/>
        <w:rPr>
          <w:color w:val="0066FF"/>
        </w:rPr>
      </w:pPr>
      <w:r w:rsidRPr="00857B0D">
        <w:rPr>
          <w:lang w:eastAsia="en-GB"/>
        </w:rPr>
        <w:t>The resubmission claimed that further data analysis subsequent to the July 2023 PBAC submission indicated that a larger number of AAV patients are likely to be prevalent in Australia, and therefore treated, than estimated in the previous submission.</w:t>
      </w:r>
      <w:r w:rsidR="00A01F40" w:rsidRPr="0099114C">
        <w:t xml:space="preserve"> </w:t>
      </w:r>
      <w:r w:rsidRPr="0099114C">
        <w:t>The resubmission presented an epidemiological approach using a revised financial model.</w:t>
      </w:r>
      <w:r w:rsidRPr="0099114C">
        <w:rPr>
          <w:color w:val="0066FF"/>
        </w:rPr>
        <w:t xml:space="preserve"> </w:t>
      </w:r>
      <w:r w:rsidRPr="0099114C">
        <w:t xml:space="preserve">The resubmission applied a different approach to estimating the eligible population compared to the previous submission. The resubmission used a new data source </w:t>
      </w:r>
      <w:r w:rsidRPr="0099114C">
        <w:lastRenderedPageBreak/>
        <w:t>which substantially increased the estimated number of patients treated with avacopan. A revised AEMP for avacopan was also applied in the resubmission.</w:t>
      </w:r>
    </w:p>
    <w:p w14:paraId="23B0DC7A" w14:textId="3F9C3806" w:rsidR="00CB63E9" w:rsidRPr="0099114C" w:rsidRDefault="00CB63E9" w:rsidP="00CB63E9">
      <w:pPr>
        <w:pStyle w:val="3-BodyText"/>
        <w:rPr>
          <w:i/>
        </w:rPr>
      </w:pPr>
      <w:r w:rsidRPr="0099114C">
        <w:fldChar w:fldCharType="begin" w:fldLock="1"/>
      </w:r>
      <w:r w:rsidRPr="0099114C">
        <w:instrText xml:space="preserve"> REF _Ref153197539 \h </w:instrText>
      </w:r>
      <w:r w:rsidRPr="0099114C">
        <w:fldChar w:fldCharType="separate"/>
      </w:r>
      <w:r w:rsidRPr="0099114C">
        <w:t xml:space="preserve">Table </w:t>
      </w:r>
      <w:r w:rsidRPr="00857B0D">
        <w:t>16</w:t>
      </w:r>
      <w:r w:rsidRPr="0099114C">
        <w:fldChar w:fldCharType="end"/>
      </w:r>
      <w:r w:rsidRPr="0099114C">
        <w:t xml:space="preserve"> provides a summary of the key inputs and issues in the </w:t>
      </w:r>
      <w:r w:rsidR="00024B9A" w:rsidRPr="0099114C">
        <w:t xml:space="preserve">resubmission </w:t>
      </w:r>
      <w:r w:rsidRPr="0099114C">
        <w:t xml:space="preserve">financial estimates. </w:t>
      </w:r>
      <w:r w:rsidRPr="0099114C">
        <w:rPr>
          <w:iCs/>
        </w:rPr>
        <w:t>With the exception of the avacopan compliance rate all inputs are changed from the previous submission.</w:t>
      </w:r>
      <w:r w:rsidRPr="0099114C">
        <w:rPr>
          <w:i/>
        </w:rPr>
        <w:t xml:space="preserve"> </w:t>
      </w:r>
      <w:r w:rsidR="00024B9A" w:rsidRPr="0099114C">
        <w:rPr>
          <w:iCs/>
        </w:rPr>
        <w:t xml:space="preserve">DUSC comments on the key inputs for the resubmission financial estimates are included in the table. </w:t>
      </w:r>
    </w:p>
    <w:p w14:paraId="3A55E83A" w14:textId="689048D5" w:rsidR="00024B9A" w:rsidRPr="0099114C" w:rsidRDefault="00CB63E9" w:rsidP="00537E84">
      <w:pPr>
        <w:pStyle w:val="TableFigureHeading"/>
      </w:pPr>
      <w:bookmarkStart w:id="89" w:name="_Ref153197539"/>
      <w:r w:rsidRPr="0099114C">
        <w:t xml:space="preserve">Table </w:t>
      </w:r>
      <w:fldSimple w:instr=" SEQ Table \* ARABIC " w:fldLock="1">
        <w:r w:rsidRPr="00857B0D">
          <w:t>16</w:t>
        </w:r>
      </w:fldSimple>
      <w:bookmarkEnd w:id="89"/>
      <w:r w:rsidRPr="0099114C">
        <w:t>:</w:t>
      </w:r>
      <w:r w:rsidRPr="0099114C">
        <w:rPr>
          <w:rStyle w:val="CommentReference"/>
          <w:b/>
          <w:szCs w:val="24"/>
        </w:rPr>
        <w:t xml:space="preserve"> Key inputs for financial estimates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6: Key inputs for financial estimates"/>
      </w:tblPr>
      <w:tblGrid>
        <w:gridCol w:w="1340"/>
        <w:gridCol w:w="1121"/>
        <w:gridCol w:w="1621"/>
        <w:gridCol w:w="2292"/>
        <w:gridCol w:w="2642"/>
      </w:tblGrid>
      <w:tr w:rsidR="00024B9A" w:rsidRPr="0099114C" w14:paraId="54853153" w14:textId="77777777" w:rsidTr="002B24C8">
        <w:trPr>
          <w:tblHeader/>
        </w:trPr>
        <w:tc>
          <w:tcPr>
            <w:tcW w:w="1340" w:type="dxa"/>
            <w:vAlign w:val="center"/>
          </w:tcPr>
          <w:p w14:paraId="0CBAC8B9" w14:textId="77777777" w:rsidR="00024B9A" w:rsidRPr="00857B0D" w:rsidRDefault="00024B9A" w:rsidP="002B24C8">
            <w:pPr>
              <w:keepNext/>
              <w:jc w:val="center"/>
              <w:rPr>
                <w:rFonts w:ascii="Arial Narrow" w:hAnsi="Arial Narrow" w:cs="Times New Roman"/>
                <w:b/>
                <w:sz w:val="20"/>
              </w:rPr>
            </w:pPr>
            <w:r w:rsidRPr="00857B0D">
              <w:rPr>
                <w:rFonts w:ascii="Arial Narrow" w:hAnsi="Arial Narrow" w:cs="Times New Roman"/>
                <w:b/>
                <w:sz w:val="20"/>
              </w:rPr>
              <w:t>Data</w:t>
            </w:r>
          </w:p>
        </w:tc>
        <w:tc>
          <w:tcPr>
            <w:tcW w:w="1121" w:type="dxa"/>
            <w:vAlign w:val="center"/>
          </w:tcPr>
          <w:p w14:paraId="74B317E7" w14:textId="77777777" w:rsidR="00024B9A" w:rsidRPr="00857B0D" w:rsidRDefault="00024B9A" w:rsidP="002B24C8">
            <w:pPr>
              <w:keepNext/>
              <w:jc w:val="center"/>
              <w:rPr>
                <w:rFonts w:ascii="Arial Narrow" w:hAnsi="Arial Narrow" w:cs="Times New Roman"/>
                <w:b/>
                <w:sz w:val="20"/>
              </w:rPr>
            </w:pPr>
            <w:r w:rsidRPr="00857B0D">
              <w:rPr>
                <w:rFonts w:ascii="Arial Narrow" w:hAnsi="Arial Narrow" w:cs="Times New Roman"/>
                <w:b/>
                <w:sz w:val="20"/>
              </w:rPr>
              <w:t>Value</w:t>
            </w:r>
          </w:p>
        </w:tc>
        <w:tc>
          <w:tcPr>
            <w:tcW w:w="1621" w:type="dxa"/>
            <w:vAlign w:val="center"/>
          </w:tcPr>
          <w:p w14:paraId="15A8E9B0" w14:textId="77777777" w:rsidR="00024B9A" w:rsidRPr="00857B0D" w:rsidRDefault="00024B9A" w:rsidP="002B24C8">
            <w:pPr>
              <w:keepNext/>
              <w:jc w:val="center"/>
              <w:rPr>
                <w:rFonts w:ascii="Arial Narrow" w:hAnsi="Arial Narrow" w:cs="Times New Roman"/>
                <w:b/>
                <w:sz w:val="20"/>
              </w:rPr>
            </w:pPr>
            <w:r w:rsidRPr="00857B0D">
              <w:rPr>
                <w:rFonts w:ascii="Arial Narrow" w:hAnsi="Arial Narrow" w:cs="Times New Roman"/>
                <w:b/>
                <w:sz w:val="20"/>
              </w:rPr>
              <w:t>Source</w:t>
            </w:r>
          </w:p>
        </w:tc>
        <w:tc>
          <w:tcPr>
            <w:tcW w:w="2292" w:type="dxa"/>
            <w:vAlign w:val="center"/>
          </w:tcPr>
          <w:p w14:paraId="0C19C6A7" w14:textId="77777777" w:rsidR="00024B9A" w:rsidRPr="00857B0D" w:rsidRDefault="00024B9A" w:rsidP="002B24C8">
            <w:pPr>
              <w:keepNext/>
              <w:jc w:val="center"/>
              <w:rPr>
                <w:rFonts w:ascii="Arial Narrow" w:hAnsi="Arial Narrow" w:cs="Times New Roman"/>
                <w:b/>
                <w:sz w:val="20"/>
              </w:rPr>
            </w:pPr>
            <w:r w:rsidRPr="00857B0D">
              <w:rPr>
                <w:rFonts w:ascii="Arial Narrow" w:hAnsi="Arial Narrow" w:cs="Times New Roman"/>
                <w:b/>
                <w:sz w:val="20"/>
              </w:rPr>
              <w:t>Commentary on the submission</w:t>
            </w:r>
          </w:p>
        </w:tc>
        <w:tc>
          <w:tcPr>
            <w:tcW w:w="2642" w:type="dxa"/>
            <w:vAlign w:val="center"/>
          </w:tcPr>
          <w:p w14:paraId="53E6B39B" w14:textId="77777777" w:rsidR="00024B9A" w:rsidRPr="00857B0D" w:rsidRDefault="00024B9A" w:rsidP="002B24C8">
            <w:pPr>
              <w:keepNext/>
              <w:jc w:val="center"/>
              <w:rPr>
                <w:rFonts w:ascii="Arial Narrow" w:hAnsi="Arial Narrow" w:cs="Times New Roman"/>
                <w:b/>
                <w:sz w:val="20"/>
              </w:rPr>
            </w:pPr>
            <w:r w:rsidRPr="00857B0D">
              <w:rPr>
                <w:rFonts w:ascii="Arial Narrow" w:hAnsi="Arial Narrow" w:cs="Times New Roman"/>
                <w:b/>
                <w:sz w:val="20"/>
              </w:rPr>
              <w:t>DUSC Comments</w:t>
            </w:r>
          </w:p>
        </w:tc>
      </w:tr>
      <w:tr w:rsidR="00024B9A" w:rsidRPr="0099114C" w14:paraId="728B2F5C" w14:textId="77777777">
        <w:tc>
          <w:tcPr>
            <w:tcW w:w="6374" w:type="dxa"/>
            <w:gridSpan w:val="4"/>
            <w:vAlign w:val="center"/>
          </w:tcPr>
          <w:p w14:paraId="14C22C33" w14:textId="77777777" w:rsidR="00024B9A" w:rsidRPr="00857B0D" w:rsidRDefault="00024B9A" w:rsidP="002B24C8">
            <w:pPr>
              <w:keepNext/>
              <w:jc w:val="left"/>
              <w:rPr>
                <w:rFonts w:ascii="Arial Narrow" w:hAnsi="Arial Narrow" w:cs="Times New Roman"/>
                <w:b/>
                <w:sz w:val="20"/>
              </w:rPr>
            </w:pPr>
            <w:r w:rsidRPr="00857B0D">
              <w:rPr>
                <w:rFonts w:ascii="Arial Narrow" w:hAnsi="Arial Narrow" w:cs="Times New Roman"/>
                <w:b/>
                <w:sz w:val="20"/>
              </w:rPr>
              <w:t>Eligible population</w:t>
            </w:r>
          </w:p>
        </w:tc>
        <w:tc>
          <w:tcPr>
            <w:tcW w:w="2642" w:type="dxa"/>
          </w:tcPr>
          <w:p w14:paraId="78265B58" w14:textId="77777777" w:rsidR="00024B9A" w:rsidRPr="00857B0D" w:rsidRDefault="00024B9A" w:rsidP="002B24C8">
            <w:pPr>
              <w:keepNext/>
              <w:jc w:val="left"/>
              <w:rPr>
                <w:rFonts w:ascii="Arial Narrow" w:hAnsi="Arial Narrow" w:cs="Times New Roman"/>
                <w:b/>
                <w:sz w:val="20"/>
              </w:rPr>
            </w:pPr>
          </w:p>
        </w:tc>
      </w:tr>
      <w:tr w:rsidR="00024B9A" w:rsidRPr="0099114C" w14:paraId="765F153E" w14:textId="77777777" w:rsidTr="00537E84">
        <w:tc>
          <w:tcPr>
            <w:tcW w:w="1340" w:type="dxa"/>
            <w:vAlign w:val="center"/>
          </w:tcPr>
          <w:p w14:paraId="60A4C7F1" w14:textId="77777777" w:rsidR="00024B9A" w:rsidRPr="0099114C" w:rsidRDefault="00024B9A" w:rsidP="002B24C8">
            <w:pPr>
              <w:keepNext/>
              <w:jc w:val="left"/>
              <w:rPr>
                <w:rFonts w:ascii="Arial Narrow" w:hAnsi="Arial Narrow" w:cs="Times New Roman"/>
                <w:bCs/>
                <w:sz w:val="20"/>
              </w:rPr>
            </w:pPr>
            <w:r w:rsidRPr="0099114C">
              <w:rPr>
                <w:rFonts w:ascii="Arial Narrow" w:hAnsi="Arial Narrow" w:cs="Times New Roman"/>
                <w:bCs/>
                <w:sz w:val="20"/>
              </w:rPr>
              <w:t>Incident patients</w:t>
            </w:r>
          </w:p>
        </w:tc>
        <w:tc>
          <w:tcPr>
            <w:tcW w:w="1121" w:type="dxa"/>
            <w:vAlign w:val="center"/>
          </w:tcPr>
          <w:p w14:paraId="2C975B91" w14:textId="77777777" w:rsidR="00024B9A" w:rsidRPr="00462E7C" w:rsidRDefault="00024B9A" w:rsidP="002B24C8">
            <w:pPr>
              <w:keepNext/>
              <w:jc w:val="left"/>
              <w:rPr>
                <w:rFonts w:ascii="Arial Narrow" w:hAnsi="Arial Narrow" w:cs="Times New Roman"/>
                <w:bCs/>
                <w:sz w:val="20"/>
              </w:rPr>
            </w:pPr>
            <w:r w:rsidRPr="00462E7C">
              <w:rPr>
                <w:rFonts w:ascii="Arial Narrow" w:hAnsi="Arial Narrow" w:cs="Times New Roman"/>
                <w:bCs/>
                <w:sz w:val="20"/>
              </w:rPr>
              <w:t>Yr 1: 997</w:t>
            </w:r>
          </w:p>
          <w:p w14:paraId="45A09C8C" w14:textId="77777777" w:rsidR="00024B9A" w:rsidRPr="00462E7C" w:rsidRDefault="00024B9A" w:rsidP="002B24C8">
            <w:pPr>
              <w:keepNext/>
              <w:jc w:val="left"/>
              <w:rPr>
                <w:rFonts w:ascii="Arial Narrow" w:hAnsi="Arial Narrow" w:cs="Times New Roman"/>
                <w:bCs/>
                <w:sz w:val="20"/>
              </w:rPr>
            </w:pPr>
            <w:r w:rsidRPr="00462E7C">
              <w:rPr>
                <w:rFonts w:ascii="Arial Narrow" w:hAnsi="Arial Narrow" w:cs="Times New Roman"/>
                <w:bCs/>
                <w:sz w:val="20"/>
              </w:rPr>
              <w:t>Yr 2: 1,011</w:t>
            </w:r>
          </w:p>
          <w:p w14:paraId="3DA27CA7" w14:textId="77777777" w:rsidR="00024B9A" w:rsidRPr="00462E7C" w:rsidRDefault="00024B9A" w:rsidP="002B24C8">
            <w:pPr>
              <w:keepNext/>
              <w:jc w:val="left"/>
              <w:rPr>
                <w:rFonts w:ascii="Arial Narrow" w:hAnsi="Arial Narrow" w:cs="Times New Roman"/>
                <w:bCs/>
                <w:sz w:val="20"/>
              </w:rPr>
            </w:pPr>
            <w:r w:rsidRPr="00462E7C">
              <w:rPr>
                <w:rFonts w:ascii="Arial Narrow" w:hAnsi="Arial Narrow" w:cs="Times New Roman"/>
                <w:bCs/>
                <w:sz w:val="20"/>
              </w:rPr>
              <w:t>Yr 3: 1,026</w:t>
            </w:r>
          </w:p>
          <w:p w14:paraId="1D94EBAF" w14:textId="77777777" w:rsidR="00024B9A" w:rsidRPr="00462E7C" w:rsidRDefault="00024B9A" w:rsidP="002B24C8">
            <w:pPr>
              <w:keepNext/>
              <w:jc w:val="left"/>
              <w:rPr>
                <w:rFonts w:ascii="Arial Narrow" w:hAnsi="Arial Narrow" w:cs="Times New Roman"/>
                <w:bCs/>
                <w:sz w:val="20"/>
              </w:rPr>
            </w:pPr>
            <w:r w:rsidRPr="00462E7C">
              <w:rPr>
                <w:rFonts w:ascii="Arial Narrow" w:hAnsi="Arial Narrow" w:cs="Times New Roman"/>
                <w:bCs/>
                <w:sz w:val="20"/>
              </w:rPr>
              <w:t>Yr 4: 1,040</w:t>
            </w:r>
          </w:p>
          <w:p w14:paraId="75226A51" w14:textId="77777777" w:rsidR="00024B9A" w:rsidRPr="00462E7C" w:rsidRDefault="00024B9A" w:rsidP="002B24C8">
            <w:pPr>
              <w:keepNext/>
              <w:jc w:val="left"/>
              <w:rPr>
                <w:rFonts w:ascii="Arial Narrow" w:hAnsi="Arial Narrow" w:cs="Times New Roman"/>
                <w:bCs/>
                <w:sz w:val="20"/>
              </w:rPr>
            </w:pPr>
            <w:r w:rsidRPr="00462E7C">
              <w:rPr>
                <w:rFonts w:ascii="Arial Narrow" w:hAnsi="Arial Narrow" w:cs="Times New Roman"/>
                <w:bCs/>
                <w:sz w:val="20"/>
              </w:rPr>
              <w:t>Yr 5: 1,054</w:t>
            </w:r>
          </w:p>
          <w:p w14:paraId="4455AC26" w14:textId="77777777" w:rsidR="00024B9A" w:rsidRPr="0099114C" w:rsidRDefault="00024B9A" w:rsidP="002B24C8">
            <w:pPr>
              <w:keepNext/>
              <w:jc w:val="left"/>
              <w:rPr>
                <w:rFonts w:ascii="Arial Narrow" w:hAnsi="Arial Narrow" w:cs="Times New Roman"/>
                <w:bCs/>
                <w:sz w:val="20"/>
              </w:rPr>
            </w:pPr>
            <w:r w:rsidRPr="00462E7C">
              <w:rPr>
                <w:rFonts w:ascii="Arial Narrow" w:hAnsi="Arial Narrow" w:cs="Times New Roman"/>
                <w:bCs/>
                <w:sz w:val="20"/>
              </w:rPr>
              <w:t>Yr 6: 1,068</w:t>
            </w:r>
          </w:p>
        </w:tc>
        <w:tc>
          <w:tcPr>
            <w:tcW w:w="1621" w:type="dxa"/>
            <w:vAlign w:val="center"/>
          </w:tcPr>
          <w:p w14:paraId="25B9F810" w14:textId="77777777" w:rsidR="00024B9A" w:rsidRPr="0099114C" w:rsidRDefault="00024B9A" w:rsidP="002B24C8">
            <w:pPr>
              <w:keepNext/>
              <w:jc w:val="left"/>
              <w:rPr>
                <w:rFonts w:ascii="Arial Narrow" w:hAnsi="Arial Narrow" w:cs="Times New Roman"/>
                <w:bCs/>
                <w:sz w:val="20"/>
              </w:rPr>
            </w:pPr>
            <w:r w:rsidRPr="0099114C">
              <w:rPr>
                <w:rFonts w:ascii="Arial Narrow" w:hAnsi="Arial Narrow" w:cs="Times New Roman"/>
                <w:bCs/>
                <w:sz w:val="20"/>
              </w:rPr>
              <w:t>QHAPDC admission data from GPA and MPA 2014-2019 (incidence rate 0.0036%)</w:t>
            </w:r>
          </w:p>
        </w:tc>
        <w:tc>
          <w:tcPr>
            <w:tcW w:w="2292" w:type="dxa"/>
          </w:tcPr>
          <w:p w14:paraId="206E552B" w14:textId="52BDAA1C" w:rsidR="00024B9A" w:rsidRPr="0099114C" w:rsidRDefault="00024B9A" w:rsidP="002B24C8">
            <w:pPr>
              <w:keepNext/>
              <w:jc w:val="left"/>
              <w:rPr>
                <w:rFonts w:ascii="Arial Narrow" w:hAnsi="Arial Narrow" w:cs="Times New Roman"/>
                <w:bCs/>
                <w:sz w:val="20"/>
              </w:rPr>
            </w:pPr>
            <w:r w:rsidRPr="0099114C">
              <w:rPr>
                <w:rFonts w:ascii="Arial Narrow" w:hAnsi="Arial Narrow" w:cs="Times New Roman"/>
                <w:bCs/>
                <w:sz w:val="20"/>
              </w:rPr>
              <w:t xml:space="preserve">The July 2023 submission used an incidence rate of 0.00134% from Ormerod et al. (2008). The updated estimates for number of incident patients have more than doubled (128% increase) from that presented in the previous submission. The PBAC had previously noted DUSC advice that “the estimated use of avacopan was aligned with the previous use of rituximab for the same indications between 2016-2022 and that avacopan was unlikely to increase the patient population” (para 7.15, avacopan PSD, July 2023 PBAC Meeting). </w:t>
            </w:r>
          </w:p>
        </w:tc>
        <w:tc>
          <w:tcPr>
            <w:tcW w:w="2642" w:type="dxa"/>
          </w:tcPr>
          <w:p w14:paraId="43C61FA6" w14:textId="77777777" w:rsidR="00024B9A" w:rsidRPr="0099114C" w:rsidRDefault="00024B9A" w:rsidP="002B24C8">
            <w:pPr>
              <w:keepNext/>
              <w:jc w:val="left"/>
              <w:rPr>
                <w:rFonts w:ascii="Arial Narrow" w:hAnsi="Arial Narrow" w:cs="Times New Roman"/>
                <w:bCs/>
                <w:sz w:val="20"/>
              </w:rPr>
            </w:pPr>
            <w:r w:rsidRPr="0099114C">
              <w:rPr>
                <w:rFonts w:ascii="Arial Narrow" w:hAnsi="Arial Narrow" w:cs="Times New Roman"/>
                <w:bCs/>
                <w:sz w:val="20"/>
              </w:rPr>
              <w:t xml:space="preserve">DUSC commented that the QHAPDC admission data reports the number of patients treated per year, rather than identifying initial patients. DUSC considered this reflects prevalence rather than incidence. DUSC noted the commentary included a comparison to the PBS 10% sample, and that the treated patients in the 10% sample were similar to the numbers in the QHAPDC admission data. DUSC considered it was not appropriate to use a prevalent population and follow the same logic as the original submission, as it was based on an incident population. </w:t>
            </w:r>
          </w:p>
          <w:p w14:paraId="22B8F2A8" w14:textId="77777777" w:rsidR="00024B9A" w:rsidRPr="0099114C" w:rsidRDefault="00024B9A" w:rsidP="002B24C8">
            <w:pPr>
              <w:keepNext/>
              <w:jc w:val="left"/>
              <w:rPr>
                <w:rFonts w:ascii="Arial Narrow" w:hAnsi="Arial Narrow" w:cs="Times New Roman"/>
                <w:bCs/>
                <w:sz w:val="20"/>
              </w:rPr>
            </w:pPr>
          </w:p>
          <w:p w14:paraId="2C41D838" w14:textId="77777777" w:rsidR="00024B9A" w:rsidRPr="0099114C" w:rsidRDefault="00024B9A" w:rsidP="002B24C8">
            <w:pPr>
              <w:keepNext/>
              <w:jc w:val="left"/>
              <w:rPr>
                <w:rFonts w:ascii="Arial Narrow" w:hAnsi="Arial Narrow" w:cs="Times New Roman"/>
                <w:bCs/>
                <w:sz w:val="20"/>
              </w:rPr>
            </w:pPr>
            <w:r w:rsidRPr="0099114C">
              <w:rPr>
                <w:rFonts w:ascii="Arial Narrow" w:hAnsi="Arial Narrow" w:cs="Times New Roman"/>
                <w:bCs/>
                <w:sz w:val="20"/>
              </w:rPr>
              <w:t xml:space="preserve">DUSC considered that the assumption that 50% of patients were treated with rituximab was underestimated and it may be more appropriate to assume 80% of patients were treated with rituximab. </w:t>
            </w:r>
          </w:p>
          <w:p w14:paraId="7510B73B" w14:textId="77777777" w:rsidR="00024B9A" w:rsidRPr="0099114C" w:rsidRDefault="00024B9A" w:rsidP="002B24C8">
            <w:pPr>
              <w:keepNext/>
              <w:jc w:val="left"/>
              <w:rPr>
                <w:rFonts w:ascii="Arial Narrow" w:hAnsi="Arial Narrow" w:cs="Times New Roman"/>
                <w:bCs/>
                <w:sz w:val="20"/>
              </w:rPr>
            </w:pPr>
          </w:p>
          <w:p w14:paraId="1D5238F0" w14:textId="77777777" w:rsidR="00024B9A" w:rsidRPr="0099114C" w:rsidRDefault="00024B9A" w:rsidP="002B24C8">
            <w:pPr>
              <w:keepNext/>
              <w:jc w:val="left"/>
              <w:rPr>
                <w:rFonts w:ascii="Arial Narrow" w:hAnsi="Arial Narrow" w:cs="Times New Roman"/>
                <w:bCs/>
                <w:sz w:val="20"/>
              </w:rPr>
            </w:pPr>
            <w:r w:rsidRPr="0099114C">
              <w:rPr>
                <w:rFonts w:ascii="Arial Narrow" w:hAnsi="Arial Narrow" w:cs="Times New Roman"/>
                <w:bCs/>
                <w:sz w:val="20"/>
              </w:rPr>
              <w:t>DUSC considered the number of incident patients may be slightly higher than the previous submission estimated but not three times higher as estimated in the resubmission.</w:t>
            </w:r>
          </w:p>
        </w:tc>
      </w:tr>
      <w:tr w:rsidR="00024B9A" w:rsidRPr="0099114C" w14:paraId="0CCE938F" w14:textId="77777777">
        <w:tc>
          <w:tcPr>
            <w:tcW w:w="1340" w:type="dxa"/>
            <w:vAlign w:val="center"/>
          </w:tcPr>
          <w:p w14:paraId="38BEE55C" w14:textId="77777777" w:rsidR="00024B9A" w:rsidRPr="0099114C" w:rsidRDefault="00024B9A" w:rsidP="002B24C8">
            <w:pPr>
              <w:keepNext/>
              <w:jc w:val="left"/>
              <w:rPr>
                <w:rFonts w:ascii="Arial Narrow" w:hAnsi="Arial Narrow" w:cs="Times New Roman"/>
                <w:bCs/>
                <w:sz w:val="20"/>
              </w:rPr>
            </w:pPr>
            <w:r w:rsidRPr="0099114C">
              <w:rPr>
                <w:rFonts w:ascii="Arial Narrow" w:hAnsi="Arial Narrow" w:cs="Times New Roman"/>
                <w:bCs/>
                <w:sz w:val="20"/>
              </w:rPr>
              <w:t>Relapse patients eligible for avacopan</w:t>
            </w:r>
          </w:p>
        </w:tc>
        <w:tc>
          <w:tcPr>
            <w:tcW w:w="1121" w:type="dxa"/>
            <w:vAlign w:val="center"/>
          </w:tcPr>
          <w:p w14:paraId="0E71BB63" w14:textId="16F9EFF0" w:rsidR="00024B9A" w:rsidRPr="00462E7C" w:rsidRDefault="00024B9A" w:rsidP="002B24C8">
            <w:pPr>
              <w:keepNext/>
              <w:jc w:val="left"/>
              <w:rPr>
                <w:rFonts w:ascii="Arial Narrow" w:hAnsi="Arial Narrow" w:cs="Times New Roman"/>
                <w:bCs/>
                <w:sz w:val="20"/>
              </w:rPr>
            </w:pPr>
            <w:r w:rsidRPr="00462E7C">
              <w:rPr>
                <w:rFonts w:ascii="Arial Narrow" w:hAnsi="Arial Narrow" w:cs="Times New Roman"/>
                <w:bCs/>
                <w:sz w:val="20"/>
              </w:rPr>
              <w:t xml:space="preserve">Yr 1: </w:t>
            </w:r>
            <w:r w:rsidR="00980C55" w:rsidRPr="00980C55">
              <w:rPr>
                <w:rFonts w:ascii="MS Gothic" w:eastAsia="MS Gothic" w:hAnsi="MS Gothic" w:cs="MS Gothic" w:hint="eastAsia"/>
                <w:color w:val="000000"/>
                <w:w w:val="15"/>
                <w:sz w:val="20"/>
                <w:szCs w:val="20"/>
                <w:shd w:val="solid" w:color="000000" w:fill="000000"/>
                <w:fitText w:val="62" w:id="-961807611"/>
                <w14:textFill>
                  <w14:solidFill>
                    <w14:srgbClr w14:val="000000">
                      <w14:alpha w14:val="100000"/>
                    </w14:srgbClr>
                  </w14:solidFill>
                </w14:textFill>
              </w:rPr>
              <w:t xml:space="preserve">　</w:t>
            </w:r>
            <w:r w:rsidR="00980C55" w:rsidRPr="00980C55">
              <w:rPr>
                <w:rFonts w:ascii="Arial Narrow" w:hAnsi="Arial Narrow"/>
                <w:color w:val="000000"/>
                <w:w w:val="15"/>
                <w:sz w:val="20"/>
                <w:szCs w:val="20"/>
                <w:shd w:val="solid" w:color="000000" w:fill="000000"/>
                <w:fitText w:val="62" w:id="-961807611"/>
                <w14:textFill>
                  <w14:solidFill>
                    <w14:srgbClr w14:val="000000">
                      <w14:alpha w14:val="100000"/>
                    </w14:srgbClr>
                  </w14:solidFill>
                </w14:textFill>
              </w:rPr>
              <w:t>|</w:t>
            </w:r>
            <w:r w:rsidR="00980C55" w:rsidRPr="00980C55">
              <w:rPr>
                <w:rFonts w:ascii="MS Gothic" w:eastAsia="MS Gothic" w:hAnsi="MS Gothic" w:cs="MS Gothic" w:hint="eastAsia"/>
                <w:color w:val="000000"/>
                <w:spacing w:val="-3"/>
                <w:w w:val="15"/>
                <w:sz w:val="20"/>
                <w:szCs w:val="20"/>
                <w:shd w:val="solid" w:color="000000" w:fill="000000"/>
                <w:fitText w:val="62" w:id="-961807611"/>
                <w14:textFill>
                  <w14:solidFill>
                    <w14:srgbClr w14:val="000000">
                      <w14:alpha w14:val="100000"/>
                    </w14:srgbClr>
                  </w14:solidFill>
                </w14:textFill>
              </w:rPr>
              <w:t xml:space="preserve">　</w:t>
            </w:r>
            <w:r w:rsidR="00980C55">
              <w:rPr>
                <w:rFonts w:ascii="Arial Narrow" w:hAnsi="Arial Narrow"/>
                <w:sz w:val="20"/>
                <w:szCs w:val="20"/>
                <w:vertAlign w:val="superscript"/>
              </w:rPr>
              <w:t>2</w:t>
            </w:r>
          </w:p>
          <w:p w14:paraId="3C2E8AF3" w14:textId="33F12EF7" w:rsidR="00024B9A" w:rsidRPr="00462E7C" w:rsidRDefault="00024B9A" w:rsidP="002B24C8">
            <w:pPr>
              <w:keepNext/>
              <w:jc w:val="left"/>
              <w:rPr>
                <w:rFonts w:ascii="Arial Narrow" w:hAnsi="Arial Narrow" w:cs="Times New Roman"/>
                <w:bCs/>
                <w:sz w:val="20"/>
              </w:rPr>
            </w:pPr>
            <w:r w:rsidRPr="00462E7C">
              <w:rPr>
                <w:rFonts w:ascii="Arial Narrow" w:hAnsi="Arial Narrow" w:cs="Times New Roman"/>
                <w:bCs/>
                <w:sz w:val="20"/>
              </w:rPr>
              <w:t xml:space="preserve">Yr 2: </w:t>
            </w:r>
            <w:r w:rsidR="00980C55" w:rsidRPr="00980C55">
              <w:rPr>
                <w:rFonts w:ascii="Arial Narrow" w:hAnsi="Arial Narrow"/>
                <w:color w:val="000000"/>
                <w:spacing w:val="25"/>
                <w:w w:val="15"/>
                <w:sz w:val="20"/>
                <w:szCs w:val="20"/>
                <w:shd w:val="solid" w:color="000000" w:fill="000000"/>
                <w:fitText w:val="62" w:id="-961807611"/>
                <w14:textFill>
                  <w14:solidFill>
                    <w14:srgbClr w14:val="000000">
                      <w14:alpha w14:val="100000"/>
                    </w14:srgbClr>
                  </w14:solidFill>
                </w14:textFill>
              </w:rPr>
              <w:t>|</w:t>
            </w:r>
            <w:r w:rsidR="00980C55" w:rsidRPr="00980C55">
              <w:rPr>
                <w:rFonts w:ascii="MS Gothic" w:eastAsia="MS Gothic" w:hAnsi="MS Gothic" w:cs="MS Gothic" w:hint="eastAsia"/>
                <w:color w:val="000000"/>
                <w:spacing w:val="1"/>
                <w:w w:val="15"/>
                <w:sz w:val="20"/>
                <w:szCs w:val="20"/>
                <w:shd w:val="solid" w:color="000000" w:fill="000000"/>
                <w:fitText w:val="62" w:id="-961807611"/>
                <w14:textFill>
                  <w14:solidFill>
                    <w14:srgbClr w14:val="000000">
                      <w14:alpha w14:val="100000"/>
                    </w14:srgbClr>
                  </w14:solidFill>
                </w14:textFill>
              </w:rPr>
              <w:t xml:space="preserve">　</w:t>
            </w:r>
            <w:r w:rsidR="00980C55">
              <w:rPr>
                <w:rFonts w:ascii="Arial Narrow" w:hAnsi="Arial Narrow"/>
                <w:sz w:val="20"/>
                <w:szCs w:val="20"/>
                <w:vertAlign w:val="superscript"/>
              </w:rPr>
              <w:t>2</w:t>
            </w:r>
          </w:p>
          <w:p w14:paraId="609558C7" w14:textId="1A13AC88" w:rsidR="00024B9A" w:rsidRPr="00462E7C" w:rsidRDefault="00024B9A" w:rsidP="002B24C8">
            <w:pPr>
              <w:keepNext/>
              <w:jc w:val="left"/>
              <w:rPr>
                <w:rFonts w:ascii="Arial Narrow" w:hAnsi="Arial Narrow" w:cs="Times New Roman"/>
                <w:bCs/>
                <w:sz w:val="20"/>
              </w:rPr>
            </w:pPr>
            <w:r w:rsidRPr="00462E7C">
              <w:rPr>
                <w:rFonts w:ascii="Arial Narrow" w:hAnsi="Arial Narrow" w:cs="Times New Roman"/>
                <w:bCs/>
                <w:sz w:val="20"/>
              </w:rPr>
              <w:t xml:space="preserve">Yr 3: </w:t>
            </w:r>
            <w:r w:rsidR="00980C55" w:rsidRPr="00980C55">
              <w:rPr>
                <w:rFonts w:ascii="Arial Narrow" w:hAnsi="Arial Narrow"/>
                <w:color w:val="000000"/>
                <w:spacing w:val="25"/>
                <w:w w:val="15"/>
                <w:sz w:val="20"/>
                <w:szCs w:val="20"/>
                <w:shd w:val="solid" w:color="000000" w:fill="000000"/>
                <w:fitText w:val="62" w:id="-961807611"/>
                <w14:textFill>
                  <w14:solidFill>
                    <w14:srgbClr w14:val="000000">
                      <w14:alpha w14:val="100000"/>
                    </w14:srgbClr>
                  </w14:solidFill>
                </w14:textFill>
              </w:rPr>
              <w:t>|</w:t>
            </w:r>
            <w:r w:rsidR="00980C55" w:rsidRPr="00980C55">
              <w:rPr>
                <w:rFonts w:ascii="MS Gothic" w:eastAsia="MS Gothic" w:hAnsi="MS Gothic" w:cs="MS Gothic" w:hint="eastAsia"/>
                <w:color w:val="000000"/>
                <w:spacing w:val="1"/>
                <w:w w:val="15"/>
                <w:sz w:val="20"/>
                <w:szCs w:val="20"/>
                <w:shd w:val="solid" w:color="000000" w:fill="000000"/>
                <w:fitText w:val="62" w:id="-961807611"/>
                <w14:textFill>
                  <w14:solidFill>
                    <w14:srgbClr w14:val="000000">
                      <w14:alpha w14:val="100000"/>
                    </w14:srgbClr>
                  </w14:solidFill>
                </w14:textFill>
              </w:rPr>
              <w:t xml:space="preserve">　</w:t>
            </w:r>
            <w:r w:rsidR="00980C55">
              <w:rPr>
                <w:rFonts w:ascii="Arial Narrow" w:hAnsi="Arial Narrow"/>
                <w:sz w:val="20"/>
                <w:szCs w:val="20"/>
                <w:vertAlign w:val="superscript"/>
              </w:rPr>
              <w:t>2</w:t>
            </w:r>
          </w:p>
          <w:p w14:paraId="5C7BB597" w14:textId="1A95EEFB" w:rsidR="00024B9A" w:rsidRPr="00462E7C" w:rsidRDefault="00024B9A" w:rsidP="002B24C8">
            <w:pPr>
              <w:keepNext/>
              <w:jc w:val="left"/>
              <w:rPr>
                <w:rFonts w:ascii="Arial Narrow" w:hAnsi="Arial Narrow" w:cs="Times New Roman"/>
                <w:bCs/>
                <w:sz w:val="20"/>
              </w:rPr>
            </w:pPr>
            <w:r w:rsidRPr="00462E7C">
              <w:rPr>
                <w:rFonts w:ascii="Arial Narrow" w:hAnsi="Arial Narrow" w:cs="Times New Roman"/>
                <w:bCs/>
                <w:sz w:val="20"/>
              </w:rPr>
              <w:t xml:space="preserve">Yr 4: </w:t>
            </w:r>
            <w:r w:rsidR="00980C55" w:rsidRPr="00980C55">
              <w:rPr>
                <w:rFonts w:ascii="Arial Narrow" w:hAnsi="Arial Narrow"/>
                <w:color w:val="000000"/>
                <w:spacing w:val="25"/>
                <w:w w:val="15"/>
                <w:sz w:val="20"/>
                <w:szCs w:val="20"/>
                <w:shd w:val="solid" w:color="000000" w:fill="000000"/>
                <w:fitText w:val="62" w:id="-961807611"/>
                <w14:textFill>
                  <w14:solidFill>
                    <w14:srgbClr w14:val="000000">
                      <w14:alpha w14:val="100000"/>
                    </w14:srgbClr>
                  </w14:solidFill>
                </w14:textFill>
              </w:rPr>
              <w:t>|</w:t>
            </w:r>
            <w:r w:rsidR="00980C55" w:rsidRPr="00980C55">
              <w:rPr>
                <w:rFonts w:ascii="MS Gothic" w:eastAsia="MS Gothic" w:hAnsi="MS Gothic" w:cs="MS Gothic" w:hint="eastAsia"/>
                <w:color w:val="000000"/>
                <w:spacing w:val="1"/>
                <w:w w:val="15"/>
                <w:sz w:val="20"/>
                <w:szCs w:val="20"/>
                <w:shd w:val="solid" w:color="000000" w:fill="000000"/>
                <w:fitText w:val="62" w:id="-961807611"/>
                <w14:textFill>
                  <w14:solidFill>
                    <w14:srgbClr w14:val="000000">
                      <w14:alpha w14:val="100000"/>
                    </w14:srgbClr>
                  </w14:solidFill>
                </w14:textFill>
              </w:rPr>
              <w:t xml:space="preserve">　</w:t>
            </w:r>
            <w:r w:rsidR="00980C55">
              <w:rPr>
                <w:rFonts w:ascii="Arial Narrow" w:hAnsi="Arial Narrow"/>
                <w:sz w:val="20"/>
                <w:szCs w:val="20"/>
                <w:vertAlign w:val="superscript"/>
              </w:rPr>
              <w:t>2</w:t>
            </w:r>
          </w:p>
          <w:p w14:paraId="10F23FE5" w14:textId="1AA4A884" w:rsidR="00024B9A" w:rsidRPr="00462E7C" w:rsidRDefault="00024B9A" w:rsidP="002B24C8">
            <w:pPr>
              <w:keepNext/>
              <w:jc w:val="left"/>
              <w:rPr>
                <w:rFonts w:ascii="Arial Narrow" w:hAnsi="Arial Narrow" w:cs="Times New Roman"/>
                <w:bCs/>
                <w:sz w:val="20"/>
              </w:rPr>
            </w:pPr>
            <w:r w:rsidRPr="00462E7C">
              <w:rPr>
                <w:rFonts w:ascii="Arial Narrow" w:hAnsi="Arial Narrow" w:cs="Times New Roman"/>
                <w:bCs/>
                <w:sz w:val="20"/>
              </w:rPr>
              <w:t xml:space="preserve">Yr 5: </w:t>
            </w:r>
            <w:r w:rsidR="00980C55" w:rsidRPr="00980C55">
              <w:rPr>
                <w:rFonts w:ascii="Arial Narrow" w:hAnsi="Arial Narrow"/>
                <w:color w:val="000000"/>
                <w:spacing w:val="25"/>
                <w:w w:val="15"/>
                <w:sz w:val="20"/>
                <w:szCs w:val="20"/>
                <w:shd w:val="solid" w:color="000000" w:fill="000000"/>
                <w:fitText w:val="62" w:id="-961807611"/>
                <w14:textFill>
                  <w14:solidFill>
                    <w14:srgbClr w14:val="000000">
                      <w14:alpha w14:val="100000"/>
                    </w14:srgbClr>
                  </w14:solidFill>
                </w14:textFill>
              </w:rPr>
              <w:t>|</w:t>
            </w:r>
            <w:r w:rsidR="00980C55" w:rsidRPr="00980C55">
              <w:rPr>
                <w:rFonts w:ascii="MS Gothic" w:eastAsia="MS Gothic" w:hAnsi="MS Gothic" w:cs="MS Gothic" w:hint="eastAsia"/>
                <w:color w:val="000000"/>
                <w:spacing w:val="1"/>
                <w:w w:val="15"/>
                <w:sz w:val="20"/>
                <w:szCs w:val="20"/>
                <w:shd w:val="solid" w:color="000000" w:fill="000000"/>
                <w:fitText w:val="62" w:id="-961807611"/>
                <w14:textFill>
                  <w14:solidFill>
                    <w14:srgbClr w14:val="000000">
                      <w14:alpha w14:val="100000"/>
                    </w14:srgbClr>
                  </w14:solidFill>
                </w14:textFill>
              </w:rPr>
              <w:t xml:space="preserve">　</w:t>
            </w:r>
            <w:r w:rsidR="00980C55">
              <w:rPr>
                <w:rFonts w:ascii="Arial Narrow" w:hAnsi="Arial Narrow"/>
                <w:sz w:val="20"/>
                <w:szCs w:val="20"/>
                <w:vertAlign w:val="superscript"/>
              </w:rPr>
              <w:t>2</w:t>
            </w:r>
          </w:p>
          <w:p w14:paraId="3889E618" w14:textId="088FC5AF" w:rsidR="00024B9A" w:rsidRPr="0099114C" w:rsidRDefault="00024B9A" w:rsidP="002B24C8">
            <w:pPr>
              <w:keepNext/>
              <w:jc w:val="left"/>
              <w:rPr>
                <w:rFonts w:ascii="Arial Narrow" w:hAnsi="Arial Narrow" w:cs="Times New Roman"/>
                <w:bCs/>
                <w:sz w:val="20"/>
              </w:rPr>
            </w:pPr>
            <w:r w:rsidRPr="00462E7C">
              <w:rPr>
                <w:rFonts w:ascii="Arial Narrow" w:hAnsi="Arial Narrow" w:cs="Times New Roman"/>
                <w:bCs/>
                <w:sz w:val="20"/>
              </w:rPr>
              <w:t xml:space="preserve">Yr 6: </w:t>
            </w:r>
            <w:r w:rsidR="00980C55" w:rsidRPr="00980C55">
              <w:rPr>
                <w:rFonts w:ascii="Arial Narrow" w:hAnsi="Arial Narrow"/>
                <w:color w:val="000000"/>
                <w:spacing w:val="25"/>
                <w:w w:val="15"/>
                <w:sz w:val="20"/>
                <w:szCs w:val="20"/>
                <w:shd w:val="solid" w:color="000000" w:fill="000000"/>
                <w:fitText w:val="62" w:id="-961807611"/>
                <w14:textFill>
                  <w14:solidFill>
                    <w14:srgbClr w14:val="000000">
                      <w14:alpha w14:val="100000"/>
                    </w14:srgbClr>
                  </w14:solidFill>
                </w14:textFill>
              </w:rPr>
              <w:t>|</w:t>
            </w:r>
            <w:r w:rsidR="00980C55" w:rsidRPr="00980C55">
              <w:rPr>
                <w:rFonts w:ascii="MS Gothic" w:eastAsia="MS Gothic" w:hAnsi="MS Gothic" w:cs="MS Gothic" w:hint="eastAsia"/>
                <w:color w:val="000000"/>
                <w:spacing w:val="1"/>
                <w:w w:val="15"/>
                <w:sz w:val="20"/>
                <w:szCs w:val="20"/>
                <w:shd w:val="solid" w:color="000000" w:fill="000000"/>
                <w:fitText w:val="62" w:id="-961807611"/>
                <w14:textFill>
                  <w14:solidFill>
                    <w14:srgbClr w14:val="000000">
                      <w14:alpha w14:val="100000"/>
                    </w14:srgbClr>
                  </w14:solidFill>
                </w14:textFill>
              </w:rPr>
              <w:t xml:space="preserve">　</w:t>
            </w:r>
            <w:r w:rsidR="00980C55">
              <w:rPr>
                <w:rFonts w:ascii="Arial Narrow" w:hAnsi="Arial Narrow"/>
                <w:sz w:val="20"/>
                <w:szCs w:val="20"/>
                <w:vertAlign w:val="superscript"/>
              </w:rPr>
              <w:t>2</w:t>
            </w:r>
          </w:p>
        </w:tc>
        <w:tc>
          <w:tcPr>
            <w:tcW w:w="1621" w:type="dxa"/>
            <w:vAlign w:val="center"/>
          </w:tcPr>
          <w:p w14:paraId="1D4CFF83" w14:textId="77777777" w:rsidR="00024B9A" w:rsidRPr="0099114C" w:rsidRDefault="00024B9A" w:rsidP="002B24C8">
            <w:pPr>
              <w:keepNext/>
              <w:jc w:val="left"/>
              <w:rPr>
                <w:rFonts w:ascii="Arial Narrow" w:hAnsi="Arial Narrow" w:cs="Times New Roman"/>
                <w:bCs/>
                <w:sz w:val="20"/>
              </w:rPr>
            </w:pPr>
            <w:r w:rsidRPr="0099114C">
              <w:rPr>
                <w:rFonts w:ascii="Arial Narrow" w:hAnsi="Arial Narrow" w:cs="Times New Roman"/>
                <w:bCs/>
                <w:sz w:val="20"/>
              </w:rPr>
              <w:t>10% relapse rate applied based on Rituximab PSD March 2015 PBAC meeting</w:t>
            </w:r>
          </w:p>
        </w:tc>
        <w:tc>
          <w:tcPr>
            <w:tcW w:w="2292" w:type="dxa"/>
            <w:vAlign w:val="center"/>
          </w:tcPr>
          <w:p w14:paraId="2DF3016F" w14:textId="77777777" w:rsidR="00024B9A" w:rsidRPr="0099114C" w:rsidRDefault="00024B9A" w:rsidP="002B24C8">
            <w:pPr>
              <w:keepNext/>
              <w:jc w:val="left"/>
              <w:rPr>
                <w:rFonts w:ascii="Arial Narrow" w:hAnsi="Arial Narrow" w:cs="Times New Roman"/>
                <w:bCs/>
                <w:sz w:val="20"/>
              </w:rPr>
            </w:pPr>
            <w:r w:rsidRPr="0099114C">
              <w:rPr>
                <w:rFonts w:ascii="Arial Narrow" w:hAnsi="Arial Narrow" w:cs="Times New Roman"/>
                <w:bCs/>
                <w:sz w:val="20"/>
              </w:rPr>
              <w:t>This is reasonable and aligns with DUSC advice which considered that 10% was reasonable for years 2-5 (para 6.27, rituximab PSD, March 2015 PBAC meeting).</w:t>
            </w:r>
          </w:p>
        </w:tc>
        <w:tc>
          <w:tcPr>
            <w:tcW w:w="2642" w:type="dxa"/>
          </w:tcPr>
          <w:p w14:paraId="5E8AC5AE" w14:textId="77777777" w:rsidR="00024B9A" w:rsidRPr="0099114C" w:rsidRDefault="00024B9A" w:rsidP="002B24C8">
            <w:pPr>
              <w:keepNext/>
              <w:jc w:val="left"/>
              <w:rPr>
                <w:rFonts w:ascii="Arial Narrow" w:hAnsi="Arial Narrow" w:cs="Times New Roman"/>
                <w:bCs/>
                <w:sz w:val="20"/>
              </w:rPr>
            </w:pPr>
            <w:r w:rsidRPr="0099114C">
              <w:rPr>
                <w:rFonts w:ascii="Arial Narrow" w:hAnsi="Arial Narrow" w:cs="Times New Roman"/>
                <w:bCs/>
                <w:sz w:val="20"/>
              </w:rPr>
              <w:t>DUSC commented that this was considered reasonable for the previous submission, but as the resubmission used hospital admissions to estimate patients, relapsed patients were included and the 10% relapse rate led to double counting of patients.</w:t>
            </w:r>
          </w:p>
        </w:tc>
      </w:tr>
      <w:tr w:rsidR="00024B9A" w:rsidRPr="0099114C" w14:paraId="375BFE77" w14:textId="77777777">
        <w:tc>
          <w:tcPr>
            <w:tcW w:w="1340" w:type="dxa"/>
            <w:vAlign w:val="center"/>
          </w:tcPr>
          <w:p w14:paraId="6BFF8547" w14:textId="77777777" w:rsidR="00024B9A" w:rsidRPr="0099114C" w:rsidRDefault="00024B9A" w:rsidP="002B24C8">
            <w:pPr>
              <w:keepNext/>
              <w:jc w:val="left"/>
              <w:rPr>
                <w:rFonts w:ascii="Arial Narrow" w:hAnsi="Arial Narrow" w:cs="Times New Roman"/>
                <w:bCs/>
                <w:sz w:val="20"/>
              </w:rPr>
            </w:pPr>
            <w:r w:rsidRPr="0099114C">
              <w:rPr>
                <w:rFonts w:ascii="Arial Narrow" w:hAnsi="Arial Narrow" w:cs="Times New Roman"/>
                <w:bCs/>
                <w:sz w:val="20"/>
              </w:rPr>
              <w:lastRenderedPageBreak/>
              <w:t>Total patients</w:t>
            </w:r>
          </w:p>
        </w:tc>
        <w:tc>
          <w:tcPr>
            <w:tcW w:w="1121" w:type="dxa"/>
            <w:vAlign w:val="center"/>
          </w:tcPr>
          <w:p w14:paraId="44A8D4B4" w14:textId="3D492375" w:rsidR="00024B9A" w:rsidRPr="00980C55" w:rsidRDefault="00024B9A" w:rsidP="002B24C8">
            <w:pPr>
              <w:widowControl w:val="0"/>
              <w:jc w:val="left"/>
              <w:rPr>
                <w:rFonts w:ascii="Arial Narrow" w:hAnsi="Arial Narrow" w:cs="Times New Roman"/>
                <w:bCs/>
                <w:sz w:val="20"/>
                <w:szCs w:val="20"/>
              </w:rPr>
            </w:pPr>
            <w:r w:rsidRPr="00980C55">
              <w:rPr>
                <w:rFonts w:ascii="Arial Narrow" w:hAnsi="Arial Narrow" w:cs="Times New Roman"/>
                <w:bCs/>
                <w:sz w:val="20"/>
                <w:szCs w:val="20"/>
              </w:rPr>
              <w:t xml:space="preserve">Yr 1: </w:t>
            </w:r>
            <w:r w:rsidR="00980C55" w:rsidRPr="00980C55">
              <w:rPr>
                <w:rFonts w:ascii="MS Gothic" w:eastAsia="MS Gothic" w:hAnsi="MS Gothic" w:cs="MS Gothic" w:hint="eastAsia"/>
                <w:color w:val="000000"/>
                <w:w w:val="15"/>
                <w:sz w:val="20"/>
                <w:szCs w:val="20"/>
                <w:shd w:val="solid" w:color="000000" w:fill="000000"/>
                <w:fitText w:val="62" w:id="-961807611"/>
                <w14:textFill>
                  <w14:solidFill>
                    <w14:srgbClr w14:val="000000">
                      <w14:alpha w14:val="100000"/>
                    </w14:srgbClr>
                  </w14:solidFill>
                </w14:textFill>
              </w:rPr>
              <w:t xml:space="preserve">　</w:t>
            </w:r>
            <w:r w:rsidR="00980C55" w:rsidRPr="00980C55">
              <w:rPr>
                <w:rFonts w:ascii="Arial Narrow" w:hAnsi="Arial Narrow"/>
                <w:color w:val="000000"/>
                <w:w w:val="15"/>
                <w:sz w:val="20"/>
                <w:szCs w:val="20"/>
                <w:shd w:val="solid" w:color="000000" w:fill="000000"/>
                <w:fitText w:val="62" w:id="-961807611"/>
                <w14:textFill>
                  <w14:solidFill>
                    <w14:srgbClr w14:val="000000">
                      <w14:alpha w14:val="100000"/>
                    </w14:srgbClr>
                  </w14:solidFill>
                </w14:textFill>
              </w:rPr>
              <w:t>|</w:t>
            </w:r>
            <w:r w:rsidR="00980C55" w:rsidRPr="00980C55">
              <w:rPr>
                <w:rFonts w:ascii="MS Gothic" w:eastAsia="MS Gothic" w:hAnsi="MS Gothic" w:cs="MS Gothic" w:hint="eastAsia"/>
                <w:color w:val="000000"/>
                <w:w w:val="15"/>
                <w:sz w:val="20"/>
                <w:szCs w:val="20"/>
                <w:shd w:val="solid" w:color="000000" w:fill="000000"/>
                <w:fitText w:val="62" w:id="-961807611"/>
                <w14:textFill>
                  <w14:solidFill>
                    <w14:srgbClr w14:val="000000">
                      <w14:alpha w14:val="100000"/>
                    </w14:srgbClr>
                  </w14:solidFill>
                </w14:textFill>
              </w:rPr>
              <w:t xml:space="preserve">　</w:t>
            </w:r>
            <w:r w:rsidR="00980C55" w:rsidRPr="00980C55">
              <w:rPr>
                <w:rFonts w:ascii="Arial Narrow" w:hAnsi="Arial Narrow"/>
                <w:sz w:val="20"/>
                <w:szCs w:val="20"/>
                <w:vertAlign w:val="superscript"/>
              </w:rPr>
              <w:t>1</w:t>
            </w:r>
          </w:p>
          <w:p w14:paraId="1BF4C40D" w14:textId="4A2AFDFA" w:rsidR="00024B9A" w:rsidRPr="00980C55" w:rsidRDefault="00024B9A" w:rsidP="002B24C8">
            <w:pPr>
              <w:widowControl w:val="0"/>
              <w:jc w:val="left"/>
              <w:rPr>
                <w:rFonts w:ascii="Arial Narrow" w:hAnsi="Arial Narrow" w:cs="Times New Roman"/>
                <w:bCs/>
                <w:sz w:val="20"/>
                <w:szCs w:val="20"/>
              </w:rPr>
            </w:pPr>
            <w:r w:rsidRPr="00980C55">
              <w:rPr>
                <w:rFonts w:ascii="Arial Narrow" w:hAnsi="Arial Narrow" w:cs="Times New Roman"/>
                <w:bCs/>
                <w:sz w:val="20"/>
                <w:szCs w:val="20"/>
              </w:rPr>
              <w:t xml:space="preserve">Yr 2: </w:t>
            </w:r>
            <w:r w:rsidR="00980C55" w:rsidRPr="00980C55">
              <w:rPr>
                <w:rFonts w:ascii="MS Gothic" w:eastAsia="MS Gothic" w:hAnsi="MS Gothic" w:cs="MS Gothic" w:hint="eastAsia"/>
                <w:color w:val="000000"/>
                <w:w w:val="15"/>
                <w:sz w:val="20"/>
                <w:szCs w:val="20"/>
                <w:shd w:val="solid" w:color="000000" w:fill="000000"/>
                <w:fitText w:val="62" w:id="-961807611"/>
                <w14:textFill>
                  <w14:solidFill>
                    <w14:srgbClr w14:val="000000">
                      <w14:alpha w14:val="100000"/>
                    </w14:srgbClr>
                  </w14:solidFill>
                </w14:textFill>
              </w:rPr>
              <w:t xml:space="preserve">　</w:t>
            </w:r>
            <w:r w:rsidR="00980C55" w:rsidRPr="00980C55">
              <w:rPr>
                <w:rFonts w:ascii="Arial Narrow" w:hAnsi="Arial Narrow"/>
                <w:color w:val="000000"/>
                <w:w w:val="15"/>
                <w:sz w:val="20"/>
                <w:szCs w:val="20"/>
                <w:shd w:val="solid" w:color="000000" w:fill="000000"/>
                <w:fitText w:val="62" w:id="-961807611"/>
                <w14:textFill>
                  <w14:solidFill>
                    <w14:srgbClr w14:val="000000">
                      <w14:alpha w14:val="100000"/>
                    </w14:srgbClr>
                  </w14:solidFill>
                </w14:textFill>
              </w:rPr>
              <w:t>|</w:t>
            </w:r>
            <w:r w:rsidR="00980C55" w:rsidRPr="00980C55">
              <w:rPr>
                <w:rFonts w:ascii="MS Gothic" w:eastAsia="MS Gothic" w:hAnsi="MS Gothic" w:cs="MS Gothic" w:hint="eastAsia"/>
                <w:color w:val="000000"/>
                <w:w w:val="15"/>
                <w:sz w:val="20"/>
                <w:szCs w:val="20"/>
                <w:shd w:val="solid" w:color="000000" w:fill="000000"/>
                <w:fitText w:val="62" w:id="-961807611"/>
                <w14:textFill>
                  <w14:solidFill>
                    <w14:srgbClr w14:val="000000">
                      <w14:alpha w14:val="100000"/>
                    </w14:srgbClr>
                  </w14:solidFill>
                </w14:textFill>
              </w:rPr>
              <w:t xml:space="preserve">　</w:t>
            </w:r>
            <w:r w:rsidR="00980C55" w:rsidRPr="00980C55">
              <w:rPr>
                <w:rFonts w:ascii="Arial Narrow" w:hAnsi="Arial Narrow"/>
                <w:sz w:val="20"/>
                <w:szCs w:val="20"/>
                <w:vertAlign w:val="superscript"/>
              </w:rPr>
              <w:t>1</w:t>
            </w:r>
          </w:p>
          <w:p w14:paraId="1811E537" w14:textId="5C344115" w:rsidR="00024B9A" w:rsidRPr="00980C55" w:rsidRDefault="00024B9A" w:rsidP="002B24C8">
            <w:pPr>
              <w:widowControl w:val="0"/>
              <w:jc w:val="left"/>
              <w:rPr>
                <w:rFonts w:ascii="Arial Narrow" w:hAnsi="Arial Narrow" w:cs="Times New Roman"/>
                <w:bCs/>
                <w:sz w:val="20"/>
                <w:szCs w:val="20"/>
              </w:rPr>
            </w:pPr>
            <w:r w:rsidRPr="00980C55">
              <w:rPr>
                <w:rFonts w:ascii="Arial Narrow" w:hAnsi="Arial Narrow" w:cs="Times New Roman"/>
                <w:bCs/>
                <w:sz w:val="20"/>
                <w:szCs w:val="20"/>
              </w:rPr>
              <w:t xml:space="preserve">Yr 3: </w:t>
            </w:r>
            <w:r w:rsidR="00980C55" w:rsidRPr="00980C55">
              <w:rPr>
                <w:rFonts w:ascii="MS Gothic" w:eastAsia="MS Gothic" w:hAnsi="MS Gothic" w:cs="MS Gothic" w:hint="eastAsia"/>
                <w:color w:val="000000"/>
                <w:w w:val="15"/>
                <w:sz w:val="20"/>
                <w:szCs w:val="20"/>
                <w:shd w:val="solid" w:color="000000" w:fill="000000"/>
                <w:fitText w:val="62" w:id="-961807611"/>
                <w14:textFill>
                  <w14:solidFill>
                    <w14:srgbClr w14:val="000000">
                      <w14:alpha w14:val="100000"/>
                    </w14:srgbClr>
                  </w14:solidFill>
                </w14:textFill>
              </w:rPr>
              <w:t xml:space="preserve">　</w:t>
            </w:r>
            <w:r w:rsidR="00980C55" w:rsidRPr="00980C55">
              <w:rPr>
                <w:rFonts w:ascii="Arial Narrow" w:hAnsi="Arial Narrow"/>
                <w:color w:val="000000"/>
                <w:w w:val="15"/>
                <w:sz w:val="20"/>
                <w:szCs w:val="20"/>
                <w:shd w:val="solid" w:color="000000" w:fill="000000"/>
                <w:fitText w:val="62" w:id="-961807611"/>
                <w14:textFill>
                  <w14:solidFill>
                    <w14:srgbClr w14:val="000000">
                      <w14:alpha w14:val="100000"/>
                    </w14:srgbClr>
                  </w14:solidFill>
                </w14:textFill>
              </w:rPr>
              <w:t>|</w:t>
            </w:r>
            <w:r w:rsidR="00980C55" w:rsidRPr="00980C55">
              <w:rPr>
                <w:rFonts w:ascii="MS Gothic" w:eastAsia="MS Gothic" w:hAnsi="MS Gothic" w:cs="MS Gothic" w:hint="eastAsia"/>
                <w:color w:val="000000"/>
                <w:w w:val="15"/>
                <w:sz w:val="20"/>
                <w:szCs w:val="20"/>
                <w:shd w:val="solid" w:color="000000" w:fill="000000"/>
                <w:fitText w:val="62" w:id="-961807611"/>
                <w14:textFill>
                  <w14:solidFill>
                    <w14:srgbClr w14:val="000000">
                      <w14:alpha w14:val="100000"/>
                    </w14:srgbClr>
                  </w14:solidFill>
                </w14:textFill>
              </w:rPr>
              <w:t xml:space="preserve">　</w:t>
            </w:r>
            <w:r w:rsidR="00980C55" w:rsidRPr="00980C55">
              <w:rPr>
                <w:rFonts w:ascii="Arial Narrow" w:hAnsi="Arial Narrow"/>
                <w:sz w:val="20"/>
                <w:szCs w:val="20"/>
                <w:vertAlign w:val="superscript"/>
              </w:rPr>
              <w:t>1</w:t>
            </w:r>
          </w:p>
          <w:p w14:paraId="01933531" w14:textId="78E95728" w:rsidR="00024B9A" w:rsidRPr="00980C55" w:rsidRDefault="00024B9A" w:rsidP="002B24C8">
            <w:pPr>
              <w:widowControl w:val="0"/>
              <w:jc w:val="left"/>
              <w:rPr>
                <w:rFonts w:ascii="Arial Narrow" w:hAnsi="Arial Narrow" w:cs="Times New Roman"/>
                <w:bCs/>
                <w:sz w:val="20"/>
                <w:szCs w:val="20"/>
              </w:rPr>
            </w:pPr>
            <w:r w:rsidRPr="00980C55">
              <w:rPr>
                <w:rFonts w:ascii="Arial Narrow" w:hAnsi="Arial Narrow" w:cs="Times New Roman"/>
                <w:bCs/>
                <w:sz w:val="20"/>
                <w:szCs w:val="20"/>
              </w:rPr>
              <w:t xml:space="preserve">Yr 4: </w:t>
            </w:r>
            <w:r w:rsidR="00980C55" w:rsidRPr="00980C55">
              <w:rPr>
                <w:rFonts w:ascii="MS Gothic" w:eastAsia="MS Gothic" w:hAnsi="MS Gothic" w:cs="MS Gothic" w:hint="eastAsia"/>
                <w:color w:val="000000"/>
                <w:w w:val="15"/>
                <w:sz w:val="20"/>
                <w:szCs w:val="20"/>
                <w:shd w:val="solid" w:color="000000" w:fill="000000"/>
                <w:fitText w:val="62" w:id="-961807611"/>
                <w14:textFill>
                  <w14:solidFill>
                    <w14:srgbClr w14:val="000000">
                      <w14:alpha w14:val="100000"/>
                    </w14:srgbClr>
                  </w14:solidFill>
                </w14:textFill>
              </w:rPr>
              <w:t xml:space="preserve">　</w:t>
            </w:r>
            <w:r w:rsidR="00980C55" w:rsidRPr="00980C55">
              <w:rPr>
                <w:rFonts w:ascii="Arial Narrow" w:hAnsi="Arial Narrow"/>
                <w:color w:val="000000"/>
                <w:w w:val="15"/>
                <w:sz w:val="20"/>
                <w:szCs w:val="20"/>
                <w:shd w:val="solid" w:color="000000" w:fill="000000"/>
                <w:fitText w:val="62" w:id="-961807611"/>
                <w14:textFill>
                  <w14:solidFill>
                    <w14:srgbClr w14:val="000000">
                      <w14:alpha w14:val="100000"/>
                    </w14:srgbClr>
                  </w14:solidFill>
                </w14:textFill>
              </w:rPr>
              <w:t>|</w:t>
            </w:r>
            <w:r w:rsidR="00980C55" w:rsidRPr="00980C55">
              <w:rPr>
                <w:rFonts w:ascii="MS Gothic" w:eastAsia="MS Gothic" w:hAnsi="MS Gothic" w:cs="MS Gothic" w:hint="eastAsia"/>
                <w:color w:val="000000"/>
                <w:w w:val="15"/>
                <w:sz w:val="20"/>
                <w:szCs w:val="20"/>
                <w:shd w:val="solid" w:color="000000" w:fill="000000"/>
                <w:fitText w:val="62" w:id="-961807611"/>
                <w14:textFill>
                  <w14:solidFill>
                    <w14:srgbClr w14:val="000000">
                      <w14:alpha w14:val="100000"/>
                    </w14:srgbClr>
                  </w14:solidFill>
                </w14:textFill>
              </w:rPr>
              <w:t xml:space="preserve">　</w:t>
            </w:r>
            <w:r w:rsidR="00980C55" w:rsidRPr="00980C55">
              <w:rPr>
                <w:rFonts w:ascii="Arial Narrow" w:hAnsi="Arial Narrow"/>
                <w:sz w:val="20"/>
                <w:szCs w:val="20"/>
                <w:vertAlign w:val="superscript"/>
              </w:rPr>
              <w:t>1</w:t>
            </w:r>
          </w:p>
          <w:p w14:paraId="076C53D9" w14:textId="638ED6AB" w:rsidR="00024B9A" w:rsidRPr="00980C55" w:rsidRDefault="00024B9A" w:rsidP="002B24C8">
            <w:pPr>
              <w:widowControl w:val="0"/>
              <w:jc w:val="left"/>
              <w:rPr>
                <w:rFonts w:ascii="Arial Narrow" w:hAnsi="Arial Narrow" w:cs="Times New Roman"/>
                <w:bCs/>
                <w:sz w:val="20"/>
                <w:szCs w:val="20"/>
              </w:rPr>
            </w:pPr>
            <w:r w:rsidRPr="00980C55">
              <w:rPr>
                <w:rFonts w:ascii="Arial Narrow" w:hAnsi="Arial Narrow" w:cs="Times New Roman"/>
                <w:bCs/>
                <w:sz w:val="20"/>
                <w:szCs w:val="20"/>
              </w:rPr>
              <w:t xml:space="preserve">Yr 5: </w:t>
            </w:r>
            <w:r w:rsidR="00980C55" w:rsidRPr="00980C55">
              <w:rPr>
                <w:rFonts w:ascii="MS Gothic" w:eastAsia="MS Gothic" w:hAnsi="MS Gothic" w:cs="MS Gothic" w:hint="eastAsia"/>
                <w:color w:val="000000"/>
                <w:w w:val="15"/>
                <w:sz w:val="20"/>
                <w:szCs w:val="20"/>
                <w:shd w:val="solid" w:color="000000" w:fill="000000"/>
                <w:fitText w:val="62" w:id="-961807611"/>
                <w14:textFill>
                  <w14:solidFill>
                    <w14:srgbClr w14:val="000000">
                      <w14:alpha w14:val="100000"/>
                    </w14:srgbClr>
                  </w14:solidFill>
                </w14:textFill>
              </w:rPr>
              <w:t xml:space="preserve">　</w:t>
            </w:r>
            <w:r w:rsidR="00980C55" w:rsidRPr="00980C55">
              <w:rPr>
                <w:rFonts w:ascii="Arial Narrow" w:hAnsi="Arial Narrow"/>
                <w:color w:val="000000"/>
                <w:w w:val="15"/>
                <w:sz w:val="20"/>
                <w:szCs w:val="20"/>
                <w:shd w:val="solid" w:color="000000" w:fill="000000"/>
                <w:fitText w:val="62" w:id="-961807611"/>
                <w14:textFill>
                  <w14:solidFill>
                    <w14:srgbClr w14:val="000000">
                      <w14:alpha w14:val="100000"/>
                    </w14:srgbClr>
                  </w14:solidFill>
                </w14:textFill>
              </w:rPr>
              <w:t>|</w:t>
            </w:r>
            <w:r w:rsidR="00980C55" w:rsidRPr="00980C55">
              <w:rPr>
                <w:rFonts w:ascii="MS Gothic" w:eastAsia="MS Gothic" w:hAnsi="MS Gothic" w:cs="MS Gothic" w:hint="eastAsia"/>
                <w:color w:val="000000"/>
                <w:w w:val="15"/>
                <w:sz w:val="20"/>
                <w:szCs w:val="20"/>
                <w:shd w:val="solid" w:color="000000" w:fill="000000"/>
                <w:fitText w:val="62" w:id="-961807611"/>
                <w14:textFill>
                  <w14:solidFill>
                    <w14:srgbClr w14:val="000000">
                      <w14:alpha w14:val="100000"/>
                    </w14:srgbClr>
                  </w14:solidFill>
                </w14:textFill>
              </w:rPr>
              <w:t xml:space="preserve">　</w:t>
            </w:r>
            <w:r w:rsidR="00980C55" w:rsidRPr="00980C55">
              <w:rPr>
                <w:rFonts w:ascii="Arial Narrow" w:hAnsi="Arial Narrow"/>
                <w:sz w:val="20"/>
                <w:szCs w:val="20"/>
                <w:vertAlign w:val="superscript"/>
              </w:rPr>
              <w:t>1</w:t>
            </w:r>
          </w:p>
          <w:p w14:paraId="61D96467" w14:textId="31BF58F8" w:rsidR="00024B9A" w:rsidRPr="0099114C" w:rsidRDefault="00024B9A" w:rsidP="002B24C8">
            <w:pPr>
              <w:keepNext/>
              <w:jc w:val="left"/>
              <w:rPr>
                <w:rFonts w:ascii="Arial Narrow" w:hAnsi="Arial Narrow" w:cs="Times New Roman"/>
                <w:bCs/>
                <w:sz w:val="20"/>
              </w:rPr>
            </w:pPr>
            <w:r w:rsidRPr="00980C55">
              <w:rPr>
                <w:rFonts w:ascii="Arial Narrow" w:hAnsi="Arial Narrow" w:cs="Times New Roman"/>
                <w:bCs/>
                <w:sz w:val="20"/>
                <w:szCs w:val="20"/>
              </w:rPr>
              <w:t xml:space="preserve">Yr 6: </w:t>
            </w:r>
            <w:r w:rsidR="00980C55" w:rsidRPr="00980C55">
              <w:rPr>
                <w:rFonts w:ascii="MS Gothic" w:eastAsia="MS Gothic" w:hAnsi="MS Gothic" w:cs="MS Gothic" w:hint="eastAsia"/>
                <w:color w:val="000000"/>
                <w:w w:val="15"/>
                <w:sz w:val="20"/>
                <w:szCs w:val="20"/>
                <w:shd w:val="solid" w:color="000000" w:fill="000000"/>
                <w:fitText w:val="62" w:id="-961807611"/>
                <w14:textFill>
                  <w14:solidFill>
                    <w14:srgbClr w14:val="000000">
                      <w14:alpha w14:val="100000"/>
                    </w14:srgbClr>
                  </w14:solidFill>
                </w14:textFill>
              </w:rPr>
              <w:t xml:space="preserve">　</w:t>
            </w:r>
            <w:r w:rsidR="00980C55" w:rsidRPr="00980C55">
              <w:rPr>
                <w:rFonts w:ascii="Arial Narrow" w:hAnsi="Arial Narrow"/>
                <w:color w:val="000000"/>
                <w:w w:val="15"/>
                <w:sz w:val="20"/>
                <w:szCs w:val="20"/>
                <w:shd w:val="solid" w:color="000000" w:fill="000000"/>
                <w:fitText w:val="62" w:id="-961807611"/>
                <w14:textFill>
                  <w14:solidFill>
                    <w14:srgbClr w14:val="000000">
                      <w14:alpha w14:val="100000"/>
                    </w14:srgbClr>
                  </w14:solidFill>
                </w14:textFill>
              </w:rPr>
              <w:t>|</w:t>
            </w:r>
            <w:r w:rsidR="00980C55" w:rsidRPr="00980C55">
              <w:rPr>
                <w:rFonts w:ascii="MS Gothic" w:eastAsia="MS Gothic" w:hAnsi="MS Gothic" w:cs="MS Gothic" w:hint="eastAsia"/>
                <w:color w:val="000000"/>
                <w:w w:val="15"/>
                <w:sz w:val="20"/>
                <w:szCs w:val="20"/>
                <w:shd w:val="solid" w:color="000000" w:fill="000000"/>
                <w:fitText w:val="62" w:id="-961807611"/>
                <w14:textFill>
                  <w14:solidFill>
                    <w14:srgbClr w14:val="000000">
                      <w14:alpha w14:val="100000"/>
                    </w14:srgbClr>
                  </w14:solidFill>
                </w14:textFill>
              </w:rPr>
              <w:t xml:space="preserve">　</w:t>
            </w:r>
            <w:r w:rsidR="00980C55" w:rsidRPr="00980C55">
              <w:rPr>
                <w:rFonts w:ascii="Arial Narrow" w:hAnsi="Arial Narrow"/>
                <w:sz w:val="20"/>
                <w:szCs w:val="20"/>
                <w:vertAlign w:val="superscript"/>
              </w:rPr>
              <w:t>1</w:t>
            </w:r>
          </w:p>
        </w:tc>
        <w:tc>
          <w:tcPr>
            <w:tcW w:w="1621" w:type="dxa"/>
            <w:vAlign w:val="center"/>
          </w:tcPr>
          <w:p w14:paraId="6BEDAE13" w14:textId="77777777" w:rsidR="00024B9A" w:rsidRPr="0099114C" w:rsidRDefault="00024B9A" w:rsidP="002B24C8">
            <w:pPr>
              <w:keepNext/>
              <w:jc w:val="left"/>
              <w:rPr>
                <w:rFonts w:ascii="Arial Narrow" w:hAnsi="Arial Narrow" w:cs="Times New Roman"/>
                <w:bCs/>
                <w:sz w:val="20"/>
              </w:rPr>
            </w:pPr>
            <w:r w:rsidRPr="0099114C">
              <w:rPr>
                <w:rFonts w:ascii="Arial Narrow" w:hAnsi="Arial Narrow" w:cs="Times New Roman"/>
                <w:bCs/>
                <w:sz w:val="20"/>
              </w:rPr>
              <w:t>Addition of incident and relapse patients</w:t>
            </w:r>
          </w:p>
        </w:tc>
        <w:tc>
          <w:tcPr>
            <w:tcW w:w="2292" w:type="dxa"/>
            <w:vAlign w:val="center"/>
          </w:tcPr>
          <w:p w14:paraId="183C1194" w14:textId="1EA38B6C" w:rsidR="00024B9A" w:rsidRPr="0099114C" w:rsidRDefault="00024B9A" w:rsidP="002B24C8">
            <w:pPr>
              <w:keepNext/>
              <w:jc w:val="left"/>
              <w:rPr>
                <w:rFonts w:ascii="Arial Narrow" w:hAnsi="Arial Narrow" w:cs="Times New Roman"/>
                <w:bCs/>
                <w:sz w:val="20"/>
              </w:rPr>
            </w:pPr>
            <w:r w:rsidRPr="0099114C">
              <w:rPr>
                <w:rFonts w:ascii="Arial Narrow" w:hAnsi="Arial Narrow" w:cs="Times New Roman"/>
                <w:bCs/>
                <w:sz w:val="20"/>
              </w:rPr>
              <w:t>The approach of adding incident and relapse patients is reasonable. However, these estimates represent a substantial increase compared to that presented in the previous submission</w:t>
            </w:r>
            <w:r w:rsidR="0099114C">
              <w:rPr>
                <w:rFonts w:ascii="Arial Narrow" w:hAnsi="Arial Narrow" w:cs="Times New Roman"/>
                <w:bCs/>
                <w:sz w:val="20"/>
              </w:rPr>
              <w:t xml:space="preserve">. </w:t>
            </w:r>
          </w:p>
        </w:tc>
        <w:tc>
          <w:tcPr>
            <w:tcW w:w="2642" w:type="dxa"/>
          </w:tcPr>
          <w:p w14:paraId="537B2C36" w14:textId="77777777" w:rsidR="00024B9A" w:rsidRPr="0099114C" w:rsidRDefault="00024B9A" w:rsidP="002B24C8">
            <w:pPr>
              <w:keepNext/>
              <w:jc w:val="left"/>
              <w:rPr>
                <w:rFonts w:ascii="Arial Narrow" w:hAnsi="Arial Narrow" w:cs="Times New Roman"/>
                <w:bCs/>
                <w:sz w:val="20"/>
              </w:rPr>
            </w:pPr>
            <w:r w:rsidRPr="0099114C">
              <w:rPr>
                <w:rFonts w:ascii="Arial Narrow" w:hAnsi="Arial Narrow" w:cs="Times New Roman"/>
                <w:bCs/>
                <w:sz w:val="20"/>
              </w:rPr>
              <w:t>DUSC considered the main reason for the substantial increase in estimates was because the sponsor applied a prevalence rate to an incidence approach, which is incorrect.</w:t>
            </w:r>
          </w:p>
        </w:tc>
      </w:tr>
      <w:tr w:rsidR="00024B9A" w:rsidRPr="0099114C" w14:paraId="5C9664E9" w14:textId="77777777">
        <w:tc>
          <w:tcPr>
            <w:tcW w:w="6374" w:type="dxa"/>
            <w:gridSpan w:val="4"/>
            <w:vAlign w:val="center"/>
          </w:tcPr>
          <w:p w14:paraId="5F3DF5D1" w14:textId="77777777" w:rsidR="00024B9A" w:rsidRPr="0099114C" w:rsidRDefault="00024B9A" w:rsidP="002B24C8">
            <w:pPr>
              <w:keepNext/>
              <w:jc w:val="left"/>
              <w:rPr>
                <w:rFonts w:ascii="Arial Narrow" w:hAnsi="Arial Narrow" w:cs="Times New Roman"/>
                <w:b/>
                <w:bCs/>
                <w:sz w:val="20"/>
              </w:rPr>
            </w:pPr>
            <w:r w:rsidRPr="0099114C">
              <w:rPr>
                <w:rFonts w:ascii="Arial Narrow" w:hAnsi="Arial Narrow" w:cs="Times New Roman"/>
                <w:b/>
                <w:bCs/>
                <w:sz w:val="20"/>
              </w:rPr>
              <w:t>Treatment utilisation</w:t>
            </w:r>
          </w:p>
        </w:tc>
        <w:tc>
          <w:tcPr>
            <w:tcW w:w="2642" w:type="dxa"/>
          </w:tcPr>
          <w:p w14:paraId="670C43EA" w14:textId="77777777" w:rsidR="00024B9A" w:rsidRPr="0099114C" w:rsidRDefault="00024B9A" w:rsidP="002B24C8">
            <w:pPr>
              <w:keepNext/>
              <w:jc w:val="left"/>
              <w:rPr>
                <w:rFonts w:ascii="Arial Narrow" w:hAnsi="Arial Narrow" w:cs="Times New Roman"/>
                <w:b/>
                <w:bCs/>
                <w:sz w:val="20"/>
              </w:rPr>
            </w:pPr>
          </w:p>
        </w:tc>
      </w:tr>
      <w:tr w:rsidR="00024B9A" w:rsidRPr="0099114C" w14:paraId="7DD617AC" w14:textId="77777777">
        <w:tc>
          <w:tcPr>
            <w:tcW w:w="1340" w:type="dxa"/>
            <w:vAlign w:val="center"/>
          </w:tcPr>
          <w:p w14:paraId="10AA36FC" w14:textId="77777777" w:rsidR="00024B9A" w:rsidRPr="0099114C" w:rsidRDefault="00024B9A" w:rsidP="002B24C8">
            <w:pPr>
              <w:keepNext/>
              <w:jc w:val="left"/>
              <w:rPr>
                <w:rFonts w:ascii="Arial Narrow" w:hAnsi="Arial Narrow" w:cs="Times New Roman"/>
                <w:bCs/>
                <w:sz w:val="20"/>
              </w:rPr>
            </w:pPr>
            <w:r w:rsidRPr="0099114C">
              <w:rPr>
                <w:rFonts w:ascii="Arial Narrow" w:hAnsi="Arial Narrow" w:cs="Times New Roman"/>
                <w:bCs/>
                <w:sz w:val="20"/>
              </w:rPr>
              <w:t>Uptake rate</w:t>
            </w:r>
          </w:p>
        </w:tc>
        <w:tc>
          <w:tcPr>
            <w:tcW w:w="1121" w:type="dxa"/>
            <w:vAlign w:val="center"/>
          </w:tcPr>
          <w:p w14:paraId="6D0C0A15" w14:textId="77777777" w:rsidR="00024B9A" w:rsidRPr="0099114C" w:rsidRDefault="00024B9A" w:rsidP="002B24C8">
            <w:pPr>
              <w:keepNext/>
              <w:jc w:val="left"/>
              <w:rPr>
                <w:rFonts w:ascii="Arial Narrow" w:hAnsi="Arial Narrow" w:cs="Times New Roman"/>
                <w:bCs/>
                <w:sz w:val="20"/>
              </w:rPr>
            </w:pPr>
            <w:r w:rsidRPr="0099114C">
              <w:rPr>
                <w:rFonts w:ascii="Arial Narrow" w:hAnsi="Arial Narrow" w:cs="Times New Roman"/>
                <w:bCs/>
                <w:sz w:val="20"/>
              </w:rPr>
              <w:t>Yr 1: 50%</w:t>
            </w:r>
          </w:p>
          <w:p w14:paraId="01EBABBD" w14:textId="77777777" w:rsidR="00024B9A" w:rsidRPr="0099114C" w:rsidRDefault="00024B9A" w:rsidP="002B24C8">
            <w:pPr>
              <w:keepNext/>
              <w:jc w:val="left"/>
              <w:rPr>
                <w:rFonts w:ascii="Arial Narrow" w:hAnsi="Arial Narrow" w:cs="Times New Roman"/>
                <w:bCs/>
                <w:sz w:val="20"/>
              </w:rPr>
            </w:pPr>
            <w:r w:rsidRPr="0099114C">
              <w:rPr>
                <w:rFonts w:ascii="Arial Narrow" w:hAnsi="Arial Narrow" w:cs="Times New Roman"/>
                <w:bCs/>
                <w:sz w:val="20"/>
              </w:rPr>
              <w:t>Yr 2: 65%</w:t>
            </w:r>
          </w:p>
          <w:p w14:paraId="4928188C" w14:textId="77777777" w:rsidR="00024B9A" w:rsidRPr="0099114C" w:rsidRDefault="00024B9A" w:rsidP="002B24C8">
            <w:pPr>
              <w:keepNext/>
              <w:jc w:val="left"/>
              <w:rPr>
                <w:rFonts w:ascii="Arial Narrow" w:hAnsi="Arial Narrow" w:cs="Times New Roman"/>
                <w:bCs/>
                <w:sz w:val="20"/>
              </w:rPr>
            </w:pPr>
            <w:r w:rsidRPr="0099114C">
              <w:rPr>
                <w:rFonts w:ascii="Arial Narrow" w:hAnsi="Arial Narrow" w:cs="Times New Roman"/>
                <w:bCs/>
                <w:sz w:val="20"/>
              </w:rPr>
              <w:t>Yr 3: 80%</w:t>
            </w:r>
          </w:p>
          <w:p w14:paraId="2242971E" w14:textId="77777777" w:rsidR="00024B9A" w:rsidRPr="0099114C" w:rsidRDefault="00024B9A" w:rsidP="002B24C8">
            <w:pPr>
              <w:keepNext/>
              <w:jc w:val="left"/>
              <w:rPr>
                <w:rFonts w:ascii="Arial Narrow" w:hAnsi="Arial Narrow" w:cs="Times New Roman"/>
                <w:bCs/>
                <w:sz w:val="20"/>
              </w:rPr>
            </w:pPr>
            <w:r w:rsidRPr="0099114C">
              <w:rPr>
                <w:rFonts w:ascii="Arial Narrow" w:hAnsi="Arial Narrow" w:cs="Times New Roman"/>
                <w:bCs/>
                <w:sz w:val="20"/>
              </w:rPr>
              <w:t>Yr 4: 85%</w:t>
            </w:r>
          </w:p>
          <w:p w14:paraId="6FAC25B9" w14:textId="77777777" w:rsidR="00024B9A" w:rsidRPr="0099114C" w:rsidRDefault="00024B9A" w:rsidP="002B24C8">
            <w:pPr>
              <w:keepNext/>
              <w:jc w:val="left"/>
              <w:rPr>
                <w:rFonts w:ascii="Arial Narrow" w:hAnsi="Arial Narrow" w:cs="Times New Roman"/>
                <w:bCs/>
                <w:sz w:val="20"/>
              </w:rPr>
            </w:pPr>
            <w:r w:rsidRPr="0099114C">
              <w:rPr>
                <w:rFonts w:ascii="Arial Narrow" w:hAnsi="Arial Narrow" w:cs="Times New Roman"/>
                <w:bCs/>
                <w:sz w:val="20"/>
              </w:rPr>
              <w:t>Yr 5: 90%</w:t>
            </w:r>
          </w:p>
          <w:p w14:paraId="3A302384" w14:textId="77777777" w:rsidR="00024B9A" w:rsidRPr="0099114C" w:rsidRDefault="00024B9A" w:rsidP="002B24C8">
            <w:pPr>
              <w:jc w:val="left"/>
              <w:rPr>
                <w:rFonts w:ascii="Arial Narrow" w:hAnsi="Arial Narrow" w:cs="Times New Roman"/>
                <w:bCs/>
                <w:sz w:val="20"/>
              </w:rPr>
            </w:pPr>
            <w:r w:rsidRPr="0099114C">
              <w:rPr>
                <w:rFonts w:ascii="Arial Narrow" w:hAnsi="Arial Narrow" w:cs="Times New Roman"/>
                <w:bCs/>
                <w:sz w:val="20"/>
              </w:rPr>
              <w:t>Yr 6: 90%</w:t>
            </w:r>
          </w:p>
        </w:tc>
        <w:tc>
          <w:tcPr>
            <w:tcW w:w="1621" w:type="dxa"/>
            <w:vAlign w:val="center"/>
          </w:tcPr>
          <w:p w14:paraId="63CF5BCA" w14:textId="77777777" w:rsidR="00024B9A" w:rsidRPr="0099114C" w:rsidRDefault="00024B9A" w:rsidP="002B24C8">
            <w:pPr>
              <w:keepNext/>
              <w:jc w:val="left"/>
              <w:rPr>
                <w:rFonts w:ascii="Arial Narrow" w:hAnsi="Arial Narrow" w:cs="Times New Roman"/>
                <w:bCs/>
                <w:sz w:val="20"/>
              </w:rPr>
            </w:pPr>
            <w:r w:rsidRPr="0099114C">
              <w:rPr>
                <w:rFonts w:ascii="Arial Narrow" w:hAnsi="Arial Narrow" w:cs="Times New Roman"/>
                <w:bCs/>
                <w:sz w:val="20"/>
              </w:rPr>
              <w:t>Assumption based on clinical guidance + avacopan PSD July 2023 PBAC meeting</w:t>
            </w:r>
          </w:p>
        </w:tc>
        <w:tc>
          <w:tcPr>
            <w:tcW w:w="2292" w:type="dxa"/>
            <w:vAlign w:val="center"/>
          </w:tcPr>
          <w:p w14:paraId="2501303F" w14:textId="77777777" w:rsidR="00024B9A" w:rsidRPr="0099114C" w:rsidRDefault="00024B9A" w:rsidP="002B24C8">
            <w:pPr>
              <w:keepNext/>
              <w:jc w:val="left"/>
              <w:rPr>
                <w:rFonts w:ascii="Arial Narrow" w:hAnsi="Arial Narrow" w:cs="Times New Roman"/>
                <w:bCs/>
                <w:sz w:val="20"/>
              </w:rPr>
            </w:pPr>
            <w:r w:rsidRPr="0099114C">
              <w:rPr>
                <w:rFonts w:ascii="Arial Narrow" w:hAnsi="Arial Narrow" w:cs="Times New Roman"/>
                <w:bCs/>
                <w:sz w:val="20"/>
              </w:rPr>
              <w:t>The resubmission revised the uptake rate in Year 2 from 50% to 65%. This was consistent with DUSC advice. “</w:t>
            </w:r>
            <w:r w:rsidRPr="0099114C">
              <w:rPr>
                <w:rFonts w:ascii="Arial Narrow" w:hAnsi="Arial Narrow" w:cs="Times New Roman"/>
                <w:bCs/>
                <w:sz w:val="20"/>
                <w:lang w:eastAsia="en-GB"/>
              </w:rPr>
              <w:t xml:space="preserve">DUSC considered that the uptake rate in Year 2 could be increased to 65% to resemble the rituximab trajectory more closely” (Table 17, avacopan PSD, July 2023 PBAC meeting). </w:t>
            </w:r>
          </w:p>
        </w:tc>
        <w:tc>
          <w:tcPr>
            <w:tcW w:w="2642" w:type="dxa"/>
          </w:tcPr>
          <w:p w14:paraId="39A4AEE3" w14:textId="77777777" w:rsidR="00024B9A" w:rsidRPr="0099114C" w:rsidRDefault="00024B9A" w:rsidP="002B24C8">
            <w:pPr>
              <w:keepNext/>
              <w:jc w:val="left"/>
              <w:rPr>
                <w:rFonts w:ascii="Arial Narrow" w:hAnsi="Arial Narrow" w:cs="Times New Roman"/>
                <w:bCs/>
                <w:sz w:val="20"/>
              </w:rPr>
            </w:pPr>
            <w:r w:rsidRPr="0099114C">
              <w:rPr>
                <w:rFonts w:ascii="Arial Narrow" w:hAnsi="Arial Narrow" w:cs="Times New Roman"/>
                <w:bCs/>
                <w:sz w:val="20"/>
              </w:rPr>
              <w:t>DUSC agreed this was reasonable.</w:t>
            </w:r>
          </w:p>
        </w:tc>
      </w:tr>
      <w:tr w:rsidR="00024B9A" w:rsidRPr="0099114C" w14:paraId="4407022F" w14:textId="77777777">
        <w:tc>
          <w:tcPr>
            <w:tcW w:w="1340" w:type="dxa"/>
            <w:vAlign w:val="center"/>
          </w:tcPr>
          <w:p w14:paraId="19572031" w14:textId="77777777" w:rsidR="00024B9A" w:rsidRPr="0099114C" w:rsidRDefault="00024B9A" w:rsidP="002B24C8">
            <w:pPr>
              <w:keepNext/>
              <w:jc w:val="left"/>
              <w:rPr>
                <w:rFonts w:ascii="Arial Narrow" w:hAnsi="Arial Narrow" w:cs="Times New Roman"/>
                <w:bCs/>
                <w:sz w:val="20"/>
              </w:rPr>
            </w:pPr>
            <w:r w:rsidRPr="0099114C">
              <w:rPr>
                <w:rFonts w:ascii="Arial Narrow" w:hAnsi="Arial Narrow" w:cs="Times New Roman"/>
                <w:bCs/>
                <w:sz w:val="20"/>
              </w:rPr>
              <w:t>Duration of treatment</w:t>
            </w:r>
          </w:p>
        </w:tc>
        <w:tc>
          <w:tcPr>
            <w:tcW w:w="1121" w:type="dxa"/>
            <w:vAlign w:val="center"/>
          </w:tcPr>
          <w:p w14:paraId="3E7AB145" w14:textId="613438EF" w:rsidR="00024B9A" w:rsidRPr="0099114C" w:rsidRDefault="00D33747" w:rsidP="002B24C8">
            <w:pPr>
              <w:keepNext/>
              <w:jc w:val="left"/>
              <w:rPr>
                <w:rFonts w:ascii="Arial Narrow" w:hAnsi="Arial Narrow" w:cs="Times New Roman"/>
                <w:bCs/>
                <w:sz w:val="20"/>
              </w:rPr>
            </w:pPr>
            <w:r w:rsidRPr="0099114C">
              <w:rPr>
                <w:rFonts w:ascii="Arial Narrow" w:hAnsi="Arial Narrow" w:cs="Times New Roman"/>
                <w:bCs/>
                <w:sz w:val="20"/>
              </w:rPr>
              <w:t>9.6 months</w:t>
            </w:r>
            <w:r w:rsidR="00560769" w:rsidRPr="0099114C">
              <w:rPr>
                <w:rFonts w:ascii="Arial Narrow" w:hAnsi="Arial Narrow" w:cs="Times New Roman"/>
                <w:bCs/>
                <w:sz w:val="20"/>
              </w:rPr>
              <w:t xml:space="preserve"> (287.85 days)</w:t>
            </w:r>
          </w:p>
        </w:tc>
        <w:tc>
          <w:tcPr>
            <w:tcW w:w="1621" w:type="dxa"/>
            <w:vAlign w:val="center"/>
          </w:tcPr>
          <w:p w14:paraId="03EF8A1F" w14:textId="77777777" w:rsidR="00024B9A" w:rsidRPr="0099114C" w:rsidRDefault="00024B9A" w:rsidP="002B24C8">
            <w:pPr>
              <w:keepNext/>
              <w:jc w:val="left"/>
              <w:rPr>
                <w:rFonts w:ascii="Arial Narrow" w:hAnsi="Arial Narrow" w:cs="Times New Roman"/>
                <w:bCs/>
                <w:sz w:val="20"/>
              </w:rPr>
            </w:pPr>
            <w:r w:rsidRPr="00857B0D">
              <w:rPr>
                <w:rFonts w:ascii="Arial Narrow" w:hAnsi="Arial Narrow" w:cs="Times New Roman"/>
                <w:bCs/>
                <w:sz w:val="20"/>
                <w:lang w:eastAsia="en-GB"/>
              </w:rPr>
              <w:t>Updated proposed restriction and economic model</w:t>
            </w:r>
          </w:p>
        </w:tc>
        <w:tc>
          <w:tcPr>
            <w:tcW w:w="2292" w:type="dxa"/>
            <w:vAlign w:val="center"/>
          </w:tcPr>
          <w:p w14:paraId="179289E0" w14:textId="119C4D24" w:rsidR="00024B9A" w:rsidRPr="0099114C" w:rsidRDefault="00024B9A" w:rsidP="002B24C8">
            <w:pPr>
              <w:keepNext/>
              <w:jc w:val="left"/>
              <w:rPr>
                <w:rFonts w:ascii="Arial Narrow" w:hAnsi="Arial Narrow" w:cs="Times New Roman"/>
                <w:bCs/>
                <w:sz w:val="20"/>
              </w:rPr>
            </w:pPr>
            <w:r w:rsidRPr="0099114C">
              <w:rPr>
                <w:rFonts w:ascii="Arial Narrow" w:hAnsi="Arial Narrow" w:cs="Times New Roman"/>
                <w:bCs/>
                <w:sz w:val="20"/>
              </w:rPr>
              <w:t xml:space="preserve">The </w:t>
            </w:r>
            <w:r w:rsidR="00D33747" w:rsidRPr="0099114C">
              <w:rPr>
                <w:rFonts w:ascii="Arial Narrow" w:hAnsi="Arial Narrow" w:cs="Times New Roman"/>
                <w:bCs/>
                <w:sz w:val="20"/>
              </w:rPr>
              <w:t>9.6</w:t>
            </w:r>
            <w:r w:rsidRPr="0099114C">
              <w:rPr>
                <w:rFonts w:ascii="Arial Narrow" w:hAnsi="Arial Narrow" w:cs="Times New Roman"/>
                <w:bCs/>
                <w:sz w:val="20"/>
              </w:rPr>
              <w:t xml:space="preserve"> months is based on</w:t>
            </w:r>
            <w:r w:rsidRPr="0099114C">
              <w:rPr>
                <w:rFonts w:ascii="Arial Narrow" w:hAnsi="Arial Narrow" w:cs="Calibri"/>
                <w:bCs/>
                <w:sz w:val="20"/>
                <w:szCs w:val="18"/>
              </w:rPr>
              <w:t xml:space="preserve"> the updated average</w:t>
            </w:r>
            <w:r w:rsidR="00D33747" w:rsidRPr="0099114C">
              <w:rPr>
                <w:rFonts w:ascii="Arial Narrow" w:hAnsi="Arial Narrow" w:cs="Calibri"/>
                <w:bCs/>
                <w:sz w:val="20"/>
                <w:szCs w:val="18"/>
              </w:rPr>
              <w:t xml:space="preserve"> treatment</w:t>
            </w:r>
            <w:r w:rsidRPr="0099114C">
              <w:rPr>
                <w:rFonts w:ascii="Arial Narrow" w:hAnsi="Arial Narrow" w:cs="Calibri"/>
                <w:bCs/>
                <w:sz w:val="20"/>
                <w:szCs w:val="18"/>
              </w:rPr>
              <w:t xml:space="preserve"> duration in the economic model</w:t>
            </w:r>
            <w:r w:rsidRPr="00857B0D">
              <w:rPr>
                <w:rFonts w:ascii="Arial Narrow" w:hAnsi="Arial Narrow" w:cs="Times New Roman"/>
                <w:bCs/>
                <w:sz w:val="20"/>
                <w:lang w:eastAsia="en-GB"/>
              </w:rPr>
              <w:t xml:space="preserve">. </w:t>
            </w:r>
          </w:p>
        </w:tc>
        <w:tc>
          <w:tcPr>
            <w:tcW w:w="2642" w:type="dxa"/>
          </w:tcPr>
          <w:p w14:paraId="6BC01C35" w14:textId="77777777" w:rsidR="00024B9A" w:rsidRPr="0099114C" w:rsidRDefault="00024B9A" w:rsidP="002B24C8">
            <w:pPr>
              <w:keepNext/>
              <w:jc w:val="left"/>
              <w:rPr>
                <w:rFonts w:ascii="Arial Narrow" w:hAnsi="Arial Narrow" w:cs="Times New Roman"/>
                <w:bCs/>
                <w:sz w:val="20"/>
              </w:rPr>
            </w:pPr>
            <w:r w:rsidRPr="0099114C">
              <w:rPr>
                <w:rFonts w:ascii="Arial Narrow" w:hAnsi="Arial Narrow" w:cs="Times New Roman"/>
                <w:bCs/>
                <w:sz w:val="20"/>
              </w:rPr>
              <w:t>DUSC considered this was reasonable.</w:t>
            </w:r>
          </w:p>
        </w:tc>
      </w:tr>
      <w:tr w:rsidR="00024B9A" w:rsidRPr="0099114C" w14:paraId="57686D3F" w14:textId="77777777">
        <w:tc>
          <w:tcPr>
            <w:tcW w:w="1340" w:type="dxa"/>
            <w:shd w:val="clear" w:color="auto" w:fill="8EAADB"/>
            <w:vAlign w:val="center"/>
          </w:tcPr>
          <w:p w14:paraId="5BEB9253" w14:textId="77777777" w:rsidR="00024B9A" w:rsidRPr="0099114C" w:rsidRDefault="00024B9A" w:rsidP="002B24C8">
            <w:pPr>
              <w:keepNext/>
              <w:jc w:val="left"/>
              <w:rPr>
                <w:rFonts w:ascii="Arial Narrow" w:hAnsi="Arial Narrow" w:cs="Times New Roman"/>
                <w:bCs/>
                <w:sz w:val="20"/>
              </w:rPr>
            </w:pPr>
            <w:r w:rsidRPr="0099114C">
              <w:rPr>
                <w:rFonts w:ascii="Arial Narrow" w:hAnsi="Arial Narrow" w:cs="Times New Roman"/>
                <w:bCs/>
                <w:sz w:val="20"/>
              </w:rPr>
              <w:t xml:space="preserve">Avacopan compliance </w:t>
            </w:r>
          </w:p>
        </w:tc>
        <w:tc>
          <w:tcPr>
            <w:tcW w:w="1121" w:type="dxa"/>
            <w:shd w:val="clear" w:color="auto" w:fill="8EAADB"/>
            <w:vAlign w:val="center"/>
          </w:tcPr>
          <w:p w14:paraId="77595E67" w14:textId="77777777" w:rsidR="00024B9A" w:rsidRPr="0099114C" w:rsidRDefault="00024B9A" w:rsidP="002B24C8">
            <w:pPr>
              <w:keepNext/>
              <w:jc w:val="left"/>
              <w:rPr>
                <w:rFonts w:ascii="Arial Narrow" w:hAnsi="Arial Narrow" w:cs="Times New Roman"/>
                <w:bCs/>
                <w:sz w:val="20"/>
              </w:rPr>
            </w:pPr>
            <w:r w:rsidRPr="0099114C">
              <w:rPr>
                <w:rFonts w:ascii="Arial Narrow" w:hAnsi="Arial Narrow" w:cs="Times New Roman"/>
                <w:bCs/>
                <w:sz w:val="20"/>
              </w:rPr>
              <w:t>86.4%</w:t>
            </w:r>
          </w:p>
        </w:tc>
        <w:tc>
          <w:tcPr>
            <w:tcW w:w="1621" w:type="dxa"/>
            <w:shd w:val="clear" w:color="auto" w:fill="8EAADB"/>
            <w:vAlign w:val="center"/>
          </w:tcPr>
          <w:p w14:paraId="3A8796F8" w14:textId="77777777" w:rsidR="00024B9A" w:rsidRPr="0099114C" w:rsidRDefault="00024B9A" w:rsidP="002B24C8">
            <w:pPr>
              <w:keepNext/>
              <w:jc w:val="left"/>
              <w:rPr>
                <w:rFonts w:ascii="Arial Narrow" w:hAnsi="Arial Narrow" w:cs="Times New Roman"/>
                <w:bCs/>
                <w:sz w:val="20"/>
              </w:rPr>
            </w:pPr>
            <w:r w:rsidRPr="0099114C">
              <w:rPr>
                <w:rFonts w:ascii="Arial Narrow" w:hAnsi="Arial Narrow" w:cs="Times New Roman"/>
                <w:bCs/>
                <w:sz w:val="20"/>
              </w:rPr>
              <w:t>ADVOCATE trial</w:t>
            </w:r>
          </w:p>
        </w:tc>
        <w:tc>
          <w:tcPr>
            <w:tcW w:w="2292" w:type="dxa"/>
            <w:shd w:val="clear" w:color="auto" w:fill="8EAADB"/>
            <w:vAlign w:val="center"/>
          </w:tcPr>
          <w:p w14:paraId="7EB7842D" w14:textId="77777777" w:rsidR="00024B9A" w:rsidRPr="0099114C" w:rsidRDefault="00024B9A" w:rsidP="002B24C8">
            <w:pPr>
              <w:keepNext/>
              <w:jc w:val="left"/>
              <w:rPr>
                <w:rFonts w:ascii="Arial Narrow" w:hAnsi="Arial Narrow" w:cs="Times New Roman"/>
                <w:bCs/>
                <w:sz w:val="20"/>
              </w:rPr>
            </w:pPr>
            <w:r w:rsidRPr="0099114C">
              <w:rPr>
                <w:rFonts w:ascii="Arial Narrow" w:hAnsi="Arial Narrow" w:cs="Times New Roman"/>
                <w:bCs/>
                <w:sz w:val="20"/>
              </w:rPr>
              <w:t>This is appropriate</w:t>
            </w:r>
          </w:p>
        </w:tc>
        <w:tc>
          <w:tcPr>
            <w:tcW w:w="2642" w:type="dxa"/>
            <w:shd w:val="clear" w:color="auto" w:fill="8EAADB"/>
          </w:tcPr>
          <w:p w14:paraId="6156BB9D" w14:textId="77777777" w:rsidR="00024B9A" w:rsidRPr="0099114C" w:rsidRDefault="00024B9A" w:rsidP="002B24C8">
            <w:pPr>
              <w:keepNext/>
              <w:jc w:val="left"/>
              <w:rPr>
                <w:rFonts w:ascii="Arial Narrow" w:hAnsi="Arial Narrow" w:cs="Times New Roman"/>
                <w:bCs/>
                <w:sz w:val="20"/>
              </w:rPr>
            </w:pPr>
          </w:p>
        </w:tc>
      </w:tr>
      <w:tr w:rsidR="00024B9A" w:rsidRPr="0099114C" w14:paraId="55E59387" w14:textId="77777777">
        <w:tc>
          <w:tcPr>
            <w:tcW w:w="1340" w:type="dxa"/>
            <w:vAlign w:val="center"/>
          </w:tcPr>
          <w:p w14:paraId="5C33E35A" w14:textId="77777777" w:rsidR="00024B9A" w:rsidRPr="0099114C" w:rsidRDefault="00024B9A" w:rsidP="002B24C8">
            <w:pPr>
              <w:keepNext/>
              <w:jc w:val="left"/>
              <w:rPr>
                <w:rFonts w:ascii="Arial Narrow" w:hAnsi="Arial Narrow" w:cs="Times New Roman"/>
                <w:bCs/>
                <w:sz w:val="20"/>
              </w:rPr>
            </w:pPr>
            <w:r w:rsidRPr="0099114C">
              <w:rPr>
                <w:rFonts w:ascii="Arial Narrow" w:hAnsi="Arial Narrow" w:cs="Times New Roman"/>
                <w:bCs/>
                <w:sz w:val="20"/>
              </w:rPr>
              <w:t>Number treated</w:t>
            </w:r>
          </w:p>
        </w:tc>
        <w:tc>
          <w:tcPr>
            <w:tcW w:w="1121" w:type="dxa"/>
            <w:vAlign w:val="center"/>
          </w:tcPr>
          <w:p w14:paraId="4DA5C8E3" w14:textId="10990EFF" w:rsidR="00024B9A" w:rsidRPr="00282850" w:rsidRDefault="00024B9A" w:rsidP="002B24C8">
            <w:pPr>
              <w:keepNext/>
              <w:jc w:val="left"/>
              <w:rPr>
                <w:rFonts w:ascii="Arial Narrow" w:hAnsi="Arial Narrow" w:cs="Times New Roman"/>
                <w:bCs/>
                <w:sz w:val="20"/>
              </w:rPr>
            </w:pPr>
            <w:r w:rsidRPr="00282850">
              <w:rPr>
                <w:rFonts w:ascii="Arial Narrow" w:hAnsi="Arial Narrow" w:cs="Times New Roman"/>
                <w:bCs/>
                <w:sz w:val="20"/>
              </w:rPr>
              <w:t>Yr 1:</w:t>
            </w:r>
            <w:r w:rsidR="00980C55" w:rsidRPr="00980C55">
              <w:rPr>
                <w:rFonts w:ascii="MS Gothic" w:eastAsia="MS Gothic" w:hAnsi="MS Gothic" w:cs="MS Gothic" w:hint="eastAsia"/>
                <w:color w:val="000000"/>
                <w:w w:val="15"/>
                <w:sz w:val="20"/>
                <w:szCs w:val="20"/>
                <w:shd w:val="solid" w:color="000000" w:fill="000000"/>
                <w:fitText w:val="62" w:id="-961807611"/>
                <w14:textFill>
                  <w14:solidFill>
                    <w14:srgbClr w14:val="000000">
                      <w14:alpha w14:val="100000"/>
                    </w14:srgbClr>
                  </w14:solidFill>
                </w14:textFill>
              </w:rPr>
              <w:t xml:space="preserve">　</w:t>
            </w:r>
            <w:r w:rsidR="00980C55" w:rsidRPr="00980C55">
              <w:rPr>
                <w:rFonts w:ascii="Arial Narrow" w:hAnsi="Arial Narrow"/>
                <w:color w:val="000000"/>
                <w:w w:val="15"/>
                <w:sz w:val="20"/>
                <w:szCs w:val="20"/>
                <w:shd w:val="solid" w:color="000000" w:fill="000000"/>
                <w:fitText w:val="62" w:id="-961807611"/>
                <w14:textFill>
                  <w14:solidFill>
                    <w14:srgbClr w14:val="000000">
                      <w14:alpha w14:val="100000"/>
                    </w14:srgbClr>
                  </w14:solidFill>
                </w14:textFill>
              </w:rPr>
              <w:t>|</w:t>
            </w:r>
            <w:r w:rsidR="00980C55" w:rsidRPr="00980C55">
              <w:rPr>
                <w:rFonts w:ascii="MS Gothic" w:eastAsia="MS Gothic" w:hAnsi="MS Gothic" w:cs="MS Gothic" w:hint="eastAsia"/>
                <w:color w:val="000000"/>
                <w:w w:val="15"/>
                <w:sz w:val="20"/>
                <w:szCs w:val="20"/>
                <w:shd w:val="solid" w:color="000000" w:fill="000000"/>
                <w:fitText w:val="62" w:id="-961807611"/>
                <w14:textFill>
                  <w14:solidFill>
                    <w14:srgbClr w14:val="000000">
                      <w14:alpha w14:val="100000"/>
                    </w14:srgbClr>
                  </w14:solidFill>
                </w14:textFill>
              </w:rPr>
              <w:t xml:space="preserve">　</w:t>
            </w:r>
            <w:r w:rsidR="00980C55" w:rsidRPr="00980C55">
              <w:rPr>
                <w:rFonts w:ascii="Arial Narrow" w:hAnsi="Arial Narrow"/>
                <w:sz w:val="20"/>
                <w:szCs w:val="20"/>
                <w:vertAlign w:val="superscript"/>
              </w:rPr>
              <w:t>1</w:t>
            </w:r>
          </w:p>
          <w:p w14:paraId="6C189A75" w14:textId="4952C2F8" w:rsidR="00024B9A" w:rsidRPr="00282850" w:rsidRDefault="00024B9A" w:rsidP="002B24C8">
            <w:pPr>
              <w:keepNext/>
              <w:jc w:val="left"/>
              <w:rPr>
                <w:rFonts w:ascii="Arial Narrow" w:hAnsi="Arial Narrow" w:cs="Times New Roman"/>
                <w:bCs/>
                <w:sz w:val="20"/>
              </w:rPr>
            </w:pPr>
            <w:r w:rsidRPr="00282850">
              <w:rPr>
                <w:rFonts w:ascii="Arial Narrow" w:hAnsi="Arial Narrow" w:cs="Times New Roman"/>
                <w:bCs/>
                <w:sz w:val="20"/>
              </w:rPr>
              <w:t xml:space="preserve">Yr 2: </w:t>
            </w:r>
            <w:r w:rsidR="00980C55" w:rsidRPr="00980C55">
              <w:rPr>
                <w:rFonts w:ascii="MS Gothic" w:eastAsia="MS Gothic" w:hAnsi="MS Gothic" w:cs="MS Gothic" w:hint="eastAsia"/>
                <w:color w:val="000000"/>
                <w:w w:val="15"/>
                <w:sz w:val="20"/>
                <w:szCs w:val="20"/>
                <w:shd w:val="solid" w:color="000000" w:fill="000000"/>
                <w:fitText w:val="62" w:id="-961807611"/>
                <w14:textFill>
                  <w14:solidFill>
                    <w14:srgbClr w14:val="000000">
                      <w14:alpha w14:val="100000"/>
                    </w14:srgbClr>
                  </w14:solidFill>
                </w14:textFill>
              </w:rPr>
              <w:t xml:space="preserve">　</w:t>
            </w:r>
            <w:r w:rsidR="00980C55" w:rsidRPr="00980C55">
              <w:rPr>
                <w:rFonts w:ascii="Arial Narrow" w:hAnsi="Arial Narrow"/>
                <w:color w:val="000000"/>
                <w:w w:val="15"/>
                <w:sz w:val="20"/>
                <w:szCs w:val="20"/>
                <w:shd w:val="solid" w:color="000000" w:fill="000000"/>
                <w:fitText w:val="62" w:id="-961807611"/>
                <w14:textFill>
                  <w14:solidFill>
                    <w14:srgbClr w14:val="000000">
                      <w14:alpha w14:val="100000"/>
                    </w14:srgbClr>
                  </w14:solidFill>
                </w14:textFill>
              </w:rPr>
              <w:t>|</w:t>
            </w:r>
            <w:r w:rsidR="00980C55" w:rsidRPr="00980C55">
              <w:rPr>
                <w:rFonts w:ascii="MS Gothic" w:eastAsia="MS Gothic" w:hAnsi="MS Gothic" w:cs="MS Gothic" w:hint="eastAsia"/>
                <w:color w:val="000000"/>
                <w:w w:val="15"/>
                <w:sz w:val="20"/>
                <w:szCs w:val="20"/>
                <w:shd w:val="solid" w:color="000000" w:fill="000000"/>
                <w:fitText w:val="62" w:id="-961807611"/>
                <w14:textFill>
                  <w14:solidFill>
                    <w14:srgbClr w14:val="000000">
                      <w14:alpha w14:val="100000"/>
                    </w14:srgbClr>
                  </w14:solidFill>
                </w14:textFill>
              </w:rPr>
              <w:t xml:space="preserve">　</w:t>
            </w:r>
            <w:r w:rsidR="00980C55" w:rsidRPr="00980C55">
              <w:rPr>
                <w:rFonts w:ascii="Arial Narrow" w:hAnsi="Arial Narrow"/>
                <w:sz w:val="20"/>
                <w:szCs w:val="20"/>
                <w:vertAlign w:val="superscript"/>
              </w:rPr>
              <w:t>1</w:t>
            </w:r>
          </w:p>
          <w:p w14:paraId="06EA6D39" w14:textId="6BB8E98A" w:rsidR="00024B9A" w:rsidRPr="00282850" w:rsidRDefault="00024B9A" w:rsidP="002B24C8">
            <w:pPr>
              <w:keepNext/>
              <w:jc w:val="left"/>
              <w:rPr>
                <w:rFonts w:ascii="Arial Narrow" w:hAnsi="Arial Narrow" w:cs="Times New Roman"/>
                <w:bCs/>
                <w:sz w:val="20"/>
              </w:rPr>
            </w:pPr>
            <w:r w:rsidRPr="00282850">
              <w:rPr>
                <w:rFonts w:ascii="Arial Narrow" w:hAnsi="Arial Narrow" w:cs="Times New Roman"/>
                <w:bCs/>
                <w:sz w:val="20"/>
              </w:rPr>
              <w:t xml:space="preserve">Yr 3: </w:t>
            </w:r>
            <w:r w:rsidR="00980C55" w:rsidRPr="00980C55">
              <w:rPr>
                <w:rFonts w:ascii="MS Gothic" w:eastAsia="MS Gothic" w:hAnsi="MS Gothic" w:cs="MS Gothic" w:hint="eastAsia"/>
                <w:color w:val="000000"/>
                <w:w w:val="15"/>
                <w:sz w:val="20"/>
                <w:szCs w:val="20"/>
                <w:shd w:val="solid" w:color="000000" w:fill="000000"/>
                <w:fitText w:val="62" w:id="-961807611"/>
                <w14:textFill>
                  <w14:solidFill>
                    <w14:srgbClr w14:val="000000">
                      <w14:alpha w14:val="100000"/>
                    </w14:srgbClr>
                  </w14:solidFill>
                </w14:textFill>
              </w:rPr>
              <w:t xml:space="preserve">　</w:t>
            </w:r>
            <w:r w:rsidR="00980C55" w:rsidRPr="00980C55">
              <w:rPr>
                <w:rFonts w:ascii="Arial Narrow" w:hAnsi="Arial Narrow"/>
                <w:color w:val="000000"/>
                <w:w w:val="15"/>
                <w:sz w:val="20"/>
                <w:szCs w:val="20"/>
                <w:shd w:val="solid" w:color="000000" w:fill="000000"/>
                <w:fitText w:val="62" w:id="-961807611"/>
                <w14:textFill>
                  <w14:solidFill>
                    <w14:srgbClr w14:val="000000">
                      <w14:alpha w14:val="100000"/>
                    </w14:srgbClr>
                  </w14:solidFill>
                </w14:textFill>
              </w:rPr>
              <w:t>|</w:t>
            </w:r>
            <w:r w:rsidR="00980C55" w:rsidRPr="00980C55">
              <w:rPr>
                <w:rFonts w:ascii="MS Gothic" w:eastAsia="MS Gothic" w:hAnsi="MS Gothic" w:cs="MS Gothic" w:hint="eastAsia"/>
                <w:color w:val="000000"/>
                <w:w w:val="15"/>
                <w:sz w:val="20"/>
                <w:szCs w:val="20"/>
                <w:shd w:val="solid" w:color="000000" w:fill="000000"/>
                <w:fitText w:val="62" w:id="-961807611"/>
                <w14:textFill>
                  <w14:solidFill>
                    <w14:srgbClr w14:val="000000">
                      <w14:alpha w14:val="100000"/>
                    </w14:srgbClr>
                  </w14:solidFill>
                </w14:textFill>
              </w:rPr>
              <w:t xml:space="preserve">　</w:t>
            </w:r>
            <w:r w:rsidR="00980C55" w:rsidRPr="00980C55">
              <w:rPr>
                <w:rFonts w:ascii="Arial Narrow" w:hAnsi="Arial Narrow"/>
                <w:sz w:val="20"/>
                <w:szCs w:val="20"/>
                <w:vertAlign w:val="superscript"/>
              </w:rPr>
              <w:t>1</w:t>
            </w:r>
          </w:p>
          <w:p w14:paraId="6A6CDAC7" w14:textId="5866722C" w:rsidR="00024B9A" w:rsidRPr="00282850" w:rsidRDefault="00024B9A" w:rsidP="002B24C8">
            <w:pPr>
              <w:keepNext/>
              <w:jc w:val="left"/>
              <w:rPr>
                <w:rFonts w:ascii="Arial Narrow" w:hAnsi="Arial Narrow" w:cs="Times New Roman"/>
                <w:bCs/>
                <w:sz w:val="20"/>
              </w:rPr>
            </w:pPr>
            <w:r w:rsidRPr="00282850">
              <w:rPr>
                <w:rFonts w:ascii="Arial Narrow" w:hAnsi="Arial Narrow" w:cs="Times New Roman"/>
                <w:bCs/>
                <w:sz w:val="20"/>
              </w:rPr>
              <w:t xml:space="preserve">Yr 4: </w:t>
            </w:r>
            <w:r w:rsidR="00980C55" w:rsidRPr="00980C55">
              <w:rPr>
                <w:rFonts w:ascii="MS Gothic" w:eastAsia="MS Gothic" w:hAnsi="MS Gothic" w:cs="MS Gothic" w:hint="eastAsia"/>
                <w:color w:val="000000"/>
                <w:w w:val="15"/>
                <w:sz w:val="20"/>
                <w:szCs w:val="20"/>
                <w:shd w:val="solid" w:color="000000" w:fill="000000"/>
                <w:fitText w:val="62" w:id="-961807611"/>
                <w14:textFill>
                  <w14:solidFill>
                    <w14:srgbClr w14:val="000000">
                      <w14:alpha w14:val="100000"/>
                    </w14:srgbClr>
                  </w14:solidFill>
                </w14:textFill>
              </w:rPr>
              <w:t xml:space="preserve">　</w:t>
            </w:r>
            <w:r w:rsidR="00980C55" w:rsidRPr="00980C55">
              <w:rPr>
                <w:rFonts w:ascii="Arial Narrow" w:hAnsi="Arial Narrow"/>
                <w:color w:val="000000"/>
                <w:w w:val="15"/>
                <w:sz w:val="20"/>
                <w:szCs w:val="20"/>
                <w:shd w:val="solid" w:color="000000" w:fill="000000"/>
                <w:fitText w:val="62" w:id="-961807611"/>
                <w14:textFill>
                  <w14:solidFill>
                    <w14:srgbClr w14:val="000000">
                      <w14:alpha w14:val="100000"/>
                    </w14:srgbClr>
                  </w14:solidFill>
                </w14:textFill>
              </w:rPr>
              <w:t>|</w:t>
            </w:r>
            <w:r w:rsidR="00980C55" w:rsidRPr="00980C55">
              <w:rPr>
                <w:rFonts w:ascii="MS Gothic" w:eastAsia="MS Gothic" w:hAnsi="MS Gothic" w:cs="MS Gothic" w:hint="eastAsia"/>
                <w:color w:val="000000"/>
                <w:w w:val="15"/>
                <w:sz w:val="20"/>
                <w:szCs w:val="20"/>
                <w:shd w:val="solid" w:color="000000" w:fill="000000"/>
                <w:fitText w:val="62" w:id="-961807611"/>
                <w14:textFill>
                  <w14:solidFill>
                    <w14:srgbClr w14:val="000000">
                      <w14:alpha w14:val="100000"/>
                    </w14:srgbClr>
                  </w14:solidFill>
                </w14:textFill>
              </w:rPr>
              <w:t xml:space="preserve">　</w:t>
            </w:r>
            <w:r w:rsidR="00980C55" w:rsidRPr="00980C55">
              <w:rPr>
                <w:rFonts w:ascii="Arial Narrow" w:hAnsi="Arial Narrow"/>
                <w:sz w:val="20"/>
                <w:szCs w:val="20"/>
                <w:vertAlign w:val="superscript"/>
              </w:rPr>
              <w:t>1</w:t>
            </w:r>
          </w:p>
          <w:p w14:paraId="6D11F189" w14:textId="519D7006" w:rsidR="00024B9A" w:rsidRPr="00282850" w:rsidRDefault="00024B9A" w:rsidP="002B24C8">
            <w:pPr>
              <w:keepNext/>
              <w:jc w:val="left"/>
              <w:rPr>
                <w:rFonts w:ascii="Arial Narrow" w:hAnsi="Arial Narrow" w:cs="Times New Roman"/>
                <w:bCs/>
                <w:sz w:val="20"/>
              </w:rPr>
            </w:pPr>
            <w:r w:rsidRPr="00282850">
              <w:rPr>
                <w:rFonts w:ascii="Arial Narrow" w:hAnsi="Arial Narrow" w:cs="Times New Roman"/>
                <w:bCs/>
                <w:sz w:val="20"/>
              </w:rPr>
              <w:t xml:space="preserve">Yr 5: </w:t>
            </w:r>
            <w:r w:rsidR="00980C55" w:rsidRPr="00980C55">
              <w:rPr>
                <w:rFonts w:ascii="MS Gothic" w:eastAsia="MS Gothic" w:hAnsi="MS Gothic" w:cs="MS Gothic" w:hint="eastAsia"/>
                <w:color w:val="000000"/>
                <w:w w:val="15"/>
                <w:sz w:val="20"/>
                <w:szCs w:val="20"/>
                <w:shd w:val="solid" w:color="000000" w:fill="000000"/>
                <w:fitText w:val="62" w:id="-961807611"/>
                <w14:textFill>
                  <w14:solidFill>
                    <w14:srgbClr w14:val="000000">
                      <w14:alpha w14:val="100000"/>
                    </w14:srgbClr>
                  </w14:solidFill>
                </w14:textFill>
              </w:rPr>
              <w:t xml:space="preserve">　</w:t>
            </w:r>
            <w:r w:rsidR="00980C55" w:rsidRPr="00980C55">
              <w:rPr>
                <w:rFonts w:ascii="Arial Narrow" w:hAnsi="Arial Narrow"/>
                <w:color w:val="000000"/>
                <w:w w:val="15"/>
                <w:sz w:val="20"/>
                <w:szCs w:val="20"/>
                <w:shd w:val="solid" w:color="000000" w:fill="000000"/>
                <w:fitText w:val="62" w:id="-961807611"/>
                <w14:textFill>
                  <w14:solidFill>
                    <w14:srgbClr w14:val="000000">
                      <w14:alpha w14:val="100000"/>
                    </w14:srgbClr>
                  </w14:solidFill>
                </w14:textFill>
              </w:rPr>
              <w:t>|</w:t>
            </w:r>
            <w:r w:rsidR="00980C55" w:rsidRPr="00980C55">
              <w:rPr>
                <w:rFonts w:ascii="MS Gothic" w:eastAsia="MS Gothic" w:hAnsi="MS Gothic" w:cs="MS Gothic" w:hint="eastAsia"/>
                <w:color w:val="000000"/>
                <w:w w:val="15"/>
                <w:sz w:val="20"/>
                <w:szCs w:val="20"/>
                <w:shd w:val="solid" w:color="000000" w:fill="000000"/>
                <w:fitText w:val="62" w:id="-961807611"/>
                <w14:textFill>
                  <w14:solidFill>
                    <w14:srgbClr w14:val="000000">
                      <w14:alpha w14:val="100000"/>
                    </w14:srgbClr>
                  </w14:solidFill>
                </w14:textFill>
              </w:rPr>
              <w:t xml:space="preserve">　</w:t>
            </w:r>
            <w:r w:rsidR="00980C55" w:rsidRPr="00980C55">
              <w:rPr>
                <w:rFonts w:ascii="Arial Narrow" w:hAnsi="Arial Narrow"/>
                <w:sz w:val="20"/>
                <w:szCs w:val="20"/>
                <w:vertAlign w:val="superscript"/>
              </w:rPr>
              <w:t>1</w:t>
            </w:r>
          </w:p>
          <w:p w14:paraId="646C0E87" w14:textId="05A000C5" w:rsidR="00024B9A" w:rsidRPr="00282850" w:rsidRDefault="00024B9A" w:rsidP="002B24C8">
            <w:pPr>
              <w:keepNext/>
              <w:jc w:val="left"/>
              <w:rPr>
                <w:rFonts w:ascii="Arial Narrow" w:hAnsi="Arial Narrow" w:cs="Times New Roman"/>
                <w:bCs/>
                <w:sz w:val="20"/>
              </w:rPr>
            </w:pPr>
            <w:r w:rsidRPr="00282850">
              <w:rPr>
                <w:rFonts w:ascii="Arial Narrow" w:hAnsi="Arial Narrow" w:cs="Times New Roman"/>
                <w:bCs/>
                <w:sz w:val="20"/>
              </w:rPr>
              <w:t xml:space="preserve">Yr 6: </w:t>
            </w:r>
            <w:r w:rsidR="00980C55" w:rsidRPr="00980C55">
              <w:rPr>
                <w:rFonts w:ascii="MS Gothic" w:eastAsia="MS Gothic" w:hAnsi="MS Gothic" w:cs="MS Gothic" w:hint="eastAsia"/>
                <w:color w:val="000000"/>
                <w:w w:val="15"/>
                <w:sz w:val="20"/>
                <w:szCs w:val="20"/>
                <w:shd w:val="solid" w:color="000000" w:fill="000000"/>
                <w:fitText w:val="62" w:id="-961807611"/>
                <w14:textFill>
                  <w14:solidFill>
                    <w14:srgbClr w14:val="000000">
                      <w14:alpha w14:val="100000"/>
                    </w14:srgbClr>
                  </w14:solidFill>
                </w14:textFill>
              </w:rPr>
              <w:t xml:space="preserve">　</w:t>
            </w:r>
            <w:r w:rsidR="00980C55" w:rsidRPr="00980C55">
              <w:rPr>
                <w:rFonts w:ascii="Arial Narrow" w:hAnsi="Arial Narrow"/>
                <w:color w:val="000000"/>
                <w:w w:val="15"/>
                <w:sz w:val="20"/>
                <w:szCs w:val="20"/>
                <w:shd w:val="solid" w:color="000000" w:fill="000000"/>
                <w:fitText w:val="62" w:id="-961807611"/>
                <w14:textFill>
                  <w14:solidFill>
                    <w14:srgbClr w14:val="000000">
                      <w14:alpha w14:val="100000"/>
                    </w14:srgbClr>
                  </w14:solidFill>
                </w14:textFill>
              </w:rPr>
              <w:t>|</w:t>
            </w:r>
            <w:r w:rsidR="00980C55" w:rsidRPr="00980C55">
              <w:rPr>
                <w:rFonts w:ascii="MS Gothic" w:eastAsia="MS Gothic" w:hAnsi="MS Gothic" w:cs="MS Gothic" w:hint="eastAsia"/>
                <w:color w:val="000000"/>
                <w:w w:val="15"/>
                <w:sz w:val="20"/>
                <w:szCs w:val="20"/>
                <w:shd w:val="solid" w:color="000000" w:fill="000000"/>
                <w:fitText w:val="62" w:id="-961807611"/>
                <w14:textFill>
                  <w14:solidFill>
                    <w14:srgbClr w14:val="000000">
                      <w14:alpha w14:val="100000"/>
                    </w14:srgbClr>
                  </w14:solidFill>
                </w14:textFill>
              </w:rPr>
              <w:t xml:space="preserve">　</w:t>
            </w:r>
            <w:r w:rsidR="00980C55" w:rsidRPr="00980C55">
              <w:rPr>
                <w:rFonts w:ascii="Arial Narrow" w:hAnsi="Arial Narrow"/>
                <w:sz w:val="20"/>
                <w:szCs w:val="20"/>
                <w:vertAlign w:val="superscript"/>
              </w:rPr>
              <w:t>1</w:t>
            </w:r>
          </w:p>
        </w:tc>
        <w:tc>
          <w:tcPr>
            <w:tcW w:w="1621" w:type="dxa"/>
            <w:vAlign w:val="center"/>
          </w:tcPr>
          <w:p w14:paraId="20763154" w14:textId="77777777" w:rsidR="00024B9A" w:rsidRPr="0099114C" w:rsidRDefault="00024B9A" w:rsidP="002B24C8">
            <w:pPr>
              <w:keepNext/>
              <w:jc w:val="left"/>
              <w:rPr>
                <w:rFonts w:ascii="Arial Narrow" w:hAnsi="Arial Narrow" w:cs="Times New Roman"/>
                <w:bCs/>
                <w:sz w:val="20"/>
              </w:rPr>
            </w:pPr>
            <w:r w:rsidRPr="0099114C">
              <w:rPr>
                <w:rFonts w:ascii="Arial Narrow" w:hAnsi="Arial Narrow" w:cs="Times New Roman"/>
                <w:bCs/>
                <w:sz w:val="20"/>
              </w:rPr>
              <w:t>Total patients multiplied by uptake rate</w:t>
            </w:r>
          </w:p>
        </w:tc>
        <w:tc>
          <w:tcPr>
            <w:tcW w:w="2292" w:type="dxa"/>
            <w:vAlign w:val="center"/>
          </w:tcPr>
          <w:p w14:paraId="714F26A6" w14:textId="77777777" w:rsidR="00024B9A" w:rsidRPr="0099114C" w:rsidRDefault="00024B9A" w:rsidP="002B24C8">
            <w:pPr>
              <w:keepNext/>
              <w:jc w:val="left"/>
              <w:rPr>
                <w:rFonts w:ascii="Arial Narrow" w:hAnsi="Arial Narrow" w:cs="Times New Roman"/>
                <w:bCs/>
                <w:sz w:val="20"/>
              </w:rPr>
            </w:pPr>
            <w:r w:rsidRPr="0099114C">
              <w:rPr>
                <w:rFonts w:ascii="Arial Narrow" w:hAnsi="Arial Narrow" w:cs="Times New Roman"/>
                <w:bCs/>
                <w:sz w:val="20"/>
              </w:rPr>
              <w:t>This approach is reasonable, however noting that these estimates represent a substantial increase compared to that presented in the previous submission.</w:t>
            </w:r>
          </w:p>
        </w:tc>
        <w:tc>
          <w:tcPr>
            <w:tcW w:w="2642" w:type="dxa"/>
          </w:tcPr>
          <w:p w14:paraId="048AA4EC" w14:textId="1DE252EC" w:rsidR="00024B9A" w:rsidRPr="0099114C" w:rsidRDefault="00024B9A" w:rsidP="002B24C8">
            <w:pPr>
              <w:keepNext/>
              <w:jc w:val="left"/>
              <w:rPr>
                <w:rFonts w:ascii="Arial Narrow" w:hAnsi="Arial Narrow" w:cs="Times New Roman"/>
                <w:bCs/>
                <w:sz w:val="20"/>
              </w:rPr>
            </w:pPr>
            <w:r w:rsidRPr="0099114C">
              <w:rPr>
                <w:rFonts w:ascii="Arial Narrow" w:hAnsi="Arial Narrow" w:cs="Times New Roman"/>
                <w:bCs/>
                <w:sz w:val="20"/>
              </w:rPr>
              <w:t xml:space="preserve">DUSC reiterated that the approach that </w:t>
            </w:r>
            <w:r w:rsidR="00A10FF6" w:rsidRPr="0099114C">
              <w:rPr>
                <w:rFonts w:ascii="Arial Narrow" w:hAnsi="Arial Narrow" w:cs="Times New Roman"/>
                <w:bCs/>
                <w:sz w:val="20"/>
              </w:rPr>
              <w:t>led</w:t>
            </w:r>
            <w:r w:rsidRPr="0099114C">
              <w:rPr>
                <w:rFonts w:ascii="Arial Narrow" w:hAnsi="Arial Narrow" w:cs="Times New Roman"/>
                <w:bCs/>
                <w:sz w:val="20"/>
              </w:rPr>
              <w:t xml:space="preserve"> to the substantial increase in treated patients was incorrect.</w:t>
            </w:r>
          </w:p>
        </w:tc>
      </w:tr>
      <w:tr w:rsidR="00024B9A" w:rsidRPr="0099114C" w14:paraId="61E55F5A" w14:textId="77777777">
        <w:tc>
          <w:tcPr>
            <w:tcW w:w="1340" w:type="dxa"/>
            <w:vAlign w:val="center"/>
          </w:tcPr>
          <w:p w14:paraId="635978CF" w14:textId="77777777" w:rsidR="00024B9A" w:rsidRPr="0099114C" w:rsidRDefault="00024B9A" w:rsidP="002B24C8">
            <w:pPr>
              <w:keepNext/>
              <w:jc w:val="left"/>
              <w:rPr>
                <w:rFonts w:ascii="Arial Narrow" w:hAnsi="Arial Narrow" w:cs="Times New Roman"/>
                <w:bCs/>
                <w:sz w:val="20"/>
              </w:rPr>
            </w:pPr>
            <w:r w:rsidRPr="0099114C">
              <w:rPr>
                <w:rFonts w:ascii="Arial Narrow" w:hAnsi="Arial Narrow" w:cs="Times New Roman"/>
                <w:bCs/>
                <w:sz w:val="20"/>
              </w:rPr>
              <w:t>Scripts dispensed</w:t>
            </w:r>
          </w:p>
        </w:tc>
        <w:tc>
          <w:tcPr>
            <w:tcW w:w="1121" w:type="dxa"/>
            <w:vAlign w:val="center"/>
          </w:tcPr>
          <w:p w14:paraId="7A7C8413" w14:textId="625B7EA6" w:rsidR="00024B9A" w:rsidRPr="00282850" w:rsidRDefault="00024B9A" w:rsidP="002B24C8">
            <w:pPr>
              <w:keepNext/>
              <w:jc w:val="left"/>
              <w:rPr>
                <w:rFonts w:ascii="Arial Narrow" w:hAnsi="Arial Narrow" w:cs="Times New Roman"/>
                <w:bCs/>
                <w:sz w:val="20"/>
              </w:rPr>
            </w:pPr>
            <w:r w:rsidRPr="00282850">
              <w:rPr>
                <w:rFonts w:ascii="Arial Narrow" w:hAnsi="Arial Narrow" w:cs="Times New Roman"/>
                <w:bCs/>
                <w:sz w:val="20"/>
              </w:rPr>
              <w:t xml:space="preserve">Yr 1: </w:t>
            </w:r>
            <w:r w:rsidR="00980C55" w:rsidRPr="00980C55">
              <w:rPr>
                <w:rFonts w:ascii="MS Gothic" w:eastAsia="MS Gothic" w:hAnsi="MS Gothic" w:cs="MS Gothic" w:hint="eastAsia"/>
                <w:color w:val="000000"/>
                <w:w w:val="15"/>
                <w:sz w:val="20"/>
                <w:szCs w:val="20"/>
                <w:shd w:val="solid" w:color="000000" w:fill="000000"/>
                <w:fitText w:val="62" w:id="-961807611"/>
                <w14:textFill>
                  <w14:solidFill>
                    <w14:srgbClr w14:val="000000">
                      <w14:alpha w14:val="100000"/>
                    </w14:srgbClr>
                  </w14:solidFill>
                </w14:textFill>
              </w:rPr>
              <w:t xml:space="preserve">　</w:t>
            </w:r>
            <w:r w:rsidR="00980C55" w:rsidRPr="00980C55">
              <w:rPr>
                <w:rFonts w:ascii="Arial Narrow" w:hAnsi="Arial Narrow"/>
                <w:color w:val="000000"/>
                <w:w w:val="15"/>
                <w:sz w:val="20"/>
                <w:szCs w:val="20"/>
                <w:shd w:val="solid" w:color="000000" w:fill="000000"/>
                <w:fitText w:val="62" w:id="-961807611"/>
                <w14:textFill>
                  <w14:solidFill>
                    <w14:srgbClr w14:val="000000">
                      <w14:alpha w14:val="100000"/>
                    </w14:srgbClr>
                  </w14:solidFill>
                </w14:textFill>
              </w:rPr>
              <w:t>|</w:t>
            </w:r>
            <w:r w:rsidR="00980C55" w:rsidRPr="00980C55">
              <w:rPr>
                <w:rFonts w:ascii="MS Gothic" w:eastAsia="MS Gothic" w:hAnsi="MS Gothic" w:cs="MS Gothic" w:hint="eastAsia"/>
                <w:color w:val="000000"/>
                <w:w w:val="15"/>
                <w:sz w:val="20"/>
                <w:szCs w:val="20"/>
                <w:shd w:val="solid" w:color="000000" w:fill="000000"/>
                <w:fitText w:val="62" w:id="-961807611"/>
                <w14:textFill>
                  <w14:solidFill>
                    <w14:srgbClr w14:val="000000">
                      <w14:alpha w14:val="100000"/>
                    </w14:srgbClr>
                  </w14:solidFill>
                </w14:textFill>
              </w:rPr>
              <w:t xml:space="preserve">　</w:t>
            </w:r>
            <w:r w:rsidR="00980C55" w:rsidRPr="00980C55">
              <w:rPr>
                <w:rFonts w:ascii="Arial Narrow" w:hAnsi="Arial Narrow"/>
                <w:sz w:val="20"/>
                <w:szCs w:val="20"/>
                <w:vertAlign w:val="superscript"/>
              </w:rPr>
              <w:t>1</w:t>
            </w:r>
          </w:p>
          <w:p w14:paraId="15E3B5CE" w14:textId="111E9D53" w:rsidR="00024B9A" w:rsidRPr="00282850" w:rsidRDefault="00024B9A" w:rsidP="002B24C8">
            <w:pPr>
              <w:keepNext/>
              <w:jc w:val="left"/>
              <w:rPr>
                <w:rFonts w:ascii="Arial Narrow" w:hAnsi="Arial Narrow" w:cs="Times New Roman"/>
                <w:bCs/>
                <w:sz w:val="20"/>
              </w:rPr>
            </w:pPr>
            <w:r w:rsidRPr="00282850">
              <w:rPr>
                <w:rFonts w:ascii="Arial Narrow" w:hAnsi="Arial Narrow" w:cs="Times New Roman"/>
                <w:bCs/>
                <w:sz w:val="20"/>
              </w:rPr>
              <w:t xml:space="preserve">Yr 2: </w:t>
            </w:r>
            <w:r w:rsidR="00980C55" w:rsidRPr="00980C55">
              <w:rPr>
                <w:rFonts w:ascii="Arial Narrow" w:hAnsi="Arial Narrow"/>
                <w:color w:val="000000"/>
                <w:spacing w:val="25"/>
                <w:w w:val="15"/>
                <w:sz w:val="20"/>
                <w:szCs w:val="20"/>
                <w:shd w:val="solid" w:color="000000" w:fill="000000"/>
                <w:fitText w:val="62" w:id="-961807611"/>
                <w14:textFill>
                  <w14:solidFill>
                    <w14:srgbClr w14:val="000000">
                      <w14:alpha w14:val="100000"/>
                    </w14:srgbClr>
                  </w14:solidFill>
                </w14:textFill>
              </w:rPr>
              <w:t>|</w:t>
            </w:r>
            <w:r w:rsidR="00980C55" w:rsidRPr="00980C55">
              <w:rPr>
                <w:rFonts w:ascii="MS Gothic" w:eastAsia="MS Gothic" w:hAnsi="MS Gothic" w:cs="MS Gothic" w:hint="eastAsia"/>
                <w:color w:val="000000"/>
                <w:spacing w:val="1"/>
                <w:w w:val="15"/>
                <w:sz w:val="20"/>
                <w:szCs w:val="20"/>
                <w:shd w:val="solid" w:color="000000" w:fill="000000"/>
                <w:fitText w:val="62" w:id="-961807611"/>
                <w14:textFill>
                  <w14:solidFill>
                    <w14:srgbClr w14:val="000000">
                      <w14:alpha w14:val="100000"/>
                    </w14:srgbClr>
                  </w14:solidFill>
                </w14:textFill>
              </w:rPr>
              <w:t xml:space="preserve">　</w:t>
            </w:r>
            <w:r w:rsidR="00980C55">
              <w:rPr>
                <w:rFonts w:ascii="Arial Narrow" w:hAnsi="Arial Narrow"/>
                <w:sz w:val="20"/>
                <w:szCs w:val="20"/>
                <w:vertAlign w:val="superscript"/>
              </w:rPr>
              <w:t>3</w:t>
            </w:r>
          </w:p>
          <w:p w14:paraId="5BC25EB3" w14:textId="43A838AE" w:rsidR="00024B9A" w:rsidRPr="00282850" w:rsidRDefault="00024B9A" w:rsidP="002B24C8">
            <w:pPr>
              <w:keepNext/>
              <w:jc w:val="left"/>
              <w:rPr>
                <w:rFonts w:ascii="Arial Narrow" w:hAnsi="Arial Narrow" w:cs="Times New Roman"/>
                <w:bCs/>
                <w:sz w:val="20"/>
              </w:rPr>
            </w:pPr>
            <w:r w:rsidRPr="00282850">
              <w:rPr>
                <w:rFonts w:ascii="Arial Narrow" w:hAnsi="Arial Narrow" w:cs="Times New Roman"/>
                <w:bCs/>
                <w:sz w:val="20"/>
              </w:rPr>
              <w:t xml:space="preserve">Yr 3: </w:t>
            </w:r>
            <w:r w:rsidR="00980C55" w:rsidRPr="00980C55">
              <w:rPr>
                <w:rFonts w:ascii="Arial Narrow" w:hAnsi="Arial Narrow"/>
                <w:color w:val="000000"/>
                <w:spacing w:val="25"/>
                <w:w w:val="15"/>
                <w:sz w:val="20"/>
                <w:szCs w:val="20"/>
                <w:shd w:val="solid" w:color="000000" w:fill="000000"/>
                <w:fitText w:val="62" w:id="-961807611"/>
                <w14:textFill>
                  <w14:solidFill>
                    <w14:srgbClr w14:val="000000">
                      <w14:alpha w14:val="100000"/>
                    </w14:srgbClr>
                  </w14:solidFill>
                </w14:textFill>
              </w:rPr>
              <w:t>|</w:t>
            </w:r>
            <w:r w:rsidR="00980C55" w:rsidRPr="00980C55">
              <w:rPr>
                <w:rFonts w:ascii="MS Gothic" w:eastAsia="MS Gothic" w:hAnsi="MS Gothic" w:cs="MS Gothic" w:hint="eastAsia"/>
                <w:color w:val="000000"/>
                <w:spacing w:val="1"/>
                <w:w w:val="15"/>
                <w:sz w:val="20"/>
                <w:szCs w:val="20"/>
                <w:shd w:val="solid" w:color="000000" w:fill="000000"/>
                <w:fitText w:val="62" w:id="-961807611"/>
                <w14:textFill>
                  <w14:solidFill>
                    <w14:srgbClr w14:val="000000">
                      <w14:alpha w14:val="100000"/>
                    </w14:srgbClr>
                  </w14:solidFill>
                </w14:textFill>
              </w:rPr>
              <w:t xml:space="preserve">　</w:t>
            </w:r>
            <w:r w:rsidR="00980C55">
              <w:rPr>
                <w:rFonts w:ascii="Arial Narrow" w:hAnsi="Arial Narrow"/>
                <w:sz w:val="20"/>
                <w:szCs w:val="20"/>
                <w:vertAlign w:val="superscript"/>
              </w:rPr>
              <w:t>3</w:t>
            </w:r>
          </w:p>
          <w:p w14:paraId="4AB7E214" w14:textId="7F2F2DBF" w:rsidR="00024B9A" w:rsidRPr="00282850" w:rsidRDefault="00024B9A" w:rsidP="002B24C8">
            <w:pPr>
              <w:keepNext/>
              <w:jc w:val="left"/>
              <w:rPr>
                <w:rFonts w:ascii="Arial Narrow" w:hAnsi="Arial Narrow" w:cs="Times New Roman"/>
                <w:bCs/>
                <w:sz w:val="20"/>
              </w:rPr>
            </w:pPr>
            <w:r w:rsidRPr="00282850">
              <w:rPr>
                <w:rFonts w:ascii="Arial Narrow" w:hAnsi="Arial Narrow" w:cs="Times New Roman"/>
                <w:bCs/>
                <w:sz w:val="20"/>
              </w:rPr>
              <w:t xml:space="preserve">Yr 4: </w:t>
            </w:r>
            <w:r w:rsidR="00980C55" w:rsidRPr="00980C55">
              <w:rPr>
                <w:rFonts w:ascii="Arial Narrow" w:hAnsi="Arial Narrow"/>
                <w:color w:val="000000"/>
                <w:spacing w:val="25"/>
                <w:w w:val="15"/>
                <w:sz w:val="20"/>
                <w:szCs w:val="20"/>
                <w:shd w:val="solid" w:color="000000" w:fill="000000"/>
                <w:fitText w:val="62" w:id="-961807611"/>
                <w14:textFill>
                  <w14:solidFill>
                    <w14:srgbClr w14:val="000000">
                      <w14:alpha w14:val="100000"/>
                    </w14:srgbClr>
                  </w14:solidFill>
                </w14:textFill>
              </w:rPr>
              <w:t>|</w:t>
            </w:r>
            <w:r w:rsidR="00980C55" w:rsidRPr="00980C55">
              <w:rPr>
                <w:rFonts w:ascii="MS Gothic" w:eastAsia="MS Gothic" w:hAnsi="MS Gothic" w:cs="MS Gothic" w:hint="eastAsia"/>
                <w:color w:val="000000"/>
                <w:spacing w:val="1"/>
                <w:w w:val="15"/>
                <w:sz w:val="20"/>
                <w:szCs w:val="20"/>
                <w:shd w:val="solid" w:color="000000" w:fill="000000"/>
                <w:fitText w:val="62" w:id="-961807611"/>
                <w14:textFill>
                  <w14:solidFill>
                    <w14:srgbClr w14:val="000000">
                      <w14:alpha w14:val="100000"/>
                    </w14:srgbClr>
                  </w14:solidFill>
                </w14:textFill>
              </w:rPr>
              <w:t xml:space="preserve">　</w:t>
            </w:r>
            <w:r w:rsidR="00980C55">
              <w:rPr>
                <w:rFonts w:ascii="Arial Narrow" w:hAnsi="Arial Narrow"/>
                <w:sz w:val="20"/>
                <w:szCs w:val="20"/>
                <w:vertAlign w:val="superscript"/>
              </w:rPr>
              <w:t>3</w:t>
            </w:r>
          </w:p>
          <w:p w14:paraId="0B68E612" w14:textId="1A813329" w:rsidR="00024B9A" w:rsidRPr="00282850" w:rsidRDefault="00024B9A" w:rsidP="002B24C8">
            <w:pPr>
              <w:keepNext/>
              <w:jc w:val="left"/>
              <w:rPr>
                <w:rFonts w:ascii="Arial Narrow" w:hAnsi="Arial Narrow" w:cs="Times New Roman"/>
                <w:bCs/>
                <w:sz w:val="20"/>
              </w:rPr>
            </w:pPr>
            <w:r w:rsidRPr="00282850">
              <w:rPr>
                <w:rFonts w:ascii="Arial Narrow" w:hAnsi="Arial Narrow" w:cs="Times New Roman"/>
                <w:bCs/>
                <w:sz w:val="20"/>
              </w:rPr>
              <w:t xml:space="preserve">Yr 5: </w:t>
            </w:r>
            <w:r w:rsidR="00980C55" w:rsidRPr="00980C55">
              <w:rPr>
                <w:rFonts w:ascii="Arial Narrow" w:hAnsi="Arial Narrow"/>
                <w:color w:val="000000"/>
                <w:spacing w:val="25"/>
                <w:w w:val="15"/>
                <w:sz w:val="20"/>
                <w:szCs w:val="20"/>
                <w:shd w:val="solid" w:color="000000" w:fill="000000"/>
                <w:fitText w:val="62" w:id="-961807611"/>
                <w14:textFill>
                  <w14:solidFill>
                    <w14:srgbClr w14:val="000000">
                      <w14:alpha w14:val="100000"/>
                    </w14:srgbClr>
                  </w14:solidFill>
                </w14:textFill>
              </w:rPr>
              <w:t>|</w:t>
            </w:r>
            <w:r w:rsidR="00980C55" w:rsidRPr="00980C55">
              <w:rPr>
                <w:rFonts w:ascii="MS Gothic" w:eastAsia="MS Gothic" w:hAnsi="MS Gothic" w:cs="MS Gothic" w:hint="eastAsia"/>
                <w:color w:val="000000"/>
                <w:spacing w:val="1"/>
                <w:w w:val="15"/>
                <w:sz w:val="20"/>
                <w:szCs w:val="20"/>
                <w:shd w:val="solid" w:color="000000" w:fill="000000"/>
                <w:fitText w:val="62" w:id="-961807611"/>
                <w14:textFill>
                  <w14:solidFill>
                    <w14:srgbClr w14:val="000000">
                      <w14:alpha w14:val="100000"/>
                    </w14:srgbClr>
                  </w14:solidFill>
                </w14:textFill>
              </w:rPr>
              <w:t xml:space="preserve">　</w:t>
            </w:r>
            <w:r w:rsidR="00980C55">
              <w:rPr>
                <w:rFonts w:ascii="Arial Narrow" w:hAnsi="Arial Narrow"/>
                <w:sz w:val="20"/>
                <w:szCs w:val="20"/>
                <w:vertAlign w:val="superscript"/>
              </w:rPr>
              <w:t>3</w:t>
            </w:r>
          </w:p>
          <w:p w14:paraId="524EFAFB" w14:textId="5909072B" w:rsidR="00024B9A" w:rsidRPr="00282850" w:rsidRDefault="00024B9A" w:rsidP="002B24C8">
            <w:pPr>
              <w:keepNext/>
              <w:jc w:val="left"/>
              <w:rPr>
                <w:rFonts w:ascii="Arial Narrow" w:hAnsi="Arial Narrow" w:cs="Times New Roman"/>
                <w:bCs/>
                <w:sz w:val="20"/>
              </w:rPr>
            </w:pPr>
            <w:r w:rsidRPr="00282850">
              <w:rPr>
                <w:rFonts w:ascii="Arial Narrow" w:hAnsi="Arial Narrow" w:cs="Times New Roman"/>
                <w:bCs/>
                <w:sz w:val="20"/>
              </w:rPr>
              <w:t xml:space="preserve">Yr 6: </w:t>
            </w:r>
            <w:r w:rsidR="00980C55" w:rsidRPr="00980C55">
              <w:rPr>
                <w:rFonts w:ascii="Arial Narrow" w:hAnsi="Arial Narrow"/>
                <w:color w:val="000000"/>
                <w:spacing w:val="25"/>
                <w:w w:val="15"/>
                <w:sz w:val="20"/>
                <w:szCs w:val="20"/>
                <w:shd w:val="solid" w:color="000000" w:fill="000000"/>
                <w:fitText w:val="62" w:id="-961807611"/>
                <w14:textFill>
                  <w14:solidFill>
                    <w14:srgbClr w14:val="000000">
                      <w14:alpha w14:val="100000"/>
                    </w14:srgbClr>
                  </w14:solidFill>
                </w14:textFill>
              </w:rPr>
              <w:t>|</w:t>
            </w:r>
            <w:r w:rsidR="00980C55" w:rsidRPr="00980C55">
              <w:rPr>
                <w:rFonts w:ascii="MS Gothic" w:eastAsia="MS Gothic" w:hAnsi="MS Gothic" w:cs="MS Gothic" w:hint="eastAsia"/>
                <w:color w:val="000000"/>
                <w:spacing w:val="1"/>
                <w:w w:val="15"/>
                <w:sz w:val="20"/>
                <w:szCs w:val="20"/>
                <w:shd w:val="solid" w:color="000000" w:fill="000000"/>
                <w:fitText w:val="62" w:id="-961807611"/>
                <w14:textFill>
                  <w14:solidFill>
                    <w14:srgbClr w14:val="000000">
                      <w14:alpha w14:val="100000"/>
                    </w14:srgbClr>
                  </w14:solidFill>
                </w14:textFill>
              </w:rPr>
              <w:t xml:space="preserve">　</w:t>
            </w:r>
            <w:r w:rsidR="00980C55">
              <w:rPr>
                <w:rFonts w:ascii="Arial Narrow" w:hAnsi="Arial Narrow"/>
                <w:sz w:val="20"/>
                <w:szCs w:val="20"/>
                <w:vertAlign w:val="superscript"/>
              </w:rPr>
              <w:t>3</w:t>
            </w:r>
          </w:p>
        </w:tc>
        <w:tc>
          <w:tcPr>
            <w:tcW w:w="1621" w:type="dxa"/>
            <w:vAlign w:val="center"/>
          </w:tcPr>
          <w:p w14:paraId="3AFF6319" w14:textId="77777777" w:rsidR="00024B9A" w:rsidRPr="0099114C" w:rsidRDefault="00024B9A" w:rsidP="002B24C8">
            <w:pPr>
              <w:keepNext/>
              <w:jc w:val="left"/>
              <w:rPr>
                <w:rFonts w:ascii="Arial Narrow" w:hAnsi="Arial Narrow" w:cs="Times New Roman"/>
                <w:bCs/>
                <w:sz w:val="20"/>
              </w:rPr>
            </w:pPr>
            <w:r w:rsidRPr="0099114C">
              <w:rPr>
                <w:rFonts w:ascii="Arial Narrow" w:hAnsi="Arial Narrow" w:cs="Times New Roman"/>
                <w:bCs/>
                <w:sz w:val="20"/>
              </w:rPr>
              <w:t>Calculated based on number treated, assumed duration of treatment and avacopan compliance</w:t>
            </w:r>
          </w:p>
        </w:tc>
        <w:tc>
          <w:tcPr>
            <w:tcW w:w="2292" w:type="dxa"/>
            <w:vAlign w:val="center"/>
          </w:tcPr>
          <w:p w14:paraId="72898FD8" w14:textId="77777777" w:rsidR="00024B9A" w:rsidRPr="0099114C" w:rsidRDefault="00024B9A" w:rsidP="002B24C8">
            <w:pPr>
              <w:keepNext/>
              <w:jc w:val="left"/>
              <w:rPr>
                <w:rFonts w:ascii="Arial Narrow" w:hAnsi="Arial Narrow" w:cs="Times New Roman"/>
                <w:bCs/>
                <w:sz w:val="20"/>
              </w:rPr>
            </w:pPr>
            <w:r w:rsidRPr="0099114C">
              <w:rPr>
                <w:rFonts w:ascii="Arial Narrow" w:hAnsi="Arial Narrow" w:cs="Times New Roman"/>
                <w:bCs/>
                <w:sz w:val="20"/>
              </w:rPr>
              <w:t>This calculation has been verified.</w:t>
            </w:r>
          </w:p>
        </w:tc>
        <w:tc>
          <w:tcPr>
            <w:tcW w:w="2642" w:type="dxa"/>
          </w:tcPr>
          <w:p w14:paraId="2260428A" w14:textId="77777777" w:rsidR="00024B9A" w:rsidRPr="0099114C" w:rsidRDefault="00024B9A" w:rsidP="002B24C8">
            <w:pPr>
              <w:keepNext/>
              <w:jc w:val="left"/>
              <w:rPr>
                <w:rFonts w:ascii="Arial Narrow" w:hAnsi="Arial Narrow" w:cs="Times New Roman"/>
                <w:bCs/>
                <w:sz w:val="20"/>
              </w:rPr>
            </w:pPr>
            <w:r w:rsidRPr="0099114C">
              <w:rPr>
                <w:rFonts w:ascii="Arial Narrow" w:hAnsi="Arial Narrow" w:cs="Times New Roman"/>
                <w:bCs/>
                <w:sz w:val="20"/>
              </w:rPr>
              <w:t>DUSC considered this was reasonable.</w:t>
            </w:r>
          </w:p>
        </w:tc>
      </w:tr>
      <w:tr w:rsidR="00024B9A" w:rsidRPr="0099114C" w14:paraId="65B58FC9" w14:textId="77777777">
        <w:tc>
          <w:tcPr>
            <w:tcW w:w="6374" w:type="dxa"/>
            <w:gridSpan w:val="4"/>
            <w:vAlign w:val="center"/>
          </w:tcPr>
          <w:p w14:paraId="3787FAE1" w14:textId="77777777" w:rsidR="00024B9A" w:rsidRPr="0099114C" w:rsidRDefault="00024B9A" w:rsidP="002B24C8">
            <w:pPr>
              <w:keepNext/>
              <w:jc w:val="left"/>
              <w:rPr>
                <w:rFonts w:ascii="Arial Narrow" w:hAnsi="Arial Narrow" w:cs="Times New Roman"/>
                <w:b/>
                <w:bCs/>
                <w:sz w:val="20"/>
              </w:rPr>
            </w:pPr>
            <w:r w:rsidRPr="0099114C">
              <w:rPr>
                <w:rFonts w:ascii="Arial Narrow" w:hAnsi="Arial Narrow" w:cs="Times New Roman"/>
                <w:b/>
                <w:bCs/>
                <w:sz w:val="20"/>
              </w:rPr>
              <w:t>Costs</w:t>
            </w:r>
          </w:p>
        </w:tc>
        <w:tc>
          <w:tcPr>
            <w:tcW w:w="2642" w:type="dxa"/>
          </w:tcPr>
          <w:p w14:paraId="76B054E3" w14:textId="77777777" w:rsidR="00024B9A" w:rsidRPr="0099114C" w:rsidRDefault="00024B9A" w:rsidP="002B24C8">
            <w:pPr>
              <w:keepNext/>
              <w:jc w:val="left"/>
              <w:rPr>
                <w:rFonts w:ascii="Arial Narrow" w:hAnsi="Arial Narrow" w:cs="Times New Roman"/>
                <w:b/>
                <w:bCs/>
                <w:sz w:val="20"/>
              </w:rPr>
            </w:pPr>
          </w:p>
        </w:tc>
      </w:tr>
      <w:tr w:rsidR="00024B9A" w:rsidRPr="0099114C" w14:paraId="386E41EB" w14:textId="77777777">
        <w:tc>
          <w:tcPr>
            <w:tcW w:w="1340" w:type="dxa"/>
            <w:vAlign w:val="center"/>
          </w:tcPr>
          <w:p w14:paraId="6CF406CD" w14:textId="77777777" w:rsidR="00024B9A" w:rsidRPr="0099114C" w:rsidRDefault="00024B9A" w:rsidP="002B24C8">
            <w:pPr>
              <w:keepNext/>
              <w:jc w:val="left"/>
              <w:rPr>
                <w:rFonts w:ascii="Arial Narrow" w:hAnsi="Arial Narrow" w:cs="Times New Roman"/>
                <w:bCs/>
                <w:sz w:val="20"/>
              </w:rPr>
            </w:pPr>
            <w:r w:rsidRPr="0099114C">
              <w:rPr>
                <w:rFonts w:ascii="Arial Narrow" w:hAnsi="Arial Narrow" w:cs="Times New Roman"/>
                <w:bCs/>
                <w:sz w:val="20"/>
              </w:rPr>
              <w:t>Proposed medicine (effective)</w:t>
            </w:r>
          </w:p>
        </w:tc>
        <w:tc>
          <w:tcPr>
            <w:tcW w:w="1121" w:type="dxa"/>
            <w:vAlign w:val="center"/>
          </w:tcPr>
          <w:p w14:paraId="68B5C76D" w14:textId="00EBBD75" w:rsidR="00024B9A" w:rsidRPr="0099114C" w:rsidRDefault="00024B9A" w:rsidP="002B24C8">
            <w:pPr>
              <w:keepNext/>
              <w:jc w:val="left"/>
              <w:rPr>
                <w:rFonts w:ascii="Arial Narrow" w:hAnsi="Arial Narrow" w:cs="Times New Roman"/>
                <w:bCs/>
                <w:sz w:val="20"/>
              </w:rPr>
            </w:pPr>
            <w:r w:rsidRPr="0099114C">
              <w:rPr>
                <w:rFonts w:ascii="Arial Narrow" w:hAnsi="Arial Narrow" w:cs="Times New Roman"/>
                <w:bCs/>
                <w:sz w:val="20"/>
              </w:rPr>
              <w:t>AEMP $</w:t>
            </w:r>
            <w:r w:rsidR="005F1F42" w:rsidRPr="005F1F42">
              <w:rPr>
                <w:rFonts w:ascii="Arial Narrow" w:hAnsi="Arial Narrow" w:cs="Times New Roman"/>
                <w:bCs/>
                <w:color w:val="000000"/>
                <w:spacing w:val="51"/>
                <w:sz w:val="20"/>
                <w:shd w:val="solid" w:color="000000" w:fill="000000"/>
                <w:fitText w:val="325" w:id="-961807615"/>
                <w14:textFill>
                  <w14:solidFill>
                    <w14:srgbClr w14:val="000000">
                      <w14:alpha w14:val="100000"/>
                    </w14:srgbClr>
                  </w14:solidFill>
                </w14:textFill>
              </w:rPr>
              <w:t>|||</w:t>
            </w:r>
            <w:r w:rsidR="005F1F42" w:rsidRPr="005F1F42">
              <w:rPr>
                <w:rFonts w:ascii="Arial Narrow" w:hAnsi="Arial Narrow" w:cs="Times New Roman"/>
                <w:bCs/>
                <w:color w:val="000000"/>
                <w:spacing w:val="2"/>
                <w:sz w:val="20"/>
                <w:shd w:val="solid" w:color="000000" w:fill="000000"/>
                <w:fitText w:val="325" w:id="-961807615"/>
                <w14:textFill>
                  <w14:solidFill>
                    <w14:srgbClr w14:val="000000">
                      <w14:alpha w14:val="100000"/>
                    </w14:srgbClr>
                  </w14:solidFill>
                </w14:textFill>
              </w:rPr>
              <w:t>|</w:t>
            </w:r>
          </w:p>
          <w:p w14:paraId="20B0A29A" w14:textId="49344084" w:rsidR="00024B9A" w:rsidRPr="0099114C" w:rsidRDefault="00024B9A" w:rsidP="002B24C8">
            <w:pPr>
              <w:keepNext/>
              <w:jc w:val="left"/>
              <w:rPr>
                <w:rFonts w:ascii="Arial Narrow" w:hAnsi="Arial Narrow" w:cs="Times New Roman"/>
                <w:bCs/>
                <w:sz w:val="20"/>
              </w:rPr>
            </w:pPr>
            <w:r w:rsidRPr="0099114C">
              <w:rPr>
                <w:rFonts w:ascii="Arial Narrow" w:hAnsi="Arial Narrow" w:cs="Times New Roman"/>
                <w:bCs/>
                <w:sz w:val="20"/>
              </w:rPr>
              <w:t>DPMQ $</w:t>
            </w:r>
            <w:r w:rsidR="005F1F42" w:rsidRPr="005F1F42">
              <w:rPr>
                <w:rFonts w:ascii="Arial Narrow" w:hAnsi="Arial Narrow" w:cs="Times New Roman"/>
                <w:bCs/>
                <w:color w:val="000000"/>
                <w:spacing w:val="51"/>
                <w:sz w:val="20"/>
                <w:shd w:val="solid" w:color="000000" w:fill="000000"/>
                <w:fitText w:val="325" w:id="-961807614"/>
                <w14:textFill>
                  <w14:solidFill>
                    <w14:srgbClr w14:val="000000">
                      <w14:alpha w14:val="100000"/>
                    </w14:srgbClr>
                  </w14:solidFill>
                </w14:textFill>
              </w:rPr>
              <w:t>|||</w:t>
            </w:r>
            <w:r w:rsidR="005F1F42" w:rsidRPr="005F1F42">
              <w:rPr>
                <w:rFonts w:ascii="Arial Narrow" w:hAnsi="Arial Narrow" w:cs="Times New Roman"/>
                <w:bCs/>
                <w:color w:val="000000"/>
                <w:spacing w:val="2"/>
                <w:sz w:val="20"/>
                <w:shd w:val="solid" w:color="000000" w:fill="000000"/>
                <w:fitText w:val="325" w:id="-961807614"/>
                <w14:textFill>
                  <w14:solidFill>
                    <w14:srgbClr w14:val="000000">
                      <w14:alpha w14:val="100000"/>
                    </w14:srgbClr>
                  </w14:solidFill>
                </w14:textFill>
              </w:rPr>
              <w:t>|</w:t>
            </w:r>
          </w:p>
        </w:tc>
        <w:tc>
          <w:tcPr>
            <w:tcW w:w="1621" w:type="dxa"/>
            <w:vAlign w:val="center"/>
          </w:tcPr>
          <w:p w14:paraId="335AA70B" w14:textId="77777777" w:rsidR="00024B9A" w:rsidRPr="0099114C" w:rsidRDefault="00024B9A" w:rsidP="002B24C8">
            <w:pPr>
              <w:keepNext/>
              <w:jc w:val="left"/>
              <w:rPr>
                <w:rFonts w:ascii="Arial Narrow" w:hAnsi="Arial Narrow" w:cs="Times New Roman"/>
                <w:bCs/>
                <w:sz w:val="20"/>
              </w:rPr>
            </w:pPr>
            <w:r w:rsidRPr="0099114C">
              <w:rPr>
                <w:rFonts w:ascii="Arial Narrow" w:hAnsi="Arial Narrow" w:cs="Times New Roman"/>
                <w:bCs/>
                <w:sz w:val="20"/>
              </w:rPr>
              <w:t>Effective AEMP</w:t>
            </w:r>
          </w:p>
        </w:tc>
        <w:tc>
          <w:tcPr>
            <w:tcW w:w="2292" w:type="dxa"/>
            <w:vAlign w:val="center"/>
          </w:tcPr>
          <w:p w14:paraId="37C71435" w14:textId="634FD485" w:rsidR="00024B9A" w:rsidRPr="0099114C" w:rsidRDefault="00024B9A" w:rsidP="002B24C8">
            <w:pPr>
              <w:keepNext/>
              <w:jc w:val="left"/>
              <w:rPr>
                <w:rFonts w:ascii="Arial Narrow" w:hAnsi="Arial Narrow" w:cs="Times New Roman"/>
                <w:bCs/>
                <w:sz w:val="20"/>
              </w:rPr>
            </w:pPr>
            <w:r w:rsidRPr="0099114C">
              <w:rPr>
                <w:rFonts w:ascii="Arial Narrow" w:hAnsi="Arial Narrow" w:cs="Times New Roman"/>
                <w:bCs/>
                <w:sz w:val="20"/>
              </w:rPr>
              <w:t xml:space="preserve">The revised effective AEMP represents </w:t>
            </w:r>
            <w:r w:rsidRPr="00BE21CE">
              <w:rPr>
                <w:rFonts w:ascii="Arial Narrow" w:hAnsi="Arial Narrow" w:cs="Times New Roman"/>
                <w:bCs/>
                <w:sz w:val="20"/>
              </w:rPr>
              <w:t xml:space="preserve">a </w:t>
            </w:r>
            <w:r w:rsidR="005F1F42" w:rsidRPr="005F1F42">
              <w:rPr>
                <w:rFonts w:ascii="Arial Narrow" w:hAnsi="Arial Narrow" w:cs="Times New Roman"/>
                <w:color w:val="000000"/>
                <w:spacing w:val="51"/>
                <w:sz w:val="20"/>
                <w:shd w:val="solid" w:color="000000" w:fill="000000"/>
                <w:fitText w:val="326" w:id="-961807613"/>
                <w14:textFill>
                  <w14:solidFill>
                    <w14:srgbClr w14:val="000000">
                      <w14:alpha w14:val="100000"/>
                    </w14:srgbClr>
                  </w14:solidFill>
                </w14:textFill>
              </w:rPr>
              <w:t>|||</w:t>
            </w:r>
            <w:r w:rsidR="005F1F42" w:rsidRPr="005F1F42">
              <w:rPr>
                <w:rFonts w:ascii="Arial Narrow" w:hAnsi="Arial Narrow" w:cs="Times New Roman"/>
                <w:color w:val="000000"/>
                <w:spacing w:val="3"/>
                <w:sz w:val="20"/>
                <w:shd w:val="solid" w:color="000000" w:fill="000000"/>
                <w:fitText w:val="326" w:id="-961807613"/>
                <w14:textFill>
                  <w14:solidFill>
                    <w14:srgbClr w14:val="000000">
                      <w14:alpha w14:val="100000"/>
                    </w14:srgbClr>
                  </w14:solidFill>
                </w14:textFill>
              </w:rPr>
              <w:t>|</w:t>
            </w:r>
            <w:r w:rsidRPr="00BE21CE">
              <w:rPr>
                <w:rFonts w:ascii="Arial Narrow" w:hAnsi="Arial Narrow" w:cs="Times New Roman"/>
                <w:sz w:val="20"/>
              </w:rPr>
              <w:t>%</w:t>
            </w:r>
            <w:r w:rsidRPr="0099114C">
              <w:rPr>
                <w:rFonts w:ascii="Arial Narrow" w:hAnsi="Arial Narrow" w:cs="Times New Roman"/>
                <w:bCs/>
                <w:sz w:val="20"/>
              </w:rPr>
              <w:t xml:space="preserve"> reduction from the July 2023 effective AEMP.</w:t>
            </w:r>
          </w:p>
        </w:tc>
        <w:tc>
          <w:tcPr>
            <w:tcW w:w="2642" w:type="dxa"/>
          </w:tcPr>
          <w:p w14:paraId="6B5F0C78" w14:textId="77777777" w:rsidR="00024B9A" w:rsidRPr="0099114C" w:rsidRDefault="00024B9A" w:rsidP="002B24C8">
            <w:pPr>
              <w:keepNext/>
              <w:jc w:val="left"/>
              <w:rPr>
                <w:rFonts w:ascii="Arial Narrow" w:hAnsi="Arial Narrow" w:cs="Times New Roman"/>
                <w:bCs/>
                <w:sz w:val="20"/>
              </w:rPr>
            </w:pPr>
          </w:p>
        </w:tc>
      </w:tr>
      <w:tr w:rsidR="00024B9A" w:rsidRPr="0099114C" w14:paraId="51563191" w14:textId="77777777">
        <w:tc>
          <w:tcPr>
            <w:tcW w:w="1340" w:type="dxa"/>
            <w:vAlign w:val="center"/>
          </w:tcPr>
          <w:p w14:paraId="78E3A49E" w14:textId="77777777" w:rsidR="00024B9A" w:rsidRPr="0099114C" w:rsidRDefault="00024B9A" w:rsidP="002B24C8">
            <w:pPr>
              <w:keepNext/>
              <w:jc w:val="left"/>
              <w:rPr>
                <w:rFonts w:ascii="Arial Narrow" w:hAnsi="Arial Narrow" w:cs="Times New Roman"/>
                <w:bCs/>
                <w:sz w:val="20"/>
              </w:rPr>
            </w:pPr>
            <w:r w:rsidRPr="0099114C">
              <w:rPr>
                <w:rFonts w:ascii="Arial Narrow" w:hAnsi="Arial Narrow" w:cs="Times New Roman"/>
                <w:bCs/>
                <w:sz w:val="20"/>
              </w:rPr>
              <w:t>Comparator (prednisone)</w:t>
            </w:r>
          </w:p>
        </w:tc>
        <w:tc>
          <w:tcPr>
            <w:tcW w:w="1121" w:type="dxa"/>
            <w:vAlign w:val="center"/>
          </w:tcPr>
          <w:p w14:paraId="502F2FD8" w14:textId="77777777" w:rsidR="00024B9A" w:rsidRPr="0099114C" w:rsidRDefault="00024B9A" w:rsidP="002B24C8">
            <w:pPr>
              <w:widowControl w:val="0"/>
              <w:jc w:val="left"/>
              <w:rPr>
                <w:rFonts w:ascii="Arial Narrow" w:hAnsi="Arial Narrow" w:cs="Times New Roman"/>
                <w:bCs/>
                <w:sz w:val="20"/>
              </w:rPr>
            </w:pPr>
            <w:r w:rsidRPr="0099114C">
              <w:rPr>
                <w:rFonts w:ascii="Arial Narrow" w:hAnsi="Arial Narrow" w:cs="Times New Roman"/>
                <w:bCs/>
                <w:sz w:val="20"/>
              </w:rPr>
              <w:t xml:space="preserve">1 mg: $15.38 </w:t>
            </w:r>
            <w:r w:rsidRPr="0099114C">
              <w:rPr>
                <w:rFonts w:ascii="Arial Narrow" w:hAnsi="Arial Narrow" w:cs="Times New Roman"/>
                <w:bCs/>
                <w:sz w:val="20"/>
                <w:vertAlign w:val="superscript"/>
              </w:rPr>
              <w:t>a</w:t>
            </w:r>
          </w:p>
          <w:p w14:paraId="3D4B416B" w14:textId="77777777" w:rsidR="00024B9A" w:rsidRPr="0099114C" w:rsidRDefault="00024B9A" w:rsidP="002B24C8">
            <w:pPr>
              <w:widowControl w:val="0"/>
              <w:jc w:val="left"/>
              <w:rPr>
                <w:rFonts w:ascii="Arial Narrow" w:hAnsi="Arial Narrow" w:cs="Times New Roman"/>
                <w:bCs/>
                <w:sz w:val="20"/>
              </w:rPr>
            </w:pPr>
            <w:r w:rsidRPr="0099114C">
              <w:rPr>
                <w:rFonts w:ascii="Arial Narrow" w:hAnsi="Arial Narrow" w:cs="Times New Roman"/>
                <w:bCs/>
                <w:sz w:val="20"/>
              </w:rPr>
              <w:t xml:space="preserve">5 mg: $15.76 </w:t>
            </w:r>
            <w:r w:rsidRPr="0099114C">
              <w:rPr>
                <w:rFonts w:ascii="Arial Narrow" w:hAnsi="Arial Narrow" w:cs="Times New Roman"/>
                <w:bCs/>
                <w:sz w:val="20"/>
                <w:vertAlign w:val="superscript"/>
              </w:rPr>
              <w:t>a</w:t>
            </w:r>
          </w:p>
          <w:p w14:paraId="0B197872" w14:textId="77777777" w:rsidR="00024B9A" w:rsidRPr="0099114C" w:rsidRDefault="00024B9A" w:rsidP="002B24C8">
            <w:pPr>
              <w:keepNext/>
              <w:jc w:val="left"/>
              <w:rPr>
                <w:rFonts w:ascii="Arial Narrow" w:hAnsi="Arial Narrow" w:cs="Times New Roman"/>
                <w:bCs/>
                <w:sz w:val="20"/>
              </w:rPr>
            </w:pPr>
            <w:r w:rsidRPr="0099114C">
              <w:rPr>
                <w:rFonts w:ascii="Arial Narrow" w:hAnsi="Arial Narrow" w:cs="Times New Roman"/>
                <w:bCs/>
                <w:sz w:val="20"/>
              </w:rPr>
              <w:t xml:space="preserve">25 mg: $16.59 </w:t>
            </w:r>
            <w:r w:rsidRPr="0099114C">
              <w:rPr>
                <w:rFonts w:ascii="Arial Narrow" w:hAnsi="Arial Narrow" w:cs="Times New Roman"/>
                <w:bCs/>
                <w:sz w:val="20"/>
                <w:vertAlign w:val="superscript"/>
              </w:rPr>
              <w:t>a</w:t>
            </w:r>
          </w:p>
        </w:tc>
        <w:tc>
          <w:tcPr>
            <w:tcW w:w="1621" w:type="dxa"/>
            <w:vAlign w:val="center"/>
          </w:tcPr>
          <w:p w14:paraId="6B2E6755" w14:textId="77777777" w:rsidR="00024B9A" w:rsidRPr="0099114C" w:rsidRDefault="00024B9A" w:rsidP="002B24C8">
            <w:pPr>
              <w:keepNext/>
              <w:jc w:val="left"/>
              <w:rPr>
                <w:rFonts w:ascii="Arial Narrow" w:hAnsi="Arial Narrow" w:cs="Times New Roman"/>
                <w:bCs/>
                <w:sz w:val="20"/>
              </w:rPr>
            </w:pPr>
            <w:r w:rsidRPr="0099114C">
              <w:rPr>
                <w:rFonts w:ascii="Arial Narrow" w:hAnsi="Arial Narrow" w:cs="Times New Roman"/>
                <w:bCs/>
                <w:sz w:val="20"/>
              </w:rPr>
              <w:t>PBS item numbers: 1934T, 1935W, 1936X</w:t>
            </w:r>
          </w:p>
        </w:tc>
        <w:tc>
          <w:tcPr>
            <w:tcW w:w="2292" w:type="dxa"/>
            <w:vAlign w:val="center"/>
          </w:tcPr>
          <w:p w14:paraId="6E3F1160" w14:textId="77777777" w:rsidR="00024B9A" w:rsidRPr="0099114C" w:rsidRDefault="00024B9A" w:rsidP="002B24C8">
            <w:pPr>
              <w:keepNext/>
              <w:jc w:val="left"/>
              <w:rPr>
                <w:rFonts w:ascii="Arial Narrow" w:hAnsi="Arial Narrow" w:cs="Times New Roman"/>
                <w:bCs/>
                <w:sz w:val="20"/>
              </w:rPr>
            </w:pPr>
            <w:r w:rsidRPr="0099114C">
              <w:rPr>
                <w:rFonts w:ascii="Arial Narrow" w:hAnsi="Arial Narrow" w:cs="Times New Roman"/>
                <w:bCs/>
                <w:sz w:val="20"/>
              </w:rPr>
              <w:t>This is appropriate</w:t>
            </w:r>
          </w:p>
        </w:tc>
        <w:tc>
          <w:tcPr>
            <w:tcW w:w="2642" w:type="dxa"/>
          </w:tcPr>
          <w:p w14:paraId="048A867E" w14:textId="77777777" w:rsidR="00024B9A" w:rsidRPr="0099114C" w:rsidRDefault="00024B9A" w:rsidP="002B24C8">
            <w:pPr>
              <w:keepNext/>
              <w:jc w:val="left"/>
              <w:rPr>
                <w:rFonts w:ascii="Arial Narrow" w:hAnsi="Arial Narrow" w:cs="Times New Roman"/>
                <w:bCs/>
                <w:sz w:val="20"/>
              </w:rPr>
            </w:pPr>
            <w:r w:rsidRPr="0099114C">
              <w:rPr>
                <w:rFonts w:ascii="Arial Narrow" w:hAnsi="Arial Narrow" w:cs="Times New Roman"/>
                <w:bCs/>
                <w:sz w:val="20"/>
              </w:rPr>
              <w:t>DUSC considered this was reasonable.</w:t>
            </w:r>
          </w:p>
        </w:tc>
      </w:tr>
      <w:tr w:rsidR="00024B9A" w:rsidRPr="0099114C" w14:paraId="58F1DF2C" w14:textId="77777777" w:rsidTr="002B24C8">
        <w:trPr>
          <w:cantSplit/>
        </w:trPr>
        <w:tc>
          <w:tcPr>
            <w:tcW w:w="1340" w:type="dxa"/>
            <w:vAlign w:val="center"/>
          </w:tcPr>
          <w:p w14:paraId="72B85E71" w14:textId="77777777" w:rsidR="00024B9A" w:rsidRPr="0099114C" w:rsidRDefault="00024B9A" w:rsidP="002B24C8">
            <w:pPr>
              <w:keepNext/>
              <w:keepLines/>
              <w:jc w:val="left"/>
              <w:rPr>
                <w:rFonts w:ascii="Arial Narrow" w:hAnsi="Arial Narrow" w:cs="Times New Roman"/>
                <w:bCs/>
                <w:sz w:val="20"/>
              </w:rPr>
            </w:pPr>
            <w:r w:rsidRPr="0099114C">
              <w:rPr>
                <w:rFonts w:ascii="Arial Narrow" w:hAnsi="Arial Narrow" w:cs="Times New Roman"/>
                <w:bCs/>
                <w:sz w:val="20"/>
              </w:rPr>
              <w:t>Patient copayment for avacopan</w:t>
            </w:r>
          </w:p>
        </w:tc>
        <w:tc>
          <w:tcPr>
            <w:tcW w:w="1121" w:type="dxa"/>
            <w:vAlign w:val="center"/>
          </w:tcPr>
          <w:p w14:paraId="260BFBEE" w14:textId="77777777" w:rsidR="00024B9A" w:rsidRPr="0099114C" w:rsidRDefault="00024B9A" w:rsidP="002B24C8">
            <w:pPr>
              <w:keepNext/>
              <w:keepLines/>
              <w:jc w:val="left"/>
              <w:rPr>
                <w:rFonts w:ascii="Arial Narrow" w:hAnsi="Arial Narrow" w:cs="Times New Roman"/>
                <w:bCs/>
                <w:sz w:val="20"/>
              </w:rPr>
            </w:pPr>
            <w:r w:rsidRPr="0099114C">
              <w:rPr>
                <w:rFonts w:ascii="Arial Narrow" w:hAnsi="Arial Narrow" w:cs="Times New Roman"/>
                <w:bCs/>
                <w:sz w:val="20"/>
              </w:rPr>
              <w:t>PBS $27.71</w:t>
            </w:r>
          </w:p>
          <w:p w14:paraId="34CC9C13" w14:textId="77777777" w:rsidR="00024B9A" w:rsidRPr="0099114C" w:rsidRDefault="00024B9A" w:rsidP="002B24C8">
            <w:pPr>
              <w:keepNext/>
              <w:keepLines/>
              <w:jc w:val="left"/>
              <w:rPr>
                <w:rFonts w:ascii="Arial Narrow" w:hAnsi="Arial Narrow" w:cs="Times New Roman"/>
                <w:bCs/>
                <w:sz w:val="20"/>
              </w:rPr>
            </w:pPr>
            <w:r w:rsidRPr="0099114C">
              <w:rPr>
                <w:rFonts w:ascii="Arial Narrow" w:hAnsi="Arial Narrow" w:cs="Times New Roman"/>
                <w:bCs/>
                <w:sz w:val="20"/>
              </w:rPr>
              <w:t>RPBS $6.60</w:t>
            </w:r>
          </w:p>
        </w:tc>
        <w:tc>
          <w:tcPr>
            <w:tcW w:w="1621" w:type="dxa"/>
            <w:vAlign w:val="center"/>
          </w:tcPr>
          <w:p w14:paraId="288C4ABD" w14:textId="77777777" w:rsidR="00024B9A" w:rsidRPr="0099114C" w:rsidRDefault="00024B9A" w:rsidP="002B24C8">
            <w:pPr>
              <w:keepNext/>
              <w:keepLines/>
              <w:jc w:val="left"/>
              <w:rPr>
                <w:rFonts w:ascii="Arial Narrow" w:hAnsi="Arial Narrow" w:cs="Times New Roman"/>
                <w:bCs/>
                <w:sz w:val="20"/>
              </w:rPr>
            </w:pPr>
            <w:r w:rsidRPr="0099114C">
              <w:rPr>
                <w:rFonts w:ascii="Arial Narrow" w:hAnsi="Arial Narrow" w:cs="Times New Roman"/>
                <w:bCs/>
                <w:sz w:val="20"/>
              </w:rPr>
              <w:t>PBS statistics for rituximab (13101M, 13095F)</w:t>
            </w:r>
          </w:p>
        </w:tc>
        <w:tc>
          <w:tcPr>
            <w:tcW w:w="2292" w:type="dxa"/>
            <w:vAlign w:val="center"/>
          </w:tcPr>
          <w:p w14:paraId="291BF33A" w14:textId="77777777" w:rsidR="00024B9A" w:rsidRPr="0099114C" w:rsidRDefault="00024B9A" w:rsidP="002B24C8">
            <w:pPr>
              <w:keepNext/>
              <w:keepLines/>
              <w:jc w:val="left"/>
              <w:rPr>
                <w:rFonts w:ascii="Arial Narrow" w:hAnsi="Arial Narrow" w:cs="Times New Roman"/>
                <w:bCs/>
                <w:sz w:val="20"/>
              </w:rPr>
            </w:pPr>
            <w:r w:rsidRPr="0099114C">
              <w:rPr>
                <w:rFonts w:ascii="Arial Narrow" w:hAnsi="Arial Narrow" w:cs="Times New Roman"/>
                <w:bCs/>
                <w:sz w:val="20"/>
              </w:rPr>
              <w:t xml:space="preserve">The copayment for avacopan on the PBS has been updated from the </w:t>
            </w:r>
            <w:r w:rsidRPr="0099114C">
              <w:rPr>
                <w:rFonts w:ascii="Arial Narrow" w:hAnsi="Arial Narrow" w:cs="Times New Roman"/>
                <w:bCs/>
                <w:sz w:val="20"/>
              </w:rPr>
              <w:lastRenderedPageBreak/>
              <w:t xml:space="preserve">previous submission and appears to reflect 1 January 2023 rates weighted by rituximab use by general patients and concession. </w:t>
            </w:r>
          </w:p>
        </w:tc>
        <w:tc>
          <w:tcPr>
            <w:tcW w:w="2642" w:type="dxa"/>
          </w:tcPr>
          <w:p w14:paraId="304EC53F" w14:textId="77777777" w:rsidR="00024B9A" w:rsidRPr="0099114C" w:rsidRDefault="00024B9A" w:rsidP="002B24C8">
            <w:pPr>
              <w:keepNext/>
              <w:keepLines/>
              <w:jc w:val="left"/>
              <w:rPr>
                <w:rFonts w:ascii="Arial Narrow" w:hAnsi="Arial Narrow" w:cs="Times New Roman"/>
                <w:bCs/>
                <w:sz w:val="20"/>
              </w:rPr>
            </w:pPr>
            <w:r w:rsidRPr="0099114C">
              <w:rPr>
                <w:rFonts w:ascii="Arial Narrow" w:hAnsi="Arial Narrow" w:cs="Times New Roman"/>
                <w:bCs/>
                <w:sz w:val="20"/>
              </w:rPr>
              <w:lastRenderedPageBreak/>
              <w:t xml:space="preserve">DUSC noted that the PBS copayments from 1 January 2024 were $31.60 for General </w:t>
            </w:r>
            <w:r w:rsidRPr="0099114C">
              <w:rPr>
                <w:rFonts w:ascii="Arial Narrow" w:hAnsi="Arial Narrow" w:cs="Times New Roman"/>
                <w:bCs/>
                <w:sz w:val="20"/>
              </w:rPr>
              <w:lastRenderedPageBreak/>
              <w:t xml:space="preserve">and $7.70 for Concessional services. </w:t>
            </w:r>
          </w:p>
        </w:tc>
      </w:tr>
    </w:tbl>
    <w:p w14:paraId="520B7A4B" w14:textId="129C4768" w:rsidR="00024B9A" w:rsidRPr="0099114C" w:rsidRDefault="00024B9A" w:rsidP="00024B9A">
      <w:pPr>
        <w:spacing w:after="120"/>
        <w:contextualSpacing/>
        <w:rPr>
          <w:rFonts w:ascii="Arial Narrow" w:hAnsi="Arial Narrow"/>
          <w:sz w:val="18"/>
          <w:szCs w:val="22"/>
        </w:rPr>
      </w:pPr>
      <w:r w:rsidRPr="0099114C">
        <w:rPr>
          <w:rFonts w:ascii="Arial Narrow" w:hAnsi="Arial Narrow"/>
          <w:sz w:val="18"/>
          <w:szCs w:val="22"/>
        </w:rPr>
        <w:lastRenderedPageBreak/>
        <w:t xml:space="preserve">Source: Compiled during the evaluation based on information sourced from Section 4.1, 4.2 and 4.3 of the submission. </w:t>
      </w:r>
    </w:p>
    <w:p w14:paraId="1D5F6AE3" w14:textId="6AEB1FEB" w:rsidR="00024B9A" w:rsidRPr="0099114C" w:rsidRDefault="00024B9A" w:rsidP="00024B9A">
      <w:pPr>
        <w:spacing w:after="120"/>
        <w:contextualSpacing/>
        <w:rPr>
          <w:rFonts w:ascii="Arial Narrow" w:hAnsi="Arial Narrow"/>
          <w:sz w:val="18"/>
          <w:szCs w:val="22"/>
        </w:rPr>
      </w:pPr>
      <w:r w:rsidRPr="0099114C">
        <w:rPr>
          <w:rFonts w:ascii="Arial Narrow" w:hAnsi="Arial Narrow"/>
          <w:sz w:val="18"/>
          <w:szCs w:val="22"/>
        </w:rPr>
        <w:t>Abbreviations: AEMP, approved ex-manufacturer price; DPMQ, Dispensed Price for Maximum Quantity; DUSC, Drug Utilisation Sub Committee; GPA, granulomatosis polyangiitis; MPA, microscopic polyangiitis; PBAC, Pharmaceutical Benefits Advisory Committee PBS, Pharmaceutical Benefits Scheme; PSD, public summary document; RPBS, Repatriation Pharmaceutical Benefits Scheme; QHAPDC, Queensland Hospital Admitted Patient Data Collection</w:t>
      </w:r>
    </w:p>
    <w:p w14:paraId="70943F8F" w14:textId="77777777" w:rsidR="00024B9A" w:rsidRPr="0099114C" w:rsidRDefault="00024B9A" w:rsidP="00024B9A">
      <w:pPr>
        <w:spacing w:after="120"/>
        <w:contextualSpacing/>
        <w:rPr>
          <w:rFonts w:ascii="Arial Narrow" w:hAnsi="Arial Narrow"/>
          <w:sz w:val="18"/>
          <w:szCs w:val="22"/>
        </w:rPr>
      </w:pPr>
      <w:r w:rsidRPr="0099114C">
        <w:rPr>
          <w:rFonts w:ascii="Arial Narrow" w:hAnsi="Arial Narrow"/>
          <w:sz w:val="18"/>
          <w:szCs w:val="22"/>
        </w:rPr>
        <w:t>a DPMQ prices</w:t>
      </w:r>
    </w:p>
    <w:p w14:paraId="5CC46D61" w14:textId="13C2160E" w:rsidR="00024B9A" w:rsidRDefault="00024B9A" w:rsidP="002103A2">
      <w:pPr>
        <w:contextualSpacing/>
        <w:rPr>
          <w:rFonts w:ascii="Arial Narrow" w:hAnsi="Arial Narrow"/>
          <w:sz w:val="18"/>
          <w:szCs w:val="22"/>
        </w:rPr>
      </w:pPr>
      <w:r w:rsidRPr="0099114C">
        <w:rPr>
          <w:rFonts w:ascii="Arial Narrow" w:hAnsi="Arial Narrow"/>
          <w:sz w:val="18"/>
          <w:szCs w:val="22"/>
          <w:shd w:val="clear" w:color="auto" w:fill="8EAADB"/>
        </w:rPr>
        <w:t>Blue shading</w:t>
      </w:r>
      <w:r w:rsidRPr="0099114C">
        <w:rPr>
          <w:rFonts w:ascii="Arial Narrow" w:hAnsi="Arial Narrow"/>
          <w:sz w:val="18"/>
          <w:szCs w:val="22"/>
        </w:rPr>
        <w:t xml:space="preserve"> indicates data previously seen by the PBAC</w:t>
      </w:r>
      <w:r w:rsidR="0099114C">
        <w:rPr>
          <w:rFonts w:ascii="Arial Narrow" w:hAnsi="Arial Narrow"/>
          <w:sz w:val="18"/>
          <w:szCs w:val="22"/>
        </w:rPr>
        <w:t xml:space="preserve">. </w:t>
      </w:r>
    </w:p>
    <w:p w14:paraId="56E7E8DF" w14:textId="77777777" w:rsidR="002103A2" w:rsidRPr="009E5CCE" w:rsidRDefault="002103A2" w:rsidP="002103A2">
      <w:pPr>
        <w:pStyle w:val="FooterTableFigure"/>
        <w:keepNext/>
        <w:rPr>
          <w:i/>
          <w:iCs/>
        </w:rPr>
      </w:pPr>
      <w:r w:rsidRPr="009E5CCE">
        <w:rPr>
          <w:i/>
          <w:iCs/>
        </w:rPr>
        <w:t xml:space="preserve">The redacted values correspond to the following ranges: </w:t>
      </w:r>
    </w:p>
    <w:p w14:paraId="19DD8D14" w14:textId="77777777" w:rsidR="002103A2" w:rsidRPr="009E5CCE" w:rsidRDefault="002103A2" w:rsidP="002103A2">
      <w:pPr>
        <w:pStyle w:val="FooterTableFigure"/>
        <w:keepNext/>
        <w:rPr>
          <w:i/>
          <w:iCs/>
        </w:rPr>
      </w:pPr>
      <w:r w:rsidRPr="009E5CCE">
        <w:rPr>
          <w:i/>
          <w:iCs/>
          <w:vertAlign w:val="superscript"/>
        </w:rPr>
        <w:t>1</w:t>
      </w:r>
      <w:r w:rsidRPr="009E5CCE">
        <w:rPr>
          <w:i/>
          <w:iCs/>
        </w:rPr>
        <w:t xml:space="preserve"> 500 to &lt; 5,000</w:t>
      </w:r>
    </w:p>
    <w:p w14:paraId="6379F87A" w14:textId="77777777" w:rsidR="002103A2" w:rsidRPr="009E5CCE" w:rsidRDefault="002103A2" w:rsidP="002103A2">
      <w:pPr>
        <w:pStyle w:val="FooterTableFigure"/>
        <w:keepNext/>
        <w:rPr>
          <w:i/>
          <w:iCs/>
        </w:rPr>
      </w:pPr>
      <w:r w:rsidRPr="009E5CCE">
        <w:rPr>
          <w:i/>
          <w:iCs/>
          <w:vertAlign w:val="superscript"/>
        </w:rPr>
        <w:t>2</w:t>
      </w:r>
      <w:r w:rsidRPr="009E5CCE">
        <w:rPr>
          <w:i/>
          <w:iCs/>
        </w:rPr>
        <w:t xml:space="preserve"> &lt; 500</w:t>
      </w:r>
    </w:p>
    <w:p w14:paraId="1500B336" w14:textId="06E0F62A" w:rsidR="002103A2" w:rsidRPr="002103A2" w:rsidRDefault="002103A2" w:rsidP="00980C55">
      <w:pPr>
        <w:pStyle w:val="FooterTableFigure"/>
        <w:rPr>
          <w:i/>
          <w:iCs/>
        </w:rPr>
      </w:pPr>
      <w:r w:rsidRPr="009E5CCE">
        <w:rPr>
          <w:i/>
          <w:iCs/>
          <w:vertAlign w:val="superscript"/>
        </w:rPr>
        <w:t>3</w:t>
      </w:r>
      <w:r w:rsidRPr="009E5CCE">
        <w:rPr>
          <w:i/>
          <w:iCs/>
        </w:rPr>
        <w:t xml:space="preserve"> 5,000 to &lt; 10,000</w:t>
      </w:r>
      <w:r>
        <w:rPr>
          <w:i/>
          <w:iCs/>
        </w:rPr>
        <w:t>4</w:t>
      </w:r>
    </w:p>
    <w:p w14:paraId="69FCB841" w14:textId="045CF1F1" w:rsidR="00CB63E9" w:rsidRPr="00857B0D" w:rsidRDefault="00CB63E9" w:rsidP="00CB63E9">
      <w:pPr>
        <w:pStyle w:val="3-BodyText"/>
      </w:pPr>
      <w:r w:rsidRPr="0099114C">
        <w:t>The resubmission presented revised incidence estimates based on data from the Queensland Hospital Admitted Patients Data Collection (QHAPDC), an administrative data collection maintained by Queensland Health. The number of distinct patients admitted to public and private hospitals in Queensland and coded with principal or other ICD-10-AM diagnosis codes for GPA (M31.3) or MPA (M31.7) per calendar year between 2014 and 2019 were obtained. These estimates are uncertain because:</w:t>
      </w:r>
    </w:p>
    <w:p w14:paraId="1F357E5E" w14:textId="60E83E1B" w:rsidR="00CB63E9" w:rsidRPr="00857B0D" w:rsidRDefault="00CB63E9" w:rsidP="002103A2">
      <w:pPr>
        <w:pStyle w:val="ListParagraph"/>
        <w:numPr>
          <w:ilvl w:val="0"/>
          <w:numId w:val="43"/>
        </w:numPr>
        <w:spacing w:after="120"/>
        <w:contextualSpacing w:val="0"/>
      </w:pPr>
      <w:r w:rsidRPr="0099114C">
        <w:t>The use of ‘other’ ICD</w:t>
      </w:r>
      <w:r w:rsidR="00E50A16">
        <w:t>-</w:t>
      </w:r>
      <w:r w:rsidRPr="0099114C">
        <w:t>10</w:t>
      </w:r>
      <w:r w:rsidR="00E50A16">
        <w:t>-</w:t>
      </w:r>
      <w:r w:rsidRPr="0099114C">
        <w:t xml:space="preserve">AM codes (rather than just the primary diagnosis category) for locating GPA or MPA may identify patients who would not be eligible for avacopan treatment as they presented to hospital with a different primary complaint . </w:t>
      </w:r>
    </w:p>
    <w:p w14:paraId="623D8D13" w14:textId="77777777" w:rsidR="00CB63E9" w:rsidRPr="0099114C" w:rsidRDefault="00CB63E9" w:rsidP="002103A2">
      <w:pPr>
        <w:pStyle w:val="ListParagraph"/>
        <w:numPr>
          <w:ilvl w:val="0"/>
          <w:numId w:val="43"/>
        </w:numPr>
        <w:spacing w:after="120"/>
        <w:contextualSpacing w:val="0"/>
      </w:pPr>
      <w:r w:rsidRPr="0099114C">
        <w:t xml:space="preserve">It is unclear whether the ICD-10-AM codes used to classify cases of GPA and MPA are consistent with the requested restriction and the proposed PBS listing will allow treatment under specialist care without the requirement of a hospital admission. </w:t>
      </w:r>
    </w:p>
    <w:p w14:paraId="4FEF1C79" w14:textId="2B4C4427" w:rsidR="002B2ED9" w:rsidRPr="0099114C" w:rsidRDefault="00CB63E9" w:rsidP="002103A2">
      <w:pPr>
        <w:pStyle w:val="ListParagraph"/>
        <w:numPr>
          <w:ilvl w:val="0"/>
          <w:numId w:val="43"/>
        </w:numPr>
        <w:spacing w:after="120"/>
        <w:ind w:left="1077" w:hanging="357"/>
        <w:contextualSpacing w:val="0"/>
      </w:pPr>
      <w:r w:rsidRPr="0099114C">
        <w:t>The resubmission claimed to calculate the number of distinct patients admitted per calendar year. This would allow the same patient to be represented in multiple years. </w:t>
      </w:r>
      <w:r w:rsidR="004B0004" w:rsidRPr="0099114C">
        <w:t>The PSCR  agreed with the evaluation that the same patient could be represented in multiple years in the dataset and argued that this was appropriate in order to capture relapsing patients who would be eligible for reinduction with avacopan. DUSC agreed with the PSCR that relapsing patients were included in the QHAPDC dataset, and considered that the 10% relapse rate lead to double counting of patients in the resubmission.</w:t>
      </w:r>
    </w:p>
    <w:p w14:paraId="0E396138" w14:textId="597C2301" w:rsidR="00CB63E9" w:rsidRPr="0099114C" w:rsidRDefault="00CB63E9" w:rsidP="00CB63E9">
      <w:pPr>
        <w:pStyle w:val="3-BodyText"/>
        <w:rPr>
          <w:color w:val="0066FF"/>
        </w:rPr>
      </w:pPr>
      <w:r w:rsidRPr="0099114C">
        <w:t>The revised incidence estimates represent a substantial increase (+128%) in the estimated number of patients treated with avacopan compared to the previous submission. In the previous submission, a study by Ormerod et al. (2008) was used to establish the incident and prevalent population, which was consistent with the March</w:t>
      </w:r>
      <w:r w:rsidR="002103A2">
        <w:t> </w:t>
      </w:r>
      <w:r w:rsidRPr="0099114C">
        <w:t>2015 rituximab PSD. DUSC</w:t>
      </w:r>
      <w:r w:rsidR="002B2ED9" w:rsidRPr="0099114C">
        <w:t xml:space="preserve"> previously</w:t>
      </w:r>
      <w:r w:rsidRPr="0099114C">
        <w:t xml:space="preserve"> considered that the inputs derived from Ormerod et al. (2008) </w:t>
      </w:r>
      <w:r w:rsidR="002B2ED9" w:rsidRPr="0099114C">
        <w:t xml:space="preserve">were </w:t>
      </w:r>
      <w:r w:rsidRPr="0099114C">
        <w:t xml:space="preserve">likely appropriate given their alignment with previous </w:t>
      </w:r>
      <w:r w:rsidRPr="0099114C">
        <w:lastRenderedPageBreak/>
        <w:t xml:space="preserve">rituximab utilisation (Table 17, avacopan PSD, July 2023 PBAC meeting). </w:t>
      </w:r>
      <w:bookmarkStart w:id="90" w:name="_Hlk155171970"/>
      <w:r w:rsidR="002B2ED9" w:rsidRPr="0099114C">
        <w:t>The PSCR stated that the incidence estimate used in the previous submission was taken from the Ormerod et al. (2008) study which was based on data to 2005. The PSCR argued the prevalence estimate derived from the QHAPDC is more recent and represents admissions in the public health system in an entire state over multiple years. The PSCR stated that extrapolation of this data provides a more recent and accurate representation of patients hospitalised for AAV in Australia. DUSC commented that the QHAPDC admission data reports the number of patients treated per year, rather than identifying initial patients. DUSC agreed with the PSCR that this reflects a prevalence estimate rather than an incidence estimate.</w:t>
      </w:r>
      <w:r w:rsidR="002B2ED9" w:rsidRPr="0099114C">
        <w:rPr>
          <w:i/>
          <w:iCs/>
        </w:rPr>
        <w:t xml:space="preserve"> </w:t>
      </w:r>
      <w:bookmarkEnd w:id="90"/>
    </w:p>
    <w:p w14:paraId="4A5362E8" w14:textId="0A57B1BC" w:rsidR="00CB63E9" w:rsidRPr="0099114C" w:rsidRDefault="00CB63E9" w:rsidP="00CB63E9">
      <w:pPr>
        <w:pStyle w:val="3-BodyText"/>
        <w:rPr>
          <w:color w:val="0066FF"/>
        </w:rPr>
      </w:pPr>
      <w:bookmarkStart w:id="91" w:name="_Hlk156738934"/>
      <w:r w:rsidRPr="0099114C">
        <w:t>The resubmission stated it validated the revised estimates using a PBS 10% sample, which provided an estimate of the number of unique patients treated with rituximab for GPA or MPA in Australia per year from 2017-2022. The resubmission assumed that 50% of patients were treated with rituximab and 50% with cyclophosphamide and therefore the number of patients was doubled. The AAV incidence rate from the 10% PBS sample was calculated at 0.0039%, slightly higher than the incidence rate used in the resubmission from the QHAPDC (0.0036%). There is uncertainty in the approach taken to determine this estimate. The DUSC Secretariat provided an analysis of PBS data on rituximab initiators and total treated patients between 2016 and 2022 as part of the evaluation of the July 2023 submission. These estimates were substantially lower than those provided in the resubmission</w:t>
      </w:r>
      <w:r w:rsidR="00D90D23" w:rsidRPr="0099114C">
        <w:t>’s</w:t>
      </w:r>
      <w:r w:rsidRPr="0099114C">
        <w:t xml:space="preserve"> 10% PBS sample for 2019-2022 and are likely a better estimate of incidence. The 10% PBS sample analysis presented may be based on patient initiators (including reinduction) rather than incidence cases.</w:t>
      </w:r>
      <w:r w:rsidR="002D3032" w:rsidRPr="0099114C">
        <w:t xml:space="preserve"> The PSCR </w:t>
      </w:r>
      <w:r w:rsidR="008F6798" w:rsidRPr="0099114C">
        <w:t xml:space="preserve">noted that in 2021 the sponsors 10% sample analysis estimated 490 patients treated with rituximab versus 489 patients treated annually in the DUSC Secretariat analysis. </w:t>
      </w:r>
      <w:r w:rsidR="00E641B8" w:rsidRPr="0099114C">
        <w:t>DUSC agreed that the prevalent treated patients in the 10% sample were similar to the numbers of treated patients in the data provided by the DUSC Secretariat</w:t>
      </w:r>
      <w:r w:rsidR="00687AB9" w:rsidRPr="0099114C">
        <w:t xml:space="preserve"> based on the 100% PBS sample</w:t>
      </w:r>
      <w:r w:rsidR="00E641B8" w:rsidRPr="0099114C">
        <w:t xml:space="preserve"> but considered this did not align with the incidence approach taken by the resubmission.</w:t>
      </w:r>
      <w:r w:rsidR="00E641B8" w:rsidRPr="0099114C">
        <w:rPr>
          <w:i/>
          <w:iCs/>
        </w:rPr>
        <w:t xml:space="preserve"> </w:t>
      </w:r>
    </w:p>
    <w:bookmarkEnd w:id="91"/>
    <w:p w14:paraId="1132D9E6" w14:textId="63AC8519" w:rsidR="00CB63E9" w:rsidRPr="0099114C" w:rsidRDefault="00CB63E9" w:rsidP="00CB63E9">
      <w:pPr>
        <w:pStyle w:val="3-BodyText"/>
      </w:pPr>
      <w:r w:rsidRPr="0099114C">
        <w:fldChar w:fldCharType="begin" w:fldLock="1"/>
      </w:r>
      <w:r w:rsidRPr="0099114C">
        <w:instrText xml:space="preserve"> REF _Ref153197574 \h </w:instrText>
      </w:r>
      <w:r w:rsidRPr="0099114C">
        <w:fldChar w:fldCharType="separate"/>
      </w:r>
      <w:r w:rsidRPr="0099114C">
        <w:t xml:space="preserve">Table </w:t>
      </w:r>
      <w:r w:rsidRPr="00857B0D">
        <w:t>17</w:t>
      </w:r>
      <w:r w:rsidRPr="0099114C">
        <w:fldChar w:fldCharType="end"/>
      </w:r>
      <w:r w:rsidRPr="0099114C">
        <w:t xml:space="preserve"> summarises the estimated eligible population and the net cost to PBS/RPBS of listing avacopan, based on the submission effective DPMQ of $</w:t>
      </w:r>
      <w:r w:rsidR="005F1F42" w:rsidRPr="006F30AA">
        <w:rPr>
          <w:color w:val="000000"/>
          <w:w w:val="15"/>
          <w:shd w:val="solid" w:color="000000" w:fill="000000"/>
          <w:fitText w:val="-20" w:id="-961807612"/>
          <w14:textFill>
            <w14:solidFill>
              <w14:srgbClr w14:val="000000">
                <w14:alpha w14:val="100000"/>
              </w14:srgbClr>
            </w14:solidFill>
          </w14:textFill>
        </w:rPr>
        <w:t xml:space="preserve">|  </w:t>
      </w:r>
      <w:r w:rsidR="005F1F42" w:rsidRPr="006F30AA">
        <w:rPr>
          <w:color w:val="000000"/>
          <w:spacing w:val="-69"/>
          <w:w w:val="15"/>
          <w:shd w:val="solid" w:color="000000" w:fill="000000"/>
          <w:fitText w:val="-20" w:id="-961807612"/>
          <w14:textFill>
            <w14:solidFill>
              <w14:srgbClr w14:val="000000">
                <w14:alpha w14:val="100000"/>
              </w14:srgbClr>
            </w14:solidFill>
          </w14:textFill>
        </w:rPr>
        <w:t>|</w:t>
      </w:r>
      <w:r w:rsidRPr="0099114C">
        <w:t>.</w:t>
      </w:r>
    </w:p>
    <w:p w14:paraId="66DE1562" w14:textId="77777777" w:rsidR="00CB63E9" w:rsidRPr="0099114C" w:rsidRDefault="00CB63E9" w:rsidP="002103A2">
      <w:pPr>
        <w:pStyle w:val="TableFigureHeading"/>
      </w:pPr>
      <w:bookmarkStart w:id="92" w:name="_Ref153197574"/>
      <w:r w:rsidRPr="0099114C">
        <w:lastRenderedPageBreak/>
        <w:t xml:space="preserve">Table </w:t>
      </w:r>
      <w:fldSimple w:instr=" SEQ Table \* ARABIC " w:fldLock="1">
        <w:r w:rsidRPr="00857B0D">
          <w:t>17</w:t>
        </w:r>
      </w:fldSimple>
      <w:bookmarkEnd w:id="92"/>
      <w:r w:rsidRPr="0099114C">
        <w:t>:</w:t>
      </w:r>
      <w:r w:rsidRPr="0099114C">
        <w:rPr>
          <w:rStyle w:val="CommentReference"/>
          <w:b/>
          <w:szCs w:val="24"/>
        </w:rPr>
        <w:t xml:space="preserve"> Estimated use and financial implications</w:t>
      </w:r>
    </w:p>
    <w:tbl>
      <w:tblPr>
        <w:tblW w:w="8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7: Estimated use and financial implications"/>
      </w:tblPr>
      <w:tblGrid>
        <w:gridCol w:w="2404"/>
        <w:gridCol w:w="1092"/>
        <w:gridCol w:w="1095"/>
        <w:gridCol w:w="1095"/>
        <w:gridCol w:w="1108"/>
        <w:gridCol w:w="1140"/>
        <w:gridCol w:w="1057"/>
      </w:tblGrid>
      <w:tr w:rsidR="00CB63E9" w:rsidRPr="0099114C" w14:paraId="2150BB05" w14:textId="77777777" w:rsidTr="002103A2">
        <w:trPr>
          <w:trHeight w:val="20"/>
          <w:tblHeader/>
        </w:trPr>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70E73FB8" w14:textId="77777777" w:rsidR="00CB63E9" w:rsidRPr="0099114C" w:rsidRDefault="00CB63E9" w:rsidP="002103A2">
            <w:pPr>
              <w:pStyle w:val="FooterTableFigure"/>
              <w:keepNext/>
              <w:spacing w:after="0"/>
            </w:pP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72845DFE" w14:textId="77777777" w:rsidR="00CB63E9" w:rsidRPr="0099114C" w:rsidRDefault="00CB63E9" w:rsidP="002103A2">
            <w:pPr>
              <w:pStyle w:val="FooterTableFigure"/>
              <w:keepNext/>
              <w:spacing w:after="0"/>
              <w:jc w:val="center"/>
              <w:rPr>
                <w:rStyle w:val="CommentReference"/>
              </w:rPr>
            </w:pPr>
            <w:r w:rsidRPr="0099114C">
              <w:rPr>
                <w:rStyle w:val="CommentReference"/>
              </w:rPr>
              <w:t>Year 1</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5B16C5B1" w14:textId="77777777" w:rsidR="00CB63E9" w:rsidRPr="0099114C" w:rsidRDefault="00CB63E9" w:rsidP="002103A2">
            <w:pPr>
              <w:pStyle w:val="FooterTableFigure"/>
              <w:keepNext/>
              <w:spacing w:after="0"/>
              <w:jc w:val="center"/>
              <w:rPr>
                <w:rStyle w:val="CommentReference"/>
              </w:rPr>
            </w:pPr>
            <w:r w:rsidRPr="0099114C">
              <w:rPr>
                <w:rStyle w:val="CommentReference"/>
              </w:rPr>
              <w:t>Year 2</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13AB1136" w14:textId="77777777" w:rsidR="00CB63E9" w:rsidRPr="0099114C" w:rsidRDefault="00CB63E9" w:rsidP="002103A2">
            <w:pPr>
              <w:pStyle w:val="FooterTableFigure"/>
              <w:keepNext/>
              <w:spacing w:after="0"/>
              <w:jc w:val="center"/>
              <w:rPr>
                <w:rStyle w:val="CommentReference"/>
              </w:rPr>
            </w:pPr>
            <w:r w:rsidRPr="0099114C">
              <w:rPr>
                <w:rStyle w:val="CommentReference"/>
              </w:rPr>
              <w:t>Year 3</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24C00C67" w14:textId="77777777" w:rsidR="00CB63E9" w:rsidRPr="0099114C" w:rsidRDefault="00CB63E9" w:rsidP="002103A2">
            <w:pPr>
              <w:pStyle w:val="FooterTableFigure"/>
              <w:keepNext/>
              <w:spacing w:after="0"/>
              <w:jc w:val="center"/>
              <w:rPr>
                <w:rStyle w:val="CommentReference"/>
              </w:rPr>
            </w:pPr>
            <w:r w:rsidRPr="0099114C">
              <w:rPr>
                <w:rStyle w:val="CommentReference"/>
              </w:rPr>
              <w:t>Year 4</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76A87F57" w14:textId="77777777" w:rsidR="00CB63E9" w:rsidRPr="0099114C" w:rsidRDefault="00CB63E9" w:rsidP="002103A2">
            <w:pPr>
              <w:pStyle w:val="FooterTableFigure"/>
              <w:keepNext/>
              <w:spacing w:after="0"/>
              <w:jc w:val="center"/>
              <w:rPr>
                <w:rStyle w:val="CommentReference"/>
              </w:rPr>
            </w:pPr>
            <w:r w:rsidRPr="0099114C">
              <w:rPr>
                <w:rStyle w:val="CommentReference"/>
              </w:rPr>
              <w:t>Year 5</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392A2817" w14:textId="77777777" w:rsidR="00CB63E9" w:rsidRPr="0099114C" w:rsidRDefault="00CB63E9" w:rsidP="002103A2">
            <w:pPr>
              <w:pStyle w:val="FooterTableFigure"/>
              <w:keepNext/>
              <w:spacing w:after="0"/>
              <w:jc w:val="center"/>
              <w:rPr>
                <w:rStyle w:val="CommentReference"/>
              </w:rPr>
            </w:pPr>
            <w:r w:rsidRPr="0099114C">
              <w:rPr>
                <w:rStyle w:val="CommentReference"/>
              </w:rPr>
              <w:t>Year 6</w:t>
            </w:r>
          </w:p>
        </w:tc>
      </w:tr>
      <w:tr w:rsidR="00CB63E9" w:rsidRPr="0099114C" w14:paraId="4AEE7F73" w14:textId="77777777" w:rsidTr="002103A2">
        <w:trPr>
          <w:trHeight w:val="20"/>
          <w:tblHeader/>
        </w:trPr>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31237F4A" w14:textId="77777777" w:rsidR="00CB63E9" w:rsidRPr="0099114C" w:rsidRDefault="00CB63E9" w:rsidP="002103A2">
            <w:pPr>
              <w:pStyle w:val="TableText"/>
              <w:rPr>
                <w:rStyle w:val="CommentReference"/>
              </w:rPr>
            </w:pPr>
            <w:r w:rsidRPr="0099114C">
              <w:rPr>
                <w:rStyle w:val="CommentReference"/>
              </w:rPr>
              <w:t>Total patients treated</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39D716DF" w14:textId="58F99B71"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62" w:id="-961807611"/>
                <w14:textFill>
                  <w14:solidFill>
                    <w14:srgbClr w14:val="000000">
                      <w14:alpha w14:val="100000"/>
                    </w14:srgbClr>
                  </w14:solidFill>
                </w14:textFill>
              </w:rPr>
              <w:t xml:space="preserve">　</w:t>
            </w:r>
            <w:r w:rsidRPr="005F1F42">
              <w:rPr>
                <w:color w:val="000000"/>
                <w:w w:val="15"/>
                <w:shd w:val="solid" w:color="000000" w:fill="000000"/>
                <w:fitText w:val="62" w:id="-961807611"/>
                <w14:textFill>
                  <w14:solidFill>
                    <w14:srgbClr w14:val="000000">
                      <w14:alpha w14:val="100000"/>
                    </w14:srgbClr>
                  </w14:solidFill>
                </w14:textFill>
              </w:rPr>
              <w:t>|</w:t>
            </w:r>
            <w:r w:rsidRPr="005F1F42">
              <w:rPr>
                <w:rFonts w:hint="eastAsia"/>
                <w:color w:val="000000"/>
                <w:spacing w:val="-3"/>
                <w:w w:val="15"/>
                <w:shd w:val="solid" w:color="000000" w:fill="000000"/>
                <w:fitText w:val="62" w:id="-961807611"/>
                <w14:textFill>
                  <w14:solidFill>
                    <w14:srgbClr w14:val="000000">
                      <w14:alpha w14:val="100000"/>
                    </w14:srgbClr>
                  </w14:solidFill>
                </w14:textFill>
              </w:rPr>
              <w:t xml:space="preserve">　</w:t>
            </w:r>
            <w:r w:rsidR="00282850" w:rsidRPr="009E5CCE">
              <w:rPr>
                <w:vertAlign w:val="superscript"/>
              </w:rPr>
              <w:t>1</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0B952C73" w14:textId="6D4813B1"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62" w:id="-961807610"/>
                <w14:textFill>
                  <w14:solidFill>
                    <w14:srgbClr w14:val="000000">
                      <w14:alpha w14:val="100000"/>
                    </w14:srgbClr>
                  </w14:solidFill>
                </w14:textFill>
              </w:rPr>
              <w:t xml:space="preserve">　</w:t>
            </w:r>
            <w:r w:rsidRPr="005F1F42">
              <w:rPr>
                <w:color w:val="000000"/>
                <w:w w:val="15"/>
                <w:shd w:val="solid" w:color="000000" w:fill="000000"/>
                <w:fitText w:val="62" w:id="-961807610"/>
                <w14:textFill>
                  <w14:solidFill>
                    <w14:srgbClr w14:val="000000">
                      <w14:alpha w14:val="100000"/>
                    </w14:srgbClr>
                  </w14:solidFill>
                </w14:textFill>
              </w:rPr>
              <w:t>|</w:t>
            </w:r>
            <w:r w:rsidRPr="005F1F42">
              <w:rPr>
                <w:rFonts w:hint="eastAsia"/>
                <w:color w:val="000000"/>
                <w:spacing w:val="-3"/>
                <w:w w:val="15"/>
                <w:shd w:val="solid" w:color="000000" w:fill="000000"/>
                <w:fitText w:val="62" w:id="-961807610"/>
                <w14:textFill>
                  <w14:solidFill>
                    <w14:srgbClr w14:val="000000">
                      <w14:alpha w14:val="100000"/>
                    </w14:srgbClr>
                  </w14:solidFill>
                </w14:textFill>
              </w:rPr>
              <w:t xml:space="preserve">　</w:t>
            </w:r>
            <w:r w:rsidR="002C6224" w:rsidRPr="001A420F">
              <w:rPr>
                <w:vertAlign w:val="superscript"/>
              </w:rPr>
              <w:t>1</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74D6FD88" w14:textId="07345EC3"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63" w:id="-961807609"/>
                <w14:textFill>
                  <w14:solidFill>
                    <w14:srgbClr w14:val="000000">
                      <w14:alpha w14:val="100000"/>
                    </w14:srgbClr>
                  </w14:solidFill>
                </w14:textFill>
              </w:rPr>
              <w:t xml:space="preserve">　</w:t>
            </w:r>
            <w:r w:rsidRPr="005F1F42">
              <w:rPr>
                <w:color w:val="000000"/>
                <w:w w:val="15"/>
                <w:shd w:val="solid" w:color="000000" w:fill="000000"/>
                <w:fitText w:val="63" w:id="-961807609"/>
                <w14:textFill>
                  <w14:solidFill>
                    <w14:srgbClr w14:val="000000">
                      <w14:alpha w14:val="100000"/>
                    </w14:srgbClr>
                  </w14:solidFill>
                </w14:textFill>
              </w:rPr>
              <w:t>|</w:t>
            </w:r>
            <w:r w:rsidRPr="005F1F42">
              <w:rPr>
                <w:rFonts w:hint="eastAsia"/>
                <w:color w:val="000000"/>
                <w:spacing w:val="-2"/>
                <w:w w:val="15"/>
                <w:shd w:val="solid" w:color="000000" w:fill="000000"/>
                <w:fitText w:val="63" w:id="-961807609"/>
                <w14:textFill>
                  <w14:solidFill>
                    <w14:srgbClr w14:val="000000">
                      <w14:alpha w14:val="100000"/>
                    </w14:srgbClr>
                  </w14:solidFill>
                </w14:textFill>
              </w:rPr>
              <w:t xml:space="preserve">　</w:t>
            </w:r>
            <w:r w:rsidR="002C6224" w:rsidRPr="001A420F">
              <w:rPr>
                <w:vertAlign w:val="superscript"/>
              </w:rPr>
              <w:t>1</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76C94EBA" w14:textId="470CDF84"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50" w:id="-961807608"/>
                <w14:textFill>
                  <w14:solidFill>
                    <w14:srgbClr w14:val="000000">
                      <w14:alpha w14:val="100000"/>
                    </w14:srgbClr>
                  </w14:solidFill>
                </w14:textFill>
              </w:rPr>
              <w:t xml:space="preserve">　</w:t>
            </w:r>
            <w:r w:rsidRPr="005F1F42">
              <w:rPr>
                <w:color w:val="000000"/>
                <w:w w:val="15"/>
                <w:shd w:val="solid" w:color="000000" w:fill="000000"/>
                <w:fitText w:val="50" w:id="-961807608"/>
                <w14:textFill>
                  <w14:solidFill>
                    <w14:srgbClr w14:val="000000">
                      <w14:alpha w14:val="100000"/>
                    </w14:srgbClr>
                  </w14:solidFill>
                </w14:textFill>
              </w:rPr>
              <w:t>|</w:t>
            </w:r>
            <w:r w:rsidRPr="005F1F42">
              <w:rPr>
                <w:rFonts w:hint="eastAsia"/>
                <w:color w:val="000000"/>
                <w:spacing w:val="-15"/>
                <w:w w:val="15"/>
                <w:shd w:val="solid" w:color="000000" w:fill="000000"/>
                <w:fitText w:val="50" w:id="-961807608"/>
                <w14:textFill>
                  <w14:solidFill>
                    <w14:srgbClr w14:val="000000">
                      <w14:alpha w14:val="100000"/>
                    </w14:srgbClr>
                  </w14:solidFill>
                </w14:textFill>
              </w:rPr>
              <w:t xml:space="preserve">　</w:t>
            </w:r>
            <w:r w:rsidR="002C6224" w:rsidRPr="001A420F">
              <w:rPr>
                <w:vertAlign w:val="superscript"/>
              </w:rPr>
              <w:t>1</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23DE2D62" w14:textId="2BBFBBD5"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50" w:id="-961807607"/>
                <w14:textFill>
                  <w14:solidFill>
                    <w14:srgbClr w14:val="000000">
                      <w14:alpha w14:val="100000"/>
                    </w14:srgbClr>
                  </w14:solidFill>
                </w14:textFill>
              </w:rPr>
              <w:t xml:space="preserve">　</w:t>
            </w:r>
            <w:r w:rsidRPr="005F1F42">
              <w:rPr>
                <w:color w:val="000000"/>
                <w:w w:val="15"/>
                <w:shd w:val="solid" w:color="000000" w:fill="000000"/>
                <w:fitText w:val="50" w:id="-961807607"/>
                <w14:textFill>
                  <w14:solidFill>
                    <w14:srgbClr w14:val="000000">
                      <w14:alpha w14:val="100000"/>
                    </w14:srgbClr>
                  </w14:solidFill>
                </w14:textFill>
              </w:rPr>
              <w:t>|</w:t>
            </w:r>
            <w:r w:rsidRPr="005F1F42">
              <w:rPr>
                <w:rFonts w:hint="eastAsia"/>
                <w:color w:val="000000"/>
                <w:spacing w:val="-15"/>
                <w:w w:val="15"/>
                <w:shd w:val="solid" w:color="000000" w:fill="000000"/>
                <w:fitText w:val="50" w:id="-961807607"/>
                <w14:textFill>
                  <w14:solidFill>
                    <w14:srgbClr w14:val="000000">
                      <w14:alpha w14:val="100000"/>
                    </w14:srgbClr>
                  </w14:solidFill>
                </w14:textFill>
              </w:rPr>
              <w:t xml:space="preserve">　</w:t>
            </w:r>
            <w:r w:rsidR="002C6224" w:rsidRPr="001A420F">
              <w:rPr>
                <w:vertAlign w:val="superscript"/>
              </w:rPr>
              <w:t>1</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1D7FCD2A" w14:textId="17AD6925"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51" w:id="-961807606"/>
                <w14:textFill>
                  <w14:solidFill>
                    <w14:srgbClr w14:val="000000">
                      <w14:alpha w14:val="100000"/>
                    </w14:srgbClr>
                  </w14:solidFill>
                </w14:textFill>
              </w:rPr>
              <w:t xml:space="preserve">　</w:t>
            </w:r>
            <w:r w:rsidRPr="005F1F42">
              <w:rPr>
                <w:color w:val="000000"/>
                <w:w w:val="15"/>
                <w:shd w:val="solid" w:color="000000" w:fill="000000"/>
                <w:fitText w:val="51" w:id="-961807606"/>
                <w14:textFill>
                  <w14:solidFill>
                    <w14:srgbClr w14:val="000000">
                      <w14:alpha w14:val="100000"/>
                    </w14:srgbClr>
                  </w14:solidFill>
                </w14:textFill>
              </w:rPr>
              <w:t>|</w:t>
            </w:r>
            <w:r w:rsidRPr="005F1F42">
              <w:rPr>
                <w:rFonts w:hint="eastAsia"/>
                <w:color w:val="000000"/>
                <w:spacing w:val="-14"/>
                <w:w w:val="15"/>
                <w:shd w:val="solid" w:color="000000" w:fill="000000"/>
                <w:fitText w:val="51" w:id="-961807606"/>
                <w14:textFill>
                  <w14:solidFill>
                    <w14:srgbClr w14:val="000000">
                      <w14:alpha w14:val="100000"/>
                    </w14:srgbClr>
                  </w14:solidFill>
                </w14:textFill>
              </w:rPr>
              <w:t xml:space="preserve">　</w:t>
            </w:r>
            <w:r w:rsidR="002C6224" w:rsidRPr="001A420F">
              <w:rPr>
                <w:vertAlign w:val="superscript"/>
              </w:rPr>
              <w:t>1</w:t>
            </w:r>
          </w:p>
        </w:tc>
      </w:tr>
      <w:tr w:rsidR="00CB63E9" w:rsidRPr="0099114C" w14:paraId="7B5FC73D" w14:textId="77777777" w:rsidTr="002103A2">
        <w:trPr>
          <w:trHeight w:val="20"/>
          <w:tblHeader/>
        </w:trPr>
        <w:tc>
          <w:tcPr>
            <w:tcW w:w="1337" w:type="pc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A9C4BA6" w14:textId="21207A14" w:rsidR="00CB63E9" w:rsidRPr="0099114C" w:rsidDel="00724160" w:rsidRDefault="00CB63E9" w:rsidP="002103A2">
            <w:pPr>
              <w:pStyle w:val="TableText"/>
              <w:rPr>
                <w:rStyle w:val="CommentReference"/>
              </w:rPr>
            </w:pPr>
            <w:r w:rsidRPr="0099114C">
              <w:rPr>
                <w:rStyle w:val="CommentReference"/>
              </w:rPr>
              <w:t>Total patients treated (July</w:t>
            </w:r>
            <w:r w:rsidR="002103A2">
              <w:rPr>
                <w:rStyle w:val="CommentReference"/>
              </w:rPr>
              <w:t> </w:t>
            </w:r>
            <w:r w:rsidRPr="0099114C">
              <w:rPr>
                <w:rStyle w:val="CommentReference"/>
              </w:rPr>
              <w:t>2023 submission)</w:t>
            </w:r>
          </w:p>
        </w:tc>
        <w:tc>
          <w:tcPr>
            <w:tcW w:w="607" w:type="pc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90EF639" w14:textId="72E5F8A3"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62" w:id="-961807605"/>
                <w14:textFill>
                  <w14:solidFill>
                    <w14:srgbClr w14:val="000000">
                      <w14:alpha w14:val="100000"/>
                    </w14:srgbClr>
                  </w14:solidFill>
                </w14:textFill>
              </w:rPr>
              <w:t xml:space="preserve">　</w:t>
            </w:r>
            <w:r w:rsidRPr="005F1F42">
              <w:rPr>
                <w:color w:val="000000"/>
                <w:w w:val="15"/>
                <w:shd w:val="solid" w:color="000000" w:fill="000000"/>
                <w:fitText w:val="62" w:id="-961807605"/>
                <w14:textFill>
                  <w14:solidFill>
                    <w14:srgbClr w14:val="000000">
                      <w14:alpha w14:val="100000"/>
                    </w14:srgbClr>
                  </w14:solidFill>
                </w14:textFill>
              </w:rPr>
              <w:t>|</w:t>
            </w:r>
            <w:r w:rsidRPr="005F1F42">
              <w:rPr>
                <w:rFonts w:hint="eastAsia"/>
                <w:color w:val="000000"/>
                <w:spacing w:val="-3"/>
                <w:w w:val="15"/>
                <w:shd w:val="solid" w:color="000000" w:fill="000000"/>
                <w:fitText w:val="62" w:id="-961807605"/>
                <w14:textFill>
                  <w14:solidFill>
                    <w14:srgbClr w14:val="000000">
                      <w14:alpha w14:val="100000"/>
                    </w14:srgbClr>
                  </w14:solidFill>
                </w14:textFill>
              </w:rPr>
              <w:t xml:space="preserve">　</w:t>
            </w:r>
            <w:r w:rsidR="002C6224" w:rsidRPr="009E5CCE">
              <w:rPr>
                <w:vertAlign w:val="superscript"/>
              </w:rPr>
              <w:t>2</w:t>
            </w:r>
          </w:p>
        </w:tc>
        <w:tc>
          <w:tcPr>
            <w:tcW w:w="609" w:type="pc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E08B728" w14:textId="367DECA2"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62" w:id="-961807604"/>
                <w14:textFill>
                  <w14:solidFill>
                    <w14:srgbClr w14:val="000000">
                      <w14:alpha w14:val="100000"/>
                    </w14:srgbClr>
                  </w14:solidFill>
                </w14:textFill>
              </w:rPr>
              <w:t xml:space="preserve">　</w:t>
            </w:r>
            <w:r w:rsidRPr="005F1F42">
              <w:rPr>
                <w:color w:val="000000"/>
                <w:w w:val="15"/>
                <w:shd w:val="solid" w:color="000000" w:fill="000000"/>
                <w:fitText w:val="62" w:id="-961807604"/>
                <w14:textFill>
                  <w14:solidFill>
                    <w14:srgbClr w14:val="000000">
                      <w14:alpha w14:val="100000"/>
                    </w14:srgbClr>
                  </w14:solidFill>
                </w14:textFill>
              </w:rPr>
              <w:t>|</w:t>
            </w:r>
            <w:r w:rsidRPr="005F1F42">
              <w:rPr>
                <w:rFonts w:hint="eastAsia"/>
                <w:color w:val="000000"/>
                <w:spacing w:val="-3"/>
                <w:w w:val="15"/>
                <w:shd w:val="solid" w:color="000000" w:fill="000000"/>
                <w:fitText w:val="62" w:id="-961807604"/>
                <w14:textFill>
                  <w14:solidFill>
                    <w14:srgbClr w14:val="000000">
                      <w14:alpha w14:val="100000"/>
                    </w14:srgbClr>
                  </w14:solidFill>
                </w14:textFill>
              </w:rPr>
              <w:t xml:space="preserve">　</w:t>
            </w:r>
            <w:r w:rsidR="002C6224" w:rsidRPr="001A420F">
              <w:rPr>
                <w:vertAlign w:val="superscript"/>
              </w:rPr>
              <w:t>2</w:t>
            </w:r>
          </w:p>
        </w:tc>
        <w:tc>
          <w:tcPr>
            <w:tcW w:w="609" w:type="pc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F675A30" w14:textId="6F60B6EA"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63" w:id="-961807603"/>
                <w14:textFill>
                  <w14:solidFill>
                    <w14:srgbClr w14:val="000000">
                      <w14:alpha w14:val="100000"/>
                    </w14:srgbClr>
                  </w14:solidFill>
                </w14:textFill>
              </w:rPr>
              <w:t xml:space="preserve">　</w:t>
            </w:r>
            <w:r w:rsidRPr="005F1F42">
              <w:rPr>
                <w:color w:val="000000"/>
                <w:w w:val="15"/>
                <w:shd w:val="solid" w:color="000000" w:fill="000000"/>
                <w:fitText w:val="63" w:id="-961807603"/>
                <w14:textFill>
                  <w14:solidFill>
                    <w14:srgbClr w14:val="000000">
                      <w14:alpha w14:val="100000"/>
                    </w14:srgbClr>
                  </w14:solidFill>
                </w14:textFill>
              </w:rPr>
              <w:t>|</w:t>
            </w:r>
            <w:r w:rsidRPr="005F1F42">
              <w:rPr>
                <w:rFonts w:hint="eastAsia"/>
                <w:color w:val="000000"/>
                <w:spacing w:val="-2"/>
                <w:w w:val="15"/>
                <w:shd w:val="solid" w:color="000000" w:fill="000000"/>
                <w:fitText w:val="63" w:id="-961807603"/>
                <w14:textFill>
                  <w14:solidFill>
                    <w14:srgbClr w14:val="000000">
                      <w14:alpha w14:val="100000"/>
                    </w14:srgbClr>
                  </w14:solidFill>
                </w14:textFill>
              </w:rPr>
              <w:t xml:space="preserve">　</w:t>
            </w:r>
            <w:r w:rsidR="002C6224" w:rsidRPr="001A420F">
              <w:rPr>
                <w:vertAlign w:val="superscript"/>
              </w:rPr>
              <w:t>2</w:t>
            </w:r>
          </w:p>
        </w:tc>
        <w:tc>
          <w:tcPr>
            <w:tcW w:w="616" w:type="pc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AFBC991" w14:textId="66B5DD96"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50" w:id="-961806336"/>
                <w14:textFill>
                  <w14:solidFill>
                    <w14:srgbClr w14:val="000000">
                      <w14:alpha w14:val="100000"/>
                    </w14:srgbClr>
                  </w14:solidFill>
                </w14:textFill>
              </w:rPr>
              <w:t xml:space="preserve">　</w:t>
            </w:r>
            <w:r w:rsidRPr="005F1F42">
              <w:rPr>
                <w:color w:val="000000"/>
                <w:w w:val="15"/>
                <w:shd w:val="solid" w:color="000000" w:fill="000000"/>
                <w:fitText w:val="50" w:id="-961806336"/>
                <w14:textFill>
                  <w14:solidFill>
                    <w14:srgbClr w14:val="000000">
                      <w14:alpha w14:val="100000"/>
                    </w14:srgbClr>
                  </w14:solidFill>
                </w14:textFill>
              </w:rPr>
              <w:t>|</w:t>
            </w:r>
            <w:r w:rsidRPr="005F1F42">
              <w:rPr>
                <w:rFonts w:hint="eastAsia"/>
                <w:color w:val="000000"/>
                <w:spacing w:val="-15"/>
                <w:w w:val="15"/>
                <w:shd w:val="solid" w:color="000000" w:fill="000000"/>
                <w:fitText w:val="50" w:id="-961806336"/>
                <w14:textFill>
                  <w14:solidFill>
                    <w14:srgbClr w14:val="000000">
                      <w14:alpha w14:val="100000"/>
                    </w14:srgbClr>
                  </w14:solidFill>
                </w14:textFill>
              </w:rPr>
              <w:t xml:space="preserve">　</w:t>
            </w:r>
            <w:r w:rsidR="002C6224" w:rsidRPr="001A420F">
              <w:rPr>
                <w:vertAlign w:val="superscript"/>
              </w:rPr>
              <w:t>2</w:t>
            </w:r>
          </w:p>
        </w:tc>
        <w:tc>
          <w:tcPr>
            <w:tcW w:w="634" w:type="pc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8708941" w14:textId="13DC99FA"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50" w:id="-961806335"/>
                <w14:textFill>
                  <w14:solidFill>
                    <w14:srgbClr w14:val="000000">
                      <w14:alpha w14:val="100000"/>
                    </w14:srgbClr>
                  </w14:solidFill>
                </w14:textFill>
              </w:rPr>
              <w:t xml:space="preserve">　</w:t>
            </w:r>
            <w:r w:rsidRPr="005F1F42">
              <w:rPr>
                <w:color w:val="000000"/>
                <w:w w:val="15"/>
                <w:shd w:val="solid" w:color="000000" w:fill="000000"/>
                <w:fitText w:val="50" w:id="-961806335"/>
                <w14:textFill>
                  <w14:solidFill>
                    <w14:srgbClr w14:val="000000">
                      <w14:alpha w14:val="100000"/>
                    </w14:srgbClr>
                  </w14:solidFill>
                </w14:textFill>
              </w:rPr>
              <w:t>|</w:t>
            </w:r>
            <w:r w:rsidRPr="005F1F42">
              <w:rPr>
                <w:rFonts w:hint="eastAsia"/>
                <w:color w:val="000000"/>
                <w:spacing w:val="-15"/>
                <w:w w:val="15"/>
                <w:shd w:val="solid" w:color="000000" w:fill="000000"/>
                <w:fitText w:val="50" w:id="-961806335"/>
                <w14:textFill>
                  <w14:solidFill>
                    <w14:srgbClr w14:val="000000">
                      <w14:alpha w14:val="100000"/>
                    </w14:srgbClr>
                  </w14:solidFill>
                </w14:textFill>
              </w:rPr>
              <w:t xml:space="preserve">　</w:t>
            </w:r>
            <w:r w:rsidR="002C6224" w:rsidRPr="001A420F">
              <w:rPr>
                <w:vertAlign w:val="superscript"/>
              </w:rPr>
              <w:t>2</w:t>
            </w:r>
          </w:p>
        </w:tc>
        <w:tc>
          <w:tcPr>
            <w:tcW w:w="588" w:type="pc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04E6AB1" w14:textId="7767BB41"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51" w:id="-961806334"/>
                <w14:textFill>
                  <w14:solidFill>
                    <w14:srgbClr w14:val="000000">
                      <w14:alpha w14:val="100000"/>
                    </w14:srgbClr>
                  </w14:solidFill>
                </w14:textFill>
              </w:rPr>
              <w:t xml:space="preserve">　</w:t>
            </w:r>
            <w:r w:rsidRPr="005F1F42">
              <w:rPr>
                <w:color w:val="000000"/>
                <w:w w:val="15"/>
                <w:shd w:val="solid" w:color="000000" w:fill="000000"/>
                <w:fitText w:val="51" w:id="-961806334"/>
                <w14:textFill>
                  <w14:solidFill>
                    <w14:srgbClr w14:val="000000">
                      <w14:alpha w14:val="100000"/>
                    </w14:srgbClr>
                  </w14:solidFill>
                </w14:textFill>
              </w:rPr>
              <w:t>|</w:t>
            </w:r>
            <w:r w:rsidRPr="005F1F42">
              <w:rPr>
                <w:rFonts w:hint="eastAsia"/>
                <w:color w:val="000000"/>
                <w:spacing w:val="-14"/>
                <w:w w:val="15"/>
                <w:shd w:val="solid" w:color="000000" w:fill="000000"/>
                <w:fitText w:val="51" w:id="-961806334"/>
                <w14:textFill>
                  <w14:solidFill>
                    <w14:srgbClr w14:val="000000">
                      <w14:alpha w14:val="100000"/>
                    </w14:srgbClr>
                  </w14:solidFill>
                </w14:textFill>
              </w:rPr>
              <w:t xml:space="preserve">　</w:t>
            </w:r>
            <w:r w:rsidR="002C6224" w:rsidRPr="001A420F">
              <w:rPr>
                <w:vertAlign w:val="superscript"/>
              </w:rPr>
              <w:t>2</w:t>
            </w:r>
          </w:p>
        </w:tc>
      </w:tr>
      <w:tr w:rsidR="00CB63E9" w:rsidRPr="0099114C" w14:paraId="3778DBCD" w14:textId="77777777" w:rsidTr="002103A2">
        <w:trPr>
          <w:trHeight w:val="20"/>
          <w:tblHeader/>
        </w:trPr>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246B5F2E" w14:textId="77777777" w:rsidR="00CB63E9" w:rsidRPr="0099114C" w:rsidRDefault="00CB63E9" w:rsidP="002103A2">
            <w:pPr>
              <w:pStyle w:val="TableText"/>
              <w:rPr>
                <w:rStyle w:val="CommentReference"/>
              </w:rPr>
            </w:pPr>
            <w:r w:rsidRPr="0099114C">
              <w:rPr>
                <w:rStyle w:val="CommentReference"/>
              </w:rPr>
              <w:t>Script numbers</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462F3077" w14:textId="77777777" w:rsidR="00CB63E9" w:rsidRPr="009E5CCE" w:rsidRDefault="00CB63E9" w:rsidP="002103A2">
            <w:pPr>
              <w:pStyle w:val="FooterTableFigure"/>
              <w:keepNext/>
              <w:spacing w:after="0"/>
              <w:jc w:val="center"/>
              <w:rPr>
                <w:highlight w:val="lightGray"/>
              </w:rPr>
            </w:pP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1B632D62" w14:textId="77777777" w:rsidR="00CB63E9" w:rsidRPr="009E5CCE" w:rsidRDefault="00CB63E9" w:rsidP="002103A2">
            <w:pPr>
              <w:pStyle w:val="FooterTableFigure"/>
              <w:keepNext/>
              <w:spacing w:after="0"/>
              <w:jc w:val="center"/>
              <w:rPr>
                <w:highlight w:val="lightGray"/>
              </w:rPr>
            </w:pP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46D0CE82" w14:textId="77777777" w:rsidR="00CB63E9" w:rsidRPr="009E5CCE" w:rsidRDefault="00CB63E9" w:rsidP="002103A2">
            <w:pPr>
              <w:pStyle w:val="FooterTableFigure"/>
              <w:keepNext/>
              <w:spacing w:after="0"/>
              <w:jc w:val="center"/>
              <w:rPr>
                <w:highlight w:val="lightGray"/>
              </w:rPr>
            </w:pP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538F3D1F" w14:textId="77777777" w:rsidR="00CB63E9" w:rsidRPr="009E5CCE" w:rsidRDefault="00CB63E9" w:rsidP="002103A2">
            <w:pPr>
              <w:pStyle w:val="FooterTableFigure"/>
              <w:keepNext/>
              <w:spacing w:after="0"/>
              <w:jc w:val="center"/>
              <w:rPr>
                <w:highlight w:val="lightGray"/>
              </w:rPr>
            </w:pP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3928BDAE" w14:textId="77777777" w:rsidR="00CB63E9" w:rsidRPr="009E5CCE" w:rsidRDefault="00CB63E9" w:rsidP="002103A2">
            <w:pPr>
              <w:pStyle w:val="FooterTableFigure"/>
              <w:keepNext/>
              <w:spacing w:after="0"/>
              <w:jc w:val="center"/>
              <w:rPr>
                <w:highlight w:val="lightGray"/>
              </w:rPr>
            </w:pP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6B0199DE" w14:textId="77777777" w:rsidR="00CB63E9" w:rsidRPr="009E5CCE" w:rsidRDefault="00CB63E9" w:rsidP="002103A2">
            <w:pPr>
              <w:pStyle w:val="FooterTableFigure"/>
              <w:keepNext/>
              <w:spacing w:after="0"/>
              <w:jc w:val="center"/>
              <w:rPr>
                <w:highlight w:val="lightGray"/>
              </w:rPr>
            </w:pPr>
          </w:p>
        </w:tc>
      </w:tr>
      <w:tr w:rsidR="00CB63E9" w:rsidRPr="0099114C" w14:paraId="3024BA45" w14:textId="77777777" w:rsidTr="002103A2">
        <w:trPr>
          <w:trHeight w:val="20"/>
          <w:tblHeader/>
        </w:trPr>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32950E95" w14:textId="77777777" w:rsidR="00CB63E9" w:rsidRPr="0099114C" w:rsidRDefault="00CB63E9" w:rsidP="002103A2">
            <w:pPr>
              <w:pStyle w:val="TableText"/>
            </w:pPr>
            <w:r w:rsidRPr="0099114C">
              <w:t xml:space="preserve">  PBS</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1B5D2C12" w14:textId="4C5C13C2"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62" w:id="-961806333"/>
                <w14:textFill>
                  <w14:solidFill>
                    <w14:srgbClr w14:val="000000">
                      <w14:alpha w14:val="100000"/>
                    </w14:srgbClr>
                  </w14:solidFill>
                </w14:textFill>
              </w:rPr>
              <w:t xml:space="preserve">　</w:t>
            </w:r>
            <w:r w:rsidRPr="005F1F42">
              <w:rPr>
                <w:color w:val="000000"/>
                <w:w w:val="15"/>
                <w:shd w:val="solid" w:color="000000" w:fill="000000"/>
                <w:fitText w:val="62" w:id="-961806333"/>
                <w14:textFill>
                  <w14:solidFill>
                    <w14:srgbClr w14:val="000000">
                      <w14:alpha w14:val="100000"/>
                    </w14:srgbClr>
                  </w14:solidFill>
                </w14:textFill>
              </w:rPr>
              <w:t>|</w:t>
            </w:r>
            <w:r w:rsidRPr="005F1F42">
              <w:rPr>
                <w:rFonts w:hint="eastAsia"/>
                <w:color w:val="000000"/>
                <w:spacing w:val="-3"/>
                <w:w w:val="15"/>
                <w:shd w:val="solid" w:color="000000" w:fill="000000"/>
                <w:fitText w:val="62" w:id="-961806333"/>
                <w14:textFill>
                  <w14:solidFill>
                    <w14:srgbClr w14:val="000000">
                      <w14:alpha w14:val="100000"/>
                    </w14:srgbClr>
                  </w14:solidFill>
                </w14:textFill>
              </w:rPr>
              <w:t xml:space="preserve">　</w:t>
            </w:r>
            <w:r w:rsidR="002C6224" w:rsidRPr="001A420F">
              <w:rPr>
                <w:vertAlign w:val="superscript"/>
              </w:rPr>
              <w:t>1</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60705C05" w14:textId="1C5C95CA"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62" w:id="-961806332"/>
                <w14:textFill>
                  <w14:solidFill>
                    <w14:srgbClr w14:val="000000">
                      <w14:alpha w14:val="100000"/>
                    </w14:srgbClr>
                  </w14:solidFill>
                </w14:textFill>
              </w:rPr>
              <w:t xml:space="preserve">　</w:t>
            </w:r>
            <w:r w:rsidRPr="005F1F42">
              <w:rPr>
                <w:color w:val="000000"/>
                <w:w w:val="15"/>
                <w:shd w:val="solid" w:color="000000" w:fill="000000"/>
                <w:fitText w:val="62" w:id="-961806332"/>
                <w14:textFill>
                  <w14:solidFill>
                    <w14:srgbClr w14:val="000000">
                      <w14:alpha w14:val="100000"/>
                    </w14:srgbClr>
                  </w14:solidFill>
                </w14:textFill>
              </w:rPr>
              <w:t>|</w:t>
            </w:r>
            <w:r w:rsidRPr="005F1F42">
              <w:rPr>
                <w:rFonts w:hint="eastAsia"/>
                <w:color w:val="000000"/>
                <w:spacing w:val="-3"/>
                <w:w w:val="15"/>
                <w:shd w:val="solid" w:color="000000" w:fill="000000"/>
                <w:fitText w:val="62" w:id="-961806332"/>
                <w14:textFill>
                  <w14:solidFill>
                    <w14:srgbClr w14:val="000000">
                      <w14:alpha w14:val="100000"/>
                    </w14:srgbClr>
                  </w14:solidFill>
                </w14:textFill>
              </w:rPr>
              <w:t xml:space="preserve">　</w:t>
            </w:r>
            <w:r w:rsidR="002C6224" w:rsidRPr="009E5CCE">
              <w:rPr>
                <w:vertAlign w:val="superscript"/>
              </w:rPr>
              <w:t>3</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51870F78" w14:textId="10902D95"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63" w:id="-961806331"/>
                <w14:textFill>
                  <w14:solidFill>
                    <w14:srgbClr w14:val="000000">
                      <w14:alpha w14:val="100000"/>
                    </w14:srgbClr>
                  </w14:solidFill>
                </w14:textFill>
              </w:rPr>
              <w:t xml:space="preserve">　</w:t>
            </w:r>
            <w:r w:rsidRPr="005F1F42">
              <w:rPr>
                <w:color w:val="000000"/>
                <w:w w:val="15"/>
                <w:shd w:val="solid" w:color="000000" w:fill="000000"/>
                <w:fitText w:val="63" w:id="-961806331"/>
                <w14:textFill>
                  <w14:solidFill>
                    <w14:srgbClr w14:val="000000">
                      <w14:alpha w14:val="100000"/>
                    </w14:srgbClr>
                  </w14:solidFill>
                </w14:textFill>
              </w:rPr>
              <w:t>|</w:t>
            </w:r>
            <w:r w:rsidRPr="005F1F42">
              <w:rPr>
                <w:rFonts w:hint="eastAsia"/>
                <w:color w:val="000000"/>
                <w:spacing w:val="-2"/>
                <w:w w:val="15"/>
                <w:shd w:val="solid" w:color="000000" w:fill="000000"/>
                <w:fitText w:val="63" w:id="-961806331"/>
                <w14:textFill>
                  <w14:solidFill>
                    <w14:srgbClr w14:val="000000">
                      <w14:alpha w14:val="100000"/>
                    </w14:srgbClr>
                  </w14:solidFill>
                </w14:textFill>
              </w:rPr>
              <w:t xml:space="preserve">　</w:t>
            </w:r>
            <w:r w:rsidR="002C6224" w:rsidRPr="001A420F">
              <w:rPr>
                <w:vertAlign w:val="superscript"/>
              </w:rPr>
              <w:t>3</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45695EC3" w14:textId="3ADA1CA9"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50" w:id="-961806330"/>
                <w14:textFill>
                  <w14:solidFill>
                    <w14:srgbClr w14:val="000000">
                      <w14:alpha w14:val="100000"/>
                    </w14:srgbClr>
                  </w14:solidFill>
                </w14:textFill>
              </w:rPr>
              <w:t xml:space="preserve">　</w:t>
            </w:r>
            <w:r w:rsidRPr="005F1F42">
              <w:rPr>
                <w:color w:val="000000"/>
                <w:w w:val="15"/>
                <w:shd w:val="solid" w:color="000000" w:fill="000000"/>
                <w:fitText w:val="50" w:id="-961806330"/>
                <w14:textFill>
                  <w14:solidFill>
                    <w14:srgbClr w14:val="000000">
                      <w14:alpha w14:val="100000"/>
                    </w14:srgbClr>
                  </w14:solidFill>
                </w14:textFill>
              </w:rPr>
              <w:t>|</w:t>
            </w:r>
            <w:r w:rsidRPr="005F1F42">
              <w:rPr>
                <w:rFonts w:hint="eastAsia"/>
                <w:color w:val="000000"/>
                <w:spacing w:val="-15"/>
                <w:w w:val="15"/>
                <w:shd w:val="solid" w:color="000000" w:fill="000000"/>
                <w:fitText w:val="50" w:id="-961806330"/>
                <w14:textFill>
                  <w14:solidFill>
                    <w14:srgbClr w14:val="000000">
                      <w14:alpha w14:val="100000"/>
                    </w14:srgbClr>
                  </w14:solidFill>
                </w14:textFill>
              </w:rPr>
              <w:t xml:space="preserve">　</w:t>
            </w:r>
            <w:r w:rsidR="002C6224" w:rsidRPr="001A420F">
              <w:rPr>
                <w:vertAlign w:val="superscript"/>
              </w:rPr>
              <w:t>3</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76653574" w14:textId="3B463BDC"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50" w:id="-961806329"/>
                <w14:textFill>
                  <w14:solidFill>
                    <w14:srgbClr w14:val="000000">
                      <w14:alpha w14:val="100000"/>
                    </w14:srgbClr>
                  </w14:solidFill>
                </w14:textFill>
              </w:rPr>
              <w:t xml:space="preserve">　</w:t>
            </w:r>
            <w:r w:rsidRPr="005F1F42">
              <w:rPr>
                <w:color w:val="000000"/>
                <w:w w:val="15"/>
                <w:shd w:val="solid" w:color="000000" w:fill="000000"/>
                <w:fitText w:val="50" w:id="-961806329"/>
                <w14:textFill>
                  <w14:solidFill>
                    <w14:srgbClr w14:val="000000">
                      <w14:alpha w14:val="100000"/>
                    </w14:srgbClr>
                  </w14:solidFill>
                </w14:textFill>
              </w:rPr>
              <w:t>|</w:t>
            </w:r>
            <w:r w:rsidRPr="005F1F42">
              <w:rPr>
                <w:rFonts w:hint="eastAsia"/>
                <w:color w:val="000000"/>
                <w:spacing w:val="-15"/>
                <w:w w:val="15"/>
                <w:shd w:val="solid" w:color="000000" w:fill="000000"/>
                <w:fitText w:val="50" w:id="-961806329"/>
                <w14:textFill>
                  <w14:solidFill>
                    <w14:srgbClr w14:val="000000">
                      <w14:alpha w14:val="100000"/>
                    </w14:srgbClr>
                  </w14:solidFill>
                </w14:textFill>
              </w:rPr>
              <w:t xml:space="preserve">　</w:t>
            </w:r>
            <w:r w:rsidR="002C6224" w:rsidRPr="001A420F">
              <w:rPr>
                <w:vertAlign w:val="superscript"/>
              </w:rPr>
              <w:t>3</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23C0A272" w14:textId="5A82CF53"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51" w:id="-961806328"/>
                <w14:textFill>
                  <w14:solidFill>
                    <w14:srgbClr w14:val="000000">
                      <w14:alpha w14:val="100000"/>
                    </w14:srgbClr>
                  </w14:solidFill>
                </w14:textFill>
              </w:rPr>
              <w:t xml:space="preserve">　</w:t>
            </w:r>
            <w:r w:rsidRPr="005F1F42">
              <w:rPr>
                <w:color w:val="000000"/>
                <w:w w:val="15"/>
                <w:shd w:val="solid" w:color="000000" w:fill="000000"/>
                <w:fitText w:val="51" w:id="-961806328"/>
                <w14:textFill>
                  <w14:solidFill>
                    <w14:srgbClr w14:val="000000">
                      <w14:alpha w14:val="100000"/>
                    </w14:srgbClr>
                  </w14:solidFill>
                </w14:textFill>
              </w:rPr>
              <w:t>|</w:t>
            </w:r>
            <w:r w:rsidRPr="005F1F42">
              <w:rPr>
                <w:rFonts w:hint="eastAsia"/>
                <w:color w:val="000000"/>
                <w:spacing w:val="-14"/>
                <w:w w:val="15"/>
                <w:shd w:val="solid" w:color="000000" w:fill="000000"/>
                <w:fitText w:val="51" w:id="-961806328"/>
                <w14:textFill>
                  <w14:solidFill>
                    <w14:srgbClr w14:val="000000">
                      <w14:alpha w14:val="100000"/>
                    </w14:srgbClr>
                  </w14:solidFill>
                </w14:textFill>
              </w:rPr>
              <w:t xml:space="preserve">　</w:t>
            </w:r>
            <w:r w:rsidR="002C6224" w:rsidRPr="001A420F">
              <w:rPr>
                <w:vertAlign w:val="superscript"/>
              </w:rPr>
              <w:t>3</w:t>
            </w:r>
          </w:p>
        </w:tc>
      </w:tr>
      <w:tr w:rsidR="00CB63E9" w:rsidRPr="0099114C" w14:paraId="698E7AAB" w14:textId="77777777" w:rsidTr="002103A2">
        <w:trPr>
          <w:trHeight w:val="20"/>
          <w:tblHeader/>
        </w:trPr>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0C0AAE27" w14:textId="77777777" w:rsidR="00CB63E9" w:rsidRPr="0099114C" w:rsidRDefault="00CB63E9" w:rsidP="002103A2">
            <w:pPr>
              <w:pStyle w:val="TableText"/>
            </w:pPr>
            <w:r w:rsidRPr="0099114C">
              <w:t xml:space="preserve">  RPBS</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10C7D3C8" w14:textId="757C83F1"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62" w:id="-961806327"/>
                <w14:textFill>
                  <w14:solidFill>
                    <w14:srgbClr w14:val="000000">
                      <w14:alpha w14:val="100000"/>
                    </w14:srgbClr>
                  </w14:solidFill>
                </w14:textFill>
              </w:rPr>
              <w:t xml:space="preserve">　</w:t>
            </w:r>
            <w:r w:rsidRPr="005F1F42">
              <w:rPr>
                <w:color w:val="000000"/>
                <w:w w:val="15"/>
                <w:shd w:val="solid" w:color="000000" w:fill="000000"/>
                <w:fitText w:val="62" w:id="-961806327"/>
                <w14:textFill>
                  <w14:solidFill>
                    <w14:srgbClr w14:val="000000">
                      <w14:alpha w14:val="100000"/>
                    </w14:srgbClr>
                  </w14:solidFill>
                </w14:textFill>
              </w:rPr>
              <w:t>|</w:t>
            </w:r>
            <w:r w:rsidRPr="005F1F42">
              <w:rPr>
                <w:rFonts w:hint="eastAsia"/>
                <w:color w:val="000000"/>
                <w:spacing w:val="-3"/>
                <w:w w:val="15"/>
                <w:shd w:val="solid" w:color="000000" w:fill="000000"/>
                <w:fitText w:val="62" w:id="-961806327"/>
                <w14:textFill>
                  <w14:solidFill>
                    <w14:srgbClr w14:val="000000">
                      <w14:alpha w14:val="100000"/>
                    </w14:srgbClr>
                  </w14:solidFill>
                </w14:textFill>
              </w:rPr>
              <w:t xml:space="preserve">　</w:t>
            </w:r>
            <w:r w:rsidR="002C6224" w:rsidRPr="001A420F">
              <w:rPr>
                <w:vertAlign w:val="superscript"/>
              </w:rPr>
              <w:t>2</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5D144951" w14:textId="2157CDEF"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62" w:id="-961806326"/>
                <w14:textFill>
                  <w14:solidFill>
                    <w14:srgbClr w14:val="000000">
                      <w14:alpha w14:val="100000"/>
                    </w14:srgbClr>
                  </w14:solidFill>
                </w14:textFill>
              </w:rPr>
              <w:t xml:space="preserve">　</w:t>
            </w:r>
            <w:r w:rsidRPr="005F1F42">
              <w:rPr>
                <w:color w:val="000000"/>
                <w:w w:val="15"/>
                <w:shd w:val="solid" w:color="000000" w:fill="000000"/>
                <w:fitText w:val="62" w:id="-961806326"/>
                <w14:textFill>
                  <w14:solidFill>
                    <w14:srgbClr w14:val="000000">
                      <w14:alpha w14:val="100000"/>
                    </w14:srgbClr>
                  </w14:solidFill>
                </w14:textFill>
              </w:rPr>
              <w:t>|</w:t>
            </w:r>
            <w:r w:rsidRPr="005F1F42">
              <w:rPr>
                <w:rFonts w:hint="eastAsia"/>
                <w:color w:val="000000"/>
                <w:spacing w:val="-3"/>
                <w:w w:val="15"/>
                <w:shd w:val="solid" w:color="000000" w:fill="000000"/>
                <w:fitText w:val="62" w:id="-961806326"/>
                <w14:textFill>
                  <w14:solidFill>
                    <w14:srgbClr w14:val="000000">
                      <w14:alpha w14:val="100000"/>
                    </w14:srgbClr>
                  </w14:solidFill>
                </w14:textFill>
              </w:rPr>
              <w:t xml:space="preserve">　</w:t>
            </w:r>
            <w:r w:rsidR="002C6224" w:rsidRPr="001A420F">
              <w:rPr>
                <w:vertAlign w:val="superscript"/>
              </w:rPr>
              <w:t>2</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6E4D81F6" w14:textId="42E7071C"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63" w:id="-961806325"/>
                <w14:textFill>
                  <w14:solidFill>
                    <w14:srgbClr w14:val="000000">
                      <w14:alpha w14:val="100000"/>
                    </w14:srgbClr>
                  </w14:solidFill>
                </w14:textFill>
              </w:rPr>
              <w:t xml:space="preserve">　</w:t>
            </w:r>
            <w:r w:rsidRPr="005F1F42">
              <w:rPr>
                <w:color w:val="000000"/>
                <w:w w:val="15"/>
                <w:shd w:val="solid" w:color="000000" w:fill="000000"/>
                <w:fitText w:val="63" w:id="-961806325"/>
                <w14:textFill>
                  <w14:solidFill>
                    <w14:srgbClr w14:val="000000">
                      <w14:alpha w14:val="100000"/>
                    </w14:srgbClr>
                  </w14:solidFill>
                </w14:textFill>
              </w:rPr>
              <w:t>|</w:t>
            </w:r>
            <w:r w:rsidRPr="005F1F42">
              <w:rPr>
                <w:rFonts w:hint="eastAsia"/>
                <w:color w:val="000000"/>
                <w:spacing w:val="-2"/>
                <w:w w:val="15"/>
                <w:shd w:val="solid" w:color="000000" w:fill="000000"/>
                <w:fitText w:val="63" w:id="-961806325"/>
                <w14:textFill>
                  <w14:solidFill>
                    <w14:srgbClr w14:val="000000">
                      <w14:alpha w14:val="100000"/>
                    </w14:srgbClr>
                  </w14:solidFill>
                </w14:textFill>
              </w:rPr>
              <w:t xml:space="preserve">　</w:t>
            </w:r>
            <w:r w:rsidR="002C6224" w:rsidRPr="001A420F">
              <w:rPr>
                <w:vertAlign w:val="superscript"/>
              </w:rPr>
              <w:t>2</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2E7FBCE5" w14:textId="17E820BB"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50" w:id="-961806324"/>
                <w14:textFill>
                  <w14:solidFill>
                    <w14:srgbClr w14:val="000000">
                      <w14:alpha w14:val="100000"/>
                    </w14:srgbClr>
                  </w14:solidFill>
                </w14:textFill>
              </w:rPr>
              <w:t xml:space="preserve">　</w:t>
            </w:r>
            <w:r w:rsidRPr="005F1F42">
              <w:rPr>
                <w:color w:val="000000"/>
                <w:w w:val="15"/>
                <w:shd w:val="solid" w:color="000000" w:fill="000000"/>
                <w:fitText w:val="50" w:id="-961806324"/>
                <w14:textFill>
                  <w14:solidFill>
                    <w14:srgbClr w14:val="000000">
                      <w14:alpha w14:val="100000"/>
                    </w14:srgbClr>
                  </w14:solidFill>
                </w14:textFill>
              </w:rPr>
              <w:t>|</w:t>
            </w:r>
            <w:r w:rsidRPr="005F1F42">
              <w:rPr>
                <w:rFonts w:hint="eastAsia"/>
                <w:color w:val="000000"/>
                <w:spacing w:val="-15"/>
                <w:w w:val="15"/>
                <w:shd w:val="solid" w:color="000000" w:fill="000000"/>
                <w:fitText w:val="50" w:id="-961806324"/>
                <w14:textFill>
                  <w14:solidFill>
                    <w14:srgbClr w14:val="000000">
                      <w14:alpha w14:val="100000"/>
                    </w14:srgbClr>
                  </w14:solidFill>
                </w14:textFill>
              </w:rPr>
              <w:t xml:space="preserve">　</w:t>
            </w:r>
            <w:r w:rsidR="002C6224" w:rsidRPr="001A420F">
              <w:rPr>
                <w:vertAlign w:val="superscript"/>
              </w:rPr>
              <w:t>2</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757E60D9" w14:textId="0382CD1A"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50" w:id="-961806323"/>
                <w14:textFill>
                  <w14:solidFill>
                    <w14:srgbClr w14:val="000000">
                      <w14:alpha w14:val="100000"/>
                    </w14:srgbClr>
                  </w14:solidFill>
                </w14:textFill>
              </w:rPr>
              <w:t xml:space="preserve">　</w:t>
            </w:r>
            <w:r w:rsidRPr="005F1F42">
              <w:rPr>
                <w:color w:val="000000"/>
                <w:w w:val="15"/>
                <w:shd w:val="solid" w:color="000000" w:fill="000000"/>
                <w:fitText w:val="50" w:id="-961806323"/>
                <w14:textFill>
                  <w14:solidFill>
                    <w14:srgbClr w14:val="000000">
                      <w14:alpha w14:val="100000"/>
                    </w14:srgbClr>
                  </w14:solidFill>
                </w14:textFill>
              </w:rPr>
              <w:t>|</w:t>
            </w:r>
            <w:r w:rsidRPr="005F1F42">
              <w:rPr>
                <w:rFonts w:hint="eastAsia"/>
                <w:color w:val="000000"/>
                <w:spacing w:val="-15"/>
                <w:w w:val="15"/>
                <w:shd w:val="solid" w:color="000000" w:fill="000000"/>
                <w:fitText w:val="50" w:id="-961806323"/>
                <w14:textFill>
                  <w14:solidFill>
                    <w14:srgbClr w14:val="000000">
                      <w14:alpha w14:val="100000"/>
                    </w14:srgbClr>
                  </w14:solidFill>
                </w14:textFill>
              </w:rPr>
              <w:t xml:space="preserve">　</w:t>
            </w:r>
            <w:r w:rsidR="002C6224" w:rsidRPr="001A420F">
              <w:rPr>
                <w:vertAlign w:val="superscript"/>
              </w:rPr>
              <w:t>2</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0C5665DD" w14:textId="0DF49068"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51" w:id="-961806322"/>
                <w14:textFill>
                  <w14:solidFill>
                    <w14:srgbClr w14:val="000000">
                      <w14:alpha w14:val="100000"/>
                    </w14:srgbClr>
                  </w14:solidFill>
                </w14:textFill>
              </w:rPr>
              <w:t xml:space="preserve">　</w:t>
            </w:r>
            <w:r w:rsidRPr="005F1F42">
              <w:rPr>
                <w:color w:val="000000"/>
                <w:w w:val="15"/>
                <w:shd w:val="solid" w:color="000000" w:fill="000000"/>
                <w:fitText w:val="51" w:id="-961806322"/>
                <w14:textFill>
                  <w14:solidFill>
                    <w14:srgbClr w14:val="000000">
                      <w14:alpha w14:val="100000"/>
                    </w14:srgbClr>
                  </w14:solidFill>
                </w14:textFill>
              </w:rPr>
              <w:t>|</w:t>
            </w:r>
            <w:r w:rsidRPr="005F1F42">
              <w:rPr>
                <w:rFonts w:hint="eastAsia"/>
                <w:color w:val="000000"/>
                <w:spacing w:val="-14"/>
                <w:w w:val="15"/>
                <w:shd w:val="solid" w:color="000000" w:fill="000000"/>
                <w:fitText w:val="51" w:id="-961806322"/>
                <w14:textFill>
                  <w14:solidFill>
                    <w14:srgbClr w14:val="000000">
                      <w14:alpha w14:val="100000"/>
                    </w14:srgbClr>
                  </w14:solidFill>
                </w14:textFill>
              </w:rPr>
              <w:t xml:space="preserve">　</w:t>
            </w:r>
            <w:r w:rsidR="002C6224" w:rsidRPr="001A420F">
              <w:rPr>
                <w:vertAlign w:val="superscript"/>
              </w:rPr>
              <w:t>2</w:t>
            </w:r>
          </w:p>
        </w:tc>
      </w:tr>
      <w:tr w:rsidR="00CB63E9" w:rsidRPr="0099114C" w14:paraId="5A9996E5" w14:textId="77777777" w:rsidTr="002103A2">
        <w:trPr>
          <w:trHeight w:val="20"/>
          <w:tblHeader/>
        </w:trPr>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1A04D27B" w14:textId="77777777" w:rsidR="00CB63E9" w:rsidRPr="0099114C" w:rsidRDefault="00CB63E9" w:rsidP="002103A2">
            <w:pPr>
              <w:pStyle w:val="TableText"/>
              <w:rPr>
                <w:rStyle w:val="CommentReference"/>
              </w:rPr>
            </w:pPr>
            <w:r w:rsidRPr="0099114C">
              <w:rPr>
                <w:rStyle w:val="CommentReference"/>
              </w:rPr>
              <w:t xml:space="preserve">Total script numbers </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460B82CA" w14:textId="52656DD1"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62" w:id="-961806321"/>
                <w14:textFill>
                  <w14:solidFill>
                    <w14:srgbClr w14:val="000000">
                      <w14:alpha w14:val="100000"/>
                    </w14:srgbClr>
                  </w14:solidFill>
                </w14:textFill>
              </w:rPr>
              <w:t xml:space="preserve">　</w:t>
            </w:r>
            <w:r w:rsidRPr="005F1F42">
              <w:rPr>
                <w:color w:val="000000"/>
                <w:w w:val="15"/>
                <w:shd w:val="solid" w:color="000000" w:fill="000000"/>
                <w:fitText w:val="62" w:id="-961806321"/>
                <w14:textFill>
                  <w14:solidFill>
                    <w14:srgbClr w14:val="000000">
                      <w14:alpha w14:val="100000"/>
                    </w14:srgbClr>
                  </w14:solidFill>
                </w14:textFill>
              </w:rPr>
              <w:t>|</w:t>
            </w:r>
            <w:r w:rsidRPr="005F1F42">
              <w:rPr>
                <w:rFonts w:hint="eastAsia"/>
                <w:color w:val="000000"/>
                <w:spacing w:val="-3"/>
                <w:w w:val="15"/>
                <w:shd w:val="solid" w:color="000000" w:fill="000000"/>
                <w:fitText w:val="62" w:id="-961806321"/>
                <w14:textFill>
                  <w14:solidFill>
                    <w14:srgbClr w14:val="000000">
                      <w14:alpha w14:val="100000"/>
                    </w14:srgbClr>
                  </w14:solidFill>
                </w14:textFill>
              </w:rPr>
              <w:t xml:space="preserve">　</w:t>
            </w:r>
            <w:r w:rsidR="002C6224" w:rsidRPr="001A420F">
              <w:rPr>
                <w:vertAlign w:val="superscript"/>
              </w:rPr>
              <w:t>1</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42A54B83" w14:textId="56DA286B"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62" w:id="-961806320"/>
                <w14:textFill>
                  <w14:solidFill>
                    <w14:srgbClr w14:val="000000">
                      <w14:alpha w14:val="100000"/>
                    </w14:srgbClr>
                  </w14:solidFill>
                </w14:textFill>
              </w:rPr>
              <w:t xml:space="preserve">　</w:t>
            </w:r>
            <w:r w:rsidRPr="005F1F42">
              <w:rPr>
                <w:color w:val="000000"/>
                <w:w w:val="15"/>
                <w:shd w:val="solid" w:color="000000" w:fill="000000"/>
                <w:fitText w:val="62" w:id="-961806320"/>
                <w14:textFill>
                  <w14:solidFill>
                    <w14:srgbClr w14:val="000000">
                      <w14:alpha w14:val="100000"/>
                    </w14:srgbClr>
                  </w14:solidFill>
                </w14:textFill>
              </w:rPr>
              <w:t>|</w:t>
            </w:r>
            <w:r w:rsidRPr="005F1F42">
              <w:rPr>
                <w:rFonts w:hint="eastAsia"/>
                <w:color w:val="000000"/>
                <w:spacing w:val="-3"/>
                <w:w w:val="15"/>
                <w:shd w:val="solid" w:color="000000" w:fill="000000"/>
                <w:fitText w:val="62" w:id="-961806320"/>
                <w14:textFill>
                  <w14:solidFill>
                    <w14:srgbClr w14:val="000000">
                      <w14:alpha w14:val="100000"/>
                    </w14:srgbClr>
                  </w14:solidFill>
                </w14:textFill>
              </w:rPr>
              <w:t xml:space="preserve">　</w:t>
            </w:r>
            <w:r w:rsidR="002C6224" w:rsidRPr="001A420F">
              <w:rPr>
                <w:vertAlign w:val="superscript"/>
              </w:rPr>
              <w:t>3</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5A4EA90B" w14:textId="563E136C"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63" w:id="-961806336"/>
                <w14:textFill>
                  <w14:solidFill>
                    <w14:srgbClr w14:val="000000">
                      <w14:alpha w14:val="100000"/>
                    </w14:srgbClr>
                  </w14:solidFill>
                </w14:textFill>
              </w:rPr>
              <w:t xml:space="preserve">　</w:t>
            </w:r>
            <w:r w:rsidRPr="005F1F42">
              <w:rPr>
                <w:color w:val="000000"/>
                <w:w w:val="15"/>
                <w:shd w:val="solid" w:color="000000" w:fill="000000"/>
                <w:fitText w:val="63" w:id="-961806336"/>
                <w14:textFill>
                  <w14:solidFill>
                    <w14:srgbClr w14:val="000000">
                      <w14:alpha w14:val="100000"/>
                    </w14:srgbClr>
                  </w14:solidFill>
                </w14:textFill>
              </w:rPr>
              <w:t>|</w:t>
            </w:r>
            <w:r w:rsidRPr="005F1F42">
              <w:rPr>
                <w:rFonts w:hint="eastAsia"/>
                <w:color w:val="000000"/>
                <w:spacing w:val="-2"/>
                <w:w w:val="15"/>
                <w:shd w:val="solid" w:color="000000" w:fill="000000"/>
                <w:fitText w:val="63" w:id="-961806336"/>
                <w14:textFill>
                  <w14:solidFill>
                    <w14:srgbClr w14:val="000000">
                      <w14:alpha w14:val="100000"/>
                    </w14:srgbClr>
                  </w14:solidFill>
                </w14:textFill>
              </w:rPr>
              <w:t xml:space="preserve">　</w:t>
            </w:r>
            <w:r w:rsidR="002C6224" w:rsidRPr="001A420F">
              <w:rPr>
                <w:vertAlign w:val="superscript"/>
              </w:rPr>
              <w:t>3</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16B7FDA4" w14:textId="21F49AA1"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50" w:id="-961806335"/>
                <w14:textFill>
                  <w14:solidFill>
                    <w14:srgbClr w14:val="000000">
                      <w14:alpha w14:val="100000"/>
                    </w14:srgbClr>
                  </w14:solidFill>
                </w14:textFill>
              </w:rPr>
              <w:t xml:space="preserve">　</w:t>
            </w:r>
            <w:r w:rsidRPr="005F1F42">
              <w:rPr>
                <w:color w:val="000000"/>
                <w:w w:val="15"/>
                <w:shd w:val="solid" w:color="000000" w:fill="000000"/>
                <w:fitText w:val="50" w:id="-961806335"/>
                <w14:textFill>
                  <w14:solidFill>
                    <w14:srgbClr w14:val="000000">
                      <w14:alpha w14:val="100000"/>
                    </w14:srgbClr>
                  </w14:solidFill>
                </w14:textFill>
              </w:rPr>
              <w:t>|</w:t>
            </w:r>
            <w:r w:rsidRPr="005F1F42">
              <w:rPr>
                <w:rFonts w:hint="eastAsia"/>
                <w:color w:val="000000"/>
                <w:spacing w:val="-15"/>
                <w:w w:val="15"/>
                <w:shd w:val="solid" w:color="000000" w:fill="000000"/>
                <w:fitText w:val="50" w:id="-961806335"/>
                <w14:textFill>
                  <w14:solidFill>
                    <w14:srgbClr w14:val="000000">
                      <w14:alpha w14:val="100000"/>
                    </w14:srgbClr>
                  </w14:solidFill>
                </w14:textFill>
              </w:rPr>
              <w:t xml:space="preserve">　</w:t>
            </w:r>
            <w:r w:rsidR="002C6224" w:rsidRPr="001A420F">
              <w:rPr>
                <w:vertAlign w:val="superscript"/>
              </w:rPr>
              <w:t>3</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2B8A2C9C" w14:textId="3C952062"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50" w:id="-961806334"/>
                <w14:textFill>
                  <w14:solidFill>
                    <w14:srgbClr w14:val="000000">
                      <w14:alpha w14:val="100000"/>
                    </w14:srgbClr>
                  </w14:solidFill>
                </w14:textFill>
              </w:rPr>
              <w:t xml:space="preserve">　</w:t>
            </w:r>
            <w:r w:rsidRPr="005F1F42">
              <w:rPr>
                <w:color w:val="000000"/>
                <w:w w:val="15"/>
                <w:shd w:val="solid" w:color="000000" w:fill="000000"/>
                <w:fitText w:val="50" w:id="-961806334"/>
                <w14:textFill>
                  <w14:solidFill>
                    <w14:srgbClr w14:val="000000">
                      <w14:alpha w14:val="100000"/>
                    </w14:srgbClr>
                  </w14:solidFill>
                </w14:textFill>
              </w:rPr>
              <w:t>|</w:t>
            </w:r>
            <w:r w:rsidRPr="005F1F42">
              <w:rPr>
                <w:rFonts w:hint="eastAsia"/>
                <w:color w:val="000000"/>
                <w:spacing w:val="-15"/>
                <w:w w:val="15"/>
                <w:shd w:val="solid" w:color="000000" w:fill="000000"/>
                <w:fitText w:val="50" w:id="-961806334"/>
                <w14:textFill>
                  <w14:solidFill>
                    <w14:srgbClr w14:val="000000">
                      <w14:alpha w14:val="100000"/>
                    </w14:srgbClr>
                  </w14:solidFill>
                </w14:textFill>
              </w:rPr>
              <w:t xml:space="preserve">　</w:t>
            </w:r>
            <w:r w:rsidR="002C6224" w:rsidRPr="001A420F">
              <w:rPr>
                <w:vertAlign w:val="superscript"/>
              </w:rPr>
              <w:t>3</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6EDE20B4" w14:textId="136A2B55"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51" w:id="-961806333"/>
                <w14:textFill>
                  <w14:solidFill>
                    <w14:srgbClr w14:val="000000">
                      <w14:alpha w14:val="100000"/>
                    </w14:srgbClr>
                  </w14:solidFill>
                </w14:textFill>
              </w:rPr>
              <w:t xml:space="preserve">　</w:t>
            </w:r>
            <w:r w:rsidRPr="005F1F42">
              <w:rPr>
                <w:color w:val="000000"/>
                <w:w w:val="15"/>
                <w:shd w:val="solid" w:color="000000" w:fill="000000"/>
                <w:fitText w:val="51" w:id="-961806333"/>
                <w14:textFill>
                  <w14:solidFill>
                    <w14:srgbClr w14:val="000000">
                      <w14:alpha w14:val="100000"/>
                    </w14:srgbClr>
                  </w14:solidFill>
                </w14:textFill>
              </w:rPr>
              <w:t>|</w:t>
            </w:r>
            <w:r w:rsidRPr="005F1F42">
              <w:rPr>
                <w:rFonts w:hint="eastAsia"/>
                <w:color w:val="000000"/>
                <w:spacing w:val="-14"/>
                <w:w w:val="15"/>
                <w:shd w:val="solid" w:color="000000" w:fill="000000"/>
                <w:fitText w:val="51" w:id="-961806333"/>
                <w14:textFill>
                  <w14:solidFill>
                    <w14:srgbClr w14:val="000000">
                      <w14:alpha w14:val="100000"/>
                    </w14:srgbClr>
                  </w14:solidFill>
                </w14:textFill>
              </w:rPr>
              <w:t xml:space="preserve">　</w:t>
            </w:r>
            <w:r w:rsidR="002C6224" w:rsidRPr="001A420F">
              <w:rPr>
                <w:vertAlign w:val="superscript"/>
              </w:rPr>
              <w:t>3</w:t>
            </w:r>
          </w:p>
        </w:tc>
      </w:tr>
      <w:tr w:rsidR="00CB63E9" w:rsidRPr="0099114C" w14:paraId="34B4D097" w14:textId="77777777" w:rsidTr="002103A2">
        <w:trPr>
          <w:trHeight w:val="20"/>
          <w:tblHeader/>
        </w:trPr>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513EB29F" w14:textId="77777777" w:rsidR="00CB63E9" w:rsidRPr="0099114C" w:rsidRDefault="00CB63E9" w:rsidP="002103A2">
            <w:pPr>
              <w:pStyle w:val="TableText"/>
              <w:rPr>
                <w:rStyle w:val="CommentReference"/>
              </w:rPr>
            </w:pPr>
            <w:r w:rsidRPr="0099114C">
              <w:rPr>
                <w:rStyle w:val="CommentReference"/>
              </w:rPr>
              <w:t>Cost</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6D575906" w14:textId="77777777" w:rsidR="00CB63E9" w:rsidRPr="0099114C" w:rsidRDefault="00CB63E9" w:rsidP="002103A2">
            <w:pPr>
              <w:pStyle w:val="TableText"/>
              <w:jc w:val="center"/>
            </w:pP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4AFF1E29" w14:textId="77777777" w:rsidR="00CB63E9" w:rsidRPr="0099114C" w:rsidRDefault="00CB63E9" w:rsidP="002103A2">
            <w:pPr>
              <w:pStyle w:val="TableText"/>
              <w:jc w:val="center"/>
            </w:pP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3834E2C9" w14:textId="77777777" w:rsidR="00CB63E9" w:rsidRPr="0099114C" w:rsidRDefault="00CB63E9" w:rsidP="002103A2">
            <w:pPr>
              <w:pStyle w:val="TableText"/>
              <w:jc w:val="center"/>
            </w:pP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5FED1554" w14:textId="77777777" w:rsidR="00CB63E9" w:rsidRPr="0099114C" w:rsidRDefault="00CB63E9" w:rsidP="002103A2">
            <w:pPr>
              <w:pStyle w:val="TableText"/>
              <w:jc w:val="center"/>
            </w:pP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25582F54" w14:textId="77777777" w:rsidR="00CB63E9" w:rsidRPr="0099114C" w:rsidRDefault="00CB63E9" w:rsidP="002103A2">
            <w:pPr>
              <w:pStyle w:val="TableText"/>
              <w:jc w:val="center"/>
            </w:pP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431C6E00" w14:textId="77777777" w:rsidR="00CB63E9" w:rsidRPr="0099114C" w:rsidRDefault="00CB63E9" w:rsidP="002103A2">
            <w:pPr>
              <w:pStyle w:val="TableText"/>
              <w:jc w:val="center"/>
            </w:pPr>
          </w:p>
        </w:tc>
      </w:tr>
      <w:tr w:rsidR="00CB63E9" w:rsidRPr="0099114C" w14:paraId="617EDC9E" w14:textId="77777777" w:rsidTr="002103A2">
        <w:trPr>
          <w:trHeight w:val="20"/>
          <w:tblHeader/>
        </w:trPr>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17B2FB7D" w14:textId="77777777" w:rsidR="00CB63E9" w:rsidRPr="0099114C" w:rsidRDefault="00CB63E9" w:rsidP="002103A2">
            <w:pPr>
              <w:pStyle w:val="TableText"/>
            </w:pPr>
            <w:r w:rsidRPr="0099114C">
              <w:t xml:space="preserve">  Cost to PBS </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48669A97" w14:textId="18BF5377"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62" w:id="-961806332"/>
                <w14:textFill>
                  <w14:solidFill>
                    <w14:srgbClr w14:val="000000">
                      <w14:alpha w14:val="100000"/>
                    </w14:srgbClr>
                  </w14:solidFill>
                </w14:textFill>
              </w:rPr>
              <w:t xml:space="preserve">　</w:t>
            </w:r>
            <w:r w:rsidRPr="005F1F42">
              <w:rPr>
                <w:color w:val="000000"/>
                <w:w w:val="15"/>
                <w:shd w:val="solid" w:color="000000" w:fill="000000"/>
                <w:fitText w:val="62" w:id="-961806332"/>
                <w14:textFill>
                  <w14:solidFill>
                    <w14:srgbClr w14:val="000000">
                      <w14:alpha w14:val="100000"/>
                    </w14:srgbClr>
                  </w14:solidFill>
                </w14:textFill>
              </w:rPr>
              <w:t>|</w:t>
            </w:r>
            <w:r w:rsidRPr="005F1F42">
              <w:rPr>
                <w:rFonts w:hint="eastAsia"/>
                <w:color w:val="000000"/>
                <w:spacing w:val="-3"/>
                <w:w w:val="15"/>
                <w:shd w:val="solid" w:color="000000" w:fill="000000"/>
                <w:fitText w:val="62" w:id="-961806332"/>
                <w14:textFill>
                  <w14:solidFill>
                    <w14:srgbClr w14:val="000000">
                      <w14:alpha w14:val="100000"/>
                    </w14:srgbClr>
                  </w14:solidFill>
                </w14:textFill>
              </w:rPr>
              <w:t xml:space="preserve">　</w:t>
            </w:r>
            <w:r w:rsidR="002C6224" w:rsidRPr="009E5CCE">
              <w:rPr>
                <w:vertAlign w:val="superscript"/>
              </w:rPr>
              <w:t>4</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234564D4" w14:textId="0194548C"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62" w:id="-961806331"/>
                <w14:textFill>
                  <w14:solidFill>
                    <w14:srgbClr w14:val="000000">
                      <w14:alpha w14:val="100000"/>
                    </w14:srgbClr>
                  </w14:solidFill>
                </w14:textFill>
              </w:rPr>
              <w:t xml:space="preserve">　</w:t>
            </w:r>
            <w:r w:rsidRPr="005F1F42">
              <w:rPr>
                <w:color w:val="000000"/>
                <w:w w:val="15"/>
                <w:shd w:val="solid" w:color="000000" w:fill="000000"/>
                <w:fitText w:val="62" w:id="-961806331"/>
                <w14:textFill>
                  <w14:solidFill>
                    <w14:srgbClr w14:val="000000">
                      <w14:alpha w14:val="100000"/>
                    </w14:srgbClr>
                  </w14:solidFill>
                </w14:textFill>
              </w:rPr>
              <w:t>|</w:t>
            </w:r>
            <w:r w:rsidRPr="005F1F42">
              <w:rPr>
                <w:rFonts w:hint="eastAsia"/>
                <w:color w:val="000000"/>
                <w:spacing w:val="-3"/>
                <w:w w:val="15"/>
                <w:shd w:val="solid" w:color="000000" w:fill="000000"/>
                <w:fitText w:val="62" w:id="-961806331"/>
                <w14:textFill>
                  <w14:solidFill>
                    <w14:srgbClr w14:val="000000">
                      <w14:alpha w14:val="100000"/>
                    </w14:srgbClr>
                  </w14:solidFill>
                </w14:textFill>
              </w:rPr>
              <w:t xml:space="preserve">　</w:t>
            </w:r>
            <w:r w:rsidR="002C6224" w:rsidRPr="009E5CCE">
              <w:rPr>
                <w:vertAlign w:val="superscript"/>
              </w:rPr>
              <w:t>5</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3839E7EA" w14:textId="4ECD5FE7"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63" w:id="-961806330"/>
                <w14:textFill>
                  <w14:solidFill>
                    <w14:srgbClr w14:val="000000">
                      <w14:alpha w14:val="100000"/>
                    </w14:srgbClr>
                  </w14:solidFill>
                </w14:textFill>
              </w:rPr>
              <w:t xml:space="preserve">　</w:t>
            </w:r>
            <w:r w:rsidRPr="005F1F42">
              <w:rPr>
                <w:color w:val="000000"/>
                <w:w w:val="15"/>
                <w:shd w:val="solid" w:color="000000" w:fill="000000"/>
                <w:fitText w:val="63" w:id="-961806330"/>
                <w14:textFill>
                  <w14:solidFill>
                    <w14:srgbClr w14:val="000000">
                      <w14:alpha w14:val="100000"/>
                    </w14:srgbClr>
                  </w14:solidFill>
                </w14:textFill>
              </w:rPr>
              <w:t>|</w:t>
            </w:r>
            <w:r w:rsidRPr="005F1F42">
              <w:rPr>
                <w:rFonts w:hint="eastAsia"/>
                <w:color w:val="000000"/>
                <w:spacing w:val="-2"/>
                <w:w w:val="15"/>
                <w:shd w:val="solid" w:color="000000" w:fill="000000"/>
                <w:fitText w:val="63" w:id="-961806330"/>
                <w14:textFill>
                  <w14:solidFill>
                    <w14:srgbClr w14:val="000000">
                      <w14:alpha w14:val="100000"/>
                    </w14:srgbClr>
                  </w14:solidFill>
                </w14:textFill>
              </w:rPr>
              <w:t xml:space="preserve">　</w:t>
            </w:r>
            <w:r w:rsidR="002C6224" w:rsidRPr="009E5CCE">
              <w:rPr>
                <w:vertAlign w:val="superscript"/>
              </w:rPr>
              <w:t>6</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2082E01D" w14:textId="707891A0"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50" w:id="-961806329"/>
                <w14:textFill>
                  <w14:solidFill>
                    <w14:srgbClr w14:val="000000">
                      <w14:alpha w14:val="100000"/>
                    </w14:srgbClr>
                  </w14:solidFill>
                </w14:textFill>
              </w:rPr>
              <w:t xml:space="preserve">　</w:t>
            </w:r>
            <w:r w:rsidRPr="005F1F42">
              <w:rPr>
                <w:color w:val="000000"/>
                <w:w w:val="15"/>
                <w:shd w:val="solid" w:color="000000" w:fill="000000"/>
                <w:fitText w:val="50" w:id="-961806329"/>
                <w14:textFill>
                  <w14:solidFill>
                    <w14:srgbClr w14:val="000000">
                      <w14:alpha w14:val="100000"/>
                    </w14:srgbClr>
                  </w14:solidFill>
                </w14:textFill>
              </w:rPr>
              <w:t>|</w:t>
            </w:r>
            <w:r w:rsidRPr="005F1F42">
              <w:rPr>
                <w:rFonts w:hint="eastAsia"/>
                <w:color w:val="000000"/>
                <w:spacing w:val="-15"/>
                <w:w w:val="15"/>
                <w:shd w:val="solid" w:color="000000" w:fill="000000"/>
                <w:fitText w:val="50" w:id="-961806329"/>
                <w14:textFill>
                  <w14:solidFill>
                    <w14:srgbClr w14:val="000000">
                      <w14:alpha w14:val="100000"/>
                    </w14:srgbClr>
                  </w14:solidFill>
                </w14:textFill>
              </w:rPr>
              <w:t xml:space="preserve">　</w:t>
            </w:r>
            <w:r w:rsidR="002C6224" w:rsidRPr="001A420F">
              <w:rPr>
                <w:vertAlign w:val="superscript"/>
              </w:rPr>
              <w:t>6</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57DC85C9" w14:textId="52DE53DF"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50" w:id="-961806328"/>
                <w14:textFill>
                  <w14:solidFill>
                    <w14:srgbClr w14:val="000000">
                      <w14:alpha w14:val="100000"/>
                    </w14:srgbClr>
                  </w14:solidFill>
                </w14:textFill>
              </w:rPr>
              <w:t xml:space="preserve">　</w:t>
            </w:r>
            <w:r w:rsidRPr="005F1F42">
              <w:rPr>
                <w:color w:val="000000"/>
                <w:w w:val="15"/>
                <w:shd w:val="solid" w:color="000000" w:fill="000000"/>
                <w:fitText w:val="50" w:id="-961806328"/>
                <w14:textFill>
                  <w14:solidFill>
                    <w14:srgbClr w14:val="000000">
                      <w14:alpha w14:val="100000"/>
                    </w14:srgbClr>
                  </w14:solidFill>
                </w14:textFill>
              </w:rPr>
              <w:t>|</w:t>
            </w:r>
            <w:r w:rsidRPr="005F1F42">
              <w:rPr>
                <w:rFonts w:hint="eastAsia"/>
                <w:color w:val="000000"/>
                <w:spacing w:val="-15"/>
                <w:w w:val="15"/>
                <w:shd w:val="solid" w:color="000000" w:fill="000000"/>
                <w:fitText w:val="50" w:id="-961806328"/>
                <w14:textFill>
                  <w14:solidFill>
                    <w14:srgbClr w14:val="000000">
                      <w14:alpha w14:val="100000"/>
                    </w14:srgbClr>
                  </w14:solidFill>
                </w14:textFill>
              </w:rPr>
              <w:t xml:space="preserve">　</w:t>
            </w:r>
            <w:r w:rsidR="002C6224" w:rsidRPr="001A420F">
              <w:rPr>
                <w:vertAlign w:val="superscript"/>
              </w:rPr>
              <w:t>6</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42055446" w14:textId="7E9C1585"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51" w:id="-961806327"/>
                <w14:textFill>
                  <w14:solidFill>
                    <w14:srgbClr w14:val="000000">
                      <w14:alpha w14:val="100000"/>
                    </w14:srgbClr>
                  </w14:solidFill>
                </w14:textFill>
              </w:rPr>
              <w:t xml:space="preserve">　</w:t>
            </w:r>
            <w:r w:rsidRPr="005F1F42">
              <w:rPr>
                <w:color w:val="000000"/>
                <w:w w:val="15"/>
                <w:shd w:val="solid" w:color="000000" w:fill="000000"/>
                <w:fitText w:val="51" w:id="-961806327"/>
                <w14:textFill>
                  <w14:solidFill>
                    <w14:srgbClr w14:val="000000">
                      <w14:alpha w14:val="100000"/>
                    </w14:srgbClr>
                  </w14:solidFill>
                </w14:textFill>
              </w:rPr>
              <w:t>|</w:t>
            </w:r>
            <w:r w:rsidRPr="005F1F42">
              <w:rPr>
                <w:rFonts w:hint="eastAsia"/>
                <w:color w:val="000000"/>
                <w:spacing w:val="-14"/>
                <w:w w:val="15"/>
                <w:shd w:val="solid" w:color="000000" w:fill="000000"/>
                <w:fitText w:val="51" w:id="-961806327"/>
                <w14:textFill>
                  <w14:solidFill>
                    <w14:srgbClr w14:val="000000">
                      <w14:alpha w14:val="100000"/>
                    </w14:srgbClr>
                  </w14:solidFill>
                </w14:textFill>
              </w:rPr>
              <w:t xml:space="preserve">　</w:t>
            </w:r>
            <w:r w:rsidR="002C6224" w:rsidRPr="001A420F">
              <w:rPr>
                <w:vertAlign w:val="superscript"/>
              </w:rPr>
              <w:t>6</w:t>
            </w:r>
          </w:p>
        </w:tc>
      </w:tr>
      <w:tr w:rsidR="00CB63E9" w:rsidRPr="0099114C" w14:paraId="145CEB0E" w14:textId="77777777" w:rsidTr="002103A2">
        <w:trPr>
          <w:trHeight w:val="20"/>
          <w:tblHeader/>
        </w:trPr>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5AE27569" w14:textId="77777777" w:rsidR="00CB63E9" w:rsidRPr="0099114C" w:rsidRDefault="00CB63E9" w:rsidP="002103A2">
            <w:pPr>
              <w:pStyle w:val="TableText"/>
            </w:pPr>
            <w:r w:rsidRPr="0099114C">
              <w:t xml:space="preserve">  Less co-payments </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3CBF1915" w14:textId="49566078"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62" w:id="-961806326"/>
                <w14:textFill>
                  <w14:solidFill>
                    <w14:srgbClr w14:val="000000">
                      <w14:alpha w14:val="100000"/>
                    </w14:srgbClr>
                  </w14:solidFill>
                </w14:textFill>
              </w:rPr>
              <w:t xml:space="preserve">　</w:t>
            </w:r>
            <w:r w:rsidRPr="005F1F42">
              <w:rPr>
                <w:color w:val="000000"/>
                <w:w w:val="15"/>
                <w:shd w:val="solid" w:color="000000" w:fill="000000"/>
                <w:fitText w:val="62" w:id="-961806326"/>
                <w14:textFill>
                  <w14:solidFill>
                    <w14:srgbClr w14:val="000000">
                      <w14:alpha w14:val="100000"/>
                    </w14:srgbClr>
                  </w14:solidFill>
                </w14:textFill>
              </w:rPr>
              <w:t>|</w:t>
            </w:r>
            <w:r w:rsidRPr="005F1F42">
              <w:rPr>
                <w:rFonts w:hint="eastAsia"/>
                <w:color w:val="000000"/>
                <w:spacing w:val="-3"/>
                <w:w w:val="15"/>
                <w:shd w:val="solid" w:color="000000" w:fill="000000"/>
                <w:fitText w:val="62" w:id="-961806326"/>
                <w14:textFill>
                  <w14:solidFill>
                    <w14:srgbClr w14:val="000000">
                      <w14:alpha w14:val="100000"/>
                    </w14:srgbClr>
                  </w14:solidFill>
                </w14:textFill>
              </w:rPr>
              <w:t xml:space="preserve">　</w:t>
            </w:r>
            <w:r w:rsidR="002C6224" w:rsidRPr="009E5CCE">
              <w:rPr>
                <w:vertAlign w:val="superscript"/>
              </w:rPr>
              <w:t>7</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0A320F9A" w14:textId="5D3DC44C"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62" w:id="-961806325"/>
                <w14:textFill>
                  <w14:solidFill>
                    <w14:srgbClr w14:val="000000">
                      <w14:alpha w14:val="100000"/>
                    </w14:srgbClr>
                  </w14:solidFill>
                </w14:textFill>
              </w:rPr>
              <w:t xml:space="preserve">　</w:t>
            </w:r>
            <w:r w:rsidRPr="005F1F42">
              <w:rPr>
                <w:color w:val="000000"/>
                <w:w w:val="15"/>
                <w:shd w:val="solid" w:color="000000" w:fill="000000"/>
                <w:fitText w:val="62" w:id="-961806325"/>
                <w14:textFill>
                  <w14:solidFill>
                    <w14:srgbClr w14:val="000000">
                      <w14:alpha w14:val="100000"/>
                    </w14:srgbClr>
                  </w14:solidFill>
                </w14:textFill>
              </w:rPr>
              <w:t>|</w:t>
            </w:r>
            <w:r w:rsidRPr="005F1F42">
              <w:rPr>
                <w:rFonts w:hint="eastAsia"/>
                <w:color w:val="000000"/>
                <w:spacing w:val="-3"/>
                <w:w w:val="15"/>
                <w:shd w:val="solid" w:color="000000" w:fill="000000"/>
                <w:fitText w:val="62" w:id="-961806325"/>
                <w14:textFill>
                  <w14:solidFill>
                    <w14:srgbClr w14:val="000000">
                      <w14:alpha w14:val="100000"/>
                    </w14:srgbClr>
                  </w14:solidFill>
                </w14:textFill>
              </w:rPr>
              <w:t xml:space="preserve">　</w:t>
            </w:r>
            <w:r w:rsidR="002C6224" w:rsidRPr="001A420F">
              <w:rPr>
                <w:vertAlign w:val="superscript"/>
              </w:rPr>
              <w:t>7</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3D8D39AC" w14:textId="538798D8"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63" w:id="-961806324"/>
                <w14:textFill>
                  <w14:solidFill>
                    <w14:srgbClr w14:val="000000">
                      <w14:alpha w14:val="100000"/>
                    </w14:srgbClr>
                  </w14:solidFill>
                </w14:textFill>
              </w:rPr>
              <w:t xml:space="preserve">　</w:t>
            </w:r>
            <w:r w:rsidRPr="005F1F42">
              <w:rPr>
                <w:color w:val="000000"/>
                <w:w w:val="15"/>
                <w:shd w:val="solid" w:color="000000" w:fill="000000"/>
                <w:fitText w:val="63" w:id="-961806324"/>
                <w14:textFill>
                  <w14:solidFill>
                    <w14:srgbClr w14:val="000000">
                      <w14:alpha w14:val="100000"/>
                    </w14:srgbClr>
                  </w14:solidFill>
                </w14:textFill>
              </w:rPr>
              <w:t>|</w:t>
            </w:r>
            <w:r w:rsidRPr="005F1F42">
              <w:rPr>
                <w:rFonts w:hint="eastAsia"/>
                <w:color w:val="000000"/>
                <w:spacing w:val="-2"/>
                <w:w w:val="15"/>
                <w:shd w:val="solid" w:color="000000" w:fill="000000"/>
                <w:fitText w:val="63" w:id="-961806324"/>
                <w14:textFill>
                  <w14:solidFill>
                    <w14:srgbClr w14:val="000000">
                      <w14:alpha w14:val="100000"/>
                    </w14:srgbClr>
                  </w14:solidFill>
                </w14:textFill>
              </w:rPr>
              <w:t xml:space="preserve">　</w:t>
            </w:r>
            <w:r w:rsidR="002C6224" w:rsidRPr="001A420F">
              <w:rPr>
                <w:vertAlign w:val="superscript"/>
              </w:rPr>
              <w:t>7</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6DEA5432" w14:textId="7866C718"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50" w:id="-961806323"/>
                <w14:textFill>
                  <w14:solidFill>
                    <w14:srgbClr w14:val="000000">
                      <w14:alpha w14:val="100000"/>
                    </w14:srgbClr>
                  </w14:solidFill>
                </w14:textFill>
              </w:rPr>
              <w:t xml:space="preserve">　</w:t>
            </w:r>
            <w:r w:rsidRPr="005F1F42">
              <w:rPr>
                <w:color w:val="000000"/>
                <w:w w:val="15"/>
                <w:shd w:val="solid" w:color="000000" w:fill="000000"/>
                <w:fitText w:val="50" w:id="-961806323"/>
                <w14:textFill>
                  <w14:solidFill>
                    <w14:srgbClr w14:val="000000">
                      <w14:alpha w14:val="100000"/>
                    </w14:srgbClr>
                  </w14:solidFill>
                </w14:textFill>
              </w:rPr>
              <w:t>|</w:t>
            </w:r>
            <w:r w:rsidRPr="005F1F42">
              <w:rPr>
                <w:rFonts w:hint="eastAsia"/>
                <w:color w:val="000000"/>
                <w:spacing w:val="-15"/>
                <w:w w:val="15"/>
                <w:shd w:val="solid" w:color="000000" w:fill="000000"/>
                <w:fitText w:val="50" w:id="-961806323"/>
                <w14:textFill>
                  <w14:solidFill>
                    <w14:srgbClr w14:val="000000">
                      <w14:alpha w14:val="100000"/>
                    </w14:srgbClr>
                  </w14:solidFill>
                </w14:textFill>
              </w:rPr>
              <w:t xml:space="preserve">　</w:t>
            </w:r>
            <w:r w:rsidR="002C6224" w:rsidRPr="001A420F">
              <w:rPr>
                <w:vertAlign w:val="superscript"/>
              </w:rPr>
              <w:t>7</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51AD04C3" w14:textId="32711F00"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50" w:id="-961806322"/>
                <w14:textFill>
                  <w14:solidFill>
                    <w14:srgbClr w14:val="000000">
                      <w14:alpha w14:val="100000"/>
                    </w14:srgbClr>
                  </w14:solidFill>
                </w14:textFill>
              </w:rPr>
              <w:t xml:space="preserve">　</w:t>
            </w:r>
            <w:r w:rsidRPr="005F1F42">
              <w:rPr>
                <w:color w:val="000000"/>
                <w:w w:val="15"/>
                <w:shd w:val="solid" w:color="000000" w:fill="000000"/>
                <w:fitText w:val="50" w:id="-961806322"/>
                <w14:textFill>
                  <w14:solidFill>
                    <w14:srgbClr w14:val="000000">
                      <w14:alpha w14:val="100000"/>
                    </w14:srgbClr>
                  </w14:solidFill>
                </w14:textFill>
              </w:rPr>
              <w:t>|</w:t>
            </w:r>
            <w:r w:rsidRPr="005F1F42">
              <w:rPr>
                <w:rFonts w:hint="eastAsia"/>
                <w:color w:val="000000"/>
                <w:spacing w:val="-15"/>
                <w:w w:val="15"/>
                <w:shd w:val="solid" w:color="000000" w:fill="000000"/>
                <w:fitText w:val="50" w:id="-961806322"/>
                <w14:textFill>
                  <w14:solidFill>
                    <w14:srgbClr w14:val="000000">
                      <w14:alpha w14:val="100000"/>
                    </w14:srgbClr>
                  </w14:solidFill>
                </w14:textFill>
              </w:rPr>
              <w:t xml:space="preserve">　</w:t>
            </w:r>
            <w:r w:rsidR="002C6224" w:rsidRPr="001A420F">
              <w:rPr>
                <w:vertAlign w:val="superscript"/>
              </w:rPr>
              <w:t>7</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759C9DC1" w14:textId="2EAA7058"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51" w:id="-961806321"/>
                <w14:textFill>
                  <w14:solidFill>
                    <w14:srgbClr w14:val="000000">
                      <w14:alpha w14:val="100000"/>
                    </w14:srgbClr>
                  </w14:solidFill>
                </w14:textFill>
              </w:rPr>
              <w:t xml:space="preserve">　</w:t>
            </w:r>
            <w:r w:rsidRPr="005F1F42">
              <w:rPr>
                <w:color w:val="000000"/>
                <w:w w:val="15"/>
                <w:shd w:val="solid" w:color="000000" w:fill="000000"/>
                <w:fitText w:val="51" w:id="-961806321"/>
                <w14:textFill>
                  <w14:solidFill>
                    <w14:srgbClr w14:val="000000">
                      <w14:alpha w14:val="100000"/>
                    </w14:srgbClr>
                  </w14:solidFill>
                </w14:textFill>
              </w:rPr>
              <w:t>|</w:t>
            </w:r>
            <w:r w:rsidRPr="005F1F42">
              <w:rPr>
                <w:rFonts w:hint="eastAsia"/>
                <w:color w:val="000000"/>
                <w:spacing w:val="-14"/>
                <w:w w:val="15"/>
                <w:shd w:val="solid" w:color="000000" w:fill="000000"/>
                <w:fitText w:val="51" w:id="-961806321"/>
                <w14:textFill>
                  <w14:solidFill>
                    <w14:srgbClr w14:val="000000">
                      <w14:alpha w14:val="100000"/>
                    </w14:srgbClr>
                  </w14:solidFill>
                </w14:textFill>
              </w:rPr>
              <w:t xml:space="preserve">　</w:t>
            </w:r>
            <w:r w:rsidR="002C6224" w:rsidRPr="001A420F">
              <w:rPr>
                <w:vertAlign w:val="superscript"/>
              </w:rPr>
              <w:t>7</w:t>
            </w:r>
          </w:p>
        </w:tc>
      </w:tr>
      <w:tr w:rsidR="00CB63E9" w:rsidRPr="0099114C" w14:paraId="500EC3E9" w14:textId="77777777" w:rsidTr="002103A2">
        <w:trPr>
          <w:trHeight w:val="20"/>
          <w:tblHeader/>
        </w:trPr>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4BB227F7" w14:textId="77777777" w:rsidR="00CB63E9" w:rsidRPr="0099114C" w:rsidRDefault="00CB63E9" w:rsidP="002103A2">
            <w:pPr>
              <w:pStyle w:val="TableText"/>
            </w:pPr>
            <w:r w:rsidRPr="0099114C">
              <w:t xml:space="preserve">  Net cost to PBS </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0CB40B32" w14:textId="375F3AE4"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62" w:id="-961806320"/>
                <w14:textFill>
                  <w14:solidFill>
                    <w14:srgbClr w14:val="000000">
                      <w14:alpha w14:val="100000"/>
                    </w14:srgbClr>
                  </w14:solidFill>
                </w14:textFill>
              </w:rPr>
              <w:t xml:space="preserve">　</w:t>
            </w:r>
            <w:r w:rsidRPr="005F1F42">
              <w:rPr>
                <w:color w:val="000000"/>
                <w:w w:val="15"/>
                <w:shd w:val="solid" w:color="000000" w:fill="000000"/>
                <w:fitText w:val="62" w:id="-961806320"/>
                <w14:textFill>
                  <w14:solidFill>
                    <w14:srgbClr w14:val="000000">
                      <w14:alpha w14:val="100000"/>
                    </w14:srgbClr>
                  </w14:solidFill>
                </w14:textFill>
              </w:rPr>
              <w:t>|</w:t>
            </w:r>
            <w:r w:rsidRPr="005F1F42">
              <w:rPr>
                <w:rFonts w:hint="eastAsia"/>
                <w:color w:val="000000"/>
                <w:spacing w:val="-3"/>
                <w:w w:val="15"/>
                <w:shd w:val="solid" w:color="000000" w:fill="000000"/>
                <w:fitText w:val="62" w:id="-961806320"/>
                <w14:textFill>
                  <w14:solidFill>
                    <w14:srgbClr w14:val="000000">
                      <w14:alpha w14:val="100000"/>
                    </w14:srgbClr>
                  </w14:solidFill>
                </w14:textFill>
              </w:rPr>
              <w:t xml:space="preserve">　</w:t>
            </w:r>
            <w:r w:rsidR="002C6224" w:rsidRPr="001A420F">
              <w:rPr>
                <w:vertAlign w:val="superscript"/>
              </w:rPr>
              <w:t>4</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721E362F" w14:textId="7A7C6CAE"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62" w:id="-961806336"/>
                <w14:textFill>
                  <w14:solidFill>
                    <w14:srgbClr w14:val="000000">
                      <w14:alpha w14:val="100000"/>
                    </w14:srgbClr>
                  </w14:solidFill>
                </w14:textFill>
              </w:rPr>
              <w:t xml:space="preserve">　</w:t>
            </w:r>
            <w:r w:rsidRPr="005F1F42">
              <w:rPr>
                <w:color w:val="000000"/>
                <w:w w:val="15"/>
                <w:shd w:val="solid" w:color="000000" w:fill="000000"/>
                <w:fitText w:val="62" w:id="-961806336"/>
                <w14:textFill>
                  <w14:solidFill>
                    <w14:srgbClr w14:val="000000">
                      <w14:alpha w14:val="100000"/>
                    </w14:srgbClr>
                  </w14:solidFill>
                </w14:textFill>
              </w:rPr>
              <w:t>|</w:t>
            </w:r>
            <w:r w:rsidRPr="005F1F42">
              <w:rPr>
                <w:rFonts w:hint="eastAsia"/>
                <w:color w:val="000000"/>
                <w:spacing w:val="-3"/>
                <w:w w:val="15"/>
                <w:shd w:val="solid" w:color="000000" w:fill="000000"/>
                <w:fitText w:val="62" w:id="-961806336"/>
                <w14:textFill>
                  <w14:solidFill>
                    <w14:srgbClr w14:val="000000">
                      <w14:alpha w14:val="100000"/>
                    </w14:srgbClr>
                  </w14:solidFill>
                </w14:textFill>
              </w:rPr>
              <w:t xml:space="preserve">　</w:t>
            </w:r>
            <w:r w:rsidR="002C6224" w:rsidRPr="001A420F">
              <w:rPr>
                <w:vertAlign w:val="superscript"/>
              </w:rPr>
              <w:t>5</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0C118BAF" w14:textId="4DDFF67B"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63" w:id="-961806335"/>
                <w14:textFill>
                  <w14:solidFill>
                    <w14:srgbClr w14:val="000000">
                      <w14:alpha w14:val="100000"/>
                    </w14:srgbClr>
                  </w14:solidFill>
                </w14:textFill>
              </w:rPr>
              <w:t xml:space="preserve">　</w:t>
            </w:r>
            <w:r w:rsidRPr="005F1F42">
              <w:rPr>
                <w:color w:val="000000"/>
                <w:w w:val="15"/>
                <w:shd w:val="solid" w:color="000000" w:fill="000000"/>
                <w:fitText w:val="63" w:id="-961806335"/>
                <w14:textFill>
                  <w14:solidFill>
                    <w14:srgbClr w14:val="000000">
                      <w14:alpha w14:val="100000"/>
                    </w14:srgbClr>
                  </w14:solidFill>
                </w14:textFill>
              </w:rPr>
              <w:t>|</w:t>
            </w:r>
            <w:r w:rsidRPr="005F1F42">
              <w:rPr>
                <w:rFonts w:hint="eastAsia"/>
                <w:color w:val="000000"/>
                <w:spacing w:val="-2"/>
                <w:w w:val="15"/>
                <w:shd w:val="solid" w:color="000000" w:fill="000000"/>
                <w:fitText w:val="63" w:id="-961806335"/>
                <w14:textFill>
                  <w14:solidFill>
                    <w14:srgbClr w14:val="000000">
                      <w14:alpha w14:val="100000"/>
                    </w14:srgbClr>
                  </w14:solidFill>
                </w14:textFill>
              </w:rPr>
              <w:t xml:space="preserve">　</w:t>
            </w:r>
            <w:r w:rsidR="002C6224" w:rsidRPr="001A420F">
              <w:rPr>
                <w:vertAlign w:val="superscript"/>
              </w:rPr>
              <w:t>6</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18286D8D" w14:textId="5607FFEE"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50" w:id="-961806334"/>
                <w14:textFill>
                  <w14:solidFill>
                    <w14:srgbClr w14:val="000000">
                      <w14:alpha w14:val="100000"/>
                    </w14:srgbClr>
                  </w14:solidFill>
                </w14:textFill>
              </w:rPr>
              <w:t xml:space="preserve">　</w:t>
            </w:r>
            <w:r w:rsidRPr="005F1F42">
              <w:rPr>
                <w:color w:val="000000"/>
                <w:w w:val="15"/>
                <w:shd w:val="solid" w:color="000000" w:fill="000000"/>
                <w:fitText w:val="50" w:id="-961806334"/>
                <w14:textFill>
                  <w14:solidFill>
                    <w14:srgbClr w14:val="000000">
                      <w14:alpha w14:val="100000"/>
                    </w14:srgbClr>
                  </w14:solidFill>
                </w14:textFill>
              </w:rPr>
              <w:t>|</w:t>
            </w:r>
            <w:r w:rsidRPr="005F1F42">
              <w:rPr>
                <w:rFonts w:hint="eastAsia"/>
                <w:color w:val="000000"/>
                <w:spacing w:val="-15"/>
                <w:w w:val="15"/>
                <w:shd w:val="solid" w:color="000000" w:fill="000000"/>
                <w:fitText w:val="50" w:id="-961806334"/>
                <w14:textFill>
                  <w14:solidFill>
                    <w14:srgbClr w14:val="000000">
                      <w14:alpha w14:val="100000"/>
                    </w14:srgbClr>
                  </w14:solidFill>
                </w14:textFill>
              </w:rPr>
              <w:t xml:space="preserve">　</w:t>
            </w:r>
            <w:r w:rsidR="002C6224" w:rsidRPr="001A420F">
              <w:rPr>
                <w:vertAlign w:val="superscript"/>
              </w:rPr>
              <w:t>6</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61FF7DCE" w14:textId="49CEA437"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50" w:id="-961806333"/>
                <w14:textFill>
                  <w14:solidFill>
                    <w14:srgbClr w14:val="000000">
                      <w14:alpha w14:val="100000"/>
                    </w14:srgbClr>
                  </w14:solidFill>
                </w14:textFill>
              </w:rPr>
              <w:t xml:space="preserve">　</w:t>
            </w:r>
            <w:r w:rsidRPr="005F1F42">
              <w:rPr>
                <w:color w:val="000000"/>
                <w:w w:val="15"/>
                <w:shd w:val="solid" w:color="000000" w:fill="000000"/>
                <w:fitText w:val="50" w:id="-961806333"/>
                <w14:textFill>
                  <w14:solidFill>
                    <w14:srgbClr w14:val="000000">
                      <w14:alpha w14:val="100000"/>
                    </w14:srgbClr>
                  </w14:solidFill>
                </w14:textFill>
              </w:rPr>
              <w:t>|</w:t>
            </w:r>
            <w:r w:rsidRPr="005F1F42">
              <w:rPr>
                <w:rFonts w:hint="eastAsia"/>
                <w:color w:val="000000"/>
                <w:spacing w:val="-15"/>
                <w:w w:val="15"/>
                <w:shd w:val="solid" w:color="000000" w:fill="000000"/>
                <w:fitText w:val="50" w:id="-961806333"/>
                <w14:textFill>
                  <w14:solidFill>
                    <w14:srgbClr w14:val="000000">
                      <w14:alpha w14:val="100000"/>
                    </w14:srgbClr>
                  </w14:solidFill>
                </w14:textFill>
              </w:rPr>
              <w:t xml:space="preserve">　</w:t>
            </w:r>
            <w:r w:rsidR="002C6224" w:rsidRPr="001A420F">
              <w:rPr>
                <w:vertAlign w:val="superscript"/>
              </w:rPr>
              <w:t>6</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218A41E5" w14:textId="2164C1CB"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51" w:id="-961806332"/>
                <w14:textFill>
                  <w14:solidFill>
                    <w14:srgbClr w14:val="000000">
                      <w14:alpha w14:val="100000"/>
                    </w14:srgbClr>
                  </w14:solidFill>
                </w14:textFill>
              </w:rPr>
              <w:t xml:space="preserve">　</w:t>
            </w:r>
            <w:r w:rsidRPr="005F1F42">
              <w:rPr>
                <w:color w:val="000000"/>
                <w:w w:val="15"/>
                <w:shd w:val="solid" w:color="000000" w:fill="000000"/>
                <w:fitText w:val="51" w:id="-961806332"/>
                <w14:textFill>
                  <w14:solidFill>
                    <w14:srgbClr w14:val="000000">
                      <w14:alpha w14:val="100000"/>
                    </w14:srgbClr>
                  </w14:solidFill>
                </w14:textFill>
              </w:rPr>
              <w:t>|</w:t>
            </w:r>
            <w:r w:rsidRPr="005F1F42">
              <w:rPr>
                <w:rFonts w:hint="eastAsia"/>
                <w:color w:val="000000"/>
                <w:spacing w:val="-14"/>
                <w:w w:val="15"/>
                <w:shd w:val="solid" w:color="000000" w:fill="000000"/>
                <w:fitText w:val="51" w:id="-961806332"/>
                <w14:textFill>
                  <w14:solidFill>
                    <w14:srgbClr w14:val="000000">
                      <w14:alpha w14:val="100000"/>
                    </w14:srgbClr>
                  </w14:solidFill>
                </w14:textFill>
              </w:rPr>
              <w:t xml:space="preserve">　</w:t>
            </w:r>
            <w:r w:rsidR="002C6224" w:rsidRPr="001A420F">
              <w:rPr>
                <w:vertAlign w:val="superscript"/>
              </w:rPr>
              <w:t>6</w:t>
            </w:r>
          </w:p>
        </w:tc>
      </w:tr>
      <w:tr w:rsidR="00CB63E9" w:rsidRPr="0099114C" w14:paraId="06EFF294" w14:textId="77777777" w:rsidTr="002103A2">
        <w:trPr>
          <w:trHeight w:val="20"/>
          <w:tblHeader/>
        </w:trPr>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617E93B0" w14:textId="77777777" w:rsidR="00CB63E9" w:rsidRPr="0099114C" w:rsidRDefault="00CB63E9" w:rsidP="002103A2">
            <w:pPr>
              <w:pStyle w:val="TableText"/>
            </w:pPr>
            <w:r w:rsidRPr="0099114C">
              <w:t xml:space="preserve">  Cost to RPBS </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4FF4C32B" w14:textId="2AC54236"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62" w:id="-961806331"/>
                <w14:textFill>
                  <w14:solidFill>
                    <w14:srgbClr w14:val="000000">
                      <w14:alpha w14:val="100000"/>
                    </w14:srgbClr>
                  </w14:solidFill>
                </w14:textFill>
              </w:rPr>
              <w:t xml:space="preserve">　</w:t>
            </w:r>
            <w:r w:rsidRPr="005F1F42">
              <w:rPr>
                <w:color w:val="000000"/>
                <w:w w:val="15"/>
                <w:shd w:val="solid" w:color="000000" w:fill="000000"/>
                <w:fitText w:val="62" w:id="-961806331"/>
                <w14:textFill>
                  <w14:solidFill>
                    <w14:srgbClr w14:val="000000">
                      <w14:alpha w14:val="100000"/>
                    </w14:srgbClr>
                  </w14:solidFill>
                </w14:textFill>
              </w:rPr>
              <w:t>|</w:t>
            </w:r>
            <w:r w:rsidRPr="005F1F42">
              <w:rPr>
                <w:rFonts w:hint="eastAsia"/>
                <w:color w:val="000000"/>
                <w:spacing w:val="-3"/>
                <w:w w:val="15"/>
                <w:shd w:val="solid" w:color="000000" w:fill="000000"/>
                <w:fitText w:val="62" w:id="-961806331"/>
                <w14:textFill>
                  <w14:solidFill>
                    <w14:srgbClr w14:val="000000">
                      <w14:alpha w14:val="100000"/>
                    </w14:srgbClr>
                  </w14:solidFill>
                </w14:textFill>
              </w:rPr>
              <w:t xml:space="preserve">　</w:t>
            </w:r>
            <w:r w:rsidR="00013470" w:rsidRPr="001A420F">
              <w:rPr>
                <w:vertAlign w:val="superscript"/>
              </w:rPr>
              <w:t>8</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7BF0289A" w14:textId="258D162D"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62" w:id="-961806080"/>
                <w14:textFill>
                  <w14:solidFill>
                    <w14:srgbClr w14:val="000000">
                      <w14:alpha w14:val="100000"/>
                    </w14:srgbClr>
                  </w14:solidFill>
                </w14:textFill>
              </w:rPr>
              <w:t xml:space="preserve">　</w:t>
            </w:r>
            <w:r w:rsidRPr="005F1F42">
              <w:rPr>
                <w:color w:val="000000"/>
                <w:w w:val="15"/>
                <w:shd w:val="solid" w:color="000000" w:fill="000000"/>
                <w:fitText w:val="62" w:id="-961806080"/>
                <w14:textFill>
                  <w14:solidFill>
                    <w14:srgbClr w14:val="000000">
                      <w14:alpha w14:val="100000"/>
                    </w14:srgbClr>
                  </w14:solidFill>
                </w14:textFill>
              </w:rPr>
              <w:t>|</w:t>
            </w:r>
            <w:r w:rsidRPr="005F1F42">
              <w:rPr>
                <w:rFonts w:hint="eastAsia"/>
                <w:color w:val="000000"/>
                <w:spacing w:val="-3"/>
                <w:w w:val="15"/>
                <w:shd w:val="solid" w:color="000000" w:fill="000000"/>
                <w:fitText w:val="62" w:id="-961806080"/>
                <w14:textFill>
                  <w14:solidFill>
                    <w14:srgbClr w14:val="000000">
                      <w14:alpha w14:val="100000"/>
                    </w14:srgbClr>
                  </w14:solidFill>
                </w14:textFill>
              </w:rPr>
              <w:t xml:space="preserve">　</w:t>
            </w:r>
            <w:r w:rsidR="00013470" w:rsidRPr="001A420F">
              <w:rPr>
                <w:vertAlign w:val="superscript"/>
              </w:rPr>
              <w:t>8</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47528FEF" w14:textId="76D7E569"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63" w:id="-961806079"/>
                <w14:textFill>
                  <w14:solidFill>
                    <w14:srgbClr w14:val="000000">
                      <w14:alpha w14:val="100000"/>
                    </w14:srgbClr>
                  </w14:solidFill>
                </w14:textFill>
              </w:rPr>
              <w:t xml:space="preserve">　</w:t>
            </w:r>
            <w:r w:rsidRPr="005F1F42">
              <w:rPr>
                <w:color w:val="000000"/>
                <w:w w:val="15"/>
                <w:shd w:val="solid" w:color="000000" w:fill="000000"/>
                <w:fitText w:val="63" w:id="-961806079"/>
                <w14:textFill>
                  <w14:solidFill>
                    <w14:srgbClr w14:val="000000">
                      <w14:alpha w14:val="100000"/>
                    </w14:srgbClr>
                  </w14:solidFill>
                </w14:textFill>
              </w:rPr>
              <w:t>|</w:t>
            </w:r>
            <w:r w:rsidRPr="005F1F42">
              <w:rPr>
                <w:rFonts w:hint="eastAsia"/>
                <w:color w:val="000000"/>
                <w:spacing w:val="-2"/>
                <w:w w:val="15"/>
                <w:shd w:val="solid" w:color="000000" w:fill="000000"/>
                <w:fitText w:val="63" w:id="-961806079"/>
                <w14:textFill>
                  <w14:solidFill>
                    <w14:srgbClr w14:val="000000">
                      <w14:alpha w14:val="100000"/>
                    </w14:srgbClr>
                  </w14:solidFill>
                </w14:textFill>
              </w:rPr>
              <w:t xml:space="preserve">　</w:t>
            </w:r>
            <w:r w:rsidR="00013470" w:rsidRPr="001A420F">
              <w:rPr>
                <w:vertAlign w:val="superscript"/>
              </w:rPr>
              <w:t>8</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4568A48E" w14:textId="156EF909"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50" w:id="-961806078"/>
                <w14:textFill>
                  <w14:solidFill>
                    <w14:srgbClr w14:val="000000">
                      <w14:alpha w14:val="100000"/>
                    </w14:srgbClr>
                  </w14:solidFill>
                </w14:textFill>
              </w:rPr>
              <w:t xml:space="preserve">　</w:t>
            </w:r>
            <w:r w:rsidRPr="005F1F42">
              <w:rPr>
                <w:color w:val="000000"/>
                <w:w w:val="15"/>
                <w:shd w:val="solid" w:color="000000" w:fill="000000"/>
                <w:fitText w:val="50" w:id="-961806078"/>
                <w14:textFill>
                  <w14:solidFill>
                    <w14:srgbClr w14:val="000000">
                      <w14:alpha w14:val="100000"/>
                    </w14:srgbClr>
                  </w14:solidFill>
                </w14:textFill>
              </w:rPr>
              <w:t>|</w:t>
            </w:r>
            <w:r w:rsidRPr="005F1F42">
              <w:rPr>
                <w:rFonts w:hint="eastAsia"/>
                <w:color w:val="000000"/>
                <w:spacing w:val="-15"/>
                <w:w w:val="15"/>
                <w:shd w:val="solid" w:color="000000" w:fill="000000"/>
                <w:fitText w:val="50" w:id="-961806078"/>
                <w14:textFill>
                  <w14:solidFill>
                    <w14:srgbClr w14:val="000000">
                      <w14:alpha w14:val="100000"/>
                    </w14:srgbClr>
                  </w14:solidFill>
                </w14:textFill>
              </w:rPr>
              <w:t xml:space="preserve">　</w:t>
            </w:r>
            <w:r w:rsidR="00013470" w:rsidRPr="001A420F">
              <w:rPr>
                <w:vertAlign w:val="superscript"/>
              </w:rPr>
              <w:t>8</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5A7DC888" w14:textId="43984801"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50" w:id="-961806077"/>
                <w14:textFill>
                  <w14:solidFill>
                    <w14:srgbClr w14:val="000000">
                      <w14:alpha w14:val="100000"/>
                    </w14:srgbClr>
                  </w14:solidFill>
                </w14:textFill>
              </w:rPr>
              <w:t xml:space="preserve">　</w:t>
            </w:r>
            <w:r w:rsidRPr="005F1F42">
              <w:rPr>
                <w:color w:val="000000"/>
                <w:w w:val="15"/>
                <w:shd w:val="solid" w:color="000000" w:fill="000000"/>
                <w:fitText w:val="50" w:id="-961806077"/>
                <w14:textFill>
                  <w14:solidFill>
                    <w14:srgbClr w14:val="000000">
                      <w14:alpha w14:val="100000"/>
                    </w14:srgbClr>
                  </w14:solidFill>
                </w14:textFill>
              </w:rPr>
              <w:t>|</w:t>
            </w:r>
            <w:r w:rsidRPr="005F1F42">
              <w:rPr>
                <w:rFonts w:hint="eastAsia"/>
                <w:color w:val="000000"/>
                <w:spacing w:val="-15"/>
                <w:w w:val="15"/>
                <w:shd w:val="solid" w:color="000000" w:fill="000000"/>
                <w:fitText w:val="50" w:id="-961806077"/>
                <w14:textFill>
                  <w14:solidFill>
                    <w14:srgbClr w14:val="000000">
                      <w14:alpha w14:val="100000"/>
                    </w14:srgbClr>
                  </w14:solidFill>
                </w14:textFill>
              </w:rPr>
              <w:t xml:space="preserve">　</w:t>
            </w:r>
            <w:r w:rsidR="00013470" w:rsidRPr="001A420F">
              <w:rPr>
                <w:vertAlign w:val="superscript"/>
              </w:rPr>
              <w:t>8</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2682E74B" w14:textId="46AB4AAB"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51" w:id="-961806076"/>
                <w14:textFill>
                  <w14:solidFill>
                    <w14:srgbClr w14:val="000000">
                      <w14:alpha w14:val="100000"/>
                    </w14:srgbClr>
                  </w14:solidFill>
                </w14:textFill>
              </w:rPr>
              <w:t xml:space="preserve">　</w:t>
            </w:r>
            <w:r w:rsidRPr="005F1F42">
              <w:rPr>
                <w:color w:val="000000"/>
                <w:w w:val="15"/>
                <w:shd w:val="solid" w:color="000000" w:fill="000000"/>
                <w:fitText w:val="51" w:id="-961806076"/>
                <w14:textFill>
                  <w14:solidFill>
                    <w14:srgbClr w14:val="000000">
                      <w14:alpha w14:val="100000"/>
                    </w14:srgbClr>
                  </w14:solidFill>
                </w14:textFill>
              </w:rPr>
              <w:t>|</w:t>
            </w:r>
            <w:r w:rsidRPr="005F1F42">
              <w:rPr>
                <w:rFonts w:hint="eastAsia"/>
                <w:color w:val="000000"/>
                <w:spacing w:val="-14"/>
                <w:w w:val="15"/>
                <w:shd w:val="solid" w:color="000000" w:fill="000000"/>
                <w:fitText w:val="51" w:id="-961806076"/>
                <w14:textFill>
                  <w14:solidFill>
                    <w14:srgbClr w14:val="000000">
                      <w14:alpha w14:val="100000"/>
                    </w14:srgbClr>
                  </w14:solidFill>
                </w14:textFill>
              </w:rPr>
              <w:t xml:space="preserve">　</w:t>
            </w:r>
            <w:r w:rsidR="00013470" w:rsidRPr="001A420F">
              <w:rPr>
                <w:vertAlign w:val="superscript"/>
              </w:rPr>
              <w:t>8</w:t>
            </w:r>
          </w:p>
        </w:tc>
      </w:tr>
      <w:tr w:rsidR="00CB63E9" w:rsidRPr="0099114C" w14:paraId="7D46DFB8" w14:textId="77777777" w:rsidTr="002103A2">
        <w:trPr>
          <w:trHeight w:val="20"/>
          <w:tblHeader/>
        </w:trPr>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3E39D26F" w14:textId="77777777" w:rsidR="00CB63E9" w:rsidRPr="0099114C" w:rsidRDefault="00CB63E9" w:rsidP="002103A2">
            <w:pPr>
              <w:pStyle w:val="TableText"/>
            </w:pPr>
            <w:r w:rsidRPr="0099114C">
              <w:t xml:space="preserve">  Less co-payments </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4B4ACEC8" w14:textId="0DD01FC2"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62" w:id="-961806075"/>
                <w14:textFill>
                  <w14:solidFill>
                    <w14:srgbClr w14:val="000000">
                      <w14:alpha w14:val="100000"/>
                    </w14:srgbClr>
                  </w14:solidFill>
                </w14:textFill>
              </w:rPr>
              <w:t xml:space="preserve">　</w:t>
            </w:r>
            <w:r w:rsidRPr="005F1F42">
              <w:rPr>
                <w:color w:val="000000"/>
                <w:w w:val="15"/>
                <w:shd w:val="solid" w:color="000000" w:fill="000000"/>
                <w:fitText w:val="62" w:id="-961806075"/>
                <w14:textFill>
                  <w14:solidFill>
                    <w14:srgbClr w14:val="000000">
                      <w14:alpha w14:val="100000"/>
                    </w14:srgbClr>
                  </w14:solidFill>
                </w14:textFill>
              </w:rPr>
              <w:t>|</w:t>
            </w:r>
            <w:r w:rsidRPr="005F1F42">
              <w:rPr>
                <w:rFonts w:hint="eastAsia"/>
                <w:color w:val="000000"/>
                <w:spacing w:val="-3"/>
                <w:w w:val="15"/>
                <w:shd w:val="solid" w:color="000000" w:fill="000000"/>
                <w:fitText w:val="62" w:id="-961806075"/>
                <w14:textFill>
                  <w14:solidFill>
                    <w14:srgbClr w14:val="000000">
                      <w14:alpha w14:val="100000"/>
                    </w14:srgbClr>
                  </w14:solidFill>
                </w14:textFill>
              </w:rPr>
              <w:t xml:space="preserve">　</w:t>
            </w:r>
            <w:r w:rsidR="002C6224" w:rsidRPr="001A420F">
              <w:rPr>
                <w:vertAlign w:val="superscript"/>
              </w:rPr>
              <w:t>7</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0FEB9C0F" w14:textId="627A4FE3"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62" w:id="-961806074"/>
                <w14:textFill>
                  <w14:solidFill>
                    <w14:srgbClr w14:val="000000">
                      <w14:alpha w14:val="100000"/>
                    </w14:srgbClr>
                  </w14:solidFill>
                </w14:textFill>
              </w:rPr>
              <w:t xml:space="preserve">　</w:t>
            </w:r>
            <w:r w:rsidRPr="005F1F42">
              <w:rPr>
                <w:color w:val="000000"/>
                <w:w w:val="15"/>
                <w:shd w:val="solid" w:color="000000" w:fill="000000"/>
                <w:fitText w:val="62" w:id="-961806074"/>
                <w14:textFill>
                  <w14:solidFill>
                    <w14:srgbClr w14:val="000000">
                      <w14:alpha w14:val="100000"/>
                    </w14:srgbClr>
                  </w14:solidFill>
                </w14:textFill>
              </w:rPr>
              <w:t>|</w:t>
            </w:r>
            <w:r w:rsidRPr="005F1F42">
              <w:rPr>
                <w:rFonts w:hint="eastAsia"/>
                <w:color w:val="000000"/>
                <w:spacing w:val="-3"/>
                <w:w w:val="15"/>
                <w:shd w:val="solid" w:color="000000" w:fill="000000"/>
                <w:fitText w:val="62" w:id="-961806074"/>
                <w14:textFill>
                  <w14:solidFill>
                    <w14:srgbClr w14:val="000000">
                      <w14:alpha w14:val="100000"/>
                    </w14:srgbClr>
                  </w14:solidFill>
                </w14:textFill>
              </w:rPr>
              <w:t xml:space="preserve">　</w:t>
            </w:r>
            <w:r w:rsidR="002C6224" w:rsidRPr="001A420F">
              <w:rPr>
                <w:vertAlign w:val="superscript"/>
              </w:rPr>
              <w:t>7</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5CCEB746" w14:textId="3A888164"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63" w:id="-961806073"/>
                <w14:textFill>
                  <w14:solidFill>
                    <w14:srgbClr w14:val="000000">
                      <w14:alpha w14:val="100000"/>
                    </w14:srgbClr>
                  </w14:solidFill>
                </w14:textFill>
              </w:rPr>
              <w:t xml:space="preserve">　</w:t>
            </w:r>
            <w:r w:rsidRPr="005F1F42">
              <w:rPr>
                <w:color w:val="000000"/>
                <w:w w:val="15"/>
                <w:shd w:val="solid" w:color="000000" w:fill="000000"/>
                <w:fitText w:val="63" w:id="-961806073"/>
                <w14:textFill>
                  <w14:solidFill>
                    <w14:srgbClr w14:val="000000">
                      <w14:alpha w14:val="100000"/>
                    </w14:srgbClr>
                  </w14:solidFill>
                </w14:textFill>
              </w:rPr>
              <w:t>|</w:t>
            </w:r>
            <w:r w:rsidRPr="005F1F42">
              <w:rPr>
                <w:rFonts w:hint="eastAsia"/>
                <w:color w:val="000000"/>
                <w:spacing w:val="-2"/>
                <w:w w:val="15"/>
                <w:shd w:val="solid" w:color="000000" w:fill="000000"/>
                <w:fitText w:val="63" w:id="-961806073"/>
                <w14:textFill>
                  <w14:solidFill>
                    <w14:srgbClr w14:val="000000">
                      <w14:alpha w14:val="100000"/>
                    </w14:srgbClr>
                  </w14:solidFill>
                </w14:textFill>
              </w:rPr>
              <w:t xml:space="preserve">　</w:t>
            </w:r>
            <w:r w:rsidR="002C6224" w:rsidRPr="001A420F">
              <w:rPr>
                <w:vertAlign w:val="superscript"/>
              </w:rPr>
              <w:t>7</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0159F1BE" w14:textId="3495E9EE"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50" w:id="-961806072"/>
                <w14:textFill>
                  <w14:solidFill>
                    <w14:srgbClr w14:val="000000">
                      <w14:alpha w14:val="100000"/>
                    </w14:srgbClr>
                  </w14:solidFill>
                </w14:textFill>
              </w:rPr>
              <w:t xml:space="preserve">　</w:t>
            </w:r>
            <w:r w:rsidRPr="005F1F42">
              <w:rPr>
                <w:color w:val="000000"/>
                <w:w w:val="15"/>
                <w:shd w:val="solid" w:color="000000" w:fill="000000"/>
                <w:fitText w:val="50" w:id="-961806072"/>
                <w14:textFill>
                  <w14:solidFill>
                    <w14:srgbClr w14:val="000000">
                      <w14:alpha w14:val="100000"/>
                    </w14:srgbClr>
                  </w14:solidFill>
                </w14:textFill>
              </w:rPr>
              <w:t>|</w:t>
            </w:r>
            <w:r w:rsidRPr="005F1F42">
              <w:rPr>
                <w:rFonts w:hint="eastAsia"/>
                <w:color w:val="000000"/>
                <w:spacing w:val="-15"/>
                <w:w w:val="15"/>
                <w:shd w:val="solid" w:color="000000" w:fill="000000"/>
                <w:fitText w:val="50" w:id="-961806072"/>
                <w14:textFill>
                  <w14:solidFill>
                    <w14:srgbClr w14:val="000000">
                      <w14:alpha w14:val="100000"/>
                    </w14:srgbClr>
                  </w14:solidFill>
                </w14:textFill>
              </w:rPr>
              <w:t xml:space="preserve">　</w:t>
            </w:r>
            <w:r w:rsidR="002C6224" w:rsidRPr="001A420F">
              <w:rPr>
                <w:vertAlign w:val="superscript"/>
              </w:rPr>
              <w:t>7</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729BBC6B" w14:textId="5A0B0501"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50" w:id="-961806071"/>
                <w14:textFill>
                  <w14:solidFill>
                    <w14:srgbClr w14:val="000000">
                      <w14:alpha w14:val="100000"/>
                    </w14:srgbClr>
                  </w14:solidFill>
                </w14:textFill>
              </w:rPr>
              <w:t xml:space="preserve">　</w:t>
            </w:r>
            <w:r w:rsidRPr="005F1F42">
              <w:rPr>
                <w:color w:val="000000"/>
                <w:w w:val="15"/>
                <w:shd w:val="solid" w:color="000000" w:fill="000000"/>
                <w:fitText w:val="50" w:id="-961806071"/>
                <w14:textFill>
                  <w14:solidFill>
                    <w14:srgbClr w14:val="000000">
                      <w14:alpha w14:val="100000"/>
                    </w14:srgbClr>
                  </w14:solidFill>
                </w14:textFill>
              </w:rPr>
              <w:t>|</w:t>
            </w:r>
            <w:r w:rsidRPr="005F1F42">
              <w:rPr>
                <w:rFonts w:hint="eastAsia"/>
                <w:color w:val="000000"/>
                <w:spacing w:val="-15"/>
                <w:w w:val="15"/>
                <w:shd w:val="solid" w:color="000000" w:fill="000000"/>
                <w:fitText w:val="50" w:id="-961806071"/>
                <w14:textFill>
                  <w14:solidFill>
                    <w14:srgbClr w14:val="000000">
                      <w14:alpha w14:val="100000"/>
                    </w14:srgbClr>
                  </w14:solidFill>
                </w14:textFill>
              </w:rPr>
              <w:t xml:space="preserve">　</w:t>
            </w:r>
            <w:r w:rsidR="002C6224" w:rsidRPr="001A420F">
              <w:rPr>
                <w:vertAlign w:val="superscript"/>
              </w:rPr>
              <w:t>7</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5B985021" w14:textId="55F36C2A"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51" w:id="-961806070"/>
                <w14:textFill>
                  <w14:solidFill>
                    <w14:srgbClr w14:val="000000">
                      <w14:alpha w14:val="100000"/>
                    </w14:srgbClr>
                  </w14:solidFill>
                </w14:textFill>
              </w:rPr>
              <w:t xml:space="preserve">　</w:t>
            </w:r>
            <w:r w:rsidRPr="005F1F42">
              <w:rPr>
                <w:color w:val="000000"/>
                <w:w w:val="15"/>
                <w:shd w:val="solid" w:color="000000" w:fill="000000"/>
                <w:fitText w:val="51" w:id="-961806070"/>
                <w14:textFill>
                  <w14:solidFill>
                    <w14:srgbClr w14:val="000000">
                      <w14:alpha w14:val="100000"/>
                    </w14:srgbClr>
                  </w14:solidFill>
                </w14:textFill>
              </w:rPr>
              <w:t>|</w:t>
            </w:r>
            <w:r w:rsidRPr="005F1F42">
              <w:rPr>
                <w:rFonts w:hint="eastAsia"/>
                <w:color w:val="000000"/>
                <w:spacing w:val="-14"/>
                <w:w w:val="15"/>
                <w:shd w:val="solid" w:color="000000" w:fill="000000"/>
                <w:fitText w:val="51" w:id="-961806070"/>
                <w14:textFill>
                  <w14:solidFill>
                    <w14:srgbClr w14:val="000000">
                      <w14:alpha w14:val="100000"/>
                    </w14:srgbClr>
                  </w14:solidFill>
                </w14:textFill>
              </w:rPr>
              <w:t xml:space="preserve">　</w:t>
            </w:r>
            <w:r w:rsidR="00013470" w:rsidRPr="001A420F">
              <w:rPr>
                <w:vertAlign w:val="superscript"/>
              </w:rPr>
              <w:t>7</w:t>
            </w:r>
          </w:p>
        </w:tc>
      </w:tr>
      <w:tr w:rsidR="00CB63E9" w:rsidRPr="0099114C" w14:paraId="061E62C1" w14:textId="77777777" w:rsidTr="002103A2">
        <w:trPr>
          <w:trHeight w:val="20"/>
          <w:tblHeader/>
        </w:trPr>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23019EF7" w14:textId="77777777" w:rsidR="00CB63E9" w:rsidRPr="0099114C" w:rsidRDefault="00CB63E9" w:rsidP="002103A2">
            <w:pPr>
              <w:pStyle w:val="TableText"/>
            </w:pPr>
            <w:r w:rsidRPr="0099114C">
              <w:t xml:space="preserve">  Net cost to RPBS </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103C2CCB" w14:textId="0ADEA758"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62" w:id="-961806069"/>
                <w14:textFill>
                  <w14:solidFill>
                    <w14:srgbClr w14:val="000000">
                      <w14:alpha w14:val="100000"/>
                    </w14:srgbClr>
                  </w14:solidFill>
                </w14:textFill>
              </w:rPr>
              <w:t xml:space="preserve">　</w:t>
            </w:r>
            <w:r w:rsidRPr="005F1F42">
              <w:rPr>
                <w:color w:val="000000"/>
                <w:w w:val="15"/>
                <w:shd w:val="solid" w:color="000000" w:fill="000000"/>
                <w:fitText w:val="62" w:id="-961806069"/>
                <w14:textFill>
                  <w14:solidFill>
                    <w14:srgbClr w14:val="000000">
                      <w14:alpha w14:val="100000"/>
                    </w14:srgbClr>
                  </w14:solidFill>
                </w14:textFill>
              </w:rPr>
              <w:t>|</w:t>
            </w:r>
            <w:r w:rsidRPr="005F1F42">
              <w:rPr>
                <w:rFonts w:hint="eastAsia"/>
                <w:color w:val="000000"/>
                <w:spacing w:val="-3"/>
                <w:w w:val="15"/>
                <w:shd w:val="solid" w:color="000000" w:fill="000000"/>
                <w:fitText w:val="62" w:id="-961806069"/>
                <w14:textFill>
                  <w14:solidFill>
                    <w14:srgbClr w14:val="000000">
                      <w14:alpha w14:val="100000"/>
                    </w14:srgbClr>
                  </w14:solidFill>
                </w14:textFill>
              </w:rPr>
              <w:t xml:space="preserve">　</w:t>
            </w:r>
            <w:r w:rsidR="00013470" w:rsidRPr="009E5CCE">
              <w:rPr>
                <w:vertAlign w:val="superscript"/>
              </w:rPr>
              <w:t>8</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6F8F3106" w14:textId="1CDD3422"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62" w:id="-961806068"/>
                <w14:textFill>
                  <w14:solidFill>
                    <w14:srgbClr w14:val="000000">
                      <w14:alpha w14:val="100000"/>
                    </w14:srgbClr>
                  </w14:solidFill>
                </w14:textFill>
              </w:rPr>
              <w:t xml:space="preserve">　</w:t>
            </w:r>
            <w:r w:rsidRPr="005F1F42">
              <w:rPr>
                <w:color w:val="000000"/>
                <w:w w:val="15"/>
                <w:shd w:val="solid" w:color="000000" w:fill="000000"/>
                <w:fitText w:val="62" w:id="-961806068"/>
                <w14:textFill>
                  <w14:solidFill>
                    <w14:srgbClr w14:val="000000">
                      <w14:alpha w14:val="100000"/>
                    </w14:srgbClr>
                  </w14:solidFill>
                </w14:textFill>
              </w:rPr>
              <w:t>|</w:t>
            </w:r>
            <w:r w:rsidRPr="005F1F42">
              <w:rPr>
                <w:rFonts w:hint="eastAsia"/>
                <w:color w:val="000000"/>
                <w:spacing w:val="-3"/>
                <w:w w:val="15"/>
                <w:shd w:val="solid" w:color="000000" w:fill="000000"/>
                <w:fitText w:val="62" w:id="-961806068"/>
                <w14:textFill>
                  <w14:solidFill>
                    <w14:srgbClr w14:val="000000">
                      <w14:alpha w14:val="100000"/>
                    </w14:srgbClr>
                  </w14:solidFill>
                </w14:textFill>
              </w:rPr>
              <w:t xml:space="preserve">　</w:t>
            </w:r>
            <w:r w:rsidR="00013470" w:rsidRPr="001A420F">
              <w:rPr>
                <w:vertAlign w:val="superscript"/>
              </w:rPr>
              <w:t>8</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6358A5BE" w14:textId="0A1F1393"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63" w:id="-961806067"/>
                <w14:textFill>
                  <w14:solidFill>
                    <w14:srgbClr w14:val="000000">
                      <w14:alpha w14:val="100000"/>
                    </w14:srgbClr>
                  </w14:solidFill>
                </w14:textFill>
              </w:rPr>
              <w:t xml:space="preserve">　</w:t>
            </w:r>
            <w:r w:rsidRPr="005F1F42">
              <w:rPr>
                <w:color w:val="000000"/>
                <w:w w:val="15"/>
                <w:shd w:val="solid" w:color="000000" w:fill="000000"/>
                <w:fitText w:val="63" w:id="-961806067"/>
                <w14:textFill>
                  <w14:solidFill>
                    <w14:srgbClr w14:val="000000">
                      <w14:alpha w14:val="100000"/>
                    </w14:srgbClr>
                  </w14:solidFill>
                </w14:textFill>
              </w:rPr>
              <w:t>|</w:t>
            </w:r>
            <w:r w:rsidRPr="005F1F42">
              <w:rPr>
                <w:rFonts w:hint="eastAsia"/>
                <w:color w:val="000000"/>
                <w:spacing w:val="-2"/>
                <w:w w:val="15"/>
                <w:shd w:val="solid" w:color="000000" w:fill="000000"/>
                <w:fitText w:val="63" w:id="-961806067"/>
                <w14:textFill>
                  <w14:solidFill>
                    <w14:srgbClr w14:val="000000">
                      <w14:alpha w14:val="100000"/>
                    </w14:srgbClr>
                  </w14:solidFill>
                </w14:textFill>
              </w:rPr>
              <w:t xml:space="preserve">　</w:t>
            </w:r>
            <w:r w:rsidR="00013470" w:rsidRPr="001A420F">
              <w:rPr>
                <w:vertAlign w:val="superscript"/>
              </w:rPr>
              <w:t>8</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5ADB5FE2" w14:textId="1EAC3C7A"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50" w:id="-961806066"/>
                <w14:textFill>
                  <w14:solidFill>
                    <w14:srgbClr w14:val="000000">
                      <w14:alpha w14:val="100000"/>
                    </w14:srgbClr>
                  </w14:solidFill>
                </w14:textFill>
              </w:rPr>
              <w:t xml:space="preserve">　</w:t>
            </w:r>
            <w:r w:rsidRPr="005F1F42">
              <w:rPr>
                <w:color w:val="000000"/>
                <w:w w:val="15"/>
                <w:shd w:val="solid" w:color="000000" w:fill="000000"/>
                <w:fitText w:val="50" w:id="-961806066"/>
                <w14:textFill>
                  <w14:solidFill>
                    <w14:srgbClr w14:val="000000">
                      <w14:alpha w14:val="100000"/>
                    </w14:srgbClr>
                  </w14:solidFill>
                </w14:textFill>
              </w:rPr>
              <w:t>|</w:t>
            </w:r>
            <w:r w:rsidRPr="005F1F42">
              <w:rPr>
                <w:rFonts w:hint="eastAsia"/>
                <w:color w:val="000000"/>
                <w:spacing w:val="-15"/>
                <w:w w:val="15"/>
                <w:shd w:val="solid" w:color="000000" w:fill="000000"/>
                <w:fitText w:val="50" w:id="-961806066"/>
                <w14:textFill>
                  <w14:solidFill>
                    <w14:srgbClr w14:val="000000">
                      <w14:alpha w14:val="100000"/>
                    </w14:srgbClr>
                  </w14:solidFill>
                </w14:textFill>
              </w:rPr>
              <w:t xml:space="preserve">　</w:t>
            </w:r>
            <w:r w:rsidR="00013470" w:rsidRPr="001A420F">
              <w:rPr>
                <w:vertAlign w:val="superscript"/>
              </w:rPr>
              <w:t>8</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2CFA5697" w14:textId="79774C93"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50" w:id="-961806065"/>
                <w14:textFill>
                  <w14:solidFill>
                    <w14:srgbClr w14:val="000000">
                      <w14:alpha w14:val="100000"/>
                    </w14:srgbClr>
                  </w14:solidFill>
                </w14:textFill>
              </w:rPr>
              <w:t xml:space="preserve">　</w:t>
            </w:r>
            <w:r w:rsidRPr="005F1F42">
              <w:rPr>
                <w:color w:val="000000"/>
                <w:w w:val="15"/>
                <w:shd w:val="solid" w:color="000000" w:fill="000000"/>
                <w:fitText w:val="50" w:id="-961806065"/>
                <w14:textFill>
                  <w14:solidFill>
                    <w14:srgbClr w14:val="000000">
                      <w14:alpha w14:val="100000"/>
                    </w14:srgbClr>
                  </w14:solidFill>
                </w14:textFill>
              </w:rPr>
              <w:t>|</w:t>
            </w:r>
            <w:r w:rsidRPr="005F1F42">
              <w:rPr>
                <w:rFonts w:hint="eastAsia"/>
                <w:color w:val="000000"/>
                <w:spacing w:val="-15"/>
                <w:w w:val="15"/>
                <w:shd w:val="solid" w:color="000000" w:fill="000000"/>
                <w:fitText w:val="50" w:id="-961806065"/>
                <w14:textFill>
                  <w14:solidFill>
                    <w14:srgbClr w14:val="000000">
                      <w14:alpha w14:val="100000"/>
                    </w14:srgbClr>
                  </w14:solidFill>
                </w14:textFill>
              </w:rPr>
              <w:t xml:space="preserve">　</w:t>
            </w:r>
            <w:r w:rsidR="00013470" w:rsidRPr="001A420F">
              <w:rPr>
                <w:vertAlign w:val="superscript"/>
              </w:rPr>
              <w:t>8</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1AD8B181" w14:textId="639E1C42"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51" w:id="-961806064"/>
                <w14:textFill>
                  <w14:solidFill>
                    <w14:srgbClr w14:val="000000">
                      <w14:alpha w14:val="100000"/>
                    </w14:srgbClr>
                  </w14:solidFill>
                </w14:textFill>
              </w:rPr>
              <w:t xml:space="preserve">　</w:t>
            </w:r>
            <w:r w:rsidRPr="005F1F42">
              <w:rPr>
                <w:color w:val="000000"/>
                <w:w w:val="15"/>
                <w:shd w:val="solid" w:color="000000" w:fill="000000"/>
                <w:fitText w:val="51" w:id="-961806064"/>
                <w14:textFill>
                  <w14:solidFill>
                    <w14:srgbClr w14:val="000000">
                      <w14:alpha w14:val="100000"/>
                    </w14:srgbClr>
                  </w14:solidFill>
                </w14:textFill>
              </w:rPr>
              <w:t>|</w:t>
            </w:r>
            <w:r w:rsidRPr="005F1F42">
              <w:rPr>
                <w:rFonts w:hint="eastAsia"/>
                <w:color w:val="000000"/>
                <w:spacing w:val="-14"/>
                <w:w w:val="15"/>
                <w:shd w:val="solid" w:color="000000" w:fill="000000"/>
                <w:fitText w:val="51" w:id="-961806064"/>
                <w14:textFill>
                  <w14:solidFill>
                    <w14:srgbClr w14:val="000000">
                      <w14:alpha w14:val="100000"/>
                    </w14:srgbClr>
                  </w14:solidFill>
                </w14:textFill>
              </w:rPr>
              <w:t xml:space="preserve">　</w:t>
            </w:r>
            <w:r w:rsidR="00013470" w:rsidRPr="001A420F">
              <w:rPr>
                <w:vertAlign w:val="superscript"/>
              </w:rPr>
              <w:t>8</w:t>
            </w:r>
          </w:p>
        </w:tc>
      </w:tr>
      <w:tr w:rsidR="00CB63E9" w:rsidRPr="0099114C" w14:paraId="10D7B434" w14:textId="77777777" w:rsidTr="002103A2">
        <w:trPr>
          <w:trHeight w:val="20"/>
          <w:tblHeader/>
        </w:trPr>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56BF4520" w14:textId="77777777" w:rsidR="00CB63E9" w:rsidRPr="0099114C" w:rsidRDefault="00CB63E9" w:rsidP="002103A2">
            <w:pPr>
              <w:pStyle w:val="TableText"/>
              <w:rPr>
                <w:rStyle w:val="CommentReference"/>
              </w:rPr>
            </w:pPr>
            <w:r w:rsidRPr="0099114C">
              <w:rPr>
                <w:rStyle w:val="CommentReference"/>
              </w:rPr>
              <w:t>Net cost to PBS/RPBS</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02CBD39D" w14:textId="446975A2"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62" w:id="-961806080"/>
                <w14:textFill>
                  <w14:solidFill>
                    <w14:srgbClr w14:val="000000">
                      <w14:alpha w14:val="100000"/>
                    </w14:srgbClr>
                  </w14:solidFill>
                </w14:textFill>
              </w:rPr>
              <w:t xml:space="preserve">　</w:t>
            </w:r>
            <w:r w:rsidRPr="005F1F42">
              <w:rPr>
                <w:color w:val="000000"/>
                <w:w w:val="15"/>
                <w:shd w:val="solid" w:color="000000" w:fill="000000"/>
                <w:fitText w:val="62" w:id="-961806080"/>
                <w14:textFill>
                  <w14:solidFill>
                    <w14:srgbClr w14:val="000000">
                      <w14:alpha w14:val="100000"/>
                    </w14:srgbClr>
                  </w14:solidFill>
                </w14:textFill>
              </w:rPr>
              <w:t>|</w:t>
            </w:r>
            <w:r w:rsidRPr="005F1F42">
              <w:rPr>
                <w:rFonts w:hint="eastAsia"/>
                <w:color w:val="000000"/>
                <w:spacing w:val="-3"/>
                <w:w w:val="15"/>
                <w:shd w:val="solid" w:color="000000" w:fill="000000"/>
                <w:fitText w:val="62" w:id="-961806080"/>
                <w14:textFill>
                  <w14:solidFill>
                    <w14:srgbClr w14:val="000000">
                      <w14:alpha w14:val="100000"/>
                    </w14:srgbClr>
                  </w14:solidFill>
                </w14:textFill>
              </w:rPr>
              <w:t xml:space="preserve">　</w:t>
            </w:r>
            <w:r w:rsidR="002C6224" w:rsidRPr="001A420F">
              <w:rPr>
                <w:vertAlign w:val="superscript"/>
              </w:rPr>
              <w:t>4</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6081F298" w14:textId="651AAAEB"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62" w:id="-961805824"/>
                <w14:textFill>
                  <w14:solidFill>
                    <w14:srgbClr w14:val="000000">
                      <w14:alpha w14:val="100000"/>
                    </w14:srgbClr>
                  </w14:solidFill>
                </w14:textFill>
              </w:rPr>
              <w:t xml:space="preserve">　</w:t>
            </w:r>
            <w:r w:rsidRPr="005F1F42">
              <w:rPr>
                <w:color w:val="000000"/>
                <w:w w:val="15"/>
                <w:shd w:val="solid" w:color="000000" w:fill="000000"/>
                <w:fitText w:val="62" w:id="-961805824"/>
                <w14:textFill>
                  <w14:solidFill>
                    <w14:srgbClr w14:val="000000">
                      <w14:alpha w14:val="100000"/>
                    </w14:srgbClr>
                  </w14:solidFill>
                </w14:textFill>
              </w:rPr>
              <w:t>|</w:t>
            </w:r>
            <w:r w:rsidRPr="005F1F42">
              <w:rPr>
                <w:rFonts w:hint="eastAsia"/>
                <w:color w:val="000000"/>
                <w:spacing w:val="-3"/>
                <w:w w:val="15"/>
                <w:shd w:val="solid" w:color="000000" w:fill="000000"/>
                <w:fitText w:val="62" w:id="-961805824"/>
                <w14:textFill>
                  <w14:solidFill>
                    <w14:srgbClr w14:val="000000">
                      <w14:alpha w14:val="100000"/>
                    </w14:srgbClr>
                  </w14:solidFill>
                </w14:textFill>
              </w:rPr>
              <w:t xml:space="preserve">　</w:t>
            </w:r>
            <w:r w:rsidR="002C6224" w:rsidRPr="001A420F">
              <w:rPr>
                <w:vertAlign w:val="superscript"/>
              </w:rPr>
              <w:t>5</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744492C6" w14:textId="60591C1C"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63" w:id="-961805823"/>
                <w14:textFill>
                  <w14:solidFill>
                    <w14:srgbClr w14:val="000000">
                      <w14:alpha w14:val="100000"/>
                    </w14:srgbClr>
                  </w14:solidFill>
                </w14:textFill>
              </w:rPr>
              <w:t xml:space="preserve">　</w:t>
            </w:r>
            <w:r w:rsidRPr="005F1F42">
              <w:rPr>
                <w:color w:val="000000"/>
                <w:w w:val="15"/>
                <w:shd w:val="solid" w:color="000000" w:fill="000000"/>
                <w:fitText w:val="63" w:id="-961805823"/>
                <w14:textFill>
                  <w14:solidFill>
                    <w14:srgbClr w14:val="000000">
                      <w14:alpha w14:val="100000"/>
                    </w14:srgbClr>
                  </w14:solidFill>
                </w14:textFill>
              </w:rPr>
              <w:t>|</w:t>
            </w:r>
            <w:r w:rsidRPr="005F1F42">
              <w:rPr>
                <w:rFonts w:hint="eastAsia"/>
                <w:color w:val="000000"/>
                <w:spacing w:val="-2"/>
                <w:w w:val="15"/>
                <w:shd w:val="solid" w:color="000000" w:fill="000000"/>
                <w:fitText w:val="63" w:id="-961805823"/>
                <w14:textFill>
                  <w14:solidFill>
                    <w14:srgbClr w14:val="000000">
                      <w14:alpha w14:val="100000"/>
                    </w14:srgbClr>
                  </w14:solidFill>
                </w14:textFill>
              </w:rPr>
              <w:t xml:space="preserve">　</w:t>
            </w:r>
            <w:r w:rsidR="002C6224" w:rsidRPr="001A420F">
              <w:rPr>
                <w:vertAlign w:val="superscript"/>
              </w:rPr>
              <w:t>6</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05BFB9CF" w14:textId="1046296F"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50" w:id="-961805822"/>
                <w14:textFill>
                  <w14:solidFill>
                    <w14:srgbClr w14:val="000000">
                      <w14:alpha w14:val="100000"/>
                    </w14:srgbClr>
                  </w14:solidFill>
                </w14:textFill>
              </w:rPr>
              <w:t xml:space="preserve">　</w:t>
            </w:r>
            <w:r w:rsidRPr="005F1F42">
              <w:rPr>
                <w:color w:val="000000"/>
                <w:w w:val="15"/>
                <w:shd w:val="solid" w:color="000000" w:fill="000000"/>
                <w:fitText w:val="50" w:id="-961805822"/>
                <w14:textFill>
                  <w14:solidFill>
                    <w14:srgbClr w14:val="000000">
                      <w14:alpha w14:val="100000"/>
                    </w14:srgbClr>
                  </w14:solidFill>
                </w14:textFill>
              </w:rPr>
              <w:t>|</w:t>
            </w:r>
            <w:r w:rsidRPr="005F1F42">
              <w:rPr>
                <w:rFonts w:hint="eastAsia"/>
                <w:color w:val="000000"/>
                <w:spacing w:val="-15"/>
                <w:w w:val="15"/>
                <w:shd w:val="solid" w:color="000000" w:fill="000000"/>
                <w:fitText w:val="50" w:id="-961805822"/>
                <w14:textFill>
                  <w14:solidFill>
                    <w14:srgbClr w14:val="000000">
                      <w14:alpha w14:val="100000"/>
                    </w14:srgbClr>
                  </w14:solidFill>
                </w14:textFill>
              </w:rPr>
              <w:t xml:space="preserve">　</w:t>
            </w:r>
            <w:r w:rsidR="002C6224" w:rsidRPr="001A420F">
              <w:rPr>
                <w:vertAlign w:val="superscript"/>
              </w:rPr>
              <w:t>6</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2747E1B0" w14:textId="04D327F8"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50" w:id="-961805821"/>
                <w14:textFill>
                  <w14:solidFill>
                    <w14:srgbClr w14:val="000000">
                      <w14:alpha w14:val="100000"/>
                    </w14:srgbClr>
                  </w14:solidFill>
                </w14:textFill>
              </w:rPr>
              <w:t xml:space="preserve">　</w:t>
            </w:r>
            <w:r w:rsidRPr="005F1F42">
              <w:rPr>
                <w:color w:val="000000"/>
                <w:w w:val="15"/>
                <w:shd w:val="solid" w:color="000000" w:fill="000000"/>
                <w:fitText w:val="50" w:id="-961805821"/>
                <w14:textFill>
                  <w14:solidFill>
                    <w14:srgbClr w14:val="000000">
                      <w14:alpha w14:val="100000"/>
                    </w14:srgbClr>
                  </w14:solidFill>
                </w14:textFill>
              </w:rPr>
              <w:t>|</w:t>
            </w:r>
            <w:r w:rsidRPr="005F1F42">
              <w:rPr>
                <w:rFonts w:hint="eastAsia"/>
                <w:color w:val="000000"/>
                <w:spacing w:val="-15"/>
                <w:w w:val="15"/>
                <w:shd w:val="solid" w:color="000000" w:fill="000000"/>
                <w:fitText w:val="50" w:id="-961805821"/>
                <w14:textFill>
                  <w14:solidFill>
                    <w14:srgbClr w14:val="000000">
                      <w14:alpha w14:val="100000"/>
                    </w14:srgbClr>
                  </w14:solidFill>
                </w14:textFill>
              </w:rPr>
              <w:t xml:space="preserve">　</w:t>
            </w:r>
            <w:r w:rsidR="002C6224" w:rsidRPr="001A420F">
              <w:rPr>
                <w:vertAlign w:val="superscript"/>
              </w:rPr>
              <w:t>6</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0BA9EC37" w14:textId="09FBC801"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51" w:id="-961805820"/>
                <w14:textFill>
                  <w14:solidFill>
                    <w14:srgbClr w14:val="000000">
                      <w14:alpha w14:val="100000"/>
                    </w14:srgbClr>
                  </w14:solidFill>
                </w14:textFill>
              </w:rPr>
              <w:t xml:space="preserve">　</w:t>
            </w:r>
            <w:r w:rsidRPr="005F1F42">
              <w:rPr>
                <w:color w:val="000000"/>
                <w:w w:val="15"/>
                <w:shd w:val="solid" w:color="000000" w:fill="000000"/>
                <w:fitText w:val="51" w:id="-961805820"/>
                <w14:textFill>
                  <w14:solidFill>
                    <w14:srgbClr w14:val="000000">
                      <w14:alpha w14:val="100000"/>
                    </w14:srgbClr>
                  </w14:solidFill>
                </w14:textFill>
              </w:rPr>
              <w:t>|</w:t>
            </w:r>
            <w:r w:rsidRPr="005F1F42">
              <w:rPr>
                <w:rFonts w:hint="eastAsia"/>
                <w:color w:val="000000"/>
                <w:spacing w:val="-14"/>
                <w:w w:val="15"/>
                <w:shd w:val="solid" w:color="000000" w:fill="000000"/>
                <w:fitText w:val="51" w:id="-961805820"/>
                <w14:textFill>
                  <w14:solidFill>
                    <w14:srgbClr w14:val="000000">
                      <w14:alpha w14:val="100000"/>
                    </w14:srgbClr>
                  </w14:solidFill>
                </w14:textFill>
              </w:rPr>
              <w:t xml:space="preserve">　</w:t>
            </w:r>
            <w:r w:rsidR="002C6224" w:rsidRPr="001A420F">
              <w:rPr>
                <w:vertAlign w:val="superscript"/>
              </w:rPr>
              <w:t>6</w:t>
            </w:r>
          </w:p>
        </w:tc>
      </w:tr>
      <w:tr w:rsidR="00CB63E9" w:rsidRPr="0099114C" w14:paraId="095F5CD1" w14:textId="77777777" w:rsidTr="002103A2">
        <w:trPr>
          <w:trHeight w:val="20"/>
          <w:tblHeader/>
        </w:trPr>
        <w:tc>
          <w:tcPr>
            <w:tcW w:w="1337" w:type="pc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E28E789" w14:textId="494A82A2" w:rsidR="00CB63E9" w:rsidRPr="0099114C" w:rsidRDefault="00CB63E9" w:rsidP="002103A2">
            <w:pPr>
              <w:pStyle w:val="TableText"/>
              <w:rPr>
                <w:b/>
                <w:bCs w:val="0"/>
              </w:rPr>
            </w:pPr>
            <w:r w:rsidRPr="0099114C">
              <w:rPr>
                <w:b/>
              </w:rPr>
              <w:t>Net cost to PBS/RPBS (July</w:t>
            </w:r>
            <w:r w:rsidR="002103A2">
              <w:rPr>
                <w:b/>
              </w:rPr>
              <w:t> </w:t>
            </w:r>
            <w:r w:rsidRPr="0099114C">
              <w:rPr>
                <w:b/>
              </w:rPr>
              <w:t>2023 submission)</w:t>
            </w:r>
          </w:p>
        </w:tc>
        <w:tc>
          <w:tcPr>
            <w:tcW w:w="607" w:type="pc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24758E6" w14:textId="55203D6A"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62" w:id="-961805819"/>
                <w14:textFill>
                  <w14:solidFill>
                    <w14:srgbClr w14:val="000000">
                      <w14:alpha w14:val="100000"/>
                    </w14:srgbClr>
                  </w14:solidFill>
                </w14:textFill>
              </w:rPr>
              <w:t xml:space="preserve">　</w:t>
            </w:r>
            <w:r w:rsidRPr="005F1F42">
              <w:rPr>
                <w:color w:val="000000"/>
                <w:w w:val="15"/>
                <w:shd w:val="solid" w:color="000000" w:fill="000000"/>
                <w:fitText w:val="62" w:id="-961805819"/>
                <w14:textFill>
                  <w14:solidFill>
                    <w14:srgbClr w14:val="000000">
                      <w14:alpha w14:val="100000"/>
                    </w14:srgbClr>
                  </w14:solidFill>
                </w14:textFill>
              </w:rPr>
              <w:t>|</w:t>
            </w:r>
            <w:r w:rsidRPr="005F1F42">
              <w:rPr>
                <w:rFonts w:hint="eastAsia"/>
                <w:color w:val="000000"/>
                <w:spacing w:val="-3"/>
                <w:w w:val="15"/>
                <w:shd w:val="solid" w:color="000000" w:fill="000000"/>
                <w:fitText w:val="62" w:id="-961805819"/>
                <w14:textFill>
                  <w14:solidFill>
                    <w14:srgbClr w14:val="000000">
                      <w14:alpha w14:val="100000"/>
                    </w14:srgbClr>
                  </w14:solidFill>
                </w14:textFill>
              </w:rPr>
              <w:t xml:space="preserve">　</w:t>
            </w:r>
            <w:r w:rsidR="002C6224" w:rsidRPr="001A420F">
              <w:rPr>
                <w:vertAlign w:val="superscript"/>
              </w:rPr>
              <w:t>4</w:t>
            </w:r>
          </w:p>
        </w:tc>
        <w:tc>
          <w:tcPr>
            <w:tcW w:w="609" w:type="pc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62A3922" w14:textId="1E217879"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62" w:id="-961805818"/>
                <w14:textFill>
                  <w14:solidFill>
                    <w14:srgbClr w14:val="000000">
                      <w14:alpha w14:val="100000"/>
                    </w14:srgbClr>
                  </w14:solidFill>
                </w14:textFill>
              </w:rPr>
              <w:t xml:space="preserve">　</w:t>
            </w:r>
            <w:r w:rsidRPr="005F1F42">
              <w:rPr>
                <w:color w:val="000000"/>
                <w:w w:val="15"/>
                <w:shd w:val="solid" w:color="000000" w:fill="000000"/>
                <w:fitText w:val="62" w:id="-961805818"/>
                <w14:textFill>
                  <w14:solidFill>
                    <w14:srgbClr w14:val="000000">
                      <w14:alpha w14:val="100000"/>
                    </w14:srgbClr>
                  </w14:solidFill>
                </w14:textFill>
              </w:rPr>
              <w:t>|</w:t>
            </w:r>
            <w:r w:rsidRPr="005F1F42">
              <w:rPr>
                <w:rFonts w:hint="eastAsia"/>
                <w:color w:val="000000"/>
                <w:spacing w:val="-3"/>
                <w:w w:val="15"/>
                <w:shd w:val="solid" w:color="000000" w:fill="000000"/>
                <w:fitText w:val="62" w:id="-961805818"/>
                <w14:textFill>
                  <w14:solidFill>
                    <w14:srgbClr w14:val="000000">
                      <w14:alpha w14:val="100000"/>
                    </w14:srgbClr>
                  </w14:solidFill>
                </w14:textFill>
              </w:rPr>
              <w:t xml:space="preserve">　</w:t>
            </w:r>
            <w:r w:rsidR="002C6224" w:rsidRPr="001A420F">
              <w:rPr>
                <w:vertAlign w:val="superscript"/>
              </w:rPr>
              <w:t>4</w:t>
            </w:r>
          </w:p>
        </w:tc>
        <w:tc>
          <w:tcPr>
            <w:tcW w:w="609" w:type="pc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CDEB56D" w14:textId="71DEC1FF"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63" w:id="-961805817"/>
                <w14:textFill>
                  <w14:solidFill>
                    <w14:srgbClr w14:val="000000">
                      <w14:alpha w14:val="100000"/>
                    </w14:srgbClr>
                  </w14:solidFill>
                </w14:textFill>
              </w:rPr>
              <w:t xml:space="preserve">　</w:t>
            </w:r>
            <w:r w:rsidRPr="005F1F42">
              <w:rPr>
                <w:color w:val="000000"/>
                <w:w w:val="15"/>
                <w:shd w:val="solid" w:color="000000" w:fill="000000"/>
                <w:fitText w:val="63" w:id="-961805817"/>
                <w14:textFill>
                  <w14:solidFill>
                    <w14:srgbClr w14:val="000000">
                      <w14:alpha w14:val="100000"/>
                    </w14:srgbClr>
                  </w14:solidFill>
                </w14:textFill>
              </w:rPr>
              <w:t>|</w:t>
            </w:r>
            <w:r w:rsidRPr="005F1F42">
              <w:rPr>
                <w:rFonts w:hint="eastAsia"/>
                <w:color w:val="000000"/>
                <w:spacing w:val="-2"/>
                <w:w w:val="15"/>
                <w:shd w:val="solid" w:color="000000" w:fill="000000"/>
                <w:fitText w:val="63" w:id="-961805817"/>
                <w14:textFill>
                  <w14:solidFill>
                    <w14:srgbClr w14:val="000000">
                      <w14:alpha w14:val="100000"/>
                    </w14:srgbClr>
                  </w14:solidFill>
                </w14:textFill>
              </w:rPr>
              <w:t xml:space="preserve">　</w:t>
            </w:r>
            <w:r w:rsidR="002C6224" w:rsidRPr="001A420F">
              <w:rPr>
                <w:vertAlign w:val="superscript"/>
              </w:rPr>
              <w:t>5</w:t>
            </w:r>
          </w:p>
        </w:tc>
        <w:tc>
          <w:tcPr>
            <w:tcW w:w="616" w:type="pc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6E2FBE6" w14:textId="4848F8DC"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50" w:id="-961805816"/>
                <w14:textFill>
                  <w14:solidFill>
                    <w14:srgbClr w14:val="000000">
                      <w14:alpha w14:val="100000"/>
                    </w14:srgbClr>
                  </w14:solidFill>
                </w14:textFill>
              </w:rPr>
              <w:t xml:space="preserve">　</w:t>
            </w:r>
            <w:r w:rsidRPr="005F1F42">
              <w:rPr>
                <w:color w:val="000000"/>
                <w:w w:val="15"/>
                <w:shd w:val="solid" w:color="000000" w:fill="000000"/>
                <w:fitText w:val="50" w:id="-961805816"/>
                <w14:textFill>
                  <w14:solidFill>
                    <w14:srgbClr w14:val="000000">
                      <w14:alpha w14:val="100000"/>
                    </w14:srgbClr>
                  </w14:solidFill>
                </w14:textFill>
              </w:rPr>
              <w:t>|</w:t>
            </w:r>
            <w:r w:rsidRPr="005F1F42">
              <w:rPr>
                <w:rFonts w:hint="eastAsia"/>
                <w:color w:val="000000"/>
                <w:spacing w:val="-15"/>
                <w:w w:val="15"/>
                <w:shd w:val="solid" w:color="000000" w:fill="000000"/>
                <w:fitText w:val="50" w:id="-961805816"/>
                <w14:textFill>
                  <w14:solidFill>
                    <w14:srgbClr w14:val="000000">
                      <w14:alpha w14:val="100000"/>
                    </w14:srgbClr>
                  </w14:solidFill>
                </w14:textFill>
              </w:rPr>
              <w:t xml:space="preserve">　</w:t>
            </w:r>
            <w:r w:rsidR="002C6224" w:rsidRPr="001A420F">
              <w:rPr>
                <w:vertAlign w:val="superscript"/>
              </w:rPr>
              <w:t>5</w:t>
            </w:r>
          </w:p>
        </w:tc>
        <w:tc>
          <w:tcPr>
            <w:tcW w:w="634" w:type="pc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CE69693" w14:textId="0F86C6BF"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50" w:id="-961805815"/>
                <w14:textFill>
                  <w14:solidFill>
                    <w14:srgbClr w14:val="000000">
                      <w14:alpha w14:val="100000"/>
                    </w14:srgbClr>
                  </w14:solidFill>
                </w14:textFill>
              </w:rPr>
              <w:t xml:space="preserve">　</w:t>
            </w:r>
            <w:r w:rsidRPr="005F1F42">
              <w:rPr>
                <w:color w:val="000000"/>
                <w:w w:val="15"/>
                <w:shd w:val="solid" w:color="000000" w:fill="000000"/>
                <w:fitText w:val="50" w:id="-961805815"/>
                <w14:textFill>
                  <w14:solidFill>
                    <w14:srgbClr w14:val="000000">
                      <w14:alpha w14:val="100000"/>
                    </w14:srgbClr>
                  </w14:solidFill>
                </w14:textFill>
              </w:rPr>
              <w:t>|</w:t>
            </w:r>
            <w:r w:rsidRPr="005F1F42">
              <w:rPr>
                <w:rFonts w:hint="eastAsia"/>
                <w:color w:val="000000"/>
                <w:spacing w:val="-15"/>
                <w:w w:val="15"/>
                <w:shd w:val="solid" w:color="000000" w:fill="000000"/>
                <w:fitText w:val="50" w:id="-961805815"/>
                <w14:textFill>
                  <w14:solidFill>
                    <w14:srgbClr w14:val="000000">
                      <w14:alpha w14:val="100000"/>
                    </w14:srgbClr>
                  </w14:solidFill>
                </w14:textFill>
              </w:rPr>
              <w:t xml:space="preserve">　</w:t>
            </w:r>
            <w:r w:rsidR="002C6224" w:rsidRPr="001A420F">
              <w:rPr>
                <w:vertAlign w:val="superscript"/>
              </w:rPr>
              <w:t>5</w:t>
            </w:r>
          </w:p>
        </w:tc>
        <w:tc>
          <w:tcPr>
            <w:tcW w:w="588" w:type="pc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52B4E16" w14:textId="67175032" w:rsidR="00CB63E9" w:rsidRPr="009E5CCE" w:rsidRDefault="005F1F42" w:rsidP="002103A2">
            <w:pPr>
              <w:pStyle w:val="TableText"/>
              <w:jc w:val="center"/>
              <w:rPr>
                <w:highlight w:val="lightGray"/>
              </w:rPr>
            </w:pPr>
            <w:r w:rsidRPr="005F1F42">
              <w:rPr>
                <w:rFonts w:hint="eastAsia"/>
                <w:color w:val="000000"/>
                <w:w w:val="15"/>
                <w:shd w:val="solid" w:color="000000" w:fill="000000"/>
                <w:fitText w:val="51" w:id="-961805814"/>
                <w14:textFill>
                  <w14:solidFill>
                    <w14:srgbClr w14:val="000000">
                      <w14:alpha w14:val="100000"/>
                    </w14:srgbClr>
                  </w14:solidFill>
                </w14:textFill>
              </w:rPr>
              <w:t xml:space="preserve">　</w:t>
            </w:r>
            <w:r w:rsidRPr="005F1F42">
              <w:rPr>
                <w:color w:val="000000"/>
                <w:w w:val="15"/>
                <w:shd w:val="solid" w:color="000000" w:fill="000000"/>
                <w:fitText w:val="51" w:id="-961805814"/>
                <w14:textFill>
                  <w14:solidFill>
                    <w14:srgbClr w14:val="000000">
                      <w14:alpha w14:val="100000"/>
                    </w14:srgbClr>
                  </w14:solidFill>
                </w14:textFill>
              </w:rPr>
              <w:t>|</w:t>
            </w:r>
            <w:r w:rsidRPr="005F1F42">
              <w:rPr>
                <w:rFonts w:hint="eastAsia"/>
                <w:color w:val="000000"/>
                <w:spacing w:val="-14"/>
                <w:w w:val="15"/>
                <w:shd w:val="solid" w:color="000000" w:fill="000000"/>
                <w:fitText w:val="51" w:id="-961805814"/>
                <w14:textFill>
                  <w14:solidFill>
                    <w14:srgbClr w14:val="000000">
                      <w14:alpha w14:val="100000"/>
                    </w14:srgbClr>
                  </w14:solidFill>
                </w14:textFill>
              </w:rPr>
              <w:t xml:space="preserve">　</w:t>
            </w:r>
            <w:r w:rsidR="002C6224" w:rsidRPr="001A420F">
              <w:rPr>
                <w:vertAlign w:val="superscript"/>
              </w:rPr>
              <w:t>5</w:t>
            </w:r>
          </w:p>
        </w:tc>
      </w:tr>
    </w:tbl>
    <w:p w14:paraId="2A786198" w14:textId="77777777" w:rsidR="00CB63E9" w:rsidRPr="0099114C" w:rsidRDefault="00CB63E9" w:rsidP="002103A2">
      <w:pPr>
        <w:pStyle w:val="FooterTableFigure"/>
        <w:keepNext/>
      </w:pPr>
      <w:r w:rsidRPr="0099114C">
        <w:t>Source: Table 4-28, p181 of the resubmission</w:t>
      </w:r>
    </w:p>
    <w:p w14:paraId="6744C960" w14:textId="77777777" w:rsidR="00CB63E9" w:rsidRPr="0099114C" w:rsidRDefault="00CB63E9" w:rsidP="002103A2">
      <w:pPr>
        <w:pStyle w:val="FooterTableFigure"/>
        <w:keepNext/>
      </w:pPr>
      <w:r w:rsidRPr="0099114C">
        <w:t>Abbreviations: PBS, Pharmaceutical Benefits Scheme; RPBS, Repatriation Schedule of Pharmaceutical Benefits</w:t>
      </w:r>
    </w:p>
    <w:p w14:paraId="54EE5AD0" w14:textId="730BD1C7" w:rsidR="00CB63E9" w:rsidRDefault="00CB63E9" w:rsidP="002103A2">
      <w:pPr>
        <w:pStyle w:val="FooterTableFigure"/>
        <w:keepNext/>
      </w:pPr>
      <w:r w:rsidRPr="00857B0D">
        <w:rPr>
          <w:shd w:val="clear" w:color="auto" w:fill="8EAADB" w:themeFill="accent1" w:themeFillTint="99"/>
        </w:rPr>
        <w:t>Blue shading</w:t>
      </w:r>
      <w:r w:rsidRPr="00857B0D">
        <w:t xml:space="preserve"> indicates data previously seen by the PBAC</w:t>
      </w:r>
      <w:r w:rsidR="0099114C" w:rsidRPr="00857B0D">
        <w:t xml:space="preserve">. </w:t>
      </w:r>
    </w:p>
    <w:p w14:paraId="3236661F" w14:textId="77777777" w:rsidR="00282850" w:rsidRPr="009E5CCE" w:rsidRDefault="00282850" w:rsidP="002103A2">
      <w:pPr>
        <w:pStyle w:val="FooterTableFigure"/>
        <w:keepNext/>
        <w:rPr>
          <w:i/>
          <w:iCs/>
        </w:rPr>
      </w:pPr>
      <w:r w:rsidRPr="009E5CCE">
        <w:rPr>
          <w:i/>
          <w:iCs/>
        </w:rPr>
        <w:t xml:space="preserve">The redacted values correspond to the following ranges: </w:t>
      </w:r>
    </w:p>
    <w:p w14:paraId="39F0A89E" w14:textId="2B433A79" w:rsidR="00282850" w:rsidRPr="009E5CCE" w:rsidRDefault="002C6224" w:rsidP="002103A2">
      <w:pPr>
        <w:pStyle w:val="FooterTableFigure"/>
        <w:keepNext/>
        <w:rPr>
          <w:i/>
          <w:iCs/>
        </w:rPr>
      </w:pPr>
      <w:r w:rsidRPr="009E5CCE">
        <w:rPr>
          <w:i/>
          <w:iCs/>
          <w:vertAlign w:val="superscript"/>
        </w:rPr>
        <w:t>1</w:t>
      </w:r>
      <w:r w:rsidR="00282850" w:rsidRPr="009E5CCE">
        <w:rPr>
          <w:i/>
          <w:iCs/>
        </w:rPr>
        <w:t xml:space="preserve"> 500 to &lt; 5,000</w:t>
      </w:r>
    </w:p>
    <w:p w14:paraId="08FA9A8E" w14:textId="112C0E6E" w:rsidR="002C6224" w:rsidRPr="009E5CCE" w:rsidRDefault="002C6224" w:rsidP="002103A2">
      <w:pPr>
        <w:pStyle w:val="FooterTableFigure"/>
        <w:keepNext/>
        <w:rPr>
          <w:i/>
          <w:iCs/>
        </w:rPr>
      </w:pPr>
      <w:r w:rsidRPr="009E5CCE">
        <w:rPr>
          <w:i/>
          <w:iCs/>
          <w:vertAlign w:val="superscript"/>
        </w:rPr>
        <w:t>2</w:t>
      </w:r>
      <w:r w:rsidRPr="009E5CCE">
        <w:rPr>
          <w:i/>
          <w:iCs/>
        </w:rPr>
        <w:t xml:space="preserve"> &lt; 500</w:t>
      </w:r>
    </w:p>
    <w:p w14:paraId="608185F2" w14:textId="77777777" w:rsidR="00282850" w:rsidRPr="009E5CCE" w:rsidRDefault="00282850" w:rsidP="002103A2">
      <w:pPr>
        <w:pStyle w:val="FooterTableFigure"/>
        <w:keepNext/>
        <w:rPr>
          <w:i/>
          <w:iCs/>
        </w:rPr>
      </w:pPr>
      <w:r w:rsidRPr="009E5CCE">
        <w:rPr>
          <w:i/>
          <w:iCs/>
          <w:vertAlign w:val="superscript"/>
        </w:rPr>
        <w:t>3</w:t>
      </w:r>
      <w:r w:rsidRPr="009E5CCE">
        <w:rPr>
          <w:i/>
          <w:iCs/>
        </w:rPr>
        <w:t xml:space="preserve"> 5,000 to &lt; 10,000</w:t>
      </w:r>
    </w:p>
    <w:p w14:paraId="63FC78DE" w14:textId="77777777" w:rsidR="00282850" w:rsidRPr="009E5CCE" w:rsidRDefault="00282850" w:rsidP="002103A2">
      <w:pPr>
        <w:pStyle w:val="FooterTableFigure"/>
        <w:keepNext/>
        <w:rPr>
          <w:i/>
          <w:iCs/>
        </w:rPr>
      </w:pPr>
      <w:r w:rsidRPr="009E5CCE">
        <w:rPr>
          <w:i/>
          <w:iCs/>
          <w:vertAlign w:val="superscript"/>
        </w:rPr>
        <w:t xml:space="preserve">4 </w:t>
      </w:r>
      <w:r w:rsidRPr="009E5CCE">
        <w:rPr>
          <w:i/>
          <w:iCs/>
        </w:rPr>
        <w:t>$10 million to &lt; $20 million</w:t>
      </w:r>
    </w:p>
    <w:p w14:paraId="67B5C253" w14:textId="77777777" w:rsidR="00282850" w:rsidRPr="009E5CCE" w:rsidRDefault="00282850" w:rsidP="002103A2">
      <w:pPr>
        <w:pStyle w:val="FooterTableFigure"/>
        <w:keepNext/>
        <w:rPr>
          <w:i/>
          <w:iCs/>
        </w:rPr>
      </w:pPr>
      <w:r w:rsidRPr="009E5CCE">
        <w:rPr>
          <w:i/>
          <w:iCs/>
          <w:vertAlign w:val="superscript"/>
        </w:rPr>
        <w:t>5</w:t>
      </w:r>
      <w:r w:rsidRPr="009E5CCE">
        <w:rPr>
          <w:i/>
          <w:iCs/>
        </w:rPr>
        <w:t xml:space="preserve"> $20 million to &lt; $30 million </w:t>
      </w:r>
    </w:p>
    <w:p w14:paraId="246336D8" w14:textId="2276B18C" w:rsidR="002C6224" w:rsidRPr="009E5CCE" w:rsidRDefault="002C6224" w:rsidP="002103A2">
      <w:pPr>
        <w:pStyle w:val="FooterTableFigure"/>
        <w:keepNext/>
        <w:rPr>
          <w:i/>
          <w:iCs/>
        </w:rPr>
      </w:pPr>
      <w:r w:rsidRPr="009E5CCE">
        <w:rPr>
          <w:i/>
          <w:iCs/>
          <w:vertAlign w:val="superscript"/>
        </w:rPr>
        <w:t xml:space="preserve">6 </w:t>
      </w:r>
      <w:r w:rsidRPr="009E5CCE">
        <w:rPr>
          <w:i/>
          <w:iCs/>
        </w:rPr>
        <w:t>$30 million to &lt; $40 million</w:t>
      </w:r>
    </w:p>
    <w:p w14:paraId="4121D3E6" w14:textId="7B0C9CBC" w:rsidR="00013470" w:rsidRPr="009E5CCE" w:rsidRDefault="00013470" w:rsidP="002103A2">
      <w:pPr>
        <w:pStyle w:val="FooterTableFigure"/>
        <w:keepNext/>
        <w:rPr>
          <w:i/>
          <w:iCs/>
        </w:rPr>
      </w:pPr>
      <w:r w:rsidRPr="009E5CCE">
        <w:rPr>
          <w:i/>
          <w:iCs/>
          <w:vertAlign w:val="superscript"/>
        </w:rPr>
        <w:t xml:space="preserve">7 </w:t>
      </w:r>
      <w:r w:rsidRPr="009E5CCE">
        <w:rPr>
          <w:i/>
          <w:iCs/>
        </w:rPr>
        <w:t>net cost saving</w:t>
      </w:r>
    </w:p>
    <w:p w14:paraId="0F79347D" w14:textId="16E045E9" w:rsidR="00013470" w:rsidRPr="009E5CCE" w:rsidRDefault="00013470" w:rsidP="002C6224">
      <w:pPr>
        <w:pStyle w:val="FooterTableFigure"/>
        <w:rPr>
          <w:i/>
          <w:iCs/>
        </w:rPr>
      </w:pPr>
      <w:r w:rsidRPr="009E5CCE">
        <w:rPr>
          <w:i/>
          <w:iCs/>
          <w:vertAlign w:val="superscript"/>
        </w:rPr>
        <w:t>8</w:t>
      </w:r>
      <w:r w:rsidRPr="009E5CCE">
        <w:rPr>
          <w:i/>
          <w:iCs/>
        </w:rPr>
        <w:t xml:space="preserve"> $0 to &lt; $10 million</w:t>
      </w:r>
    </w:p>
    <w:p w14:paraId="571ECFD4" w14:textId="609CC2F8" w:rsidR="00CB63E9" w:rsidRPr="0099114C" w:rsidRDefault="00CB63E9" w:rsidP="00CB63E9">
      <w:pPr>
        <w:pStyle w:val="3-BodyText"/>
      </w:pPr>
      <w:r w:rsidRPr="0099114C">
        <w:t>The resubmission estimated avacopan use to cost the PBS/RPBS $</w:t>
      </w:r>
      <w:r w:rsidR="00013470" w:rsidRPr="00013470">
        <w:t>10 million to &lt;</w:t>
      </w:r>
      <w:r w:rsidR="002103A2">
        <w:t> </w:t>
      </w:r>
      <w:r w:rsidR="00013470" w:rsidRPr="00013470">
        <w:t>$20</w:t>
      </w:r>
      <w:r w:rsidR="002103A2">
        <w:t> </w:t>
      </w:r>
      <w:r w:rsidR="00013470" w:rsidRPr="00013470">
        <w:t>million</w:t>
      </w:r>
      <w:r w:rsidR="00013470" w:rsidRPr="00013470" w:rsidDel="00013470">
        <w:t xml:space="preserve"> </w:t>
      </w:r>
      <w:r w:rsidRPr="0099114C">
        <w:t xml:space="preserve">in </w:t>
      </w:r>
      <w:r w:rsidR="006C7F0A" w:rsidRPr="0099114C">
        <w:t>Year </w:t>
      </w:r>
      <w:r w:rsidRPr="0099114C">
        <w:t>1, increasing to $</w:t>
      </w:r>
      <w:r w:rsidR="00013470" w:rsidRPr="00013470">
        <w:t>30 million to &lt; $40 million</w:t>
      </w:r>
      <w:r w:rsidR="00013470" w:rsidRPr="00013470" w:rsidDel="00013470">
        <w:t xml:space="preserve"> </w:t>
      </w:r>
      <w:r w:rsidRPr="0099114C">
        <w:t>in Year 6, totalling $</w:t>
      </w:r>
      <w:r w:rsidR="00013470" w:rsidRPr="00013470">
        <w:t>100</w:t>
      </w:r>
      <w:r w:rsidR="002103A2">
        <w:t> </w:t>
      </w:r>
      <w:r w:rsidR="00013470" w:rsidRPr="00013470">
        <w:t>million to &lt; $200 million</w:t>
      </w:r>
      <w:r w:rsidRPr="0099114C">
        <w:t xml:space="preserve"> over the 6 years. In the previous submission, the estimated cost of avacopan use to the PBS/RPBS was $</w:t>
      </w:r>
      <w:r w:rsidR="00013470" w:rsidRPr="00013470">
        <w:t>10 million to &lt; $20 million</w:t>
      </w:r>
      <w:r w:rsidRPr="0099114C">
        <w:t xml:space="preserve"> in Year 1 increasing to $</w:t>
      </w:r>
      <w:r w:rsidR="00013470" w:rsidRPr="00013470">
        <w:t xml:space="preserve">20 million to &lt; $30 million </w:t>
      </w:r>
      <w:r w:rsidRPr="0099114C">
        <w:t>in Year 6, totalling $</w:t>
      </w:r>
      <w:r w:rsidR="00013470" w:rsidRPr="00013470">
        <w:t>100 million to &lt;</w:t>
      </w:r>
      <w:r w:rsidR="002103A2">
        <w:t> </w:t>
      </w:r>
      <w:r w:rsidR="00013470" w:rsidRPr="00013470">
        <w:t>$200 million</w:t>
      </w:r>
      <w:r w:rsidRPr="0099114C">
        <w:t xml:space="preserve">. This represents a 27% increase in the estimated cost from the previous submission, despite the price reduction, driven by the increase in incidence. </w:t>
      </w:r>
    </w:p>
    <w:p w14:paraId="332A99EB" w14:textId="68BAECC8" w:rsidR="00FB1A6B" w:rsidRPr="0099114C" w:rsidRDefault="00FB1A6B" w:rsidP="00FB1A6B">
      <w:pPr>
        <w:pStyle w:val="3-BodyText"/>
      </w:pPr>
      <w:r w:rsidRPr="0099114C">
        <w:t>DUSC considered the estimates presented in the resubmission to be overestimated. The main issues were:</w:t>
      </w:r>
    </w:p>
    <w:p w14:paraId="045FA311" w14:textId="77777777" w:rsidR="00FB1A6B" w:rsidRPr="0099114C" w:rsidRDefault="00FB1A6B" w:rsidP="002103A2">
      <w:pPr>
        <w:pStyle w:val="ListParagraph"/>
        <w:numPr>
          <w:ilvl w:val="0"/>
          <w:numId w:val="43"/>
        </w:numPr>
        <w:spacing w:after="120"/>
        <w:contextualSpacing w:val="0"/>
      </w:pPr>
      <w:r w:rsidRPr="0099114C">
        <w:t xml:space="preserve">The resubmission used prevalence data and applied it as a rate of incidence. This was incorrect and overestimated the number of treated patients. </w:t>
      </w:r>
    </w:p>
    <w:p w14:paraId="63FF7CB8" w14:textId="77777777" w:rsidR="00FB1A6B" w:rsidRPr="0099114C" w:rsidRDefault="00FB1A6B" w:rsidP="002103A2">
      <w:pPr>
        <w:pStyle w:val="ListParagraph"/>
        <w:numPr>
          <w:ilvl w:val="0"/>
          <w:numId w:val="43"/>
        </w:numPr>
        <w:spacing w:after="120"/>
        <w:contextualSpacing w:val="0"/>
      </w:pPr>
      <w:r w:rsidRPr="0099114C">
        <w:t>The assumption that 50% of patients were treated with rituximab was underestimated and it may be more appropriate to assume 80% of patients were treated with rituximab.</w:t>
      </w:r>
    </w:p>
    <w:p w14:paraId="5B608BDD" w14:textId="77777777" w:rsidR="00FB1A6B" w:rsidRPr="0099114C" w:rsidRDefault="00FB1A6B" w:rsidP="002103A2">
      <w:pPr>
        <w:pStyle w:val="ListParagraph"/>
        <w:numPr>
          <w:ilvl w:val="0"/>
          <w:numId w:val="43"/>
        </w:numPr>
        <w:spacing w:after="120"/>
        <w:contextualSpacing w:val="0"/>
      </w:pPr>
      <w:r w:rsidRPr="0099114C">
        <w:t>Relapsed patients were included in the hospital admissions data, and the application of a 10% relapse rate should be removed.</w:t>
      </w:r>
    </w:p>
    <w:p w14:paraId="21E28224" w14:textId="77777777" w:rsidR="00FB1A6B" w:rsidRPr="0099114C" w:rsidRDefault="00FB1A6B" w:rsidP="002103A2">
      <w:pPr>
        <w:pStyle w:val="ListParagraph"/>
        <w:numPr>
          <w:ilvl w:val="0"/>
          <w:numId w:val="43"/>
        </w:numPr>
        <w:spacing w:after="120"/>
        <w:ind w:left="1077" w:hanging="357"/>
        <w:contextualSpacing w:val="0"/>
      </w:pPr>
      <w:r w:rsidRPr="0099114C">
        <w:lastRenderedPageBreak/>
        <w:t xml:space="preserve">The Queensland Hospital Admitted Patients Data Collection (QHAPDC) estimates are uncertain because the use of ‘other’ ICD-10-AM codes (rather than just the primary diagnosis category) for locating GPA or MPA may identify patients who would not be eligible for avacopan treatment, lack of clarity whether the ICD-10-AM codes used to classify cases of GPA and MPA are consistent with the requested restriction and possible representation of same patient across multiple years. </w:t>
      </w:r>
    </w:p>
    <w:p w14:paraId="51C78C0D" w14:textId="6C3BAA1A" w:rsidR="00184FF9" w:rsidRPr="0099114C" w:rsidRDefault="00FB1A6B" w:rsidP="0028020D">
      <w:pPr>
        <w:pStyle w:val="3-BodyText"/>
      </w:pPr>
      <w:bookmarkStart w:id="93" w:name="_Ref161841423"/>
      <w:r w:rsidRPr="0099114C">
        <w:t xml:space="preserve">The pre-PBAC response </w:t>
      </w:r>
      <w:r w:rsidR="00962420" w:rsidRPr="0099114C">
        <w:t xml:space="preserve"> acknowledged that applying a 10% relapse rate may result in double counting of patients across years when using the QHAPDC estimates</w:t>
      </w:r>
      <w:r w:rsidR="00184FF9" w:rsidRPr="0099114C">
        <w:t xml:space="preserve"> but maintained the use of QHAPDC data was appropriate</w:t>
      </w:r>
      <w:r w:rsidR="00962420" w:rsidRPr="0099114C">
        <w:t xml:space="preserve">. </w:t>
      </w:r>
      <w:r w:rsidR="008A3151" w:rsidRPr="0099114C">
        <w:t xml:space="preserve">In addition, the pre-PBAC response  proposed a reduction in the uptake estimates across the first 3 years of listing based on data from countries that have already received avacopan. </w:t>
      </w:r>
      <w:r w:rsidR="0028020D" w:rsidRPr="0099114C">
        <w:t xml:space="preserve">The </w:t>
      </w:r>
      <w:r w:rsidR="00962420" w:rsidRPr="0099114C">
        <w:t xml:space="preserve">pre-PBAC response provided revised financial estimates that </w:t>
      </w:r>
      <w:r w:rsidR="00184FF9" w:rsidRPr="0099114C">
        <w:t>incorporated an AEMP of $</w:t>
      </w:r>
      <w:r w:rsidR="005F1F42" w:rsidRPr="006F30AA">
        <w:rPr>
          <w:color w:val="000000"/>
          <w:w w:val="15"/>
          <w:shd w:val="solid" w:color="000000" w:fill="000000"/>
          <w:fitText w:val="-20" w:id="-961805813"/>
          <w14:textFill>
            <w14:solidFill>
              <w14:srgbClr w14:val="000000">
                <w14:alpha w14:val="100000"/>
              </w14:srgbClr>
            </w14:solidFill>
          </w14:textFill>
        </w:rPr>
        <w:t xml:space="preserve">|  </w:t>
      </w:r>
      <w:r w:rsidR="005F1F42" w:rsidRPr="006F30AA">
        <w:rPr>
          <w:color w:val="000000"/>
          <w:spacing w:val="-69"/>
          <w:w w:val="15"/>
          <w:shd w:val="solid" w:color="000000" w:fill="000000"/>
          <w:fitText w:val="-20" w:id="-961805813"/>
          <w14:textFill>
            <w14:solidFill>
              <w14:srgbClr w14:val="000000">
                <w14:alpha w14:val="100000"/>
              </w14:srgbClr>
            </w14:solidFill>
          </w14:textFill>
        </w:rPr>
        <w:t>|</w:t>
      </w:r>
      <w:r w:rsidR="00184FF9" w:rsidRPr="0099114C">
        <w:t xml:space="preserve">, </w:t>
      </w:r>
      <w:r w:rsidR="00962420" w:rsidRPr="0099114C">
        <w:t xml:space="preserve">removed the 10% relapse rate and decreased the uptake rate in Year 1 to Year 3 (Year 1: 50% to 25%, Year </w:t>
      </w:r>
      <w:r w:rsidR="008D1E17" w:rsidRPr="0099114C">
        <w:t xml:space="preserve">2: 50% to 45%, Year 3: 80% to 75%). </w:t>
      </w:r>
      <w:r w:rsidR="00184FF9" w:rsidRPr="00857B0D">
        <w:rPr>
          <w:lang w:eastAsia="en-GB"/>
        </w:rPr>
        <w:t xml:space="preserve">The revised financial estimates resulted in an estimated </w:t>
      </w:r>
      <w:r w:rsidR="002103A2">
        <w:rPr>
          <w:lang w:eastAsia="en-GB"/>
        </w:rPr>
        <w:t>&lt; 500</w:t>
      </w:r>
      <w:r w:rsidR="00184FF9" w:rsidRPr="00857B0D">
        <w:rPr>
          <w:lang w:eastAsia="en-GB"/>
        </w:rPr>
        <w:t xml:space="preserve"> patients receiving avacopan in Year 1 at a cost to the PBS/RPBS of $</w:t>
      </w:r>
      <w:r w:rsidR="005246DD" w:rsidRPr="005246DD">
        <w:rPr>
          <w:lang w:eastAsia="en-GB"/>
        </w:rPr>
        <w:t>0 to &lt; $10 million</w:t>
      </w:r>
      <w:r w:rsidR="00184FF9" w:rsidRPr="00857B0D">
        <w:rPr>
          <w:lang w:eastAsia="en-GB"/>
        </w:rPr>
        <w:t xml:space="preserve">, increasing to </w:t>
      </w:r>
      <w:r w:rsidR="005246DD" w:rsidRPr="005246DD">
        <w:rPr>
          <w:lang w:eastAsia="en-GB"/>
        </w:rPr>
        <w:t>500 to &lt; 5,000</w:t>
      </w:r>
      <w:r w:rsidR="00184FF9" w:rsidRPr="00857B0D">
        <w:rPr>
          <w:lang w:eastAsia="en-GB"/>
        </w:rPr>
        <w:t xml:space="preserve"> patients in Year 6 at a cost of $</w:t>
      </w:r>
      <w:r w:rsidR="005246DD" w:rsidRPr="005246DD">
        <w:rPr>
          <w:lang w:eastAsia="en-GB"/>
        </w:rPr>
        <w:t>20 million to &lt; $30 million</w:t>
      </w:r>
      <w:r w:rsidR="00184FF9" w:rsidRPr="00857B0D">
        <w:rPr>
          <w:lang w:eastAsia="en-GB"/>
        </w:rPr>
        <w:t>.</w:t>
      </w:r>
      <w:bookmarkEnd w:id="93"/>
    </w:p>
    <w:p w14:paraId="7A0231F0" w14:textId="0AD4F763" w:rsidR="00DB5178" w:rsidRPr="0099114C" w:rsidRDefault="00DB5178" w:rsidP="00DB5178">
      <w:pPr>
        <w:pStyle w:val="4-SubsectionHeading"/>
      </w:pPr>
      <w:r w:rsidRPr="0099114C">
        <w:t>Quality Use of Medicines</w:t>
      </w:r>
      <w:bookmarkEnd w:id="85"/>
      <w:bookmarkEnd w:id="86"/>
    </w:p>
    <w:p w14:paraId="4142BA6D" w14:textId="4B17E34B" w:rsidR="00DB5178" w:rsidRPr="0099114C" w:rsidRDefault="00DB5178" w:rsidP="00DB5178">
      <w:pPr>
        <w:pStyle w:val="3-BodyText"/>
        <w:rPr>
          <w:color w:val="3366FF"/>
        </w:rPr>
      </w:pPr>
      <w:r w:rsidRPr="0099114C">
        <w:t xml:space="preserve">The resubmission did not present a quality use of medicines (QUM) section. This may </w:t>
      </w:r>
      <w:r w:rsidR="00A1045E" w:rsidRPr="0099114C">
        <w:t>be</w:t>
      </w:r>
      <w:r w:rsidRPr="0099114C">
        <w:t xml:space="preserve"> inappropriate given that this is a new medication. </w:t>
      </w:r>
      <w:r w:rsidR="00E91F6A" w:rsidRPr="0099114C">
        <w:t xml:space="preserve">Further, </w:t>
      </w:r>
      <w:r w:rsidRPr="0099114C">
        <w:t>DUSC</w:t>
      </w:r>
      <w:r w:rsidR="00E91F6A" w:rsidRPr="0099114C">
        <w:t xml:space="preserve"> also</w:t>
      </w:r>
      <w:r w:rsidRPr="0099114C">
        <w:t xml:space="preserve"> considered it was inappropriate for a medication with a novel mechanism of action and limited long-term safety data to be provided without any planned training of health practitioners and patients or adverse event surveillance programs (para 6.82, avacopan PSD, July</w:t>
      </w:r>
      <w:r w:rsidR="002103A2">
        <w:t> </w:t>
      </w:r>
      <w:r w:rsidRPr="0099114C">
        <w:t xml:space="preserve">2023 PBAC meeting). </w:t>
      </w:r>
    </w:p>
    <w:p w14:paraId="37F6B35A" w14:textId="77777777" w:rsidR="00DB5178" w:rsidRPr="0099114C" w:rsidRDefault="00DB5178" w:rsidP="00DB5178">
      <w:pPr>
        <w:pStyle w:val="4-SubsectionHeading"/>
      </w:pPr>
      <w:bookmarkStart w:id="94" w:name="_Toc152591179"/>
      <w:bookmarkStart w:id="95" w:name="_Toc156913974"/>
      <w:r w:rsidRPr="0099114C">
        <w:t>Financial Management – Risk Sharing Arrangements</w:t>
      </w:r>
      <w:bookmarkEnd w:id="94"/>
      <w:bookmarkEnd w:id="95"/>
    </w:p>
    <w:p w14:paraId="0E4B4FAD" w14:textId="01853D22" w:rsidR="00DB5178" w:rsidRPr="0099114C" w:rsidRDefault="00DB5178" w:rsidP="00DB5178">
      <w:pPr>
        <w:pStyle w:val="3-BodyText"/>
        <w:rPr>
          <w:color w:val="0066FF"/>
        </w:rPr>
      </w:pPr>
      <w:bookmarkStart w:id="96" w:name="_Ref161909345"/>
      <w:r w:rsidRPr="0099114C">
        <w:t xml:space="preserve">No risk sharing arrangements were proposed in the resubmission. </w:t>
      </w:r>
      <w:r w:rsidR="0028020D" w:rsidRPr="0099114C">
        <w:t xml:space="preserve">The pre-PBAC response offered a risk sharing arrangement with a </w:t>
      </w:r>
      <w:r w:rsidR="005F1F42" w:rsidRPr="006F30AA">
        <w:rPr>
          <w:color w:val="000000"/>
          <w:w w:val="15"/>
          <w:shd w:val="solid" w:color="000000" w:fill="000000"/>
          <w:fitText w:val="-20" w:id="-961805812"/>
          <w14:textFill>
            <w14:solidFill>
              <w14:srgbClr w14:val="000000">
                <w14:alpha w14:val="100000"/>
              </w14:srgbClr>
            </w14:solidFill>
          </w14:textFill>
        </w:rPr>
        <w:t xml:space="preserve">|  </w:t>
      </w:r>
      <w:r w:rsidR="005F1F42" w:rsidRPr="006F30AA">
        <w:rPr>
          <w:color w:val="000000"/>
          <w:spacing w:val="-69"/>
          <w:w w:val="15"/>
          <w:shd w:val="solid" w:color="000000" w:fill="000000"/>
          <w:fitText w:val="-20" w:id="-961805812"/>
          <w14:textFill>
            <w14:solidFill>
              <w14:srgbClr w14:val="000000">
                <w14:alpha w14:val="100000"/>
              </w14:srgbClr>
            </w14:solidFill>
          </w14:textFill>
        </w:rPr>
        <w:t>|</w:t>
      </w:r>
      <w:r w:rsidR="0028020D" w:rsidRPr="0099114C">
        <w:t xml:space="preserve">% cap alongside amendments to the financial estimates as described in paragraph </w:t>
      </w:r>
      <w:r w:rsidR="0028020D" w:rsidRPr="0099114C">
        <w:fldChar w:fldCharType="begin" w:fldLock="1"/>
      </w:r>
      <w:r w:rsidR="0028020D" w:rsidRPr="0099114C">
        <w:instrText xml:space="preserve"> REF _Ref161841423 \r \h </w:instrText>
      </w:r>
      <w:r w:rsidR="0028020D" w:rsidRPr="0099114C">
        <w:fldChar w:fldCharType="separate"/>
      </w:r>
      <w:r w:rsidR="0028020D" w:rsidRPr="0099114C">
        <w:t>6.95</w:t>
      </w:r>
      <w:r w:rsidR="0028020D" w:rsidRPr="0099114C">
        <w:fldChar w:fldCharType="end"/>
      </w:r>
      <w:bookmarkEnd w:id="96"/>
      <w:r w:rsidR="0099114C">
        <w:t xml:space="preserve">. </w:t>
      </w:r>
    </w:p>
    <w:p w14:paraId="290180CE" w14:textId="77777777" w:rsidR="00845C54" w:rsidRPr="0099114C" w:rsidRDefault="00845C54" w:rsidP="00845C54">
      <w:pPr>
        <w:pStyle w:val="3-BodyText"/>
        <w:numPr>
          <w:ilvl w:val="0"/>
          <w:numId w:val="0"/>
        </w:numPr>
        <w:ind w:left="720"/>
        <w:rPr>
          <w:i/>
          <w:iCs/>
          <w:snapToGrid/>
        </w:rPr>
      </w:pPr>
      <w:r w:rsidRPr="0099114C">
        <w:rPr>
          <w:i/>
          <w:iCs/>
          <w:snapToGrid/>
        </w:rPr>
        <w:t>For more detail on PBAC’s view, see section 7 PBAC outcome.</w:t>
      </w:r>
    </w:p>
    <w:p w14:paraId="6447DE4F" w14:textId="77777777" w:rsidR="007F3F40" w:rsidRPr="00282CCB" w:rsidRDefault="007F3F40" w:rsidP="00282CCB">
      <w:pPr>
        <w:pStyle w:val="2-SectionHeading"/>
      </w:pPr>
      <w:r w:rsidRPr="00282CCB">
        <w:t>PBAC Outcome</w:t>
      </w:r>
    </w:p>
    <w:p w14:paraId="6F763947" w14:textId="25A55176" w:rsidR="001C6A25" w:rsidRPr="00857B0D" w:rsidRDefault="003E33E3" w:rsidP="003E33E3">
      <w:pPr>
        <w:pStyle w:val="3-BodyText"/>
      </w:pPr>
      <w:r w:rsidRPr="00857B0D">
        <w:t xml:space="preserve">The PBAC recommended the </w:t>
      </w:r>
      <w:r w:rsidR="00362593" w:rsidRPr="0099114C">
        <w:rPr>
          <w:rFonts w:cs="Calibri"/>
        </w:rPr>
        <w:t xml:space="preserve">Authority Required (telephone/online) </w:t>
      </w:r>
      <w:r w:rsidRPr="00857B0D">
        <w:t xml:space="preserve">listing of </w:t>
      </w:r>
      <w:r w:rsidR="00060916" w:rsidRPr="00857B0D">
        <w:t>avacopan</w:t>
      </w:r>
      <w:r w:rsidR="00A94F4B" w:rsidRPr="00857B0D">
        <w:t xml:space="preserve"> for induction therapy</w:t>
      </w:r>
      <w:r w:rsidR="00060916" w:rsidRPr="00857B0D">
        <w:t xml:space="preserve"> for</w:t>
      </w:r>
      <w:r w:rsidRPr="00857B0D">
        <w:t xml:space="preserve"> the treatment of severe active granulomatosis with polyangiitis (GPA) and severe active microscopic polyangiitis (MPA) in combination with </w:t>
      </w:r>
      <w:r w:rsidR="008116D1">
        <w:t xml:space="preserve">a regimen of </w:t>
      </w:r>
      <w:r w:rsidRPr="00857B0D">
        <w:t xml:space="preserve">rituximab or cyclophosphamide. </w:t>
      </w:r>
      <w:r w:rsidR="001C6A25" w:rsidRPr="00857B0D">
        <w:t xml:space="preserve">The PBAC was satisfied that avacopan provides, for some patients, a significant improvement in efficacy </w:t>
      </w:r>
      <w:r w:rsidR="008B22A4" w:rsidRPr="00857B0D">
        <w:t xml:space="preserve">over glucocorticoids (GCs). The </w:t>
      </w:r>
      <w:r w:rsidR="00E50A16" w:rsidRPr="00E50A16">
        <w:t>PBAC’s</w:t>
      </w:r>
      <w:r w:rsidR="008B22A4" w:rsidRPr="00857B0D">
        <w:t xml:space="preserve"> recommendation for listing was based on, among other matters, its assessment that the cost-effectiveness of avacopan would be acceptable at the price proposed in the pre-PBAC response and if the </w:t>
      </w:r>
      <w:r w:rsidR="008B22A4" w:rsidRPr="00857B0D">
        <w:lastRenderedPageBreak/>
        <w:t xml:space="preserve">following measures were implemented to contain risks </w:t>
      </w:r>
      <w:r w:rsidR="006C7F0A" w:rsidRPr="00857B0D">
        <w:t xml:space="preserve">associated </w:t>
      </w:r>
      <w:r w:rsidR="008B22A4" w:rsidRPr="00857B0D">
        <w:t>with the cost of the drug to the PBS:</w:t>
      </w:r>
    </w:p>
    <w:p w14:paraId="6E9F08EE" w14:textId="7745E553" w:rsidR="009F455A" w:rsidRPr="0099114C" w:rsidRDefault="008B22A4" w:rsidP="009F455A">
      <w:pPr>
        <w:pStyle w:val="ListParagraph"/>
        <w:numPr>
          <w:ilvl w:val="0"/>
          <w:numId w:val="43"/>
        </w:numPr>
        <w:spacing w:after="120"/>
        <w:ind w:left="1077" w:hanging="357"/>
        <w:contextualSpacing w:val="0"/>
      </w:pPr>
      <w:r w:rsidRPr="0099114C">
        <w:t xml:space="preserve">a risk sharing arrangement with a </w:t>
      </w:r>
      <w:r w:rsidR="005F1F42" w:rsidRPr="006F30AA">
        <w:rPr>
          <w:color w:val="000000"/>
          <w:w w:val="15"/>
          <w:shd w:val="solid" w:color="000000" w:fill="000000"/>
          <w:fitText w:val="-20" w:id="-961805811"/>
          <w14:textFill>
            <w14:solidFill>
              <w14:srgbClr w14:val="000000">
                <w14:alpha w14:val="100000"/>
              </w14:srgbClr>
            </w14:solidFill>
          </w14:textFill>
        </w:rPr>
        <w:t xml:space="preserve">|  </w:t>
      </w:r>
      <w:r w:rsidR="005F1F42" w:rsidRPr="006F30AA">
        <w:rPr>
          <w:color w:val="000000"/>
          <w:spacing w:val="-69"/>
          <w:w w:val="15"/>
          <w:shd w:val="solid" w:color="000000" w:fill="000000"/>
          <w:fitText w:val="-20" w:id="-961805811"/>
          <w14:textFill>
            <w14:solidFill>
              <w14:srgbClr w14:val="000000">
                <w14:alpha w14:val="100000"/>
              </w14:srgbClr>
            </w14:solidFill>
          </w14:textFill>
        </w:rPr>
        <w:t>|</w:t>
      </w:r>
      <w:r w:rsidRPr="0099114C">
        <w:t>% cap based on amended July 2023 financial estimates</w:t>
      </w:r>
      <w:r w:rsidR="00A94F4B" w:rsidRPr="0099114C">
        <w:t>; and</w:t>
      </w:r>
      <w:r w:rsidRPr="0099114C">
        <w:t xml:space="preserve"> </w:t>
      </w:r>
    </w:p>
    <w:p w14:paraId="547C3FCC" w14:textId="7E72B076" w:rsidR="003C0267" w:rsidRPr="0099114C" w:rsidRDefault="003C0267" w:rsidP="009F455A">
      <w:pPr>
        <w:pStyle w:val="ListParagraph"/>
        <w:numPr>
          <w:ilvl w:val="0"/>
          <w:numId w:val="43"/>
        </w:numPr>
        <w:spacing w:after="120"/>
        <w:ind w:left="1077" w:hanging="357"/>
      </w:pPr>
      <w:r w:rsidRPr="0099114C">
        <w:t xml:space="preserve">Removal of maintenance and reinduction from the restriction </w:t>
      </w:r>
      <w:r w:rsidR="00060916" w:rsidRPr="0099114C">
        <w:t>treatment phase</w:t>
      </w:r>
      <w:r w:rsidRPr="0099114C">
        <w:t>.</w:t>
      </w:r>
    </w:p>
    <w:p w14:paraId="3092B4AB" w14:textId="77777777" w:rsidR="00641368" w:rsidRPr="0099114C" w:rsidRDefault="009F455A" w:rsidP="00641368">
      <w:pPr>
        <w:pStyle w:val="3-BodyText"/>
      </w:pPr>
      <w:r w:rsidRPr="0099114C">
        <w:t xml:space="preserve">The PBAC noted the comments from individuals and organisations that described the benefits of using avacopan </w:t>
      </w:r>
      <w:r w:rsidRPr="0099114C">
        <w:rPr>
          <w:rFonts w:cs="Calibri"/>
        </w:rPr>
        <w:t>combined with rituximab or cyclophosphamide in terms of a reduction in GC adverse effects.</w:t>
      </w:r>
      <w:r w:rsidR="000F46D4" w:rsidRPr="0099114C">
        <w:rPr>
          <w:rFonts w:cs="Calibri"/>
        </w:rPr>
        <w:t xml:space="preserve"> The PBAC noted the comments from the Australian Rheumatology Association regarding the potential for improvement in quality of life and reduced toxicity compared with current standard of care (SOC). </w:t>
      </w:r>
    </w:p>
    <w:p w14:paraId="43EED59C" w14:textId="769D2B1C" w:rsidR="00D92CF2" w:rsidRPr="0099114C" w:rsidRDefault="00D92CF2">
      <w:pPr>
        <w:pStyle w:val="3-BodyText"/>
      </w:pPr>
      <w:r w:rsidRPr="0099114C">
        <w:rPr>
          <w:rFonts w:cs="Calibri"/>
        </w:rPr>
        <w:t xml:space="preserve">The PBAC reaffirmed its July 2023 advice that there was a clinical need for treatments that allow avoidance of high, cumulative GC use in this condition (para 7.3, </w:t>
      </w:r>
      <w:r w:rsidRPr="0099114C">
        <w:rPr>
          <w:iCs/>
        </w:rPr>
        <w:t>avacopan PSD, July 2023 PBAC Meeting)</w:t>
      </w:r>
      <w:r w:rsidRPr="0099114C">
        <w:rPr>
          <w:rFonts w:cs="Calibri"/>
        </w:rPr>
        <w:t>.</w:t>
      </w:r>
      <w:r w:rsidR="00641368" w:rsidRPr="0099114C">
        <w:rPr>
          <w:rFonts w:cs="Calibri"/>
        </w:rPr>
        <w:t xml:space="preserve"> </w:t>
      </w:r>
      <w:r w:rsidR="00641368" w:rsidRPr="0099114C">
        <w:t>The PBAC considered the clinician presentation in the sponsor hearing informative as it suggested avacopan</w:t>
      </w:r>
      <w:r w:rsidR="00B40A46">
        <w:t>, for induction,</w:t>
      </w:r>
      <w:r w:rsidR="00641368" w:rsidRPr="0099114C">
        <w:t xml:space="preserve"> provided a benefit in reducing GC use along with potential earlier onset of renal improvement for patients at high risk of organ damage, especially for those whose </w:t>
      </w:r>
      <w:r w:rsidR="00060916" w:rsidRPr="0099114C">
        <w:t>e</w:t>
      </w:r>
      <w:r w:rsidR="00641368" w:rsidRPr="0099114C">
        <w:t>GFR is at the lower end of the range. The PBAC noted this was supported by the clinical evidence from the ADVOCATE trial</w:t>
      </w:r>
      <w:r w:rsidR="00ED08D1" w:rsidRPr="0099114C">
        <w:t xml:space="preserve"> and by the </w:t>
      </w:r>
      <w:r w:rsidR="00ED08D1" w:rsidRPr="0099114C">
        <w:rPr>
          <w:rFonts w:cs="Calibri"/>
        </w:rPr>
        <w:t xml:space="preserve">KDIGO (2024) </w:t>
      </w:r>
      <w:r w:rsidR="00ED08D1" w:rsidRPr="0099114C">
        <w:t>guidelines</w:t>
      </w:r>
      <w:r w:rsidR="00641368" w:rsidRPr="0099114C">
        <w:t>.</w:t>
      </w:r>
    </w:p>
    <w:p w14:paraId="641C6092" w14:textId="77777777" w:rsidR="00D92CF2" w:rsidRPr="0099114C" w:rsidRDefault="00D92CF2" w:rsidP="00D92CF2">
      <w:pPr>
        <w:pStyle w:val="3-BodyText"/>
        <w:rPr>
          <w:i/>
          <w:iCs/>
          <w:snapToGrid/>
        </w:rPr>
      </w:pPr>
      <w:bookmarkStart w:id="97" w:name="_Hlk161823736"/>
      <w:r w:rsidRPr="0099114C">
        <w:rPr>
          <w:snapToGrid/>
        </w:rPr>
        <w:t xml:space="preserve">With respect to the proposed restriction the PBAC advised: </w:t>
      </w:r>
    </w:p>
    <w:p w14:paraId="2FB1A465" w14:textId="016E4E18" w:rsidR="00D92CF2" w:rsidRPr="0099114C" w:rsidRDefault="00D92CF2" w:rsidP="00D92CF2">
      <w:pPr>
        <w:pStyle w:val="ListParagraph"/>
        <w:numPr>
          <w:ilvl w:val="1"/>
          <w:numId w:val="101"/>
        </w:numPr>
        <w:spacing w:after="120"/>
        <w:ind w:left="1080"/>
        <w:contextualSpacing w:val="0"/>
        <w:rPr>
          <w:rFonts w:cs="Calibri"/>
        </w:rPr>
      </w:pPr>
      <w:r w:rsidRPr="0099114C">
        <w:rPr>
          <w:rFonts w:cs="Calibri"/>
        </w:rPr>
        <w:t>An Authority Required (telephone</w:t>
      </w:r>
      <w:r w:rsidR="0072511D" w:rsidRPr="0099114C">
        <w:rPr>
          <w:rFonts w:cs="Calibri"/>
        </w:rPr>
        <w:t>/online</w:t>
      </w:r>
      <w:r w:rsidRPr="0099114C">
        <w:rPr>
          <w:rFonts w:cs="Calibri"/>
        </w:rPr>
        <w:t xml:space="preserve">) listing was appropriate to allow monitoring of </w:t>
      </w:r>
      <w:r w:rsidR="0058345E" w:rsidRPr="0099114C">
        <w:rPr>
          <w:rFonts w:cs="Calibri"/>
        </w:rPr>
        <w:t xml:space="preserve">a </w:t>
      </w:r>
      <w:r w:rsidR="0072511D" w:rsidRPr="0099114C">
        <w:rPr>
          <w:rFonts w:cs="Calibri"/>
        </w:rPr>
        <w:t>maximum</w:t>
      </w:r>
      <w:r w:rsidRPr="0099114C">
        <w:rPr>
          <w:rFonts w:cs="Calibri"/>
        </w:rPr>
        <w:t xml:space="preserve"> </w:t>
      </w:r>
      <w:r w:rsidR="0072511D" w:rsidRPr="0099114C">
        <w:rPr>
          <w:rFonts w:cs="Calibri"/>
        </w:rPr>
        <w:t>12-month</w:t>
      </w:r>
      <w:r w:rsidRPr="0099114C">
        <w:rPr>
          <w:rFonts w:cs="Calibri"/>
        </w:rPr>
        <w:t xml:space="preserve"> duration of treatment per </w:t>
      </w:r>
      <w:r w:rsidR="005D5612">
        <w:rPr>
          <w:rFonts w:cs="Calibri"/>
        </w:rPr>
        <w:t>cycle</w:t>
      </w:r>
      <w:r w:rsidRPr="0099114C">
        <w:rPr>
          <w:rFonts w:cs="Calibri"/>
        </w:rPr>
        <w:t xml:space="preserve"> and the requirement for </w:t>
      </w:r>
      <w:r w:rsidRPr="0099114C">
        <w:rPr>
          <w:snapToGrid w:val="0"/>
          <w:szCs w:val="20"/>
        </w:rPr>
        <w:t>concomitant therapy;</w:t>
      </w:r>
    </w:p>
    <w:p w14:paraId="4CFC8AFC" w14:textId="051CDE15" w:rsidR="00D92CF2" w:rsidRPr="0099114C" w:rsidRDefault="00D92CF2" w:rsidP="003E6A8B">
      <w:pPr>
        <w:pStyle w:val="ListParagraph"/>
        <w:numPr>
          <w:ilvl w:val="1"/>
          <w:numId w:val="101"/>
        </w:numPr>
        <w:spacing w:after="120"/>
        <w:ind w:left="1080"/>
        <w:contextualSpacing w:val="0"/>
        <w:rPr>
          <w:rFonts w:cs="Calibri"/>
        </w:rPr>
      </w:pPr>
      <w:r w:rsidRPr="0099114C">
        <w:rPr>
          <w:rFonts w:cs="Calibri"/>
        </w:rPr>
        <w:t>The treatment phase of the restriction state ‘induction</w:t>
      </w:r>
      <w:r w:rsidR="00EC1C65" w:rsidRPr="0099114C">
        <w:rPr>
          <w:rFonts w:cs="Calibri"/>
        </w:rPr>
        <w:t xml:space="preserve"> treatment</w:t>
      </w:r>
      <w:r w:rsidRPr="0099114C">
        <w:rPr>
          <w:rFonts w:cs="Calibri"/>
        </w:rPr>
        <w:t xml:space="preserve">’ only. The PBAC acknowledged that in the context of the avacopan restriction, </w:t>
      </w:r>
      <w:bookmarkStart w:id="98" w:name="_Hlk161824333"/>
      <w:r w:rsidRPr="0099114C">
        <w:rPr>
          <w:rFonts w:cs="Calibri"/>
        </w:rPr>
        <w:t>concomitant therapy in those induced with cyclophosphamide may include oral azathioprine or mycophenolate mofetil after week 13 or 14 according to the regimen specified in the drugs approved Product Information</w:t>
      </w:r>
      <w:bookmarkEnd w:id="98"/>
      <w:r w:rsidR="00951499" w:rsidRPr="0099114C">
        <w:rPr>
          <w:rFonts w:cs="Calibri"/>
        </w:rPr>
        <w:t>. It was acknowledged the definition of maintenance of remission proposed in the resubmission was meant to represent the treatment period of 6</w:t>
      </w:r>
      <w:r w:rsidR="00951499" w:rsidRPr="0099114C">
        <w:rPr>
          <w:rFonts w:cs="Calibri"/>
        </w:rPr>
        <w:sym w:font="Symbol" w:char="F02D"/>
      </w:r>
      <w:r w:rsidR="00951499" w:rsidRPr="0099114C">
        <w:rPr>
          <w:rFonts w:cs="Calibri"/>
        </w:rPr>
        <w:t xml:space="preserve">12 months following </w:t>
      </w:r>
      <w:r w:rsidR="00832E70" w:rsidRPr="0099114C">
        <w:rPr>
          <w:rFonts w:cs="Calibri"/>
        </w:rPr>
        <w:t>induction;</w:t>
      </w:r>
      <w:r w:rsidR="00951499" w:rsidRPr="0099114C">
        <w:rPr>
          <w:rFonts w:cs="Calibri"/>
        </w:rPr>
        <w:t xml:space="preserve"> however, it was considered that given maintenance therapy with avacopan is not recommended in </w:t>
      </w:r>
      <w:r w:rsidR="00832E70" w:rsidRPr="0099114C">
        <w:rPr>
          <w:rFonts w:cs="Calibri"/>
        </w:rPr>
        <w:t xml:space="preserve">KDIGO </w:t>
      </w:r>
      <w:r w:rsidR="003E6A8B" w:rsidRPr="0099114C">
        <w:rPr>
          <w:rFonts w:cs="Calibri"/>
        </w:rPr>
        <w:t xml:space="preserve">(2024) </w:t>
      </w:r>
      <w:r w:rsidR="00832E70" w:rsidRPr="0099114C">
        <w:rPr>
          <w:rFonts w:cs="Calibri"/>
        </w:rPr>
        <w:t>and EULAR</w:t>
      </w:r>
      <w:r w:rsidR="003E6A8B" w:rsidRPr="0099114C">
        <w:rPr>
          <w:rFonts w:cs="Calibri"/>
        </w:rPr>
        <w:t xml:space="preserve"> (2022)</w:t>
      </w:r>
      <w:r w:rsidR="00832E70" w:rsidRPr="0099114C">
        <w:rPr>
          <w:rFonts w:cs="Calibri"/>
        </w:rPr>
        <w:t xml:space="preserve"> </w:t>
      </w:r>
      <w:r w:rsidR="00951499" w:rsidRPr="0099114C">
        <w:rPr>
          <w:rFonts w:cs="Calibri"/>
        </w:rPr>
        <w:t>treatment guidelines that this wording should not be used in the PBS restriction</w:t>
      </w:r>
      <w:r w:rsidRPr="0099114C">
        <w:rPr>
          <w:rFonts w:cs="Calibri"/>
        </w:rPr>
        <w:t>;</w:t>
      </w:r>
    </w:p>
    <w:p w14:paraId="0F6CCCA7" w14:textId="58AAF3C3" w:rsidR="00D92CF2" w:rsidRPr="0099114C" w:rsidRDefault="00832E70" w:rsidP="00D92CF2">
      <w:pPr>
        <w:pStyle w:val="ListParagraph"/>
        <w:numPr>
          <w:ilvl w:val="1"/>
          <w:numId w:val="101"/>
        </w:numPr>
        <w:spacing w:after="120"/>
        <w:ind w:left="1080"/>
        <w:contextualSpacing w:val="0"/>
        <w:rPr>
          <w:rFonts w:cs="Calibri"/>
        </w:rPr>
      </w:pPr>
      <w:r w:rsidRPr="0099114C">
        <w:rPr>
          <w:rFonts w:cs="Calibri"/>
        </w:rPr>
        <w:t>While there is no clinical evidence</w:t>
      </w:r>
      <w:r w:rsidR="00B40A46">
        <w:rPr>
          <w:rFonts w:cs="Calibri"/>
        </w:rPr>
        <w:t xml:space="preserve"> presented</w:t>
      </w:r>
      <w:r w:rsidRPr="0099114C">
        <w:rPr>
          <w:rFonts w:cs="Calibri"/>
        </w:rPr>
        <w:t xml:space="preserve"> to inform reinduction, </w:t>
      </w:r>
      <w:r w:rsidR="005F4A17">
        <w:rPr>
          <w:rFonts w:cs="Calibri"/>
        </w:rPr>
        <w:t xml:space="preserve">the PBAC reiterated its July 2023 advice that </w:t>
      </w:r>
      <w:r w:rsidRPr="0099114C">
        <w:rPr>
          <w:rFonts w:cs="Calibri"/>
        </w:rPr>
        <w:t xml:space="preserve">avacopan would be suitable for reinduction therapy based on its mechanism of action </w:t>
      </w:r>
      <w:r w:rsidRPr="0099114C">
        <w:rPr>
          <w:lang w:eastAsia="en-US"/>
        </w:rPr>
        <w:t>(para 7.5, avacopan PSD, July 2023 PBAC meeting)</w:t>
      </w:r>
      <w:r w:rsidRPr="0099114C">
        <w:rPr>
          <w:rFonts w:cs="Calibri"/>
        </w:rPr>
        <w:t xml:space="preserve">. This was also supported in the sponsor hearing. However, </w:t>
      </w:r>
      <w:r w:rsidR="000233AB">
        <w:rPr>
          <w:rFonts w:cs="Calibri"/>
        </w:rPr>
        <w:t xml:space="preserve">the Committee advised that </w:t>
      </w:r>
      <w:r w:rsidRPr="0099114C">
        <w:rPr>
          <w:rFonts w:cs="Calibri"/>
        </w:rPr>
        <w:t xml:space="preserve">reinduction should not be included in the treatment phase, </w:t>
      </w:r>
      <w:r w:rsidR="00455233" w:rsidRPr="00D05573">
        <w:rPr>
          <w:rFonts w:cs="Calibri"/>
        </w:rPr>
        <w:t xml:space="preserve">and </w:t>
      </w:r>
      <w:r w:rsidR="008116D1">
        <w:rPr>
          <w:rFonts w:cs="Calibri"/>
        </w:rPr>
        <w:t xml:space="preserve">that </w:t>
      </w:r>
      <w:r w:rsidR="00455233" w:rsidRPr="00D05573">
        <w:rPr>
          <w:rFonts w:cs="Calibri"/>
        </w:rPr>
        <w:t xml:space="preserve">the </w:t>
      </w:r>
      <w:r w:rsidR="002A2774">
        <w:rPr>
          <w:rFonts w:cs="Calibri"/>
        </w:rPr>
        <w:t>extent of use in reinducti</w:t>
      </w:r>
      <w:r w:rsidR="008116D1">
        <w:rPr>
          <w:rFonts w:cs="Calibri"/>
        </w:rPr>
        <w:t xml:space="preserve">on should be managed through the </w:t>
      </w:r>
      <w:r w:rsidR="00455233" w:rsidRPr="00D05573">
        <w:rPr>
          <w:rFonts w:cs="Calibri"/>
        </w:rPr>
        <w:t>RSA</w:t>
      </w:r>
      <w:r w:rsidR="00A7459F" w:rsidRPr="00D05573">
        <w:rPr>
          <w:rFonts w:cs="Calibri"/>
        </w:rPr>
        <w:t xml:space="preserve"> </w:t>
      </w:r>
      <w:r w:rsidR="008116D1">
        <w:rPr>
          <w:rFonts w:cs="Calibri"/>
        </w:rPr>
        <w:t>as outlined</w:t>
      </w:r>
      <w:r w:rsidR="00A7459F" w:rsidRPr="00D05573">
        <w:rPr>
          <w:rFonts w:cs="Calibri"/>
        </w:rPr>
        <w:t xml:space="preserve"> in paragraph</w:t>
      </w:r>
      <w:r w:rsidR="00A7459F" w:rsidRPr="0099114C">
        <w:rPr>
          <w:rFonts w:cs="Calibri"/>
        </w:rPr>
        <w:t xml:space="preserve"> </w:t>
      </w:r>
      <w:r w:rsidR="00320F16" w:rsidRPr="0099114C">
        <w:rPr>
          <w:rFonts w:cs="Calibri"/>
        </w:rPr>
        <w:fldChar w:fldCharType="begin" w:fldLock="1"/>
      </w:r>
      <w:r w:rsidR="00320F16" w:rsidRPr="0099114C">
        <w:rPr>
          <w:rFonts w:cs="Calibri"/>
        </w:rPr>
        <w:instrText xml:space="preserve"> REF _Ref162021517 \r \h  \* MERGEFORMAT </w:instrText>
      </w:r>
      <w:r w:rsidR="00320F16" w:rsidRPr="0099114C">
        <w:rPr>
          <w:rFonts w:cs="Calibri"/>
        </w:rPr>
      </w:r>
      <w:r w:rsidR="00320F16" w:rsidRPr="0099114C">
        <w:rPr>
          <w:rFonts w:cs="Calibri"/>
        </w:rPr>
        <w:fldChar w:fldCharType="separate"/>
      </w:r>
      <w:r w:rsidR="00320F16" w:rsidRPr="0099114C">
        <w:rPr>
          <w:rFonts w:cs="Calibri"/>
        </w:rPr>
        <w:t>7.14</w:t>
      </w:r>
      <w:r w:rsidR="00320F16" w:rsidRPr="0099114C">
        <w:rPr>
          <w:rFonts w:cs="Calibri"/>
        </w:rPr>
        <w:fldChar w:fldCharType="end"/>
      </w:r>
      <w:r w:rsidR="00D92CF2" w:rsidRPr="0099114C">
        <w:rPr>
          <w:rFonts w:cs="Calibri"/>
        </w:rPr>
        <w:t xml:space="preserve">; and </w:t>
      </w:r>
    </w:p>
    <w:p w14:paraId="5BF3D3BF" w14:textId="77777777" w:rsidR="00D92CF2" w:rsidRPr="0099114C" w:rsidRDefault="00D92CF2" w:rsidP="00D92CF2">
      <w:pPr>
        <w:pStyle w:val="ListParagraph"/>
        <w:numPr>
          <w:ilvl w:val="1"/>
          <w:numId w:val="101"/>
        </w:numPr>
        <w:spacing w:after="120"/>
        <w:ind w:left="1080"/>
        <w:contextualSpacing w:val="0"/>
        <w:rPr>
          <w:rFonts w:cs="Calibri"/>
        </w:rPr>
      </w:pPr>
      <w:r w:rsidRPr="0099114C">
        <w:rPr>
          <w:rFonts w:cs="Calibri"/>
        </w:rPr>
        <w:lastRenderedPageBreak/>
        <w:t xml:space="preserve">The EULAR guideline terminology of ‘organ-threatening or life-threatening disease’ be used as a treatment criteria in the restriction </w:t>
      </w:r>
      <w:r w:rsidRPr="0099114C">
        <w:t>to align the eligible patient population with the intended definition of disease severity.</w:t>
      </w:r>
    </w:p>
    <w:bookmarkEnd w:id="97"/>
    <w:p w14:paraId="063D313B" w14:textId="51CE695C" w:rsidR="00B72D37" w:rsidRPr="0099114C" w:rsidRDefault="00EE4188" w:rsidP="008A55E4">
      <w:pPr>
        <w:pStyle w:val="3-BodyText"/>
      </w:pPr>
      <w:r w:rsidRPr="0099114C">
        <w:rPr>
          <w:lang w:eastAsia="en-US"/>
        </w:rPr>
        <w:t>The PBAC considered that the nominated comparator GCs remained appropriate in the induction phase.</w:t>
      </w:r>
      <w:r w:rsidR="00EF09B4" w:rsidRPr="0099114C">
        <w:rPr>
          <w:lang w:eastAsia="en-US"/>
        </w:rPr>
        <w:t xml:space="preserve"> In terms of maintenance, t</w:t>
      </w:r>
      <w:r w:rsidR="00B72D37" w:rsidRPr="0099114C">
        <w:rPr>
          <w:lang w:eastAsia="en-US"/>
        </w:rPr>
        <w:t>he PBAC recalled</w:t>
      </w:r>
      <w:r w:rsidR="00EF09B4" w:rsidRPr="0099114C">
        <w:rPr>
          <w:lang w:eastAsia="en-US"/>
        </w:rPr>
        <w:t xml:space="preserve"> it had suggested a resubmission requesting treatment in the maintenance of remission should consider a comparison of avacopan with rituximab versus rituximab </w:t>
      </w:r>
      <w:r w:rsidR="00EF09B4" w:rsidRPr="0099114C">
        <w:rPr>
          <w:rStyle w:val="normaltextrun"/>
          <w:rFonts w:cs="Calibri"/>
          <w:color w:val="000000"/>
          <w:shd w:val="clear" w:color="auto" w:fill="FFFFFF"/>
        </w:rPr>
        <w:t xml:space="preserve">(para 7.6, </w:t>
      </w:r>
      <w:r w:rsidR="00EF09B4" w:rsidRPr="0099114C">
        <w:rPr>
          <w:iCs/>
        </w:rPr>
        <w:t>avacopan PSD, July 2023 PBAC Meeting)</w:t>
      </w:r>
      <w:r w:rsidR="008A55E4" w:rsidRPr="0099114C">
        <w:rPr>
          <w:iCs/>
        </w:rPr>
        <w:t xml:space="preserve">. </w:t>
      </w:r>
      <w:r w:rsidR="00EA6145" w:rsidRPr="0099114C">
        <w:rPr>
          <w:rStyle w:val="normaltextrun"/>
          <w:rFonts w:cs="Calibri"/>
          <w:color w:val="000000"/>
          <w:shd w:val="clear" w:color="auto" w:fill="FFFFFF"/>
        </w:rPr>
        <w:t xml:space="preserve">The PBAC noted ESC advice that a robust comparison of avacopan and rituximab as maintenance therapies was not feasible </w:t>
      </w:r>
      <w:r w:rsidR="00B72D37" w:rsidRPr="0099114C">
        <w:t xml:space="preserve">between the ADVOCATE trial and </w:t>
      </w:r>
      <w:r w:rsidR="008A55E4" w:rsidRPr="0099114C">
        <w:t>the</w:t>
      </w:r>
      <w:r w:rsidR="00B72D37" w:rsidRPr="0099114C">
        <w:t xml:space="preserve"> MAINRITSAN, MAINRITSAN 2, or RITAZAREM </w:t>
      </w:r>
      <w:r w:rsidR="00EA6145" w:rsidRPr="0099114C">
        <w:t>trials</w:t>
      </w:r>
      <w:r w:rsidR="00EF09B4" w:rsidRPr="0099114C">
        <w:t xml:space="preserve"> </w:t>
      </w:r>
      <w:r w:rsidR="00EA6145" w:rsidRPr="0099114C">
        <w:t xml:space="preserve">(see paragraph </w:t>
      </w:r>
      <w:r w:rsidR="00EA6145" w:rsidRPr="0099114C">
        <w:fldChar w:fldCharType="begin" w:fldLock="1"/>
      </w:r>
      <w:r w:rsidR="00EA6145" w:rsidRPr="0099114C">
        <w:instrText xml:space="preserve"> REF _Ref161846371 \r \h </w:instrText>
      </w:r>
      <w:r w:rsidR="00EA6145" w:rsidRPr="0099114C">
        <w:fldChar w:fldCharType="separate"/>
      </w:r>
      <w:r w:rsidR="00EB1DAA">
        <w:t>6.34</w:t>
      </w:r>
      <w:r w:rsidR="00EA6145" w:rsidRPr="0099114C">
        <w:fldChar w:fldCharType="end"/>
      </w:r>
      <w:r w:rsidR="00EA6145" w:rsidRPr="0099114C">
        <w:t xml:space="preserve">). </w:t>
      </w:r>
    </w:p>
    <w:p w14:paraId="06D3D447" w14:textId="092DEEF1" w:rsidR="00912FA6" w:rsidRPr="0099114C" w:rsidRDefault="00EF09B4" w:rsidP="00FA5989">
      <w:pPr>
        <w:pStyle w:val="3-BodyText"/>
        <w:rPr>
          <w:rStyle w:val="normaltextrun"/>
        </w:rPr>
      </w:pPr>
      <w:r w:rsidRPr="0099114C">
        <w:rPr>
          <w:rFonts w:cs="Calibri"/>
        </w:rPr>
        <w:t>The ADVOCATE trial remained the key trial evidence in the resubmission.</w:t>
      </w:r>
      <w:r w:rsidR="008A55E4" w:rsidRPr="0099114C">
        <w:rPr>
          <w:rFonts w:cs="Calibri"/>
        </w:rPr>
        <w:t xml:space="preserve"> </w:t>
      </w:r>
      <w:r w:rsidR="008A55E4" w:rsidRPr="0099114C">
        <w:rPr>
          <w:lang w:eastAsia="en-US"/>
        </w:rPr>
        <w:t xml:space="preserve">The primary efficacy outcomes of the ADVOCATE trial were disease remission (Week 26) and sustained remission (Week 52). </w:t>
      </w:r>
      <w:r w:rsidR="008A55E4" w:rsidRPr="0099114C">
        <w:rPr>
          <w:rFonts w:eastAsia="Calibri"/>
        </w:rPr>
        <w:t xml:space="preserve">The PBAC </w:t>
      </w:r>
      <w:r w:rsidR="002738E4" w:rsidRPr="0099114C">
        <w:rPr>
          <w:rFonts w:eastAsia="Calibri"/>
        </w:rPr>
        <w:t xml:space="preserve">recalled that, while superiority in achieving disease remission was not demonstrated at Week 26, the Committee had </w:t>
      </w:r>
      <w:r w:rsidR="008A55E4" w:rsidRPr="0099114C">
        <w:rPr>
          <w:rFonts w:eastAsia="Calibri"/>
        </w:rPr>
        <w:t xml:space="preserve">considered avacopan may provide a benefit in terms of a strategy to reduce exposure to GCs over the induction period </w:t>
      </w:r>
      <w:r w:rsidR="002738E4" w:rsidRPr="0099114C">
        <w:rPr>
          <w:rFonts w:eastAsia="Calibri"/>
        </w:rPr>
        <w:t xml:space="preserve">(see paragraphs </w:t>
      </w:r>
      <w:r w:rsidR="002738E4" w:rsidRPr="0099114C">
        <w:rPr>
          <w:rFonts w:eastAsia="Calibri"/>
        </w:rPr>
        <w:fldChar w:fldCharType="begin" w:fldLock="1"/>
      </w:r>
      <w:r w:rsidR="002738E4" w:rsidRPr="0099114C">
        <w:rPr>
          <w:rFonts w:eastAsia="Calibri"/>
        </w:rPr>
        <w:instrText xml:space="preserve"> REF _Ref161859130 \r \h </w:instrText>
      </w:r>
      <w:r w:rsidR="002738E4" w:rsidRPr="0099114C">
        <w:rPr>
          <w:rFonts w:eastAsia="Calibri"/>
        </w:rPr>
      </w:r>
      <w:r w:rsidR="002738E4" w:rsidRPr="0099114C">
        <w:rPr>
          <w:rFonts w:eastAsia="Calibri"/>
        </w:rPr>
        <w:fldChar w:fldCharType="separate"/>
      </w:r>
      <w:r w:rsidR="00EB1DAA">
        <w:rPr>
          <w:rFonts w:eastAsia="Calibri"/>
        </w:rPr>
        <w:t>6.15</w:t>
      </w:r>
      <w:r w:rsidR="002738E4" w:rsidRPr="0099114C">
        <w:rPr>
          <w:rFonts w:eastAsia="Calibri"/>
        </w:rPr>
        <w:fldChar w:fldCharType="end"/>
      </w:r>
      <w:r w:rsidR="002738E4" w:rsidRPr="0099114C">
        <w:rPr>
          <w:rFonts w:eastAsia="Calibri"/>
        </w:rPr>
        <w:t xml:space="preserve"> and </w:t>
      </w:r>
      <w:r w:rsidR="002738E4" w:rsidRPr="0099114C">
        <w:rPr>
          <w:rFonts w:eastAsia="Calibri"/>
        </w:rPr>
        <w:fldChar w:fldCharType="begin" w:fldLock="1"/>
      </w:r>
      <w:r w:rsidR="002738E4" w:rsidRPr="0099114C">
        <w:rPr>
          <w:rFonts w:eastAsia="Calibri"/>
        </w:rPr>
        <w:instrText xml:space="preserve"> REF _Ref161859115 \r \h </w:instrText>
      </w:r>
      <w:r w:rsidR="002738E4" w:rsidRPr="0099114C">
        <w:rPr>
          <w:rFonts w:eastAsia="Calibri"/>
        </w:rPr>
      </w:r>
      <w:r w:rsidR="002738E4" w:rsidRPr="0099114C">
        <w:rPr>
          <w:rFonts w:eastAsia="Calibri"/>
        </w:rPr>
        <w:fldChar w:fldCharType="separate"/>
      </w:r>
      <w:r w:rsidR="00EB1DAA">
        <w:rPr>
          <w:rFonts w:eastAsia="Calibri"/>
        </w:rPr>
        <w:t>6.16</w:t>
      </w:r>
      <w:r w:rsidR="002738E4" w:rsidRPr="0099114C">
        <w:rPr>
          <w:rFonts w:eastAsia="Calibri"/>
        </w:rPr>
        <w:fldChar w:fldCharType="end"/>
      </w:r>
      <w:r w:rsidR="002738E4" w:rsidRPr="0099114C">
        <w:rPr>
          <w:rFonts w:eastAsia="Calibri"/>
        </w:rPr>
        <w:t xml:space="preserve">). </w:t>
      </w:r>
      <w:r w:rsidR="00951CD7" w:rsidRPr="0099114C">
        <w:rPr>
          <w:rFonts w:eastAsia="Calibri"/>
        </w:rPr>
        <w:t xml:space="preserve">The PBAC </w:t>
      </w:r>
      <w:r w:rsidR="0054406F" w:rsidRPr="0099114C">
        <w:rPr>
          <w:rFonts w:eastAsia="Calibri"/>
        </w:rPr>
        <w:t>also recalled</w:t>
      </w:r>
      <w:r w:rsidR="00951CD7" w:rsidRPr="0099114C">
        <w:rPr>
          <w:rFonts w:eastAsia="Calibri"/>
        </w:rPr>
        <w:t xml:space="preserve"> a</w:t>
      </w:r>
      <w:r w:rsidR="00563959" w:rsidRPr="0099114C">
        <w:rPr>
          <w:rFonts w:eastAsia="Calibri"/>
        </w:rPr>
        <w:t xml:space="preserve">vacopan + SOC was </w:t>
      </w:r>
      <w:r w:rsidR="0054406F" w:rsidRPr="0099114C">
        <w:rPr>
          <w:rFonts w:eastAsia="Calibri"/>
        </w:rPr>
        <w:t xml:space="preserve">reported to be </w:t>
      </w:r>
      <w:r w:rsidR="00563959" w:rsidRPr="0099114C">
        <w:rPr>
          <w:rFonts w:eastAsia="Calibri"/>
        </w:rPr>
        <w:t>superior to prednisolone + SOC in achieving sustained remission at week 52</w:t>
      </w:r>
      <w:r w:rsidR="00951CD7" w:rsidRPr="0099114C">
        <w:rPr>
          <w:rFonts w:eastAsia="Calibri"/>
        </w:rPr>
        <w:t>, but</w:t>
      </w:r>
      <w:r w:rsidR="0054406F" w:rsidRPr="0099114C">
        <w:rPr>
          <w:rFonts w:eastAsia="Calibri"/>
        </w:rPr>
        <w:t xml:space="preserve"> the Committee</w:t>
      </w:r>
      <w:r w:rsidR="00563959" w:rsidRPr="0099114C">
        <w:rPr>
          <w:rFonts w:eastAsia="Calibri"/>
        </w:rPr>
        <w:t xml:space="preserve"> had considered </w:t>
      </w:r>
      <w:r w:rsidR="0054406F" w:rsidRPr="0099114C">
        <w:rPr>
          <w:rFonts w:eastAsia="Calibri"/>
        </w:rPr>
        <w:t>the</w:t>
      </w:r>
      <w:r w:rsidR="00563959" w:rsidRPr="0099114C">
        <w:rPr>
          <w:rFonts w:eastAsia="Calibri"/>
        </w:rPr>
        <w:t xml:space="preserve"> comparison with no further treatment (following rituximab induction) was not consistent with current practice (</w:t>
      </w:r>
      <w:r w:rsidR="00DC3879" w:rsidRPr="0099114C">
        <w:rPr>
          <w:rFonts w:eastAsia="Calibri"/>
        </w:rPr>
        <w:t xml:space="preserve">para 7.10, </w:t>
      </w:r>
      <w:r w:rsidR="00DC3879" w:rsidRPr="0099114C">
        <w:rPr>
          <w:lang w:eastAsia="en-US"/>
        </w:rPr>
        <w:t xml:space="preserve">avacopan PSD, July 2023 PBAC meeting). </w:t>
      </w:r>
    </w:p>
    <w:p w14:paraId="05F3CF75" w14:textId="3DAB383D" w:rsidR="000E41B7" w:rsidRPr="0099114C" w:rsidRDefault="00912FA6" w:rsidP="002F5A3F">
      <w:pPr>
        <w:pStyle w:val="3-BodyText"/>
      </w:pPr>
      <w:bookmarkStart w:id="99" w:name="_Ref141774813"/>
      <w:r w:rsidRPr="0099114C">
        <w:rPr>
          <w:lang w:eastAsia="en-US"/>
        </w:rPr>
        <w:t xml:space="preserve">The PBAC recalled the improvement in eGFR rates at both Week 26 and Week 52 evident for the population with renal disease. However, the PBAC </w:t>
      </w:r>
      <w:r w:rsidR="00060916" w:rsidRPr="0099114C">
        <w:rPr>
          <w:lang w:eastAsia="en-US"/>
        </w:rPr>
        <w:t xml:space="preserve">had also </w:t>
      </w:r>
      <w:r w:rsidRPr="0099114C">
        <w:rPr>
          <w:lang w:eastAsia="en-US"/>
        </w:rPr>
        <w:t xml:space="preserve">noted that </w:t>
      </w:r>
      <w:r w:rsidRPr="0099114C">
        <w:rPr>
          <w:rFonts w:eastAsia="Calibri"/>
        </w:rPr>
        <w:t xml:space="preserve">other parameters of renal disease such as </w:t>
      </w:r>
      <w:r w:rsidRPr="0099114C">
        <w:t>urinary albumin</w:t>
      </w:r>
      <w:r w:rsidR="002F5A3F" w:rsidRPr="0099114C">
        <w:t>:</w:t>
      </w:r>
      <w:r w:rsidRPr="0099114C">
        <w:t>creatinine ratio</w:t>
      </w:r>
      <w:r w:rsidRPr="0099114C">
        <w:rPr>
          <w:rFonts w:eastAsia="Calibri"/>
        </w:rPr>
        <w:t xml:space="preserve"> (UCAR) at Week 52 and urinary MCP-1</w:t>
      </w:r>
      <w:r w:rsidR="00F15F5A" w:rsidRPr="0099114C">
        <w:rPr>
          <w:rFonts w:eastAsia="Calibri"/>
        </w:rPr>
        <w:t>:</w:t>
      </w:r>
      <w:r w:rsidRPr="0099114C">
        <w:rPr>
          <w:rFonts w:eastAsia="Calibri"/>
        </w:rPr>
        <w:t xml:space="preserve">creatinine ratio at Week 52 did not show any significant difference in patients with renal disease. The PBAC </w:t>
      </w:r>
      <w:r w:rsidR="00060916" w:rsidRPr="0099114C">
        <w:rPr>
          <w:rFonts w:eastAsia="Calibri"/>
        </w:rPr>
        <w:t xml:space="preserve">previously </w:t>
      </w:r>
      <w:r w:rsidRPr="0099114C">
        <w:rPr>
          <w:rFonts w:eastAsia="Calibri"/>
        </w:rPr>
        <w:t>agreed with the ESC that the improvement in eGFR appeared to be driven by the eGFR &lt; 30 ml/min/1.73m</w:t>
      </w:r>
      <w:r w:rsidRPr="0099114C">
        <w:rPr>
          <w:rFonts w:eastAsia="Calibri"/>
          <w:vertAlign w:val="superscript"/>
        </w:rPr>
        <w:t>2</w:t>
      </w:r>
      <w:r w:rsidRPr="0099114C">
        <w:rPr>
          <w:rFonts w:eastAsia="Calibri"/>
        </w:rPr>
        <w:t xml:space="preserve"> subgroup </w:t>
      </w:r>
      <w:r w:rsidRPr="0099114C">
        <w:rPr>
          <w:lang w:eastAsia="en-US"/>
        </w:rPr>
        <w:t xml:space="preserve"> and that it was not clear how much of the benefit was attributable to the group which compared avacopan to no maintenance therapy (</w:t>
      </w:r>
      <w:r w:rsidRPr="0099114C">
        <w:rPr>
          <w:rFonts w:eastAsia="Calibri"/>
        </w:rPr>
        <w:t xml:space="preserve">para 7.11, </w:t>
      </w:r>
      <w:r w:rsidRPr="0099114C">
        <w:rPr>
          <w:lang w:eastAsia="en-US"/>
        </w:rPr>
        <w:t>avacopan PSD, July 2023 PBAC meeting)</w:t>
      </w:r>
      <w:r w:rsidRPr="0099114C">
        <w:rPr>
          <w:rFonts w:eastAsia="Calibri"/>
        </w:rPr>
        <w:t>.</w:t>
      </w:r>
      <w:bookmarkEnd w:id="99"/>
      <w:r w:rsidRPr="0099114C">
        <w:rPr>
          <w:rFonts w:eastAsia="Calibri"/>
        </w:rPr>
        <w:t xml:space="preserve"> </w:t>
      </w:r>
      <w:r w:rsidR="0054406F" w:rsidRPr="0099114C">
        <w:rPr>
          <w:rStyle w:val="normaltextrun"/>
          <w:rFonts w:cs="Calibri"/>
          <w:color w:val="000000"/>
          <w:shd w:val="clear" w:color="auto" w:fill="FFFFFF"/>
        </w:rPr>
        <w:t>T</w:t>
      </w:r>
      <w:r w:rsidR="00951CD7" w:rsidRPr="0099114C">
        <w:rPr>
          <w:rStyle w:val="normaltextrun"/>
          <w:rFonts w:cs="Calibri"/>
          <w:color w:val="000000"/>
          <w:shd w:val="clear" w:color="auto" w:fill="FFFFFF"/>
        </w:rPr>
        <w:t xml:space="preserve">he PBAC noted the resubmission presented </w:t>
      </w:r>
      <w:r w:rsidR="00385A8B" w:rsidRPr="0099114C">
        <w:rPr>
          <w:rFonts w:cs="Calibri"/>
        </w:rPr>
        <w:t xml:space="preserve">a post-hoc analysis of time to 40% reduction in </w:t>
      </w:r>
      <w:r w:rsidR="00385A8B" w:rsidRPr="0099114C">
        <w:t>UACR</w:t>
      </w:r>
      <w:r w:rsidR="00385A8B" w:rsidRPr="0099114C">
        <w:rPr>
          <w:rFonts w:cs="Calibri"/>
        </w:rPr>
        <w:t xml:space="preserve"> for participants with kidney involvement and</w:t>
      </w:r>
      <w:r w:rsidR="0054406F" w:rsidRPr="0099114C">
        <w:rPr>
          <w:rFonts w:cs="Calibri"/>
        </w:rPr>
        <w:t xml:space="preserve"> a </w:t>
      </w:r>
      <w:r w:rsidR="00385A8B" w:rsidRPr="0099114C">
        <w:rPr>
          <w:rFonts w:cs="Calibri"/>
        </w:rPr>
        <w:t>baseline UACR ≥10</w:t>
      </w:r>
      <w:r w:rsidR="00980C55">
        <w:rPr>
          <w:rFonts w:cs="Calibri"/>
        </w:rPr>
        <w:t> </w:t>
      </w:r>
      <w:r w:rsidR="00385A8B" w:rsidRPr="0099114C">
        <w:rPr>
          <w:rFonts w:cs="Calibri"/>
        </w:rPr>
        <w:t>mg/g</w:t>
      </w:r>
      <w:r w:rsidR="00AC75BD" w:rsidRPr="0099114C">
        <w:rPr>
          <w:rFonts w:cs="Calibri"/>
        </w:rPr>
        <w:t xml:space="preserve"> to support the broader benefits of avacopan (see paragraphs </w:t>
      </w:r>
      <w:r w:rsidR="00AC75BD" w:rsidRPr="0099114C">
        <w:rPr>
          <w:rFonts w:cs="Calibri"/>
        </w:rPr>
        <w:fldChar w:fldCharType="begin" w:fldLock="1"/>
      </w:r>
      <w:r w:rsidR="00AC75BD" w:rsidRPr="0099114C">
        <w:rPr>
          <w:rFonts w:cs="Calibri"/>
        </w:rPr>
        <w:instrText xml:space="preserve"> REF _Ref161864164 \r \h </w:instrText>
      </w:r>
      <w:r w:rsidR="00AC75BD" w:rsidRPr="0099114C">
        <w:rPr>
          <w:rFonts w:cs="Calibri"/>
        </w:rPr>
      </w:r>
      <w:r w:rsidR="00AC75BD" w:rsidRPr="0099114C">
        <w:rPr>
          <w:rFonts w:cs="Calibri"/>
        </w:rPr>
        <w:fldChar w:fldCharType="separate"/>
      </w:r>
      <w:r w:rsidR="00EB1DAA">
        <w:rPr>
          <w:rFonts w:cs="Calibri"/>
        </w:rPr>
        <w:t>6.28</w:t>
      </w:r>
      <w:r w:rsidR="00AC75BD" w:rsidRPr="0099114C">
        <w:rPr>
          <w:rFonts w:cs="Calibri"/>
        </w:rPr>
        <w:fldChar w:fldCharType="end"/>
      </w:r>
      <w:r w:rsidR="00AC75BD" w:rsidRPr="0099114C">
        <w:rPr>
          <w:rFonts w:cs="Calibri"/>
        </w:rPr>
        <w:t xml:space="preserve"> to </w:t>
      </w:r>
      <w:r w:rsidR="00AC75BD" w:rsidRPr="0099114C">
        <w:rPr>
          <w:rFonts w:cs="Calibri"/>
        </w:rPr>
        <w:fldChar w:fldCharType="begin" w:fldLock="1"/>
      </w:r>
      <w:r w:rsidR="00AC75BD" w:rsidRPr="0099114C">
        <w:rPr>
          <w:rFonts w:cs="Calibri"/>
        </w:rPr>
        <w:instrText xml:space="preserve"> REF _Ref161864176 \r \h </w:instrText>
      </w:r>
      <w:r w:rsidR="00AC75BD" w:rsidRPr="0099114C">
        <w:rPr>
          <w:rFonts w:cs="Calibri"/>
        </w:rPr>
      </w:r>
      <w:r w:rsidR="00AC75BD" w:rsidRPr="0099114C">
        <w:rPr>
          <w:rFonts w:cs="Calibri"/>
        </w:rPr>
        <w:fldChar w:fldCharType="separate"/>
      </w:r>
      <w:r w:rsidR="00EB1DAA">
        <w:rPr>
          <w:rFonts w:cs="Calibri"/>
        </w:rPr>
        <w:t>6.31</w:t>
      </w:r>
      <w:r w:rsidR="00AC75BD" w:rsidRPr="0099114C">
        <w:rPr>
          <w:rFonts w:cs="Calibri"/>
        </w:rPr>
        <w:fldChar w:fldCharType="end"/>
      </w:r>
      <w:r w:rsidR="00AC75BD" w:rsidRPr="0099114C">
        <w:rPr>
          <w:rFonts w:cs="Calibri"/>
        </w:rPr>
        <w:t>).</w:t>
      </w:r>
      <w:r w:rsidR="008F152E" w:rsidRPr="0099114C">
        <w:rPr>
          <w:rFonts w:cs="Calibri"/>
        </w:rPr>
        <w:t xml:space="preserve"> </w:t>
      </w:r>
      <w:r w:rsidR="000E41B7" w:rsidRPr="0099114C">
        <w:rPr>
          <w:rFonts w:eastAsia="Calibri"/>
        </w:rPr>
        <w:t xml:space="preserve">The PBAC noted from the sponsor hearing that renal physicians considered the potential early improvement in renal function was important for patients with </w:t>
      </w:r>
      <w:r w:rsidR="00060916" w:rsidRPr="0099114C">
        <w:rPr>
          <w:rFonts w:eastAsia="Calibri"/>
        </w:rPr>
        <w:t>e</w:t>
      </w:r>
      <w:r w:rsidR="000E41B7" w:rsidRPr="0099114C">
        <w:rPr>
          <w:rFonts w:eastAsia="Calibri"/>
        </w:rPr>
        <w:t>GFR in the low range who are at risk of organ failure.</w:t>
      </w:r>
      <w:r w:rsidR="002F5A3F" w:rsidRPr="0099114C">
        <w:rPr>
          <w:rFonts w:eastAsia="Calibri"/>
        </w:rPr>
        <w:t xml:space="preserve"> The PBAC noted</w:t>
      </w:r>
      <w:r w:rsidR="00F15F5A" w:rsidRPr="0099114C">
        <w:rPr>
          <w:rFonts w:eastAsia="Calibri"/>
        </w:rPr>
        <w:t xml:space="preserve"> the</w:t>
      </w:r>
      <w:r w:rsidR="002F5A3F" w:rsidRPr="0099114C">
        <w:rPr>
          <w:rFonts w:eastAsia="Calibri"/>
        </w:rPr>
        <w:t xml:space="preserve"> </w:t>
      </w:r>
      <w:r w:rsidR="002F5A3F" w:rsidRPr="0099114C">
        <w:rPr>
          <w:lang w:eastAsia="en-US"/>
        </w:rPr>
        <w:t xml:space="preserve">KDIGO </w:t>
      </w:r>
      <w:r w:rsidR="004E3B3B" w:rsidRPr="0099114C">
        <w:rPr>
          <w:lang w:eastAsia="en-US"/>
        </w:rPr>
        <w:t xml:space="preserve">(2024) </w:t>
      </w:r>
      <w:r w:rsidR="002F5A3F" w:rsidRPr="0099114C">
        <w:rPr>
          <w:lang w:eastAsia="en-US"/>
        </w:rPr>
        <w:t xml:space="preserve">guidelines stated that patients with lower GFR may benefit from greater </w:t>
      </w:r>
      <w:r w:rsidR="002F5A3F" w:rsidRPr="0099114C">
        <w:t>glomerular filtration rate</w:t>
      </w:r>
      <w:r w:rsidR="002F5A3F" w:rsidRPr="0099114C">
        <w:rPr>
          <w:lang w:eastAsia="en-US"/>
        </w:rPr>
        <w:t xml:space="preserve"> recovery (see paragraph </w:t>
      </w:r>
      <w:r w:rsidR="002F5A3F" w:rsidRPr="0099114C">
        <w:rPr>
          <w:lang w:eastAsia="en-US"/>
        </w:rPr>
        <w:fldChar w:fldCharType="begin" w:fldLock="1"/>
      </w:r>
      <w:r w:rsidR="002F5A3F" w:rsidRPr="0099114C">
        <w:rPr>
          <w:lang w:eastAsia="en-US"/>
        </w:rPr>
        <w:instrText xml:space="preserve"> REF _Ref162021228 \r \h </w:instrText>
      </w:r>
      <w:r w:rsidR="002F5A3F" w:rsidRPr="0099114C">
        <w:rPr>
          <w:lang w:eastAsia="en-US"/>
        </w:rPr>
      </w:r>
      <w:r w:rsidR="002F5A3F" w:rsidRPr="0099114C">
        <w:rPr>
          <w:lang w:eastAsia="en-US"/>
        </w:rPr>
        <w:fldChar w:fldCharType="separate"/>
      </w:r>
      <w:r w:rsidR="00EB1DAA">
        <w:rPr>
          <w:lang w:eastAsia="en-US"/>
        </w:rPr>
        <w:t>4.4</w:t>
      </w:r>
      <w:r w:rsidR="002F5A3F" w:rsidRPr="0099114C">
        <w:rPr>
          <w:lang w:eastAsia="en-US"/>
        </w:rPr>
        <w:fldChar w:fldCharType="end"/>
      </w:r>
      <w:r w:rsidR="002F5A3F" w:rsidRPr="0099114C">
        <w:rPr>
          <w:lang w:eastAsia="en-US"/>
        </w:rPr>
        <w:t xml:space="preserve">). </w:t>
      </w:r>
    </w:p>
    <w:p w14:paraId="5D725BB8" w14:textId="5AAD9E38" w:rsidR="00CD17CA" w:rsidRPr="0099114C" w:rsidRDefault="008F152E" w:rsidP="00320F16">
      <w:pPr>
        <w:widowControl w:val="0"/>
        <w:numPr>
          <w:ilvl w:val="1"/>
          <w:numId w:val="1"/>
        </w:numPr>
        <w:spacing w:after="120"/>
      </w:pPr>
      <w:r w:rsidRPr="0099114C">
        <w:rPr>
          <w:rFonts w:cs="Calibri"/>
        </w:rPr>
        <w:t xml:space="preserve">Overall, the PBAC advised the claim of superior comparative effectiveness remained uncertain but was likely reasonable for induction therapy. The PBAC </w:t>
      </w:r>
      <w:r w:rsidR="00D22D52" w:rsidRPr="0099114C">
        <w:rPr>
          <w:rFonts w:cs="Calibri"/>
        </w:rPr>
        <w:t>considered that such use w</w:t>
      </w:r>
      <w:r w:rsidR="0097738F" w:rsidRPr="0099114C">
        <w:rPr>
          <w:rFonts w:cs="Calibri"/>
        </w:rPr>
        <w:t>ould be</w:t>
      </w:r>
      <w:r w:rsidR="00D22D52" w:rsidRPr="0099114C">
        <w:rPr>
          <w:rFonts w:cs="Calibri"/>
        </w:rPr>
        <w:t xml:space="preserve"> consistent with </w:t>
      </w:r>
      <w:r w:rsidR="00F15F5A" w:rsidRPr="0099114C">
        <w:rPr>
          <w:rFonts w:cs="Calibri"/>
        </w:rPr>
        <w:t xml:space="preserve">the </w:t>
      </w:r>
      <w:r w:rsidR="00D22D52" w:rsidRPr="0099114C">
        <w:rPr>
          <w:rFonts w:cs="Calibri"/>
        </w:rPr>
        <w:t>EULAR and KDIGO guidelines</w:t>
      </w:r>
      <w:r w:rsidR="0097738F" w:rsidRPr="0099114C">
        <w:rPr>
          <w:rFonts w:cs="Calibri"/>
        </w:rPr>
        <w:t xml:space="preserve">. </w:t>
      </w:r>
    </w:p>
    <w:p w14:paraId="07DCE956" w14:textId="371046CA" w:rsidR="00385A8B" w:rsidRPr="0099114C" w:rsidRDefault="00A14E97" w:rsidP="00CD17CA">
      <w:pPr>
        <w:pStyle w:val="3-BodyText"/>
      </w:pPr>
      <w:r w:rsidRPr="0099114C">
        <w:rPr>
          <w:rFonts w:ascii="Calibri" w:hAnsi="Calibri" w:cs="Calibri"/>
        </w:rPr>
        <w:lastRenderedPageBreak/>
        <w:t>The PBAC advised that the clinical evidence provided did not adequately support a claim of superior comparative effectiveness for maintenance therapy. However, the PBAC considered that the use of avacopan for up to 12 months per treatment c</w:t>
      </w:r>
      <w:r w:rsidR="005D5612">
        <w:rPr>
          <w:rFonts w:ascii="Calibri" w:hAnsi="Calibri" w:cs="Calibri"/>
        </w:rPr>
        <w:t>ycle</w:t>
      </w:r>
      <w:r w:rsidR="00CD17CA" w:rsidRPr="0099114C">
        <w:rPr>
          <w:rFonts w:ascii="Calibri" w:hAnsi="Calibri" w:cs="Calibri"/>
        </w:rPr>
        <w:t xml:space="preserve"> would address a clinical need in this collection of relatively rare autoimmune diseases.</w:t>
      </w:r>
    </w:p>
    <w:p w14:paraId="5AA3A122" w14:textId="77777777" w:rsidR="00603FF7" w:rsidRPr="0099114C" w:rsidRDefault="00DC3879" w:rsidP="00603FF7">
      <w:pPr>
        <w:pStyle w:val="3-BodyText"/>
      </w:pPr>
      <w:r w:rsidRPr="0099114C">
        <w:t xml:space="preserve">The PBAC reaffirmed its July </w:t>
      </w:r>
      <w:r w:rsidR="00FA5989" w:rsidRPr="0099114C">
        <w:t xml:space="preserve">2023 advice that the claim of superior comparative safety was reasonable (para 6.39, avacopan PSD, July 2023 PBAC meeting). </w:t>
      </w:r>
    </w:p>
    <w:p w14:paraId="566CCB01" w14:textId="40136042" w:rsidR="000B536C" w:rsidRPr="0099114C" w:rsidRDefault="004710CA" w:rsidP="00603FF7">
      <w:pPr>
        <w:pStyle w:val="3-BodyText"/>
      </w:pPr>
      <w:r w:rsidRPr="0099114C">
        <w:t>The PBAC recalled that</w:t>
      </w:r>
      <w:r w:rsidR="000B536C" w:rsidRPr="0099114C">
        <w:t xml:space="preserve"> </w:t>
      </w:r>
      <w:r w:rsidRPr="0099114C">
        <w:t xml:space="preserve">it had </w:t>
      </w:r>
      <w:r w:rsidR="000B536C" w:rsidRPr="0099114C">
        <w:t xml:space="preserve">advised </w:t>
      </w:r>
      <w:r w:rsidRPr="0099114C">
        <w:t>that a resubmission for avacopan should be based on the benefits of reducing GC when used as induction therapy (para 7.16, PSD, avacopan, July 2023 PBAC meeting). The</w:t>
      </w:r>
      <w:r w:rsidR="000B536C" w:rsidRPr="0099114C">
        <w:t xml:space="preserve"> </w:t>
      </w:r>
      <w:r w:rsidRPr="0099114C">
        <w:t xml:space="preserve">resubmission </w:t>
      </w:r>
      <w:r w:rsidR="000B536C" w:rsidRPr="0099114C">
        <w:t xml:space="preserve">argued that that avacopan provided statistically significant improvements in renal function (see paragraph </w:t>
      </w:r>
      <w:r w:rsidR="00287B58" w:rsidRPr="0099114C">
        <w:fldChar w:fldCharType="begin" w:fldLock="1"/>
      </w:r>
      <w:r w:rsidR="00287B58" w:rsidRPr="0099114C">
        <w:instrText xml:space="preserve"> REF _Ref161871146 \r \h </w:instrText>
      </w:r>
      <w:r w:rsidR="00287B58" w:rsidRPr="0099114C">
        <w:fldChar w:fldCharType="separate"/>
      </w:r>
      <w:r w:rsidR="00EB1DAA">
        <w:t>6.53</w:t>
      </w:r>
      <w:r w:rsidR="00287B58" w:rsidRPr="0099114C">
        <w:fldChar w:fldCharType="end"/>
      </w:r>
      <w:r w:rsidR="000B536C" w:rsidRPr="0099114C">
        <w:t xml:space="preserve">) and retained the </w:t>
      </w:r>
      <w:r w:rsidR="00287B58" w:rsidRPr="0099114C">
        <w:t>same</w:t>
      </w:r>
      <w:r w:rsidR="000B536C" w:rsidRPr="0099114C">
        <w:t xml:space="preserve"> economic model structure</w:t>
      </w:r>
      <w:r w:rsidR="00287B58" w:rsidRPr="0099114C">
        <w:t xml:space="preserve"> but revised a number of inputs in an attempt to address concerns raised in July 2023 (see paragraph </w:t>
      </w:r>
      <w:r w:rsidR="00287B58" w:rsidRPr="0099114C">
        <w:fldChar w:fldCharType="begin" w:fldLock="1"/>
      </w:r>
      <w:r w:rsidR="00287B58" w:rsidRPr="0099114C">
        <w:instrText xml:space="preserve"> REF _Ref159256694 \r \h </w:instrText>
      </w:r>
      <w:r w:rsidR="00287B58" w:rsidRPr="0099114C">
        <w:fldChar w:fldCharType="separate"/>
      </w:r>
      <w:r w:rsidR="00EB1DAA">
        <w:t>6.55</w:t>
      </w:r>
      <w:r w:rsidR="00287B58" w:rsidRPr="0099114C">
        <w:fldChar w:fldCharType="end"/>
      </w:r>
      <w:r w:rsidR="00287B58" w:rsidRPr="0099114C">
        <w:t xml:space="preserve">). </w:t>
      </w:r>
      <w:r w:rsidR="00287B58" w:rsidRPr="00554E41">
        <w:t xml:space="preserve">The PBAC acknowledged the ESC advice that while some changes </w:t>
      </w:r>
      <w:r w:rsidR="005018DF" w:rsidRPr="00554E41">
        <w:t>to the economic model in the resubmission were more conservative, others were less so and a number of the concerns raised in July 2023 remained unaddressed. The PBAC noted that to address the issues raised by the ESC</w:t>
      </w:r>
      <w:r w:rsidR="00BD12C9" w:rsidRPr="00554E41">
        <w:t>,</w:t>
      </w:r>
      <w:r w:rsidR="005018DF" w:rsidRPr="00554E41">
        <w:t xml:space="preserve"> the pre-PBAC response provided a revised base case that incorporated a rituximab maintenance weighting of 70%, a remission rate equal to GC + SOC values at 26 weeks, a </w:t>
      </w:r>
      <w:r w:rsidR="005018DF" w:rsidRPr="00554E41">
        <w:rPr>
          <w:lang w:eastAsia="en-GB"/>
        </w:rPr>
        <w:t xml:space="preserve">utility decrement of 0.1 for any GC-related infections and treatment waning for avacopan after 3 months. The pre-PBAC response argued that it was appropriate to model a benefit in terms of eGFR based on data from the ADVOCATE trial and hence this approach was maintained in the revised base case. In addition, the </w:t>
      </w:r>
      <w:r w:rsidR="00603FF7" w:rsidRPr="0099114C">
        <w:t xml:space="preserve">pre-PBAC response offered </w:t>
      </w:r>
      <w:r w:rsidR="00603FF7" w:rsidRPr="00BE21CE">
        <w:t xml:space="preserve">a </w:t>
      </w:r>
      <w:r w:rsidR="005F1F42" w:rsidRPr="006F30AA">
        <w:rPr>
          <w:color w:val="000000"/>
          <w:w w:val="15"/>
          <w:shd w:val="solid" w:color="000000" w:fill="000000"/>
          <w:fitText w:val="-20" w:id="-961805810"/>
          <w14:textFill>
            <w14:solidFill>
              <w14:srgbClr w14:val="000000">
                <w14:alpha w14:val="100000"/>
              </w14:srgbClr>
            </w14:solidFill>
          </w14:textFill>
        </w:rPr>
        <w:t xml:space="preserve">|  </w:t>
      </w:r>
      <w:r w:rsidR="005F1F42" w:rsidRPr="006F30AA">
        <w:rPr>
          <w:color w:val="000000"/>
          <w:spacing w:val="-69"/>
          <w:w w:val="15"/>
          <w:shd w:val="solid" w:color="000000" w:fill="000000"/>
          <w:fitText w:val="-20" w:id="-961805810"/>
          <w14:textFill>
            <w14:solidFill>
              <w14:srgbClr w14:val="000000">
                <w14:alpha w14:val="100000"/>
              </w14:srgbClr>
            </w14:solidFill>
          </w14:textFill>
        </w:rPr>
        <w:t>|</w:t>
      </w:r>
      <w:r w:rsidR="00603FF7" w:rsidRPr="00BE21CE">
        <w:t xml:space="preserve">% </w:t>
      </w:r>
      <w:r w:rsidR="00603FF7" w:rsidRPr="0099114C">
        <w:t>price reduction from an EMP of $</w:t>
      </w:r>
      <w:r w:rsidR="005F1F42" w:rsidRPr="006F30AA">
        <w:rPr>
          <w:color w:val="000000"/>
          <w:w w:val="15"/>
          <w:shd w:val="solid" w:color="000000" w:fill="000000"/>
          <w:fitText w:val="-20" w:id="-961805809"/>
          <w14:textFill>
            <w14:solidFill>
              <w14:srgbClr w14:val="000000">
                <w14:alpha w14:val="100000"/>
              </w14:srgbClr>
            </w14:solidFill>
          </w14:textFill>
        </w:rPr>
        <w:t xml:space="preserve">|  </w:t>
      </w:r>
      <w:r w:rsidR="005F1F42" w:rsidRPr="006F30AA">
        <w:rPr>
          <w:color w:val="000000"/>
          <w:spacing w:val="-69"/>
          <w:w w:val="15"/>
          <w:shd w:val="solid" w:color="000000" w:fill="000000"/>
          <w:fitText w:val="-20" w:id="-961805809"/>
          <w14:textFill>
            <w14:solidFill>
              <w14:srgbClr w14:val="000000">
                <w14:alpha w14:val="100000"/>
              </w14:srgbClr>
            </w14:solidFill>
          </w14:textFill>
        </w:rPr>
        <w:t>|</w:t>
      </w:r>
      <w:r w:rsidR="00603FF7" w:rsidRPr="0099114C">
        <w:t xml:space="preserve"> to $</w:t>
      </w:r>
      <w:r w:rsidR="005F1F42" w:rsidRPr="006F30AA">
        <w:rPr>
          <w:color w:val="000000"/>
          <w:w w:val="15"/>
          <w:shd w:val="solid" w:color="000000" w:fill="000000"/>
          <w:fitText w:val="-20" w:id="-961805808"/>
          <w14:textFill>
            <w14:solidFill>
              <w14:srgbClr w14:val="000000">
                <w14:alpha w14:val="100000"/>
              </w14:srgbClr>
            </w14:solidFill>
          </w14:textFill>
        </w:rPr>
        <w:t xml:space="preserve">|  </w:t>
      </w:r>
      <w:r w:rsidR="005F1F42" w:rsidRPr="006F30AA">
        <w:rPr>
          <w:color w:val="000000"/>
          <w:spacing w:val="-69"/>
          <w:w w:val="15"/>
          <w:shd w:val="solid" w:color="000000" w:fill="000000"/>
          <w:fitText w:val="-20" w:id="-961805808"/>
          <w14:textFill>
            <w14:solidFill>
              <w14:srgbClr w14:val="000000">
                <w14:alpha w14:val="100000"/>
              </w14:srgbClr>
            </w14:solidFill>
          </w14:textFill>
        </w:rPr>
        <w:t>|</w:t>
      </w:r>
      <w:r w:rsidR="00603FF7" w:rsidRPr="0099114C">
        <w:t xml:space="preserve">. </w:t>
      </w:r>
      <w:r w:rsidR="00603FF7" w:rsidRPr="00554E41">
        <w:t>Noting the changes to the economic model and the price reduction offered in the pre-PBAC response</w:t>
      </w:r>
      <w:r w:rsidR="004D6104" w:rsidRPr="00554E41">
        <w:t>,</w:t>
      </w:r>
      <w:r w:rsidR="00603FF7" w:rsidRPr="00554E41">
        <w:t xml:space="preserve"> the PBAC considered the resulting incremental cost effectiveness ratio of </w:t>
      </w:r>
      <w:r w:rsidR="00603FF7" w:rsidRPr="00554E41">
        <w:rPr>
          <w:lang w:eastAsia="en-GB"/>
        </w:rPr>
        <w:t>$</w:t>
      </w:r>
      <w:r w:rsidR="005246DD" w:rsidRPr="005246DD">
        <w:rPr>
          <w:lang w:eastAsia="en-GB"/>
        </w:rPr>
        <w:t xml:space="preserve">55,000 to &lt; $75,000 </w:t>
      </w:r>
      <w:r w:rsidR="00603FF7" w:rsidRPr="00554E41">
        <w:rPr>
          <w:lang w:eastAsia="en-GB"/>
        </w:rPr>
        <w:t>/QALY</w:t>
      </w:r>
      <w:r w:rsidR="00603FF7" w:rsidRPr="00554E41">
        <w:t xml:space="preserve"> high but acceptable given the clinical need.</w:t>
      </w:r>
    </w:p>
    <w:p w14:paraId="62573725" w14:textId="25208AFC" w:rsidR="000B536C" w:rsidRPr="0099114C" w:rsidRDefault="002466E1" w:rsidP="00EF09B4">
      <w:pPr>
        <w:pStyle w:val="3-BodyText"/>
      </w:pPr>
      <w:r w:rsidRPr="0099114C">
        <w:t xml:space="preserve">The resubmission presented a revised financial model which applied a different approach to estimating the eligible population compared to the previous submission. </w:t>
      </w:r>
      <w:r w:rsidR="002A47A4" w:rsidRPr="0099114C">
        <w:rPr>
          <w:rFonts w:ascii="Calibri" w:hAnsi="Calibri" w:cs="Calibri"/>
        </w:rPr>
        <w:t>The PBAC noted the use of</w:t>
      </w:r>
      <w:r w:rsidRPr="0099114C">
        <w:rPr>
          <w:rFonts w:ascii="Calibri" w:hAnsi="Calibri" w:cs="Calibri"/>
        </w:rPr>
        <w:t xml:space="preserve"> revised incidence estimates based on data from the Queensland Hospital Admitted Patients Data Collection (QHAPDC)</w:t>
      </w:r>
      <w:r w:rsidR="002A47A4" w:rsidRPr="0099114C">
        <w:rPr>
          <w:rFonts w:ascii="Calibri" w:hAnsi="Calibri" w:cs="Calibri"/>
        </w:rPr>
        <w:t xml:space="preserve"> more than doubled the total patients treated. The PBAC agreed with the DUSC that the estimates presented in the resubmission were overestimated. The PBAC noted DUSC advice th</w:t>
      </w:r>
      <w:r w:rsidR="0051607E" w:rsidRPr="0099114C">
        <w:rPr>
          <w:rFonts w:ascii="Calibri" w:hAnsi="Calibri" w:cs="Calibri"/>
        </w:rPr>
        <w:t xml:space="preserve">at </w:t>
      </w:r>
      <w:r w:rsidR="002A47A4" w:rsidRPr="0099114C">
        <w:rPr>
          <w:rFonts w:ascii="Calibri" w:hAnsi="Calibri" w:cs="Calibri"/>
        </w:rPr>
        <w:t>the main reason for the substantial increase in estimates was because the resubmission had applied</w:t>
      </w:r>
      <w:r w:rsidR="0051607E" w:rsidRPr="0099114C">
        <w:rPr>
          <w:rFonts w:ascii="Calibri" w:hAnsi="Calibri" w:cs="Calibri"/>
        </w:rPr>
        <w:t xml:space="preserve"> QHAPDC </w:t>
      </w:r>
      <w:r w:rsidR="000A510A">
        <w:rPr>
          <w:rFonts w:ascii="Calibri" w:hAnsi="Calibri" w:cs="Calibri"/>
        </w:rPr>
        <w:t>data</w:t>
      </w:r>
      <w:r w:rsidR="0051607E" w:rsidRPr="0099114C">
        <w:rPr>
          <w:rFonts w:ascii="Calibri" w:hAnsi="Calibri" w:cs="Calibri"/>
        </w:rPr>
        <w:t xml:space="preserve"> to an incidence approach. The PBAC agreed with the DUSC that this approach was not appropriate. The PBAC noted the pre-PBAC response provided revised financial estimates that removed the 10% relapse rate and proposed a reduction in the uptake rates across the first 3 years of listing. The PBAC </w:t>
      </w:r>
      <w:r w:rsidR="007F48AD" w:rsidRPr="0099114C">
        <w:rPr>
          <w:rFonts w:ascii="Calibri" w:hAnsi="Calibri" w:cs="Calibri"/>
        </w:rPr>
        <w:t xml:space="preserve">noted the approach taken to the use of QHAPDC data remained unchanged and did not accept the revised </w:t>
      </w:r>
      <w:r w:rsidR="0051607E" w:rsidRPr="0099114C">
        <w:rPr>
          <w:rFonts w:ascii="Calibri" w:hAnsi="Calibri" w:cs="Calibri"/>
        </w:rPr>
        <w:t>financial estimates presented</w:t>
      </w:r>
      <w:r w:rsidR="0076040B" w:rsidRPr="0099114C">
        <w:rPr>
          <w:rFonts w:ascii="Calibri" w:hAnsi="Calibri" w:cs="Calibri"/>
        </w:rPr>
        <w:t xml:space="preserve"> in the pre-PBAC response. </w:t>
      </w:r>
    </w:p>
    <w:p w14:paraId="1CC9A2DC" w14:textId="6E9DF312" w:rsidR="008B22A4" w:rsidRPr="0099114C" w:rsidRDefault="0076040B" w:rsidP="00560769">
      <w:pPr>
        <w:pStyle w:val="3-BodyText"/>
      </w:pPr>
      <w:r w:rsidRPr="0099114C">
        <w:t>The PBAC recalled the July 2023 submission had used an epidemiological approach with incidence estimates based on Australian data (Ormerod et al, 2008)</w:t>
      </w:r>
      <w:r w:rsidR="001A322C" w:rsidRPr="0099114C">
        <w:t xml:space="preserve"> with DUSC </w:t>
      </w:r>
      <w:r w:rsidR="00826D78" w:rsidRPr="0099114C">
        <w:t xml:space="preserve">advising </w:t>
      </w:r>
      <w:r w:rsidR="001A322C" w:rsidRPr="0099114C">
        <w:t xml:space="preserve">that the estimates were reasonable and aligned with the previous use of rituximab for the same indications (see paragraph </w:t>
      </w:r>
      <w:r w:rsidR="001A322C" w:rsidRPr="0099114C">
        <w:fldChar w:fldCharType="begin" w:fldLock="1"/>
      </w:r>
      <w:r w:rsidR="001A322C" w:rsidRPr="0099114C">
        <w:instrText xml:space="preserve"> REF _Ref161907483 \r \h </w:instrText>
      </w:r>
      <w:r w:rsidR="001A322C" w:rsidRPr="0099114C">
        <w:fldChar w:fldCharType="separate"/>
      </w:r>
      <w:r w:rsidR="00EB1DAA">
        <w:t>6.86</w:t>
      </w:r>
      <w:r w:rsidR="001A322C" w:rsidRPr="0099114C">
        <w:fldChar w:fldCharType="end"/>
      </w:r>
      <w:r w:rsidR="001A322C" w:rsidRPr="0099114C">
        <w:t xml:space="preserve">). At that time the </w:t>
      </w:r>
      <w:r w:rsidR="001A322C" w:rsidRPr="0099114C">
        <w:lastRenderedPageBreak/>
        <w:t xml:space="preserve">epidemiological approach had identified four patient populations that would be eligible for avacopan: (1) newly diagnosed; (2) relapsed; (3) re-induction; (4) grandfathered patients. The PBAC recalled that it had advised the remaining uncertainty with respect to the eligible population could be reduced by removing Population 3 and </w:t>
      </w:r>
      <w:r w:rsidR="003E2056" w:rsidRPr="0099114C">
        <w:t xml:space="preserve">grandfathered patients from the financial model (see paragraph </w:t>
      </w:r>
      <w:r w:rsidR="003E2056" w:rsidRPr="0099114C">
        <w:fldChar w:fldCharType="begin" w:fldLock="1"/>
      </w:r>
      <w:r w:rsidR="003E2056" w:rsidRPr="0099114C">
        <w:instrText xml:space="preserve"> REF _Ref161907483 \r \h </w:instrText>
      </w:r>
      <w:r w:rsidR="003E2056" w:rsidRPr="0099114C">
        <w:fldChar w:fldCharType="separate"/>
      </w:r>
      <w:r w:rsidR="00EB1DAA">
        <w:t>6.86</w:t>
      </w:r>
      <w:r w:rsidR="003E2056" w:rsidRPr="0099114C">
        <w:fldChar w:fldCharType="end"/>
      </w:r>
      <w:r w:rsidR="003E2056" w:rsidRPr="0099114C">
        <w:t xml:space="preserve">). The PBAC did not accept the resubmission argument that a larger number of AAV patients were likely to be </w:t>
      </w:r>
      <w:r w:rsidR="00970C3A" w:rsidRPr="0099114C">
        <w:t>treated in</w:t>
      </w:r>
      <w:r w:rsidR="003E2056" w:rsidRPr="0099114C">
        <w:t xml:space="preserve"> Australia than anticipated in the July 2023 submission. </w:t>
      </w:r>
      <w:r w:rsidR="00154F9F">
        <w:t xml:space="preserve">The PBAC </w:t>
      </w:r>
      <w:r w:rsidR="00EA66D2">
        <w:t>considered</w:t>
      </w:r>
      <w:r w:rsidR="0019544B">
        <w:t xml:space="preserve"> the </w:t>
      </w:r>
      <w:r w:rsidR="001F6795">
        <w:t xml:space="preserve">incidence rate determined from QHAPDC data was inconsistent with the rates reported in a review of national and international data undertaken by </w:t>
      </w:r>
      <w:r w:rsidR="00154F9F">
        <w:t>Watts et al. 2015</w:t>
      </w:r>
      <w:r w:rsidR="00EB1DAA">
        <w:rPr>
          <w:rStyle w:val="FootnoteReference"/>
        </w:rPr>
        <w:footnoteReference w:id="11"/>
      </w:r>
      <w:r w:rsidR="00EA66D2">
        <w:t>.</w:t>
      </w:r>
      <w:r w:rsidR="001F6795">
        <w:t xml:space="preserve"> </w:t>
      </w:r>
      <w:r w:rsidR="00EA66D2">
        <w:t xml:space="preserve">The Committee considered the results of the review suggested the use of the </w:t>
      </w:r>
      <w:r w:rsidR="00154F9F">
        <w:t xml:space="preserve">Ormerod et al. (2008) </w:t>
      </w:r>
      <w:r w:rsidR="00EA66D2">
        <w:t>estimate remained appropriate</w:t>
      </w:r>
      <w:r w:rsidR="00803684">
        <w:t xml:space="preserve">. </w:t>
      </w:r>
      <w:r w:rsidR="003E2056" w:rsidRPr="0099114C">
        <w:t xml:space="preserve">As such, the PBAC considered the </w:t>
      </w:r>
      <w:r w:rsidR="003E2056" w:rsidRPr="00554E41">
        <w:t>July 2023 submission financial estimates would be reasonable with appropriate amendments. The amendments required to the July 2023 submission financial estimates include</w:t>
      </w:r>
      <w:r w:rsidR="00D70481" w:rsidRPr="00554E41">
        <w:t>d</w:t>
      </w:r>
      <w:r w:rsidR="003E2056" w:rsidRPr="00554E41">
        <w:t>: the removal of Population 3 and grandfathered patients; changing the duration of treatment from 14.21 months to 9.6</w:t>
      </w:r>
      <w:r w:rsidR="00980C55">
        <w:t> </w:t>
      </w:r>
      <w:r w:rsidR="003E2056" w:rsidRPr="00554E41">
        <w:t>months</w:t>
      </w:r>
      <w:r w:rsidR="003071B5">
        <w:t xml:space="preserve"> (the updated average treatment duration in the economic model)</w:t>
      </w:r>
      <w:r w:rsidR="00560769" w:rsidRPr="00554E41">
        <w:t>; updating PBS co</w:t>
      </w:r>
      <w:r w:rsidR="00CC6FCE">
        <w:t>-</w:t>
      </w:r>
      <w:r w:rsidR="00560769" w:rsidRPr="00554E41">
        <w:t>payments for General and Concessional services;</w:t>
      </w:r>
      <w:r w:rsidR="004D6104" w:rsidRPr="00554E41">
        <w:t xml:space="preserve"> and</w:t>
      </w:r>
      <w:r w:rsidR="00560769" w:rsidRPr="00554E41">
        <w:t xml:space="preserve"> incorporation of the revised price </w:t>
      </w:r>
      <w:r w:rsidR="004D6104" w:rsidRPr="00554E41">
        <w:t xml:space="preserve">proposed </w:t>
      </w:r>
      <w:r w:rsidR="00560769" w:rsidRPr="00554E41">
        <w:t xml:space="preserve">in the pre-PBAC response. </w:t>
      </w:r>
    </w:p>
    <w:p w14:paraId="5D725EC5" w14:textId="4EAB9B2B" w:rsidR="008B22A4" w:rsidRPr="00554E41" w:rsidRDefault="00560769" w:rsidP="00560769">
      <w:pPr>
        <w:pStyle w:val="3-BodyText"/>
      </w:pPr>
      <w:bookmarkStart w:id="100" w:name="_Ref162021517"/>
      <w:r w:rsidRPr="00554E41">
        <w:t xml:space="preserve">The PBAC considered a </w:t>
      </w:r>
      <w:r w:rsidR="00CC6FCE">
        <w:t>R</w:t>
      </w:r>
      <w:r w:rsidR="00CC6FCE" w:rsidRPr="00554E41">
        <w:t xml:space="preserve">isk </w:t>
      </w:r>
      <w:r w:rsidR="00CC6FCE">
        <w:t>S</w:t>
      </w:r>
      <w:r w:rsidR="00CC6FCE" w:rsidRPr="00554E41">
        <w:t xml:space="preserve">haring </w:t>
      </w:r>
      <w:r w:rsidR="00CC6FCE">
        <w:t>A</w:t>
      </w:r>
      <w:r w:rsidR="00CC6FCE" w:rsidRPr="00554E41">
        <w:t xml:space="preserve">rrangement </w:t>
      </w:r>
      <w:r w:rsidRPr="00554E41">
        <w:t>would be required to address any residual uncertainty with the potential for use outside the proposed restriction</w:t>
      </w:r>
      <w:r w:rsidR="004D6104" w:rsidRPr="00362593">
        <w:t xml:space="preserve">, including leakage into </w:t>
      </w:r>
      <w:r w:rsidR="005D5612">
        <w:t xml:space="preserve">use beyond 12 months as </w:t>
      </w:r>
      <w:r w:rsidR="004D6104" w:rsidRPr="00362593">
        <w:t>maintenance therapy or other settings where long-term data is not available and cost-effectiveness has not been demonstrated</w:t>
      </w:r>
      <w:r w:rsidR="00E04628" w:rsidRPr="00362593">
        <w:t xml:space="preserve">. The PBAC noted the pre-PBAC response proposed a </w:t>
      </w:r>
      <w:r w:rsidR="005F1F42" w:rsidRPr="006F30AA">
        <w:rPr>
          <w:color w:val="000000"/>
          <w:w w:val="15"/>
          <w:shd w:val="solid" w:color="000000" w:fill="000000"/>
          <w:fitText w:val="-20" w:id="-961805824"/>
          <w14:textFill>
            <w14:solidFill>
              <w14:srgbClr w14:val="000000">
                <w14:alpha w14:val="100000"/>
              </w14:srgbClr>
            </w14:solidFill>
          </w14:textFill>
        </w:rPr>
        <w:t xml:space="preserve">|  </w:t>
      </w:r>
      <w:r w:rsidR="005F1F42" w:rsidRPr="006F30AA">
        <w:rPr>
          <w:color w:val="000000"/>
          <w:spacing w:val="-69"/>
          <w:w w:val="15"/>
          <w:shd w:val="solid" w:color="000000" w:fill="000000"/>
          <w:fitText w:val="-20" w:id="-961805824"/>
          <w14:textFill>
            <w14:solidFill>
              <w14:srgbClr w14:val="000000">
                <w14:alpha w14:val="100000"/>
              </w14:srgbClr>
            </w14:solidFill>
          </w14:textFill>
        </w:rPr>
        <w:t>|</w:t>
      </w:r>
      <w:r w:rsidR="00E04628" w:rsidRPr="00362593">
        <w:t xml:space="preserve">% rebate for expenditure exceeding the financial estimates (see paragraph </w:t>
      </w:r>
      <w:r w:rsidR="00E04628" w:rsidRPr="00554E41">
        <w:fldChar w:fldCharType="begin" w:fldLock="1"/>
      </w:r>
      <w:r w:rsidR="00E04628" w:rsidRPr="00554E41">
        <w:instrText xml:space="preserve"> REF _Ref161909345 \r \h </w:instrText>
      </w:r>
      <w:r w:rsidR="00E04628" w:rsidRPr="00554E41">
        <w:fldChar w:fldCharType="separate"/>
      </w:r>
      <w:r w:rsidR="00E04628" w:rsidRPr="00554E41">
        <w:t>6.97</w:t>
      </w:r>
      <w:r w:rsidR="00E04628" w:rsidRPr="00554E41">
        <w:fldChar w:fldCharType="end"/>
      </w:r>
      <w:r w:rsidR="00E04628" w:rsidRPr="00554E41">
        <w:t xml:space="preserve">). The PBAC considered a </w:t>
      </w:r>
      <w:r w:rsidR="005F1F42" w:rsidRPr="006F30AA">
        <w:rPr>
          <w:color w:val="000000"/>
          <w:w w:val="15"/>
          <w:shd w:val="solid" w:color="000000" w:fill="000000"/>
          <w:fitText w:val="-20" w:id="-961805823"/>
          <w14:textFill>
            <w14:solidFill>
              <w14:srgbClr w14:val="000000">
                <w14:alpha w14:val="100000"/>
              </w14:srgbClr>
            </w14:solidFill>
          </w14:textFill>
        </w:rPr>
        <w:t xml:space="preserve">|  </w:t>
      </w:r>
      <w:r w:rsidR="005F1F42" w:rsidRPr="006F30AA">
        <w:rPr>
          <w:color w:val="000000"/>
          <w:spacing w:val="-69"/>
          <w:w w:val="15"/>
          <w:shd w:val="solid" w:color="000000" w:fill="000000"/>
          <w:fitText w:val="-20" w:id="-961805823"/>
          <w14:textFill>
            <w14:solidFill>
              <w14:srgbClr w14:val="000000">
                <w14:alpha w14:val="100000"/>
              </w14:srgbClr>
            </w14:solidFill>
          </w14:textFill>
        </w:rPr>
        <w:t>|</w:t>
      </w:r>
      <w:r w:rsidR="00E04628" w:rsidRPr="00554E41">
        <w:t xml:space="preserve">% rebate appropriate and </w:t>
      </w:r>
      <w:r w:rsidR="004D6104" w:rsidRPr="00554E41">
        <w:t xml:space="preserve">that </w:t>
      </w:r>
      <w:r w:rsidR="00E04628" w:rsidRPr="00554E41">
        <w:t xml:space="preserve">the amended July 2023 financial estimates would </w:t>
      </w:r>
      <w:r w:rsidR="004D6104" w:rsidRPr="00554E41">
        <w:t xml:space="preserve">form </w:t>
      </w:r>
      <w:r w:rsidR="00E04628" w:rsidRPr="00554E41">
        <w:t>an appropriate basis for risk sharing arrangement</w:t>
      </w:r>
      <w:r w:rsidR="004D6104" w:rsidRPr="00554E41">
        <w:t xml:space="preserve"> subsidi</w:t>
      </w:r>
      <w:r w:rsidR="00AD0B3E" w:rsidRPr="00554E41">
        <w:t>s</w:t>
      </w:r>
      <w:r w:rsidR="004D6104" w:rsidRPr="00554E41">
        <w:t>ation caps</w:t>
      </w:r>
      <w:r w:rsidR="00E04628" w:rsidRPr="00554E41">
        <w:t>.</w:t>
      </w:r>
      <w:bookmarkEnd w:id="100"/>
      <w:r w:rsidR="00E04628" w:rsidRPr="00554E41">
        <w:t xml:space="preserve"> </w:t>
      </w:r>
    </w:p>
    <w:p w14:paraId="7A696030" w14:textId="509B5DBB" w:rsidR="00F07FF7" w:rsidRPr="0099114C" w:rsidRDefault="00F07FF7" w:rsidP="00F07FF7">
      <w:pPr>
        <w:pStyle w:val="3-BodyText"/>
      </w:pPr>
      <w:r w:rsidRPr="0099114C">
        <w:t>The PBAC advised that avacopan is not suitable for prescribing by nurse practitioners.</w:t>
      </w:r>
    </w:p>
    <w:p w14:paraId="379C14CA" w14:textId="77777777" w:rsidR="00F07FF7" w:rsidRPr="0099114C" w:rsidRDefault="00F07FF7" w:rsidP="00F07FF7">
      <w:pPr>
        <w:pStyle w:val="3-BodyText"/>
      </w:pPr>
      <w:r w:rsidRPr="0099114C">
        <w:t xml:space="preserve">The PBAC recommended that the Early Supply Rule should not apply. </w:t>
      </w:r>
    </w:p>
    <w:p w14:paraId="79D64CE4" w14:textId="00392AF3" w:rsidR="00F07FF7" w:rsidRPr="0099114C" w:rsidRDefault="00F07FF7" w:rsidP="00F07FF7">
      <w:pPr>
        <w:pStyle w:val="3-BodyText"/>
      </w:pPr>
      <w:r w:rsidRPr="0099114C">
        <w:t>The PBAC recommended that avacopan should not be treated as interchangeable with any other drugs.</w:t>
      </w:r>
    </w:p>
    <w:p w14:paraId="3E8E7E26" w14:textId="1FD34EE4" w:rsidR="009D418A" w:rsidRPr="0099114C" w:rsidRDefault="009D418A" w:rsidP="00980C55">
      <w:pPr>
        <w:widowControl w:val="0"/>
        <w:numPr>
          <w:ilvl w:val="1"/>
          <w:numId w:val="1"/>
        </w:numPr>
        <w:spacing w:after="120"/>
        <w:rPr>
          <w:rFonts w:asciiTheme="minorHAnsi" w:hAnsiTheme="minorHAnsi" w:cstheme="minorHAnsi"/>
        </w:rPr>
      </w:pPr>
      <w:r w:rsidRPr="0099114C">
        <w:rPr>
          <w:rFonts w:asciiTheme="minorHAnsi" w:hAnsiTheme="minorHAnsi" w:cstheme="minorHAnsi"/>
        </w:rPr>
        <w:t xml:space="preserve">The PBAC found that the criteria prescribed by the </w:t>
      </w:r>
      <w:r w:rsidRPr="0099114C">
        <w:rPr>
          <w:rFonts w:asciiTheme="minorHAnsi" w:hAnsiTheme="minorHAnsi" w:cstheme="minorHAnsi"/>
          <w:i/>
        </w:rPr>
        <w:t>National Health (Pharmaceuticals and Vaccines – Cost Recovery) Regulations 2022</w:t>
      </w:r>
      <w:r w:rsidRPr="0099114C">
        <w:rPr>
          <w:rFonts w:asciiTheme="minorHAnsi" w:hAnsiTheme="minorHAnsi" w:cstheme="minorHAnsi"/>
        </w:rPr>
        <w:t xml:space="preserve"> for Pricing Pathway A were not met. Specifically, the PBAC found that in the circumstances of its recommendation for avacopan:</w:t>
      </w:r>
    </w:p>
    <w:p w14:paraId="7B8A4BB9" w14:textId="70DE62EF" w:rsidR="009D418A" w:rsidRPr="0099114C" w:rsidRDefault="009D418A" w:rsidP="00980C55">
      <w:pPr>
        <w:widowControl w:val="0"/>
        <w:numPr>
          <w:ilvl w:val="1"/>
          <w:numId w:val="100"/>
        </w:numPr>
        <w:spacing w:after="120"/>
        <w:ind w:left="1134"/>
        <w:rPr>
          <w:rFonts w:asciiTheme="minorHAnsi" w:hAnsiTheme="minorHAnsi" w:cstheme="minorHAnsi"/>
        </w:rPr>
      </w:pPr>
      <w:r w:rsidRPr="0099114C">
        <w:rPr>
          <w:rFonts w:asciiTheme="minorHAnsi" w:hAnsiTheme="minorHAnsi" w:cstheme="minorHAnsi"/>
        </w:rPr>
        <w:t xml:space="preserve">The treatment is not expected to provide a substantial and clinically relevant improvement in efficacy over GCs, as while clinically relevant the treatment </w:t>
      </w:r>
      <w:r w:rsidRPr="0099114C">
        <w:rPr>
          <w:rFonts w:asciiTheme="minorHAnsi" w:hAnsiTheme="minorHAnsi" w:cstheme="minorHAnsi"/>
        </w:rPr>
        <w:lastRenderedPageBreak/>
        <w:t>benefit is likely to be modest;</w:t>
      </w:r>
    </w:p>
    <w:p w14:paraId="0387E2D6" w14:textId="57B82FDF" w:rsidR="009D418A" w:rsidRPr="0099114C" w:rsidRDefault="009D418A" w:rsidP="00980C55">
      <w:pPr>
        <w:widowControl w:val="0"/>
        <w:numPr>
          <w:ilvl w:val="1"/>
          <w:numId w:val="100"/>
        </w:numPr>
        <w:spacing w:after="120"/>
        <w:ind w:left="1134"/>
        <w:rPr>
          <w:rFonts w:asciiTheme="minorHAnsi" w:hAnsiTheme="minorHAnsi" w:cstheme="minorHAnsi"/>
        </w:rPr>
      </w:pPr>
      <w:r w:rsidRPr="0099114C">
        <w:rPr>
          <w:rFonts w:asciiTheme="minorHAnsi" w:hAnsiTheme="minorHAnsi" w:cstheme="minorHAnsi"/>
        </w:rPr>
        <w:t>The treatment is not expected to address a high and urgent unmet clinical need</w:t>
      </w:r>
      <w:r w:rsidR="00E04628" w:rsidRPr="0099114C">
        <w:rPr>
          <w:rFonts w:asciiTheme="minorHAnsi" w:hAnsiTheme="minorHAnsi" w:cstheme="minorHAnsi"/>
        </w:rPr>
        <w:t xml:space="preserve"> as GCs are available as an alternative. However, there is a </w:t>
      </w:r>
      <w:r w:rsidR="00E04628" w:rsidRPr="0099114C">
        <w:rPr>
          <w:rFonts w:cs="Calibri"/>
        </w:rPr>
        <w:t>clinical need for treatments that allow avoidance of high, cumulative GC use in this condition</w:t>
      </w:r>
      <w:r w:rsidRPr="0099114C">
        <w:rPr>
          <w:rFonts w:asciiTheme="minorHAnsi" w:hAnsiTheme="minorHAnsi" w:cstheme="minorHAnsi"/>
        </w:rPr>
        <w:t>;</w:t>
      </w:r>
    </w:p>
    <w:p w14:paraId="306C0E38" w14:textId="03B97269" w:rsidR="009D418A" w:rsidRPr="0099114C" w:rsidRDefault="009D418A" w:rsidP="00980C55">
      <w:pPr>
        <w:widowControl w:val="0"/>
        <w:numPr>
          <w:ilvl w:val="1"/>
          <w:numId w:val="100"/>
        </w:numPr>
        <w:spacing w:after="120"/>
        <w:ind w:left="1134"/>
        <w:rPr>
          <w:rFonts w:cstheme="minorHAnsi"/>
        </w:rPr>
      </w:pPr>
      <w:r w:rsidRPr="0099114C">
        <w:rPr>
          <w:rFonts w:asciiTheme="minorHAnsi" w:hAnsiTheme="minorHAnsi" w:cstheme="minorHAnsi"/>
        </w:rPr>
        <w:t>It was not necessary to make a finding in relation to whether it would be in the public interest for the subsequent pricing application to be progressed under Pricing Pathway A because one or more of the preceding tests had failed.</w:t>
      </w:r>
    </w:p>
    <w:p w14:paraId="4451B31C" w14:textId="4D3F696B" w:rsidR="00603FF7" w:rsidRPr="0099114C" w:rsidRDefault="00F07FF7" w:rsidP="00282CCB">
      <w:pPr>
        <w:pStyle w:val="3-BodyText"/>
      </w:pPr>
      <w:r w:rsidRPr="0099114C">
        <w:t>The PBAC noted that this submission is not eligible for an Independent Review as it received a positive recommendation.</w:t>
      </w:r>
    </w:p>
    <w:p w14:paraId="1B913CD3" w14:textId="1C89C0D4" w:rsidR="007F3F40" w:rsidRPr="0099114C" w:rsidRDefault="007F3F40" w:rsidP="007F3F40">
      <w:pPr>
        <w:pStyle w:val="3-BodyText"/>
        <w:numPr>
          <w:ilvl w:val="0"/>
          <w:numId w:val="0"/>
        </w:numPr>
        <w:rPr>
          <w:b/>
          <w:bCs/>
        </w:rPr>
      </w:pPr>
      <w:r w:rsidRPr="0099114C">
        <w:rPr>
          <w:b/>
          <w:bCs/>
        </w:rPr>
        <w:t>Outcome:</w:t>
      </w:r>
    </w:p>
    <w:p w14:paraId="00033571" w14:textId="552BF7FB" w:rsidR="00845C54" w:rsidRPr="00980C55" w:rsidRDefault="007F3F40" w:rsidP="00980C55">
      <w:pPr>
        <w:pStyle w:val="3-BodyText"/>
        <w:numPr>
          <w:ilvl w:val="0"/>
          <w:numId w:val="0"/>
        </w:numPr>
        <w:ind w:left="720" w:hanging="720"/>
        <w:rPr>
          <w:b/>
        </w:rPr>
      </w:pPr>
      <w:r w:rsidRPr="0099114C">
        <w:t>Recommended</w:t>
      </w:r>
    </w:p>
    <w:p w14:paraId="46A228B9" w14:textId="77777777" w:rsidR="007F3F40" w:rsidRPr="00282CCB" w:rsidRDefault="007F3F40" w:rsidP="00282CCB">
      <w:pPr>
        <w:pStyle w:val="2-SectionHeading"/>
      </w:pPr>
      <w:r w:rsidRPr="00282CCB">
        <w:t>Recommended listing</w:t>
      </w:r>
    </w:p>
    <w:p w14:paraId="07D07E8F" w14:textId="36E31F56" w:rsidR="00D00F1D" w:rsidRPr="00554E41" w:rsidRDefault="007F3F40" w:rsidP="00282CCB">
      <w:pPr>
        <w:pStyle w:val="3-BodyText"/>
      </w:pPr>
      <w:r w:rsidRPr="00554E41">
        <w:t>Add new item:</w:t>
      </w:r>
      <w:bookmarkStart w:id="101" w:name="_Hlk161823535"/>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2416"/>
        <w:gridCol w:w="1134"/>
        <w:gridCol w:w="993"/>
        <w:gridCol w:w="1134"/>
        <w:gridCol w:w="708"/>
        <w:gridCol w:w="1701"/>
      </w:tblGrid>
      <w:tr w:rsidR="00D00F1D" w:rsidRPr="00980C55" w14:paraId="44F1557C" w14:textId="77777777" w:rsidTr="00980C55">
        <w:trPr>
          <w:cantSplit/>
          <w:trHeight w:val="20"/>
        </w:trPr>
        <w:tc>
          <w:tcPr>
            <w:tcW w:w="3397" w:type="dxa"/>
            <w:gridSpan w:val="2"/>
          </w:tcPr>
          <w:p w14:paraId="6493D5D1" w14:textId="77777777" w:rsidR="00D00F1D" w:rsidRPr="00980C55" w:rsidRDefault="00D00F1D" w:rsidP="00980C55">
            <w:pPr>
              <w:keepNext/>
              <w:ind w:left="-57"/>
              <w:rPr>
                <w:rFonts w:ascii="Arial Narrow" w:eastAsia="Calibri" w:hAnsi="Arial Narrow"/>
                <w:b/>
                <w:bCs/>
                <w:sz w:val="18"/>
                <w:szCs w:val="18"/>
              </w:rPr>
            </w:pPr>
            <w:r w:rsidRPr="00980C55">
              <w:rPr>
                <w:rFonts w:ascii="Arial Narrow" w:eastAsia="Calibri" w:hAnsi="Arial Narrow"/>
                <w:b/>
                <w:bCs/>
                <w:sz w:val="18"/>
                <w:szCs w:val="18"/>
              </w:rPr>
              <w:t>MEDICINAL PRODUCT</w:t>
            </w:r>
          </w:p>
          <w:p w14:paraId="167E90AA" w14:textId="77777777" w:rsidR="00D00F1D" w:rsidRPr="00980C55" w:rsidRDefault="00D00F1D" w:rsidP="00980C55">
            <w:pPr>
              <w:keepNext/>
              <w:ind w:left="-57"/>
              <w:rPr>
                <w:rFonts w:ascii="Arial Narrow" w:eastAsia="Calibri" w:hAnsi="Arial Narrow"/>
                <w:b/>
                <w:sz w:val="18"/>
                <w:szCs w:val="18"/>
              </w:rPr>
            </w:pPr>
            <w:r w:rsidRPr="00980C55">
              <w:rPr>
                <w:rFonts w:ascii="Arial Narrow" w:eastAsia="Calibri" w:hAnsi="Arial Narrow"/>
                <w:b/>
                <w:bCs/>
                <w:sz w:val="18"/>
                <w:szCs w:val="18"/>
              </w:rPr>
              <w:t>medicinal product pack</w:t>
            </w:r>
          </w:p>
        </w:tc>
        <w:tc>
          <w:tcPr>
            <w:tcW w:w="1134" w:type="dxa"/>
          </w:tcPr>
          <w:p w14:paraId="10808627" w14:textId="77777777" w:rsidR="00D00F1D" w:rsidRPr="00980C55" w:rsidRDefault="00D00F1D" w:rsidP="00980C55">
            <w:pPr>
              <w:keepNext/>
              <w:ind w:left="-57"/>
              <w:jc w:val="center"/>
              <w:rPr>
                <w:rFonts w:ascii="Arial Narrow" w:eastAsia="Calibri" w:hAnsi="Arial Narrow"/>
                <w:b/>
                <w:sz w:val="18"/>
                <w:szCs w:val="18"/>
              </w:rPr>
            </w:pPr>
            <w:r w:rsidRPr="00980C55">
              <w:rPr>
                <w:rFonts w:ascii="Arial Narrow" w:eastAsia="Calibri" w:hAnsi="Arial Narrow"/>
                <w:b/>
                <w:sz w:val="18"/>
                <w:szCs w:val="18"/>
              </w:rPr>
              <w:t>PBS item code</w:t>
            </w:r>
          </w:p>
        </w:tc>
        <w:tc>
          <w:tcPr>
            <w:tcW w:w="993" w:type="dxa"/>
          </w:tcPr>
          <w:p w14:paraId="2DA74915" w14:textId="77777777" w:rsidR="00D00F1D" w:rsidRPr="00980C55" w:rsidRDefault="00D00F1D" w:rsidP="00980C55">
            <w:pPr>
              <w:keepNext/>
              <w:ind w:left="-57"/>
              <w:jc w:val="center"/>
              <w:rPr>
                <w:rFonts w:ascii="Arial Narrow" w:eastAsia="Calibri" w:hAnsi="Arial Narrow"/>
                <w:b/>
                <w:sz w:val="18"/>
                <w:szCs w:val="18"/>
              </w:rPr>
            </w:pPr>
            <w:r w:rsidRPr="00980C55">
              <w:rPr>
                <w:rFonts w:ascii="Arial Narrow" w:eastAsia="Calibri" w:hAnsi="Arial Narrow"/>
                <w:b/>
                <w:sz w:val="18"/>
                <w:szCs w:val="18"/>
              </w:rPr>
              <w:t>Max. qty packs</w:t>
            </w:r>
          </w:p>
        </w:tc>
        <w:tc>
          <w:tcPr>
            <w:tcW w:w="1134" w:type="dxa"/>
          </w:tcPr>
          <w:p w14:paraId="05AB65FA" w14:textId="77777777" w:rsidR="00D00F1D" w:rsidRPr="00980C55" w:rsidRDefault="00D00F1D" w:rsidP="00980C55">
            <w:pPr>
              <w:keepNext/>
              <w:ind w:left="-57"/>
              <w:jc w:val="center"/>
              <w:rPr>
                <w:rFonts w:ascii="Arial Narrow" w:eastAsia="Calibri" w:hAnsi="Arial Narrow"/>
                <w:b/>
                <w:sz w:val="18"/>
                <w:szCs w:val="18"/>
              </w:rPr>
            </w:pPr>
            <w:r w:rsidRPr="00980C55">
              <w:rPr>
                <w:rFonts w:ascii="Arial Narrow" w:eastAsia="Calibri" w:hAnsi="Arial Narrow"/>
                <w:b/>
                <w:sz w:val="18"/>
                <w:szCs w:val="18"/>
              </w:rPr>
              <w:t>Max. qty units</w:t>
            </w:r>
          </w:p>
        </w:tc>
        <w:tc>
          <w:tcPr>
            <w:tcW w:w="708" w:type="dxa"/>
          </w:tcPr>
          <w:p w14:paraId="1B73D5E7" w14:textId="77777777" w:rsidR="00D00F1D" w:rsidRPr="00980C55" w:rsidRDefault="00D00F1D" w:rsidP="00980C55">
            <w:pPr>
              <w:keepNext/>
              <w:ind w:left="-57"/>
              <w:jc w:val="center"/>
              <w:rPr>
                <w:rFonts w:ascii="Arial Narrow" w:eastAsia="Calibri" w:hAnsi="Arial Narrow"/>
                <w:b/>
                <w:sz w:val="18"/>
                <w:szCs w:val="18"/>
              </w:rPr>
            </w:pPr>
            <w:r w:rsidRPr="00980C55">
              <w:rPr>
                <w:rFonts w:ascii="Arial Narrow" w:eastAsia="Calibri" w:hAnsi="Arial Narrow"/>
                <w:b/>
                <w:sz w:val="18"/>
                <w:szCs w:val="18"/>
              </w:rPr>
              <w:t>№.of</w:t>
            </w:r>
          </w:p>
          <w:p w14:paraId="45E1CD98" w14:textId="77777777" w:rsidR="00D00F1D" w:rsidRPr="00980C55" w:rsidRDefault="00D00F1D" w:rsidP="00980C55">
            <w:pPr>
              <w:keepNext/>
              <w:ind w:left="-57"/>
              <w:jc w:val="center"/>
              <w:rPr>
                <w:rFonts w:ascii="Arial Narrow" w:eastAsia="Calibri" w:hAnsi="Arial Narrow"/>
                <w:b/>
                <w:sz w:val="18"/>
                <w:szCs w:val="18"/>
              </w:rPr>
            </w:pPr>
            <w:r w:rsidRPr="00980C55">
              <w:rPr>
                <w:rFonts w:ascii="Arial Narrow" w:eastAsia="Calibri" w:hAnsi="Arial Narrow"/>
                <w:b/>
                <w:sz w:val="18"/>
                <w:szCs w:val="18"/>
              </w:rPr>
              <w:t>Rpts</w:t>
            </w:r>
          </w:p>
        </w:tc>
        <w:tc>
          <w:tcPr>
            <w:tcW w:w="1701" w:type="dxa"/>
          </w:tcPr>
          <w:p w14:paraId="02990F6C" w14:textId="77777777" w:rsidR="00D00F1D" w:rsidRPr="00980C55" w:rsidRDefault="00D00F1D" w:rsidP="00980C55">
            <w:pPr>
              <w:keepNext/>
              <w:ind w:left="-57"/>
              <w:rPr>
                <w:rFonts w:ascii="Arial Narrow" w:eastAsia="Calibri" w:hAnsi="Arial Narrow"/>
                <w:b/>
                <w:sz w:val="18"/>
                <w:szCs w:val="18"/>
              </w:rPr>
            </w:pPr>
            <w:r w:rsidRPr="00980C55">
              <w:rPr>
                <w:rFonts w:ascii="Arial Narrow" w:eastAsia="Calibri" w:hAnsi="Arial Narrow"/>
                <w:b/>
                <w:sz w:val="18"/>
                <w:szCs w:val="18"/>
              </w:rPr>
              <w:t>Available brands</w:t>
            </w:r>
          </w:p>
        </w:tc>
      </w:tr>
      <w:tr w:rsidR="00D00F1D" w:rsidRPr="00980C55" w14:paraId="598F101A" w14:textId="77777777" w:rsidTr="00980C55">
        <w:trPr>
          <w:cantSplit/>
          <w:trHeight w:val="20"/>
        </w:trPr>
        <w:tc>
          <w:tcPr>
            <w:tcW w:w="9067" w:type="dxa"/>
            <w:gridSpan w:val="7"/>
          </w:tcPr>
          <w:p w14:paraId="7969592D" w14:textId="4127AEDD" w:rsidR="00D00F1D" w:rsidRPr="00980C55" w:rsidRDefault="00970C3A" w:rsidP="00980C55">
            <w:pPr>
              <w:keepNext/>
              <w:ind w:left="-57"/>
              <w:rPr>
                <w:rFonts w:ascii="Arial Narrow" w:eastAsia="Calibri" w:hAnsi="Arial Narrow"/>
                <w:sz w:val="18"/>
                <w:szCs w:val="18"/>
              </w:rPr>
            </w:pPr>
            <w:r w:rsidRPr="00980C55">
              <w:rPr>
                <w:rFonts w:ascii="Arial Narrow" w:eastAsia="Calibri" w:hAnsi="Arial Narrow"/>
                <w:sz w:val="18"/>
                <w:szCs w:val="18"/>
              </w:rPr>
              <w:t>AVACOPAN</w:t>
            </w:r>
          </w:p>
        </w:tc>
      </w:tr>
      <w:tr w:rsidR="00D00F1D" w:rsidRPr="00980C55" w14:paraId="4986CA78" w14:textId="77777777" w:rsidTr="00980C55">
        <w:trPr>
          <w:cantSplit/>
          <w:trHeight w:val="20"/>
        </w:trPr>
        <w:tc>
          <w:tcPr>
            <w:tcW w:w="3397" w:type="dxa"/>
            <w:gridSpan w:val="2"/>
          </w:tcPr>
          <w:p w14:paraId="60699FEB" w14:textId="77777777" w:rsidR="00D00F1D" w:rsidRPr="00980C55" w:rsidRDefault="00D00F1D" w:rsidP="00980C55">
            <w:pPr>
              <w:keepNext/>
              <w:ind w:left="-57"/>
              <w:rPr>
                <w:rFonts w:ascii="Arial Narrow" w:eastAsia="Calibri" w:hAnsi="Arial Narrow"/>
                <w:sz w:val="18"/>
                <w:szCs w:val="18"/>
              </w:rPr>
            </w:pPr>
            <w:r w:rsidRPr="00980C55">
              <w:rPr>
                <w:rFonts w:ascii="Arial Narrow" w:eastAsia="Calibri" w:hAnsi="Arial Narrow"/>
                <w:sz w:val="18"/>
                <w:szCs w:val="18"/>
              </w:rPr>
              <w:t xml:space="preserve">avacopan 10 mg capsule, 180 </w:t>
            </w:r>
          </w:p>
        </w:tc>
        <w:tc>
          <w:tcPr>
            <w:tcW w:w="1134" w:type="dxa"/>
          </w:tcPr>
          <w:p w14:paraId="4F28D87B" w14:textId="77777777" w:rsidR="00D00F1D" w:rsidRPr="00980C55" w:rsidRDefault="00D00F1D" w:rsidP="00980C55">
            <w:pPr>
              <w:keepNext/>
              <w:ind w:left="-57"/>
              <w:jc w:val="center"/>
              <w:rPr>
                <w:rFonts w:ascii="Arial Narrow" w:eastAsia="Calibri" w:hAnsi="Arial Narrow"/>
                <w:sz w:val="18"/>
                <w:szCs w:val="18"/>
              </w:rPr>
            </w:pPr>
            <w:r w:rsidRPr="00980C55">
              <w:rPr>
                <w:rFonts w:ascii="Arial Narrow" w:eastAsia="Calibri" w:hAnsi="Arial Narrow"/>
                <w:sz w:val="18"/>
                <w:szCs w:val="18"/>
              </w:rPr>
              <w:t>NEW 1</w:t>
            </w:r>
          </w:p>
          <w:p w14:paraId="6D05C5EA" w14:textId="77777777" w:rsidR="00D00F1D" w:rsidRPr="00980C55" w:rsidRDefault="00D00F1D" w:rsidP="00980C55">
            <w:pPr>
              <w:keepNext/>
              <w:ind w:left="-57"/>
              <w:jc w:val="center"/>
              <w:rPr>
                <w:rFonts w:ascii="Arial Narrow" w:eastAsia="Calibri" w:hAnsi="Arial Narrow"/>
                <w:sz w:val="18"/>
                <w:szCs w:val="18"/>
                <w:vertAlign w:val="subscript"/>
              </w:rPr>
            </w:pPr>
            <w:r w:rsidRPr="00980C55">
              <w:rPr>
                <w:rFonts w:ascii="Arial Narrow" w:eastAsia="Calibri" w:hAnsi="Arial Narrow"/>
                <w:sz w:val="18"/>
                <w:szCs w:val="18"/>
                <w:vertAlign w:val="subscript"/>
              </w:rPr>
              <w:t>MP</w:t>
            </w:r>
          </w:p>
        </w:tc>
        <w:tc>
          <w:tcPr>
            <w:tcW w:w="993" w:type="dxa"/>
          </w:tcPr>
          <w:p w14:paraId="11869D0B" w14:textId="77777777" w:rsidR="00D00F1D" w:rsidRPr="00980C55" w:rsidRDefault="00D00F1D" w:rsidP="00980C55">
            <w:pPr>
              <w:keepNext/>
              <w:ind w:left="-57"/>
              <w:jc w:val="center"/>
              <w:rPr>
                <w:rFonts w:ascii="Arial Narrow" w:eastAsia="Calibri" w:hAnsi="Arial Narrow"/>
                <w:sz w:val="18"/>
                <w:szCs w:val="18"/>
              </w:rPr>
            </w:pPr>
            <w:r w:rsidRPr="00980C55">
              <w:rPr>
                <w:rFonts w:ascii="Arial Narrow" w:eastAsia="Calibri" w:hAnsi="Arial Narrow"/>
                <w:sz w:val="18"/>
                <w:szCs w:val="18"/>
              </w:rPr>
              <w:t>1</w:t>
            </w:r>
          </w:p>
        </w:tc>
        <w:tc>
          <w:tcPr>
            <w:tcW w:w="1134" w:type="dxa"/>
          </w:tcPr>
          <w:p w14:paraId="74436C5C" w14:textId="77777777" w:rsidR="00D00F1D" w:rsidRPr="00980C55" w:rsidRDefault="00D00F1D" w:rsidP="00980C55">
            <w:pPr>
              <w:keepNext/>
              <w:ind w:left="-57"/>
              <w:jc w:val="center"/>
              <w:rPr>
                <w:rFonts w:ascii="Arial Narrow" w:eastAsia="Calibri" w:hAnsi="Arial Narrow"/>
                <w:sz w:val="18"/>
                <w:szCs w:val="18"/>
              </w:rPr>
            </w:pPr>
            <w:r w:rsidRPr="00980C55">
              <w:rPr>
                <w:rFonts w:ascii="Arial Narrow" w:eastAsia="Calibri" w:hAnsi="Arial Narrow"/>
                <w:sz w:val="18"/>
                <w:szCs w:val="18"/>
              </w:rPr>
              <w:t>180</w:t>
            </w:r>
          </w:p>
        </w:tc>
        <w:tc>
          <w:tcPr>
            <w:tcW w:w="708" w:type="dxa"/>
          </w:tcPr>
          <w:p w14:paraId="59A0FC8E" w14:textId="77777777" w:rsidR="00D00F1D" w:rsidRPr="00980C55" w:rsidRDefault="00D00F1D" w:rsidP="00980C55">
            <w:pPr>
              <w:keepNext/>
              <w:ind w:left="-57"/>
              <w:jc w:val="center"/>
              <w:rPr>
                <w:rFonts w:ascii="Arial Narrow" w:eastAsia="Calibri" w:hAnsi="Arial Narrow"/>
                <w:sz w:val="18"/>
                <w:szCs w:val="18"/>
              </w:rPr>
            </w:pPr>
            <w:r w:rsidRPr="00980C55">
              <w:rPr>
                <w:rFonts w:ascii="Arial Narrow" w:eastAsia="Calibri" w:hAnsi="Arial Narrow"/>
                <w:sz w:val="18"/>
                <w:szCs w:val="18"/>
              </w:rPr>
              <w:t>5</w:t>
            </w:r>
          </w:p>
        </w:tc>
        <w:tc>
          <w:tcPr>
            <w:tcW w:w="1701" w:type="dxa"/>
          </w:tcPr>
          <w:p w14:paraId="1005CC99" w14:textId="77777777" w:rsidR="00D00F1D" w:rsidRPr="00980C55" w:rsidRDefault="00D00F1D" w:rsidP="00980C55">
            <w:pPr>
              <w:keepNext/>
              <w:ind w:left="-57"/>
              <w:rPr>
                <w:rFonts w:ascii="Arial Narrow" w:eastAsia="Calibri" w:hAnsi="Arial Narrow"/>
                <w:sz w:val="18"/>
                <w:szCs w:val="18"/>
              </w:rPr>
            </w:pPr>
            <w:r w:rsidRPr="00980C55">
              <w:rPr>
                <w:rFonts w:ascii="Arial Narrow" w:eastAsia="Calibri" w:hAnsi="Arial Narrow"/>
                <w:sz w:val="18"/>
                <w:szCs w:val="18"/>
              </w:rPr>
              <w:t>Tavneos</w:t>
            </w:r>
          </w:p>
        </w:tc>
      </w:tr>
      <w:tr w:rsidR="00D00F1D" w:rsidRPr="00980C55" w14:paraId="7EA01B14" w14:textId="77777777" w:rsidTr="00980C55">
        <w:tblPrEx>
          <w:tblCellMar>
            <w:top w:w="15" w:type="dxa"/>
            <w:left w:w="15" w:type="dxa"/>
            <w:bottom w:w="15" w:type="dxa"/>
            <w:right w:w="15" w:type="dxa"/>
          </w:tblCellMar>
          <w:tblLook w:val="04A0" w:firstRow="1" w:lastRow="0" w:firstColumn="1" w:lastColumn="0" w:noHBand="0" w:noVBand="1"/>
        </w:tblPrEx>
        <w:trPr>
          <w:trHeight w:val="20"/>
        </w:trPr>
        <w:tc>
          <w:tcPr>
            <w:tcW w:w="9067" w:type="dxa"/>
            <w:gridSpan w:val="7"/>
            <w:tcBorders>
              <w:top w:val="single" w:sz="4" w:space="0" w:color="auto"/>
              <w:left w:val="single" w:sz="4" w:space="0" w:color="auto"/>
              <w:right w:val="single" w:sz="4" w:space="0" w:color="auto"/>
            </w:tcBorders>
          </w:tcPr>
          <w:p w14:paraId="531242F9" w14:textId="77777777" w:rsidR="00D00F1D" w:rsidRPr="00980C55" w:rsidRDefault="00D00F1D" w:rsidP="00980C55">
            <w:pPr>
              <w:jc w:val="right"/>
              <w:rPr>
                <w:rFonts w:ascii="Arial Narrow" w:eastAsia="Calibri" w:hAnsi="Arial Narrow"/>
                <w:bCs/>
                <w:sz w:val="18"/>
                <w:szCs w:val="18"/>
              </w:rPr>
            </w:pPr>
          </w:p>
        </w:tc>
      </w:tr>
      <w:tr w:rsidR="00D00F1D" w:rsidRPr="00980C55" w14:paraId="113C4812" w14:textId="77777777" w:rsidTr="00980C55">
        <w:tblPrEx>
          <w:tblCellMar>
            <w:top w:w="15" w:type="dxa"/>
            <w:left w:w="15" w:type="dxa"/>
            <w:bottom w:w="15" w:type="dxa"/>
            <w:right w:w="15" w:type="dxa"/>
          </w:tblCellMar>
          <w:tblLook w:val="04A0" w:firstRow="1" w:lastRow="0" w:firstColumn="1" w:lastColumn="0" w:noHBand="0" w:noVBand="1"/>
        </w:tblPrEx>
        <w:trPr>
          <w:trHeight w:val="20"/>
        </w:trPr>
        <w:tc>
          <w:tcPr>
            <w:tcW w:w="9067" w:type="dxa"/>
            <w:gridSpan w:val="7"/>
            <w:tcBorders>
              <w:top w:val="single" w:sz="4" w:space="0" w:color="auto"/>
              <w:left w:val="single" w:sz="4" w:space="0" w:color="auto"/>
              <w:bottom w:val="single" w:sz="4" w:space="0" w:color="auto"/>
              <w:right w:val="single" w:sz="4" w:space="0" w:color="auto"/>
            </w:tcBorders>
          </w:tcPr>
          <w:p w14:paraId="5F3BB930" w14:textId="77777777" w:rsidR="00D00F1D" w:rsidRPr="00980C55" w:rsidRDefault="00D00F1D" w:rsidP="00980C55">
            <w:pPr>
              <w:rPr>
                <w:rFonts w:ascii="Arial Narrow" w:eastAsia="Calibri" w:hAnsi="Arial Narrow"/>
                <w:b/>
                <w:sz w:val="18"/>
                <w:szCs w:val="18"/>
              </w:rPr>
            </w:pPr>
          </w:p>
        </w:tc>
      </w:tr>
      <w:tr w:rsidR="00D00F1D" w:rsidRPr="00980C55" w14:paraId="64178A13" w14:textId="77777777" w:rsidTr="00980C55">
        <w:tblPrEx>
          <w:tblCellMar>
            <w:top w:w="15" w:type="dxa"/>
            <w:left w:w="15" w:type="dxa"/>
            <w:bottom w:w="15" w:type="dxa"/>
            <w:right w:w="15" w:type="dxa"/>
          </w:tblCellMar>
          <w:tblLook w:val="04A0" w:firstRow="1" w:lastRow="0" w:firstColumn="1" w:lastColumn="0" w:noHBand="0" w:noVBand="1"/>
        </w:tblPrEx>
        <w:trPr>
          <w:trHeight w:val="20"/>
        </w:trPr>
        <w:tc>
          <w:tcPr>
            <w:tcW w:w="9067" w:type="dxa"/>
            <w:gridSpan w:val="7"/>
            <w:vAlign w:val="center"/>
          </w:tcPr>
          <w:p w14:paraId="50A5A804" w14:textId="63CB29B9" w:rsidR="00D00F1D" w:rsidRPr="00980C55" w:rsidRDefault="00D00F1D" w:rsidP="00980C55">
            <w:pPr>
              <w:rPr>
                <w:rFonts w:ascii="Arial Narrow" w:hAnsi="Arial Narrow"/>
                <w:b/>
                <w:sz w:val="18"/>
                <w:szCs w:val="18"/>
              </w:rPr>
            </w:pPr>
            <w:r w:rsidRPr="00980C55">
              <w:rPr>
                <w:rFonts w:ascii="Arial Narrow" w:hAnsi="Arial Narrow"/>
                <w:b/>
                <w:sz w:val="18"/>
                <w:szCs w:val="18"/>
              </w:rPr>
              <w:t>Restriction Summary [new 1] / Treatment of Concept: [new 1.1] Authority Required (</w:t>
            </w:r>
            <w:r w:rsidR="003E33E3" w:rsidRPr="00980C55">
              <w:rPr>
                <w:rFonts w:ascii="Arial Narrow" w:hAnsi="Arial Narrow"/>
                <w:b/>
                <w:sz w:val="18"/>
                <w:szCs w:val="18"/>
              </w:rPr>
              <w:t>telephone/online PBS Authorities system</w:t>
            </w:r>
            <w:r w:rsidRPr="00980C55">
              <w:rPr>
                <w:rFonts w:ascii="Arial Narrow" w:hAnsi="Arial Narrow"/>
                <w:b/>
                <w:sz w:val="18"/>
                <w:szCs w:val="18"/>
              </w:rPr>
              <w:t xml:space="preserve">) </w:t>
            </w:r>
          </w:p>
          <w:p w14:paraId="7E2B743F" w14:textId="77777777" w:rsidR="00D00F1D" w:rsidRPr="00980C55" w:rsidRDefault="00D00F1D" w:rsidP="00980C55">
            <w:pPr>
              <w:rPr>
                <w:rFonts w:ascii="Arial Narrow" w:hAnsi="Arial Narrow"/>
                <w:b/>
                <w:bCs/>
                <w:color w:val="333333"/>
                <w:sz w:val="18"/>
                <w:szCs w:val="18"/>
              </w:rPr>
            </w:pPr>
          </w:p>
        </w:tc>
      </w:tr>
      <w:tr w:rsidR="00D00F1D" w:rsidRPr="00980C55" w14:paraId="48400F64" w14:textId="77777777" w:rsidTr="00980C55">
        <w:tblPrEx>
          <w:tblCellMar>
            <w:top w:w="15" w:type="dxa"/>
            <w:left w:w="15" w:type="dxa"/>
            <w:bottom w:w="15" w:type="dxa"/>
            <w:right w:w="15" w:type="dxa"/>
          </w:tblCellMar>
          <w:tblLook w:val="04A0" w:firstRow="1" w:lastRow="0" w:firstColumn="1" w:lastColumn="0" w:noHBand="0" w:noVBand="1"/>
        </w:tblPrEx>
        <w:trPr>
          <w:trHeight w:val="20"/>
        </w:trPr>
        <w:tc>
          <w:tcPr>
            <w:tcW w:w="981" w:type="dxa"/>
            <w:vAlign w:val="center"/>
          </w:tcPr>
          <w:p w14:paraId="7618D809" w14:textId="77777777" w:rsidR="00D00F1D" w:rsidRPr="00980C55" w:rsidRDefault="00D00F1D" w:rsidP="00980C55">
            <w:pPr>
              <w:jc w:val="center"/>
              <w:rPr>
                <w:rFonts w:ascii="Arial Narrow" w:hAnsi="Arial Narrow"/>
                <w:color w:val="333333"/>
                <w:sz w:val="18"/>
                <w:szCs w:val="18"/>
              </w:rPr>
            </w:pPr>
          </w:p>
        </w:tc>
        <w:tc>
          <w:tcPr>
            <w:tcW w:w="8086" w:type="dxa"/>
            <w:gridSpan w:val="6"/>
            <w:vAlign w:val="center"/>
          </w:tcPr>
          <w:p w14:paraId="3224C902" w14:textId="77777777" w:rsidR="00D00F1D" w:rsidRPr="00980C55" w:rsidRDefault="00D00F1D" w:rsidP="00980C55">
            <w:pPr>
              <w:rPr>
                <w:rFonts w:ascii="Arial Narrow" w:hAnsi="Arial Narrow"/>
                <w:b/>
                <w:bCs/>
                <w:color w:val="BFBFBF" w:themeColor="background1" w:themeShade="BF"/>
                <w:sz w:val="18"/>
                <w:szCs w:val="18"/>
              </w:rPr>
            </w:pPr>
            <w:r w:rsidRPr="00980C55">
              <w:rPr>
                <w:rFonts w:ascii="Arial Narrow" w:hAnsi="Arial Narrow"/>
                <w:b/>
                <w:sz w:val="18"/>
                <w:szCs w:val="18"/>
              </w:rPr>
              <w:t xml:space="preserve">Category / Program: </w:t>
            </w:r>
            <w:r w:rsidRPr="00980C55">
              <w:rPr>
                <w:rFonts w:ascii="Arial Narrow" w:hAnsi="Arial Narrow"/>
                <w:sz w:val="18"/>
                <w:szCs w:val="18"/>
              </w:rPr>
              <w:t>GENERAL – General Schedule (Code GE)</w:t>
            </w:r>
          </w:p>
        </w:tc>
      </w:tr>
      <w:tr w:rsidR="00D00F1D" w:rsidRPr="00980C55" w14:paraId="3DE49131" w14:textId="77777777" w:rsidTr="00980C55">
        <w:tblPrEx>
          <w:tblCellMar>
            <w:top w:w="15" w:type="dxa"/>
            <w:left w:w="15" w:type="dxa"/>
            <w:bottom w:w="15" w:type="dxa"/>
            <w:right w:w="15" w:type="dxa"/>
          </w:tblCellMar>
          <w:tblLook w:val="04A0" w:firstRow="1" w:lastRow="0" w:firstColumn="1" w:lastColumn="0" w:noHBand="0" w:noVBand="1"/>
        </w:tblPrEx>
        <w:trPr>
          <w:trHeight w:val="20"/>
        </w:trPr>
        <w:tc>
          <w:tcPr>
            <w:tcW w:w="981" w:type="dxa"/>
            <w:vAlign w:val="center"/>
          </w:tcPr>
          <w:p w14:paraId="5C9B5BF9" w14:textId="77777777" w:rsidR="00D00F1D" w:rsidRPr="00980C55" w:rsidRDefault="00D00F1D" w:rsidP="00980C55">
            <w:pPr>
              <w:jc w:val="center"/>
              <w:rPr>
                <w:rFonts w:ascii="Arial Narrow" w:hAnsi="Arial Narrow"/>
                <w:color w:val="333333"/>
                <w:sz w:val="18"/>
                <w:szCs w:val="18"/>
              </w:rPr>
            </w:pPr>
          </w:p>
        </w:tc>
        <w:tc>
          <w:tcPr>
            <w:tcW w:w="8086" w:type="dxa"/>
            <w:gridSpan w:val="6"/>
            <w:vAlign w:val="center"/>
          </w:tcPr>
          <w:p w14:paraId="4F2447D5" w14:textId="0A00818E" w:rsidR="00D00F1D" w:rsidRPr="00980C55" w:rsidRDefault="00D00F1D" w:rsidP="00980C55">
            <w:pPr>
              <w:rPr>
                <w:rFonts w:ascii="Arial Narrow" w:hAnsi="Arial Narrow"/>
                <w:b/>
                <w:bCs/>
                <w:color w:val="BFBFBF" w:themeColor="background1" w:themeShade="BF"/>
                <w:sz w:val="18"/>
                <w:szCs w:val="18"/>
              </w:rPr>
            </w:pPr>
            <w:r w:rsidRPr="00980C55">
              <w:rPr>
                <w:rFonts w:ascii="Arial Narrow" w:hAnsi="Arial Narrow"/>
                <w:b/>
                <w:sz w:val="18"/>
                <w:szCs w:val="18"/>
              </w:rPr>
              <w:t xml:space="preserve">Prescriber type: </w:t>
            </w:r>
            <w:r w:rsidRPr="00980C55">
              <w:rPr>
                <w:rFonts w:ascii="Arial Narrow" w:hAnsi="Arial Narrow" w:cstheme="minorHAnsi"/>
                <w:b/>
                <w:sz w:val="18"/>
                <w:szCs w:val="18"/>
              </w:rPr>
              <w:t xml:space="preserve">Prescriber type: </w:t>
            </w:r>
            <w:r w:rsidRPr="00980C55">
              <w:rPr>
                <w:rFonts w:ascii="Arial Narrow" w:hAnsi="Arial Narrow" w:cstheme="minorHAnsi"/>
                <w:sz w:val="18"/>
                <w:szCs w:val="18"/>
              </w:rPr>
              <w:fldChar w:fldCharType="begin" w:fldLock="1">
                <w:ffData>
                  <w:name w:val=""/>
                  <w:enabled/>
                  <w:calcOnExit w:val="0"/>
                  <w:checkBox>
                    <w:sizeAuto/>
                    <w:default w:val="1"/>
                  </w:checkBox>
                </w:ffData>
              </w:fldChar>
            </w:r>
            <w:r w:rsidRPr="00980C55">
              <w:rPr>
                <w:rFonts w:ascii="Arial Narrow" w:hAnsi="Arial Narrow" w:cstheme="minorHAnsi"/>
                <w:sz w:val="18"/>
                <w:szCs w:val="18"/>
              </w:rPr>
              <w:instrText xml:space="preserve"> FORMCHECKBOX </w:instrText>
            </w:r>
            <w:r w:rsidR="00000000">
              <w:rPr>
                <w:rFonts w:ascii="Arial Narrow" w:hAnsi="Arial Narrow" w:cstheme="minorHAnsi"/>
                <w:sz w:val="18"/>
                <w:szCs w:val="18"/>
              </w:rPr>
            </w:r>
            <w:r w:rsidR="00000000">
              <w:rPr>
                <w:rFonts w:ascii="Arial Narrow" w:hAnsi="Arial Narrow" w:cstheme="minorHAnsi"/>
                <w:sz w:val="18"/>
                <w:szCs w:val="18"/>
              </w:rPr>
              <w:fldChar w:fldCharType="separate"/>
            </w:r>
            <w:r w:rsidRPr="00980C55">
              <w:rPr>
                <w:rFonts w:ascii="Arial Narrow" w:hAnsi="Arial Narrow" w:cstheme="minorHAnsi"/>
                <w:sz w:val="18"/>
                <w:szCs w:val="18"/>
              </w:rPr>
              <w:fldChar w:fldCharType="end"/>
            </w:r>
            <w:r w:rsidRPr="00980C55">
              <w:rPr>
                <w:rFonts w:ascii="Arial Narrow" w:hAnsi="Arial Narrow" w:cstheme="minorHAnsi"/>
                <w:sz w:val="18"/>
                <w:szCs w:val="18"/>
              </w:rPr>
              <w:t>Medical Practitioners</w:t>
            </w:r>
          </w:p>
        </w:tc>
      </w:tr>
      <w:tr w:rsidR="00D00F1D" w:rsidRPr="00980C55" w14:paraId="4557DF54" w14:textId="77777777" w:rsidTr="00980C55">
        <w:tblPrEx>
          <w:tblCellMar>
            <w:top w:w="15" w:type="dxa"/>
            <w:left w:w="15" w:type="dxa"/>
            <w:bottom w:w="15" w:type="dxa"/>
            <w:right w:w="15" w:type="dxa"/>
          </w:tblCellMar>
          <w:tblLook w:val="04A0" w:firstRow="1" w:lastRow="0" w:firstColumn="1" w:lastColumn="0" w:noHBand="0" w:noVBand="1"/>
        </w:tblPrEx>
        <w:trPr>
          <w:trHeight w:val="20"/>
        </w:trPr>
        <w:tc>
          <w:tcPr>
            <w:tcW w:w="981" w:type="dxa"/>
            <w:vAlign w:val="center"/>
          </w:tcPr>
          <w:p w14:paraId="04A2E457" w14:textId="77777777" w:rsidR="00D00F1D" w:rsidRPr="00980C55" w:rsidRDefault="00D00F1D" w:rsidP="00980C55">
            <w:pPr>
              <w:jc w:val="center"/>
              <w:rPr>
                <w:rFonts w:ascii="Arial Narrow" w:hAnsi="Arial Narrow"/>
                <w:color w:val="333333"/>
                <w:sz w:val="18"/>
                <w:szCs w:val="18"/>
              </w:rPr>
            </w:pPr>
          </w:p>
        </w:tc>
        <w:tc>
          <w:tcPr>
            <w:tcW w:w="8086" w:type="dxa"/>
            <w:gridSpan w:val="6"/>
            <w:vAlign w:val="center"/>
          </w:tcPr>
          <w:p w14:paraId="781E816B" w14:textId="7AB77AFB" w:rsidR="00D00F1D" w:rsidRPr="00980C55" w:rsidRDefault="00D00F1D" w:rsidP="00980C55">
            <w:pPr>
              <w:rPr>
                <w:rFonts w:ascii="Arial Narrow" w:hAnsi="Arial Narrow"/>
                <w:b/>
                <w:bCs/>
                <w:color w:val="BFBFBF" w:themeColor="background1" w:themeShade="BF"/>
                <w:sz w:val="18"/>
                <w:szCs w:val="18"/>
              </w:rPr>
            </w:pPr>
            <w:r w:rsidRPr="00980C55">
              <w:rPr>
                <w:rFonts w:ascii="Arial Narrow" w:hAnsi="Arial Narrow"/>
                <w:b/>
                <w:sz w:val="18"/>
                <w:szCs w:val="18"/>
              </w:rPr>
              <w:t xml:space="preserve">Restriction type: </w:t>
            </w:r>
            <w:r w:rsidRPr="00980C55">
              <w:rPr>
                <w:rFonts w:ascii="Arial Narrow" w:hAnsi="Arial Narrow"/>
                <w:sz w:val="18"/>
                <w:szCs w:val="18"/>
              </w:rPr>
              <w:fldChar w:fldCharType="begin" w:fldLock="1">
                <w:ffData>
                  <w:name w:val=""/>
                  <w:enabled/>
                  <w:calcOnExit w:val="0"/>
                  <w:checkBox>
                    <w:sizeAuto/>
                    <w:default w:val="1"/>
                  </w:checkBox>
                </w:ffData>
              </w:fldChar>
            </w:r>
            <w:r w:rsidRPr="00980C55">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sidRPr="00980C55">
              <w:rPr>
                <w:rFonts w:ascii="Arial Narrow" w:hAnsi="Arial Narrow"/>
                <w:sz w:val="18"/>
                <w:szCs w:val="18"/>
              </w:rPr>
              <w:fldChar w:fldCharType="end"/>
            </w:r>
            <w:r w:rsidRPr="00980C55">
              <w:rPr>
                <w:rFonts w:ascii="Arial Narrow" w:hAnsi="Arial Narrow"/>
                <w:sz w:val="18"/>
                <w:szCs w:val="18"/>
              </w:rPr>
              <w:t xml:space="preserve"> </w:t>
            </w:r>
            <w:r w:rsidR="003E33E3" w:rsidRPr="00980C55">
              <w:rPr>
                <w:rFonts w:ascii="Arial Narrow" w:hAnsi="Arial Narrow" w:cstheme="minorHAnsi"/>
                <w:sz w:val="18"/>
                <w:szCs w:val="18"/>
              </w:rPr>
              <w:t>Authority Required (telephone/online PBS Authorities system)</w:t>
            </w:r>
          </w:p>
        </w:tc>
      </w:tr>
      <w:tr w:rsidR="00D00F1D" w:rsidRPr="00980C55" w14:paraId="009DC002" w14:textId="77777777" w:rsidTr="00980C55">
        <w:tblPrEx>
          <w:tblCellMar>
            <w:top w:w="15" w:type="dxa"/>
            <w:left w:w="15" w:type="dxa"/>
            <w:bottom w:w="15" w:type="dxa"/>
            <w:right w:w="15" w:type="dxa"/>
          </w:tblCellMar>
        </w:tblPrEx>
        <w:trPr>
          <w:trHeight w:val="20"/>
        </w:trPr>
        <w:tc>
          <w:tcPr>
            <w:tcW w:w="981" w:type="dxa"/>
            <w:vAlign w:val="center"/>
          </w:tcPr>
          <w:p w14:paraId="443FF3B5" w14:textId="1CBB06D3" w:rsidR="00D00F1D" w:rsidRPr="00980C55" w:rsidRDefault="00D00F1D" w:rsidP="00980C55">
            <w:pPr>
              <w:jc w:val="center"/>
              <w:rPr>
                <w:rFonts w:ascii="Arial Narrow" w:hAnsi="Arial Narrow"/>
                <w:color w:val="333333"/>
                <w:sz w:val="18"/>
                <w:szCs w:val="18"/>
              </w:rPr>
            </w:pPr>
          </w:p>
        </w:tc>
        <w:tc>
          <w:tcPr>
            <w:tcW w:w="8086" w:type="dxa"/>
            <w:gridSpan w:val="6"/>
            <w:vAlign w:val="center"/>
            <w:hideMark/>
          </w:tcPr>
          <w:p w14:paraId="64753C78" w14:textId="77777777" w:rsidR="00D00F1D" w:rsidRPr="00980C55" w:rsidRDefault="00D00F1D" w:rsidP="00980C55">
            <w:pPr>
              <w:rPr>
                <w:rFonts w:ascii="Arial Narrow" w:hAnsi="Arial Narrow"/>
                <w:color w:val="333333"/>
                <w:sz w:val="18"/>
                <w:szCs w:val="18"/>
              </w:rPr>
            </w:pPr>
            <w:r w:rsidRPr="00980C55">
              <w:rPr>
                <w:rFonts w:ascii="Arial Narrow" w:hAnsi="Arial Narrow"/>
                <w:b/>
                <w:bCs/>
                <w:color w:val="333333"/>
                <w:sz w:val="18"/>
                <w:szCs w:val="18"/>
              </w:rPr>
              <w:t>Indication:</w:t>
            </w:r>
            <w:r w:rsidRPr="00980C55">
              <w:rPr>
                <w:rFonts w:ascii="Arial Narrow" w:hAnsi="Arial Narrow"/>
                <w:color w:val="333333"/>
                <w:sz w:val="18"/>
                <w:szCs w:val="18"/>
              </w:rPr>
              <w:t xml:space="preserve"> Anti-neutrophil cytoplasmic autoantibody (ANCA) associated vasculitis </w:t>
            </w:r>
          </w:p>
        </w:tc>
      </w:tr>
      <w:tr w:rsidR="00D00F1D" w:rsidRPr="00980C55" w14:paraId="037CF8F7" w14:textId="77777777" w:rsidTr="00980C55">
        <w:tblPrEx>
          <w:tblCellMar>
            <w:top w:w="15" w:type="dxa"/>
            <w:left w:w="15" w:type="dxa"/>
            <w:bottom w:w="15" w:type="dxa"/>
            <w:right w:w="15" w:type="dxa"/>
          </w:tblCellMar>
          <w:tblLook w:val="04A0" w:firstRow="1" w:lastRow="0" w:firstColumn="1" w:lastColumn="0" w:noHBand="0" w:noVBand="1"/>
        </w:tblPrEx>
        <w:trPr>
          <w:trHeight w:val="20"/>
        </w:trPr>
        <w:tc>
          <w:tcPr>
            <w:tcW w:w="981" w:type="dxa"/>
            <w:vAlign w:val="center"/>
          </w:tcPr>
          <w:p w14:paraId="3EDBBC3B" w14:textId="77777777" w:rsidR="00D00F1D" w:rsidRPr="00980C55" w:rsidRDefault="00D00F1D" w:rsidP="00980C55">
            <w:pPr>
              <w:jc w:val="center"/>
              <w:rPr>
                <w:rFonts w:ascii="Arial Narrow" w:hAnsi="Arial Narrow"/>
                <w:color w:val="333333"/>
                <w:sz w:val="18"/>
                <w:szCs w:val="18"/>
              </w:rPr>
            </w:pPr>
          </w:p>
        </w:tc>
        <w:tc>
          <w:tcPr>
            <w:tcW w:w="8086" w:type="dxa"/>
            <w:gridSpan w:val="6"/>
            <w:vAlign w:val="center"/>
          </w:tcPr>
          <w:p w14:paraId="0ED1036C" w14:textId="77777777" w:rsidR="00D00F1D" w:rsidRPr="00980C55" w:rsidRDefault="00D00F1D" w:rsidP="00980C55">
            <w:pPr>
              <w:rPr>
                <w:rFonts w:ascii="Arial Narrow" w:hAnsi="Arial Narrow"/>
                <w:b/>
                <w:bCs/>
                <w:color w:val="333333"/>
                <w:sz w:val="18"/>
                <w:szCs w:val="18"/>
              </w:rPr>
            </w:pPr>
          </w:p>
        </w:tc>
      </w:tr>
      <w:tr w:rsidR="00D00F1D" w:rsidRPr="00980C55" w14:paraId="42BB2A34" w14:textId="77777777" w:rsidTr="00980C55">
        <w:tblPrEx>
          <w:tblCellMar>
            <w:top w:w="15" w:type="dxa"/>
            <w:left w:w="15" w:type="dxa"/>
            <w:bottom w:w="15" w:type="dxa"/>
            <w:right w:w="15" w:type="dxa"/>
          </w:tblCellMar>
          <w:tblLook w:val="04A0" w:firstRow="1" w:lastRow="0" w:firstColumn="1" w:lastColumn="0" w:noHBand="0" w:noVBand="1"/>
        </w:tblPrEx>
        <w:trPr>
          <w:trHeight w:val="20"/>
        </w:trPr>
        <w:tc>
          <w:tcPr>
            <w:tcW w:w="981" w:type="dxa"/>
            <w:vAlign w:val="center"/>
          </w:tcPr>
          <w:p w14:paraId="6C67CE14" w14:textId="4E01927D" w:rsidR="00D00F1D" w:rsidRPr="00980C55" w:rsidRDefault="00D00F1D" w:rsidP="00980C55">
            <w:pPr>
              <w:jc w:val="center"/>
              <w:rPr>
                <w:rFonts w:ascii="Arial Narrow" w:hAnsi="Arial Narrow"/>
                <w:color w:val="333333"/>
                <w:sz w:val="18"/>
                <w:szCs w:val="18"/>
              </w:rPr>
            </w:pPr>
          </w:p>
        </w:tc>
        <w:tc>
          <w:tcPr>
            <w:tcW w:w="8086" w:type="dxa"/>
            <w:gridSpan w:val="6"/>
            <w:vAlign w:val="center"/>
          </w:tcPr>
          <w:p w14:paraId="6559D7DD" w14:textId="3A08C647" w:rsidR="00D00F1D" w:rsidRPr="00980C55" w:rsidRDefault="00D00F1D" w:rsidP="00980C55">
            <w:pPr>
              <w:rPr>
                <w:rFonts w:ascii="Arial Narrow" w:hAnsi="Arial Narrow"/>
                <w:b/>
                <w:bCs/>
                <w:color w:val="333333"/>
                <w:sz w:val="18"/>
                <w:szCs w:val="18"/>
              </w:rPr>
            </w:pPr>
            <w:r w:rsidRPr="00980C55">
              <w:rPr>
                <w:rFonts w:ascii="Arial Narrow" w:hAnsi="Arial Narrow"/>
                <w:b/>
                <w:bCs/>
                <w:color w:val="333333"/>
                <w:sz w:val="18"/>
                <w:szCs w:val="18"/>
              </w:rPr>
              <w:t xml:space="preserve">Treatment phase: </w:t>
            </w:r>
            <w:r w:rsidRPr="00980C55">
              <w:rPr>
                <w:rFonts w:ascii="Arial Narrow" w:hAnsi="Arial Narrow" w:cstheme="minorHAnsi"/>
                <w:bCs/>
                <w:sz w:val="18"/>
                <w:szCs w:val="18"/>
              </w:rPr>
              <w:t>Induction</w:t>
            </w:r>
            <w:r w:rsidR="00243DAA" w:rsidRPr="00980C55">
              <w:rPr>
                <w:rFonts w:ascii="Arial Narrow" w:hAnsi="Arial Narrow" w:cstheme="minorHAnsi"/>
                <w:bCs/>
                <w:sz w:val="18"/>
                <w:szCs w:val="18"/>
              </w:rPr>
              <w:t xml:space="preserve"> treatment </w:t>
            </w:r>
          </w:p>
        </w:tc>
      </w:tr>
      <w:tr w:rsidR="00D00F1D" w:rsidRPr="00980C55" w14:paraId="05F619AE" w14:textId="77777777" w:rsidTr="00980C55">
        <w:tblPrEx>
          <w:tblCellMar>
            <w:top w:w="15" w:type="dxa"/>
            <w:left w:w="15" w:type="dxa"/>
            <w:bottom w:w="15" w:type="dxa"/>
            <w:right w:w="15" w:type="dxa"/>
          </w:tblCellMar>
          <w:tblLook w:val="04A0" w:firstRow="1" w:lastRow="0" w:firstColumn="1" w:lastColumn="0" w:noHBand="0" w:noVBand="1"/>
        </w:tblPrEx>
        <w:trPr>
          <w:trHeight w:val="20"/>
        </w:trPr>
        <w:tc>
          <w:tcPr>
            <w:tcW w:w="981" w:type="dxa"/>
            <w:vAlign w:val="center"/>
          </w:tcPr>
          <w:p w14:paraId="214EDC77" w14:textId="77777777" w:rsidR="00D00F1D" w:rsidRPr="00980C55" w:rsidRDefault="00D00F1D" w:rsidP="00980C55">
            <w:pPr>
              <w:jc w:val="center"/>
              <w:rPr>
                <w:rFonts w:ascii="Arial Narrow" w:hAnsi="Arial Narrow"/>
                <w:color w:val="333333"/>
                <w:sz w:val="18"/>
                <w:szCs w:val="18"/>
              </w:rPr>
            </w:pPr>
          </w:p>
        </w:tc>
        <w:tc>
          <w:tcPr>
            <w:tcW w:w="8086" w:type="dxa"/>
            <w:gridSpan w:val="6"/>
            <w:vAlign w:val="center"/>
          </w:tcPr>
          <w:p w14:paraId="696C9752" w14:textId="77777777" w:rsidR="00D00F1D" w:rsidRPr="00980C55" w:rsidRDefault="00D00F1D" w:rsidP="00980C55">
            <w:pPr>
              <w:rPr>
                <w:rFonts w:ascii="Arial Narrow" w:hAnsi="Arial Narrow"/>
                <w:b/>
                <w:bCs/>
                <w:color w:val="333333"/>
                <w:sz w:val="18"/>
                <w:szCs w:val="18"/>
              </w:rPr>
            </w:pPr>
          </w:p>
        </w:tc>
      </w:tr>
      <w:tr w:rsidR="00D00F1D" w:rsidRPr="00980C55" w14:paraId="343915F2" w14:textId="77777777" w:rsidTr="00980C55">
        <w:tblPrEx>
          <w:tblCellMar>
            <w:top w:w="15" w:type="dxa"/>
            <w:left w:w="15" w:type="dxa"/>
            <w:bottom w:w="15" w:type="dxa"/>
            <w:right w:w="15" w:type="dxa"/>
          </w:tblCellMar>
        </w:tblPrEx>
        <w:trPr>
          <w:trHeight w:val="20"/>
        </w:trPr>
        <w:tc>
          <w:tcPr>
            <w:tcW w:w="981" w:type="dxa"/>
            <w:vAlign w:val="center"/>
          </w:tcPr>
          <w:p w14:paraId="4D43E979" w14:textId="2D5D9AFB" w:rsidR="00D00F1D" w:rsidRPr="00980C55" w:rsidRDefault="00D00F1D" w:rsidP="00980C55">
            <w:pPr>
              <w:jc w:val="center"/>
              <w:rPr>
                <w:rFonts w:ascii="Arial Narrow" w:hAnsi="Arial Narrow"/>
                <w:color w:val="333333"/>
                <w:sz w:val="18"/>
                <w:szCs w:val="18"/>
              </w:rPr>
            </w:pPr>
          </w:p>
        </w:tc>
        <w:tc>
          <w:tcPr>
            <w:tcW w:w="8086" w:type="dxa"/>
            <w:gridSpan w:val="6"/>
            <w:vAlign w:val="center"/>
            <w:hideMark/>
          </w:tcPr>
          <w:p w14:paraId="4160A8D0" w14:textId="77777777" w:rsidR="00D00F1D" w:rsidRPr="00980C55" w:rsidRDefault="00D00F1D" w:rsidP="00980C55">
            <w:pPr>
              <w:rPr>
                <w:rFonts w:ascii="Arial Narrow" w:hAnsi="Arial Narrow"/>
                <w:color w:val="333333"/>
                <w:sz w:val="18"/>
                <w:szCs w:val="18"/>
              </w:rPr>
            </w:pPr>
            <w:r w:rsidRPr="00980C55">
              <w:rPr>
                <w:rFonts w:ascii="Arial Narrow" w:hAnsi="Arial Narrow"/>
                <w:b/>
                <w:bCs/>
                <w:color w:val="333333"/>
                <w:sz w:val="18"/>
                <w:szCs w:val="18"/>
              </w:rPr>
              <w:t>Clinical criteria:</w:t>
            </w:r>
          </w:p>
        </w:tc>
      </w:tr>
      <w:tr w:rsidR="00D00F1D" w:rsidRPr="00980C55" w14:paraId="45A3ADBA" w14:textId="77777777" w:rsidTr="00980C55">
        <w:tblPrEx>
          <w:tblCellMar>
            <w:top w:w="15" w:type="dxa"/>
            <w:left w:w="15" w:type="dxa"/>
            <w:bottom w:w="15" w:type="dxa"/>
            <w:right w:w="15" w:type="dxa"/>
          </w:tblCellMar>
        </w:tblPrEx>
        <w:trPr>
          <w:trHeight w:val="20"/>
        </w:trPr>
        <w:tc>
          <w:tcPr>
            <w:tcW w:w="981" w:type="dxa"/>
            <w:vAlign w:val="center"/>
          </w:tcPr>
          <w:p w14:paraId="0D0BAB5A" w14:textId="7B0F534A" w:rsidR="00D00F1D" w:rsidRPr="00980C55" w:rsidRDefault="00D00F1D" w:rsidP="00980C55">
            <w:pPr>
              <w:jc w:val="center"/>
              <w:rPr>
                <w:rFonts w:ascii="Arial Narrow" w:hAnsi="Arial Narrow"/>
                <w:color w:val="333333"/>
                <w:sz w:val="18"/>
                <w:szCs w:val="18"/>
              </w:rPr>
            </w:pPr>
          </w:p>
        </w:tc>
        <w:tc>
          <w:tcPr>
            <w:tcW w:w="8086" w:type="dxa"/>
            <w:gridSpan w:val="6"/>
            <w:vAlign w:val="center"/>
            <w:hideMark/>
          </w:tcPr>
          <w:p w14:paraId="13B94549" w14:textId="77777777" w:rsidR="00D00F1D" w:rsidRPr="00980C55" w:rsidRDefault="00D00F1D" w:rsidP="00980C55">
            <w:pPr>
              <w:rPr>
                <w:rFonts w:ascii="Arial Narrow" w:hAnsi="Arial Narrow"/>
                <w:color w:val="333333"/>
                <w:sz w:val="18"/>
                <w:szCs w:val="18"/>
              </w:rPr>
            </w:pPr>
            <w:r w:rsidRPr="00980C55">
              <w:rPr>
                <w:rFonts w:ascii="Arial Narrow" w:hAnsi="Arial Narrow" w:cs="Arial Narrow"/>
                <w:sz w:val="18"/>
                <w:szCs w:val="18"/>
              </w:rPr>
              <w:t>The condition must be severe granulomatosis with polyangiitis; or</w:t>
            </w:r>
          </w:p>
        </w:tc>
      </w:tr>
      <w:tr w:rsidR="00D00F1D" w:rsidRPr="00980C55" w14:paraId="7A0998E9" w14:textId="77777777" w:rsidTr="00980C55">
        <w:tblPrEx>
          <w:tblCellMar>
            <w:top w:w="15" w:type="dxa"/>
            <w:left w:w="15" w:type="dxa"/>
            <w:bottom w:w="15" w:type="dxa"/>
            <w:right w:w="15" w:type="dxa"/>
          </w:tblCellMar>
          <w:tblLook w:val="04A0" w:firstRow="1" w:lastRow="0" w:firstColumn="1" w:lastColumn="0" w:noHBand="0" w:noVBand="1"/>
        </w:tblPrEx>
        <w:trPr>
          <w:trHeight w:val="20"/>
        </w:trPr>
        <w:tc>
          <w:tcPr>
            <w:tcW w:w="981" w:type="dxa"/>
            <w:vAlign w:val="center"/>
          </w:tcPr>
          <w:p w14:paraId="334C98DB" w14:textId="15FB425C" w:rsidR="00D00F1D" w:rsidRPr="00980C55" w:rsidRDefault="00D00F1D" w:rsidP="00980C55">
            <w:pPr>
              <w:jc w:val="center"/>
              <w:rPr>
                <w:rFonts w:ascii="Arial Narrow" w:hAnsi="Arial Narrow"/>
                <w:color w:val="333333"/>
                <w:sz w:val="18"/>
                <w:szCs w:val="18"/>
              </w:rPr>
            </w:pPr>
          </w:p>
        </w:tc>
        <w:tc>
          <w:tcPr>
            <w:tcW w:w="8086" w:type="dxa"/>
            <w:gridSpan w:val="6"/>
            <w:vAlign w:val="center"/>
          </w:tcPr>
          <w:p w14:paraId="1C90CCB2" w14:textId="77777777" w:rsidR="00D00F1D" w:rsidRPr="00980C55" w:rsidRDefault="00D00F1D" w:rsidP="00980C55">
            <w:pPr>
              <w:rPr>
                <w:rFonts w:ascii="Arial Narrow" w:hAnsi="Arial Narrow" w:cs="Arial Narrow"/>
                <w:sz w:val="18"/>
                <w:szCs w:val="18"/>
              </w:rPr>
            </w:pPr>
            <w:r w:rsidRPr="00980C55">
              <w:rPr>
                <w:rFonts w:ascii="Arial Narrow" w:hAnsi="Arial Narrow" w:cs="Arial Narrow"/>
                <w:sz w:val="18"/>
                <w:szCs w:val="18"/>
              </w:rPr>
              <w:t xml:space="preserve">The condition must be severe microscopic polyangiitis </w:t>
            </w:r>
          </w:p>
        </w:tc>
      </w:tr>
      <w:tr w:rsidR="00D00F1D" w:rsidRPr="00980C55" w14:paraId="1582D5E9" w14:textId="77777777" w:rsidTr="00980C55">
        <w:tblPrEx>
          <w:tblCellMar>
            <w:top w:w="15" w:type="dxa"/>
            <w:left w:w="15" w:type="dxa"/>
            <w:bottom w:w="15" w:type="dxa"/>
            <w:right w:w="15" w:type="dxa"/>
          </w:tblCellMar>
          <w:tblLook w:val="04A0" w:firstRow="1" w:lastRow="0" w:firstColumn="1" w:lastColumn="0" w:noHBand="0" w:noVBand="1"/>
        </w:tblPrEx>
        <w:trPr>
          <w:trHeight w:val="20"/>
        </w:trPr>
        <w:tc>
          <w:tcPr>
            <w:tcW w:w="981" w:type="dxa"/>
            <w:vAlign w:val="center"/>
          </w:tcPr>
          <w:p w14:paraId="5D3C1116" w14:textId="77777777" w:rsidR="00D00F1D" w:rsidRPr="00980C55" w:rsidRDefault="00D00F1D" w:rsidP="00980C55">
            <w:pPr>
              <w:jc w:val="center"/>
              <w:rPr>
                <w:rFonts w:ascii="Arial Narrow" w:hAnsi="Arial Narrow"/>
                <w:color w:val="333333"/>
                <w:sz w:val="18"/>
                <w:szCs w:val="18"/>
              </w:rPr>
            </w:pPr>
          </w:p>
        </w:tc>
        <w:tc>
          <w:tcPr>
            <w:tcW w:w="8086" w:type="dxa"/>
            <w:gridSpan w:val="6"/>
            <w:vAlign w:val="center"/>
          </w:tcPr>
          <w:p w14:paraId="64686F4D" w14:textId="77777777" w:rsidR="00D00F1D" w:rsidRPr="00980C55" w:rsidRDefault="00D00F1D" w:rsidP="00980C55">
            <w:pPr>
              <w:rPr>
                <w:rFonts w:ascii="Arial Narrow" w:hAnsi="Arial Narrow" w:cs="Arial Narrow"/>
                <w:b/>
                <w:bCs/>
                <w:sz w:val="18"/>
                <w:szCs w:val="18"/>
              </w:rPr>
            </w:pPr>
            <w:r w:rsidRPr="00980C55">
              <w:rPr>
                <w:rFonts w:ascii="Arial Narrow" w:hAnsi="Arial Narrow" w:cs="Arial Narrow"/>
                <w:b/>
                <w:bCs/>
                <w:sz w:val="18"/>
                <w:szCs w:val="18"/>
              </w:rPr>
              <w:t>AND</w:t>
            </w:r>
          </w:p>
        </w:tc>
      </w:tr>
      <w:tr w:rsidR="00D00F1D" w:rsidRPr="00980C55" w14:paraId="26B351D0" w14:textId="77777777" w:rsidTr="00980C55">
        <w:tblPrEx>
          <w:tblCellMar>
            <w:top w:w="15" w:type="dxa"/>
            <w:left w:w="15" w:type="dxa"/>
            <w:bottom w:w="15" w:type="dxa"/>
            <w:right w:w="15" w:type="dxa"/>
          </w:tblCellMar>
          <w:tblLook w:val="04A0" w:firstRow="1" w:lastRow="0" w:firstColumn="1" w:lastColumn="0" w:noHBand="0" w:noVBand="1"/>
        </w:tblPrEx>
        <w:trPr>
          <w:trHeight w:val="20"/>
        </w:trPr>
        <w:tc>
          <w:tcPr>
            <w:tcW w:w="981" w:type="dxa"/>
            <w:vAlign w:val="center"/>
          </w:tcPr>
          <w:p w14:paraId="57550590" w14:textId="632D7C4A" w:rsidR="00D00F1D" w:rsidRPr="00980C55" w:rsidRDefault="00D00F1D" w:rsidP="00980C55">
            <w:pPr>
              <w:jc w:val="center"/>
              <w:rPr>
                <w:rFonts w:ascii="Arial Narrow" w:hAnsi="Arial Narrow"/>
                <w:color w:val="333333"/>
                <w:sz w:val="18"/>
                <w:szCs w:val="18"/>
              </w:rPr>
            </w:pPr>
          </w:p>
        </w:tc>
        <w:tc>
          <w:tcPr>
            <w:tcW w:w="8086" w:type="dxa"/>
            <w:gridSpan w:val="6"/>
            <w:vAlign w:val="center"/>
          </w:tcPr>
          <w:p w14:paraId="73C34ECF" w14:textId="77777777" w:rsidR="00D00F1D" w:rsidRPr="00980C55" w:rsidRDefault="00D00F1D" w:rsidP="00980C55">
            <w:pPr>
              <w:rPr>
                <w:rFonts w:ascii="Arial Narrow" w:hAnsi="Arial Narrow" w:cs="Arial Narrow"/>
                <w:sz w:val="18"/>
                <w:szCs w:val="18"/>
              </w:rPr>
            </w:pPr>
            <w:r w:rsidRPr="00980C55">
              <w:rPr>
                <w:rFonts w:ascii="Arial Narrow" w:hAnsi="Arial Narrow"/>
                <w:b/>
                <w:bCs/>
                <w:color w:val="333333"/>
                <w:sz w:val="18"/>
                <w:szCs w:val="18"/>
              </w:rPr>
              <w:t>Clinical criteria:</w:t>
            </w:r>
          </w:p>
        </w:tc>
      </w:tr>
      <w:tr w:rsidR="00D00F1D" w:rsidRPr="00980C55" w14:paraId="2919CC8D" w14:textId="77777777" w:rsidTr="00980C55">
        <w:tblPrEx>
          <w:tblCellMar>
            <w:top w:w="15" w:type="dxa"/>
            <w:left w:w="15" w:type="dxa"/>
            <w:bottom w:w="15" w:type="dxa"/>
            <w:right w:w="15" w:type="dxa"/>
          </w:tblCellMar>
          <w:tblLook w:val="04A0" w:firstRow="1" w:lastRow="0" w:firstColumn="1" w:lastColumn="0" w:noHBand="0" w:noVBand="1"/>
        </w:tblPrEx>
        <w:trPr>
          <w:trHeight w:val="20"/>
        </w:trPr>
        <w:tc>
          <w:tcPr>
            <w:tcW w:w="981" w:type="dxa"/>
            <w:vAlign w:val="center"/>
          </w:tcPr>
          <w:p w14:paraId="485660B8" w14:textId="63061DEA" w:rsidR="00D00F1D" w:rsidRPr="00980C55" w:rsidRDefault="00D00F1D" w:rsidP="00980C55">
            <w:pPr>
              <w:jc w:val="center"/>
              <w:rPr>
                <w:rFonts w:ascii="Arial Narrow" w:hAnsi="Arial Narrow"/>
                <w:color w:val="333333"/>
                <w:sz w:val="18"/>
                <w:szCs w:val="18"/>
              </w:rPr>
            </w:pPr>
          </w:p>
        </w:tc>
        <w:tc>
          <w:tcPr>
            <w:tcW w:w="8086" w:type="dxa"/>
            <w:gridSpan w:val="6"/>
            <w:vAlign w:val="center"/>
          </w:tcPr>
          <w:p w14:paraId="34C9499D" w14:textId="77FA69AF" w:rsidR="00D00F1D" w:rsidRPr="00980C55" w:rsidRDefault="000D15F9" w:rsidP="00980C55">
            <w:pPr>
              <w:rPr>
                <w:rFonts w:ascii="Arial Narrow" w:hAnsi="Arial Narrow" w:cs="Arial Narrow"/>
                <w:sz w:val="18"/>
                <w:szCs w:val="18"/>
              </w:rPr>
            </w:pPr>
            <w:r w:rsidRPr="00980C55">
              <w:rPr>
                <w:rFonts w:ascii="Arial Narrow" w:hAnsi="Arial Narrow" w:cs="Arial Narrow"/>
                <w:sz w:val="18"/>
                <w:szCs w:val="18"/>
              </w:rPr>
              <w:t>The condition must be active at the time of the first prescription for this drug per treatment cycle.</w:t>
            </w:r>
          </w:p>
        </w:tc>
      </w:tr>
      <w:tr w:rsidR="00D00F1D" w:rsidRPr="00980C55" w14:paraId="7C23D470" w14:textId="77777777" w:rsidTr="00980C55">
        <w:tblPrEx>
          <w:tblCellMar>
            <w:top w:w="15" w:type="dxa"/>
            <w:left w:w="15" w:type="dxa"/>
            <w:bottom w:w="15" w:type="dxa"/>
            <w:right w:w="15" w:type="dxa"/>
          </w:tblCellMar>
          <w:tblLook w:val="04A0" w:firstRow="1" w:lastRow="0" w:firstColumn="1" w:lastColumn="0" w:noHBand="0" w:noVBand="1"/>
        </w:tblPrEx>
        <w:trPr>
          <w:trHeight w:val="20"/>
        </w:trPr>
        <w:tc>
          <w:tcPr>
            <w:tcW w:w="981" w:type="dxa"/>
            <w:vAlign w:val="center"/>
          </w:tcPr>
          <w:p w14:paraId="5DC8FFC2" w14:textId="77777777" w:rsidR="00D00F1D" w:rsidRPr="00980C55" w:rsidRDefault="00D00F1D" w:rsidP="00980C55">
            <w:pPr>
              <w:jc w:val="center"/>
              <w:rPr>
                <w:rFonts w:ascii="Arial Narrow" w:hAnsi="Arial Narrow"/>
                <w:color w:val="333333"/>
                <w:sz w:val="18"/>
                <w:szCs w:val="18"/>
              </w:rPr>
            </w:pPr>
          </w:p>
        </w:tc>
        <w:tc>
          <w:tcPr>
            <w:tcW w:w="8086" w:type="dxa"/>
            <w:gridSpan w:val="6"/>
            <w:vAlign w:val="center"/>
          </w:tcPr>
          <w:p w14:paraId="03089AB5" w14:textId="77777777" w:rsidR="00D00F1D" w:rsidRPr="00980C55" w:rsidRDefault="00D00F1D" w:rsidP="00980C55">
            <w:pPr>
              <w:rPr>
                <w:rFonts w:ascii="Arial Narrow" w:hAnsi="Arial Narrow"/>
                <w:i/>
                <w:iCs/>
                <w:color w:val="333333"/>
                <w:sz w:val="18"/>
                <w:szCs w:val="18"/>
              </w:rPr>
            </w:pPr>
          </w:p>
        </w:tc>
      </w:tr>
      <w:tr w:rsidR="00D00F1D" w:rsidRPr="00980C55" w14:paraId="298D3F36" w14:textId="77777777" w:rsidTr="00980C55">
        <w:tblPrEx>
          <w:tblCellMar>
            <w:top w:w="15" w:type="dxa"/>
            <w:left w:w="15" w:type="dxa"/>
            <w:bottom w:w="15" w:type="dxa"/>
            <w:right w:w="15" w:type="dxa"/>
          </w:tblCellMar>
          <w:tblLook w:val="04A0" w:firstRow="1" w:lastRow="0" w:firstColumn="1" w:lastColumn="0" w:noHBand="0" w:noVBand="1"/>
        </w:tblPrEx>
        <w:trPr>
          <w:trHeight w:val="20"/>
        </w:trPr>
        <w:tc>
          <w:tcPr>
            <w:tcW w:w="981" w:type="dxa"/>
            <w:vAlign w:val="center"/>
          </w:tcPr>
          <w:p w14:paraId="0599BFDC" w14:textId="20457D0B" w:rsidR="00D00F1D" w:rsidRPr="00980C55" w:rsidRDefault="00D00F1D" w:rsidP="00980C55">
            <w:pPr>
              <w:jc w:val="center"/>
              <w:rPr>
                <w:rFonts w:ascii="Arial Narrow" w:hAnsi="Arial Narrow"/>
                <w:color w:val="333333"/>
                <w:sz w:val="18"/>
                <w:szCs w:val="18"/>
              </w:rPr>
            </w:pPr>
          </w:p>
        </w:tc>
        <w:tc>
          <w:tcPr>
            <w:tcW w:w="8086" w:type="dxa"/>
            <w:gridSpan w:val="6"/>
            <w:vAlign w:val="center"/>
          </w:tcPr>
          <w:p w14:paraId="76620601" w14:textId="77777777" w:rsidR="00D00F1D" w:rsidRPr="00980C55" w:rsidRDefault="00D00F1D" w:rsidP="00980C55">
            <w:pPr>
              <w:rPr>
                <w:rFonts w:ascii="Arial Narrow" w:hAnsi="Arial Narrow"/>
                <w:color w:val="333333"/>
                <w:sz w:val="18"/>
                <w:szCs w:val="18"/>
              </w:rPr>
            </w:pPr>
            <w:r w:rsidRPr="00980C55">
              <w:rPr>
                <w:rFonts w:ascii="Arial Narrow" w:hAnsi="Arial Narrow"/>
                <w:b/>
                <w:bCs/>
                <w:color w:val="333333"/>
                <w:sz w:val="18"/>
                <w:szCs w:val="18"/>
              </w:rPr>
              <w:t>Treatment criteria:</w:t>
            </w:r>
          </w:p>
        </w:tc>
      </w:tr>
      <w:tr w:rsidR="0020206D" w:rsidRPr="00980C55" w14:paraId="430E74A2" w14:textId="77777777" w:rsidTr="00980C55">
        <w:tblPrEx>
          <w:tblCellMar>
            <w:top w:w="15" w:type="dxa"/>
            <w:left w:w="15" w:type="dxa"/>
            <w:bottom w:w="15" w:type="dxa"/>
            <w:right w:w="15" w:type="dxa"/>
          </w:tblCellMar>
          <w:tblLook w:val="04A0" w:firstRow="1" w:lastRow="0" w:firstColumn="1" w:lastColumn="0" w:noHBand="0" w:noVBand="1"/>
        </w:tblPrEx>
        <w:trPr>
          <w:trHeight w:val="20"/>
        </w:trPr>
        <w:tc>
          <w:tcPr>
            <w:tcW w:w="981" w:type="dxa"/>
            <w:vAlign w:val="center"/>
          </w:tcPr>
          <w:p w14:paraId="739C6072" w14:textId="24DAC146" w:rsidR="0020206D" w:rsidRPr="00980C55" w:rsidRDefault="0020206D" w:rsidP="00980C55">
            <w:pPr>
              <w:jc w:val="center"/>
              <w:rPr>
                <w:rFonts w:ascii="Arial Narrow" w:hAnsi="Arial Narrow"/>
                <w:color w:val="333333"/>
                <w:sz w:val="18"/>
                <w:szCs w:val="18"/>
              </w:rPr>
            </w:pPr>
          </w:p>
        </w:tc>
        <w:tc>
          <w:tcPr>
            <w:tcW w:w="8086" w:type="dxa"/>
            <w:gridSpan w:val="6"/>
            <w:vAlign w:val="center"/>
          </w:tcPr>
          <w:p w14:paraId="512CE9B4" w14:textId="5ACBCADF" w:rsidR="0020206D" w:rsidRPr="00980C55" w:rsidRDefault="0020206D" w:rsidP="00980C55">
            <w:pPr>
              <w:rPr>
                <w:rFonts w:ascii="Arial Narrow" w:hAnsi="Arial Narrow" w:cs="Arial Narrow"/>
                <w:sz w:val="18"/>
                <w:szCs w:val="18"/>
              </w:rPr>
            </w:pPr>
            <w:r w:rsidRPr="00980C55">
              <w:rPr>
                <w:rFonts w:ascii="Arial Narrow" w:hAnsi="Arial Narrow" w:cs="Arial Narrow"/>
                <w:sz w:val="18"/>
                <w:szCs w:val="18"/>
              </w:rPr>
              <w:t>Patient must</w:t>
            </w:r>
            <w:r w:rsidR="00A3022D" w:rsidRPr="00980C55">
              <w:rPr>
                <w:rFonts w:ascii="Arial Narrow" w:hAnsi="Arial Narrow" w:cs="Arial Narrow"/>
                <w:sz w:val="18"/>
                <w:szCs w:val="18"/>
              </w:rPr>
              <w:t xml:space="preserve"> </w:t>
            </w:r>
            <w:r w:rsidR="00FB6E5A" w:rsidRPr="00980C55">
              <w:rPr>
                <w:rFonts w:ascii="Arial Narrow" w:hAnsi="Arial Narrow" w:cs="Arial Narrow"/>
                <w:sz w:val="18"/>
                <w:szCs w:val="18"/>
              </w:rPr>
              <w:t xml:space="preserve">have </w:t>
            </w:r>
            <w:r w:rsidR="00BA784D" w:rsidRPr="00980C55">
              <w:rPr>
                <w:rFonts w:ascii="Arial Narrow" w:hAnsi="Arial Narrow" w:cs="Arial Narrow"/>
                <w:sz w:val="18"/>
                <w:szCs w:val="18"/>
              </w:rPr>
              <w:t xml:space="preserve">ANCA associated vasculitis that is either (i) </w:t>
            </w:r>
            <w:r w:rsidR="00FB6E5A" w:rsidRPr="00980C55">
              <w:rPr>
                <w:rFonts w:ascii="Arial Narrow" w:hAnsi="Arial Narrow" w:cs="Arial Narrow"/>
                <w:sz w:val="18"/>
                <w:szCs w:val="18"/>
              </w:rPr>
              <w:t>organ-threatening</w:t>
            </w:r>
            <w:r w:rsidR="00BA784D" w:rsidRPr="00980C55">
              <w:rPr>
                <w:rFonts w:ascii="Arial Narrow" w:hAnsi="Arial Narrow" w:cs="Arial Narrow"/>
                <w:sz w:val="18"/>
                <w:szCs w:val="18"/>
              </w:rPr>
              <w:t>, (ii)</w:t>
            </w:r>
            <w:r w:rsidR="00FB6E5A" w:rsidRPr="00980C55">
              <w:rPr>
                <w:rFonts w:ascii="Arial Narrow" w:hAnsi="Arial Narrow" w:cs="Arial Narrow"/>
                <w:sz w:val="18"/>
                <w:szCs w:val="18"/>
              </w:rPr>
              <w:t xml:space="preserve"> life-threatening disease. </w:t>
            </w:r>
          </w:p>
        </w:tc>
      </w:tr>
      <w:tr w:rsidR="00D00F1D" w:rsidRPr="00980C55" w14:paraId="401BB46D" w14:textId="77777777" w:rsidTr="00980C55">
        <w:tblPrEx>
          <w:tblCellMar>
            <w:top w:w="15" w:type="dxa"/>
            <w:left w:w="15" w:type="dxa"/>
            <w:bottom w:w="15" w:type="dxa"/>
            <w:right w:w="15" w:type="dxa"/>
          </w:tblCellMar>
          <w:tblLook w:val="04A0" w:firstRow="1" w:lastRow="0" w:firstColumn="1" w:lastColumn="0" w:noHBand="0" w:noVBand="1"/>
        </w:tblPrEx>
        <w:trPr>
          <w:trHeight w:val="20"/>
        </w:trPr>
        <w:tc>
          <w:tcPr>
            <w:tcW w:w="981" w:type="dxa"/>
            <w:vAlign w:val="center"/>
          </w:tcPr>
          <w:p w14:paraId="2ABED55B" w14:textId="580AF4A0" w:rsidR="00D00F1D" w:rsidRPr="00980C55" w:rsidRDefault="00D00F1D" w:rsidP="00980C55">
            <w:pPr>
              <w:jc w:val="center"/>
              <w:rPr>
                <w:rFonts w:ascii="Arial Narrow" w:hAnsi="Arial Narrow"/>
                <w:color w:val="333333"/>
                <w:sz w:val="18"/>
                <w:szCs w:val="18"/>
              </w:rPr>
            </w:pPr>
          </w:p>
        </w:tc>
        <w:tc>
          <w:tcPr>
            <w:tcW w:w="8086" w:type="dxa"/>
            <w:gridSpan w:val="6"/>
            <w:vAlign w:val="center"/>
          </w:tcPr>
          <w:p w14:paraId="760BDC9F" w14:textId="52F9C731" w:rsidR="00D00F1D" w:rsidRPr="00980C55" w:rsidRDefault="00D00F1D" w:rsidP="00980C55">
            <w:pPr>
              <w:rPr>
                <w:rFonts w:ascii="Arial Narrow" w:hAnsi="Arial Narrow"/>
                <w:color w:val="333333"/>
                <w:sz w:val="18"/>
                <w:szCs w:val="18"/>
              </w:rPr>
            </w:pPr>
            <w:r w:rsidRPr="00980C55">
              <w:rPr>
                <w:rFonts w:ascii="Arial Narrow" w:hAnsi="Arial Narrow" w:cs="Arial Narrow"/>
                <w:sz w:val="18"/>
                <w:szCs w:val="18"/>
              </w:rPr>
              <w:t xml:space="preserve">Patient must be undergoing concomitant therapy </w:t>
            </w:r>
            <w:bookmarkStart w:id="102" w:name="_Hlk161675018"/>
            <w:r w:rsidRPr="00980C55">
              <w:rPr>
                <w:rFonts w:ascii="Arial Narrow" w:hAnsi="Arial Narrow" w:cs="Arial Narrow"/>
                <w:sz w:val="18"/>
                <w:szCs w:val="18"/>
              </w:rPr>
              <w:t>with at least another drug therapy as part of a regimen specified in this drug’s approved Product Information</w:t>
            </w:r>
            <w:r w:rsidR="00580C7B" w:rsidRPr="00980C55">
              <w:rPr>
                <w:rFonts w:ascii="Arial Narrow" w:hAnsi="Arial Narrow" w:cs="Arial Narrow"/>
                <w:sz w:val="18"/>
                <w:szCs w:val="18"/>
              </w:rPr>
              <w:t>.</w:t>
            </w:r>
            <w:r w:rsidRPr="00980C55">
              <w:rPr>
                <w:rFonts w:ascii="Arial Narrow" w:hAnsi="Arial Narrow" w:cs="Arial Narrow"/>
                <w:sz w:val="18"/>
                <w:szCs w:val="18"/>
              </w:rPr>
              <w:t xml:space="preserve"> </w:t>
            </w:r>
            <w:bookmarkEnd w:id="102"/>
          </w:p>
        </w:tc>
      </w:tr>
      <w:tr w:rsidR="00D00F1D" w:rsidRPr="00980C55" w14:paraId="03A41E18" w14:textId="77777777" w:rsidTr="00980C55">
        <w:tblPrEx>
          <w:tblCellMar>
            <w:top w:w="15" w:type="dxa"/>
            <w:left w:w="15" w:type="dxa"/>
            <w:bottom w:w="15" w:type="dxa"/>
            <w:right w:w="15" w:type="dxa"/>
          </w:tblCellMar>
          <w:tblLook w:val="04A0" w:firstRow="1" w:lastRow="0" w:firstColumn="1" w:lastColumn="0" w:noHBand="0" w:noVBand="1"/>
        </w:tblPrEx>
        <w:trPr>
          <w:trHeight w:val="20"/>
        </w:trPr>
        <w:tc>
          <w:tcPr>
            <w:tcW w:w="981" w:type="dxa"/>
            <w:vAlign w:val="center"/>
          </w:tcPr>
          <w:p w14:paraId="01E58C66" w14:textId="77777777" w:rsidR="00D00F1D" w:rsidRPr="00980C55" w:rsidRDefault="00D00F1D" w:rsidP="00980C55">
            <w:pPr>
              <w:jc w:val="center"/>
              <w:rPr>
                <w:rFonts w:ascii="Arial Narrow" w:hAnsi="Arial Narrow"/>
                <w:color w:val="333333"/>
                <w:sz w:val="18"/>
                <w:szCs w:val="18"/>
              </w:rPr>
            </w:pPr>
          </w:p>
        </w:tc>
        <w:tc>
          <w:tcPr>
            <w:tcW w:w="8086" w:type="dxa"/>
            <w:gridSpan w:val="6"/>
            <w:vAlign w:val="center"/>
          </w:tcPr>
          <w:p w14:paraId="5E47CD84" w14:textId="6C603897" w:rsidR="00D00F1D" w:rsidRPr="00980C55" w:rsidRDefault="00D00F1D" w:rsidP="00980C55">
            <w:pPr>
              <w:rPr>
                <w:rFonts w:ascii="Arial Narrow" w:hAnsi="Arial Narrow"/>
                <w:b/>
                <w:bCs/>
                <w:color w:val="333333"/>
                <w:sz w:val="18"/>
                <w:szCs w:val="18"/>
              </w:rPr>
            </w:pPr>
          </w:p>
        </w:tc>
      </w:tr>
      <w:tr w:rsidR="00D00F1D" w:rsidRPr="00980C55" w14:paraId="38E55904" w14:textId="77777777" w:rsidTr="00980C55">
        <w:tblPrEx>
          <w:tblCellMar>
            <w:top w:w="15" w:type="dxa"/>
            <w:left w:w="15" w:type="dxa"/>
            <w:bottom w:w="15" w:type="dxa"/>
            <w:right w:w="15" w:type="dxa"/>
          </w:tblCellMar>
          <w:tblLook w:val="04A0" w:firstRow="1" w:lastRow="0" w:firstColumn="1" w:lastColumn="0" w:noHBand="0" w:noVBand="1"/>
        </w:tblPrEx>
        <w:trPr>
          <w:trHeight w:val="20"/>
        </w:trPr>
        <w:tc>
          <w:tcPr>
            <w:tcW w:w="981" w:type="dxa"/>
            <w:vAlign w:val="center"/>
          </w:tcPr>
          <w:p w14:paraId="3C4A2F0A" w14:textId="77777777" w:rsidR="00D00F1D" w:rsidRPr="00980C55" w:rsidRDefault="00D00F1D" w:rsidP="00980C55">
            <w:pPr>
              <w:jc w:val="center"/>
              <w:rPr>
                <w:rFonts w:ascii="Arial Narrow" w:hAnsi="Arial Narrow"/>
                <w:color w:val="333333"/>
                <w:sz w:val="18"/>
                <w:szCs w:val="18"/>
              </w:rPr>
            </w:pPr>
          </w:p>
        </w:tc>
        <w:tc>
          <w:tcPr>
            <w:tcW w:w="8086" w:type="dxa"/>
            <w:gridSpan w:val="6"/>
            <w:vAlign w:val="center"/>
          </w:tcPr>
          <w:p w14:paraId="04FB5480" w14:textId="77777777" w:rsidR="00D00F1D" w:rsidRPr="00980C55" w:rsidRDefault="00D00F1D" w:rsidP="00980C55">
            <w:pPr>
              <w:pStyle w:val="Tabletextleft"/>
              <w:keepNext/>
              <w:spacing w:before="0" w:after="0"/>
              <w:jc w:val="left"/>
              <w:rPr>
                <w:rFonts w:ascii="Arial Narrow" w:hAnsi="Arial Narrow" w:cs="Arial Narrow"/>
                <w:szCs w:val="18"/>
              </w:rPr>
            </w:pPr>
            <w:r w:rsidRPr="00980C55">
              <w:rPr>
                <w:rFonts w:ascii="Arial Narrow" w:hAnsi="Arial Narrow"/>
                <w:b/>
                <w:bCs/>
                <w:color w:val="333333"/>
                <w:szCs w:val="18"/>
              </w:rPr>
              <w:t>AND</w:t>
            </w:r>
          </w:p>
        </w:tc>
      </w:tr>
      <w:tr w:rsidR="00D00F1D" w:rsidRPr="00980C55" w14:paraId="34CF5668" w14:textId="77777777" w:rsidTr="00980C55">
        <w:tblPrEx>
          <w:tblCellMar>
            <w:top w:w="15" w:type="dxa"/>
            <w:left w:w="15" w:type="dxa"/>
            <w:bottom w:w="15" w:type="dxa"/>
            <w:right w:w="15" w:type="dxa"/>
          </w:tblCellMar>
          <w:tblLook w:val="04A0" w:firstRow="1" w:lastRow="0" w:firstColumn="1" w:lastColumn="0" w:noHBand="0" w:noVBand="1"/>
        </w:tblPrEx>
        <w:trPr>
          <w:trHeight w:val="20"/>
        </w:trPr>
        <w:tc>
          <w:tcPr>
            <w:tcW w:w="981" w:type="dxa"/>
            <w:vAlign w:val="center"/>
          </w:tcPr>
          <w:p w14:paraId="5194AFDD" w14:textId="37578CCC" w:rsidR="00D00F1D" w:rsidRPr="00980C55" w:rsidRDefault="00D00F1D" w:rsidP="00980C55">
            <w:pPr>
              <w:jc w:val="center"/>
              <w:rPr>
                <w:rFonts w:ascii="Arial Narrow" w:hAnsi="Arial Narrow"/>
                <w:color w:val="333333"/>
                <w:sz w:val="18"/>
                <w:szCs w:val="18"/>
              </w:rPr>
            </w:pPr>
          </w:p>
        </w:tc>
        <w:tc>
          <w:tcPr>
            <w:tcW w:w="8086" w:type="dxa"/>
            <w:gridSpan w:val="6"/>
            <w:vAlign w:val="center"/>
          </w:tcPr>
          <w:p w14:paraId="502BA114" w14:textId="19A599D8" w:rsidR="00D00F1D" w:rsidRPr="00980C55" w:rsidRDefault="00D00F1D" w:rsidP="00980C55">
            <w:pPr>
              <w:autoSpaceDE w:val="0"/>
              <w:autoSpaceDN w:val="0"/>
              <w:adjustRightInd w:val="0"/>
              <w:rPr>
                <w:rFonts w:ascii="Arial Narrow" w:hAnsi="Arial Narrow" w:cs="Arial Narrow"/>
                <w:sz w:val="18"/>
                <w:szCs w:val="18"/>
              </w:rPr>
            </w:pPr>
            <w:r w:rsidRPr="00980C55">
              <w:rPr>
                <w:rFonts w:ascii="Arial Narrow" w:hAnsi="Arial Narrow"/>
                <w:sz w:val="18"/>
                <w:szCs w:val="18"/>
              </w:rPr>
              <w:t xml:space="preserve">Patient must not receive more than 12 months of </w:t>
            </w:r>
            <w:r w:rsidR="00D63FB4" w:rsidRPr="00980C55">
              <w:rPr>
                <w:rFonts w:ascii="Arial Narrow" w:hAnsi="Arial Narrow"/>
                <w:sz w:val="18"/>
                <w:szCs w:val="18"/>
              </w:rPr>
              <w:t xml:space="preserve">PBS subsidised </w:t>
            </w:r>
            <w:r w:rsidRPr="00980C55">
              <w:rPr>
                <w:rFonts w:ascii="Arial Narrow" w:hAnsi="Arial Narrow"/>
                <w:sz w:val="18"/>
                <w:szCs w:val="18"/>
              </w:rPr>
              <w:t>treatment</w:t>
            </w:r>
            <w:r w:rsidR="00DF549C" w:rsidRPr="00980C55">
              <w:rPr>
                <w:rFonts w:ascii="Arial Narrow" w:hAnsi="Arial Narrow"/>
                <w:sz w:val="18"/>
                <w:szCs w:val="18"/>
              </w:rPr>
              <w:t xml:space="preserve"> </w:t>
            </w:r>
            <w:r w:rsidR="00620E8E" w:rsidRPr="00980C55">
              <w:rPr>
                <w:rFonts w:ascii="Arial Narrow" w:hAnsi="Arial Narrow"/>
                <w:sz w:val="18"/>
                <w:szCs w:val="18"/>
              </w:rPr>
              <w:t>with this drug</w:t>
            </w:r>
            <w:r w:rsidR="00F70238" w:rsidRPr="00980C55">
              <w:rPr>
                <w:rFonts w:ascii="Arial Narrow" w:hAnsi="Arial Narrow"/>
                <w:sz w:val="18"/>
                <w:szCs w:val="18"/>
              </w:rPr>
              <w:t xml:space="preserve"> per induction</w:t>
            </w:r>
          </w:p>
        </w:tc>
      </w:tr>
      <w:tr w:rsidR="00D40124" w:rsidRPr="00980C55" w14:paraId="20FF9BF1" w14:textId="77777777" w:rsidTr="00980C55">
        <w:tblPrEx>
          <w:tblCellMar>
            <w:top w:w="15" w:type="dxa"/>
            <w:left w:w="15" w:type="dxa"/>
            <w:bottom w:w="15" w:type="dxa"/>
            <w:right w:w="15" w:type="dxa"/>
          </w:tblCellMar>
          <w:tblLook w:val="04A0" w:firstRow="1" w:lastRow="0" w:firstColumn="1" w:lastColumn="0" w:noHBand="0" w:noVBand="1"/>
        </w:tblPrEx>
        <w:trPr>
          <w:trHeight w:val="20"/>
        </w:trPr>
        <w:tc>
          <w:tcPr>
            <w:tcW w:w="981" w:type="dxa"/>
            <w:vAlign w:val="center"/>
          </w:tcPr>
          <w:p w14:paraId="575C25CB" w14:textId="77777777" w:rsidR="00D40124" w:rsidRPr="00980C55" w:rsidRDefault="00D40124" w:rsidP="00980C55">
            <w:pPr>
              <w:jc w:val="center"/>
              <w:rPr>
                <w:rFonts w:ascii="Arial Narrow" w:hAnsi="Arial Narrow"/>
                <w:color w:val="333333"/>
                <w:sz w:val="18"/>
                <w:szCs w:val="18"/>
              </w:rPr>
            </w:pPr>
          </w:p>
        </w:tc>
        <w:tc>
          <w:tcPr>
            <w:tcW w:w="8086" w:type="dxa"/>
            <w:gridSpan w:val="6"/>
            <w:vAlign w:val="center"/>
          </w:tcPr>
          <w:p w14:paraId="0522BED5" w14:textId="79CBAA84" w:rsidR="00D40124" w:rsidRPr="00980C55" w:rsidRDefault="00D40124" w:rsidP="00980C55">
            <w:pPr>
              <w:autoSpaceDE w:val="0"/>
              <w:autoSpaceDN w:val="0"/>
              <w:adjustRightInd w:val="0"/>
              <w:rPr>
                <w:rFonts w:ascii="Arial Narrow" w:hAnsi="Arial Narrow" w:cs="Arial Narrow"/>
                <w:b/>
                <w:bCs/>
                <w:sz w:val="18"/>
                <w:szCs w:val="18"/>
              </w:rPr>
            </w:pPr>
          </w:p>
        </w:tc>
      </w:tr>
      <w:tr w:rsidR="00E817FA" w:rsidRPr="00980C55" w14:paraId="68BFA910" w14:textId="77777777" w:rsidTr="00980C55">
        <w:tblPrEx>
          <w:tblCellMar>
            <w:top w:w="15" w:type="dxa"/>
            <w:left w:w="15" w:type="dxa"/>
            <w:bottom w:w="15" w:type="dxa"/>
            <w:right w:w="15" w:type="dxa"/>
          </w:tblCellMar>
          <w:tblLook w:val="04A0" w:firstRow="1" w:lastRow="0" w:firstColumn="1" w:lastColumn="0" w:noHBand="0" w:noVBand="1"/>
        </w:tblPrEx>
        <w:trPr>
          <w:trHeight w:val="20"/>
        </w:trPr>
        <w:tc>
          <w:tcPr>
            <w:tcW w:w="981" w:type="dxa"/>
            <w:vAlign w:val="center"/>
          </w:tcPr>
          <w:p w14:paraId="106CF8FE" w14:textId="71D31669" w:rsidR="00E817FA" w:rsidRPr="00980C55" w:rsidRDefault="00E817FA" w:rsidP="00980C55">
            <w:pPr>
              <w:jc w:val="center"/>
              <w:rPr>
                <w:rFonts w:ascii="Arial Narrow" w:hAnsi="Arial Narrow"/>
                <w:color w:val="333333"/>
                <w:sz w:val="18"/>
                <w:szCs w:val="18"/>
              </w:rPr>
            </w:pPr>
          </w:p>
        </w:tc>
        <w:tc>
          <w:tcPr>
            <w:tcW w:w="8086" w:type="dxa"/>
            <w:gridSpan w:val="6"/>
            <w:vAlign w:val="center"/>
          </w:tcPr>
          <w:p w14:paraId="3F98ECC2" w14:textId="7EE14A1A" w:rsidR="00E817FA" w:rsidRPr="00980C55" w:rsidRDefault="00A2333D" w:rsidP="00980C55">
            <w:pPr>
              <w:autoSpaceDE w:val="0"/>
              <w:autoSpaceDN w:val="0"/>
              <w:adjustRightInd w:val="0"/>
              <w:rPr>
                <w:rFonts w:ascii="Arial Narrow" w:hAnsi="Arial Narrow" w:cs="Arial Narrow"/>
                <w:b/>
                <w:bCs/>
                <w:sz w:val="18"/>
                <w:szCs w:val="18"/>
              </w:rPr>
            </w:pPr>
            <w:r w:rsidRPr="00980C55">
              <w:rPr>
                <w:rFonts w:ascii="Arial Narrow" w:hAnsi="Arial Narrow" w:cs="Arial Narrow"/>
                <w:b/>
                <w:bCs/>
                <w:sz w:val="18"/>
                <w:szCs w:val="18"/>
              </w:rPr>
              <w:t>Prescribing Instruction:</w:t>
            </w:r>
          </w:p>
        </w:tc>
      </w:tr>
      <w:tr w:rsidR="00A2333D" w:rsidRPr="00980C55" w14:paraId="46EEFC0A" w14:textId="77777777" w:rsidTr="00980C55">
        <w:tblPrEx>
          <w:tblCellMar>
            <w:top w:w="15" w:type="dxa"/>
            <w:left w:w="15" w:type="dxa"/>
            <w:bottom w:w="15" w:type="dxa"/>
            <w:right w:w="15" w:type="dxa"/>
          </w:tblCellMar>
          <w:tblLook w:val="04A0" w:firstRow="1" w:lastRow="0" w:firstColumn="1" w:lastColumn="0" w:noHBand="0" w:noVBand="1"/>
        </w:tblPrEx>
        <w:trPr>
          <w:trHeight w:val="20"/>
        </w:trPr>
        <w:tc>
          <w:tcPr>
            <w:tcW w:w="981" w:type="dxa"/>
            <w:vAlign w:val="center"/>
          </w:tcPr>
          <w:p w14:paraId="20BCDC34" w14:textId="77777777" w:rsidR="00A2333D" w:rsidRPr="00980C55" w:rsidRDefault="00A2333D" w:rsidP="00980C55">
            <w:pPr>
              <w:jc w:val="center"/>
              <w:rPr>
                <w:rFonts w:ascii="Arial Narrow" w:hAnsi="Arial Narrow"/>
                <w:color w:val="333333"/>
                <w:sz w:val="18"/>
                <w:szCs w:val="18"/>
              </w:rPr>
            </w:pPr>
          </w:p>
        </w:tc>
        <w:tc>
          <w:tcPr>
            <w:tcW w:w="8086" w:type="dxa"/>
            <w:gridSpan w:val="6"/>
            <w:vAlign w:val="center"/>
          </w:tcPr>
          <w:p w14:paraId="085884E5" w14:textId="692AA2D0" w:rsidR="00A2333D" w:rsidRPr="00980C55" w:rsidRDefault="00F824AC" w:rsidP="00980C55">
            <w:pPr>
              <w:autoSpaceDE w:val="0"/>
              <w:autoSpaceDN w:val="0"/>
              <w:adjustRightInd w:val="0"/>
              <w:rPr>
                <w:rFonts w:ascii="Arial Narrow" w:hAnsi="Arial Narrow" w:cs="Arial Narrow"/>
                <w:sz w:val="18"/>
                <w:szCs w:val="18"/>
              </w:rPr>
            </w:pPr>
            <w:r w:rsidRPr="00980C55">
              <w:rPr>
                <w:rFonts w:ascii="Arial Narrow" w:hAnsi="Arial Narrow" w:cs="Arial Narrow"/>
                <w:sz w:val="18"/>
                <w:szCs w:val="18"/>
              </w:rPr>
              <w:t xml:space="preserve">A </w:t>
            </w:r>
            <w:r w:rsidR="001656DA" w:rsidRPr="00980C55">
              <w:rPr>
                <w:rFonts w:ascii="Arial Narrow" w:hAnsi="Arial Narrow" w:cs="Arial Narrow"/>
                <w:sz w:val="18"/>
                <w:szCs w:val="18"/>
              </w:rPr>
              <w:t xml:space="preserve">prescriber may apply for </w:t>
            </w:r>
            <w:r w:rsidRPr="00980C55">
              <w:rPr>
                <w:rFonts w:ascii="Arial Narrow" w:hAnsi="Arial Narrow" w:cs="Arial Narrow"/>
                <w:sz w:val="18"/>
                <w:szCs w:val="18"/>
              </w:rPr>
              <w:t xml:space="preserve">more than one induction treatment </w:t>
            </w:r>
            <w:r w:rsidR="001656DA" w:rsidRPr="00980C55">
              <w:rPr>
                <w:rFonts w:ascii="Arial Narrow" w:hAnsi="Arial Narrow" w:cs="Arial Narrow"/>
                <w:sz w:val="18"/>
                <w:szCs w:val="18"/>
              </w:rPr>
              <w:t>for their patient</w:t>
            </w:r>
            <w:r w:rsidR="009A1482" w:rsidRPr="00980C55">
              <w:rPr>
                <w:rFonts w:ascii="Arial Narrow" w:hAnsi="Arial Narrow" w:cs="Arial Narrow"/>
                <w:sz w:val="18"/>
                <w:szCs w:val="18"/>
              </w:rPr>
              <w:t>.</w:t>
            </w:r>
          </w:p>
        </w:tc>
      </w:tr>
      <w:tr w:rsidR="00E817FA" w:rsidRPr="00980C55" w14:paraId="7EC9AA42" w14:textId="77777777" w:rsidTr="00980C55">
        <w:tblPrEx>
          <w:tblCellMar>
            <w:top w:w="15" w:type="dxa"/>
            <w:left w:w="15" w:type="dxa"/>
            <w:bottom w:w="15" w:type="dxa"/>
            <w:right w:w="15" w:type="dxa"/>
          </w:tblCellMar>
          <w:tblLook w:val="04A0" w:firstRow="1" w:lastRow="0" w:firstColumn="1" w:lastColumn="0" w:noHBand="0" w:noVBand="1"/>
        </w:tblPrEx>
        <w:trPr>
          <w:trHeight w:val="20"/>
        </w:trPr>
        <w:tc>
          <w:tcPr>
            <w:tcW w:w="981" w:type="dxa"/>
            <w:vAlign w:val="center"/>
          </w:tcPr>
          <w:p w14:paraId="7BAA84E6" w14:textId="77777777" w:rsidR="00E817FA" w:rsidRPr="00980C55" w:rsidRDefault="00E817FA" w:rsidP="00980C55">
            <w:pPr>
              <w:jc w:val="center"/>
              <w:rPr>
                <w:rFonts w:ascii="Arial Narrow" w:hAnsi="Arial Narrow"/>
                <w:color w:val="333333"/>
                <w:sz w:val="18"/>
                <w:szCs w:val="18"/>
              </w:rPr>
            </w:pPr>
          </w:p>
        </w:tc>
        <w:tc>
          <w:tcPr>
            <w:tcW w:w="8086" w:type="dxa"/>
            <w:gridSpan w:val="6"/>
            <w:vAlign w:val="center"/>
          </w:tcPr>
          <w:p w14:paraId="57B967A3" w14:textId="77777777" w:rsidR="00E817FA" w:rsidRPr="00980C55" w:rsidRDefault="00E817FA" w:rsidP="00980C55">
            <w:pPr>
              <w:autoSpaceDE w:val="0"/>
              <w:autoSpaceDN w:val="0"/>
              <w:adjustRightInd w:val="0"/>
              <w:rPr>
                <w:rFonts w:ascii="Arial Narrow" w:hAnsi="Arial Narrow" w:cs="Arial Narrow"/>
                <w:b/>
                <w:bCs/>
                <w:sz w:val="18"/>
                <w:szCs w:val="18"/>
              </w:rPr>
            </w:pPr>
          </w:p>
        </w:tc>
      </w:tr>
      <w:tr w:rsidR="00BA784D" w:rsidRPr="00980C55" w14:paraId="0A37A712" w14:textId="77777777" w:rsidTr="00980C55">
        <w:tblPrEx>
          <w:tblCellMar>
            <w:top w:w="15" w:type="dxa"/>
            <w:left w:w="15" w:type="dxa"/>
            <w:bottom w:w="15" w:type="dxa"/>
            <w:right w:w="15" w:type="dxa"/>
          </w:tblCellMar>
          <w:tblLook w:val="04A0" w:firstRow="1" w:lastRow="0" w:firstColumn="1" w:lastColumn="0" w:noHBand="0" w:noVBand="1"/>
        </w:tblPrEx>
        <w:trPr>
          <w:trHeight w:val="20"/>
        </w:trPr>
        <w:tc>
          <w:tcPr>
            <w:tcW w:w="981" w:type="dxa"/>
            <w:vAlign w:val="center"/>
          </w:tcPr>
          <w:p w14:paraId="6BBD7156" w14:textId="77777777" w:rsidR="00BA784D" w:rsidRPr="00980C55" w:rsidRDefault="00BA784D" w:rsidP="00980C55">
            <w:pPr>
              <w:jc w:val="center"/>
              <w:rPr>
                <w:rFonts w:ascii="Arial Narrow" w:hAnsi="Arial Narrow"/>
                <w:color w:val="333333"/>
                <w:sz w:val="18"/>
                <w:szCs w:val="18"/>
              </w:rPr>
            </w:pPr>
          </w:p>
        </w:tc>
        <w:tc>
          <w:tcPr>
            <w:tcW w:w="8086" w:type="dxa"/>
            <w:gridSpan w:val="6"/>
            <w:vAlign w:val="center"/>
          </w:tcPr>
          <w:p w14:paraId="5DB1D4A5" w14:textId="753EC109" w:rsidR="00BA784D" w:rsidRPr="00980C55" w:rsidRDefault="00CA3E50" w:rsidP="00980C55">
            <w:pPr>
              <w:autoSpaceDE w:val="0"/>
              <w:autoSpaceDN w:val="0"/>
              <w:adjustRightInd w:val="0"/>
              <w:rPr>
                <w:rFonts w:ascii="Arial Narrow" w:hAnsi="Arial Narrow" w:cs="Arial Narrow"/>
                <w:sz w:val="18"/>
                <w:szCs w:val="18"/>
                <w:highlight w:val="yellow"/>
              </w:rPr>
            </w:pPr>
            <w:r w:rsidRPr="00980C55">
              <w:rPr>
                <w:rFonts w:ascii="Arial Narrow" w:hAnsi="Arial Narrow" w:cs="Arial Narrow"/>
                <w:b/>
                <w:bCs/>
                <w:sz w:val="18"/>
                <w:szCs w:val="18"/>
              </w:rPr>
              <w:t>Administrative Advice:</w:t>
            </w:r>
          </w:p>
        </w:tc>
      </w:tr>
      <w:tr w:rsidR="00CA3E50" w:rsidRPr="00980C55" w14:paraId="2A2784C1" w14:textId="77777777" w:rsidTr="00980C55">
        <w:tblPrEx>
          <w:tblCellMar>
            <w:top w:w="15" w:type="dxa"/>
            <w:left w:w="15" w:type="dxa"/>
            <w:bottom w:w="15" w:type="dxa"/>
            <w:right w:w="15" w:type="dxa"/>
          </w:tblCellMar>
          <w:tblLook w:val="04A0" w:firstRow="1" w:lastRow="0" w:firstColumn="1" w:lastColumn="0" w:noHBand="0" w:noVBand="1"/>
        </w:tblPrEx>
        <w:trPr>
          <w:trHeight w:val="20"/>
        </w:trPr>
        <w:tc>
          <w:tcPr>
            <w:tcW w:w="981" w:type="dxa"/>
            <w:vAlign w:val="center"/>
          </w:tcPr>
          <w:p w14:paraId="5715697D" w14:textId="4A0FA3CB" w:rsidR="00CA3E50" w:rsidRPr="00980C55" w:rsidRDefault="00CA3E50" w:rsidP="00980C55">
            <w:pPr>
              <w:jc w:val="center"/>
              <w:rPr>
                <w:rFonts w:ascii="Arial Narrow" w:hAnsi="Arial Narrow"/>
                <w:color w:val="333333"/>
                <w:sz w:val="18"/>
                <w:szCs w:val="18"/>
              </w:rPr>
            </w:pPr>
          </w:p>
        </w:tc>
        <w:tc>
          <w:tcPr>
            <w:tcW w:w="8086" w:type="dxa"/>
            <w:gridSpan w:val="6"/>
            <w:vAlign w:val="center"/>
          </w:tcPr>
          <w:p w14:paraId="6B7CB48D" w14:textId="12101E8A" w:rsidR="00CA3E50" w:rsidRPr="00980C55" w:rsidRDefault="00CA3E50" w:rsidP="00980C55">
            <w:pPr>
              <w:jc w:val="left"/>
              <w:rPr>
                <w:rFonts w:ascii="Arial" w:hAnsi="Arial"/>
                <w:sz w:val="18"/>
                <w:szCs w:val="18"/>
              </w:rPr>
            </w:pPr>
            <w:r w:rsidRPr="00980C55">
              <w:rPr>
                <w:rFonts w:ascii="Arial Narrow" w:hAnsi="Arial Narrow" w:cs="Arial Narrow"/>
                <w:sz w:val="18"/>
                <w:szCs w:val="18"/>
              </w:rPr>
              <w:t xml:space="preserve">Applications for authorisation under this restriction may be made in real time using the Online PBS Authorities system (see </w:t>
            </w:r>
            <w:hyperlink r:id="rId10" w:history="1">
              <w:r w:rsidRPr="00980C55">
                <w:rPr>
                  <w:rFonts w:ascii="Arial Narrow" w:hAnsi="Arial Narrow" w:cs="Arial Narrow"/>
                  <w:sz w:val="18"/>
                  <w:szCs w:val="18"/>
                </w:rPr>
                <w:t>www.servicesaustralia.gov.au/HPOS</w:t>
              </w:r>
            </w:hyperlink>
            <w:r w:rsidRPr="00980C55">
              <w:rPr>
                <w:rFonts w:ascii="Arial Narrow" w:hAnsi="Arial Narrow" w:cs="Arial Narrow"/>
                <w:sz w:val="18"/>
                <w:szCs w:val="18"/>
              </w:rPr>
              <w:t>) or by telephone by contacting Services Australia on 1800 888 333</w:t>
            </w:r>
          </w:p>
        </w:tc>
      </w:tr>
      <w:bookmarkEnd w:id="101"/>
    </w:tbl>
    <w:p w14:paraId="1CA1D538" w14:textId="77777777" w:rsidR="00D00F1D" w:rsidRPr="00362593" w:rsidRDefault="00D00F1D" w:rsidP="00D00F1D">
      <w:pPr>
        <w:pStyle w:val="NormalWeb"/>
        <w:spacing w:before="0" w:after="0"/>
        <w:rPr>
          <w:rFonts w:ascii="Arial Narrow" w:hAnsi="Arial Narrow" w:cs="Calibri"/>
          <w:b/>
          <w:bCs/>
          <w:i/>
          <w:iCs/>
          <w:sz w:val="18"/>
          <w:szCs w:val="18"/>
          <w:lang w:val="en-AU"/>
        </w:rPr>
      </w:pPr>
    </w:p>
    <w:p w14:paraId="20F032B6" w14:textId="71C80D76" w:rsidR="009E5CCE" w:rsidRPr="00F70238" w:rsidRDefault="00D00F1D" w:rsidP="00F70238">
      <w:pPr>
        <w:pStyle w:val="NormalWeb"/>
        <w:spacing w:before="0" w:after="0"/>
        <w:rPr>
          <w:rFonts w:asciiTheme="minorHAnsi" w:hAnsiTheme="minorHAnsi" w:cstheme="minorHAnsi"/>
          <w:i/>
          <w:lang w:val="en-AU"/>
        </w:rPr>
      </w:pPr>
      <w:r w:rsidRPr="00362593">
        <w:rPr>
          <w:rFonts w:ascii="Arial Narrow" w:hAnsi="Arial Narrow" w:cs="Calibri"/>
          <w:b/>
          <w:bCs/>
          <w:i/>
          <w:iCs/>
          <w:lang w:val="en-AU"/>
        </w:rPr>
        <w:t>This restriction may be subject to further review. Should there be any changes made to the restriction the sponsor will be informed.</w:t>
      </w:r>
    </w:p>
    <w:p w14:paraId="39D63AAC" w14:textId="77777777" w:rsidR="005246DD" w:rsidRPr="005246DD" w:rsidRDefault="005246DD" w:rsidP="005246DD">
      <w:pPr>
        <w:keepNext/>
        <w:numPr>
          <w:ilvl w:val="0"/>
          <w:numId w:val="1"/>
        </w:numPr>
        <w:spacing w:before="240" w:after="120"/>
        <w:jc w:val="left"/>
        <w:outlineLvl w:val="0"/>
        <w:rPr>
          <w:b/>
          <w:bCs/>
          <w:snapToGrid w:val="0"/>
          <w:sz w:val="32"/>
          <w:szCs w:val="32"/>
          <w:lang w:val="en-GB"/>
        </w:rPr>
      </w:pPr>
      <w:r w:rsidRPr="005246DD">
        <w:rPr>
          <w:b/>
          <w:snapToGrid w:val="0"/>
          <w:sz w:val="32"/>
          <w:szCs w:val="32"/>
        </w:rPr>
        <w:t>Context for Decision</w:t>
      </w:r>
    </w:p>
    <w:p w14:paraId="6A95A80E" w14:textId="77777777" w:rsidR="005246DD" w:rsidRPr="005246DD" w:rsidRDefault="005246DD" w:rsidP="005246DD">
      <w:pPr>
        <w:spacing w:after="120"/>
        <w:ind w:left="720"/>
        <w:rPr>
          <w:bCs/>
          <w:lang w:val="en-GB"/>
        </w:rPr>
      </w:pPr>
      <w:r w:rsidRPr="005246DD">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A5D1D8C" w14:textId="77777777" w:rsidR="005246DD" w:rsidRPr="005246DD" w:rsidRDefault="005246DD" w:rsidP="005246DD">
      <w:pPr>
        <w:keepNext/>
        <w:numPr>
          <w:ilvl w:val="0"/>
          <w:numId w:val="1"/>
        </w:numPr>
        <w:spacing w:before="240" w:after="120"/>
        <w:jc w:val="left"/>
        <w:outlineLvl w:val="0"/>
        <w:rPr>
          <w:b/>
          <w:snapToGrid w:val="0"/>
          <w:sz w:val="32"/>
          <w:szCs w:val="32"/>
        </w:rPr>
      </w:pPr>
      <w:r w:rsidRPr="005246DD">
        <w:rPr>
          <w:b/>
          <w:snapToGrid w:val="0"/>
          <w:sz w:val="32"/>
          <w:szCs w:val="32"/>
        </w:rPr>
        <w:t>Sponsor’s Comment</w:t>
      </w:r>
    </w:p>
    <w:p w14:paraId="3194465B" w14:textId="22B957BD" w:rsidR="005246DD" w:rsidRPr="00F70238" w:rsidRDefault="000C1C8C" w:rsidP="00F70238">
      <w:pPr>
        <w:spacing w:after="120" w:line="276" w:lineRule="auto"/>
        <w:ind w:left="720"/>
        <w:rPr>
          <w:rFonts w:eastAsia="Calibri"/>
          <w:bCs/>
          <w:lang w:eastAsia="en-US"/>
        </w:rPr>
      </w:pPr>
      <w:r w:rsidRPr="00BE21CE">
        <w:rPr>
          <w:rFonts w:eastAsia="Calibri"/>
          <w:bCs/>
          <w:szCs w:val="22"/>
          <w:lang w:val="en-GB" w:eastAsia="en-US"/>
        </w:rPr>
        <w:t>CSL Seqirus welcome</w:t>
      </w:r>
      <w:r w:rsidR="00756CFB" w:rsidRPr="009E5CCE">
        <w:rPr>
          <w:rFonts w:eastAsia="Calibri"/>
          <w:bCs/>
          <w:szCs w:val="22"/>
          <w:lang w:val="en-GB" w:eastAsia="en-US"/>
        </w:rPr>
        <w:t>s</w:t>
      </w:r>
      <w:r w:rsidRPr="00BE21CE">
        <w:rPr>
          <w:rFonts w:eastAsia="Calibri"/>
          <w:bCs/>
          <w:szCs w:val="22"/>
          <w:lang w:val="en-GB" w:eastAsia="en-US"/>
        </w:rPr>
        <w:t xml:space="preserve"> the PBAC’s recognition of the high unmet need for new </w:t>
      </w:r>
      <w:r w:rsidR="00F30AD1" w:rsidRPr="00BE21CE">
        <w:rPr>
          <w:rFonts w:eastAsia="Calibri"/>
          <w:bCs/>
          <w:szCs w:val="22"/>
          <w:lang w:val="en-GB" w:eastAsia="en-US"/>
        </w:rPr>
        <w:t>treatments</w:t>
      </w:r>
      <w:r w:rsidR="00152345" w:rsidRPr="00BE21CE">
        <w:rPr>
          <w:rFonts w:eastAsia="Calibri"/>
          <w:bCs/>
          <w:szCs w:val="22"/>
          <w:lang w:val="en-GB" w:eastAsia="en-US"/>
        </w:rPr>
        <w:t xml:space="preserve"> for </w:t>
      </w:r>
      <w:r w:rsidR="00BE21CE">
        <w:rPr>
          <w:rFonts w:eastAsia="Calibri"/>
          <w:bCs/>
          <w:szCs w:val="22"/>
          <w:lang w:val="en-GB" w:eastAsia="en-US"/>
        </w:rPr>
        <w:t>s</w:t>
      </w:r>
      <w:r w:rsidR="00152345" w:rsidRPr="00BE21CE">
        <w:rPr>
          <w:rFonts w:eastAsia="Calibri"/>
          <w:bCs/>
          <w:szCs w:val="22"/>
          <w:lang w:val="en-GB" w:eastAsia="en-US"/>
        </w:rPr>
        <w:t>evere AAV</w:t>
      </w:r>
      <w:r w:rsidR="00F30AD1" w:rsidRPr="00BE21CE">
        <w:rPr>
          <w:rFonts w:eastAsia="Calibri"/>
          <w:bCs/>
          <w:szCs w:val="22"/>
          <w:lang w:val="en-GB" w:eastAsia="en-US"/>
        </w:rPr>
        <w:t xml:space="preserve"> in Australia. We are committed to further data generation to illustrate the </w:t>
      </w:r>
      <w:r w:rsidR="00152345" w:rsidRPr="00BE21CE">
        <w:rPr>
          <w:rFonts w:eastAsia="Calibri"/>
          <w:bCs/>
          <w:szCs w:val="22"/>
          <w:lang w:val="en-GB" w:eastAsia="en-US"/>
        </w:rPr>
        <w:t xml:space="preserve">number of patients in Australia with </w:t>
      </w:r>
      <w:r w:rsidR="00BD24C9">
        <w:rPr>
          <w:rFonts w:eastAsia="Calibri"/>
          <w:bCs/>
          <w:szCs w:val="22"/>
          <w:lang w:val="en-GB" w:eastAsia="en-US"/>
        </w:rPr>
        <w:t>s</w:t>
      </w:r>
      <w:r w:rsidR="00152345" w:rsidRPr="00BE21CE">
        <w:rPr>
          <w:rFonts w:eastAsia="Calibri"/>
          <w:bCs/>
          <w:szCs w:val="22"/>
          <w:lang w:val="en-GB" w:eastAsia="en-US"/>
        </w:rPr>
        <w:t>evere AAV</w:t>
      </w:r>
      <w:r w:rsidR="00651B09" w:rsidRPr="00BE21CE">
        <w:rPr>
          <w:rFonts w:eastAsia="Calibri"/>
          <w:bCs/>
          <w:szCs w:val="22"/>
          <w:lang w:val="en-GB" w:eastAsia="en-US"/>
        </w:rPr>
        <w:t>.</w:t>
      </w:r>
    </w:p>
    <w:sectPr w:rsidR="005246DD" w:rsidRPr="00F70238" w:rsidSect="0027637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B7858" w14:textId="77777777" w:rsidR="002F5884" w:rsidRDefault="002F5884" w:rsidP="003E1B83">
      <w:r>
        <w:separator/>
      </w:r>
    </w:p>
  </w:endnote>
  <w:endnote w:type="continuationSeparator" w:id="0">
    <w:p w14:paraId="54687D42" w14:textId="77777777" w:rsidR="002F5884" w:rsidRDefault="002F5884" w:rsidP="003E1B83">
      <w:r>
        <w:continuationSeparator/>
      </w:r>
    </w:p>
  </w:endnote>
  <w:endnote w:type="continuationNotice" w:id="1">
    <w:p w14:paraId="7F98F80A" w14:textId="77777777" w:rsidR="002F5884" w:rsidRDefault="002F58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6D28" w14:textId="77777777" w:rsidR="00F70238" w:rsidRDefault="00F702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7762A" w14:textId="77777777" w:rsidR="003E1B83" w:rsidRDefault="003E1B83">
    <w:pPr>
      <w:pStyle w:val="Footer"/>
      <w:jc w:val="center"/>
    </w:pPr>
  </w:p>
  <w:p w14:paraId="449723AA" w14:textId="7DC1A67D" w:rsidR="007F3F40" w:rsidRPr="00282CCB" w:rsidRDefault="00000000" w:rsidP="00282CCB">
    <w:pPr>
      <w:pStyle w:val="Footer"/>
      <w:jc w:val="center"/>
      <w:rPr>
        <w:b/>
        <w:bCs/>
        <w:noProof/>
      </w:rPr>
    </w:pPr>
    <w:sdt>
      <w:sdtPr>
        <w:rPr>
          <w:noProof/>
        </w:rPr>
        <w:id w:val="1036156457"/>
        <w:docPartObj>
          <w:docPartGallery w:val="Page Numbers (Bottom of Page)"/>
          <w:docPartUnique/>
        </w:docPartObj>
      </w:sdtPr>
      <w:sdtEndPr>
        <w:rPr>
          <w:b/>
          <w:bCs/>
        </w:rPr>
      </w:sdtEndPr>
      <w:sdtContent>
        <w:r w:rsidR="003E1B83" w:rsidRPr="00282CCB">
          <w:rPr>
            <w:b/>
            <w:bCs/>
            <w:noProof/>
          </w:rPr>
          <w:fldChar w:fldCharType="begin"/>
        </w:r>
        <w:r w:rsidR="003E1B83" w:rsidRPr="00282CCB">
          <w:rPr>
            <w:b/>
            <w:bCs/>
            <w:noProof/>
          </w:rPr>
          <w:instrText xml:space="preserve"> PAGE   \* MERGEFORMAT </w:instrText>
        </w:r>
        <w:r w:rsidR="003E1B83" w:rsidRPr="00282CCB">
          <w:rPr>
            <w:b/>
            <w:bCs/>
            <w:noProof/>
          </w:rPr>
          <w:fldChar w:fldCharType="separate"/>
        </w:r>
        <w:r w:rsidR="003E1B83" w:rsidRPr="00282CCB">
          <w:rPr>
            <w:b/>
            <w:bCs/>
            <w:noProof/>
          </w:rPr>
          <w:t>2</w:t>
        </w:r>
        <w:r w:rsidR="003E1B83" w:rsidRPr="00282CCB">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A64BE" w14:textId="77777777" w:rsidR="00F70238" w:rsidRDefault="00F70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D96A1" w14:textId="77777777" w:rsidR="002F5884" w:rsidRDefault="002F5884" w:rsidP="003E1B83">
      <w:r>
        <w:separator/>
      </w:r>
    </w:p>
  </w:footnote>
  <w:footnote w:type="continuationSeparator" w:id="0">
    <w:p w14:paraId="43D64C04" w14:textId="77777777" w:rsidR="002F5884" w:rsidRDefault="002F5884" w:rsidP="003E1B83">
      <w:r>
        <w:continuationSeparator/>
      </w:r>
    </w:p>
  </w:footnote>
  <w:footnote w:type="continuationNotice" w:id="1">
    <w:p w14:paraId="1A1A310D" w14:textId="77777777" w:rsidR="002F5884" w:rsidRDefault="002F5884"/>
  </w:footnote>
  <w:footnote w:id="2">
    <w:p w14:paraId="54A4C0BB" w14:textId="4BC16976" w:rsidR="00F95251" w:rsidRPr="00C3630A" w:rsidRDefault="00F95251" w:rsidP="00C3630A">
      <w:pPr>
        <w:pStyle w:val="Bibliography"/>
        <w:rPr>
          <w:rFonts w:hAnsiTheme="minorHAnsi" w:cs="Calibri"/>
          <w:sz w:val="22"/>
          <w:szCs w:val="22"/>
          <w:lang w:val="en-GB"/>
        </w:rPr>
      </w:pPr>
      <w:r>
        <w:rPr>
          <w:rStyle w:val="FootnoteReference"/>
        </w:rPr>
        <w:footnoteRef/>
      </w:r>
      <w:r>
        <w:t xml:space="preserve"> </w:t>
      </w:r>
      <w:r w:rsidRPr="00847DC3">
        <w:rPr>
          <w:rFonts w:hAnsiTheme="minorHAnsi" w:cs="Calibri"/>
          <w:sz w:val="22"/>
          <w:lang w:val="en-GB"/>
        </w:rPr>
        <w:t>Hellmich B, Sanchez-Alamo</w:t>
      </w:r>
      <w:r>
        <w:rPr>
          <w:rFonts w:hAnsiTheme="minorHAnsi" w:cs="Calibri"/>
          <w:sz w:val="22"/>
          <w:lang w:val="en-GB"/>
        </w:rPr>
        <w:t xml:space="preserve"> B</w:t>
      </w:r>
      <w:r w:rsidRPr="00847DC3">
        <w:rPr>
          <w:rFonts w:hAnsiTheme="minorHAnsi" w:cs="Calibri"/>
          <w:sz w:val="22"/>
          <w:lang w:val="en-GB"/>
        </w:rPr>
        <w:t>, Schirmer</w:t>
      </w:r>
      <w:r>
        <w:rPr>
          <w:rFonts w:hAnsiTheme="minorHAnsi" w:cs="Calibri"/>
          <w:sz w:val="22"/>
          <w:lang w:val="en-GB"/>
        </w:rPr>
        <w:t xml:space="preserve"> JH</w:t>
      </w:r>
      <w:r w:rsidRPr="00847DC3">
        <w:rPr>
          <w:rFonts w:hAnsiTheme="minorHAnsi" w:cs="Calibri"/>
          <w:sz w:val="22"/>
          <w:lang w:val="en-GB"/>
        </w:rPr>
        <w:t>, Berti</w:t>
      </w:r>
      <w:r>
        <w:rPr>
          <w:rFonts w:hAnsiTheme="minorHAnsi" w:cs="Calibri"/>
          <w:sz w:val="22"/>
          <w:lang w:val="en-GB"/>
        </w:rPr>
        <w:t xml:space="preserve"> A</w:t>
      </w:r>
      <w:r w:rsidRPr="00847DC3">
        <w:rPr>
          <w:rFonts w:hAnsiTheme="minorHAnsi" w:cs="Calibri"/>
          <w:sz w:val="22"/>
          <w:lang w:val="en-GB"/>
        </w:rPr>
        <w:t>, et al.</w:t>
      </w:r>
      <w:r>
        <w:rPr>
          <w:rFonts w:hAnsiTheme="minorHAnsi" w:cs="Calibri"/>
          <w:sz w:val="22"/>
          <w:lang w:val="en-GB"/>
        </w:rPr>
        <w:t xml:space="preserve"> </w:t>
      </w:r>
      <w:r w:rsidRPr="00847DC3">
        <w:rPr>
          <w:rFonts w:hAnsiTheme="minorHAnsi" w:cs="Calibri"/>
          <w:sz w:val="22"/>
          <w:lang w:val="en-GB"/>
        </w:rPr>
        <w:t>EULAR Recommendations for the Management of ANCA-Associated Vasculitis: 2022 Update.</w:t>
      </w:r>
      <w:r>
        <w:rPr>
          <w:rFonts w:hAnsiTheme="minorHAnsi" w:cs="Calibri"/>
          <w:sz w:val="22"/>
          <w:lang w:val="en-GB"/>
        </w:rPr>
        <w:t xml:space="preserve"> </w:t>
      </w:r>
      <w:r w:rsidRPr="001C3E2B">
        <w:rPr>
          <w:rFonts w:hAnsiTheme="minorHAnsi" w:cs="Calibri"/>
          <w:sz w:val="22"/>
          <w:lang w:val="en-GB"/>
        </w:rPr>
        <w:t>Ann Rheum Dis</w:t>
      </w:r>
      <w:r>
        <w:rPr>
          <w:rFonts w:hAnsiTheme="minorHAnsi" w:cs="Calibri"/>
          <w:sz w:val="22"/>
          <w:lang w:val="en-GB"/>
        </w:rPr>
        <w:t>. 2023; 0: 1-18</w:t>
      </w:r>
    </w:p>
  </w:footnote>
  <w:footnote w:id="3">
    <w:p w14:paraId="0A7C279E" w14:textId="7058F267" w:rsidR="00F95251" w:rsidRDefault="00F95251">
      <w:pPr>
        <w:pStyle w:val="FootnoteText"/>
      </w:pPr>
      <w:r>
        <w:rPr>
          <w:rStyle w:val="FootnoteReference"/>
        </w:rPr>
        <w:footnoteRef/>
      </w:r>
      <w:r>
        <w:t xml:space="preserve"> </w:t>
      </w:r>
      <w:r w:rsidRPr="006D1636">
        <w:rPr>
          <w:rFonts w:hAnsiTheme="minorHAnsi" w:cs="Calibri"/>
          <w:sz w:val="22"/>
          <w:szCs w:val="22"/>
          <w:lang w:val="en-GB"/>
        </w:rPr>
        <w:t xml:space="preserve">Floege J, Jayne DRW, Sanders JF, Tesar V, Rovin BH. KDIGO 2024 Clinical Practice Guideline for the Management of Antineutrophil Cytoplasmic Antibody (ANCA)–Associated Vasculitis. </w:t>
      </w:r>
      <w:r w:rsidRPr="001C3E2B">
        <w:rPr>
          <w:rFonts w:hAnsiTheme="minorHAnsi" w:cs="Calibri"/>
          <w:sz w:val="22"/>
          <w:szCs w:val="22"/>
          <w:lang w:val="en-GB"/>
        </w:rPr>
        <w:t>Kidney International</w:t>
      </w:r>
      <w:r w:rsidRPr="006D1636">
        <w:rPr>
          <w:rFonts w:hAnsiTheme="minorHAnsi" w:cs="Calibri"/>
          <w:sz w:val="22"/>
          <w:szCs w:val="22"/>
          <w:lang w:val="en-GB"/>
        </w:rPr>
        <w:t>. 2024;105 (3):S71–116.</w:t>
      </w:r>
    </w:p>
  </w:footnote>
  <w:footnote w:id="4">
    <w:p w14:paraId="30AD7D2E" w14:textId="04471818" w:rsidR="00664DC4" w:rsidRDefault="00664DC4">
      <w:pPr>
        <w:pStyle w:val="FootnoteText"/>
      </w:pPr>
      <w:r>
        <w:rPr>
          <w:rStyle w:val="FootnoteReference"/>
        </w:rPr>
        <w:footnoteRef/>
      </w:r>
      <w:r>
        <w:t xml:space="preserve"> </w:t>
      </w:r>
      <w:r w:rsidRPr="00847DC3">
        <w:rPr>
          <w:rFonts w:hAnsiTheme="minorHAnsi" w:cs="Calibri"/>
          <w:sz w:val="22"/>
          <w:lang w:val="en-GB"/>
        </w:rPr>
        <w:t>Hellmich B, Sanchez-Alamo</w:t>
      </w:r>
      <w:r>
        <w:rPr>
          <w:rFonts w:hAnsiTheme="minorHAnsi" w:cs="Calibri"/>
          <w:sz w:val="22"/>
          <w:lang w:val="en-GB"/>
        </w:rPr>
        <w:t xml:space="preserve"> B</w:t>
      </w:r>
      <w:r w:rsidRPr="00847DC3">
        <w:rPr>
          <w:rFonts w:hAnsiTheme="minorHAnsi" w:cs="Calibri"/>
          <w:sz w:val="22"/>
          <w:lang w:val="en-GB"/>
        </w:rPr>
        <w:t>, Schirmer</w:t>
      </w:r>
      <w:r>
        <w:rPr>
          <w:rFonts w:hAnsiTheme="minorHAnsi" w:cs="Calibri"/>
          <w:sz w:val="22"/>
          <w:lang w:val="en-GB"/>
        </w:rPr>
        <w:t xml:space="preserve"> JH</w:t>
      </w:r>
      <w:r w:rsidRPr="00847DC3">
        <w:rPr>
          <w:rFonts w:hAnsiTheme="minorHAnsi" w:cs="Calibri"/>
          <w:sz w:val="22"/>
          <w:lang w:val="en-GB"/>
        </w:rPr>
        <w:t>, Berti</w:t>
      </w:r>
      <w:r>
        <w:rPr>
          <w:rFonts w:hAnsiTheme="minorHAnsi" w:cs="Calibri"/>
          <w:sz w:val="22"/>
          <w:lang w:val="en-GB"/>
        </w:rPr>
        <w:t xml:space="preserve"> A</w:t>
      </w:r>
      <w:r w:rsidRPr="00847DC3">
        <w:rPr>
          <w:rFonts w:hAnsiTheme="minorHAnsi" w:cs="Calibri"/>
          <w:sz w:val="22"/>
          <w:lang w:val="en-GB"/>
        </w:rPr>
        <w:t>, et al.</w:t>
      </w:r>
      <w:r>
        <w:rPr>
          <w:rFonts w:hAnsiTheme="minorHAnsi" w:cs="Calibri"/>
          <w:sz w:val="22"/>
          <w:lang w:val="en-GB"/>
        </w:rPr>
        <w:t xml:space="preserve"> </w:t>
      </w:r>
      <w:r w:rsidRPr="00847DC3">
        <w:rPr>
          <w:rFonts w:hAnsiTheme="minorHAnsi" w:cs="Calibri"/>
          <w:sz w:val="22"/>
          <w:lang w:val="en-GB"/>
        </w:rPr>
        <w:t>EULAR Recommendations for the Management of ANCA-Associated Vasculitis: 2022 Update.</w:t>
      </w:r>
      <w:r>
        <w:rPr>
          <w:rFonts w:hAnsiTheme="minorHAnsi" w:cs="Calibri"/>
          <w:sz w:val="22"/>
          <w:lang w:val="en-GB"/>
        </w:rPr>
        <w:t xml:space="preserve"> </w:t>
      </w:r>
      <w:r w:rsidRPr="00FE352B">
        <w:rPr>
          <w:rFonts w:hAnsiTheme="minorHAnsi" w:cs="Calibri"/>
          <w:sz w:val="22"/>
          <w:lang w:val="en-GB"/>
        </w:rPr>
        <w:t>Ann Rheum Dis</w:t>
      </w:r>
      <w:r>
        <w:rPr>
          <w:rFonts w:hAnsiTheme="minorHAnsi" w:cs="Calibri"/>
          <w:sz w:val="22"/>
          <w:lang w:val="en-GB"/>
        </w:rPr>
        <w:t>. 2023; 0: 1-18</w:t>
      </w:r>
    </w:p>
  </w:footnote>
  <w:footnote w:id="5">
    <w:p w14:paraId="5A9BC987" w14:textId="62F0D91A" w:rsidR="00664DC4" w:rsidRPr="002E21D0" w:rsidRDefault="00664DC4" w:rsidP="002E21D0">
      <w:pPr>
        <w:pStyle w:val="Bibliography"/>
        <w:rPr>
          <w:rFonts w:hAnsiTheme="minorHAnsi" w:cs="Calibri"/>
          <w:sz w:val="22"/>
          <w:szCs w:val="22"/>
          <w:lang w:val="en-GB"/>
        </w:rPr>
      </w:pPr>
      <w:r w:rsidRPr="00FE352B">
        <w:rPr>
          <w:rStyle w:val="FootnoteReference"/>
          <w:sz w:val="22"/>
          <w:szCs w:val="22"/>
        </w:rPr>
        <w:footnoteRef/>
      </w:r>
      <w:r w:rsidRPr="00FE352B">
        <w:rPr>
          <w:sz w:val="22"/>
          <w:szCs w:val="22"/>
        </w:rPr>
        <w:t xml:space="preserve"> </w:t>
      </w:r>
      <w:r w:rsidRPr="006D1636">
        <w:rPr>
          <w:rFonts w:hAnsiTheme="minorHAnsi" w:cs="Calibri"/>
          <w:sz w:val="22"/>
          <w:szCs w:val="22"/>
          <w:lang w:val="en-GB"/>
        </w:rPr>
        <w:t>Floege J, Jayne</w:t>
      </w:r>
      <w:r w:rsidR="006D1636" w:rsidRPr="006D1636">
        <w:rPr>
          <w:rFonts w:hAnsiTheme="minorHAnsi" w:cs="Calibri"/>
          <w:sz w:val="22"/>
          <w:szCs w:val="22"/>
          <w:lang w:val="en-GB"/>
        </w:rPr>
        <w:t xml:space="preserve"> DRW</w:t>
      </w:r>
      <w:r w:rsidRPr="006D1636">
        <w:rPr>
          <w:rFonts w:hAnsiTheme="minorHAnsi" w:cs="Calibri"/>
          <w:sz w:val="22"/>
          <w:szCs w:val="22"/>
          <w:lang w:val="en-GB"/>
        </w:rPr>
        <w:t>, Sanders</w:t>
      </w:r>
      <w:r w:rsidR="006D1636" w:rsidRPr="006D1636">
        <w:rPr>
          <w:rFonts w:hAnsiTheme="minorHAnsi" w:cs="Calibri"/>
          <w:sz w:val="22"/>
          <w:szCs w:val="22"/>
          <w:lang w:val="en-GB"/>
        </w:rPr>
        <w:t xml:space="preserve"> JF</w:t>
      </w:r>
      <w:r w:rsidRPr="006D1636">
        <w:rPr>
          <w:rFonts w:hAnsiTheme="minorHAnsi" w:cs="Calibri"/>
          <w:sz w:val="22"/>
          <w:szCs w:val="22"/>
          <w:lang w:val="en-GB"/>
        </w:rPr>
        <w:t>, Tesar</w:t>
      </w:r>
      <w:r w:rsidR="006D1636" w:rsidRPr="006D1636">
        <w:rPr>
          <w:rFonts w:hAnsiTheme="minorHAnsi" w:cs="Calibri"/>
          <w:sz w:val="22"/>
          <w:szCs w:val="22"/>
          <w:lang w:val="en-GB"/>
        </w:rPr>
        <w:t xml:space="preserve"> V</w:t>
      </w:r>
      <w:r w:rsidRPr="006D1636">
        <w:rPr>
          <w:rFonts w:hAnsiTheme="minorHAnsi" w:cs="Calibri"/>
          <w:sz w:val="22"/>
          <w:szCs w:val="22"/>
          <w:lang w:val="en-GB"/>
        </w:rPr>
        <w:t>, Rovin</w:t>
      </w:r>
      <w:r w:rsidR="006D1636" w:rsidRPr="006D1636">
        <w:rPr>
          <w:rFonts w:hAnsiTheme="minorHAnsi" w:cs="Calibri"/>
          <w:sz w:val="22"/>
          <w:szCs w:val="22"/>
          <w:lang w:val="en-GB"/>
        </w:rPr>
        <w:t xml:space="preserve"> BH</w:t>
      </w:r>
      <w:r w:rsidRPr="006D1636">
        <w:rPr>
          <w:rFonts w:hAnsiTheme="minorHAnsi" w:cs="Calibri"/>
          <w:sz w:val="22"/>
          <w:szCs w:val="22"/>
          <w:lang w:val="en-GB"/>
        </w:rPr>
        <w:t>. KDIGO 2024 Clinical Practice Guideline for the Management of Antineutrophil Cytoplasmic Antibody (ANCA)–Associated Vasculitis.</w:t>
      </w:r>
      <w:r w:rsidR="006D1636" w:rsidRPr="006D1636">
        <w:rPr>
          <w:rFonts w:hAnsiTheme="minorHAnsi" w:cs="Calibri"/>
          <w:sz w:val="22"/>
          <w:szCs w:val="22"/>
          <w:lang w:val="en-GB"/>
        </w:rPr>
        <w:t xml:space="preserve"> </w:t>
      </w:r>
      <w:r w:rsidRPr="00FE352B">
        <w:rPr>
          <w:rFonts w:hAnsiTheme="minorHAnsi" w:cs="Calibri"/>
          <w:sz w:val="22"/>
          <w:szCs w:val="22"/>
          <w:lang w:val="en-GB"/>
        </w:rPr>
        <w:t>Kidney International</w:t>
      </w:r>
      <w:r w:rsidR="006D1636" w:rsidRPr="006D1636">
        <w:rPr>
          <w:rFonts w:hAnsiTheme="minorHAnsi" w:cs="Calibri"/>
          <w:sz w:val="22"/>
          <w:szCs w:val="22"/>
          <w:lang w:val="en-GB"/>
        </w:rPr>
        <w:t>. 2024;</w:t>
      </w:r>
      <w:r w:rsidRPr="006D1636">
        <w:rPr>
          <w:rFonts w:hAnsiTheme="minorHAnsi" w:cs="Calibri"/>
          <w:sz w:val="22"/>
          <w:szCs w:val="22"/>
          <w:lang w:val="en-GB"/>
        </w:rPr>
        <w:t>105 (3):S71–116.</w:t>
      </w:r>
    </w:p>
  </w:footnote>
  <w:footnote w:id="6">
    <w:p w14:paraId="450D8946" w14:textId="583AAFE5" w:rsidR="00A65E67" w:rsidRPr="002E21D0" w:rsidRDefault="00A65E67" w:rsidP="002E21D0">
      <w:pPr>
        <w:pStyle w:val="Bibliography"/>
        <w:rPr>
          <w:rFonts w:hAnsiTheme="minorHAnsi" w:cs="Calibri"/>
          <w:sz w:val="22"/>
          <w:lang w:val="en-GB"/>
        </w:rPr>
      </w:pPr>
      <w:r>
        <w:rPr>
          <w:rStyle w:val="FootnoteReference"/>
        </w:rPr>
        <w:footnoteRef/>
      </w:r>
      <w:r>
        <w:t xml:space="preserve"> </w:t>
      </w:r>
      <w:r w:rsidRPr="00847DC3">
        <w:rPr>
          <w:rFonts w:hAnsiTheme="minorHAnsi" w:cs="Calibri"/>
          <w:sz w:val="22"/>
          <w:lang w:val="en-GB"/>
        </w:rPr>
        <w:t>Heerspink</w:t>
      </w:r>
      <w:r>
        <w:rPr>
          <w:rFonts w:hAnsiTheme="minorHAnsi" w:cs="Calibri"/>
          <w:sz w:val="22"/>
          <w:lang w:val="en-GB"/>
        </w:rPr>
        <w:t xml:space="preserve"> H </w:t>
      </w:r>
      <w:r w:rsidRPr="00847DC3">
        <w:rPr>
          <w:rFonts w:hAnsiTheme="minorHAnsi" w:cs="Calibri"/>
          <w:sz w:val="22"/>
          <w:lang w:val="en-GB"/>
        </w:rPr>
        <w:t>J L, Greene</w:t>
      </w:r>
      <w:r>
        <w:rPr>
          <w:rFonts w:hAnsiTheme="minorHAnsi" w:cs="Calibri"/>
          <w:sz w:val="22"/>
          <w:lang w:val="en-GB"/>
        </w:rPr>
        <w:t xml:space="preserve"> T</w:t>
      </w:r>
      <w:r w:rsidRPr="00847DC3">
        <w:rPr>
          <w:rFonts w:hAnsiTheme="minorHAnsi" w:cs="Calibri"/>
          <w:sz w:val="22"/>
          <w:lang w:val="en-GB"/>
        </w:rPr>
        <w:t>, Tighiouart</w:t>
      </w:r>
      <w:r>
        <w:rPr>
          <w:rFonts w:hAnsiTheme="minorHAnsi" w:cs="Calibri"/>
          <w:sz w:val="22"/>
          <w:lang w:val="en-GB"/>
        </w:rPr>
        <w:t xml:space="preserve"> H</w:t>
      </w:r>
      <w:r w:rsidRPr="00847DC3">
        <w:rPr>
          <w:rFonts w:hAnsiTheme="minorHAnsi" w:cs="Calibri"/>
          <w:sz w:val="22"/>
          <w:lang w:val="en-GB"/>
        </w:rPr>
        <w:t xml:space="preserve">, </w:t>
      </w:r>
      <w:r>
        <w:rPr>
          <w:rFonts w:hAnsiTheme="minorHAnsi" w:cs="Calibri"/>
          <w:sz w:val="22"/>
          <w:lang w:val="en-GB"/>
        </w:rPr>
        <w:t xml:space="preserve">et.al. </w:t>
      </w:r>
      <w:r w:rsidRPr="00847DC3">
        <w:rPr>
          <w:rFonts w:hAnsiTheme="minorHAnsi" w:cs="Calibri"/>
          <w:sz w:val="22"/>
          <w:lang w:val="en-GB"/>
        </w:rPr>
        <w:t xml:space="preserve">Change in Albuminuria as a Surrogate Endpoint for Progression of Kidney Disease: A Meta-Analysis of Treatment Effects in Randomised Clinical Trials. </w:t>
      </w:r>
      <w:r w:rsidRPr="00FE352B">
        <w:rPr>
          <w:rFonts w:hAnsiTheme="minorHAnsi" w:cs="Calibri"/>
          <w:sz w:val="22"/>
          <w:lang w:val="en-GB"/>
        </w:rPr>
        <w:t>Lancet Diabet</w:t>
      </w:r>
      <w:r>
        <w:rPr>
          <w:rFonts w:hAnsiTheme="minorHAnsi" w:cs="Calibri"/>
          <w:sz w:val="22"/>
          <w:lang w:val="en-GB"/>
        </w:rPr>
        <w:t xml:space="preserve">es </w:t>
      </w:r>
      <w:r w:rsidRPr="00FE352B">
        <w:rPr>
          <w:rFonts w:hAnsiTheme="minorHAnsi" w:cs="Calibri"/>
          <w:sz w:val="22"/>
          <w:lang w:val="en-GB"/>
        </w:rPr>
        <w:t>Endocrinol</w:t>
      </w:r>
      <w:r>
        <w:rPr>
          <w:rFonts w:hAnsiTheme="minorHAnsi" w:cs="Calibri"/>
          <w:sz w:val="22"/>
          <w:lang w:val="en-GB"/>
        </w:rPr>
        <w:t xml:space="preserve">. 2019; </w:t>
      </w:r>
      <w:r w:rsidRPr="00847DC3">
        <w:rPr>
          <w:rFonts w:hAnsiTheme="minorHAnsi" w:cs="Calibri"/>
          <w:sz w:val="22"/>
          <w:lang w:val="en-GB"/>
        </w:rPr>
        <w:t>7(2):128–39</w:t>
      </w:r>
    </w:p>
  </w:footnote>
  <w:footnote w:id="7">
    <w:p w14:paraId="6AC3CE7F" w14:textId="77777777" w:rsidR="00FD78D2" w:rsidRDefault="00FD78D2" w:rsidP="00FD78D2">
      <w:pPr>
        <w:pStyle w:val="FootnoteText"/>
      </w:pPr>
      <w:r>
        <w:rPr>
          <w:rStyle w:val="FootnoteReference"/>
        </w:rPr>
        <w:footnoteRef/>
      </w:r>
      <w:r>
        <w:t xml:space="preserve"> </w:t>
      </w:r>
      <w:r w:rsidRPr="00F36413">
        <w:rPr>
          <w:noProof/>
        </w:rPr>
        <w:t>Walsh M, Merkel PA, Peh C-A, et al. Plasma exchange and glucocorticoids in severe ANCA-associated vasculitis. N Engl J Med. 2020; 382(7):622-31.</w:t>
      </w:r>
    </w:p>
  </w:footnote>
  <w:footnote w:id="8">
    <w:p w14:paraId="250CFBB8" w14:textId="77777777" w:rsidR="00152140" w:rsidRDefault="00152140" w:rsidP="00152140">
      <w:pPr>
        <w:pStyle w:val="FootnoteText"/>
      </w:pPr>
      <w:r>
        <w:rPr>
          <w:rStyle w:val="FootnoteReference"/>
        </w:rPr>
        <w:footnoteRef/>
      </w:r>
      <w:r>
        <w:t xml:space="preserve"> </w:t>
      </w:r>
      <w:r w:rsidRPr="00F36413">
        <w:rPr>
          <w:noProof/>
        </w:rPr>
        <w:t>McGregor JG, Hogan SL, Hu Y, et al. Glucocorticoids and relapse and infection rates in anti-neutrophil cytoplasmic antibody disease. Clin J Am Soc Nephrol. 2012; 7(2):240-7.</w:t>
      </w:r>
    </w:p>
  </w:footnote>
  <w:footnote w:id="9">
    <w:p w14:paraId="461D4963" w14:textId="77777777" w:rsidR="002C0DC9" w:rsidRDefault="002C0DC9" w:rsidP="002C0DC9">
      <w:pPr>
        <w:pStyle w:val="FootnoteText"/>
      </w:pPr>
      <w:r>
        <w:rPr>
          <w:rStyle w:val="FootnoteReference"/>
        </w:rPr>
        <w:footnoteRef/>
      </w:r>
      <w:r>
        <w:t xml:space="preserve"> </w:t>
      </w:r>
      <w:r w:rsidRPr="00F36413">
        <w:rPr>
          <w:noProof/>
        </w:rPr>
        <w:t>Robson J, Doll H, Suppiah R, et al. Glucocorticoid treatment and damage in the anti-neutrophil cytoplasm antibody-associated vasculitides: long-term data from the European Vasculitis Study Group trials. Rheumatology (Oxford). 2015; 54(3):471-81.</w:t>
      </w:r>
    </w:p>
  </w:footnote>
  <w:footnote w:id="10">
    <w:p w14:paraId="06C27BBF" w14:textId="77777777" w:rsidR="00BA44F0" w:rsidRPr="00F728DF" w:rsidRDefault="00BA44F0" w:rsidP="00BA44F0">
      <w:pPr>
        <w:autoSpaceDE w:val="0"/>
        <w:autoSpaceDN w:val="0"/>
        <w:adjustRightInd w:val="0"/>
        <w:jc w:val="left"/>
        <w:rPr>
          <w:sz w:val="20"/>
          <w:szCs w:val="20"/>
        </w:rPr>
      </w:pPr>
      <w:r w:rsidRPr="00F728DF">
        <w:rPr>
          <w:rStyle w:val="FootnoteReference"/>
          <w:sz w:val="20"/>
          <w:szCs w:val="20"/>
        </w:rPr>
        <w:footnoteRef/>
      </w:r>
      <w:r w:rsidRPr="00F728DF">
        <w:rPr>
          <w:sz w:val="20"/>
          <w:szCs w:val="20"/>
        </w:rPr>
        <w:t xml:space="preserve"> Clinical scenario 1 described a 65 year old female PR3-AAV patient with kidney and lung manifestations, significant kidney impairment (serum creatinine [sCr] 280mcmol/L, eGFR 20ml/min), who had undergone kidney biopsy demonstrating glomerular crescent formation with minimal interstitial fibrosis.</w:t>
      </w:r>
    </w:p>
  </w:footnote>
  <w:footnote w:id="11">
    <w:p w14:paraId="5B57E4F8" w14:textId="6565C858" w:rsidR="00EB1DAA" w:rsidRPr="00917023" w:rsidRDefault="00EB1DAA" w:rsidP="00917023">
      <w:pPr>
        <w:shd w:val="clear" w:color="auto" w:fill="FFFFFF"/>
        <w:jc w:val="left"/>
        <w:rPr>
          <w:sz w:val="20"/>
          <w:szCs w:val="20"/>
        </w:rPr>
      </w:pPr>
      <w:r w:rsidRPr="00FE2EDF">
        <w:rPr>
          <w:rStyle w:val="FootnoteReference"/>
          <w:sz w:val="20"/>
          <w:szCs w:val="20"/>
        </w:rPr>
        <w:footnoteRef/>
      </w:r>
      <w:r w:rsidRPr="00FE2EDF">
        <w:rPr>
          <w:sz w:val="20"/>
          <w:szCs w:val="20"/>
        </w:rPr>
        <w:t xml:space="preserve"> </w:t>
      </w:r>
      <w:r w:rsidR="00917023" w:rsidRPr="00917023">
        <w:rPr>
          <w:sz w:val="20"/>
          <w:szCs w:val="20"/>
        </w:rPr>
        <w:t>Watts RA, Mahr A, Mohammad AJ, et al. Classification, epidemiology and clinical subgrouping of antineutrophil cytoplasmic antibody (ANCA) – associated vasculitis. Nephrol Dial Transplant. 2015 Apr:30 Suppl 1:i14-22. doi: 10.1093/ndt/gfv022.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740B7" w14:textId="77777777" w:rsidR="00F70238" w:rsidRDefault="00F702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D72F2" w14:textId="30255BD8" w:rsidR="003E1B83" w:rsidRPr="00195452" w:rsidRDefault="002E059D">
    <w:pPr>
      <w:pStyle w:val="Header"/>
      <w:rPr>
        <w:rFonts w:asciiTheme="minorHAnsi" w:hAnsiTheme="minorHAnsi"/>
        <w:i/>
        <w:color w:val="808080"/>
      </w:rPr>
    </w:pPr>
    <w:r w:rsidRPr="002E059D">
      <w:rPr>
        <w:rFonts w:asciiTheme="minorHAnsi" w:hAnsiTheme="minorHAnsi"/>
        <w:i/>
        <w:color w:val="808080"/>
      </w:rPr>
      <w:t xml:space="preserve">Public Summary Document </w:t>
    </w:r>
    <w:r w:rsidR="00F728DF">
      <w:rPr>
        <w:rFonts w:asciiTheme="minorHAnsi" w:hAnsiTheme="minorHAnsi"/>
        <w:i/>
        <w:color w:val="808080"/>
      </w:rPr>
      <w:t xml:space="preserve">- </w:t>
    </w:r>
    <w:r w:rsidR="00C21A30">
      <w:rPr>
        <w:rFonts w:asciiTheme="minorHAnsi" w:hAnsiTheme="minorHAnsi"/>
        <w:i/>
        <w:color w:val="808080"/>
      </w:rPr>
      <w:t>March</w:t>
    </w:r>
    <w:r w:rsidR="003E1B83">
      <w:rPr>
        <w:rFonts w:asciiTheme="minorHAnsi" w:hAnsiTheme="minorHAnsi"/>
        <w:i/>
        <w:color w:val="808080"/>
      </w:rPr>
      <w:t xml:space="preserve"> 202</w:t>
    </w:r>
    <w:r w:rsidR="00C21A30">
      <w:rPr>
        <w:rFonts w:asciiTheme="minorHAnsi" w:hAnsiTheme="minorHAnsi"/>
        <w:i/>
        <w:color w:val="808080"/>
      </w:rPr>
      <w:t>4</w:t>
    </w:r>
    <w:r w:rsidR="003E1B83">
      <w:rPr>
        <w:rFonts w:asciiTheme="minorHAnsi" w:hAnsiTheme="minorHAnsi"/>
        <w:i/>
        <w:color w:val="808080"/>
      </w:rPr>
      <w:t xml:space="preserve"> </w:t>
    </w:r>
    <w:r w:rsidR="003E1B83" w:rsidRPr="00195452">
      <w:rPr>
        <w:rFonts w:asciiTheme="minorHAnsi" w:hAnsiTheme="minorHAnsi"/>
        <w:i/>
        <w:color w:val="808080"/>
      </w:rPr>
      <w:t>PBAC Meeting</w:t>
    </w:r>
  </w:p>
  <w:p w14:paraId="158AD125" w14:textId="77777777" w:rsidR="007F3F40" w:rsidRDefault="007F3F4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733E" w14:textId="77777777" w:rsidR="00F70238" w:rsidRDefault="00F70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DBCBD3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B323C"/>
    <w:multiLevelType w:val="hybridMultilevel"/>
    <w:tmpl w:val="C302C8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3B6600"/>
    <w:multiLevelType w:val="hybridMultilevel"/>
    <w:tmpl w:val="CFA8E4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2442469"/>
    <w:multiLevelType w:val="multilevel"/>
    <w:tmpl w:val="091E3C02"/>
    <w:lvl w:ilvl="0">
      <w:start w:val="25"/>
      <w:numFmt w:val="decimal"/>
      <w:lvlText w:val="%1"/>
      <w:lvlJc w:val="left"/>
      <w:pPr>
        <w:ind w:left="372" w:hanging="372"/>
      </w:pPr>
      <w:rPr>
        <w:rFonts w:hint="default"/>
        <w:b w:val="0"/>
      </w:rPr>
    </w:lvl>
    <w:lvl w:ilvl="1">
      <w:start w:val="6"/>
      <w:numFmt w:val="decimal"/>
      <w:lvlText w:val="%1.%2"/>
      <w:lvlJc w:val="left"/>
      <w:pPr>
        <w:ind w:left="372" w:hanging="372"/>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7130F5C"/>
    <w:multiLevelType w:val="hybridMultilevel"/>
    <w:tmpl w:val="5DCA8094"/>
    <w:lvl w:ilvl="0" w:tplc="3E5CB342">
      <w:start w:val="1"/>
      <w:numFmt w:val="decimal"/>
      <w:lvlText w:val="%1."/>
      <w:lvlJc w:val="left"/>
      <w:pPr>
        <w:ind w:left="360" w:hanging="360"/>
      </w:pPr>
      <w:rPr>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74F1D69"/>
    <w:multiLevelType w:val="hybridMultilevel"/>
    <w:tmpl w:val="E0442A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D4F3F03"/>
    <w:multiLevelType w:val="hybridMultilevel"/>
    <w:tmpl w:val="20D02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7337E0"/>
    <w:multiLevelType w:val="hybridMultilevel"/>
    <w:tmpl w:val="B7E456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1371F8B"/>
    <w:multiLevelType w:val="hybridMultilevel"/>
    <w:tmpl w:val="980EF9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2A15514"/>
    <w:multiLevelType w:val="multilevel"/>
    <w:tmpl w:val="4D36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6347C8"/>
    <w:multiLevelType w:val="hybridMultilevel"/>
    <w:tmpl w:val="175A3B1E"/>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6A02CEB"/>
    <w:multiLevelType w:val="hybridMultilevel"/>
    <w:tmpl w:val="F5648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F1280E"/>
    <w:multiLevelType w:val="hybridMultilevel"/>
    <w:tmpl w:val="B1083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E105A8"/>
    <w:multiLevelType w:val="hybridMultilevel"/>
    <w:tmpl w:val="7C60FC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F62F37"/>
    <w:multiLevelType w:val="hybridMultilevel"/>
    <w:tmpl w:val="081EC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35412"/>
    <w:multiLevelType w:val="hybridMultilevel"/>
    <w:tmpl w:val="1A30F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B6274A"/>
    <w:multiLevelType w:val="hybridMultilevel"/>
    <w:tmpl w:val="E07A47CC"/>
    <w:lvl w:ilvl="0" w:tplc="E1B6BF4A">
      <w:start w:val="1"/>
      <w:numFmt w:val="decimal"/>
      <w:lvlText w:val="%1."/>
      <w:lvlJc w:val="left"/>
      <w:pPr>
        <w:ind w:left="1778" w:hanging="360"/>
      </w:pPr>
      <w:rPr>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24005C31"/>
    <w:multiLevelType w:val="hybridMultilevel"/>
    <w:tmpl w:val="39BA085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24C97EC1"/>
    <w:multiLevelType w:val="hybridMultilevel"/>
    <w:tmpl w:val="FE44FC3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0" w15:restartNumberingAfterBreak="0">
    <w:nsid w:val="2721696D"/>
    <w:multiLevelType w:val="hybridMultilevel"/>
    <w:tmpl w:val="A0D0FB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73421DD"/>
    <w:multiLevelType w:val="hybridMultilevel"/>
    <w:tmpl w:val="BBCC2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C77056B"/>
    <w:multiLevelType w:val="hybridMultilevel"/>
    <w:tmpl w:val="12407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E0C3BE2"/>
    <w:multiLevelType w:val="hybridMultilevel"/>
    <w:tmpl w:val="053E5F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E30290E"/>
    <w:multiLevelType w:val="hybridMultilevel"/>
    <w:tmpl w:val="6CB6F4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2E9D77C6"/>
    <w:multiLevelType w:val="hybridMultilevel"/>
    <w:tmpl w:val="A17A5FA8"/>
    <w:lvl w:ilvl="0" w:tplc="6AF6B5F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EF407C6"/>
    <w:multiLevelType w:val="hybridMultilevel"/>
    <w:tmpl w:val="606ED8A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2F5505EC"/>
    <w:multiLevelType w:val="hybridMultilevel"/>
    <w:tmpl w:val="6B842B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603A2"/>
    <w:multiLevelType w:val="multilevel"/>
    <w:tmpl w:val="0A522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4F66C9B"/>
    <w:multiLevelType w:val="hybridMultilevel"/>
    <w:tmpl w:val="53EE6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6021F4C"/>
    <w:multiLevelType w:val="hybridMultilevel"/>
    <w:tmpl w:val="97F079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364B2361"/>
    <w:multiLevelType w:val="hybridMultilevel"/>
    <w:tmpl w:val="022494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36BE59C5"/>
    <w:multiLevelType w:val="hybridMultilevel"/>
    <w:tmpl w:val="451A5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902454F"/>
    <w:multiLevelType w:val="hybridMultilevel"/>
    <w:tmpl w:val="786A0506"/>
    <w:lvl w:ilvl="0" w:tplc="20F83F28">
      <w:start w:val="1"/>
      <w:numFmt w:val="decimal"/>
      <w:lvlText w:val="%1)"/>
      <w:lvlJc w:val="left"/>
      <w:pPr>
        <w:ind w:left="1020" w:hanging="360"/>
      </w:pPr>
    </w:lvl>
    <w:lvl w:ilvl="1" w:tplc="354879FC">
      <w:start w:val="1"/>
      <w:numFmt w:val="decimal"/>
      <w:lvlText w:val="%2)"/>
      <w:lvlJc w:val="left"/>
      <w:pPr>
        <w:ind w:left="1020" w:hanging="360"/>
      </w:pPr>
    </w:lvl>
    <w:lvl w:ilvl="2" w:tplc="3656FE28">
      <w:start w:val="1"/>
      <w:numFmt w:val="decimal"/>
      <w:lvlText w:val="%3)"/>
      <w:lvlJc w:val="left"/>
      <w:pPr>
        <w:ind w:left="1020" w:hanging="360"/>
      </w:pPr>
    </w:lvl>
    <w:lvl w:ilvl="3" w:tplc="03B6A510">
      <w:start w:val="1"/>
      <w:numFmt w:val="decimal"/>
      <w:lvlText w:val="%4)"/>
      <w:lvlJc w:val="left"/>
      <w:pPr>
        <w:ind w:left="1020" w:hanging="360"/>
      </w:pPr>
    </w:lvl>
    <w:lvl w:ilvl="4" w:tplc="E4F890EA">
      <w:start w:val="1"/>
      <w:numFmt w:val="decimal"/>
      <w:lvlText w:val="%5)"/>
      <w:lvlJc w:val="left"/>
      <w:pPr>
        <w:ind w:left="1020" w:hanging="360"/>
      </w:pPr>
    </w:lvl>
    <w:lvl w:ilvl="5" w:tplc="FABC9EA2">
      <w:start w:val="1"/>
      <w:numFmt w:val="decimal"/>
      <w:lvlText w:val="%6)"/>
      <w:lvlJc w:val="left"/>
      <w:pPr>
        <w:ind w:left="1020" w:hanging="360"/>
      </w:pPr>
    </w:lvl>
    <w:lvl w:ilvl="6" w:tplc="490A7C86">
      <w:start w:val="1"/>
      <w:numFmt w:val="decimal"/>
      <w:lvlText w:val="%7)"/>
      <w:lvlJc w:val="left"/>
      <w:pPr>
        <w:ind w:left="1020" w:hanging="360"/>
      </w:pPr>
    </w:lvl>
    <w:lvl w:ilvl="7" w:tplc="A77CDB16">
      <w:start w:val="1"/>
      <w:numFmt w:val="decimal"/>
      <w:lvlText w:val="%8)"/>
      <w:lvlJc w:val="left"/>
      <w:pPr>
        <w:ind w:left="1020" w:hanging="360"/>
      </w:pPr>
    </w:lvl>
    <w:lvl w:ilvl="8" w:tplc="62746F78">
      <w:start w:val="1"/>
      <w:numFmt w:val="decimal"/>
      <w:lvlText w:val="%9)"/>
      <w:lvlJc w:val="left"/>
      <w:pPr>
        <w:ind w:left="1020" w:hanging="360"/>
      </w:pPr>
    </w:lvl>
  </w:abstractNum>
  <w:abstractNum w:abstractNumId="34" w15:restartNumberingAfterBreak="0">
    <w:nsid w:val="390534B5"/>
    <w:multiLevelType w:val="hybridMultilevel"/>
    <w:tmpl w:val="619E724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3F6B3359"/>
    <w:multiLevelType w:val="hybridMultilevel"/>
    <w:tmpl w:val="59E07CA4"/>
    <w:lvl w:ilvl="0" w:tplc="2FCE7718">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3FF1335B"/>
    <w:multiLevelType w:val="hybridMultilevel"/>
    <w:tmpl w:val="E32252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40DE411D"/>
    <w:multiLevelType w:val="hybridMultilevel"/>
    <w:tmpl w:val="8280E272"/>
    <w:lvl w:ilvl="0" w:tplc="CFEACABC">
      <w:start w:val="1"/>
      <w:numFmt w:val="bullet"/>
      <w:lvlText w:val=""/>
      <w:lvlJc w:val="left"/>
      <w:pPr>
        <w:ind w:left="720" w:hanging="360"/>
      </w:pPr>
      <w:rPr>
        <w:rFonts w:ascii="Symbol" w:hAnsi="Symbol"/>
      </w:rPr>
    </w:lvl>
    <w:lvl w:ilvl="1" w:tplc="0EC04524">
      <w:start w:val="1"/>
      <w:numFmt w:val="bullet"/>
      <w:lvlText w:val=""/>
      <w:lvlJc w:val="left"/>
      <w:pPr>
        <w:ind w:left="720" w:hanging="360"/>
      </w:pPr>
      <w:rPr>
        <w:rFonts w:ascii="Symbol" w:hAnsi="Symbol"/>
      </w:rPr>
    </w:lvl>
    <w:lvl w:ilvl="2" w:tplc="E884D3B0">
      <w:start w:val="1"/>
      <w:numFmt w:val="bullet"/>
      <w:lvlText w:val=""/>
      <w:lvlJc w:val="left"/>
      <w:pPr>
        <w:ind w:left="720" w:hanging="360"/>
      </w:pPr>
      <w:rPr>
        <w:rFonts w:ascii="Symbol" w:hAnsi="Symbol"/>
      </w:rPr>
    </w:lvl>
    <w:lvl w:ilvl="3" w:tplc="852432EA">
      <w:start w:val="1"/>
      <w:numFmt w:val="bullet"/>
      <w:lvlText w:val=""/>
      <w:lvlJc w:val="left"/>
      <w:pPr>
        <w:ind w:left="720" w:hanging="360"/>
      </w:pPr>
      <w:rPr>
        <w:rFonts w:ascii="Symbol" w:hAnsi="Symbol"/>
      </w:rPr>
    </w:lvl>
    <w:lvl w:ilvl="4" w:tplc="AF4EFA16">
      <w:start w:val="1"/>
      <w:numFmt w:val="bullet"/>
      <w:lvlText w:val=""/>
      <w:lvlJc w:val="left"/>
      <w:pPr>
        <w:ind w:left="720" w:hanging="360"/>
      </w:pPr>
      <w:rPr>
        <w:rFonts w:ascii="Symbol" w:hAnsi="Symbol"/>
      </w:rPr>
    </w:lvl>
    <w:lvl w:ilvl="5" w:tplc="DFB80F9C">
      <w:start w:val="1"/>
      <w:numFmt w:val="bullet"/>
      <w:lvlText w:val=""/>
      <w:lvlJc w:val="left"/>
      <w:pPr>
        <w:ind w:left="720" w:hanging="360"/>
      </w:pPr>
      <w:rPr>
        <w:rFonts w:ascii="Symbol" w:hAnsi="Symbol"/>
      </w:rPr>
    </w:lvl>
    <w:lvl w:ilvl="6" w:tplc="380212A6">
      <w:start w:val="1"/>
      <w:numFmt w:val="bullet"/>
      <w:lvlText w:val=""/>
      <w:lvlJc w:val="left"/>
      <w:pPr>
        <w:ind w:left="720" w:hanging="360"/>
      </w:pPr>
      <w:rPr>
        <w:rFonts w:ascii="Symbol" w:hAnsi="Symbol"/>
      </w:rPr>
    </w:lvl>
    <w:lvl w:ilvl="7" w:tplc="C062E1B0">
      <w:start w:val="1"/>
      <w:numFmt w:val="bullet"/>
      <w:lvlText w:val=""/>
      <w:lvlJc w:val="left"/>
      <w:pPr>
        <w:ind w:left="720" w:hanging="360"/>
      </w:pPr>
      <w:rPr>
        <w:rFonts w:ascii="Symbol" w:hAnsi="Symbol"/>
      </w:rPr>
    </w:lvl>
    <w:lvl w:ilvl="8" w:tplc="A0DE1146">
      <w:start w:val="1"/>
      <w:numFmt w:val="bullet"/>
      <w:lvlText w:val=""/>
      <w:lvlJc w:val="left"/>
      <w:pPr>
        <w:ind w:left="720" w:hanging="360"/>
      </w:pPr>
      <w:rPr>
        <w:rFonts w:ascii="Symbol" w:hAnsi="Symbol"/>
      </w:rPr>
    </w:lvl>
  </w:abstractNum>
  <w:abstractNum w:abstractNumId="38" w15:restartNumberingAfterBreak="0">
    <w:nsid w:val="410054A4"/>
    <w:multiLevelType w:val="hybridMultilevel"/>
    <w:tmpl w:val="E18A14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41436D0A"/>
    <w:multiLevelType w:val="hybridMultilevel"/>
    <w:tmpl w:val="BBD8D3C8"/>
    <w:lvl w:ilvl="0" w:tplc="2FCE7718">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42376C72"/>
    <w:multiLevelType w:val="hybridMultilevel"/>
    <w:tmpl w:val="FC806F9C"/>
    <w:lvl w:ilvl="0" w:tplc="2FCE771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2EB0669"/>
    <w:multiLevelType w:val="hybridMultilevel"/>
    <w:tmpl w:val="5192E41E"/>
    <w:lvl w:ilvl="0" w:tplc="0C09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2" w15:restartNumberingAfterBreak="0">
    <w:nsid w:val="436D7E08"/>
    <w:multiLevelType w:val="hybridMultilevel"/>
    <w:tmpl w:val="B04828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45C4C4B"/>
    <w:multiLevelType w:val="multilevel"/>
    <w:tmpl w:val="18584342"/>
    <w:lvl w:ilvl="0">
      <w:start w:val="90"/>
      <w:numFmt w:val="decimal"/>
      <w:lvlText w:val="%1"/>
      <w:lvlJc w:val="left"/>
      <w:pPr>
        <w:ind w:left="372" w:hanging="372"/>
      </w:pPr>
      <w:rPr>
        <w:rFonts w:ascii="Arial Narrow" w:eastAsiaTheme="majorEastAsia" w:hAnsi="Arial Narrow" w:hint="default"/>
        <w:sz w:val="20"/>
      </w:rPr>
    </w:lvl>
    <w:lvl w:ilvl="1">
      <w:start w:val="46"/>
      <w:numFmt w:val="decimal"/>
      <w:lvlText w:val="%1.%2"/>
      <w:lvlJc w:val="left"/>
      <w:pPr>
        <w:ind w:left="372" w:hanging="372"/>
      </w:pPr>
      <w:rPr>
        <w:rFonts w:ascii="Arial Narrow" w:eastAsiaTheme="majorEastAsia" w:hAnsi="Arial Narrow" w:hint="default"/>
        <w:sz w:val="20"/>
      </w:rPr>
    </w:lvl>
    <w:lvl w:ilvl="2">
      <w:start w:val="1"/>
      <w:numFmt w:val="decimal"/>
      <w:lvlText w:val="%1.%2.%3"/>
      <w:lvlJc w:val="left"/>
      <w:pPr>
        <w:ind w:left="720" w:hanging="720"/>
      </w:pPr>
      <w:rPr>
        <w:rFonts w:ascii="Arial Narrow" w:eastAsiaTheme="majorEastAsia" w:hAnsi="Arial Narrow" w:hint="default"/>
        <w:sz w:val="20"/>
      </w:rPr>
    </w:lvl>
    <w:lvl w:ilvl="3">
      <w:start w:val="1"/>
      <w:numFmt w:val="decimal"/>
      <w:lvlText w:val="%1.%2.%3.%4"/>
      <w:lvlJc w:val="left"/>
      <w:pPr>
        <w:ind w:left="720" w:hanging="720"/>
      </w:pPr>
      <w:rPr>
        <w:rFonts w:ascii="Arial Narrow" w:eastAsiaTheme="majorEastAsia" w:hAnsi="Arial Narrow" w:hint="default"/>
        <w:sz w:val="20"/>
      </w:rPr>
    </w:lvl>
    <w:lvl w:ilvl="4">
      <w:start w:val="1"/>
      <w:numFmt w:val="decimal"/>
      <w:lvlText w:val="%1.%2.%3.%4.%5"/>
      <w:lvlJc w:val="left"/>
      <w:pPr>
        <w:ind w:left="1080" w:hanging="1080"/>
      </w:pPr>
      <w:rPr>
        <w:rFonts w:ascii="Arial Narrow" w:eastAsiaTheme="majorEastAsia" w:hAnsi="Arial Narrow" w:hint="default"/>
        <w:sz w:val="20"/>
      </w:rPr>
    </w:lvl>
    <w:lvl w:ilvl="5">
      <w:start w:val="1"/>
      <w:numFmt w:val="decimal"/>
      <w:lvlText w:val="%1.%2.%3.%4.%5.%6"/>
      <w:lvlJc w:val="left"/>
      <w:pPr>
        <w:ind w:left="1080" w:hanging="1080"/>
      </w:pPr>
      <w:rPr>
        <w:rFonts w:ascii="Arial Narrow" w:eastAsiaTheme="majorEastAsia" w:hAnsi="Arial Narrow" w:hint="default"/>
        <w:sz w:val="20"/>
      </w:rPr>
    </w:lvl>
    <w:lvl w:ilvl="6">
      <w:start w:val="1"/>
      <w:numFmt w:val="decimal"/>
      <w:lvlText w:val="%1.%2.%3.%4.%5.%6.%7"/>
      <w:lvlJc w:val="left"/>
      <w:pPr>
        <w:ind w:left="1440" w:hanging="1440"/>
      </w:pPr>
      <w:rPr>
        <w:rFonts w:ascii="Arial Narrow" w:eastAsiaTheme="majorEastAsia" w:hAnsi="Arial Narrow" w:hint="default"/>
        <w:sz w:val="20"/>
      </w:rPr>
    </w:lvl>
    <w:lvl w:ilvl="7">
      <w:start w:val="1"/>
      <w:numFmt w:val="decimal"/>
      <w:lvlText w:val="%1.%2.%3.%4.%5.%6.%7.%8"/>
      <w:lvlJc w:val="left"/>
      <w:pPr>
        <w:ind w:left="1440" w:hanging="1440"/>
      </w:pPr>
      <w:rPr>
        <w:rFonts w:ascii="Arial Narrow" w:eastAsiaTheme="majorEastAsia" w:hAnsi="Arial Narrow" w:hint="default"/>
        <w:sz w:val="20"/>
      </w:rPr>
    </w:lvl>
    <w:lvl w:ilvl="8">
      <w:start w:val="1"/>
      <w:numFmt w:val="decimal"/>
      <w:lvlText w:val="%1.%2.%3.%4.%5.%6.%7.%8.%9"/>
      <w:lvlJc w:val="left"/>
      <w:pPr>
        <w:ind w:left="1800" w:hanging="1800"/>
      </w:pPr>
      <w:rPr>
        <w:rFonts w:ascii="Arial Narrow" w:eastAsiaTheme="majorEastAsia" w:hAnsi="Arial Narrow" w:hint="default"/>
        <w:sz w:val="20"/>
      </w:rPr>
    </w:lvl>
  </w:abstractNum>
  <w:abstractNum w:abstractNumId="45" w15:restartNumberingAfterBreak="0">
    <w:nsid w:val="46BB29FF"/>
    <w:multiLevelType w:val="multilevel"/>
    <w:tmpl w:val="A566E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E7E7A22"/>
    <w:multiLevelType w:val="hybridMultilevel"/>
    <w:tmpl w:val="75189EE8"/>
    <w:lvl w:ilvl="0" w:tplc="9D38EFAC">
      <w:start w:val="1"/>
      <w:numFmt w:val="bullet"/>
      <w:lvlText w:val="•"/>
      <w:lvlJc w:val="left"/>
      <w:pPr>
        <w:tabs>
          <w:tab w:val="num" w:pos="720"/>
        </w:tabs>
        <w:ind w:left="720" w:hanging="360"/>
      </w:pPr>
      <w:rPr>
        <w:rFonts w:ascii="Arial" w:hAnsi="Arial" w:hint="default"/>
      </w:rPr>
    </w:lvl>
    <w:lvl w:ilvl="1" w:tplc="2B74718A" w:tentative="1">
      <w:start w:val="1"/>
      <w:numFmt w:val="bullet"/>
      <w:lvlText w:val="•"/>
      <w:lvlJc w:val="left"/>
      <w:pPr>
        <w:tabs>
          <w:tab w:val="num" w:pos="1440"/>
        </w:tabs>
        <w:ind w:left="1440" w:hanging="360"/>
      </w:pPr>
      <w:rPr>
        <w:rFonts w:ascii="Arial" w:hAnsi="Arial" w:hint="default"/>
      </w:rPr>
    </w:lvl>
    <w:lvl w:ilvl="2" w:tplc="26BEA5F0" w:tentative="1">
      <w:start w:val="1"/>
      <w:numFmt w:val="bullet"/>
      <w:lvlText w:val="•"/>
      <w:lvlJc w:val="left"/>
      <w:pPr>
        <w:tabs>
          <w:tab w:val="num" w:pos="2160"/>
        </w:tabs>
        <w:ind w:left="2160" w:hanging="360"/>
      </w:pPr>
      <w:rPr>
        <w:rFonts w:ascii="Arial" w:hAnsi="Arial" w:hint="default"/>
      </w:rPr>
    </w:lvl>
    <w:lvl w:ilvl="3" w:tplc="8FA88CD4" w:tentative="1">
      <w:start w:val="1"/>
      <w:numFmt w:val="bullet"/>
      <w:lvlText w:val="•"/>
      <w:lvlJc w:val="left"/>
      <w:pPr>
        <w:tabs>
          <w:tab w:val="num" w:pos="2880"/>
        </w:tabs>
        <w:ind w:left="2880" w:hanging="360"/>
      </w:pPr>
      <w:rPr>
        <w:rFonts w:ascii="Arial" w:hAnsi="Arial" w:hint="default"/>
      </w:rPr>
    </w:lvl>
    <w:lvl w:ilvl="4" w:tplc="3DDED268" w:tentative="1">
      <w:start w:val="1"/>
      <w:numFmt w:val="bullet"/>
      <w:lvlText w:val="•"/>
      <w:lvlJc w:val="left"/>
      <w:pPr>
        <w:tabs>
          <w:tab w:val="num" w:pos="3600"/>
        </w:tabs>
        <w:ind w:left="3600" w:hanging="360"/>
      </w:pPr>
      <w:rPr>
        <w:rFonts w:ascii="Arial" w:hAnsi="Arial" w:hint="default"/>
      </w:rPr>
    </w:lvl>
    <w:lvl w:ilvl="5" w:tplc="5AC2544A" w:tentative="1">
      <w:start w:val="1"/>
      <w:numFmt w:val="bullet"/>
      <w:lvlText w:val="•"/>
      <w:lvlJc w:val="left"/>
      <w:pPr>
        <w:tabs>
          <w:tab w:val="num" w:pos="4320"/>
        </w:tabs>
        <w:ind w:left="4320" w:hanging="360"/>
      </w:pPr>
      <w:rPr>
        <w:rFonts w:ascii="Arial" w:hAnsi="Arial" w:hint="default"/>
      </w:rPr>
    </w:lvl>
    <w:lvl w:ilvl="6" w:tplc="FEA0E7E8" w:tentative="1">
      <w:start w:val="1"/>
      <w:numFmt w:val="bullet"/>
      <w:lvlText w:val="•"/>
      <w:lvlJc w:val="left"/>
      <w:pPr>
        <w:tabs>
          <w:tab w:val="num" w:pos="5040"/>
        </w:tabs>
        <w:ind w:left="5040" w:hanging="360"/>
      </w:pPr>
      <w:rPr>
        <w:rFonts w:ascii="Arial" w:hAnsi="Arial" w:hint="default"/>
      </w:rPr>
    </w:lvl>
    <w:lvl w:ilvl="7" w:tplc="2BA6CE4E" w:tentative="1">
      <w:start w:val="1"/>
      <w:numFmt w:val="bullet"/>
      <w:lvlText w:val="•"/>
      <w:lvlJc w:val="left"/>
      <w:pPr>
        <w:tabs>
          <w:tab w:val="num" w:pos="5760"/>
        </w:tabs>
        <w:ind w:left="5760" w:hanging="360"/>
      </w:pPr>
      <w:rPr>
        <w:rFonts w:ascii="Arial" w:hAnsi="Arial" w:hint="default"/>
      </w:rPr>
    </w:lvl>
    <w:lvl w:ilvl="8" w:tplc="18946BE0"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4FEA092C"/>
    <w:multiLevelType w:val="multilevel"/>
    <w:tmpl w:val="822C667A"/>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0B03367"/>
    <w:multiLevelType w:val="hybridMultilevel"/>
    <w:tmpl w:val="4502D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2A726F3"/>
    <w:multiLevelType w:val="hybridMultilevel"/>
    <w:tmpl w:val="0A441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45178E7"/>
    <w:multiLevelType w:val="hybridMultilevel"/>
    <w:tmpl w:val="E91217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58177C7"/>
    <w:multiLevelType w:val="hybridMultilevel"/>
    <w:tmpl w:val="7998548E"/>
    <w:lvl w:ilvl="0" w:tplc="0C09000F">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2" w15:restartNumberingAfterBreak="0">
    <w:nsid w:val="55986212"/>
    <w:multiLevelType w:val="hybridMultilevel"/>
    <w:tmpl w:val="0266827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3" w15:restartNumberingAfterBreak="0">
    <w:nsid w:val="57A35F65"/>
    <w:multiLevelType w:val="hybridMultilevel"/>
    <w:tmpl w:val="0BCE3040"/>
    <w:lvl w:ilvl="0" w:tplc="0C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4" w15:restartNumberingAfterBreak="0">
    <w:nsid w:val="59E57B7C"/>
    <w:multiLevelType w:val="hybridMultilevel"/>
    <w:tmpl w:val="D86AF2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5A69355B"/>
    <w:multiLevelType w:val="hybridMultilevel"/>
    <w:tmpl w:val="277C2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C336B09"/>
    <w:multiLevelType w:val="multilevel"/>
    <w:tmpl w:val="297E3670"/>
    <w:lvl w:ilvl="0">
      <w:start w:val="25"/>
      <w:numFmt w:val="decimal"/>
      <w:lvlText w:val="%1"/>
      <w:lvlJc w:val="left"/>
      <w:pPr>
        <w:ind w:left="372" w:hanging="372"/>
      </w:pPr>
      <w:rPr>
        <w:rFonts w:hint="default"/>
      </w:rPr>
    </w:lvl>
    <w:lvl w:ilvl="1">
      <w:start w:val="6"/>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E551FC5"/>
    <w:multiLevelType w:val="hybridMultilevel"/>
    <w:tmpl w:val="FB7A2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F2E20E2"/>
    <w:multiLevelType w:val="hybridMultilevel"/>
    <w:tmpl w:val="5E1E39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5F673A7B"/>
    <w:multiLevelType w:val="hybridMultilevel"/>
    <w:tmpl w:val="F5902B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60987D40"/>
    <w:multiLevelType w:val="hybridMultilevel"/>
    <w:tmpl w:val="A5CC30B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1" w15:restartNumberingAfterBreak="0">
    <w:nsid w:val="61153AE2"/>
    <w:multiLevelType w:val="hybridMultilevel"/>
    <w:tmpl w:val="7164991E"/>
    <w:lvl w:ilvl="0" w:tplc="B0DC7426">
      <w:start w:val="1"/>
      <w:numFmt w:val="decimal"/>
      <w:lvlText w:val="%1)"/>
      <w:lvlJc w:val="left"/>
      <w:pPr>
        <w:ind w:left="1020" w:hanging="360"/>
      </w:pPr>
    </w:lvl>
    <w:lvl w:ilvl="1" w:tplc="5FFCE422">
      <w:start w:val="1"/>
      <w:numFmt w:val="decimal"/>
      <w:lvlText w:val="%2)"/>
      <w:lvlJc w:val="left"/>
      <w:pPr>
        <w:ind w:left="1020" w:hanging="360"/>
      </w:pPr>
    </w:lvl>
    <w:lvl w:ilvl="2" w:tplc="A8925D6C">
      <w:start w:val="1"/>
      <w:numFmt w:val="decimal"/>
      <w:lvlText w:val="%3)"/>
      <w:lvlJc w:val="left"/>
      <w:pPr>
        <w:ind w:left="1020" w:hanging="360"/>
      </w:pPr>
    </w:lvl>
    <w:lvl w:ilvl="3" w:tplc="4EF455DA">
      <w:start w:val="1"/>
      <w:numFmt w:val="decimal"/>
      <w:lvlText w:val="%4)"/>
      <w:lvlJc w:val="left"/>
      <w:pPr>
        <w:ind w:left="1020" w:hanging="360"/>
      </w:pPr>
    </w:lvl>
    <w:lvl w:ilvl="4" w:tplc="E2B837EC">
      <w:start w:val="1"/>
      <w:numFmt w:val="decimal"/>
      <w:lvlText w:val="%5)"/>
      <w:lvlJc w:val="left"/>
      <w:pPr>
        <w:ind w:left="1020" w:hanging="360"/>
      </w:pPr>
    </w:lvl>
    <w:lvl w:ilvl="5" w:tplc="C4326F6A">
      <w:start w:val="1"/>
      <w:numFmt w:val="decimal"/>
      <w:lvlText w:val="%6)"/>
      <w:lvlJc w:val="left"/>
      <w:pPr>
        <w:ind w:left="1020" w:hanging="360"/>
      </w:pPr>
    </w:lvl>
    <w:lvl w:ilvl="6" w:tplc="93DA88B4">
      <w:start w:val="1"/>
      <w:numFmt w:val="decimal"/>
      <w:lvlText w:val="%7)"/>
      <w:lvlJc w:val="left"/>
      <w:pPr>
        <w:ind w:left="1020" w:hanging="360"/>
      </w:pPr>
    </w:lvl>
    <w:lvl w:ilvl="7" w:tplc="D5CA27BE">
      <w:start w:val="1"/>
      <w:numFmt w:val="decimal"/>
      <w:lvlText w:val="%8)"/>
      <w:lvlJc w:val="left"/>
      <w:pPr>
        <w:ind w:left="1020" w:hanging="360"/>
      </w:pPr>
    </w:lvl>
    <w:lvl w:ilvl="8" w:tplc="1A0C8A84">
      <w:start w:val="1"/>
      <w:numFmt w:val="decimal"/>
      <w:lvlText w:val="%9)"/>
      <w:lvlJc w:val="left"/>
      <w:pPr>
        <w:ind w:left="1020" w:hanging="360"/>
      </w:pPr>
    </w:lvl>
  </w:abstractNum>
  <w:abstractNum w:abstractNumId="62" w15:restartNumberingAfterBreak="0">
    <w:nsid w:val="622E51D1"/>
    <w:multiLevelType w:val="hybridMultilevel"/>
    <w:tmpl w:val="0B8C5522"/>
    <w:lvl w:ilvl="0" w:tplc="2FCE7718">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3"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4" w15:restartNumberingAfterBreak="0">
    <w:nsid w:val="6588543B"/>
    <w:multiLevelType w:val="hybridMultilevel"/>
    <w:tmpl w:val="765C3262"/>
    <w:lvl w:ilvl="0" w:tplc="2A7070C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59C60E7"/>
    <w:multiLevelType w:val="hybridMultilevel"/>
    <w:tmpl w:val="EB720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88637C9"/>
    <w:multiLevelType w:val="hybridMultilevel"/>
    <w:tmpl w:val="9A4E3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9261C5A"/>
    <w:multiLevelType w:val="hybridMultilevel"/>
    <w:tmpl w:val="A2AC0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ADF2A93"/>
    <w:multiLevelType w:val="hybridMultilevel"/>
    <w:tmpl w:val="174AD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B061353"/>
    <w:multiLevelType w:val="hybridMultilevel"/>
    <w:tmpl w:val="17B27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BCE0D37"/>
    <w:multiLevelType w:val="hybridMultilevel"/>
    <w:tmpl w:val="5E30AA18"/>
    <w:lvl w:ilvl="0" w:tplc="08E6E430">
      <w:start w:val="1"/>
      <w:numFmt w:val="bullet"/>
      <w:lvlText w:val=""/>
      <w:lvlJc w:val="left"/>
      <w:pPr>
        <w:ind w:left="720" w:hanging="360"/>
      </w:pPr>
      <w:rPr>
        <w:rFonts w:ascii="Symbol" w:hAnsi="Symbol"/>
      </w:rPr>
    </w:lvl>
    <w:lvl w:ilvl="1" w:tplc="8BF26A1A">
      <w:start w:val="1"/>
      <w:numFmt w:val="bullet"/>
      <w:lvlText w:val=""/>
      <w:lvlJc w:val="left"/>
      <w:pPr>
        <w:ind w:left="720" w:hanging="360"/>
      </w:pPr>
      <w:rPr>
        <w:rFonts w:ascii="Symbol" w:hAnsi="Symbol"/>
      </w:rPr>
    </w:lvl>
    <w:lvl w:ilvl="2" w:tplc="CD84FD6A">
      <w:start w:val="1"/>
      <w:numFmt w:val="bullet"/>
      <w:lvlText w:val=""/>
      <w:lvlJc w:val="left"/>
      <w:pPr>
        <w:ind w:left="720" w:hanging="360"/>
      </w:pPr>
      <w:rPr>
        <w:rFonts w:ascii="Symbol" w:hAnsi="Symbol"/>
      </w:rPr>
    </w:lvl>
    <w:lvl w:ilvl="3" w:tplc="7CAA02FE">
      <w:start w:val="1"/>
      <w:numFmt w:val="bullet"/>
      <w:lvlText w:val=""/>
      <w:lvlJc w:val="left"/>
      <w:pPr>
        <w:ind w:left="720" w:hanging="360"/>
      </w:pPr>
      <w:rPr>
        <w:rFonts w:ascii="Symbol" w:hAnsi="Symbol"/>
      </w:rPr>
    </w:lvl>
    <w:lvl w:ilvl="4" w:tplc="1270B09C">
      <w:start w:val="1"/>
      <w:numFmt w:val="bullet"/>
      <w:lvlText w:val=""/>
      <w:lvlJc w:val="left"/>
      <w:pPr>
        <w:ind w:left="720" w:hanging="360"/>
      </w:pPr>
      <w:rPr>
        <w:rFonts w:ascii="Symbol" w:hAnsi="Symbol"/>
      </w:rPr>
    </w:lvl>
    <w:lvl w:ilvl="5" w:tplc="EDA2F1AE">
      <w:start w:val="1"/>
      <w:numFmt w:val="bullet"/>
      <w:lvlText w:val=""/>
      <w:lvlJc w:val="left"/>
      <w:pPr>
        <w:ind w:left="720" w:hanging="360"/>
      </w:pPr>
      <w:rPr>
        <w:rFonts w:ascii="Symbol" w:hAnsi="Symbol"/>
      </w:rPr>
    </w:lvl>
    <w:lvl w:ilvl="6" w:tplc="38B04388">
      <w:start w:val="1"/>
      <w:numFmt w:val="bullet"/>
      <w:lvlText w:val=""/>
      <w:lvlJc w:val="left"/>
      <w:pPr>
        <w:ind w:left="720" w:hanging="360"/>
      </w:pPr>
      <w:rPr>
        <w:rFonts w:ascii="Symbol" w:hAnsi="Symbol"/>
      </w:rPr>
    </w:lvl>
    <w:lvl w:ilvl="7" w:tplc="11900B2C">
      <w:start w:val="1"/>
      <w:numFmt w:val="bullet"/>
      <w:lvlText w:val=""/>
      <w:lvlJc w:val="left"/>
      <w:pPr>
        <w:ind w:left="720" w:hanging="360"/>
      </w:pPr>
      <w:rPr>
        <w:rFonts w:ascii="Symbol" w:hAnsi="Symbol"/>
      </w:rPr>
    </w:lvl>
    <w:lvl w:ilvl="8" w:tplc="E072EF6A">
      <w:start w:val="1"/>
      <w:numFmt w:val="bullet"/>
      <w:lvlText w:val=""/>
      <w:lvlJc w:val="left"/>
      <w:pPr>
        <w:ind w:left="720" w:hanging="360"/>
      </w:pPr>
      <w:rPr>
        <w:rFonts w:ascii="Symbol" w:hAnsi="Symbol"/>
      </w:rPr>
    </w:lvl>
  </w:abstractNum>
  <w:abstractNum w:abstractNumId="72" w15:restartNumberingAfterBreak="0">
    <w:nsid w:val="6C596C3A"/>
    <w:multiLevelType w:val="hybridMultilevel"/>
    <w:tmpl w:val="E71A6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6D8726E6"/>
    <w:multiLevelType w:val="hybridMultilevel"/>
    <w:tmpl w:val="1F08F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12E489B"/>
    <w:multiLevelType w:val="hybridMultilevel"/>
    <w:tmpl w:val="20167072"/>
    <w:lvl w:ilvl="0" w:tplc="56DCA97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773D3FC6"/>
    <w:multiLevelType w:val="hybridMultilevel"/>
    <w:tmpl w:val="75722164"/>
    <w:lvl w:ilvl="0" w:tplc="7682E98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77E27B4F"/>
    <w:multiLevelType w:val="hybridMultilevel"/>
    <w:tmpl w:val="5AE8D14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8" w15:restartNumberingAfterBreak="0">
    <w:nsid w:val="7838411B"/>
    <w:multiLevelType w:val="multilevel"/>
    <w:tmpl w:val="F652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BBB1AE6"/>
    <w:multiLevelType w:val="multilevel"/>
    <w:tmpl w:val="3AE84E20"/>
    <w:lvl w:ilvl="0">
      <w:start w:val="90"/>
      <w:numFmt w:val="decimal"/>
      <w:lvlText w:val="%1"/>
      <w:lvlJc w:val="left"/>
      <w:pPr>
        <w:ind w:left="372" w:hanging="372"/>
      </w:pPr>
      <w:rPr>
        <w:rFonts w:ascii="Arial Narrow" w:eastAsiaTheme="majorEastAsia" w:hAnsi="Arial Narrow" w:hint="default"/>
        <w:sz w:val="20"/>
      </w:rPr>
    </w:lvl>
    <w:lvl w:ilvl="1">
      <w:start w:val="46"/>
      <w:numFmt w:val="decimal"/>
      <w:lvlText w:val="%1.%2"/>
      <w:lvlJc w:val="left"/>
      <w:pPr>
        <w:ind w:left="372" w:hanging="372"/>
      </w:pPr>
      <w:rPr>
        <w:rFonts w:ascii="Arial Narrow" w:eastAsiaTheme="majorEastAsia" w:hAnsi="Arial Narrow" w:hint="default"/>
        <w:sz w:val="20"/>
      </w:rPr>
    </w:lvl>
    <w:lvl w:ilvl="2">
      <w:start w:val="1"/>
      <w:numFmt w:val="decimal"/>
      <w:lvlText w:val="%1.%2.%3"/>
      <w:lvlJc w:val="left"/>
      <w:pPr>
        <w:ind w:left="720" w:hanging="720"/>
      </w:pPr>
      <w:rPr>
        <w:rFonts w:ascii="Arial Narrow" w:eastAsiaTheme="majorEastAsia" w:hAnsi="Arial Narrow" w:hint="default"/>
        <w:sz w:val="20"/>
      </w:rPr>
    </w:lvl>
    <w:lvl w:ilvl="3">
      <w:start w:val="1"/>
      <w:numFmt w:val="decimal"/>
      <w:lvlText w:val="%1.%2.%3.%4"/>
      <w:lvlJc w:val="left"/>
      <w:pPr>
        <w:ind w:left="720" w:hanging="720"/>
      </w:pPr>
      <w:rPr>
        <w:rFonts w:ascii="Arial Narrow" w:eastAsiaTheme="majorEastAsia" w:hAnsi="Arial Narrow" w:hint="default"/>
        <w:sz w:val="20"/>
      </w:rPr>
    </w:lvl>
    <w:lvl w:ilvl="4">
      <w:start w:val="1"/>
      <w:numFmt w:val="decimal"/>
      <w:lvlText w:val="%1.%2.%3.%4.%5"/>
      <w:lvlJc w:val="left"/>
      <w:pPr>
        <w:ind w:left="1080" w:hanging="1080"/>
      </w:pPr>
      <w:rPr>
        <w:rFonts w:ascii="Arial Narrow" w:eastAsiaTheme="majorEastAsia" w:hAnsi="Arial Narrow" w:hint="default"/>
        <w:sz w:val="20"/>
      </w:rPr>
    </w:lvl>
    <w:lvl w:ilvl="5">
      <w:start w:val="1"/>
      <w:numFmt w:val="decimal"/>
      <w:lvlText w:val="%1.%2.%3.%4.%5.%6"/>
      <w:lvlJc w:val="left"/>
      <w:pPr>
        <w:ind w:left="1080" w:hanging="1080"/>
      </w:pPr>
      <w:rPr>
        <w:rFonts w:ascii="Arial Narrow" w:eastAsiaTheme="majorEastAsia" w:hAnsi="Arial Narrow" w:hint="default"/>
        <w:sz w:val="20"/>
      </w:rPr>
    </w:lvl>
    <w:lvl w:ilvl="6">
      <w:start w:val="1"/>
      <w:numFmt w:val="decimal"/>
      <w:lvlText w:val="%1.%2.%3.%4.%5.%6.%7"/>
      <w:lvlJc w:val="left"/>
      <w:pPr>
        <w:ind w:left="1440" w:hanging="1440"/>
      </w:pPr>
      <w:rPr>
        <w:rFonts w:ascii="Arial Narrow" w:eastAsiaTheme="majorEastAsia" w:hAnsi="Arial Narrow" w:hint="default"/>
        <w:sz w:val="20"/>
      </w:rPr>
    </w:lvl>
    <w:lvl w:ilvl="7">
      <w:start w:val="1"/>
      <w:numFmt w:val="decimal"/>
      <w:lvlText w:val="%1.%2.%3.%4.%5.%6.%7.%8"/>
      <w:lvlJc w:val="left"/>
      <w:pPr>
        <w:ind w:left="1440" w:hanging="1440"/>
      </w:pPr>
      <w:rPr>
        <w:rFonts w:ascii="Arial Narrow" w:eastAsiaTheme="majorEastAsia" w:hAnsi="Arial Narrow" w:hint="default"/>
        <w:sz w:val="20"/>
      </w:rPr>
    </w:lvl>
    <w:lvl w:ilvl="8">
      <w:start w:val="1"/>
      <w:numFmt w:val="decimal"/>
      <w:lvlText w:val="%1.%2.%3.%4.%5.%6.%7.%8.%9"/>
      <w:lvlJc w:val="left"/>
      <w:pPr>
        <w:ind w:left="1800" w:hanging="1800"/>
      </w:pPr>
      <w:rPr>
        <w:rFonts w:ascii="Arial Narrow" w:eastAsiaTheme="majorEastAsia" w:hAnsi="Arial Narrow" w:hint="default"/>
        <w:sz w:val="20"/>
      </w:rPr>
    </w:lvl>
  </w:abstractNum>
  <w:abstractNum w:abstractNumId="81" w15:restartNumberingAfterBreak="0">
    <w:nsid w:val="7BC348C5"/>
    <w:multiLevelType w:val="hybridMultilevel"/>
    <w:tmpl w:val="EEA000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2" w15:restartNumberingAfterBreak="0">
    <w:nsid w:val="7EE85DE7"/>
    <w:multiLevelType w:val="hybridMultilevel"/>
    <w:tmpl w:val="3F8A201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3" w15:restartNumberingAfterBreak="0">
    <w:nsid w:val="7F53672A"/>
    <w:multiLevelType w:val="hybridMultilevel"/>
    <w:tmpl w:val="7C26461E"/>
    <w:lvl w:ilvl="0" w:tplc="43962C80">
      <w:start w:val="1"/>
      <w:numFmt w:val="bullet"/>
      <w:lvlText w:val=""/>
      <w:lvlJc w:val="left"/>
      <w:pPr>
        <w:ind w:left="1080" w:hanging="360"/>
      </w:pPr>
      <w:rPr>
        <w:rFonts w:ascii="Symbol" w:hAnsi="Symbol" w:hint="default"/>
        <w:i w:val="0"/>
        <w:iCs/>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603659956">
    <w:abstractNumId w:val="79"/>
  </w:num>
  <w:num w:numId="2" w16cid:durableId="1430199898">
    <w:abstractNumId w:val="0"/>
  </w:num>
  <w:num w:numId="3" w16cid:durableId="140143850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7373680">
    <w:abstractNumId w:val="75"/>
  </w:num>
  <w:num w:numId="5" w16cid:durableId="2082753773">
    <w:abstractNumId w:val="67"/>
  </w:num>
  <w:num w:numId="6" w16cid:durableId="1708338883">
    <w:abstractNumId w:val="43"/>
  </w:num>
  <w:num w:numId="7" w16cid:durableId="183833350">
    <w:abstractNumId w:val="63"/>
  </w:num>
  <w:num w:numId="8" w16cid:durableId="1457600991">
    <w:abstractNumId w:val="70"/>
  </w:num>
  <w:num w:numId="9" w16cid:durableId="1347908298">
    <w:abstractNumId w:val="9"/>
  </w:num>
  <w:num w:numId="10" w16cid:durableId="1964462591">
    <w:abstractNumId w:val="78"/>
  </w:num>
  <w:num w:numId="11" w16cid:durableId="1073089391">
    <w:abstractNumId w:val="28"/>
  </w:num>
  <w:num w:numId="12" w16cid:durableId="2066102033">
    <w:abstractNumId w:val="45"/>
  </w:num>
  <w:num w:numId="13" w16cid:durableId="2077819186">
    <w:abstractNumId w:val="12"/>
  </w:num>
  <w:num w:numId="14" w16cid:durableId="1971938886">
    <w:abstractNumId w:val="57"/>
  </w:num>
  <w:num w:numId="15" w16cid:durableId="1162963560">
    <w:abstractNumId w:val="72"/>
  </w:num>
  <w:num w:numId="16" w16cid:durableId="126700629">
    <w:abstractNumId w:val="22"/>
  </w:num>
  <w:num w:numId="17" w16cid:durableId="309406252">
    <w:abstractNumId w:val="4"/>
  </w:num>
  <w:num w:numId="18" w16cid:durableId="1770081547">
    <w:abstractNumId w:val="58"/>
  </w:num>
  <w:num w:numId="19" w16cid:durableId="444423474">
    <w:abstractNumId w:val="8"/>
  </w:num>
  <w:num w:numId="20" w16cid:durableId="1136141294">
    <w:abstractNumId w:val="20"/>
  </w:num>
  <w:num w:numId="21" w16cid:durableId="1517379678">
    <w:abstractNumId w:val="36"/>
  </w:num>
  <w:num w:numId="22" w16cid:durableId="1240365289">
    <w:abstractNumId w:val="42"/>
  </w:num>
  <w:num w:numId="23" w16cid:durableId="747072676">
    <w:abstractNumId w:val="6"/>
  </w:num>
  <w:num w:numId="24" w16cid:durableId="869412240">
    <w:abstractNumId w:val="23"/>
  </w:num>
  <w:num w:numId="25" w16cid:durableId="1036468609">
    <w:abstractNumId w:val="18"/>
  </w:num>
  <w:num w:numId="26" w16cid:durableId="304706689">
    <w:abstractNumId w:val="13"/>
  </w:num>
  <w:num w:numId="27" w16cid:durableId="1362168760">
    <w:abstractNumId w:val="40"/>
  </w:num>
  <w:num w:numId="28" w16cid:durableId="1327703910">
    <w:abstractNumId w:val="16"/>
  </w:num>
  <w:num w:numId="29" w16cid:durableId="435057588">
    <w:abstractNumId w:val="7"/>
  </w:num>
  <w:num w:numId="30" w16cid:durableId="421223905">
    <w:abstractNumId w:val="38"/>
  </w:num>
  <w:num w:numId="31" w16cid:durableId="1748190148">
    <w:abstractNumId w:val="74"/>
  </w:num>
  <w:num w:numId="32" w16cid:durableId="1664504039">
    <w:abstractNumId w:val="77"/>
  </w:num>
  <w:num w:numId="33" w16cid:durableId="293953640">
    <w:abstractNumId w:val="24"/>
  </w:num>
  <w:num w:numId="34" w16cid:durableId="693456680">
    <w:abstractNumId w:val="5"/>
  </w:num>
  <w:num w:numId="35" w16cid:durableId="1181579840">
    <w:abstractNumId w:val="25"/>
  </w:num>
  <w:num w:numId="36" w16cid:durableId="47580657">
    <w:abstractNumId w:val="27"/>
  </w:num>
  <w:num w:numId="37" w16cid:durableId="1467891554">
    <w:abstractNumId w:val="65"/>
  </w:num>
  <w:num w:numId="38" w16cid:durableId="108479368">
    <w:abstractNumId w:val="2"/>
  </w:num>
  <w:num w:numId="39" w16cid:durableId="375550261">
    <w:abstractNumId w:val="49"/>
  </w:num>
  <w:num w:numId="40" w16cid:durableId="1513569355">
    <w:abstractNumId w:val="55"/>
  </w:num>
  <w:num w:numId="41" w16cid:durableId="1746996637">
    <w:abstractNumId w:val="1"/>
  </w:num>
  <w:num w:numId="42" w16cid:durableId="882058430">
    <w:abstractNumId w:val="39"/>
  </w:num>
  <w:num w:numId="43" w16cid:durableId="1411000364">
    <w:abstractNumId w:val="62"/>
  </w:num>
  <w:num w:numId="44" w16cid:durableId="221646349">
    <w:abstractNumId w:val="35"/>
  </w:num>
  <w:num w:numId="45" w16cid:durableId="1150369395">
    <w:abstractNumId w:val="64"/>
  </w:num>
  <w:num w:numId="46" w16cid:durableId="723330562">
    <w:abstractNumId w:val="60"/>
  </w:num>
  <w:num w:numId="47" w16cid:durableId="1249117275">
    <w:abstractNumId w:val="32"/>
  </w:num>
  <w:num w:numId="48" w16cid:durableId="1083986927">
    <w:abstractNumId w:val="31"/>
  </w:num>
  <w:num w:numId="49" w16cid:durableId="758215181">
    <w:abstractNumId w:val="71"/>
  </w:num>
  <w:num w:numId="50" w16cid:durableId="496918779">
    <w:abstractNumId w:val="29"/>
  </w:num>
  <w:num w:numId="51" w16cid:durableId="1055858548">
    <w:abstractNumId w:val="50"/>
  </w:num>
  <w:num w:numId="52" w16cid:durableId="1248995950">
    <w:abstractNumId w:val="61"/>
  </w:num>
  <w:num w:numId="53" w16cid:durableId="2006082762">
    <w:abstractNumId w:val="76"/>
  </w:num>
  <w:num w:numId="54" w16cid:durableId="2000231388">
    <w:abstractNumId w:val="53"/>
  </w:num>
  <w:num w:numId="55" w16cid:durableId="1731802466">
    <w:abstractNumId w:val="21"/>
  </w:num>
  <w:num w:numId="56" w16cid:durableId="1873765317">
    <w:abstractNumId w:val="34"/>
  </w:num>
  <w:num w:numId="57" w16cid:durableId="1552881012">
    <w:abstractNumId w:val="26"/>
  </w:num>
  <w:num w:numId="58" w16cid:durableId="1813281513">
    <w:abstractNumId w:val="82"/>
  </w:num>
  <w:num w:numId="59" w16cid:durableId="454910457">
    <w:abstractNumId w:val="54"/>
  </w:num>
  <w:num w:numId="60" w16cid:durableId="482699608">
    <w:abstractNumId w:val="19"/>
  </w:num>
  <w:num w:numId="61" w16cid:durableId="1504975133">
    <w:abstractNumId w:val="15"/>
  </w:num>
  <w:num w:numId="62" w16cid:durableId="502017017">
    <w:abstractNumId w:val="41"/>
  </w:num>
  <w:num w:numId="63" w16cid:durableId="391780802">
    <w:abstractNumId w:val="59"/>
  </w:num>
  <w:num w:numId="64" w16cid:durableId="920219962">
    <w:abstractNumId w:val="81"/>
  </w:num>
  <w:num w:numId="65" w16cid:durableId="338897374">
    <w:abstractNumId w:val="66"/>
  </w:num>
  <w:num w:numId="66" w16cid:durableId="1677271984">
    <w:abstractNumId w:val="52"/>
  </w:num>
  <w:num w:numId="67" w16cid:durableId="110252483">
    <w:abstractNumId w:val="37"/>
  </w:num>
  <w:num w:numId="68" w16cid:durableId="783499478">
    <w:abstractNumId w:val="14"/>
  </w:num>
  <w:num w:numId="69" w16cid:durableId="1576818513">
    <w:abstractNumId w:val="33"/>
  </w:num>
  <w:num w:numId="70" w16cid:durableId="1159736324">
    <w:abstractNumId w:val="48"/>
  </w:num>
  <w:num w:numId="71" w16cid:durableId="1715688090">
    <w:abstractNumId w:val="30"/>
  </w:num>
  <w:num w:numId="72" w16cid:durableId="764887591">
    <w:abstractNumId w:val="11"/>
  </w:num>
  <w:num w:numId="73" w16cid:durableId="2123379615">
    <w:abstractNumId w:val="10"/>
  </w:num>
  <w:num w:numId="74" w16cid:durableId="268435986">
    <w:abstractNumId w:val="83"/>
  </w:num>
  <w:num w:numId="75" w16cid:durableId="1469931557">
    <w:abstractNumId w:val="68"/>
  </w:num>
  <w:num w:numId="76" w16cid:durableId="8022317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7095880">
    <w:abstractNumId w:val="51"/>
  </w:num>
  <w:num w:numId="78" w16cid:durableId="419717204">
    <w:abstractNumId w:val="79"/>
  </w:num>
  <w:num w:numId="79" w16cid:durableId="1525896623">
    <w:abstractNumId w:val="79"/>
  </w:num>
  <w:num w:numId="80" w16cid:durableId="269237436">
    <w:abstractNumId w:val="69"/>
  </w:num>
  <w:num w:numId="81" w16cid:durableId="504787707">
    <w:abstractNumId w:val="79"/>
  </w:num>
  <w:num w:numId="82" w16cid:durableId="934241628">
    <w:abstractNumId w:val="79"/>
  </w:num>
  <w:num w:numId="83" w16cid:durableId="350306020">
    <w:abstractNumId w:val="46"/>
  </w:num>
  <w:num w:numId="84" w16cid:durableId="1429425107">
    <w:abstractNumId w:val="80"/>
  </w:num>
  <w:num w:numId="85" w16cid:durableId="1667904926">
    <w:abstractNumId w:val="44"/>
  </w:num>
  <w:num w:numId="86" w16cid:durableId="1905675739">
    <w:abstractNumId w:val="79"/>
  </w:num>
  <w:num w:numId="87" w16cid:durableId="1934783530">
    <w:abstractNumId w:val="79"/>
  </w:num>
  <w:num w:numId="88" w16cid:durableId="197016487">
    <w:abstractNumId w:val="79"/>
  </w:num>
  <w:num w:numId="89" w16cid:durableId="185564467">
    <w:abstractNumId w:val="79"/>
  </w:num>
  <w:num w:numId="90" w16cid:durableId="1383095540">
    <w:abstractNumId w:val="79"/>
  </w:num>
  <w:num w:numId="91" w16cid:durableId="1411585385">
    <w:abstractNumId w:val="79"/>
  </w:num>
  <w:num w:numId="92" w16cid:durableId="1136723461">
    <w:abstractNumId w:val="79"/>
  </w:num>
  <w:num w:numId="93" w16cid:durableId="1578244451">
    <w:abstractNumId w:val="79"/>
  </w:num>
  <w:num w:numId="94" w16cid:durableId="913971460">
    <w:abstractNumId w:val="79"/>
  </w:num>
  <w:num w:numId="95" w16cid:durableId="131291952">
    <w:abstractNumId w:val="79"/>
  </w:num>
  <w:num w:numId="96" w16cid:durableId="914751940">
    <w:abstractNumId w:val="79"/>
  </w:num>
  <w:num w:numId="97" w16cid:durableId="1568419916">
    <w:abstractNumId w:val="79"/>
  </w:num>
  <w:num w:numId="98" w16cid:durableId="95760597">
    <w:abstractNumId w:val="79"/>
  </w:num>
  <w:num w:numId="99" w16cid:durableId="1862627037">
    <w:abstractNumId w:val="79"/>
  </w:num>
  <w:num w:numId="100" w16cid:durableId="1323661332">
    <w:abstractNumId w:val="73"/>
  </w:num>
  <w:num w:numId="101" w16cid:durableId="470173355">
    <w:abstractNumId w:val="47"/>
  </w:num>
  <w:num w:numId="102" w16cid:durableId="1240867579">
    <w:abstractNumId w:val="79"/>
  </w:num>
  <w:num w:numId="103" w16cid:durableId="319236017">
    <w:abstractNumId w:val="79"/>
  </w:num>
  <w:num w:numId="104" w16cid:durableId="1744990688">
    <w:abstractNumId w:val="79"/>
  </w:num>
  <w:num w:numId="105" w16cid:durableId="1144734274">
    <w:abstractNumId w:val="79"/>
  </w:num>
  <w:num w:numId="106" w16cid:durableId="89934103">
    <w:abstractNumId w:val="79"/>
  </w:num>
  <w:num w:numId="107" w16cid:durableId="172500431">
    <w:abstractNumId w:val="79"/>
  </w:num>
  <w:num w:numId="108" w16cid:durableId="1715957644">
    <w:abstractNumId w:val="56"/>
  </w:num>
  <w:num w:numId="109" w16cid:durableId="1275944874">
    <w:abstractNumId w:val="3"/>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B83"/>
    <w:rsid w:val="00000932"/>
    <w:rsid w:val="00000ED3"/>
    <w:rsid w:val="0000101B"/>
    <w:rsid w:val="0000154E"/>
    <w:rsid w:val="000016BD"/>
    <w:rsid w:val="00001976"/>
    <w:rsid w:val="00001989"/>
    <w:rsid w:val="00001C31"/>
    <w:rsid w:val="00001CFF"/>
    <w:rsid w:val="00001E8C"/>
    <w:rsid w:val="00002B36"/>
    <w:rsid w:val="000032E8"/>
    <w:rsid w:val="0000360E"/>
    <w:rsid w:val="000036AE"/>
    <w:rsid w:val="00004195"/>
    <w:rsid w:val="00004225"/>
    <w:rsid w:val="00004354"/>
    <w:rsid w:val="00004ABB"/>
    <w:rsid w:val="00004FA8"/>
    <w:rsid w:val="00005727"/>
    <w:rsid w:val="00005BEA"/>
    <w:rsid w:val="00005D80"/>
    <w:rsid w:val="00005F19"/>
    <w:rsid w:val="000068A7"/>
    <w:rsid w:val="00006A3F"/>
    <w:rsid w:val="00006AAC"/>
    <w:rsid w:val="00006EFA"/>
    <w:rsid w:val="0000797E"/>
    <w:rsid w:val="00007AD2"/>
    <w:rsid w:val="0001005E"/>
    <w:rsid w:val="0001025E"/>
    <w:rsid w:val="000102E5"/>
    <w:rsid w:val="00010E8F"/>
    <w:rsid w:val="00010FD8"/>
    <w:rsid w:val="00011327"/>
    <w:rsid w:val="000114BA"/>
    <w:rsid w:val="00011604"/>
    <w:rsid w:val="00011DB2"/>
    <w:rsid w:val="000120CB"/>
    <w:rsid w:val="00012250"/>
    <w:rsid w:val="000124A3"/>
    <w:rsid w:val="00012C79"/>
    <w:rsid w:val="00012E23"/>
    <w:rsid w:val="0001303A"/>
    <w:rsid w:val="00013470"/>
    <w:rsid w:val="00013990"/>
    <w:rsid w:val="0001462C"/>
    <w:rsid w:val="000146DB"/>
    <w:rsid w:val="000152EF"/>
    <w:rsid w:val="000155EB"/>
    <w:rsid w:val="0001598D"/>
    <w:rsid w:val="00015BDF"/>
    <w:rsid w:val="00015FEB"/>
    <w:rsid w:val="000166BB"/>
    <w:rsid w:val="0001737B"/>
    <w:rsid w:val="00017636"/>
    <w:rsid w:val="00017A2F"/>
    <w:rsid w:val="00017BB4"/>
    <w:rsid w:val="00017E10"/>
    <w:rsid w:val="00020037"/>
    <w:rsid w:val="0002006A"/>
    <w:rsid w:val="0002033C"/>
    <w:rsid w:val="00020529"/>
    <w:rsid w:val="00020CC3"/>
    <w:rsid w:val="00020E71"/>
    <w:rsid w:val="000211B2"/>
    <w:rsid w:val="00021560"/>
    <w:rsid w:val="00021B99"/>
    <w:rsid w:val="00021E2C"/>
    <w:rsid w:val="00021F46"/>
    <w:rsid w:val="00022356"/>
    <w:rsid w:val="0002281E"/>
    <w:rsid w:val="00022F0B"/>
    <w:rsid w:val="00022FB2"/>
    <w:rsid w:val="000233AB"/>
    <w:rsid w:val="00023847"/>
    <w:rsid w:val="0002386F"/>
    <w:rsid w:val="00023A81"/>
    <w:rsid w:val="00023C43"/>
    <w:rsid w:val="00023C4D"/>
    <w:rsid w:val="000245B4"/>
    <w:rsid w:val="00024607"/>
    <w:rsid w:val="000247E3"/>
    <w:rsid w:val="0002488D"/>
    <w:rsid w:val="00024911"/>
    <w:rsid w:val="00024B9A"/>
    <w:rsid w:val="00024C89"/>
    <w:rsid w:val="00024DB7"/>
    <w:rsid w:val="00024FF0"/>
    <w:rsid w:val="00025006"/>
    <w:rsid w:val="000251BF"/>
    <w:rsid w:val="00025349"/>
    <w:rsid w:val="0002587F"/>
    <w:rsid w:val="00025AC3"/>
    <w:rsid w:val="00025C6C"/>
    <w:rsid w:val="00026897"/>
    <w:rsid w:val="00027841"/>
    <w:rsid w:val="000279AB"/>
    <w:rsid w:val="00027AC1"/>
    <w:rsid w:val="00030B7C"/>
    <w:rsid w:val="00030E15"/>
    <w:rsid w:val="000314F4"/>
    <w:rsid w:val="00031B5F"/>
    <w:rsid w:val="00032E35"/>
    <w:rsid w:val="0003310C"/>
    <w:rsid w:val="00033217"/>
    <w:rsid w:val="000332C3"/>
    <w:rsid w:val="000332F9"/>
    <w:rsid w:val="00033322"/>
    <w:rsid w:val="00033533"/>
    <w:rsid w:val="0003394D"/>
    <w:rsid w:val="000339C0"/>
    <w:rsid w:val="00034511"/>
    <w:rsid w:val="00034774"/>
    <w:rsid w:val="0003487E"/>
    <w:rsid w:val="00034DDE"/>
    <w:rsid w:val="00035127"/>
    <w:rsid w:val="00035D4E"/>
    <w:rsid w:val="00036C37"/>
    <w:rsid w:val="00036EC4"/>
    <w:rsid w:val="00036FEA"/>
    <w:rsid w:val="000377EE"/>
    <w:rsid w:val="00037C16"/>
    <w:rsid w:val="00037CB6"/>
    <w:rsid w:val="00037CC3"/>
    <w:rsid w:val="00037D46"/>
    <w:rsid w:val="00040769"/>
    <w:rsid w:val="00040966"/>
    <w:rsid w:val="00040E1A"/>
    <w:rsid w:val="000410EA"/>
    <w:rsid w:val="000411B0"/>
    <w:rsid w:val="00041882"/>
    <w:rsid w:val="000419AE"/>
    <w:rsid w:val="00041B67"/>
    <w:rsid w:val="00041BBD"/>
    <w:rsid w:val="000424D1"/>
    <w:rsid w:val="000429E0"/>
    <w:rsid w:val="00042E0F"/>
    <w:rsid w:val="00043181"/>
    <w:rsid w:val="00043214"/>
    <w:rsid w:val="00043365"/>
    <w:rsid w:val="00043423"/>
    <w:rsid w:val="00043576"/>
    <w:rsid w:val="00043F15"/>
    <w:rsid w:val="00043FC4"/>
    <w:rsid w:val="0004454E"/>
    <w:rsid w:val="000447BB"/>
    <w:rsid w:val="00044CB0"/>
    <w:rsid w:val="0004568A"/>
    <w:rsid w:val="00045AF9"/>
    <w:rsid w:val="0004602C"/>
    <w:rsid w:val="00046246"/>
    <w:rsid w:val="00046BF1"/>
    <w:rsid w:val="00046D4F"/>
    <w:rsid w:val="00046F52"/>
    <w:rsid w:val="00047690"/>
    <w:rsid w:val="0004779D"/>
    <w:rsid w:val="000477BC"/>
    <w:rsid w:val="000478AB"/>
    <w:rsid w:val="000478E9"/>
    <w:rsid w:val="00047C53"/>
    <w:rsid w:val="00047E39"/>
    <w:rsid w:val="00047E97"/>
    <w:rsid w:val="000509FD"/>
    <w:rsid w:val="00050D96"/>
    <w:rsid w:val="00051070"/>
    <w:rsid w:val="000511FE"/>
    <w:rsid w:val="0005122A"/>
    <w:rsid w:val="00051476"/>
    <w:rsid w:val="00052050"/>
    <w:rsid w:val="00053223"/>
    <w:rsid w:val="00053420"/>
    <w:rsid w:val="0005349B"/>
    <w:rsid w:val="00053DAB"/>
    <w:rsid w:val="00053F5E"/>
    <w:rsid w:val="00053FB3"/>
    <w:rsid w:val="00054159"/>
    <w:rsid w:val="000541F6"/>
    <w:rsid w:val="00054730"/>
    <w:rsid w:val="00054BD9"/>
    <w:rsid w:val="00055066"/>
    <w:rsid w:val="00056052"/>
    <w:rsid w:val="00056084"/>
    <w:rsid w:val="000561CA"/>
    <w:rsid w:val="000563CA"/>
    <w:rsid w:val="00056522"/>
    <w:rsid w:val="00057190"/>
    <w:rsid w:val="00057337"/>
    <w:rsid w:val="000577B0"/>
    <w:rsid w:val="00057ADF"/>
    <w:rsid w:val="00057D12"/>
    <w:rsid w:val="00057DBC"/>
    <w:rsid w:val="00060773"/>
    <w:rsid w:val="00060868"/>
    <w:rsid w:val="00060916"/>
    <w:rsid w:val="00060A98"/>
    <w:rsid w:val="0006108E"/>
    <w:rsid w:val="000613C0"/>
    <w:rsid w:val="00061C02"/>
    <w:rsid w:val="00062036"/>
    <w:rsid w:val="00062226"/>
    <w:rsid w:val="00062891"/>
    <w:rsid w:val="00062AF6"/>
    <w:rsid w:val="00062EC7"/>
    <w:rsid w:val="00063201"/>
    <w:rsid w:val="00063344"/>
    <w:rsid w:val="0006340F"/>
    <w:rsid w:val="0006342D"/>
    <w:rsid w:val="00063547"/>
    <w:rsid w:val="00063762"/>
    <w:rsid w:val="000638E7"/>
    <w:rsid w:val="000641DC"/>
    <w:rsid w:val="00064694"/>
    <w:rsid w:val="00064703"/>
    <w:rsid w:val="0006475E"/>
    <w:rsid w:val="0006490A"/>
    <w:rsid w:val="00064CEF"/>
    <w:rsid w:val="000657B5"/>
    <w:rsid w:val="000659BE"/>
    <w:rsid w:val="00065FA1"/>
    <w:rsid w:val="00066320"/>
    <w:rsid w:val="000667BC"/>
    <w:rsid w:val="00066C17"/>
    <w:rsid w:val="00066C8E"/>
    <w:rsid w:val="00066E01"/>
    <w:rsid w:val="00066F63"/>
    <w:rsid w:val="0006707A"/>
    <w:rsid w:val="000673CF"/>
    <w:rsid w:val="000674BC"/>
    <w:rsid w:val="00070031"/>
    <w:rsid w:val="000704F7"/>
    <w:rsid w:val="00070AD2"/>
    <w:rsid w:val="00070B3E"/>
    <w:rsid w:val="00070F37"/>
    <w:rsid w:val="00070FA3"/>
    <w:rsid w:val="00071066"/>
    <w:rsid w:val="000710AD"/>
    <w:rsid w:val="00071284"/>
    <w:rsid w:val="000717B0"/>
    <w:rsid w:val="000717F3"/>
    <w:rsid w:val="00072C3A"/>
    <w:rsid w:val="00072DC7"/>
    <w:rsid w:val="000735D1"/>
    <w:rsid w:val="0007385F"/>
    <w:rsid w:val="00073A32"/>
    <w:rsid w:val="00073B69"/>
    <w:rsid w:val="000740DE"/>
    <w:rsid w:val="000743DF"/>
    <w:rsid w:val="000746B1"/>
    <w:rsid w:val="0007472A"/>
    <w:rsid w:val="00074AD7"/>
    <w:rsid w:val="00074B5C"/>
    <w:rsid w:val="00075B88"/>
    <w:rsid w:val="00075CFB"/>
    <w:rsid w:val="00075D65"/>
    <w:rsid w:val="00075F26"/>
    <w:rsid w:val="00076111"/>
    <w:rsid w:val="000763EE"/>
    <w:rsid w:val="000764B3"/>
    <w:rsid w:val="00076502"/>
    <w:rsid w:val="0007651B"/>
    <w:rsid w:val="000766BC"/>
    <w:rsid w:val="00076C0F"/>
    <w:rsid w:val="00076C20"/>
    <w:rsid w:val="00076D1C"/>
    <w:rsid w:val="00076E08"/>
    <w:rsid w:val="0007707D"/>
    <w:rsid w:val="000771DD"/>
    <w:rsid w:val="000772F6"/>
    <w:rsid w:val="00077B6F"/>
    <w:rsid w:val="00077C66"/>
    <w:rsid w:val="00077D6E"/>
    <w:rsid w:val="00077D98"/>
    <w:rsid w:val="00077E58"/>
    <w:rsid w:val="00077FFA"/>
    <w:rsid w:val="00080355"/>
    <w:rsid w:val="00080507"/>
    <w:rsid w:val="0008059F"/>
    <w:rsid w:val="0008074D"/>
    <w:rsid w:val="00080940"/>
    <w:rsid w:val="00080AB8"/>
    <w:rsid w:val="00080C2D"/>
    <w:rsid w:val="00080D67"/>
    <w:rsid w:val="0008103E"/>
    <w:rsid w:val="000816A4"/>
    <w:rsid w:val="00081816"/>
    <w:rsid w:val="00081895"/>
    <w:rsid w:val="000818D3"/>
    <w:rsid w:val="0008257C"/>
    <w:rsid w:val="00082894"/>
    <w:rsid w:val="00082910"/>
    <w:rsid w:val="00082F1C"/>
    <w:rsid w:val="00083547"/>
    <w:rsid w:val="00083AD5"/>
    <w:rsid w:val="00083B15"/>
    <w:rsid w:val="000842EB"/>
    <w:rsid w:val="000844D8"/>
    <w:rsid w:val="0008488F"/>
    <w:rsid w:val="00084A32"/>
    <w:rsid w:val="00084C78"/>
    <w:rsid w:val="00084E1E"/>
    <w:rsid w:val="00084F4E"/>
    <w:rsid w:val="00085617"/>
    <w:rsid w:val="000856C8"/>
    <w:rsid w:val="00085C0D"/>
    <w:rsid w:val="00085C33"/>
    <w:rsid w:val="00085EF3"/>
    <w:rsid w:val="0008672F"/>
    <w:rsid w:val="00086BE9"/>
    <w:rsid w:val="00087065"/>
    <w:rsid w:val="0008715F"/>
    <w:rsid w:val="00087934"/>
    <w:rsid w:val="00087AE3"/>
    <w:rsid w:val="00087C36"/>
    <w:rsid w:val="00087C6A"/>
    <w:rsid w:val="00087FEF"/>
    <w:rsid w:val="000911EB"/>
    <w:rsid w:val="00091209"/>
    <w:rsid w:val="0009171F"/>
    <w:rsid w:val="0009180A"/>
    <w:rsid w:val="000918F1"/>
    <w:rsid w:val="00092516"/>
    <w:rsid w:val="000932D5"/>
    <w:rsid w:val="0009354F"/>
    <w:rsid w:val="00093972"/>
    <w:rsid w:val="00093A7A"/>
    <w:rsid w:val="00094105"/>
    <w:rsid w:val="000941EB"/>
    <w:rsid w:val="00094363"/>
    <w:rsid w:val="000945FE"/>
    <w:rsid w:val="000946E9"/>
    <w:rsid w:val="00094CA9"/>
    <w:rsid w:val="00094FBB"/>
    <w:rsid w:val="00095692"/>
    <w:rsid w:val="00095B07"/>
    <w:rsid w:val="00095D46"/>
    <w:rsid w:val="00095FC4"/>
    <w:rsid w:val="00096115"/>
    <w:rsid w:val="00096556"/>
    <w:rsid w:val="0009657E"/>
    <w:rsid w:val="00096A6E"/>
    <w:rsid w:val="00097779"/>
    <w:rsid w:val="00097D72"/>
    <w:rsid w:val="000A03A1"/>
    <w:rsid w:val="000A04A2"/>
    <w:rsid w:val="000A0795"/>
    <w:rsid w:val="000A0D8B"/>
    <w:rsid w:val="000A0E77"/>
    <w:rsid w:val="000A0EC9"/>
    <w:rsid w:val="000A1259"/>
    <w:rsid w:val="000A12F7"/>
    <w:rsid w:val="000A143F"/>
    <w:rsid w:val="000A1CD8"/>
    <w:rsid w:val="000A1F9F"/>
    <w:rsid w:val="000A20E5"/>
    <w:rsid w:val="000A26E9"/>
    <w:rsid w:val="000A29E7"/>
    <w:rsid w:val="000A2A59"/>
    <w:rsid w:val="000A375C"/>
    <w:rsid w:val="000A37D1"/>
    <w:rsid w:val="000A38E1"/>
    <w:rsid w:val="000A3DA9"/>
    <w:rsid w:val="000A400C"/>
    <w:rsid w:val="000A421F"/>
    <w:rsid w:val="000A4985"/>
    <w:rsid w:val="000A49F5"/>
    <w:rsid w:val="000A4C53"/>
    <w:rsid w:val="000A4ECA"/>
    <w:rsid w:val="000A4F38"/>
    <w:rsid w:val="000A510A"/>
    <w:rsid w:val="000A52D0"/>
    <w:rsid w:val="000A5351"/>
    <w:rsid w:val="000A5591"/>
    <w:rsid w:val="000A5EA2"/>
    <w:rsid w:val="000A6629"/>
    <w:rsid w:val="000A6662"/>
    <w:rsid w:val="000A673E"/>
    <w:rsid w:val="000A6CE1"/>
    <w:rsid w:val="000A6E38"/>
    <w:rsid w:val="000A7165"/>
    <w:rsid w:val="000A793D"/>
    <w:rsid w:val="000A7A49"/>
    <w:rsid w:val="000A7D04"/>
    <w:rsid w:val="000B0018"/>
    <w:rsid w:val="000B036B"/>
    <w:rsid w:val="000B0534"/>
    <w:rsid w:val="000B080E"/>
    <w:rsid w:val="000B0A55"/>
    <w:rsid w:val="000B11D1"/>
    <w:rsid w:val="000B1872"/>
    <w:rsid w:val="000B1895"/>
    <w:rsid w:val="000B29FF"/>
    <w:rsid w:val="000B2AF3"/>
    <w:rsid w:val="000B2CB9"/>
    <w:rsid w:val="000B2DEB"/>
    <w:rsid w:val="000B2F91"/>
    <w:rsid w:val="000B346B"/>
    <w:rsid w:val="000B3785"/>
    <w:rsid w:val="000B3932"/>
    <w:rsid w:val="000B3C5B"/>
    <w:rsid w:val="000B3EB0"/>
    <w:rsid w:val="000B41AE"/>
    <w:rsid w:val="000B45D2"/>
    <w:rsid w:val="000B4C22"/>
    <w:rsid w:val="000B4D61"/>
    <w:rsid w:val="000B4DED"/>
    <w:rsid w:val="000B5106"/>
    <w:rsid w:val="000B536C"/>
    <w:rsid w:val="000B5545"/>
    <w:rsid w:val="000B562F"/>
    <w:rsid w:val="000B592F"/>
    <w:rsid w:val="000B5986"/>
    <w:rsid w:val="000B5CCA"/>
    <w:rsid w:val="000B5EEB"/>
    <w:rsid w:val="000B60FC"/>
    <w:rsid w:val="000B612F"/>
    <w:rsid w:val="000B685B"/>
    <w:rsid w:val="000B6F5C"/>
    <w:rsid w:val="000B71C6"/>
    <w:rsid w:val="000B7328"/>
    <w:rsid w:val="000B7408"/>
    <w:rsid w:val="000B79A1"/>
    <w:rsid w:val="000B7A41"/>
    <w:rsid w:val="000B7B37"/>
    <w:rsid w:val="000C0655"/>
    <w:rsid w:val="000C068B"/>
    <w:rsid w:val="000C075B"/>
    <w:rsid w:val="000C0B7F"/>
    <w:rsid w:val="000C0E69"/>
    <w:rsid w:val="000C1299"/>
    <w:rsid w:val="000C1525"/>
    <w:rsid w:val="000C1672"/>
    <w:rsid w:val="000C16B7"/>
    <w:rsid w:val="000C1723"/>
    <w:rsid w:val="000C1C8C"/>
    <w:rsid w:val="000C2898"/>
    <w:rsid w:val="000C2966"/>
    <w:rsid w:val="000C2F93"/>
    <w:rsid w:val="000C2FFA"/>
    <w:rsid w:val="000C3190"/>
    <w:rsid w:val="000C3A8E"/>
    <w:rsid w:val="000C3D50"/>
    <w:rsid w:val="000C3F7E"/>
    <w:rsid w:val="000C3FC0"/>
    <w:rsid w:val="000C4309"/>
    <w:rsid w:val="000C4406"/>
    <w:rsid w:val="000C45C6"/>
    <w:rsid w:val="000C47C7"/>
    <w:rsid w:val="000C48DA"/>
    <w:rsid w:val="000C4C35"/>
    <w:rsid w:val="000C4F91"/>
    <w:rsid w:val="000C53F0"/>
    <w:rsid w:val="000C53FC"/>
    <w:rsid w:val="000C5453"/>
    <w:rsid w:val="000C5602"/>
    <w:rsid w:val="000C5747"/>
    <w:rsid w:val="000C5E44"/>
    <w:rsid w:val="000C61C8"/>
    <w:rsid w:val="000C61FA"/>
    <w:rsid w:val="000C660D"/>
    <w:rsid w:val="000C66FA"/>
    <w:rsid w:val="000C671E"/>
    <w:rsid w:val="000C6F00"/>
    <w:rsid w:val="000C6F6B"/>
    <w:rsid w:val="000C6FB7"/>
    <w:rsid w:val="000C71A5"/>
    <w:rsid w:val="000C72F2"/>
    <w:rsid w:val="000C7545"/>
    <w:rsid w:val="000C7657"/>
    <w:rsid w:val="000C76C7"/>
    <w:rsid w:val="000C7921"/>
    <w:rsid w:val="000D0296"/>
    <w:rsid w:val="000D042B"/>
    <w:rsid w:val="000D0476"/>
    <w:rsid w:val="000D0E4E"/>
    <w:rsid w:val="000D13E5"/>
    <w:rsid w:val="000D15F9"/>
    <w:rsid w:val="000D1794"/>
    <w:rsid w:val="000D1DF7"/>
    <w:rsid w:val="000D2391"/>
    <w:rsid w:val="000D2465"/>
    <w:rsid w:val="000D2501"/>
    <w:rsid w:val="000D2871"/>
    <w:rsid w:val="000D2F4B"/>
    <w:rsid w:val="000D325E"/>
    <w:rsid w:val="000D342D"/>
    <w:rsid w:val="000D3451"/>
    <w:rsid w:val="000D3849"/>
    <w:rsid w:val="000D3855"/>
    <w:rsid w:val="000D3B4D"/>
    <w:rsid w:val="000D3C2A"/>
    <w:rsid w:val="000D4136"/>
    <w:rsid w:val="000D4243"/>
    <w:rsid w:val="000D42CA"/>
    <w:rsid w:val="000D44EE"/>
    <w:rsid w:val="000D4CFA"/>
    <w:rsid w:val="000D51A6"/>
    <w:rsid w:val="000D5221"/>
    <w:rsid w:val="000D5391"/>
    <w:rsid w:val="000D58F5"/>
    <w:rsid w:val="000D59EA"/>
    <w:rsid w:val="000D5F11"/>
    <w:rsid w:val="000D62CC"/>
    <w:rsid w:val="000D63BE"/>
    <w:rsid w:val="000D6C87"/>
    <w:rsid w:val="000D6E2E"/>
    <w:rsid w:val="000D71F1"/>
    <w:rsid w:val="000D732C"/>
    <w:rsid w:val="000D79DB"/>
    <w:rsid w:val="000D7AE8"/>
    <w:rsid w:val="000D7E50"/>
    <w:rsid w:val="000D7E99"/>
    <w:rsid w:val="000E0007"/>
    <w:rsid w:val="000E092E"/>
    <w:rsid w:val="000E0A31"/>
    <w:rsid w:val="000E0E2F"/>
    <w:rsid w:val="000E1323"/>
    <w:rsid w:val="000E13C2"/>
    <w:rsid w:val="000E17E3"/>
    <w:rsid w:val="000E1B94"/>
    <w:rsid w:val="000E2896"/>
    <w:rsid w:val="000E2B6C"/>
    <w:rsid w:val="000E2DC9"/>
    <w:rsid w:val="000E2E68"/>
    <w:rsid w:val="000E2E83"/>
    <w:rsid w:val="000E30BE"/>
    <w:rsid w:val="000E38F8"/>
    <w:rsid w:val="000E3ACD"/>
    <w:rsid w:val="000E3CE7"/>
    <w:rsid w:val="000E3DF7"/>
    <w:rsid w:val="000E41B7"/>
    <w:rsid w:val="000E4793"/>
    <w:rsid w:val="000E4866"/>
    <w:rsid w:val="000E4913"/>
    <w:rsid w:val="000E49D2"/>
    <w:rsid w:val="000E4EBA"/>
    <w:rsid w:val="000E5432"/>
    <w:rsid w:val="000E5CFE"/>
    <w:rsid w:val="000E5DC3"/>
    <w:rsid w:val="000E61DE"/>
    <w:rsid w:val="000E63D6"/>
    <w:rsid w:val="000E6639"/>
    <w:rsid w:val="000E6AFE"/>
    <w:rsid w:val="000E74DF"/>
    <w:rsid w:val="000E7D9D"/>
    <w:rsid w:val="000E7DAA"/>
    <w:rsid w:val="000E7DC7"/>
    <w:rsid w:val="000F04E1"/>
    <w:rsid w:val="000F08CF"/>
    <w:rsid w:val="000F0B43"/>
    <w:rsid w:val="000F0D8D"/>
    <w:rsid w:val="000F0FD5"/>
    <w:rsid w:val="000F1682"/>
    <w:rsid w:val="000F1CBD"/>
    <w:rsid w:val="000F1EAC"/>
    <w:rsid w:val="000F200D"/>
    <w:rsid w:val="000F23BA"/>
    <w:rsid w:val="000F24BE"/>
    <w:rsid w:val="000F2C5E"/>
    <w:rsid w:val="000F2D8A"/>
    <w:rsid w:val="000F2F16"/>
    <w:rsid w:val="000F3028"/>
    <w:rsid w:val="000F3251"/>
    <w:rsid w:val="000F32B6"/>
    <w:rsid w:val="000F32C9"/>
    <w:rsid w:val="000F3518"/>
    <w:rsid w:val="000F3C05"/>
    <w:rsid w:val="000F3C73"/>
    <w:rsid w:val="000F448B"/>
    <w:rsid w:val="000F4685"/>
    <w:rsid w:val="000F46D4"/>
    <w:rsid w:val="000F4A3E"/>
    <w:rsid w:val="000F4E6A"/>
    <w:rsid w:val="000F4FE5"/>
    <w:rsid w:val="000F5605"/>
    <w:rsid w:val="000F56D2"/>
    <w:rsid w:val="000F5806"/>
    <w:rsid w:val="000F6039"/>
    <w:rsid w:val="000F6229"/>
    <w:rsid w:val="000F6539"/>
    <w:rsid w:val="000F6A32"/>
    <w:rsid w:val="000F6AB5"/>
    <w:rsid w:val="000F6CC5"/>
    <w:rsid w:val="000F6D31"/>
    <w:rsid w:val="000F6D49"/>
    <w:rsid w:val="000F6E96"/>
    <w:rsid w:val="000F6FBB"/>
    <w:rsid w:val="000F6FD2"/>
    <w:rsid w:val="000F74F3"/>
    <w:rsid w:val="000F7623"/>
    <w:rsid w:val="000F763A"/>
    <w:rsid w:val="000F7B09"/>
    <w:rsid w:val="000F7C3D"/>
    <w:rsid w:val="000F7FA3"/>
    <w:rsid w:val="0010017C"/>
    <w:rsid w:val="00100206"/>
    <w:rsid w:val="00100773"/>
    <w:rsid w:val="00100C56"/>
    <w:rsid w:val="00102054"/>
    <w:rsid w:val="00102280"/>
    <w:rsid w:val="0010272B"/>
    <w:rsid w:val="00102730"/>
    <w:rsid w:val="00102756"/>
    <w:rsid w:val="001028B3"/>
    <w:rsid w:val="00102A1A"/>
    <w:rsid w:val="00102FE7"/>
    <w:rsid w:val="00103298"/>
    <w:rsid w:val="00103859"/>
    <w:rsid w:val="00103B20"/>
    <w:rsid w:val="00103DB0"/>
    <w:rsid w:val="00103E43"/>
    <w:rsid w:val="00104198"/>
    <w:rsid w:val="00104387"/>
    <w:rsid w:val="00104766"/>
    <w:rsid w:val="001047DB"/>
    <w:rsid w:val="00104C15"/>
    <w:rsid w:val="00105127"/>
    <w:rsid w:val="00105189"/>
    <w:rsid w:val="00105383"/>
    <w:rsid w:val="0010562A"/>
    <w:rsid w:val="0010575D"/>
    <w:rsid w:val="00105834"/>
    <w:rsid w:val="00105B08"/>
    <w:rsid w:val="001061D4"/>
    <w:rsid w:val="001064FC"/>
    <w:rsid w:val="00106EA5"/>
    <w:rsid w:val="001071BC"/>
    <w:rsid w:val="0010722A"/>
    <w:rsid w:val="001074BC"/>
    <w:rsid w:val="001076B5"/>
    <w:rsid w:val="00107788"/>
    <w:rsid w:val="00107B51"/>
    <w:rsid w:val="00107F68"/>
    <w:rsid w:val="0011050C"/>
    <w:rsid w:val="001108D6"/>
    <w:rsid w:val="00110970"/>
    <w:rsid w:val="00110A0C"/>
    <w:rsid w:val="00110AF3"/>
    <w:rsid w:val="00110C47"/>
    <w:rsid w:val="001115ED"/>
    <w:rsid w:val="001119EC"/>
    <w:rsid w:val="0011209D"/>
    <w:rsid w:val="001121CF"/>
    <w:rsid w:val="001125B5"/>
    <w:rsid w:val="00112653"/>
    <w:rsid w:val="00112760"/>
    <w:rsid w:val="00112973"/>
    <w:rsid w:val="00112A95"/>
    <w:rsid w:val="00112CD3"/>
    <w:rsid w:val="00112F2A"/>
    <w:rsid w:val="00113274"/>
    <w:rsid w:val="001133AB"/>
    <w:rsid w:val="0011348A"/>
    <w:rsid w:val="0011360B"/>
    <w:rsid w:val="00113613"/>
    <w:rsid w:val="001136F8"/>
    <w:rsid w:val="0011372B"/>
    <w:rsid w:val="001138D2"/>
    <w:rsid w:val="00113BF0"/>
    <w:rsid w:val="00113DCE"/>
    <w:rsid w:val="00113FB1"/>
    <w:rsid w:val="001140C1"/>
    <w:rsid w:val="00114126"/>
    <w:rsid w:val="00114309"/>
    <w:rsid w:val="00114551"/>
    <w:rsid w:val="0011479F"/>
    <w:rsid w:val="00114F65"/>
    <w:rsid w:val="00114FB2"/>
    <w:rsid w:val="00115085"/>
    <w:rsid w:val="00115132"/>
    <w:rsid w:val="001154CB"/>
    <w:rsid w:val="001154EE"/>
    <w:rsid w:val="00115B19"/>
    <w:rsid w:val="00115C2D"/>
    <w:rsid w:val="0011600D"/>
    <w:rsid w:val="001162C8"/>
    <w:rsid w:val="0011672C"/>
    <w:rsid w:val="00116AA0"/>
    <w:rsid w:val="00116DC6"/>
    <w:rsid w:val="00117332"/>
    <w:rsid w:val="00117352"/>
    <w:rsid w:val="00117630"/>
    <w:rsid w:val="0012032C"/>
    <w:rsid w:val="0012037F"/>
    <w:rsid w:val="0012050A"/>
    <w:rsid w:val="00120C46"/>
    <w:rsid w:val="00120ECD"/>
    <w:rsid w:val="001212AA"/>
    <w:rsid w:val="00121334"/>
    <w:rsid w:val="0012169D"/>
    <w:rsid w:val="00121887"/>
    <w:rsid w:val="001223A2"/>
    <w:rsid w:val="00122A22"/>
    <w:rsid w:val="00122BC3"/>
    <w:rsid w:val="00122DAF"/>
    <w:rsid w:val="00122EDB"/>
    <w:rsid w:val="00122F59"/>
    <w:rsid w:val="00123C8C"/>
    <w:rsid w:val="001243F6"/>
    <w:rsid w:val="00124454"/>
    <w:rsid w:val="001248FB"/>
    <w:rsid w:val="00124960"/>
    <w:rsid w:val="00124EBB"/>
    <w:rsid w:val="0012518D"/>
    <w:rsid w:val="00125234"/>
    <w:rsid w:val="0012539F"/>
    <w:rsid w:val="0012548B"/>
    <w:rsid w:val="0012565A"/>
    <w:rsid w:val="0012595D"/>
    <w:rsid w:val="00125B8D"/>
    <w:rsid w:val="0012605F"/>
    <w:rsid w:val="00126140"/>
    <w:rsid w:val="00126553"/>
    <w:rsid w:val="00127176"/>
    <w:rsid w:val="00127285"/>
    <w:rsid w:val="001276ED"/>
    <w:rsid w:val="001278A9"/>
    <w:rsid w:val="00127C13"/>
    <w:rsid w:val="00127DA9"/>
    <w:rsid w:val="00130523"/>
    <w:rsid w:val="00130748"/>
    <w:rsid w:val="001307F5"/>
    <w:rsid w:val="00131B34"/>
    <w:rsid w:val="00132297"/>
    <w:rsid w:val="00132483"/>
    <w:rsid w:val="0013272B"/>
    <w:rsid w:val="00132742"/>
    <w:rsid w:val="00132895"/>
    <w:rsid w:val="00132ED9"/>
    <w:rsid w:val="00133F8D"/>
    <w:rsid w:val="00134155"/>
    <w:rsid w:val="001346DA"/>
    <w:rsid w:val="00134919"/>
    <w:rsid w:val="001349C5"/>
    <w:rsid w:val="00134C15"/>
    <w:rsid w:val="00134CFC"/>
    <w:rsid w:val="001350D2"/>
    <w:rsid w:val="001358D9"/>
    <w:rsid w:val="0013592D"/>
    <w:rsid w:val="00135B86"/>
    <w:rsid w:val="001368E6"/>
    <w:rsid w:val="00136A14"/>
    <w:rsid w:val="00136F2A"/>
    <w:rsid w:val="001370F7"/>
    <w:rsid w:val="0013711C"/>
    <w:rsid w:val="0013758E"/>
    <w:rsid w:val="00137C07"/>
    <w:rsid w:val="00137CCD"/>
    <w:rsid w:val="00137D05"/>
    <w:rsid w:val="00137D52"/>
    <w:rsid w:val="00137FB5"/>
    <w:rsid w:val="001405B3"/>
    <w:rsid w:val="00140C6D"/>
    <w:rsid w:val="0014133E"/>
    <w:rsid w:val="0014170F"/>
    <w:rsid w:val="0014172C"/>
    <w:rsid w:val="001417C1"/>
    <w:rsid w:val="00141999"/>
    <w:rsid w:val="00141CB8"/>
    <w:rsid w:val="001420AF"/>
    <w:rsid w:val="00142111"/>
    <w:rsid w:val="00142242"/>
    <w:rsid w:val="0014293B"/>
    <w:rsid w:val="001429EA"/>
    <w:rsid w:val="00143275"/>
    <w:rsid w:val="0014435C"/>
    <w:rsid w:val="00144A0E"/>
    <w:rsid w:val="00144BCD"/>
    <w:rsid w:val="00144F05"/>
    <w:rsid w:val="0014526C"/>
    <w:rsid w:val="00145501"/>
    <w:rsid w:val="00145706"/>
    <w:rsid w:val="0014584A"/>
    <w:rsid w:val="00145DE6"/>
    <w:rsid w:val="00146A08"/>
    <w:rsid w:val="00146FED"/>
    <w:rsid w:val="00147519"/>
    <w:rsid w:val="0014770D"/>
    <w:rsid w:val="00147C2A"/>
    <w:rsid w:val="00147ED1"/>
    <w:rsid w:val="00147F0D"/>
    <w:rsid w:val="0015001B"/>
    <w:rsid w:val="0015041E"/>
    <w:rsid w:val="001507AE"/>
    <w:rsid w:val="00150995"/>
    <w:rsid w:val="00150B55"/>
    <w:rsid w:val="00150C15"/>
    <w:rsid w:val="00151058"/>
    <w:rsid w:val="001515A2"/>
    <w:rsid w:val="00151D8C"/>
    <w:rsid w:val="00151F4D"/>
    <w:rsid w:val="00152140"/>
    <w:rsid w:val="00152164"/>
    <w:rsid w:val="00152345"/>
    <w:rsid w:val="0015249B"/>
    <w:rsid w:val="00152E44"/>
    <w:rsid w:val="00152FB0"/>
    <w:rsid w:val="001530BA"/>
    <w:rsid w:val="00153140"/>
    <w:rsid w:val="00153327"/>
    <w:rsid w:val="00153AAD"/>
    <w:rsid w:val="00153C48"/>
    <w:rsid w:val="00153C51"/>
    <w:rsid w:val="00153D34"/>
    <w:rsid w:val="0015420C"/>
    <w:rsid w:val="00154339"/>
    <w:rsid w:val="00154734"/>
    <w:rsid w:val="00154B9A"/>
    <w:rsid w:val="00154BD7"/>
    <w:rsid w:val="00154C9E"/>
    <w:rsid w:val="00154F9F"/>
    <w:rsid w:val="00155188"/>
    <w:rsid w:val="001556B8"/>
    <w:rsid w:val="001556EE"/>
    <w:rsid w:val="001559A8"/>
    <w:rsid w:val="00155A25"/>
    <w:rsid w:val="00156656"/>
    <w:rsid w:val="00156842"/>
    <w:rsid w:val="0015687D"/>
    <w:rsid w:val="0015784A"/>
    <w:rsid w:val="0015793D"/>
    <w:rsid w:val="0016003C"/>
    <w:rsid w:val="00160115"/>
    <w:rsid w:val="00160324"/>
    <w:rsid w:val="001606B5"/>
    <w:rsid w:val="001607E1"/>
    <w:rsid w:val="001608D6"/>
    <w:rsid w:val="0016178D"/>
    <w:rsid w:val="00162093"/>
    <w:rsid w:val="001628CA"/>
    <w:rsid w:val="00162AC7"/>
    <w:rsid w:val="001630FA"/>
    <w:rsid w:val="00163ADA"/>
    <w:rsid w:val="00163DBF"/>
    <w:rsid w:val="00163E78"/>
    <w:rsid w:val="00163F99"/>
    <w:rsid w:val="00164227"/>
    <w:rsid w:val="00164342"/>
    <w:rsid w:val="001644A8"/>
    <w:rsid w:val="00164689"/>
    <w:rsid w:val="00164FFD"/>
    <w:rsid w:val="00165027"/>
    <w:rsid w:val="0016505C"/>
    <w:rsid w:val="00165087"/>
    <w:rsid w:val="001656DA"/>
    <w:rsid w:val="001657A2"/>
    <w:rsid w:val="00165C85"/>
    <w:rsid w:val="00165F6E"/>
    <w:rsid w:val="001662D3"/>
    <w:rsid w:val="0016667E"/>
    <w:rsid w:val="001668C0"/>
    <w:rsid w:val="00166A71"/>
    <w:rsid w:val="00166A9F"/>
    <w:rsid w:val="00166ECA"/>
    <w:rsid w:val="00166EEE"/>
    <w:rsid w:val="00167180"/>
    <w:rsid w:val="001674E7"/>
    <w:rsid w:val="001677D5"/>
    <w:rsid w:val="00167D9D"/>
    <w:rsid w:val="001709CF"/>
    <w:rsid w:val="00170ED2"/>
    <w:rsid w:val="00170F2B"/>
    <w:rsid w:val="0017102E"/>
    <w:rsid w:val="0017148C"/>
    <w:rsid w:val="001714D5"/>
    <w:rsid w:val="001715FC"/>
    <w:rsid w:val="00171605"/>
    <w:rsid w:val="00171782"/>
    <w:rsid w:val="00171E88"/>
    <w:rsid w:val="00171F7C"/>
    <w:rsid w:val="001726DB"/>
    <w:rsid w:val="001727D9"/>
    <w:rsid w:val="00172CEC"/>
    <w:rsid w:val="00172D38"/>
    <w:rsid w:val="00173180"/>
    <w:rsid w:val="00173418"/>
    <w:rsid w:val="001738C3"/>
    <w:rsid w:val="001738E3"/>
    <w:rsid w:val="00173DBF"/>
    <w:rsid w:val="00174128"/>
    <w:rsid w:val="001746C8"/>
    <w:rsid w:val="001746E9"/>
    <w:rsid w:val="001746FE"/>
    <w:rsid w:val="001748C8"/>
    <w:rsid w:val="0017498F"/>
    <w:rsid w:val="001749AC"/>
    <w:rsid w:val="00174CB0"/>
    <w:rsid w:val="00174FB3"/>
    <w:rsid w:val="00174FFE"/>
    <w:rsid w:val="001752C3"/>
    <w:rsid w:val="00175629"/>
    <w:rsid w:val="00175735"/>
    <w:rsid w:val="001759AA"/>
    <w:rsid w:val="00175C92"/>
    <w:rsid w:val="00175D8F"/>
    <w:rsid w:val="00176173"/>
    <w:rsid w:val="001768C2"/>
    <w:rsid w:val="00176D2F"/>
    <w:rsid w:val="00176D8E"/>
    <w:rsid w:val="00176E51"/>
    <w:rsid w:val="0017717F"/>
    <w:rsid w:val="00177267"/>
    <w:rsid w:val="00177613"/>
    <w:rsid w:val="001777F5"/>
    <w:rsid w:val="001778C8"/>
    <w:rsid w:val="00177B55"/>
    <w:rsid w:val="00177DC3"/>
    <w:rsid w:val="001803FD"/>
    <w:rsid w:val="00180711"/>
    <w:rsid w:val="00180DC6"/>
    <w:rsid w:val="00180DDD"/>
    <w:rsid w:val="00180FD9"/>
    <w:rsid w:val="0018153D"/>
    <w:rsid w:val="001815EF"/>
    <w:rsid w:val="0018163E"/>
    <w:rsid w:val="001816BD"/>
    <w:rsid w:val="001820BE"/>
    <w:rsid w:val="00182208"/>
    <w:rsid w:val="001822B5"/>
    <w:rsid w:val="001822FE"/>
    <w:rsid w:val="001823E4"/>
    <w:rsid w:val="0018267B"/>
    <w:rsid w:val="001826A7"/>
    <w:rsid w:val="0018281B"/>
    <w:rsid w:val="001831A9"/>
    <w:rsid w:val="0018354F"/>
    <w:rsid w:val="001837E0"/>
    <w:rsid w:val="0018394C"/>
    <w:rsid w:val="00183FD2"/>
    <w:rsid w:val="001845FC"/>
    <w:rsid w:val="0018490E"/>
    <w:rsid w:val="00184924"/>
    <w:rsid w:val="00184D40"/>
    <w:rsid w:val="00184FF9"/>
    <w:rsid w:val="001850ED"/>
    <w:rsid w:val="00185242"/>
    <w:rsid w:val="00185647"/>
    <w:rsid w:val="00185E2A"/>
    <w:rsid w:val="001861D5"/>
    <w:rsid w:val="001861D8"/>
    <w:rsid w:val="00186538"/>
    <w:rsid w:val="00186559"/>
    <w:rsid w:val="00186710"/>
    <w:rsid w:val="0018700A"/>
    <w:rsid w:val="0018705F"/>
    <w:rsid w:val="00187179"/>
    <w:rsid w:val="00187DD3"/>
    <w:rsid w:val="001900AC"/>
    <w:rsid w:val="0019024E"/>
    <w:rsid w:val="0019025A"/>
    <w:rsid w:val="00190356"/>
    <w:rsid w:val="001903FF"/>
    <w:rsid w:val="00190EEB"/>
    <w:rsid w:val="001910FC"/>
    <w:rsid w:val="00191378"/>
    <w:rsid w:val="00191733"/>
    <w:rsid w:val="001919AE"/>
    <w:rsid w:val="00191F44"/>
    <w:rsid w:val="0019221F"/>
    <w:rsid w:val="001925C0"/>
    <w:rsid w:val="00192CF0"/>
    <w:rsid w:val="00192FB5"/>
    <w:rsid w:val="0019324F"/>
    <w:rsid w:val="0019334F"/>
    <w:rsid w:val="00193AFF"/>
    <w:rsid w:val="00194470"/>
    <w:rsid w:val="001946E8"/>
    <w:rsid w:val="001947D5"/>
    <w:rsid w:val="00194928"/>
    <w:rsid w:val="0019544B"/>
    <w:rsid w:val="00195D4F"/>
    <w:rsid w:val="001964A2"/>
    <w:rsid w:val="001966FC"/>
    <w:rsid w:val="00196744"/>
    <w:rsid w:val="0019699C"/>
    <w:rsid w:val="0019704E"/>
    <w:rsid w:val="00197118"/>
    <w:rsid w:val="001973F2"/>
    <w:rsid w:val="0019752B"/>
    <w:rsid w:val="0019764D"/>
    <w:rsid w:val="00197B02"/>
    <w:rsid w:val="00197D45"/>
    <w:rsid w:val="00197E26"/>
    <w:rsid w:val="00197FD7"/>
    <w:rsid w:val="001A0040"/>
    <w:rsid w:val="001A0A03"/>
    <w:rsid w:val="001A1051"/>
    <w:rsid w:val="001A10C4"/>
    <w:rsid w:val="001A16A9"/>
    <w:rsid w:val="001A19F8"/>
    <w:rsid w:val="001A20DA"/>
    <w:rsid w:val="001A22C0"/>
    <w:rsid w:val="001A25DD"/>
    <w:rsid w:val="001A2645"/>
    <w:rsid w:val="001A2E24"/>
    <w:rsid w:val="001A2F45"/>
    <w:rsid w:val="001A322C"/>
    <w:rsid w:val="001A34F0"/>
    <w:rsid w:val="001A37DF"/>
    <w:rsid w:val="001A3AB1"/>
    <w:rsid w:val="001A3B83"/>
    <w:rsid w:val="001A4367"/>
    <w:rsid w:val="001A4A49"/>
    <w:rsid w:val="001A4BA8"/>
    <w:rsid w:val="001A516E"/>
    <w:rsid w:val="001A51FB"/>
    <w:rsid w:val="001A54BC"/>
    <w:rsid w:val="001A5B11"/>
    <w:rsid w:val="001A5B5C"/>
    <w:rsid w:val="001A5EAE"/>
    <w:rsid w:val="001A5FB0"/>
    <w:rsid w:val="001A5FBE"/>
    <w:rsid w:val="001A61BB"/>
    <w:rsid w:val="001A63EF"/>
    <w:rsid w:val="001A6573"/>
    <w:rsid w:val="001A69E9"/>
    <w:rsid w:val="001A6D53"/>
    <w:rsid w:val="001A7C1C"/>
    <w:rsid w:val="001A7F20"/>
    <w:rsid w:val="001B0149"/>
    <w:rsid w:val="001B025C"/>
    <w:rsid w:val="001B0B33"/>
    <w:rsid w:val="001B10F9"/>
    <w:rsid w:val="001B1936"/>
    <w:rsid w:val="001B1985"/>
    <w:rsid w:val="001B1EAC"/>
    <w:rsid w:val="001B204D"/>
    <w:rsid w:val="001B22A9"/>
    <w:rsid w:val="001B22D5"/>
    <w:rsid w:val="001B235E"/>
    <w:rsid w:val="001B24C8"/>
    <w:rsid w:val="001B2869"/>
    <w:rsid w:val="001B2ACC"/>
    <w:rsid w:val="001B2B58"/>
    <w:rsid w:val="001B2B6C"/>
    <w:rsid w:val="001B2B6D"/>
    <w:rsid w:val="001B2EA5"/>
    <w:rsid w:val="001B2F34"/>
    <w:rsid w:val="001B2F94"/>
    <w:rsid w:val="001B32C4"/>
    <w:rsid w:val="001B330E"/>
    <w:rsid w:val="001B34D5"/>
    <w:rsid w:val="001B34FC"/>
    <w:rsid w:val="001B39B4"/>
    <w:rsid w:val="001B3D6A"/>
    <w:rsid w:val="001B413E"/>
    <w:rsid w:val="001B4524"/>
    <w:rsid w:val="001B45E1"/>
    <w:rsid w:val="001B4FD9"/>
    <w:rsid w:val="001B5B06"/>
    <w:rsid w:val="001B612E"/>
    <w:rsid w:val="001B61FA"/>
    <w:rsid w:val="001B62B5"/>
    <w:rsid w:val="001B632B"/>
    <w:rsid w:val="001B7007"/>
    <w:rsid w:val="001B7179"/>
    <w:rsid w:val="001B72AB"/>
    <w:rsid w:val="001B732A"/>
    <w:rsid w:val="001B7466"/>
    <w:rsid w:val="001B756C"/>
    <w:rsid w:val="001B75B9"/>
    <w:rsid w:val="001B7872"/>
    <w:rsid w:val="001C002D"/>
    <w:rsid w:val="001C04E2"/>
    <w:rsid w:val="001C0532"/>
    <w:rsid w:val="001C072E"/>
    <w:rsid w:val="001C0980"/>
    <w:rsid w:val="001C09D5"/>
    <w:rsid w:val="001C0FBE"/>
    <w:rsid w:val="001C0FC0"/>
    <w:rsid w:val="001C1006"/>
    <w:rsid w:val="001C1015"/>
    <w:rsid w:val="001C11B0"/>
    <w:rsid w:val="001C1587"/>
    <w:rsid w:val="001C196F"/>
    <w:rsid w:val="001C1E48"/>
    <w:rsid w:val="001C1ED6"/>
    <w:rsid w:val="001C1EEF"/>
    <w:rsid w:val="001C1F29"/>
    <w:rsid w:val="001C203F"/>
    <w:rsid w:val="001C25E2"/>
    <w:rsid w:val="001C26CD"/>
    <w:rsid w:val="001C3061"/>
    <w:rsid w:val="001C37CC"/>
    <w:rsid w:val="001C3ED1"/>
    <w:rsid w:val="001C403C"/>
    <w:rsid w:val="001C409B"/>
    <w:rsid w:val="001C443C"/>
    <w:rsid w:val="001C44FF"/>
    <w:rsid w:val="001C46EB"/>
    <w:rsid w:val="001C51D7"/>
    <w:rsid w:val="001C5471"/>
    <w:rsid w:val="001C598F"/>
    <w:rsid w:val="001C5DE0"/>
    <w:rsid w:val="001C5F2B"/>
    <w:rsid w:val="001C6066"/>
    <w:rsid w:val="001C64A6"/>
    <w:rsid w:val="001C64C1"/>
    <w:rsid w:val="001C64C9"/>
    <w:rsid w:val="001C6A1E"/>
    <w:rsid w:val="001C6A25"/>
    <w:rsid w:val="001C6AE0"/>
    <w:rsid w:val="001C6CF3"/>
    <w:rsid w:val="001C7174"/>
    <w:rsid w:val="001C768D"/>
    <w:rsid w:val="001C76B8"/>
    <w:rsid w:val="001C7D61"/>
    <w:rsid w:val="001C7E58"/>
    <w:rsid w:val="001D009B"/>
    <w:rsid w:val="001D0395"/>
    <w:rsid w:val="001D0427"/>
    <w:rsid w:val="001D1056"/>
    <w:rsid w:val="001D117D"/>
    <w:rsid w:val="001D172D"/>
    <w:rsid w:val="001D1850"/>
    <w:rsid w:val="001D203B"/>
    <w:rsid w:val="001D214E"/>
    <w:rsid w:val="001D25EF"/>
    <w:rsid w:val="001D280F"/>
    <w:rsid w:val="001D2BB3"/>
    <w:rsid w:val="001D2E1C"/>
    <w:rsid w:val="001D316C"/>
    <w:rsid w:val="001D3342"/>
    <w:rsid w:val="001D3C74"/>
    <w:rsid w:val="001D3F6B"/>
    <w:rsid w:val="001D3FC3"/>
    <w:rsid w:val="001D4012"/>
    <w:rsid w:val="001D40D7"/>
    <w:rsid w:val="001D428B"/>
    <w:rsid w:val="001D4F6D"/>
    <w:rsid w:val="001D50BA"/>
    <w:rsid w:val="001D542F"/>
    <w:rsid w:val="001D546A"/>
    <w:rsid w:val="001D54EA"/>
    <w:rsid w:val="001D5858"/>
    <w:rsid w:val="001D585C"/>
    <w:rsid w:val="001D5874"/>
    <w:rsid w:val="001D601D"/>
    <w:rsid w:val="001D60E7"/>
    <w:rsid w:val="001D631E"/>
    <w:rsid w:val="001D6460"/>
    <w:rsid w:val="001D67A9"/>
    <w:rsid w:val="001D683F"/>
    <w:rsid w:val="001D6A38"/>
    <w:rsid w:val="001D6CB1"/>
    <w:rsid w:val="001D6E26"/>
    <w:rsid w:val="001D7343"/>
    <w:rsid w:val="001D7664"/>
    <w:rsid w:val="001D7683"/>
    <w:rsid w:val="001D7CE8"/>
    <w:rsid w:val="001E00DA"/>
    <w:rsid w:val="001E067E"/>
    <w:rsid w:val="001E0733"/>
    <w:rsid w:val="001E0AA2"/>
    <w:rsid w:val="001E0C35"/>
    <w:rsid w:val="001E11DC"/>
    <w:rsid w:val="001E1300"/>
    <w:rsid w:val="001E1675"/>
    <w:rsid w:val="001E16C7"/>
    <w:rsid w:val="001E29FB"/>
    <w:rsid w:val="001E2CA4"/>
    <w:rsid w:val="001E3454"/>
    <w:rsid w:val="001E3B3A"/>
    <w:rsid w:val="001E3F32"/>
    <w:rsid w:val="001E400A"/>
    <w:rsid w:val="001E406F"/>
    <w:rsid w:val="001E49FD"/>
    <w:rsid w:val="001E545C"/>
    <w:rsid w:val="001E5796"/>
    <w:rsid w:val="001E5E5F"/>
    <w:rsid w:val="001E60E6"/>
    <w:rsid w:val="001E63FD"/>
    <w:rsid w:val="001E6949"/>
    <w:rsid w:val="001E6B12"/>
    <w:rsid w:val="001E7545"/>
    <w:rsid w:val="001E754B"/>
    <w:rsid w:val="001E754E"/>
    <w:rsid w:val="001E793A"/>
    <w:rsid w:val="001E7C61"/>
    <w:rsid w:val="001E7ED8"/>
    <w:rsid w:val="001F0257"/>
    <w:rsid w:val="001F0674"/>
    <w:rsid w:val="001F0959"/>
    <w:rsid w:val="001F0AB8"/>
    <w:rsid w:val="001F0CEA"/>
    <w:rsid w:val="001F17E8"/>
    <w:rsid w:val="001F1A65"/>
    <w:rsid w:val="001F1FD9"/>
    <w:rsid w:val="001F202A"/>
    <w:rsid w:val="001F21E7"/>
    <w:rsid w:val="001F22D4"/>
    <w:rsid w:val="001F2616"/>
    <w:rsid w:val="001F29F3"/>
    <w:rsid w:val="001F2E1B"/>
    <w:rsid w:val="001F31E5"/>
    <w:rsid w:val="001F3C15"/>
    <w:rsid w:val="001F3C1F"/>
    <w:rsid w:val="001F3D2F"/>
    <w:rsid w:val="001F3EE8"/>
    <w:rsid w:val="001F3FE5"/>
    <w:rsid w:val="001F4303"/>
    <w:rsid w:val="001F4500"/>
    <w:rsid w:val="001F4811"/>
    <w:rsid w:val="001F4D84"/>
    <w:rsid w:val="001F51F8"/>
    <w:rsid w:val="001F5358"/>
    <w:rsid w:val="001F58BF"/>
    <w:rsid w:val="001F5DBA"/>
    <w:rsid w:val="001F5F07"/>
    <w:rsid w:val="001F62B5"/>
    <w:rsid w:val="001F6795"/>
    <w:rsid w:val="001F6894"/>
    <w:rsid w:val="001F68CD"/>
    <w:rsid w:val="001F6D90"/>
    <w:rsid w:val="001F6D95"/>
    <w:rsid w:val="001F6F94"/>
    <w:rsid w:val="001F6F9B"/>
    <w:rsid w:val="001F7A4B"/>
    <w:rsid w:val="0020002B"/>
    <w:rsid w:val="002000D9"/>
    <w:rsid w:val="002001E2"/>
    <w:rsid w:val="0020027B"/>
    <w:rsid w:val="0020029A"/>
    <w:rsid w:val="002006E0"/>
    <w:rsid w:val="002006FB"/>
    <w:rsid w:val="00200E33"/>
    <w:rsid w:val="00200F6A"/>
    <w:rsid w:val="00200FA5"/>
    <w:rsid w:val="002018E7"/>
    <w:rsid w:val="002019BB"/>
    <w:rsid w:val="00201A2C"/>
    <w:rsid w:val="00201A64"/>
    <w:rsid w:val="00201CD0"/>
    <w:rsid w:val="0020206D"/>
    <w:rsid w:val="002024EE"/>
    <w:rsid w:val="0020289A"/>
    <w:rsid w:val="00202D17"/>
    <w:rsid w:val="0020302E"/>
    <w:rsid w:val="00203BAC"/>
    <w:rsid w:val="0020433A"/>
    <w:rsid w:val="0020458A"/>
    <w:rsid w:val="002045E3"/>
    <w:rsid w:val="00204786"/>
    <w:rsid w:val="00204B54"/>
    <w:rsid w:val="00205C67"/>
    <w:rsid w:val="002062B8"/>
    <w:rsid w:val="00206412"/>
    <w:rsid w:val="002067F7"/>
    <w:rsid w:val="0020729A"/>
    <w:rsid w:val="002072A1"/>
    <w:rsid w:val="0020768D"/>
    <w:rsid w:val="00207F44"/>
    <w:rsid w:val="0021028C"/>
    <w:rsid w:val="00210347"/>
    <w:rsid w:val="002103A2"/>
    <w:rsid w:val="00210C35"/>
    <w:rsid w:val="00210F00"/>
    <w:rsid w:val="00210F32"/>
    <w:rsid w:val="00210FA2"/>
    <w:rsid w:val="00211227"/>
    <w:rsid w:val="00211267"/>
    <w:rsid w:val="00211A57"/>
    <w:rsid w:val="00212141"/>
    <w:rsid w:val="002121C1"/>
    <w:rsid w:val="00212AD7"/>
    <w:rsid w:val="00213085"/>
    <w:rsid w:val="00213322"/>
    <w:rsid w:val="00213982"/>
    <w:rsid w:val="00213E98"/>
    <w:rsid w:val="00213EC1"/>
    <w:rsid w:val="002142D3"/>
    <w:rsid w:val="002147A3"/>
    <w:rsid w:val="00214813"/>
    <w:rsid w:val="0021489C"/>
    <w:rsid w:val="00214B5B"/>
    <w:rsid w:val="00214DE9"/>
    <w:rsid w:val="002154D0"/>
    <w:rsid w:val="002155C7"/>
    <w:rsid w:val="00215939"/>
    <w:rsid w:val="00215CF8"/>
    <w:rsid w:val="00215EDF"/>
    <w:rsid w:val="0021622E"/>
    <w:rsid w:val="00216917"/>
    <w:rsid w:val="00216A5B"/>
    <w:rsid w:val="00216A76"/>
    <w:rsid w:val="00217042"/>
    <w:rsid w:val="002172CE"/>
    <w:rsid w:val="002175C8"/>
    <w:rsid w:val="00217707"/>
    <w:rsid w:val="00217DC0"/>
    <w:rsid w:val="00220625"/>
    <w:rsid w:val="0022100A"/>
    <w:rsid w:val="002213AD"/>
    <w:rsid w:val="00221695"/>
    <w:rsid w:val="0022171D"/>
    <w:rsid w:val="0022175C"/>
    <w:rsid w:val="00221A8B"/>
    <w:rsid w:val="002220A1"/>
    <w:rsid w:val="002222DC"/>
    <w:rsid w:val="00222310"/>
    <w:rsid w:val="00222542"/>
    <w:rsid w:val="002225A6"/>
    <w:rsid w:val="00222E09"/>
    <w:rsid w:val="00223406"/>
    <w:rsid w:val="0022355E"/>
    <w:rsid w:val="002237D8"/>
    <w:rsid w:val="00223886"/>
    <w:rsid w:val="00223912"/>
    <w:rsid w:val="00223C51"/>
    <w:rsid w:val="00223C66"/>
    <w:rsid w:val="00223DC7"/>
    <w:rsid w:val="00223DE1"/>
    <w:rsid w:val="002243E6"/>
    <w:rsid w:val="00224519"/>
    <w:rsid w:val="0022475A"/>
    <w:rsid w:val="00224909"/>
    <w:rsid w:val="00224BB7"/>
    <w:rsid w:val="00224FFE"/>
    <w:rsid w:val="002250B5"/>
    <w:rsid w:val="0022516A"/>
    <w:rsid w:val="002256F4"/>
    <w:rsid w:val="002258B7"/>
    <w:rsid w:val="00225D7D"/>
    <w:rsid w:val="00225E3A"/>
    <w:rsid w:val="0022604C"/>
    <w:rsid w:val="00226B16"/>
    <w:rsid w:val="00226B85"/>
    <w:rsid w:val="00226C34"/>
    <w:rsid w:val="00226CFC"/>
    <w:rsid w:val="00226EC2"/>
    <w:rsid w:val="0022709B"/>
    <w:rsid w:val="0022711E"/>
    <w:rsid w:val="002272C4"/>
    <w:rsid w:val="00227770"/>
    <w:rsid w:val="00227917"/>
    <w:rsid w:val="00227C56"/>
    <w:rsid w:val="00227D02"/>
    <w:rsid w:val="00230597"/>
    <w:rsid w:val="0023073D"/>
    <w:rsid w:val="00230AB2"/>
    <w:rsid w:val="00230B10"/>
    <w:rsid w:val="00230C6E"/>
    <w:rsid w:val="002315C0"/>
    <w:rsid w:val="0023196A"/>
    <w:rsid w:val="00231DB1"/>
    <w:rsid w:val="002323BC"/>
    <w:rsid w:val="00232487"/>
    <w:rsid w:val="002325DD"/>
    <w:rsid w:val="00232903"/>
    <w:rsid w:val="00232B92"/>
    <w:rsid w:val="00232CAA"/>
    <w:rsid w:val="00232D16"/>
    <w:rsid w:val="0023307A"/>
    <w:rsid w:val="002331FF"/>
    <w:rsid w:val="00233313"/>
    <w:rsid w:val="00233B21"/>
    <w:rsid w:val="00233C78"/>
    <w:rsid w:val="00233ECB"/>
    <w:rsid w:val="002340B7"/>
    <w:rsid w:val="0023435A"/>
    <w:rsid w:val="0023448A"/>
    <w:rsid w:val="00234594"/>
    <w:rsid w:val="00234758"/>
    <w:rsid w:val="00234E7A"/>
    <w:rsid w:val="00234ECD"/>
    <w:rsid w:val="002350AA"/>
    <w:rsid w:val="00235117"/>
    <w:rsid w:val="002352C3"/>
    <w:rsid w:val="002353FC"/>
    <w:rsid w:val="00235519"/>
    <w:rsid w:val="002357BB"/>
    <w:rsid w:val="00235936"/>
    <w:rsid w:val="00235AB1"/>
    <w:rsid w:val="00235ABD"/>
    <w:rsid w:val="00235F8E"/>
    <w:rsid w:val="00236345"/>
    <w:rsid w:val="002368BF"/>
    <w:rsid w:val="00236946"/>
    <w:rsid w:val="00236CC2"/>
    <w:rsid w:val="002370AE"/>
    <w:rsid w:val="00237147"/>
    <w:rsid w:val="002377C7"/>
    <w:rsid w:val="00237B79"/>
    <w:rsid w:val="00237BC3"/>
    <w:rsid w:val="00237ED6"/>
    <w:rsid w:val="00237FDC"/>
    <w:rsid w:val="002405A8"/>
    <w:rsid w:val="0024101C"/>
    <w:rsid w:val="00241228"/>
    <w:rsid w:val="00241AE7"/>
    <w:rsid w:val="00241BEF"/>
    <w:rsid w:val="00241CEC"/>
    <w:rsid w:val="002425A1"/>
    <w:rsid w:val="002426F7"/>
    <w:rsid w:val="00242B1F"/>
    <w:rsid w:val="00243570"/>
    <w:rsid w:val="00243A2C"/>
    <w:rsid w:val="00243CF1"/>
    <w:rsid w:val="00243DAA"/>
    <w:rsid w:val="00243E04"/>
    <w:rsid w:val="0024424D"/>
    <w:rsid w:val="002444C8"/>
    <w:rsid w:val="0024599F"/>
    <w:rsid w:val="0024667A"/>
    <w:rsid w:val="002466E1"/>
    <w:rsid w:val="0024686F"/>
    <w:rsid w:val="002468DE"/>
    <w:rsid w:val="00246A54"/>
    <w:rsid w:val="002471D4"/>
    <w:rsid w:val="002473D9"/>
    <w:rsid w:val="002477AE"/>
    <w:rsid w:val="0024797C"/>
    <w:rsid w:val="00247DE6"/>
    <w:rsid w:val="00247E05"/>
    <w:rsid w:val="00247FE7"/>
    <w:rsid w:val="002506EB"/>
    <w:rsid w:val="002508A2"/>
    <w:rsid w:val="00250CAA"/>
    <w:rsid w:val="00251001"/>
    <w:rsid w:val="002510FF"/>
    <w:rsid w:val="0025135A"/>
    <w:rsid w:val="00251607"/>
    <w:rsid w:val="00251622"/>
    <w:rsid w:val="00251D44"/>
    <w:rsid w:val="00251D9F"/>
    <w:rsid w:val="00251E6C"/>
    <w:rsid w:val="00251EFB"/>
    <w:rsid w:val="002521EA"/>
    <w:rsid w:val="002522CA"/>
    <w:rsid w:val="002524A8"/>
    <w:rsid w:val="00252A16"/>
    <w:rsid w:val="00252B58"/>
    <w:rsid w:val="00252C2C"/>
    <w:rsid w:val="002534C5"/>
    <w:rsid w:val="0025441A"/>
    <w:rsid w:val="0025462B"/>
    <w:rsid w:val="0025472D"/>
    <w:rsid w:val="002547F7"/>
    <w:rsid w:val="00254C57"/>
    <w:rsid w:val="00254DAB"/>
    <w:rsid w:val="00255C21"/>
    <w:rsid w:val="00255E90"/>
    <w:rsid w:val="0025614C"/>
    <w:rsid w:val="002561B2"/>
    <w:rsid w:val="00256304"/>
    <w:rsid w:val="002563DB"/>
    <w:rsid w:val="002566B1"/>
    <w:rsid w:val="0025694B"/>
    <w:rsid w:val="00256A42"/>
    <w:rsid w:val="00256E5E"/>
    <w:rsid w:val="002572F4"/>
    <w:rsid w:val="00257659"/>
    <w:rsid w:val="00257C9A"/>
    <w:rsid w:val="00257DB2"/>
    <w:rsid w:val="00257EEB"/>
    <w:rsid w:val="00257F52"/>
    <w:rsid w:val="002605E1"/>
    <w:rsid w:val="00260B1B"/>
    <w:rsid w:val="002615C8"/>
    <w:rsid w:val="002616C7"/>
    <w:rsid w:val="00261770"/>
    <w:rsid w:val="00261B0C"/>
    <w:rsid w:val="00261CC5"/>
    <w:rsid w:val="002622A2"/>
    <w:rsid w:val="00262438"/>
    <w:rsid w:val="00262604"/>
    <w:rsid w:val="00262944"/>
    <w:rsid w:val="00262F7B"/>
    <w:rsid w:val="00263216"/>
    <w:rsid w:val="00263696"/>
    <w:rsid w:val="0026370F"/>
    <w:rsid w:val="002638B4"/>
    <w:rsid w:val="0026399E"/>
    <w:rsid w:val="00263EA7"/>
    <w:rsid w:val="00263F7C"/>
    <w:rsid w:val="002646DD"/>
    <w:rsid w:val="002648D6"/>
    <w:rsid w:val="00264B15"/>
    <w:rsid w:val="00264EA4"/>
    <w:rsid w:val="0026513C"/>
    <w:rsid w:val="00265242"/>
    <w:rsid w:val="0026541D"/>
    <w:rsid w:val="00265FF9"/>
    <w:rsid w:val="00266255"/>
    <w:rsid w:val="002662DF"/>
    <w:rsid w:val="002665F3"/>
    <w:rsid w:val="00266FAF"/>
    <w:rsid w:val="00267370"/>
    <w:rsid w:val="0026743E"/>
    <w:rsid w:val="00267950"/>
    <w:rsid w:val="00267A4E"/>
    <w:rsid w:val="00267AE2"/>
    <w:rsid w:val="00267C1D"/>
    <w:rsid w:val="00267E11"/>
    <w:rsid w:val="00270458"/>
    <w:rsid w:val="002705CC"/>
    <w:rsid w:val="002710B5"/>
    <w:rsid w:val="00271265"/>
    <w:rsid w:val="00271892"/>
    <w:rsid w:val="00272634"/>
    <w:rsid w:val="00272ECA"/>
    <w:rsid w:val="0027300E"/>
    <w:rsid w:val="0027328A"/>
    <w:rsid w:val="002732E3"/>
    <w:rsid w:val="0027387D"/>
    <w:rsid w:val="002738E4"/>
    <w:rsid w:val="0027391F"/>
    <w:rsid w:val="00273F66"/>
    <w:rsid w:val="00273FBA"/>
    <w:rsid w:val="002742E1"/>
    <w:rsid w:val="0027435B"/>
    <w:rsid w:val="002744B0"/>
    <w:rsid w:val="002744F2"/>
    <w:rsid w:val="00274A08"/>
    <w:rsid w:val="00274A33"/>
    <w:rsid w:val="00274FB7"/>
    <w:rsid w:val="0027503D"/>
    <w:rsid w:val="0027547D"/>
    <w:rsid w:val="00275592"/>
    <w:rsid w:val="002757B3"/>
    <w:rsid w:val="00275FFF"/>
    <w:rsid w:val="002762F4"/>
    <w:rsid w:val="00276378"/>
    <w:rsid w:val="0027683F"/>
    <w:rsid w:val="00276E01"/>
    <w:rsid w:val="00277086"/>
    <w:rsid w:val="002774C0"/>
    <w:rsid w:val="0027751A"/>
    <w:rsid w:val="002775F1"/>
    <w:rsid w:val="002777C6"/>
    <w:rsid w:val="002777ED"/>
    <w:rsid w:val="00277F12"/>
    <w:rsid w:val="002800AF"/>
    <w:rsid w:val="0028020D"/>
    <w:rsid w:val="002804AA"/>
    <w:rsid w:val="00280C0E"/>
    <w:rsid w:val="002817B6"/>
    <w:rsid w:val="002818E4"/>
    <w:rsid w:val="00281A3B"/>
    <w:rsid w:val="00281A83"/>
    <w:rsid w:val="00281B19"/>
    <w:rsid w:val="00281C1F"/>
    <w:rsid w:val="00281E61"/>
    <w:rsid w:val="00282233"/>
    <w:rsid w:val="00282563"/>
    <w:rsid w:val="00282850"/>
    <w:rsid w:val="00282889"/>
    <w:rsid w:val="00282945"/>
    <w:rsid w:val="00282A2D"/>
    <w:rsid w:val="00282CCB"/>
    <w:rsid w:val="002830B5"/>
    <w:rsid w:val="00283136"/>
    <w:rsid w:val="0028314D"/>
    <w:rsid w:val="002835E3"/>
    <w:rsid w:val="00283627"/>
    <w:rsid w:val="00283C61"/>
    <w:rsid w:val="00283D2B"/>
    <w:rsid w:val="00283FEE"/>
    <w:rsid w:val="0028420E"/>
    <w:rsid w:val="002847F2"/>
    <w:rsid w:val="002851FC"/>
    <w:rsid w:val="0028567E"/>
    <w:rsid w:val="00285B05"/>
    <w:rsid w:val="00285C75"/>
    <w:rsid w:val="00286824"/>
    <w:rsid w:val="00286B86"/>
    <w:rsid w:val="00286E95"/>
    <w:rsid w:val="002872AA"/>
    <w:rsid w:val="0028738E"/>
    <w:rsid w:val="002875A4"/>
    <w:rsid w:val="00287754"/>
    <w:rsid w:val="00287B58"/>
    <w:rsid w:val="00287E73"/>
    <w:rsid w:val="00287FDA"/>
    <w:rsid w:val="00290113"/>
    <w:rsid w:val="00290152"/>
    <w:rsid w:val="00290372"/>
    <w:rsid w:val="00290963"/>
    <w:rsid w:val="00290A42"/>
    <w:rsid w:val="00290D3B"/>
    <w:rsid w:val="00290F11"/>
    <w:rsid w:val="00291998"/>
    <w:rsid w:val="00291B0B"/>
    <w:rsid w:val="00291D33"/>
    <w:rsid w:val="00291E90"/>
    <w:rsid w:val="002922B5"/>
    <w:rsid w:val="00292414"/>
    <w:rsid w:val="002924A4"/>
    <w:rsid w:val="002927CA"/>
    <w:rsid w:val="00292B33"/>
    <w:rsid w:val="00292FAF"/>
    <w:rsid w:val="002933B1"/>
    <w:rsid w:val="00293F89"/>
    <w:rsid w:val="00293FB3"/>
    <w:rsid w:val="002949BD"/>
    <w:rsid w:val="00294B9A"/>
    <w:rsid w:val="00294CED"/>
    <w:rsid w:val="00294D36"/>
    <w:rsid w:val="0029504F"/>
    <w:rsid w:val="0029566C"/>
    <w:rsid w:val="00295775"/>
    <w:rsid w:val="00295858"/>
    <w:rsid w:val="00295D69"/>
    <w:rsid w:val="0029609A"/>
    <w:rsid w:val="00296758"/>
    <w:rsid w:val="002967C8"/>
    <w:rsid w:val="00296E64"/>
    <w:rsid w:val="00297228"/>
    <w:rsid w:val="00297550"/>
    <w:rsid w:val="00297799"/>
    <w:rsid w:val="00297985"/>
    <w:rsid w:val="00297D2F"/>
    <w:rsid w:val="00297FF2"/>
    <w:rsid w:val="002A01B1"/>
    <w:rsid w:val="002A04F6"/>
    <w:rsid w:val="002A0811"/>
    <w:rsid w:val="002A084D"/>
    <w:rsid w:val="002A0C7F"/>
    <w:rsid w:val="002A0D8C"/>
    <w:rsid w:val="002A0FC5"/>
    <w:rsid w:val="002A107C"/>
    <w:rsid w:val="002A10AE"/>
    <w:rsid w:val="002A10F4"/>
    <w:rsid w:val="002A1787"/>
    <w:rsid w:val="002A17D5"/>
    <w:rsid w:val="002A17F6"/>
    <w:rsid w:val="002A185C"/>
    <w:rsid w:val="002A18F9"/>
    <w:rsid w:val="002A1A4C"/>
    <w:rsid w:val="002A1E26"/>
    <w:rsid w:val="002A20D0"/>
    <w:rsid w:val="002A2703"/>
    <w:rsid w:val="002A2774"/>
    <w:rsid w:val="002A32B9"/>
    <w:rsid w:val="002A435E"/>
    <w:rsid w:val="002A4438"/>
    <w:rsid w:val="002A468F"/>
    <w:rsid w:val="002A47A4"/>
    <w:rsid w:val="002A4C9C"/>
    <w:rsid w:val="002A4D23"/>
    <w:rsid w:val="002A5DA4"/>
    <w:rsid w:val="002A6139"/>
    <w:rsid w:val="002A67A1"/>
    <w:rsid w:val="002A6C15"/>
    <w:rsid w:val="002A6CF7"/>
    <w:rsid w:val="002A6D0C"/>
    <w:rsid w:val="002A6F4F"/>
    <w:rsid w:val="002A70A3"/>
    <w:rsid w:val="002A750D"/>
    <w:rsid w:val="002A7B51"/>
    <w:rsid w:val="002A7C16"/>
    <w:rsid w:val="002A7CD0"/>
    <w:rsid w:val="002A7CD6"/>
    <w:rsid w:val="002A7DF2"/>
    <w:rsid w:val="002B051F"/>
    <w:rsid w:val="002B0C94"/>
    <w:rsid w:val="002B0C9F"/>
    <w:rsid w:val="002B0FAD"/>
    <w:rsid w:val="002B1468"/>
    <w:rsid w:val="002B1552"/>
    <w:rsid w:val="002B189D"/>
    <w:rsid w:val="002B1AB0"/>
    <w:rsid w:val="002B1AD9"/>
    <w:rsid w:val="002B1B51"/>
    <w:rsid w:val="002B2282"/>
    <w:rsid w:val="002B239D"/>
    <w:rsid w:val="002B24C8"/>
    <w:rsid w:val="002B27A1"/>
    <w:rsid w:val="002B27FA"/>
    <w:rsid w:val="002B2B76"/>
    <w:rsid w:val="002B2DDD"/>
    <w:rsid w:val="002B2ED9"/>
    <w:rsid w:val="002B3134"/>
    <w:rsid w:val="002B32CF"/>
    <w:rsid w:val="002B3481"/>
    <w:rsid w:val="002B3645"/>
    <w:rsid w:val="002B37F5"/>
    <w:rsid w:val="002B383F"/>
    <w:rsid w:val="002B430F"/>
    <w:rsid w:val="002B431C"/>
    <w:rsid w:val="002B4D03"/>
    <w:rsid w:val="002B4EB4"/>
    <w:rsid w:val="002B528E"/>
    <w:rsid w:val="002B567C"/>
    <w:rsid w:val="002B59F1"/>
    <w:rsid w:val="002B5D66"/>
    <w:rsid w:val="002B61EC"/>
    <w:rsid w:val="002B67AE"/>
    <w:rsid w:val="002B6AD6"/>
    <w:rsid w:val="002B7163"/>
    <w:rsid w:val="002B71DD"/>
    <w:rsid w:val="002B755C"/>
    <w:rsid w:val="002B7A4F"/>
    <w:rsid w:val="002B7D94"/>
    <w:rsid w:val="002C0284"/>
    <w:rsid w:val="002C03A5"/>
    <w:rsid w:val="002C0729"/>
    <w:rsid w:val="002C0DC9"/>
    <w:rsid w:val="002C104E"/>
    <w:rsid w:val="002C104F"/>
    <w:rsid w:val="002C12E2"/>
    <w:rsid w:val="002C158A"/>
    <w:rsid w:val="002C1903"/>
    <w:rsid w:val="002C1B0D"/>
    <w:rsid w:val="002C22D2"/>
    <w:rsid w:val="002C2472"/>
    <w:rsid w:val="002C257E"/>
    <w:rsid w:val="002C2811"/>
    <w:rsid w:val="002C2A07"/>
    <w:rsid w:val="002C2C26"/>
    <w:rsid w:val="002C2DAE"/>
    <w:rsid w:val="002C3188"/>
    <w:rsid w:val="002C31AF"/>
    <w:rsid w:val="002C335B"/>
    <w:rsid w:val="002C34BC"/>
    <w:rsid w:val="002C376E"/>
    <w:rsid w:val="002C3E6D"/>
    <w:rsid w:val="002C3E74"/>
    <w:rsid w:val="002C4379"/>
    <w:rsid w:val="002C4557"/>
    <w:rsid w:val="002C4B37"/>
    <w:rsid w:val="002C5413"/>
    <w:rsid w:val="002C5513"/>
    <w:rsid w:val="002C571B"/>
    <w:rsid w:val="002C5B32"/>
    <w:rsid w:val="002C6224"/>
    <w:rsid w:val="002C716F"/>
    <w:rsid w:val="002C7321"/>
    <w:rsid w:val="002C742C"/>
    <w:rsid w:val="002C7FEE"/>
    <w:rsid w:val="002D0C3C"/>
    <w:rsid w:val="002D0CC3"/>
    <w:rsid w:val="002D0D6D"/>
    <w:rsid w:val="002D1123"/>
    <w:rsid w:val="002D162B"/>
    <w:rsid w:val="002D1921"/>
    <w:rsid w:val="002D19C2"/>
    <w:rsid w:val="002D19C9"/>
    <w:rsid w:val="002D1AF0"/>
    <w:rsid w:val="002D2671"/>
    <w:rsid w:val="002D2AEF"/>
    <w:rsid w:val="002D2F70"/>
    <w:rsid w:val="002D2F7E"/>
    <w:rsid w:val="002D3032"/>
    <w:rsid w:val="002D39A5"/>
    <w:rsid w:val="002D441C"/>
    <w:rsid w:val="002D44A8"/>
    <w:rsid w:val="002D48C1"/>
    <w:rsid w:val="002D52BA"/>
    <w:rsid w:val="002D5DC0"/>
    <w:rsid w:val="002D6096"/>
    <w:rsid w:val="002D662F"/>
    <w:rsid w:val="002D676B"/>
    <w:rsid w:val="002D68F0"/>
    <w:rsid w:val="002D6C4B"/>
    <w:rsid w:val="002D6EBD"/>
    <w:rsid w:val="002D74C6"/>
    <w:rsid w:val="002D78CF"/>
    <w:rsid w:val="002D79D8"/>
    <w:rsid w:val="002D7D9C"/>
    <w:rsid w:val="002D7DD6"/>
    <w:rsid w:val="002D7FE1"/>
    <w:rsid w:val="002E044B"/>
    <w:rsid w:val="002E059D"/>
    <w:rsid w:val="002E09DB"/>
    <w:rsid w:val="002E0B39"/>
    <w:rsid w:val="002E1265"/>
    <w:rsid w:val="002E1E9A"/>
    <w:rsid w:val="002E21D0"/>
    <w:rsid w:val="002E25C0"/>
    <w:rsid w:val="002E2A59"/>
    <w:rsid w:val="002E2CF2"/>
    <w:rsid w:val="002E2D93"/>
    <w:rsid w:val="002E34D8"/>
    <w:rsid w:val="002E3E2E"/>
    <w:rsid w:val="002E3F07"/>
    <w:rsid w:val="002E429D"/>
    <w:rsid w:val="002E4722"/>
    <w:rsid w:val="002E4909"/>
    <w:rsid w:val="002E4954"/>
    <w:rsid w:val="002E4ADF"/>
    <w:rsid w:val="002E4F5B"/>
    <w:rsid w:val="002E4F9E"/>
    <w:rsid w:val="002E57D8"/>
    <w:rsid w:val="002E5810"/>
    <w:rsid w:val="002E5DF7"/>
    <w:rsid w:val="002E5EFA"/>
    <w:rsid w:val="002E5F8F"/>
    <w:rsid w:val="002E6011"/>
    <w:rsid w:val="002E6020"/>
    <w:rsid w:val="002E62C0"/>
    <w:rsid w:val="002E6692"/>
    <w:rsid w:val="002E6CEF"/>
    <w:rsid w:val="002E75FF"/>
    <w:rsid w:val="002E7969"/>
    <w:rsid w:val="002E7C6E"/>
    <w:rsid w:val="002F0595"/>
    <w:rsid w:val="002F0642"/>
    <w:rsid w:val="002F08C9"/>
    <w:rsid w:val="002F0A07"/>
    <w:rsid w:val="002F0E3A"/>
    <w:rsid w:val="002F0ED9"/>
    <w:rsid w:val="002F1036"/>
    <w:rsid w:val="002F137A"/>
    <w:rsid w:val="002F13D3"/>
    <w:rsid w:val="002F1408"/>
    <w:rsid w:val="002F1734"/>
    <w:rsid w:val="002F19CD"/>
    <w:rsid w:val="002F1B9F"/>
    <w:rsid w:val="002F1E05"/>
    <w:rsid w:val="002F1E9D"/>
    <w:rsid w:val="002F2159"/>
    <w:rsid w:val="002F2192"/>
    <w:rsid w:val="002F2220"/>
    <w:rsid w:val="002F23EE"/>
    <w:rsid w:val="002F2462"/>
    <w:rsid w:val="002F283D"/>
    <w:rsid w:val="002F2D94"/>
    <w:rsid w:val="002F3571"/>
    <w:rsid w:val="002F363D"/>
    <w:rsid w:val="002F37E1"/>
    <w:rsid w:val="002F414B"/>
    <w:rsid w:val="002F42E0"/>
    <w:rsid w:val="002F46CE"/>
    <w:rsid w:val="002F506C"/>
    <w:rsid w:val="002F55A5"/>
    <w:rsid w:val="002F5707"/>
    <w:rsid w:val="002F5752"/>
    <w:rsid w:val="002F5843"/>
    <w:rsid w:val="002F5884"/>
    <w:rsid w:val="002F5897"/>
    <w:rsid w:val="002F5A3F"/>
    <w:rsid w:val="002F5B71"/>
    <w:rsid w:val="002F5CBF"/>
    <w:rsid w:val="002F5D87"/>
    <w:rsid w:val="002F5DD9"/>
    <w:rsid w:val="002F5DFD"/>
    <w:rsid w:val="002F60DD"/>
    <w:rsid w:val="002F6361"/>
    <w:rsid w:val="002F6986"/>
    <w:rsid w:val="002F6AD6"/>
    <w:rsid w:val="002F6F79"/>
    <w:rsid w:val="002F758F"/>
    <w:rsid w:val="002F75C1"/>
    <w:rsid w:val="002F761A"/>
    <w:rsid w:val="002F76C5"/>
    <w:rsid w:val="002F7A6E"/>
    <w:rsid w:val="002F7D65"/>
    <w:rsid w:val="002F7E5D"/>
    <w:rsid w:val="00300419"/>
    <w:rsid w:val="003007D4"/>
    <w:rsid w:val="0030097E"/>
    <w:rsid w:val="003012C1"/>
    <w:rsid w:val="00301A13"/>
    <w:rsid w:val="003020AF"/>
    <w:rsid w:val="0030211B"/>
    <w:rsid w:val="003021FE"/>
    <w:rsid w:val="003026B6"/>
    <w:rsid w:val="003028F9"/>
    <w:rsid w:val="00302ED2"/>
    <w:rsid w:val="0030315B"/>
    <w:rsid w:val="0030339E"/>
    <w:rsid w:val="00303488"/>
    <w:rsid w:val="00303F08"/>
    <w:rsid w:val="00304175"/>
    <w:rsid w:val="0030426D"/>
    <w:rsid w:val="00304915"/>
    <w:rsid w:val="00304969"/>
    <w:rsid w:val="00305338"/>
    <w:rsid w:val="00305BD9"/>
    <w:rsid w:val="00305C4D"/>
    <w:rsid w:val="00305F5C"/>
    <w:rsid w:val="00305FC7"/>
    <w:rsid w:val="0030660C"/>
    <w:rsid w:val="003068B4"/>
    <w:rsid w:val="00306BCD"/>
    <w:rsid w:val="00306D69"/>
    <w:rsid w:val="003071B5"/>
    <w:rsid w:val="00307254"/>
    <w:rsid w:val="00307299"/>
    <w:rsid w:val="0030732E"/>
    <w:rsid w:val="003076FE"/>
    <w:rsid w:val="00307A34"/>
    <w:rsid w:val="00307D22"/>
    <w:rsid w:val="0031053E"/>
    <w:rsid w:val="00310AA3"/>
    <w:rsid w:val="00311237"/>
    <w:rsid w:val="00311423"/>
    <w:rsid w:val="00311BDB"/>
    <w:rsid w:val="00311D19"/>
    <w:rsid w:val="00311F2F"/>
    <w:rsid w:val="00311FD3"/>
    <w:rsid w:val="00312416"/>
    <w:rsid w:val="003127D8"/>
    <w:rsid w:val="00312991"/>
    <w:rsid w:val="003129CF"/>
    <w:rsid w:val="00312A3A"/>
    <w:rsid w:val="00312BE5"/>
    <w:rsid w:val="00312E4C"/>
    <w:rsid w:val="00312F06"/>
    <w:rsid w:val="00312FCC"/>
    <w:rsid w:val="0031316C"/>
    <w:rsid w:val="003131DF"/>
    <w:rsid w:val="00313304"/>
    <w:rsid w:val="0031445C"/>
    <w:rsid w:val="00314916"/>
    <w:rsid w:val="0031493B"/>
    <w:rsid w:val="00314EE1"/>
    <w:rsid w:val="00314EFA"/>
    <w:rsid w:val="00314F23"/>
    <w:rsid w:val="00315106"/>
    <w:rsid w:val="00315931"/>
    <w:rsid w:val="00316253"/>
    <w:rsid w:val="003162B1"/>
    <w:rsid w:val="00316555"/>
    <w:rsid w:val="0031695F"/>
    <w:rsid w:val="00316964"/>
    <w:rsid w:val="00316A59"/>
    <w:rsid w:val="00316CAA"/>
    <w:rsid w:val="00316E47"/>
    <w:rsid w:val="003170CD"/>
    <w:rsid w:val="003172C6"/>
    <w:rsid w:val="00317622"/>
    <w:rsid w:val="0031776F"/>
    <w:rsid w:val="003202FF"/>
    <w:rsid w:val="00320525"/>
    <w:rsid w:val="00320685"/>
    <w:rsid w:val="00320997"/>
    <w:rsid w:val="00320B28"/>
    <w:rsid w:val="00320CEB"/>
    <w:rsid w:val="00320F16"/>
    <w:rsid w:val="00321039"/>
    <w:rsid w:val="0032159B"/>
    <w:rsid w:val="003216AB"/>
    <w:rsid w:val="003218D9"/>
    <w:rsid w:val="00321B47"/>
    <w:rsid w:val="00321C83"/>
    <w:rsid w:val="00321CAB"/>
    <w:rsid w:val="00321E80"/>
    <w:rsid w:val="00322670"/>
    <w:rsid w:val="00322CE1"/>
    <w:rsid w:val="00322F93"/>
    <w:rsid w:val="003230A4"/>
    <w:rsid w:val="0032316A"/>
    <w:rsid w:val="0032373C"/>
    <w:rsid w:val="0032399E"/>
    <w:rsid w:val="00323D75"/>
    <w:rsid w:val="00324025"/>
    <w:rsid w:val="003241E6"/>
    <w:rsid w:val="00324246"/>
    <w:rsid w:val="00324733"/>
    <w:rsid w:val="00324944"/>
    <w:rsid w:val="00324BC1"/>
    <w:rsid w:val="00324BE0"/>
    <w:rsid w:val="00324C4B"/>
    <w:rsid w:val="00324CB4"/>
    <w:rsid w:val="00324D4F"/>
    <w:rsid w:val="003252F3"/>
    <w:rsid w:val="00325440"/>
    <w:rsid w:val="00325626"/>
    <w:rsid w:val="003256F1"/>
    <w:rsid w:val="00325B67"/>
    <w:rsid w:val="00325E7E"/>
    <w:rsid w:val="0032619A"/>
    <w:rsid w:val="0032628E"/>
    <w:rsid w:val="003263EB"/>
    <w:rsid w:val="003264FA"/>
    <w:rsid w:val="0032650E"/>
    <w:rsid w:val="0032676D"/>
    <w:rsid w:val="00326AE1"/>
    <w:rsid w:val="00327325"/>
    <w:rsid w:val="00327594"/>
    <w:rsid w:val="003278FB"/>
    <w:rsid w:val="00327BCC"/>
    <w:rsid w:val="00327E4B"/>
    <w:rsid w:val="00327EAC"/>
    <w:rsid w:val="00330155"/>
    <w:rsid w:val="003301CF"/>
    <w:rsid w:val="003302EA"/>
    <w:rsid w:val="0033033D"/>
    <w:rsid w:val="00330399"/>
    <w:rsid w:val="00330729"/>
    <w:rsid w:val="00330C04"/>
    <w:rsid w:val="00330E9F"/>
    <w:rsid w:val="00331534"/>
    <w:rsid w:val="00331568"/>
    <w:rsid w:val="00331D0A"/>
    <w:rsid w:val="00331E35"/>
    <w:rsid w:val="0033241C"/>
    <w:rsid w:val="00332659"/>
    <w:rsid w:val="00332916"/>
    <w:rsid w:val="00333204"/>
    <w:rsid w:val="003332E4"/>
    <w:rsid w:val="00333558"/>
    <w:rsid w:val="003335B0"/>
    <w:rsid w:val="00335557"/>
    <w:rsid w:val="00335684"/>
    <w:rsid w:val="00335BD5"/>
    <w:rsid w:val="00335C01"/>
    <w:rsid w:val="00335DD9"/>
    <w:rsid w:val="0033611A"/>
    <w:rsid w:val="003361FE"/>
    <w:rsid w:val="0033692F"/>
    <w:rsid w:val="003369EC"/>
    <w:rsid w:val="0033705D"/>
    <w:rsid w:val="00337253"/>
    <w:rsid w:val="00337629"/>
    <w:rsid w:val="00337736"/>
    <w:rsid w:val="00337763"/>
    <w:rsid w:val="00337898"/>
    <w:rsid w:val="00337BF1"/>
    <w:rsid w:val="00337D20"/>
    <w:rsid w:val="00340102"/>
    <w:rsid w:val="00340A2D"/>
    <w:rsid w:val="00340ADD"/>
    <w:rsid w:val="00340ED5"/>
    <w:rsid w:val="0034107C"/>
    <w:rsid w:val="003410C9"/>
    <w:rsid w:val="0034165D"/>
    <w:rsid w:val="0034175E"/>
    <w:rsid w:val="00341923"/>
    <w:rsid w:val="00341CD7"/>
    <w:rsid w:val="00341DDE"/>
    <w:rsid w:val="00341E30"/>
    <w:rsid w:val="00341E36"/>
    <w:rsid w:val="00342166"/>
    <w:rsid w:val="00342768"/>
    <w:rsid w:val="00342C87"/>
    <w:rsid w:val="00343783"/>
    <w:rsid w:val="00343AFE"/>
    <w:rsid w:val="00343C68"/>
    <w:rsid w:val="00343D0A"/>
    <w:rsid w:val="00343ECA"/>
    <w:rsid w:val="00344853"/>
    <w:rsid w:val="00344ABA"/>
    <w:rsid w:val="00344ACA"/>
    <w:rsid w:val="00344E86"/>
    <w:rsid w:val="0034506B"/>
    <w:rsid w:val="003452B5"/>
    <w:rsid w:val="00346526"/>
    <w:rsid w:val="0034665B"/>
    <w:rsid w:val="00346E73"/>
    <w:rsid w:val="00347150"/>
    <w:rsid w:val="00347501"/>
    <w:rsid w:val="00347B8D"/>
    <w:rsid w:val="00347BB3"/>
    <w:rsid w:val="0035090D"/>
    <w:rsid w:val="00350FA3"/>
    <w:rsid w:val="003511B4"/>
    <w:rsid w:val="003514B0"/>
    <w:rsid w:val="003515D9"/>
    <w:rsid w:val="00351731"/>
    <w:rsid w:val="00351CEF"/>
    <w:rsid w:val="00352721"/>
    <w:rsid w:val="00352B75"/>
    <w:rsid w:val="00353071"/>
    <w:rsid w:val="00353476"/>
    <w:rsid w:val="0035355D"/>
    <w:rsid w:val="00353604"/>
    <w:rsid w:val="0035388F"/>
    <w:rsid w:val="00353B66"/>
    <w:rsid w:val="00353E38"/>
    <w:rsid w:val="003541C8"/>
    <w:rsid w:val="003541E2"/>
    <w:rsid w:val="0035421F"/>
    <w:rsid w:val="0035430E"/>
    <w:rsid w:val="003544DC"/>
    <w:rsid w:val="003545FD"/>
    <w:rsid w:val="0035481D"/>
    <w:rsid w:val="00354928"/>
    <w:rsid w:val="00354AE0"/>
    <w:rsid w:val="00354BC3"/>
    <w:rsid w:val="00354F0E"/>
    <w:rsid w:val="00355726"/>
    <w:rsid w:val="00355E04"/>
    <w:rsid w:val="00356392"/>
    <w:rsid w:val="00356CF8"/>
    <w:rsid w:val="003574E7"/>
    <w:rsid w:val="0035759B"/>
    <w:rsid w:val="00357B26"/>
    <w:rsid w:val="00357C6F"/>
    <w:rsid w:val="00357F11"/>
    <w:rsid w:val="0036002D"/>
    <w:rsid w:val="00360088"/>
    <w:rsid w:val="00360121"/>
    <w:rsid w:val="003606AE"/>
    <w:rsid w:val="00360B34"/>
    <w:rsid w:val="00360D9A"/>
    <w:rsid w:val="00360E29"/>
    <w:rsid w:val="003610F9"/>
    <w:rsid w:val="003611BF"/>
    <w:rsid w:val="003614A8"/>
    <w:rsid w:val="00361768"/>
    <w:rsid w:val="00361B0E"/>
    <w:rsid w:val="00361EE3"/>
    <w:rsid w:val="00361F2C"/>
    <w:rsid w:val="003622D9"/>
    <w:rsid w:val="00362373"/>
    <w:rsid w:val="00362593"/>
    <w:rsid w:val="00362967"/>
    <w:rsid w:val="003629C1"/>
    <w:rsid w:val="003632F6"/>
    <w:rsid w:val="00363749"/>
    <w:rsid w:val="003637E7"/>
    <w:rsid w:val="00363969"/>
    <w:rsid w:val="003641A3"/>
    <w:rsid w:val="00364AA0"/>
    <w:rsid w:val="00364B76"/>
    <w:rsid w:val="00364B8A"/>
    <w:rsid w:val="00364BBC"/>
    <w:rsid w:val="00365750"/>
    <w:rsid w:val="003658D0"/>
    <w:rsid w:val="00365C20"/>
    <w:rsid w:val="00365C21"/>
    <w:rsid w:val="003662AD"/>
    <w:rsid w:val="0036637C"/>
    <w:rsid w:val="00366508"/>
    <w:rsid w:val="0036669E"/>
    <w:rsid w:val="00366F15"/>
    <w:rsid w:val="0036763A"/>
    <w:rsid w:val="00367AE4"/>
    <w:rsid w:val="00367B00"/>
    <w:rsid w:val="0037026A"/>
    <w:rsid w:val="003709E7"/>
    <w:rsid w:val="00370C66"/>
    <w:rsid w:val="00370D21"/>
    <w:rsid w:val="00370D76"/>
    <w:rsid w:val="00371373"/>
    <w:rsid w:val="0037167D"/>
    <w:rsid w:val="00371AB3"/>
    <w:rsid w:val="003724F1"/>
    <w:rsid w:val="00372A31"/>
    <w:rsid w:val="00373046"/>
    <w:rsid w:val="003731EE"/>
    <w:rsid w:val="00373AFF"/>
    <w:rsid w:val="00373CA7"/>
    <w:rsid w:val="00373E8B"/>
    <w:rsid w:val="003741A7"/>
    <w:rsid w:val="0037431A"/>
    <w:rsid w:val="0037465B"/>
    <w:rsid w:val="003752BD"/>
    <w:rsid w:val="003756A1"/>
    <w:rsid w:val="00375AD9"/>
    <w:rsid w:val="00375E7C"/>
    <w:rsid w:val="00375ED1"/>
    <w:rsid w:val="00376E82"/>
    <w:rsid w:val="00377281"/>
    <w:rsid w:val="003772DC"/>
    <w:rsid w:val="003773AD"/>
    <w:rsid w:val="00377680"/>
    <w:rsid w:val="00377A43"/>
    <w:rsid w:val="00377B52"/>
    <w:rsid w:val="00377ECC"/>
    <w:rsid w:val="00377F36"/>
    <w:rsid w:val="00380681"/>
    <w:rsid w:val="003806FD"/>
    <w:rsid w:val="00380AFC"/>
    <w:rsid w:val="00380B91"/>
    <w:rsid w:val="003819DB"/>
    <w:rsid w:val="00381C7C"/>
    <w:rsid w:val="00381D80"/>
    <w:rsid w:val="00382034"/>
    <w:rsid w:val="0038245C"/>
    <w:rsid w:val="00382882"/>
    <w:rsid w:val="00382A67"/>
    <w:rsid w:val="00382C80"/>
    <w:rsid w:val="00382FBF"/>
    <w:rsid w:val="0038344E"/>
    <w:rsid w:val="00383564"/>
    <w:rsid w:val="00383A0D"/>
    <w:rsid w:val="0038421E"/>
    <w:rsid w:val="0038432F"/>
    <w:rsid w:val="0038451B"/>
    <w:rsid w:val="00384CA4"/>
    <w:rsid w:val="00384D94"/>
    <w:rsid w:val="00384E70"/>
    <w:rsid w:val="00384FA2"/>
    <w:rsid w:val="00385106"/>
    <w:rsid w:val="0038554D"/>
    <w:rsid w:val="00385A8B"/>
    <w:rsid w:val="00385FF0"/>
    <w:rsid w:val="00386225"/>
    <w:rsid w:val="0038640B"/>
    <w:rsid w:val="00386471"/>
    <w:rsid w:val="003864B8"/>
    <w:rsid w:val="003866FC"/>
    <w:rsid w:val="00386A19"/>
    <w:rsid w:val="00386A2A"/>
    <w:rsid w:val="00386D9F"/>
    <w:rsid w:val="00387143"/>
    <w:rsid w:val="003874C5"/>
    <w:rsid w:val="00387822"/>
    <w:rsid w:val="00387D12"/>
    <w:rsid w:val="00387D2D"/>
    <w:rsid w:val="00390243"/>
    <w:rsid w:val="00390582"/>
    <w:rsid w:val="0039076E"/>
    <w:rsid w:val="003908A5"/>
    <w:rsid w:val="00390A56"/>
    <w:rsid w:val="00390AE3"/>
    <w:rsid w:val="00390C02"/>
    <w:rsid w:val="00390CD1"/>
    <w:rsid w:val="00390E20"/>
    <w:rsid w:val="00390F4B"/>
    <w:rsid w:val="00391BF4"/>
    <w:rsid w:val="00392252"/>
    <w:rsid w:val="00392676"/>
    <w:rsid w:val="003927F0"/>
    <w:rsid w:val="00392CDF"/>
    <w:rsid w:val="00392D1A"/>
    <w:rsid w:val="00392FEB"/>
    <w:rsid w:val="003932D8"/>
    <w:rsid w:val="0039330F"/>
    <w:rsid w:val="00393655"/>
    <w:rsid w:val="00393A45"/>
    <w:rsid w:val="00393CB9"/>
    <w:rsid w:val="00393CC1"/>
    <w:rsid w:val="00393F18"/>
    <w:rsid w:val="003940A6"/>
    <w:rsid w:val="003941C9"/>
    <w:rsid w:val="003943BF"/>
    <w:rsid w:val="0039457F"/>
    <w:rsid w:val="0039460A"/>
    <w:rsid w:val="00394C23"/>
    <w:rsid w:val="00395017"/>
    <w:rsid w:val="0039536F"/>
    <w:rsid w:val="003957DD"/>
    <w:rsid w:val="00395B1C"/>
    <w:rsid w:val="00396663"/>
    <w:rsid w:val="00396CEA"/>
    <w:rsid w:val="00396D2E"/>
    <w:rsid w:val="00396D9E"/>
    <w:rsid w:val="003971E5"/>
    <w:rsid w:val="00397A32"/>
    <w:rsid w:val="003A0029"/>
    <w:rsid w:val="003A0209"/>
    <w:rsid w:val="003A0B35"/>
    <w:rsid w:val="003A0BFF"/>
    <w:rsid w:val="003A0DC7"/>
    <w:rsid w:val="003A17E4"/>
    <w:rsid w:val="003A1AA0"/>
    <w:rsid w:val="003A1E7B"/>
    <w:rsid w:val="003A2437"/>
    <w:rsid w:val="003A2767"/>
    <w:rsid w:val="003A2A60"/>
    <w:rsid w:val="003A2B4C"/>
    <w:rsid w:val="003A2C6F"/>
    <w:rsid w:val="003A3773"/>
    <w:rsid w:val="003A39D1"/>
    <w:rsid w:val="003A3F12"/>
    <w:rsid w:val="003A4C8A"/>
    <w:rsid w:val="003A4D89"/>
    <w:rsid w:val="003A4F18"/>
    <w:rsid w:val="003A4F19"/>
    <w:rsid w:val="003A5740"/>
    <w:rsid w:val="003A5E5A"/>
    <w:rsid w:val="003A5F78"/>
    <w:rsid w:val="003A681B"/>
    <w:rsid w:val="003A6AEF"/>
    <w:rsid w:val="003A7399"/>
    <w:rsid w:val="003A7805"/>
    <w:rsid w:val="003A7D7B"/>
    <w:rsid w:val="003A7F0F"/>
    <w:rsid w:val="003B06F8"/>
    <w:rsid w:val="003B0730"/>
    <w:rsid w:val="003B073E"/>
    <w:rsid w:val="003B0B1F"/>
    <w:rsid w:val="003B0C5E"/>
    <w:rsid w:val="003B10BC"/>
    <w:rsid w:val="003B176A"/>
    <w:rsid w:val="003B202C"/>
    <w:rsid w:val="003B20AD"/>
    <w:rsid w:val="003B29FC"/>
    <w:rsid w:val="003B2B88"/>
    <w:rsid w:val="003B3047"/>
    <w:rsid w:val="003B307D"/>
    <w:rsid w:val="003B3801"/>
    <w:rsid w:val="003B388A"/>
    <w:rsid w:val="003B3914"/>
    <w:rsid w:val="003B39AD"/>
    <w:rsid w:val="003B3F81"/>
    <w:rsid w:val="003B409C"/>
    <w:rsid w:val="003B4159"/>
    <w:rsid w:val="003B4E15"/>
    <w:rsid w:val="003B4F11"/>
    <w:rsid w:val="003B51E3"/>
    <w:rsid w:val="003B5659"/>
    <w:rsid w:val="003B5753"/>
    <w:rsid w:val="003B587A"/>
    <w:rsid w:val="003B5D89"/>
    <w:rsid w:val="003B5F15"/>
    <w:rsid w:val="003B65EE"/>
    <w:rsid w:val="003B69EE"/>
    <w:rsid w:val="003B6BBF"/>
    <w:rsid w:val="003B6FCA"/>
    <w:rsid w:val="003B72A5"/>
    <w:rsid w:val="003B7433"/>
    <w:rsid w:val="003B7610"/>
    <w:rsid w:val="003C0069"/>
    <w:rsid w:val="003C01B8"/>
    <w:rsid w:val="003C0267"/>
    <w:rsid w:val="003C11F7"/>
    <w:rsid w:val="003C11FD"/>
    <w:rsid w:val="003C1226"/>
    <w:rsid w:val="003C1351"/>
    <w:rsid w:val="003C1C6F"/>
    <w:rsid w:val="003C1D5F"/>
    <w:rsid w:val="003C21D7"/>
    <w:rsid w:val="003C2230"/>
    <w:rsid w:val="003C2526"/>
    <w:rsid w:val="003C2A3D"/>
    <w:rsid w:val="003C2C75"/>
    <w:rsid w:val="003C3236"/>
    <w:rsid w:val="003C337D"/>
    <w:rsid w:val="003C35AE"/>
    <w:rsid w:val="003C39C8"/>
    <w:rsid w:val="003C3C97"/>
    <w:rsid w:val="003C3EC9"/>
    <w:rsid w:val="003C493C"/>
    <w:rsid w:val="003C5015"/>
    <w:rsid w:val="003C5084"/>
    <w:rsid w:val="003C524A"/>
    <w:rsid w:val="003C5943"/>
    <w:rsid w:val="003C5F41"/>
    <w:rsid w:val="003C6239"/>
    <w:rsid w:val="003C68F8"/>
    <w:rsid w:val="003C6A28"/>
    <w:rsid w:val="003C70E7"/>
    <w:rsid w:val="003C71C1"/>
    <w:rsid w:val="003C75B3"/>
    <w:rsid w:val="003C7817"/>
    <w:rsid w:val="003C7AA9"/>
    <w:rsid w:val="003D025F"/>
    <w:rsid w:val="003D0424"/>
    <w:rsid w:val="003D05FE"/>
    <w:rsid w:val="003D0ACB"/>
    <w:rsid w:val="003D1230"/>
    <w:rsid w:val="003D1713"/>
    <w:rsid w:val="003D1DA1"/>
    <w:rsid w:val="003D221D"/>
    <w:rsid w:val="003D25C0"/>
    <w:rsid w:val="003D26D2"/>
    <w:rsid w:val="003D29C8"/>
    <w:rsid w:val="003D33AE"/>
    <w:rsid w:val="003D3619"/>
    <w:rsid w:val="003D3B94"/>
    <w:rsid w:val="003D3BEF"/>
    <w:rsid w:val="003D4D58"/>
    <w:rsid w:val="003D4DEC"/>
    <w:rsid w:val="003D57B2"/>
    <w:rsid w:val="003D5BAB"/>
    <w:rsid w:val="003D5C0A"/>
    <w:rsid w:val="003D5C5F"/>
    <w:rsid w:val="003D5CC5"/>
    <w:rsid w:val="003D5E98"/>
    <w:rsid w:val="003D67C2"/>
    <w:rsid w:val="003D6A72"/>
    <w:rsid w:val="003D6AE6"/>
    <w:rsid w:val="003D6F9D"/>
    <w:rsid w:val="003D7227"/>
    <w:rsid w:val="003D7242"/>
    <w:rsid w:val="003D7395"/>
    <w:rsid w:val="003D7615"/>
    <w:rsid w:val="003D76B5"/>
    <w:rsid w:val="003D7912"/>
    <w:rsid w:val="003E0764"/>
    <w:rsid w:val="003E0A87"/>
    <w:rsid w:val="003E0C29"/>
    <w:rsid w:val="003E0C35"/>
    <w:rsid w:val="003E1642"/>
    <w:rsid w:val="003E191F"/>
    <w:rsid w:val="003E1B83"/>
    <w:rsid w:val="003E1B8A"/>
    <w:rsid w:val="003E2056"/>
    <w:rsid w:val="003E2068"/>
    <w:rsid w:val="003E2506"/>
    <w:rsid w:val="003E2527"/>
    <w:rsid w:val="003E26B0"/>
    <w:rsid w:val="003E3049"/>
    <w:rsid w:val="003E30A0"/>
    <w:rsid w:val="003E31AF"/>
    <w:rsid w:val="003E33E3"/>
    <w:rsid w:val="003E390B"/>
    <w:rsid w:val="003E3D13"/>
    <w:rsid w:val="003E4019"/>
    <w:rsid w:val="003E44E0"/>
    <w:rsid w:val="003E4583"/>
    <w:rsid w:val="003E4713"/>
    <w:rsid w:val="003E4CCC"/>
    <w:rsid w:val="003E53B1"/>
    <w:rsid w:val="003E5644"/>
    <w:rsid w:val="003E5A3A"/>
    <w:rsid w:val="003E5A9F"/>
    <w:rsid w:val="003E5F67"/>
    <w:rsid w:val="003E6161"/>
    <w:rsid w:val="003E64F5"/>
    <w:rsid w:val="003E655E"/>
    <w:rsid w:val="003E67EF"/>
    <w:rsid w:val="003E6A8B"/>
    <w:rsid w:val="003E6ADD"/>
    <w:rsid w:val="003E6B7B"/>
    <w:rsid w:val="003E6DD4"/>
    <w:rsid w:val="003E742C"/>
    <w:rsid w:val="003E7598"/>
    <w:rsid w:val="003E79D6"/>
    <w:rsid w:val="003E7D6E"/>
    <w:rsid w:val="003F002B"/>
    <w:rsid w:val="003F06C1"/>
    <w:rsid w:val="003F0C0C"/>
    <w:rsid w:val="003F13AE"/>
    <w:rsid w:val="003F16D9"/>
    <w:rsid w:val="003F1812"/>
    <w:rsid w:val="003F1CBB"/>
    <w:rsid w:val="003F2041"/>
    <w:rsid w:val="003F2703"/>
    <w:rsid w:val="003F2D19"/>
    <w:rsid w:val="003F3215"/>
    <w:rsid w:val="003F326D"/>
    <w:rsid w:val="003F327E"/>
    <w:rsid w:val="003F3529"/>
    <w:rsid w:val="003F39F5"/>
    <w:rsid w:val="003F3FC9"/>
    <w:rsid w:val="003F406B"/>
    <w:rsid w:val="003F455D"/>
    <w:rsid w:val="003F4ADB"/>
    <w:rsid w:val="003F4B3E"/>
    <w:rsid w:val="003F4BFA"/>
    <w:rsid w:val="003F5497"/>
    <w:rsid w:val="003F5BFA"/>
    <w:rsid w:val="003F60DA"/>
    <w:rsid w:val="003F612F"/>
    <w:rsid w:val="003F6721"/>
    <w:rsid w:val="003F726A"/>
    <w:rsid w:val="003F74DE"/>
    <w:rsid w:val="003F7759"/>
    <w:rsid w:val="003F77E7"/>
    <w:rsid w:val="003F7B9A"/>
    <w:rsid w:val="003F7E7C"/>
    <w:rsid w:val="004000B6"/>
    <w:rsid w:val="004001E5"/>
    <w:rsid w:val="004002E6"/>
    <w:rsid w:val="004003B3"/>
    <w:rsid w:val="00400DD8"/>
    <w:rsid w:val="00400EA7"/>
    <w:rsid w:val="00401337"/>
    <w:rsid w:val="004017A2"/>
    <w:rsid w:val="00401A77"/>
    <w:rsid w:val="00401AE6"/>
    <w:rsid w:val="00401C7D"/>
    <w:rsid w:val="00402CE0"/>
    <w:rsid w:val="004034E1"/>
    <w:rsid w:val="004036EE"/>
    <w:rsid w:val="004038C9"/>
    <w:rsid w:val="00403A3B"/>
    <w:rsid w:val="004041A6"/>
    <w:rsid w:val="00404505"/>
    <w:rsid w:val="004045A8"/>
    <w:rsid w:val="00405409"/>
    <w:rsid w:val="00405AC9"/>
    <w:rsid w:val="00406023"/>
    <w:rsid w:val="0040611E"/>
    <w:rsid w:val="00406493"/>
    <w:rsid w:val="004067FD"/>
    <w:rsid w:val="00406886"/>
    <w:rsid w:val="00406D27"/>
    <w:rsid w:val="00406FFE"/>
    <w:rsid w:val="004070EE"/>
    <w:rsid w:val="00407C7D"/>
    <w:rsid w:val="0041018F"/>
    <w:rsid w:val="004103A3"/>
    <w:rsid w:val="00410483"/>
    <w:rsid w:val="00410A5C"/>
    <w:rsid w:val="00410CBA"/>
    <w:rsid w:val="00411145"/>
    <w:rsid w:val="00411675"/>
    <w:rsid w:val="00412263"/>
    <w:rsid w:val="00412335"/>
    <w:rsid w:val="00413591"/>
    <w:rsid w:val="004137F1"/>
    <w:rsid w:val="00413AA2"/>
    <w:rsid w:val="00414479"/>
    <w:rsid w:val="00414920"/>
    <w:rsid w:val="004149FF"/>
    <w:rsid w:val="00414EA8"/>
    <w:rsid w:val="004150DF"/>
    <w:rsid w:val="00415147"/>
    <w:rsid w:val="00415535"/>
    <w:rsid w:val="00415B9F"/>
    <w:rsid w:val="00415C7E"/>
    <w:rsid w:val="00416162"/>
    <w:rsid w:val="00416B09"/>
    <w:rsid w:val="004176DC"/>
    <w:rsid w:val="0041778C"/>
    <w:rsid w:val="00417ADD"/>
    <w:rsid w:val="00417B33"/>
    <w:rsid w:val="0042004C"/>
    <w:rsid w:val="00420264"/>
    <w:rsid w:val="00420819"/>
    <w:rsid w:val="00420ADE"/>
    <w:rsid w:val="00420C1C"/>
    <w:rsid w:val="00420C27"/>
    <w:rsid w:val="00421225"/>
    <w:rsid w:val="004214D2"/>
    <w:rsid w:val="004218D9"/>
    <w:rsid w:val="00421AC3"/>
    <w:rsid w:val="00421BD7"/>
    <w:rsid w:val="00421C80"/>
    <w:rsid w:val="00422145"/>
    <w:rsid w:val="00422278"/>
    <w:rsid w:val="0042251C"/>
    <w:rsid w:val="0042274A"/>
    <w:rsid w:val="004229D0"/>
    <w:rsid w:val="00423046"/>
    <w:rsid w:val="004230FE"/>
    <w:rsid w:val="0042326C"/>
    <w:rsid w:val="00423E88"/>
    <w:rsid w:val="00423FDE"/>
    <w:rsid w:val="00423FEB"/>
    <w:rsid w:val="004242B3"/>
    <w:rsid w:val="0042445F"/>
    <w:rsid w:val="00424AF2"/>
    <w:rsid w:val="00425400"/>
    <w:rsid w:val="004254FD"/>
    <w:rsid w:val="00425641"/>
    <w:rsid w:val="00425707"/>
    <w:rsid w:val="00425A7C"/>
    <w:rsid w:val="00425CE3"/>
    <w:rsid w:val="00425D02"/>
    <w:rsid w:val="004261A9"/>
    <w:rsid w:val="00426352"/>
    <w:rsid w:val="004266EC"/>
    <w:rsid w:val="00426B3A"/>
    <w:rsid w:val="00426D2E"/>
    <w:rsid w:val="00427185"/>
    <w:rsid w:val="004272E7"/>
    <w:rsid w:val="0042743E"/>
    <w:rsid w:val="00427631"/>
    <w:rsid w:val="00427669"/>
    <w:rsid w:val="00427BE3"/>
    <w:rsid w:val="00427CB2"/>
    <w:rsid w:val="00427CDE"/>
    <w:rsid w:val="00427F84"/>
    <w:rsid w:val="00430018"/>
    <w:rsid w:val="0043023A"/>
    <w:rsid w:val="004308EF"/>
    <w:rsid w:val="00430BFE"/>
    <w:rsid w:val="004314D0"/>
    <w:rsid w:val="004314E0"/>
    <w:rsid w:val="0043181B"/>
    <w:rsid w:val="004326A9"/>
    <w:rsid w:val="0043277A"/>
    <w:rsid w:val="004331F2"/>
    <w:rsid w:val="00433256"/>
    <w:rsid w:val="004334B5"/>
    <w:rsid w:val="0043351D"/>
    <w:rsid w:val="00433761"/>
    <w:rsid w:val="00433CC0"/>
    <w:rsid w:val="00433D99"/>
    <w:rsid w:val="004340C3"/>
    <w:rsid w:val="0043420B"/>
    <w:rsid w:val="00434365"/>
    <w:rsid w:val="00434C3A"/>
    <w:rsid w:val="00434DC2"/>
    <w:rsid w:val="00435144"/>
    <w:rsid w:val="00435731"/>
    <w:rsid w:val="00435F60"/>
    <w:rsid w:val="00436101"/>
    <w:rsid w:val="00436120"/>
    <w:rsid w:val="0043616A"/>
    <w:rsid w:val="004364CD"/>
    <w:rsid w:val="00437199"/>
    <w:rsid w:val="00437781"/>
    <w:rsid w:val="0044070D"/>
    <w:rsid w:val="00440F20"/>
    <w:rsid w:val="0044116F"/>
    <w:rsid w:val="00441652"/>
    <w:rsid w:val="00441753"/>
    <w:rsid w:val="0044187B"/>
    <w:rsid w:val="00441908"/>
    <w:rsid w:val="00441B72"/>
    <w:rsid w:val="00442026"/>
    <w:rsid w:val="0044263D"/>
    <w:rsid w:val="004426B8"/>
    <w:rsid w:val="0044277C"/>
    <w:rsid w:val="004427AF"/>
    <w:rsid w:val="004428DB"/>
    <w:rsid w:val="00442A47"/>
    <w:rsid w:val="00442B59"/>
    <w:rsid w:val="00442BC1"/>
    <w:rsid w:val="00442C75"/>
    <w:rsid w:val="00442CD7"/>
    <w:rsid w:val="00442E09"/>
    <w:rsid w:val="00442F56"/>
    <w:rsid w:val="00443074"/>
    <w:rsid w:val="004430E0"/>
    <w:rsid w:val="00443223"/>
    <w:rsid w:val="0044355F"/>
    <w:rsid w:val="00443B9C"/>
    <w:rsid w:val="00443C89"/>
    <w:rsid w:val="00443E47"/>
    <w:rsid w:val="00443E4A"/>
    <w:rsid w:val="00443F47"/>
    <w:rsid w:val="00444251"/>
    <w:rsid w:val="00444332"/>
    <w:rsid w:val="004443D2"/>
    <w:rsid w:val="00444597"/>
    <w:rsid w:val="00444746"/>
    <w:rsid w:val="00444A3F"/>
    <w:rsid w:val="00444D4D"/>
    <w:rsid w:val="00444F05"/>
    <w:rsid w:val="00445556"/>
    <w:rsid w:val="004455DD"/>
    <w:rsid w:val="004459BD"/>
    <w:rsid w:val="00445BEC"/>
    <w:rsid w:val="00445DE9"/>
    <w:rsid w:val="00446253"/>
    <w:rsid w:val="004463D6"/>
    <w:rsid w:val="00446555"/>
    <w:rsid w:val="00446B04"/>
    <w:rsid w:val="0044749B"/>
    <w:rsid w:val="00447687"/>
    <w:rsid w:val="00450220"/>
    <w:rsid w:val="00450D9D"/>
    <w:rsid w:val="0045122E"/>
    <w:rsid w:val="0045163C"/>
    <w:rsid w:val="004517AB"/>
    <w:rsid w:val="00451B7C"/>
    <w:rsid w:val="00451C8D"/>
    <w:rsid w:val="00451E58"/>
    <w:rsid w:val="0045243B"/>
    <w:rsid w:val="00452588"/>
    <w:rsid w:val="00452631"/>
    <w:rsid w:val="00452920"/>
    <w:rsid w:val="00452C2C"/>
    <w:rsid w:val="00452CF8"/>
    <w:rsid w:val="004533CB"/>
    <w:rsid w:val="004534AC"/>
    <w:rsid w:val="00453D4D"/>
    <w:rsid w:val="00453DB7"/>
    <w:rsid w:val="00453F15"/>
    <w:rsid w:val="004541C5"/>
    <w:rsid w:val="004545C4"/>
    <w:rsid w:val="004547BB"/>
    <w:rsid w:val="00454DB4"/>
    <w:rsid w:val="004551CB"/>
    <w:rsid w:val="00455233"/>
    <w:rsid w:val="00455437"/>
    <w:rsid w:val="00455846"/>
    <w:rsid w:val="00455AD2"/>
    <w:rsid w:val="004560BB"/>
    <w:rsid w:val="004562E1"/>
    <w:rsid w:val="00456724"/>
    <w:rsid w:val="00456A36"/>
    <w:rsid w:val="00456FE4"/>
    <w:rsid w:val="004571C7"/>
    <w:rsid w:val="004572FD"/>
    <w:rsid w:val="004577B3"/>
    <w:rsid w:val="00457C35"/>
    <w:rsid w:val="00460145"/>
    <w:rsid w:val="0046032D"/>
    <w:rsid w:val="00460825"/>
    <w:rsid w:val="004610F4"/>
    <w:rsid w:val="00461368"/>
    <w:rsid w:val="004613C6"/>
    <w:rsid w:val="0046147A"/>
    <w:rsid w:val="004614D6"/>
    <w:rsid w:val="00461C3F"/>
    <w:rsid w:val="00462298"/>
    <w:rsid w:val="00462D2A"/>
    <w:rsid w:val="00462E7C"/>
    <w:rsid w:val="0046320F"/>
    <w:rsid w:val="00463BC3"/>
    <w:rsid w:val="00463F40"/>
    <w:rsid w:val="004642CE"/>
    <w:rsid w:val="00464388"/>
    <w:rsid w:val="00464474"/>
    <w:rsid w:val="004646A7"/>
    <w:rsid w:val="00464952"/>
    <w:rsid w:val="00464B6B"/>
    <w:rsid w:val="00464C08"/>
    <w:rsid w:val="0046527C"/>
    <w:rsid w:val="004655AA"/>
    <w:rsid w:val="00465891"/>
    <w:rsid w:val="00465BE7"/>
    <w:rsid w:val="00466724"/>
    <w:rsid w:val="004669CD"/>
    <w:rsid w:val="00466D6F"/>
    <w:rsid w:val="00466F13"/>
    <w:rsid w:val="004670B6"/>
    <w:rsid w:val="00467638"/>
    <w:rsid w:val="004676CE"/>
    <w:rsid w:val="00467A9F"/>
    <w:rsid w:val="00467BDF"/>
    <w:rsid w:val="00467F20"/>
    <w:rsid w:val="00470202"/>
    <w:rsid w:val="0047078E"/>
    <w:rsid w:val="00470859"/>
    <w:rsid w:val="00470D5C"/>
    <w:rsid w:val="004710CA"/>
    <w:rsid w:val="00471502"/>
    <w:rsid w:val="004717E3"/>
    <w:rsid w:val="00471947"/>
    <w:rsid w:val="00471B84"/>
    <w:rsid w:val="00471C64"/>
    <w:rsid w:val="004724E6"/>
    <w:rsid w:val="00472689"/>
    <w:rsid w:val="004726C4"/>
    <w:rsid w:val="00472891"/>
    <w:rsid w:val="0047290C"/>
    <w:rsid w:val="00472C56"/>
    <w:rsid w:val="00472C64"/>
    <w:rsid w:val="00472C6F"/>
    <w:rsid w:val="00472D31"/>
    <w:rsid w:val="0047324E"/>
    <w:rsid w:val="00473DAF"/>
    <w:rsid w:val="004745ED"/>
    <w:rsid w:val="00474610"/>
    <w:rsid w:val="004751E8"/>
    <w:rsid w:val="004752AB"/>
    <w:rsid w:val="0047573C"/>
    <w:rsid w:val="00476500"/>
    <w:rsid w:val="004769BD"/>
    <w:rsid w:val="00476ADD"/>
    <w:rsid w:val="00476C6D"/>
    <w:rsid w:val="00477207"/>
    <w:rsid w:val="00477259"/>
    <w:rsid w:val="00477465"/>
    <w:rsid w:val="004774FD"/>
    <w:rsid w:val="004779C6"/>
    <w:rsid w:val="00477BAF"/>
    <w:rsid w:val="004802D0"/>
    <w:rsid w:val="0048037E"/>
    <w:rsid w:val="00480920"/>
    <w:rsid w:val="00480A69"/>
    <w:rsid w:val="004811E7"/>
    <w:rsid w:val="00481233"/>
    <w:rsid w:val="00481489"/>
    <w:rsid w:val="004814F3"/>
    <w:rsid w:val="004818CF"/>
    <w:rsid w:val="00481C55"/>
    <w:rsid w:val="004821D9"/>
    <w:rsid w:val="0048251C"/>
    <w:rsid w:val="0048258F"/>
    <w:rsid w:val="00482727"/>
    <w:rsid w:val="00482CC1"/>
    <w:rsid w:val="00482F98"/>
    <w:rsid w:val="004830AF"/>
    <w:rsid w:val="004835EC"/>
    <w:rsid w:val="004838CC"/>
    <w:rsid w:val="004839F5"/>
    <w:rsid w:val="00484399"/>
    <w:rsid w:val="00484531"/>
    <w:rsid w:val="0048465D"/>
    <w:rsid w:val="004849D2"/>
    <w:rsid w:val="00484EED"/>
    <w:rsid w:val="004850FD"/>
    <w:rsid w:val="00485232"/>
    <w:rsid w:val="00485500"/>
    <w:rsid w:val="00485512"/>
    <w:rsid w:val="00485FEB"/>
    <w:rsid w:val="0048677E"/>
    <w:rsid w:val="00487083"/>
    <w:rsid w:val="00487372"/>
    <w:rsid w:val="004873B5"/>
    <w:rsid w:val="00487934"/>
    <w:rsid w:val="00487B96"/>
    <w:rsid w:val="0049032D"/>
    <w:rsid w:val="00491124"/>
    <w:rsid w:val="00491146"/>
    <w:rsid w:val="004912AA"/>
    <w:rsid w:val="004912DF"/>
    <w:rsid w:val="004916AE"/>
    <w:rsid w:val="004916CF"/>
    <w:rsid w:val="00491B67"/>
    <w:rsid w:val="00491DB7"/>
    <w:rsid w:val="00491F49"/>
    <w:rsid w:val="00492330"/>
    <w:rsid w:val="0049236A"/>
    <w:rsid w:val="00492379"/>
    <w:rsid w:val="004926C3"/>
    <w:rsid w:val="00493008"/>
    <w:rsid w:val="0049338C"/>
    <w:rsid w:val="004936A1"/>
    <w:rsid w:val="00493953"/>
    <w:rsid w:val="00493BAD"/>
    <w:rsid w:val="004941CD"/>
    <w:rsid w:val="004943EE"/>
    <w:rsid w:val="0049444C"/>
    <w:rsid w:val="00494456"/>
    <w:rsid w:val="004944DA"/>
    <w:rsid w:val="004946BF"/>
    <w:rsid w:val="0049471E"/>
    <w:rsid w:val="00494789"/>
    <w:rsid w:val="00494B11"/>
    <w:rsid w:val="00494C50"/>
    <w:rsid w:val="00494C9E"/>
    <w:rsid w:val="00494D59"/>
    <w:rsid w:val="00494F45"/>
    <w:rsid w:val="00495253"/>
    <w:rsid w:val="0049528A"/>
    <w:rsid w:val="0049541C"/>
    <w:rsid w:val="00495A3B"/>
    <w:rsid w:val="00496591"/>
    <w:rsid w:val="004966B2"/>
    <w:rsid w:val="0049674D"/>
    <w:rsid w:val="00496896"/>
    <w:rsid w:val="00496974"/>
    <w:rsid w:val="00496CA2"/>
    <w:rsid w:val="00497255"/>
    <w:rsid w:val="0049742B"/>
    <w:rsid w:val="00497491"/>
    <w:rsid w:val="00497603"/>
    <w:rsid w:val="004977C6"/>
    <w:rsid w:val="004A054B"/>
    <w:rsid w:val="004A0589"/>
    <w:rsid w:val="004A0752"/>
    <w:rsid w:val="004A08BF"/>
    <w:rsid w:val="004A0E80"/>
    <w:rsid w:val="004A0EFD"/>
    <w:rsid w:val="004A1212"/>
    <w:rsid w:val="004A1407"/>
    <w:rsid w:val="004A1431"/>
    <w:rsid w:val="004A1915"/>
    <w:rsid w:val="004A1B33"/>
    <w:rsid w:val="004A2709"/>
    <w:rsid w:val="004A2750"/>
    <w:rsid w:val="004A2918"/>
    <w:rsid w:val="004A294C"/>
    <w:rsid w:val="004A29E5"/>
    <w:rsid w:val="004A2D0A"/>
    <w:rsid w:val="004A2D2C"/>
    <w:rsid w:val="004A2FAF"/>
    <w:rsid w:val="004A30B9"/>
    <w:rsid w:val="004A3343"/>
    <w:rsid w:val="004A3599"/>
    <w:rsid w:val="004A3E3F"/>
    <w:rsid w:val="004A3F40"/>
    <w:rsid w:val="004A424E"/>
    <w:rsid w:val="004A4703"/>
    <w:rsid w:val="004A4952"/>
    <w:rsid w:val="004A4E83"/>
    <w:rsid w:val="004A550B"/>
    <w:rsid w:val="004A5737"/>
    <w:rsid w:val="004A5980"/>
    <w:rsid w:val="004A65BE"/>
    <w:rsid w:val="004A682D"/>
    <w:rsid w:val="004A6949"/>
    <w:rsid w:val="004A6BAD"/>
    <w:rsid w:val="004A744E"/>
    <w:rsid w:val="004A777E"/>
    <w:rsid w:val="004A7B60"/>
    <w:rsid w:val="004B0004"/>
    <w:rsid w:val="004B00B3"/>
    <w:rsid w:val="004B0976"/>
    <w:rsid w:val="004B09D7"/>
    <w:rsid w:val="004B0A44"/>
    <w:rsid w:val="004B0F9B"/>
    <w:rsid w:val="004B1049"/>
    <w:rsid w:val="004B113E"/>
    <w:rsid w:val="004B1741"/>
    <w:rsid w:val="004B18E3"/>
    <w:rsid w:val="004B2124"/>
    <w:rsid w:val="004B2399"/>
    <w:rsid w:val="004B2436"/>
    <w:rsid w:val="004B2503"/>
    <w:rsid w:val="004B2BFB"/>
    <w:rsid w:val="004B2D8B"/>
    <w:rsid w:val="004B2D92"/>
    <w:rsid w:val="004B364C"/>
    <w:rsid w:val="004B3B88"/>
    <w:rsid w:val="004B3FEE"/>
    <w:rsid w:val="004B4084"/>
    <w:rsid w:val="004B40DF"/>
    <w:rsid w:val="004B435D"/>
    <w:rsid w:val="004B47AB"/>
    <w:rsid w:val="004B48AD"/>
    <w:rsid w:val="004B4A47"/>
    <w:rsid w:val="004B4EE7"/>
    <w:rsid w:val="004B4F50"/>
    <w:rsid w:val="004B5397"/>
    <w:rsid w:val="004B54B7"/>
    <w:rsid w:val="004B5552"/>
    <w:rsid w:val="004B5967"/>
    <w:rsid w:val="004B6284"/>
    <w:rsid w:val="004B6465"/>
    <w:rsid w:val="004B6F73"/>
    <w:rsid w:val="004B75C3"/>
    <w:rsid w:val="004B7CF8"/>
    <w:rsid w:val="004B7DC0"/>
    <w:rsid w:val="004B7E47"/>
    <w:rsid w:val="004B7FF1"/>
    <w:rsid w:val="004C0073"/>
    <w:rsid w:val="004C0A67"/>
    <w:rsid w:val="004C0D23"/>
    <w:rsid w:val="004C0E01"/>
    <w:rsid w:val="004C0EFB"/>
    <w:rsid w:val="004C0F1C"/>
    <w:rsid w:val="004C12D1"/>
    <w:rsid w:val="004C1643"/>
    <w:rsid w:val="004C165F"/>
    <w:rsid w:val="004C16F4"/>
    <w:rsid w:val="004C22FA"/>
    <w:rsid w:val="004C2350"/>
    <w:rsid w:val="004C2707"/>
    <w:rsid w:val="004C28EA"/>
    <w:rsid w:val="004C2B20"/>
    <w:rsid w:val="004C2D45"/>
    <w:rsid w:val="004C2E80"/>
    <w:rsid w:val="004C31A5"/>
    <w:rsid w:val="004C3855"/>
    <w:rsid w:val="004C3DF8"/>
    <w:rsid w:val="004C4793"/>
    <w:rsid w:val="004C4992"/>
    <w:rsid w:val="004C4B38"/>
    <w:rsid w:val="004C4B94"/>
    <w:rsid w:val="004C4C0E"/>
    <w:rsid w:val="004C4D31"/>
    <w:rsid w:val="004C4F53"/>
    <w:rsid w:val="004C4F91"/>
    <w:rsid w:val="004C5018"/>
    <w:rsid w:val="004C52C5"/>
    <w:rsid w:val="004C57B7"/>
    <w:rsid w:val="004C5CF5"/>
    <w:rsid w:val="004C5EC0"/>
    <w:rsid w:val="004C61A4"/>
    <w:rsid w:val="004C6531"/>
    <w:rsid w:val="004C696C"/>
    <w:rsid w:val="004C697E"/>
    <w:rsid w:val="004C6C5A"/>
    <w:rsid w:val="004C6F63"/>
    <w:rsid w:val="004C7111"/>
    <w:rsid w:val="004C7566"/>
    <w:rsid w:val="004C7AAC"/>
    <w:rsid w:val="004C7E1F"/>
    <w:rsid w:val="004C7F71"/>
    <w:rsid w:val="004D0344"/>
    <w:rsid w:val="004D0824"/>
    <w:rsid w:val="004D0A3B"/>
    <w:rsid w:val="004D0F15"/>
    <w:rsid w:val="004D1155"/>
    <w:rsid w:val="004D164E"/>
    <w:rsid w:val="004D1893"/>
    <w:rsid w:val="004D1AE9"/>
    <w:rsid w:val="004D1CE9"/>
    <w:rsid w:val="004D1E3C"/>
    <w:rsid w:val="004D1FFF"/>
    <w:rsid w:val="004D21FF"/>
    <w:rsid w:val="004D2420"/>
    <w:rsid w:val="004D2437"/>
    <w:rsid w:val="004D24D2"/>
    <w:rsid w:val="004D2849"/>
    <w:rsid w:val="004D2DBE"/>
    <w:rsid w:val="004D2FB0"/>
    <w:rsid w:val="004D304E"/>
    <w:rsid w:val="004D313D"/>
    <w:rsid w:val="004D3457"/>
    <w:rsid w:val="004D368E"/>
    <w:rsid w:val="004D384A"/>
    <w:rsid w:val="004D4389"/>
    <w:rsid w:val="004D47B8"/>
    <w:rsid w:val="004D4AEB"/>
    <w:rsid w:val="004D4DB0"/>
    <w:rsid w:val="004D4F44"/>
    <w:rsid w:val="004D514D"/>
    <w:rsid w:val="004D568E"/>
    <w:rsid w:val="004D5733"/>
    <w:rsid w:val="004D576F"/>
    <w:rsid w:val="004D588C"/>
    <w:rsid w:val="004D5BC3"/>
    <w:rsid w:val="004D5F3B"/>
    <w:rsid w:val="004D5FEB"/>
    <w:rsid w:val="004D6037"/>
    <w:rsid w:val="004D6104"/>
    <w:rsid w:val="004D62BD"/>
    <w:rsid w:val="004D62D7"/>
    <w:rsid w:val="004D64AE"/>
    <w:rsid w:val="004D6A69"/>
    <w:rsid w:val="004D6BBA"/>
    <w:rsid w:val="004D7344"/>
    <w:rsid w:val="004D74C3"/>
    <w:rsid w:val="004D75BF"/>
    <w:rsid w:val="004D773D"/>
    <w:rsid w:val="004D7ACF"/>
    <w:rsid w:val="004D7D47"/>
    <w:rsid w:val="004E02A4"/>
    <w:rsid w:val="004E0527"/>
    <w:rsid w:val="004E0636"/>
    <w:rsid w:val="004E0947"/>
    <w:rsid w:val="004E0BE3"/>
    <w:rsid w:val="004E1026"/>
    <w:rsid w:val="004E12AF"/>
    <w:rsid w:val="004E13E7"/>
    <w:rsid w:val="004E16D8"/>
    <w:rsid w:val="004E1862"/>
    <w:rsid w:val="004E1914"/>
    <w:rsid w:val="004E1BA7"/>
    <w:rsid w:val="004E1C33"/>
    <w:rsid w:val="004E2044"/>
    <w:rsid w:val="004E2162"/>
    <w:rsid w:val="004E2C79"/>
    <w:rsid w:val="004E30D7"/>
    <w:rsid w:val="004E3554"/>
    <w:rsid w:val="004E35F9"/>
    <w:rsid w:val="004E38A6"/>
    <w:rsid w:val="004E3B3B"/>
    <w:rsid w:val="004E3C31"/>
    <w:rsid w:val="004E3C3F"/>
    <w:rsid w:val="004E3EBD"/>
    <w:rsid w:val="004E3FBC"/>
    <w:rsid w:val="004E3FFC"/>
    <w:rsid w:val="004E405C"/>
    <w:rsid w:val="004E46E9"/>
    <w:rsid w:val="004E49F5"/>
    <w:rsid w:val="004E4F26"/>
    <w:rsid w:val="004E6209"/>
    <w:rsid w:val="004E64BB"/>
    <w:rsid w:val="004E64BF"/>
    <w:rsid w:val="004E655A"/>
    <w:rsid w:val="004E67EF"/>
    <w:rsid w:val="004E7600"/>
    <w:rsid w:val="004E7866"/>
    <w:rsid w:val="004E7A40"/>
    <w:rsid w:val="004F0025"/>
    <w:rsid w:val="004F0309"/>
    <w:rsid w:val="004F03F0"/>
    <w:rsid w:val="004F059A"/>
    <w:rsid w:val="004F08F4"/>
    <w:rsid w:val="004F0B88"/>
    <w:rsid w:val="004F0BA3"/>
    <w:rsid w:val="004F0C93"/>
    <w:rsid w:val="004F0F14"/>
    <w:rsid w:val="004F1216"/>
    <w:rsid w:val="004F123D"/>
    <w:rsid w:val="004F18AE"/>
    <w:rsid w:val="004F18D0"/>
    <w:rsid w:val="004F1D54"/>
    <w:rsid w:val="004F1F14"/>
    <w:rsid w:val="004F2457"/>
    <w:rsid w:val="004F2467"/>
    <w:rsid w:val="004F251C"/>
    <w:rsid w:val="004F2D94"/>
    <w:rsid w:val="004F2DE7"/>
    <w:rsid w:val="004F2E49"/>
    <w:rsid w:val="004F3040"/>
    <w:rsid w:val="004F320C"/>
    <w:rsid w:val="004F35F6"/>
    <w:rsid w:val="004F3A2D"/>
    <w:rsid w:val="004F3A3E"/>
    <w:rsid w:val="004F3CEB"/>
    <w:rsid w:val="004F3F3E"/>
    <w:rsid w:val="004F445E"/>
    <w:rsid w:val="004F46F1"/>
    <w:rsid w:val="004F480E"/>
    <w:rsid w:val="004F4FB5"/>
    <w:rsid w:val="004F5487"/>
    <w:rsid w:val="004F5635"/>
    <w:rsid w:val="004F5651"/>
    <w:rsid w:val="004F5E3F"/>
    <w:rsid w:val="004F5F23"/>
    <w:rsid w:val="004F6656"/>
    <w:rsid w:val="004F696F"/>
    <w:rsid w:val="004F6C56"/>
    <w:rsid w:val="004F6E63"/>
    <w:rsid w:val="004F73FD"/>
    <w:rsid w:val="004F77B3"/>
    <w:rsid w:val="004F7A53"/>
    <w:rsid w:val="004F7D86"/>
    <w:rsid w:val="0050097A"/>
    <w:rsid w:val="00500B6B"/>
    <w:rsid w:val="00500DCB"/>
    <w:rsid w:val="005013D1"/>
    <w:rsid w:val="005018DF"/>
    <w:rsid w:val="00502558"/>
    <w:rsid w:val="005030B9"/>
    <w:rsid w:val="0050311A"/>
    <w:rsid w:val="00503894"/>
    <w:rsid w:val="00504A7A"/>
    <w:rsid w:val="00504B00"/>
    <w:rsid w:val="00504B5A"/>
    <w:rsid w:val="00504C0A"/>
    <w:rsid w:val="00504E68"/>
    <w:rsid w:val="00504F1D"/>
    <w:rsid w:val="0050528F"/>
    <w:rsid w:val="005054DE"/>
    <w:rsid w:val="00505C99"/>
    <w:rsid w:val="00505C9B"/>
    <w:rsid w:val="00505CC4"/>
    <w:rsid w:val="00505ED6"/>
    <w:rsid w:val="00505F01"/>
    <w:rsid w:val="00505FF1"/>
    <w:rsid w:val="0050647F"/>
    <w:rsid w:val="005065B6"/>
    <w:rsid w:val="005065F7"/>
    <w:rsid w:val="00506962"/>
    <w:rsid w:val="00506BE3"/>
    <w:rsid w:val="00506F34"/>
    <w:rsid w:val="00507036"/>
    <w:rsid w:val="00507423"/>
    <w:rsid w:val="005077AE"/>
    <w:rsid w:val="00507B90"/>
    <w:rsid w:val="00507C84"/>
    <w:rsid w:val="00510250"/>
    <w:rsid w:val="00510805"/>
    <w:rsid w:val="00510D08"/>
    <w:rsid w:val="00510D32"/>
    <w:rsid w:val="005114C0"/>
    <w:rsid w:val="00511778"/>
    <w:rsid w:val="00511839"/>
    <w:rsid w:val="0051192A"/>
    <w:rsid w:val="00511960"/>
    <w:rsid w:val="00511E2F"/>
    <w:rsid w:val="00512318"/>
    <w:rsid w:val="0051288A"/>
    <w:rsid w:val="00512CAE"/>
    <w:rsid w:val="00513039"/>
    <w:rsid w:val="00513436"/>
    <w:rsid w:val="005136D1"/>
    <w:rsid w:val="00513C63"/>
    <w:rsid w:val="00513D1B"/>
    <w:rsid w:val="00513F7B"/>
    <w:rsid w:val="005140F6"/>
    <w:rsid w:val="00514131"/>
    <w:rsid w:val="005141B1"/>
    <w:rsid w:val="005144E2"/>
    <w:rsid w:val="005147DC"/>
    <w:rsid w:val="005149F2"/>
    <w:rsid w:val="00514E35"/>
    <w:rsid w:val="0051502F"/>
    <w:rsid w:val="005154FC"/>
    <w:rsid w:val="0051563F"/>
    <w:rsid w:val="0051595D"/>
    <w:rsid w:val="00515D25"/>
    <w:rsid w:val="0051607E"/>
    <w:rsid w:val="00516535"/>
    <w:rsid w:val="005166AF"/>
    <w:rsid w:val="00516819"/>
    <w:rsid w:val="00516883"/>
    <w:rsid w:val="00517057"/>
    <w:rsid w:val="0051763F"/>
    <w:rsid w:val="00517D22"/>
    <w:rsid w:val="005200B7"/>
    <w:rsid w:val="005202C0"/>
    <w:rsid w:val="005206DC"/>
    <w:rsid w:val="005207D1"/>
    <w:rsid w:val="00520A08"/>
    <w:rsid w:val="00520B02"/>
    <w:rsid w:val="0052115A"/>
    <w:rsid w:val="005211FB"/>
    <w:rsid w:val="0052125D"/>
    <w:rsid w:val="00521301"/>
    <w:rsid w:val="00521347"/>
    <w:rsid w:val="0052167C"/>
    <w:rsid w:val="005217A6"/>
    <w:rsid w:val="00521AEB"/>
    <w:rsid w:val="00521D4F"/>
    <w:rsid w:val="00522596"/>
    <w:rsid w:val="00522C58"/>
    <w:rsid w:val="00522D66"/>
    <w:rsid w:val="00523158"/>
    <w:rsid w:val="00523A93"/>
    <w:rsid w:val="00523DE2"/>
    <w:rsid w:val="00523FA9"/>
    <w:rsid w:val="00524399"/>
    <w:rsid w:val="005243A7"/>
    <w:rsid w:val="00524503"/>
    <w:rsid w:val="00524573"/>
    <w:rsid w:val="005246DD"/>
    <w:rsid w:val="005248AB"/>
    <w:rsid w:val="00524F26"/>
    <w:rsid w:val="00524FB9"/>
    <w:rsid w:val="0052506F"/>
    <w:rsid w:val="005251F5"/>
    <w:rsid w:val="00525249"/>
    <w:rsid w:val="00525587"/>
    <w:rsid w:val="0052575B"/>
    <w:rsid w:val="00525779"/>
    <w:rsid w:val="0052632B"/>
    <w:rsid w:val="005267A3"/>
    <w:rsid w:val="00526F33"/>
    <w:rsid w:val="00526FC5"/>
    <w:rsid w:val="005270DC"/>
    <w:rsid w:val="00527273"/>
    <w:rsid w:val="00527499"/>
    <w:rsid w:val="005274F5"/>
    <w:rsid w:val="005275F9"/>
    <w:rsid w:val="005276B3"/>
    <w:rsid w:val="00527795"/>
    <w:rsid w:val="00527836"/>
    <w:rsid w:val="00527B1A"/>
    <w:rsid w:val="00527BDE"/>
    <w:rsid w:val="00527DFF"/>
    <w:rsid w:val="00527E4D"/>
    <w:rsid w:val="005300F7"/>
    <w:rsid w:val="00530252"/>
    <w:rsid w:val="0053041F"/>
    <w:rsid w:val="00530BA0"/>
    <w:rsid w:val="00530DE0"/>
    <w:rsid w:val="00530E96"/>
    <w:rsid w:val="005310B5"/>
    <w:rsid w:val="00531273"/>
    <w:rsid w:val="005312E5"/>
    <w:rsid w:val="00531C51"/>
    <w:rsid w:val="00531E9E"/>
    <w:rsid w:val="005326D1"/>
    <w:rsid w:val="00532B24"/>
    <w:rsid w:val="00532F90"/>
    <w:rsid w:val="00532FD3"/>
    <w:rsid w:val="00533056"/>
    <w:rsid w:val="0053309A"/>
    <w:rsid w:val="005330AB"/>
    <w:rsid w:val="0053339D"/>
    <w:rsid w:val="00533642"/>
    <w:rsid w:val="00533AFB"/>
    <w:rsid w:val="00533E56"/>
    <w:rsid w:val="00533FED"/>
    <w:rsid w:val="005340E7"/>
    <w:rsid w:val="0053445C"/>
    <w:rsid w:val="0053466E"/>
    <w:rsid w:val="005346ED"/>
    <w:rsid w:val="00534DFC"/>
    <w:rsid w:val="00534E36"/>
    <w:rsid w:val="0053508B"/>
    <w:rsid w:val="005355C5"/>
    <w:rsid w:val="005357DA"/>
    <w:rsid w:val="0053599E"/>
    <w:rsid w:val="00535B0E"/>
    <w:rsid w:val="00535BD8"/>
    <w:rsid w:val="00535C8B"/>
    <w:rsid w:val="00535FA0"/>
    <w:rsid w:val="005360B5"/>
    <w:rsid w:val="00536108"/>
    <w:rsid w:val="005361B2"/>
    <w:rsid w:val="005365D5"/>
    <w:rsid w:val="00536C16"/>
    <w:rsid w:val="00536C7B"/>
    <w:rsid w:val="00536C9D"/>
    <w:rsid w:val="00536DC0"/>
    <w:rsid w:val="0053759F"/>
    <w:rsid w:val="00537D23"/>
    <w:rsid w:val="00537E84"/>
    <w:rsid w:val="005402D8"/>
    <w:rsid w:val="00540471"/>
    <w:rsid w:val="00540F05"/>
    <w:rsid w:val="00540F26"/>
    <w:rsid w:val="00541220"/>
    <w:rsid w:val="00542236"/>
    <w:rsid w:val="0054239E"/>
    <w:rsid w:val="005425BC"/>
    <w:rsid w:val="00542958"/>
    <w:rsid w:val="0054321E"/>
    <w:rsid w:val="0054339E"/>
    <w:rsid w:val="005434CF"/>
    <w:rsid w:val="005435C8"/>
    <w:rsid w:val="005437CE"/>
    <w:rsid w:val="0054406F"/>
    <w:rsid w:val="005444CF"/>
    <w:rsid w:val="005445B1"/>
    <w:rsid w:val="00545256"/>
    <w:rsid w:val="0054541A"/>
    <w:rsid w:val="00545AA0"/>
    <w:rsid w:val="00545C13"/>
    <w:rsid w:val="00545C73"/>
    <w:rsid w:val="00545CB5"/>
    <w:rsid w:val="00545E10"/>
    <w:rsid w:val="00546470"/>
    <w:rsid w:val="00546549"/>
    <w:rsid w:val="0054691E"/>
    <w:rsid w:val="00546B2E"/>
    <w:rsid w:val="00546B7B"/>
    <w:rsid w:val="00546D63"/>
    <w:rsid w:val="00546DD2"/>
    <w:rsid w:val="00546DD3"/>
    <w:rsid w:val="00546EE5"/>
    <w:rsid w:val="0054707C"/>
    <w:rsid w:val="00547580"/>
    <w:rsid w:val="005475F1"/>
    <w:rsid w:val="0054784C"/>
    <w:rsid w:val="00547AF2"/>
    <w:rsid w:val="00547D7E"/>
    <w:rsid w:val="00547E6B"/>
    <w:rsid w:val="00547F68"/>
    <w:rsid w:val="00547F95"/>
    <w:rsid w:val="00550066"/>
    <w:rsid w:val="00550BC8"/>
    <w:rsid w:val="00551462"/>
    <w:rsid w:val="00552198"/>
    <w:rsid w:val="00552345"/>
    <w:rsid w:val="0055281F"/>
    <w:rsid w:val="005528CA"/>
    <w:rsid w:val="005528F7"/>
    <w:rsid w:val="00552A77"/>
    <w:rsid w:val="00552E8F"/>
    <w:rsid w:val="00552EB1"/>
    <w:rsid w:val="00553314"/>
    <w:rsid w:val="00553427"/>
    <w:rsid w:val="00553683"/>
    <w:rsid w:val="005546FD"/>
    <w:rsid w:val="005548CD"/>
    <w:rsid w:val="00554E41"/>
    <w:rsid w:val="00555494"/>
    <w:rsid w:val="005554BE"/>
    <w:rsid w:val="00555910"/>
    <w:rsid w:val="00555C8A"/>
    <w:rsid w:val="005563E4"/>
    <w:rsid w:val="0055640E"/>
    <w:rsid w:val="0055647A"/>
    <w:rsid w:val="005564E0"/>
    <w:rsid w:val="005567A9"/>
    <w:rsid w:val="00556B74"/>
    <w:rsid w:val="00556C79"/>
    <w:rsid w:val="00556DDA"/>
    <w:rsid w:val="00556E46"/>
    <w:rsid w:val="00556F11"/>
    <w:rsid w:val="005577D1"/>
    <w:rsid w:val="00557B03"/>
    <w:rsid w:val="005602E1"/>
    <w:rsid w:val="00560521"/>
    <w:rsid w:val="00560769"/>
    <w:rsid w:val="00560DD3"/>
    <w:rsid w:val="005617F2"/>
    <w:rsid w:val="00561E0D"/>
    <w:rsid w:val="00561E70"/>
    <w:rsid w:val="00561EDD"/>
    <w:rsid w:val="00561F10"/>
    <w:rsid w:val="00562665"/>
    <w:rsid w:val="0056284B"/>
    <w:rsid w:val="005628D7"/>
    <w:rsid w:val="00562909"/>
    <w:rsid w:val="00563426"/>
    <w:rsid w:val="00563454"/>
    <w:rsid w:val="0056390D"/>
    <w:rsid w:val="00563959"/>
    <w:rsid w:val="0056399E"/>
    <w:rsid w:val="00563CA0"/>
    <w:rsid w:val="005643FB"/>
    <w:rsid w:val="00564502"/>
    <w:rsid w:val="005648F2"/>
    <w:rsid w:val="005650E4"/>
    <w:rsid w:val="00565141"/>
    <w:rsid w:val="005657E6"/>
    <w:rsid w:val="00565BD4"/>
    <w:rsid w:val="00565DE2"/>
    <w:rsid w:val="00565E57"/>
    <w:rsid w:val="005664EE"/>
    <w:rsid w:val="00566F23"/>
    <w:rsid w:val="00567070"/>
    <w:rsid w:val="005676D1"/>
    <w:rsid w:val="00567BEA"/>
    <w:rsid w:val="0057042F"/>
    <w:rsid w:val="0057085B"/>
    <w:rsid w:val="00570AF3"/>
    <w:rsid w:val="00570C80"/>
    <w:rsid w:val="00570D1A"/>
    <w:rsid w:val="00571537"/>
    <w:rsid w:val="00571AA1"/>
    <w:rsid w:val="00571DD3"/>
    <w:rsid w:val="00571E95"/>
    <w:rsid w:val="00571EEF"/>
    <w:rsid w:val="00572203"/>
    <w:rsid w:val="005729A0"/>
    <w:rsid w:val="00572B15"/>
    <w:rsid w:val="005734FE"/>
    <w:rsid w:val="00573B3A"/>
    <w:rsid w:val="005743A4"/>
    <w:rsid w:val="005743D9"/>
    <w:rsid w:val="005746DF"/>
    <w:rsid w:val="005747D4"/>
    <w:rsid w:val="00574B0C"/>
    <w:rsid w:val="00574E32"/>
    <w:rsid w:val="0057504B"/>
    <w:rsid w:val="00575E08"/>
    <w:rsid w:val="00575EB2"/>
    <w:rsid w:val="00576000"/>
    <w:rsid w:val="005764D8"/>
    <w:rsid w:val="00576930"/>
    <w:rsid w:val="00576E2A"/>
    <w:rsid w:val="0057771D"/>
    <w:rsid w:val="00577E70"/>
    <w:rsid w:val="00577EC3"/>
    <w:rsid w:val="00577F00"/>
    <w:rsid w:val="00577F2F"/>
    <w:rsid w:val="005805FE"/>
    <w:rsid w:val="00580968"/>
    <w:rsid w:val="00580BB8"/>
    <w:rsid w:val="00580C18"/>
    <w:rsid w:val="00580C7B"/>
    <w:rsid w:val="00580D25"/>
    <w:rsid w:val="00580DF3"/>
    <w:rsid w:val="00580E3E"/>
    <w:rsid w:val="00581068"/>
    <w:rsid w:val="005811E5"/>
    <w:rsid w:val="0058129A"/>
    <w:rsid w:val="005812E0"/>
    <w:rsid w:val="00581F44"/>
    <w:rsid w:val="0058239E"/>
    <w:rsid w:val="0058256F"/>
    <w:rsid w:val="00582599"/>
    <w:rsid w:val="00582691"/>
    <w:rsid w:val="00582969"/>
    <w:rsid w:val="00582B33"/>
    <w:rsid w:val="00582DD9"/>
    <w:rsid w:val="005831A2"/>
    <w:rsid w:val="005832B5"/>
    <w:rsid w:val="0058341A"/>
    <w:rsid w:val="0058345E"/>
    <w:rsid w:val="0058398A"/>
    <w:rsid w:val="00583A5A"/>
    <w:rsid w:val="00583CE3"/>
    <w:rsid w:val="00584A80"/>
    <w:rsid w:val="00584C48"/>
    <w:rsid w:val="00584C6D"/>
    <w:rsid w:val="005851C8"/>
    <w:rsid w:val="005851F6"/>
    <w:rsid w:val="005854CB"/>
    <w:rsid w:val="0058557E"/>
    <w:rsid w:val="00585608"/>
    <w:rsid w:val="00585878"/>
    <w:rsid w:val="00585CAF"/>
    <w:rsid w:val="00585FBE"/>
    <w:rsid w:val="005865CD"/>
    <w:rsid w:val="0058660E"/>
    <w:rsid w:val="00586653"/>
    <w:rsid w:val="005867AB"/>
    <w:rsid w:val="005867EE"/>
    <w:rsid w:val="00586925"/>
    <w:rsid w:val="00587499"/>
    <w:rsid w:val="005875E3"/>
    <w:rsid w:val="00587A26"/>
    <w:rsid w:val="00587C51"/>
    <w:rsid w:val="00587CDE"/>
    <w:rsid w:val="005901BA"/>
    <w:rsid w:val="00590271"/>
    <w:rsid w:val="00590300"/>
    <w:rsid w:val="005907A7"/>
    <w:rsid w:val="00590D33"/>
    <w:rsid w:val="00591827"/>
    <w:rsid w:val="0059193A"/>
    <w:rsid w:val="005919C4"/>
    <w:rsid w:val="00591B75"/>
    <w:rsid w:val="00592549"/>
    <w:rsid w:val="00592930"/>
    <w:rsid w:val="00592BAA"/>
    <w:rsid w:val="0059366D"/>
    <w:rsid w:val="005936C2"/>
    <w:rsid w:val="00593A19"/>
    <w:rsid w:val="00593EA6"/>
    <w:rsid w:val="00594354"/>
    <w:rsid w:val="00594F8F"/>
    <w:rsid w:val="005950BE"/>
    <w:rsid w:val="00595271"/>
    <w:rsid w:val="005954A8"/>
    <w:rsid w:val="00595688"/>
    <w:rsid w:val="005957E5"/>
    <w:rsid w:val="00596054"/>
    <w:rsid w:val="00596163"/>
    <w:rsid w:val="00596183"/>
    <w:rsid w:val="00596487"/>
    <w:rsid w:val="0059649A"/>
    <w:rsid w:val="0059671E"/>
    <w:rsid w:val="00596899"/>
    <w:rsid w:val="00596967"/>
    <w:rsid w:val="00596D91"/>
    <w:rsid w:val="005970CD"/>
    <w:rsid w:val="00597920"/>
    <w:rsid w:val="00597D5B"/>
    <w:rsid w:val="005A027A"/>
    <w:rsid w:val="005A02D4"/>
    <w:rsid w:val="005A060D"/>
    <w:rsid w:val="005A0B4A"/>
    <w:rsid w:val="005A0C7C"/>
    <w:rsid w:val="005A0FA1"/>
    <w:rsid w:val="005A107D"/>
    <w:rsid w:val="005A1382"/>
    <w:rsid w:val="005A16CF"/>
    <w:rsid w:val="005A27DB"/>
    <w:rsid w:val="005A2CC7"/>
    <w:rsid w:val="005A2D6D"/>
    <w:rsid w:val="005A332F"/>
    <w:rsid w:val="005A35F4"/>
    <w:rsid w:val="005A38FB"/>
    <w:rsid w:val="005A3A34"/>
    <w:rsid w:val="005A3B0D"/>
    <w:rsid w:val="005A3BB0"/>
    <w:rsid w:val="005A3CB5"/>
    <w:rsid w:val="005A4288"/>
    <w:rsid w:val="005A45FA"/>
    <w:rsid w:val="005A4601"/>
    <w:rsid w:val="005A4624"/>
    <w:rsid w:val="005A46B8"/>
    <w:rsid w:val="005A4745"/>
    <w:rsid w:val="005A4783"/>
    <w:rsid w:val="005A4BE5"/>
    <w:rsid w:val="005A4E86"/>
    <w:rsid w:val="005A55E5"/>
    <w:rsid w:val="005A56D9"/>
    <w:rsid w:val="005A56EB"/>
    <w:rsid w:val="005A59BD"/>
    <w:rsid w:val="005A5F07"/>
    <w:rsid w:val="005A61BF"/>
    <w:rsid w:val="005A6445"/>
    <w:rsid w:val="005A6889"/>
    <w:rsid w:val="005A68B6"/>
    <w:rsid w:val="005A7209"/>
    <w:rsid w:val="005A76BE"/>
    <w:rsid w:val="005A772D"/>
    <w:rsid w:val="005B06FD"/>
    <w:rsid w:val="005B077C"/>
    <w:rsid w:val="005B0C13"/>
    <w:rsid w:val="005B113B"/>
    <w:rsid w:val="005B1199"/>
    <w:rsid w:val="005B11E6"/>
    <w:rsid w:val="005B136E"/>
    <w:rsid w:val="005B1876"/>
    <w:rsid w:val="005B192A"/>
    <w:rsid w:val="005B1B66"/>
    <w:rsid w:val="005B2525"/>
    <w:rsid w:val="005B2776"/>
    <w:rsid w:val="005B298B"/>
    <w:rsid w:val="005B29DB"/>
    <w:rsid w:val="005B2C0B"/>
    <w:rsid w:val="005B2C9A"/>
    <w:rsid w:val="005B2CFD"/>
    <w:rsid w:val="005B33B6"/>
    <w:rsid w:val="005B364E"/>
    <w:rsid w:val="005B3B7A"/>
    <w:rsid w:val="005B3DE0"/>
    <w:rsid w:val="005B461F"/>
    <w:rsid w:val="005B47D9"/>
    <w:rsid w:val="005B480A"/>
    <w:rsid w:val="005B49C3"/>
    <w:rsid w:val="005B515B"/>
    <w:rsid w:val="005B518D"/>
    <w:rsid w:val="005B53BE"/>
    <w:rsid w:val="005B5772"/>
    <w:rsid w:val="005B5D46"/>
    <w:rsid w:val="005B5D57"/>
    <w:rsid w:val="005B5E8D"/>
    <w:rsid w:val="005B6797"/>
    <w:rsid w:val="005B6AF8"/>
    <w:rsid w:val="005B6BC4"/>
    <w:rsid w:val="005B6CC1"/>
    <w:rsid w:val="005B7443"/>
    <w:rsid w:val="005C0546"/>
    <w:rsid w:val="005C0874"/>
    <w:rsid w:val="005C0D03"/>
    <w:rsid w:val="005C1010"/>
    <w:rsid w:val="005C12B4"/>
    <w:rsid w:val="005C2314"/>
    <w:rsid w:val="005C23D9"/>
    <w:rsid w:val="005C2B75"/>
    <w:rsid w:val="005C3082"/>
    <w:rsid w:val="005C30A9"/>
    <w:rsid w:val="005C3B8F"/>
    <w:rsid w:val="005C3BC6"/>
    <w:rsid w:val="005C404A"/>
    <w:rsid w:val="005C40E3"/>
    <w:rsid w:val="005C43EE"/>
    <w:rsid w:val="005C4651"/>
    <w:rsid w:val="005C4817"/>
    <w:rsid w:val="005C489E"/>
    <w:rsid w:val="005C522A"/>
    <w:rsid w:val="005C522D"/>
    <w:rsid w:val="005C5822"/>
    <w:rsid w:val="005C60E5"/>
    <w:rsid w:val="005C658F"/>
    <w:rsid w:val="005C66C2"/>
    <w:rsid w:val="005C66EF"/>
    <w:rsid w:val="005C6C0A"/>
    <w:rsid w:val="005C718E"/>
    <w:rsid w:val="005C75BA"/>
    <w:rsid w:val="005C7869"/>
    <w:rsid w:val="005C7884"/>
    <w:rsid w:val="005C7895"/>
    <w:rsid w:val="005C7E07"/>
    <w:rsid w:val="005C7E3E"/>
    <w:rsid w:val="005D0B84"/>
    <w:rsid w:val="005D0F10"/>
    <w:rsid w:val="005D12B2"/>
    <w:rsid w:val="005D1416"/>
    <w:rsid w:val="005D16F2"/>
    <w:rsid w:val="005D179C"/>
    <w:rsid w:val="005D1886"/>
    <w:rsid w:val="005D1AF5"/>
    <w:rsid w:val="005D1B73"/>
    <w:rsid w:val="005D1B88"/>
    <w:rsid w:val="005D232F"/>
    <w:rsid w:val="005D301C"/>
    <w:rsid w:val="005D3375"/>
    <w:rsid w:val="005D35B9"/>
    <w:rsid w:val="005D3B53"/>
    <w:rsid w:val="005D3BD0"/>
    <w:rsid w:val="005D3E5A"/>
    <w:rsid w:val="005D42FC"/>
    <w:rsid w:val="005D4778"/>
    <w:rsid w:val="005D50E7"/>
    <w:rsid w:val="005D5531"/>
    <w:rsid w:val="005D5612"/>
    <w:rsid w:val="005D5A35"/>
    <w:rsid w:val="005D5F2C"/>
    <w:rsid w:val="005D5F91"/>
    <w:rsid w:val="005D6425"/>
    <w:rsid w:val="005D6538"/>
    <w:rsid w:val="005D66BB"/>
    <w:rsid w:val="005D6853"/>
    <w:rsid w:val="005D7225"/>
    <w:rsid w:val="005D7540"/>
    <w:rsid w:val="005D75BE"/>
    <w:rsid w:val="005D7819"/>
    <w:rsid w:val="005D7AA7"/>
    <w:rsid w:val="005D7ED3"/>
    <w:rsid w:val="005E0326"/>
    <w:rsid w:val="005E06CD"/>
    <w:rsid w:val="005E0A48"/>
    <w:rsid w:val="005E0A4A"/>
    <w:rsid w:val="005E10AD"/>
    <w:rsid w:val="005E114C"/>
    <w:rsid w:val="005E1718"/>
    <w:rsid w:val="005E2017"/>
    <w:rsid w:val="005E218F"/>
    <w:rsid w:val="005E3428"/>
    <w:rsid w:val="005E3497"/>
    <w:rsid w:val="005E3D06"/>
    <w:rsid w:val="005E3E02"/>
    <w:rsid w:val="005E3E1B"/>
    <w:rsid w:val="005E3F17"/>
    <w:rsid w:val="005E4D04"/>
    <w:rsid w:val="005E4ECD"/>
    <w:rsid w:val="005E4F0B"/>
    <w:rsid w:val="005E4FD8"/>
    <w:rsid w:val="005E5041"/>
    <w:rsid w:val="005E56C9"/>
    <w:rsid w:val="005E588C"/>
    <w:rsid w:val="005E5B30"/>
    <w:rsid w:val="005E5C0F"/>
    <w:rsid w:val="005E5D83"/>
    <w:rsid w:val="005E5F73"/>
    <w:rsid w:val="005E6128"/>
    <w:rsid w:val="005E64F0"/>
    <w:rsid w:val="005E6580"/>
    <w:rsid w:val="005E6634"/>
    <w:rsid w:val="005E66B3"/>
    <w:rsid w:val="005E67EB"/>
    <w:rsid w:val="005E6A48"/>
    <w:rsid w:val="005E6C26"/>
    <w:rsid w:val="005E6CE0"/>
    <w:rsid w:val="005E6D28"/>
    <w:rsid w:val="005E6E3E"/>
    <w:rsid w:val="005E6E63"/>
    <w:rsid w:val="005E6E85"/>
    <w:rsid w:val="005E6EA1"/>
    <w:rsid w:val="005E7172"/>
    <w:rsid w:val="005E73E4"/>
    <w:rsid w:val="005E7729"/>
    <w:rsid w:val="005E77A3"/>
    <w:rsid w:val="005E7870"/>
    <w:rsid w:val="005E79D3"/>
    <w:rsid w:val="005E7AA0"/>
    <w:rsid w:val="005E7B24"/>
    <w:rsid w:val="005F00C4"/>
    <w:rsid w:val="005F01ED"/>
    <w:rsid w:val="005F0B71"/>
    <w:rsid w:val="005F0DAF"/>
    <w:rsid w:val="005F0E62"/>
    <w:rsid w:val="005F1174"/>
    <w:rsid w:val="005F16C6"/>
    <w:rsid w:val="005F1E1B"/>
    <w:rsid w:val="005F1F42"/>
    <w:rsid w:val="005F296A"/>
    <w:rsid w:val="005F2F1D"/>
    <w:rsid w:val="005F308D"/>
    <w:rsid w:val="005F322B"/>
    <w:rsid w:val="005F384B"/>
    <w:rsid w:val="005F3850"/>
    <w:rsid w:val="005F39F8"/>
    <w:rsid w:val="005F3B03"/>
    <w:rsid w:val="005F3B0A"/>
    <w:rsid w:val="005F3BAD"/>
    <w:rsid w:val="005F3C12"/>
    <w:rsid w:val="005F3DA5"/>
    <w:rsid w:val="005F3EB0"/>
    <w:rsid w:val="005F421E"/>
    <w:rsid w:val="005F4246"/>
    <w:rsid w:val="005F472C"/>
    <w:rsid w:val="005F4819"/>
    <w:rsid w:val="005F4902"/>
    <w:rsid w:val="005F4A17"/>
    <w:rsid w:val="005F4A82"/>
    <w:rsid w:val="005F4BDD"/>
    <w:rsid w:val="005F4E2B"/>
    <w:rsid w:val="005F4FB6"/>
    <w:rsid w:val="005F57FD"/>
    <w:rsid w:val="005F5951"/>
    <w:rsid w:val="005F59B2"/>
    <w:rsid w:val="005F5A9D"/>
    <w:rsid w:val="005F5AB6"/>
    <w:rsid w:val="005F5EDD"/>
    <w:rsid w:val="005F6150"/>
    <w:rsid w:val="005F62F0"/>
    <w:rsid w:val="005F64ED"/>
    <w:rsid w:val="005F67BD"/>
    <w:rsid w:val="005F6899"/>
    <w:rsid w:val="005F6D1A"/>
    <w:rsid w:val="005F6E6B"/>
    <w:rsid w:val="005F7440"/>
    <w:rsid w:val="005F7474"/>
    <w:rsid w:val="005F77DE"/>
    <w:rsid w:val="005F7858"/>
    <w:rsid w:val="005F7B16"/>
    <w:rsid w:val="0060080A"/>
    <w:rsid w:val="00600BD8"/>
    <w:rsid w:val="006010B6"/>
    <w:rsid w:val="00601ACB"/>
    <w:rsid w:val="006023D5"/>
    <w:rsid w:val="006026E1"/>
    <w:rsid w:val="00602827"/>
    <w:rsid w:val="0060286A"/>
    <w:rsid w:val="00602DBF"/>
    <w:rsid w:val="00603364"/>
    <w:rsid w:val="00603436"/>
    <w:rsid w:val="00603FF7"/>
    <w:rsid w:val="006043DE"/>
    <w:rsid w:val="00604543"/>
    <w:rsid w:val="006045D6"/>
    <w:rsid w:val="00604E4B"/>
    <w:rsid w:val="0060553B"/>
    <w:rsid w:val="006058AB"/>
    <w:rsid w:val="00605AD2"/>
    <w:rsid w:val="00605C4C"/>
    <w:rsid w:val="00605CAC"/>
    <w:rsid w:val="00605F50"/>
    <w:rsid w:val="006063B1"/>
    <w:rsid w:val="006068BD"/>
    <w:rsid w:val="00606C42"/>
    <w:rsid w:val="00606DC8"/>
    <w:rsid w:val="00606F56"/>
    <w:rsid w:val="00607118"/>
    <w:rsid w:val="00607304"/>
    <w:rsid w:val="0060776B"/>
    <w:rsid w:val="00607830"/>
    <w:rsid w:val="006078FC"/>
    <w:rsid w:val="00607C13"/>
    <w:rsid w:val="00607C74"/>
    <w:rsid w:val="00610140"/>
    <w:rsid w:val="00610185"/>
    <w:rsid w:val="00610393"/>
    <w:rsid w:val="00610804"/>
    <w:rsid w:val="006109EF"/>
    <w:rsid w:val="00611232"/>
    <w:rsid w:val="0061153C"/>
    <w:rsid w:val="0061177B"/>
    <w:rsid w:val="00611A68"/>
    <w:rsid w:val="00611C71"/>
    <w:rsid w:val="00611E4C"/>
    <w:rsid w:val="0061223B"/>
    <w:rsid w:val="006125CC"/>
    <w:rsid w:val="006126F2"/>
    <w:rsid w:val="006126F7"/>
    <w:rsid w:val="0061284D"/>
    <w:rsid w:val="00612856"/>
    <w:rsid w:val="00612860"/>
    <w:rsid w:val="0061292D"/>
    <w:rsid w:val="00612C5D"/>
    <w:rsid w:val="00612D04"/>
    <w:rsid w:val="00612D52"/>
    <w:rsid w:val="00612DCC"/>
    <w:rsid w:val="00612E40"/>
    <w:rsid w:val="00612FEA"/>
    <w:rsid w:val="006131A0"/>
    <w:rsid w:val="00613248"/>
    <w:rsid w:val="006132B2"/>
    <w:rsid w:val="006135E1"/>
    <w:rsid w:val="00613A49"/>
    <w:rsid w:val="00613FF9"/>
    <w:rsid w:val="0061426A"/>
    <w:rsid w:val="006143FB"/>
    <w:rsid w:val="0061487C"/>
    <w:rsid w:val="00615104"/>
    <w:rsid w:val="006167C6"/>
    <w:rsid w:val="00616E16"/>
    <w:rsid w:val="00617639"/>
    <w:rsid w:val="0061764D"/>
    <w:rsid w:val="00617947"/>
    <w:rsid w:val="00617ACA"/>
    <w:rsid w:val="00617F91"/>
    <w:rsid w:val="00620414"/>
    <w:rsid w:val="0062048C"/>
    <w:rsid w:val="006209A5"/>
    <w:rsid w:val="00620AAC"/>
    <w:rsid w:val="00620E8E"/>
    <w:rsid w:val="0062109B"/>
    <w:rsid w:val="006214FE"/>
    <w:rsid w:val="006215F7"/>
    <w:rsid w:val="00621C06"/>
    <w:rsid w:val="00622320"/>
    <w:rsid w:val="00622C38"/>
    <w:rsid w:val="0062314F"/>
    <w:rsid w:val="006231BB"/>
    <w:rsid w:val="00623216"/>
    <w:rsid w:val="006232A6"/>
    <w:rsid w:val="00623330"/>
    <w:rsid w:val="00623485"/>
    <w:rsid w:val="00623A88"/>
    <w:rsid w:val="00623EEB"/>
    <w:rsid w:val="00624676"/>
    <w:rsid w:val="00624F33"/>
    <w:rsid w:val="006254A1"/>
    <w:rsid w:val="00625509"/>
    <w:rsid w:val="006259D8"/>
    <w:rsid w:val="00625BFC"/>
    <w:rsid w:val="00625D1F"/>
    <w:rsid w:val="00626168"/>
    <w:rsid w:val="00626189"/>
    <w:rsid w:val="00626408"/>
    <w:rsid w:val="00626C0C"/>
    <w:rsid w:val="00626F90"/>
    <w:rsid w:val="0062745D"/>
    <w:rsid w:val="006276FA"/>
    <w:rsid w:val="00627A41"/>
    <w:rsid w:val="00627AC8"/>
    <w:rsid w:val="00627EB8"/>
    <w:rsid w:val="00627EF5"/>
    <w:rsid w:val="006300B4"/>
    <w:rsid w:val="0063033F"/>
    <w:rsid w:val="00630387"/>
    <w:rsid w:val="0063087E"/>
    <w:rsid w:val="00630ACE"/>
    <w:rsid w:val="00630BC3"/>
    <w:rsid w:val="0063115A"/>
    <w:rsid w:val="00631203"/>
    <w:rsid w:val="00631CA7"/>
    <w:rsid w:val="00632045"/>
    <w:rsid w:val="00633449"/>
    <w:rsid w:val="006334CA"/>
    <w:rsid w:val="006338DA"/>
    <w:rsid w:val="0063397F"/>
    <w:rsid w:val="00633AF2"/>
    <w:rsid w:val="00633FE4"/>
    <w:rsid w:val="00634177"/>
    <w:rsid w:val="00634405"/>
    <w:rsid w:val="006347C3"/>
    <w:rsid w:val="006350C0"/>
    <w:rsid w:val="0063572B"/>
    <w:rsid w:val="00635D3E"/>
    <w:rsid w:val="00636227"/>
    <w:rsid w:val="0063683E"/>
    <w:rsid w:val="00636996"/>
    <w:rsid w:val="00636A2A"/>
    <w:rsid w:val="00636AD7"/>
    <w:rsid w:val="00636BC6"/>
    <w:rsid w:val="00636D37"/>
    <w:rsid w:val="00637159"/>
    <w:rsid w:val="0063776A"/>
    <w:rsid w:val="00637DE0"/>
    <w:rsid w:val="006402EC"/>
    <w:rsid w:val="00640A7A"/>
    <w:rsid w:val="00640E43"/>
    <w:rsid w:val="0064107A"/>
    <w:rsid w:val="006410D5"/>
    <w:rsid w:val="00641368"/>
    <w:rsid w:val="006414F4"/>
    <w:rsid w:val="006416DF"/>
    <w:rsid w:val="0064177C"/>
    <w:rsid w:val="00641ACC"/>
    <w:rsid w:val="00641B8C"/>
    <w:rsid w:val="00641D77"/>
    <w:rsid w:val="0064222C"/>
    <w:rsid w:val="006425DC"/>
    <w:rsid w:val="0064267B"/>
    <w:rsid w:val="00642A63"/>
    <w:rsid w:val="00642EE4"/>
    <w:rsid w:val="00642F73"/>
    <w:rsid w:val="00642FCD"/>
    <w:rsid w:val="00643217"/>
    <w:rsid w:val="0064323B"/>
    <w:rsid w:val="00643357"/>
    <w:rsid w:val="00643403"/>
    <w:rsid w:val="00643923"/>
    <w:rsid w:val="0064394F"/>
    <w:rsid w:val="006442EF"/>
    <w:rsid w:val="006443D7"/>
    <w:rsid w:val="0064462D"/>
    <w:rsid w:val="00644943"/>
    <w:rsid w:val="006449D0"/>
    <w:rsid w:val="00644D88"/>
    <w:rsid w:val="006450D1"/>
    <w:rsid w:val="0064576C"/>
    <w:rsid w:val="00645C44"/>
    <w:rsid w:val="00645D92"/>
    <w:rsid w:val="006460BE"/>
    <w:rsid w:val="006461F2"/>
    <w:rsid w:val="00646222"/>
    <w:rsid w:val="0064697F"/>
    <w:rsid w:val="00646B9D"/>
    <w:rsid w:val="00646DAE"/>
    <w:rsid w:val="0064795A"/>
    <w:rsid w:val="00650269"/>
    <w:rsid w:val="006502ED"/>
    <w:rsid w:val="006510F4"/>
    <w:rsid w:val="00651B09"/>
    <w:rsid w:val="006522C0"/>
    <w:rsid w:val="00652352"/>
    <w:rsid w:val="006524C2"/>
    <w:rsid w:val="0065286F"/>
    <w:rsid w:val="00652A78"/>
    <w:rsid w:val="00652BA5"/>
    <w:rsid w:val="00652CEE"/>
    <w:rsid w:val="00652D8B"/>
    <w:rsid w:val="006533C5"/>
    <w:rsid w:val="00653664"/>
    <w:rsid w:val="00653887"/>
    <w:rsid w:val="00653A7F"/>
    <w:rsid w:val="00653D14"/>
    <w:rsid w:val="00653D2F"/>
    <w:rsid w:val="00654385"/>
    <w:rsid w:val="00654979"/>
    <w:rsid w:val="00654D52"/>
    <w:rsid w:val="0065530C"/>
    <w:rsid w:val="006554C1"/>
    <w:rsid w:val="0065562D"/>
    <w:rsid w:val="0065578B"/>
    <w:rsid w:val="006558A7"/>
    <w:rsid w:val="00655BAC"/>
    <w:rsid w:val="00655E3B"/>
    <w:rsid w:val="0065675B"/>
    <w:rsid w:val="00656DBF"/>
    <w:rsid w:val="006572B0"/>
    <w:rsid w:val="00657460"/>
    <w:rsid w:val="0065749A"/>
    <w:rsid w:val="00657602"/>
    <w:rsid w:val="0065761C"/>
    <w:rsid w:val="006578FD"/>
    <w:rsid w:val="00660344"/>
    <w:rsid w:val="00660C75"/>
    <w:rsid w:val="00660D04"/>
    <w:rsid w:val="00661476"/>
    <w:rsid w:val="00661D9B"/>
    <w:rsid w:val="00662544"/>
    <w:rsid w:val="006628FD"/>
    <w:rsid w:val="006636B8"/>
    <w:rsid w:val="00664151"/>
    <w:rsid w:val="006643BA"/>
    <w:rsid w:val="0066450E"/>
    <w:rsid w:val="00664580"/>
    <w:rsid w:val="006648AB"/>
    <w:rsid w:val="0066492E"/>
    <w:rsid w:val="00664976"/>
    <w:rsid w:val="006649C0"/>
    <w:rsid w:val="00664BF7"/>
    <w:rsid w:val="00664DC4"/>
    <w:rsid w:val="00664EFE"/>
    <w:rsid w:val="00665013"/>
    <w:rsid w:val="00665310"/>
    <w:rsid w:val="00665498"/>
    <w:rsid w:val="0066577E"/>
    <w:rsid w:val="00665C40"/>
    <w:rsid w:val="00666892"/>
    <w:rsid w:val="00666AC6"/>
    <w:rsid w:val="00666D41"/>
    <w:rsid w:val="00667D71"/>
    <w:rsid w:val="00667FC3"/>
    <w:rsid w:val="00670647"/>
    <w:rsid w:val="00670697"/>
    <w:rsid w:val="00670C95"/>
    <w:rsid w:val="00670D7E"/>
    <w:rsid w:val="00670F7A"/>
    <w:rsid w:val="0067168D"/>
    <w:rsid w:val="00671763"/>
    <w:rsid w:val="00671779"/>
    <w:rsid w:val="006717F3"/>
    <w:rsid w:val="006717FB"/>
    <w:rsid w:val="00671FEA"/>
    <w:rsid w:val="006726E5"/>
    <w:rsid w:val="006728AB"/>
    <w:rsid w:val="00673504"/>
    <w:rsid w:val="006738D0"/>
    <w:rsid w:val="00673CDC"/>
    <w:rsid w:val="00673FC2"/>
    <w:rsid w:val="0067409C"/>
    <w:rsid w:val="006740AC"/>
    <w:rsid w:val="006743F7"/>
    <w:rsid w:val="00674540"/>
    <w:rsid w:val="006748F8"/>
    <w:rsid w:val="00674ADB"/>
    <w:rsid w:val="00674B64"/>
    <w:rsid w:val="00674BB0"/>
    <w:rsid w:val="00674D3E"/>
    <w:rsid w:val="006751D2"/>
    <w:rsid w:val="006753EB"/>
    <w:rsid w:val="00675452"/>
    <w:rsid w:val="00675D34"/>
    <w:rsid w:val="00675EB3"/>
    <w:rsid w:val="006766C9"/>
    <w:rsid w:val="0067674F"/>
    <w:rsid w:val="00676A29"/>
    <w:rsid w:val="0067720D"/>
    <w:rsid w:val="0067785B"/>
    <w:rsid w:val="00677FBB"/>
    <w:rsid w:val="00680237"/>
    <w:rsid w:val="00680749"/>
    <w:rsid w:val="00680966"/>
    <w:rsid w:val="00680AC7"/>
    <w:rsid w:val="00680F0C"/>
    <w:rsid w:val="00681055"/>
    <w:rsid w:val="006815CA"/>
    <w:rsid w:val="00681A50"/>
    <w:rsid w:val="00681D92"/>
    <w:rsid w:val="00681F6F"/>
    <w:rsid w:val="006820BE"/>
    <w:rsid w:val="0068249B"/>
    <w:rsid w:val="00682EF4"/>
    <w:rsid w:val="00682F6B"/>
    <w:rsid w:val="00683301"/>
    <w:rsid w:val="00683530"/>
    <w:rsid w:val="00683A9C"/>
    <w:rsid w:val="00683D2C"/>
    <w:rsid w:val="00683D37"/>
    <w:rsid w:val="006842B5"/>
    <w:rsid w:val="00684462"/>
    <w:rsid w:val="0068499E"/>
    <w:rsid w:val="00684BF8"/>
    <w:rsid w:val="00684CF2"/>
    <w:rsid w:val="00684DB7"/>
    <w:rsid w:val="0068503B"/>
    <w:rsid w:val="0068530B"/>
    <w:rsid w:val="00685BFE"/>
    <w:rsid w:val="00686012"/>
    <w:rsid w:val="006860DC"/>
    <w:rsid w:val="0068630B"/>
    <w:rsid w:val="006868F7"/>
    <w:rsid w:val="00686A65"/>
    <w:rsid w:val="006870E2"/>
    <w:rsid w:val="0068766C"/>
    <w:rsid w:val="00687AB9"/>
    <w:rsid w:val="006900E2"/>
    <w:rsid w:val="00690196"/>
    <w:rsid w:val="006903FC"/>
    <w:rsid w:val="0069043C"/>
    <w:rsid w:val="006907A0"/>
    <w:rsid w:val="00690BCB"/>
    <w:rsid w:val="00690C8C"/>
    <w:rsid w:val="00691056"/>
    <w:rsid w:val="006915B1"/>
    <w:rsid w:val="00691A40"/>
    <w:rsid w:val="00692A8F"/>
    <w:rsid w:val="00692D94"/>
    <w:rsid w:val="006930C6"/>
    <w:rsid w:val="006931FB"/>
    <w:rsid w:val="006935A9"/>
    <w:rsid w:val="00693739"/>
    <w:rsid w:val="00693BC3"/>
    <w:rsid w:val="00693D56"/>
    <w:rsid w:val="0069419C"/>
    <w:rsid w:val="006941F8"/>
    <w:rsid w:val="0069433B"/>
    <w:rsid w:val="006948A8"/>
    <w:rsid w:val="00694B78"/>
    <w:rsid w:val="00694CF2"/>
    <w:rsid w:val="00694EB8"/>
    <w:rsid w:val="00694F95"/>
    <w:rsid w:val="00695490"/>
    <w:rsid w:val="00695626"/>
    <w:rsid w:val="00695815"/>
    <w:rsid w:val="00695A26"/>
    <w:rsid w:val="0069650E"/>
    <w:rsid w:val="006966F3"/>
    <w:rsid w:val="00696ECA"/>
    <w:rsid w:val="00696F5E"/>
    <w:rsid w:val="006970B0"/>
    <w:rsid w:val="00697322"/>
    <w:rsid w:val="00697594"/>
    <w:rsid w:val="00697FA1"/>
    <w:rsid w:val="006A002F"/>
    <w:rsid w:val="006A03BB"/>
    <w:rsid w:val="006A0572"/>
    <w:rsid w:val="006A08C4"/>
    <w:rsid w:val="006A0E5C"/>
    <w:rsid w:val="006A0F9B"/>
    <w:rsid w:val="006A10C1"/>
    <w:rsid w:val="006A1645"/>
    <w:rsid w:val="006A169C"/>
    <w:rsid w:val="006A1B6B"/>
    <w:rsid w:val="006A1CFF"/>
    <w:rsid w:val="006A1D3C"/>
    <w:rsid w:val="006A1EED"/>
    <w:rsid w:val="006A20C7"/>
    <w:rsid w:val="006A2168"/>
    <w:rsid w:val="006A2226"/>
    <w:rsid w:val="006A2794"/>
    <w:rsid w:val="006A2D40"/>
    <w:rsid w:val="006A2D76"/>
    <w:rsid w:val="006A2FB3"/>
    <w:rsid w:val="006A324D"/>
    <w:rsid w:val="006A366B"/>
    <w:rsid w:val="006A4D79"/>
    <w:rsid w:val="006A51DE"/>
    <w:rsid w:val="006A55F9"/>
    <w:rsid w:val="006A578D"/>
    <w:rsid w:val="006A5F17"/>
    <w:rsid w:val="006A5F95"/>
    <w:rsid w:val="006A6024"/>
    <w:rsid w:val="006A66DD"/>
    <w:rsid w:val="006A739A"/>
    <w:rsid w:val="006A7448"/>
    <w:rsid w:val="006A7659"/>
    <w:rsid w:val="006B00C8"/>
    <w:rsid w:val="006B0EA6"/>
    <w:rsid w:val="006B12E1"/>
    <w:rsid w:val="006B1391"/>
    <w:rsid w:val="006B1922"/>
    <w:rsid w:val="006B1B1F"/>
    <w:rsid w:val="006B1C99"/>
    <w:rsid w:val="006B1F12"/>
    <w:rsid w:val="006B1F60"/>
    <w:rsid w:val="006B2743"/>
    <w:rsid w:val="006B2832"/>
    <w:rsid w:val="006B2850"/>
    <w:rsid w:val="006B285C"/>
    <w:rsid w:val="006B29F6"/>
    <w:rsid w:val="006B2C40"/>
    <w:rsid w:val="006B3C5D"/>
    <w:rsid w:val="006B3C9A"/>
    <w:rsid w:val="006B4208"/>
    <w:rsid w:val="006B4673"/>
    <w:rsid w:val="006B4856"/>
    <w:rsid w:val="006B491C"/>
    <w:rsid w:val="006B4AE3"/>
    <w:rsid w:val="006B58CD"/>
    <w:rsid w:val="006B59A8"/>
    <w:rsid w:val="006B5ECC"/>
    <w:rsid w:val="006B6077"/>
    <w:rsid w:val="006B62C3"/>
    <w:rsid w:val="006B640C"/>
    <w:rsid w:val="006B6592"/>
    <w:rsid w:val="006B681A"/>
    <w:rsid w:val="006B711D"/>
    <w:rsid w:val="006B7839"/>
    <w:rsid w:val="006B794F"/>
    <w:rsid w:val="006B79F3"/>
    <w:rsid w:val="006B7FBA"/>
    <w:rsid w:val="006B7FFD"/>
    <w:rsid w:val="006C04D4"/>
    <w:rsid w:val="006C05D4"/>
    <w:rsid w:val="006C0D9B"/>
    <w:rsid w:val="006C1264"/>
    <w:rsid w:val="006C12E3"/>
    <w:rsid w:val="006C1363"/>
    <w:rsid w:val="006C264F"/>
    <w:rsid w:val="006C2BDF"/>
    <w:rsid w:val="006C2D26"/>
    <w:rsid w:val="006C2F46"/>
    <w:rsid w:val="006C3109"/>
    <w:rsid w:val="006C31B5"/>
    <w:rsid w:val="006C35CD"/>
    <w:rsid w:val="006C39B2"/>
    <w:rsid w:val="006C3F92"/>
    <w:rsid w:val="006C4211"/>
    <w:rsid w:val="006C4310"/>
    <w:rsid w:val="006C435F"/>
    <w:rsid w:val="006C441A"/>
    <w:rsid w:val="006C45D5"/>
    <w:rsid w:val="006C49AB"/>
    <w:rsid w:val="006C4B2D"/>
    <w:rsid w:val="006C4EA0"/>
    <w:rsid w:val="006C5074"/>
    <w:rsid w:val="006C551C"/>
    <w:rsid w:val="006C5A9F"/>
    <w:rsid w:val="006C60B7"/>
    <w:rsid w:val="006C6228"/>
    <w:rsid w:val="006C63A0"/>
    <w:rsid w:val="006C6770"/>
    <w:rsid w:val="006C6EA4"/>
    <w:rsid w:val="006C7798"/>
    <w:rsid w:val="006C7C6A"/>
    <w:rsid w:val="006C7CD6"/>
    <w:rsid w:val="006C7F0A"/>
    <w:rsid w:val="006C7F77"/>
    <w:rsid w:val="006D0259"/>
    <w:rsid w:val="006D031A"/>
    <w:rsid w:val="006D035F"/>
    <w:rsid w:val="006D0942"/>
    <w:rsid w:val="006D0AB5"/>
    <w:rsid w:val="006D0DCE"/>
    <w:rsid w:val="006D136D"/>
    <w:rsid w:val="006D141F"/>
    <w:rsid w:val="006D1576"/>
    <w:rsid w:val="006D1636"/>
    <w:rsid w:val="006D177A"/>
    <w:rsid w:val="006D1D92"/>
    <w:rsid w:val="006D202D"/>
    <w:rsid w:val="006D205A"/>
    <w:rsid w:val="006D2127"/>
    <w:rsid w:val="006D2244"/>
    <w:rsid w:val="006D23D1"/>
    <w:rsid w:val="006D2504"/>
    <w:rsid w:val="006D2571"/>
    <w:rsid w:val="006D2687"/>
    <w:rsid w:val="006D29B6"/>
    <w:rsid w:val="006D3400"/>
    <w:rsid w:val="006D3427"/>
    <w:rsid w:val="006D35F9"/>
    <w:rsid w:val="006D3839"/>
    <w:rsid w:val="006D43D9"/>
    <w:rsid w:val="006D46A9"/>
    <w:rsid w:val="006D4A75"/>
    <w:rsid w:val="006D4DD8"/>
    <w:rsid w:val="006D51D3"/>
    <w:rsid w:val="006D56FC"/>
    <w:rsid w:val="006D5836"/>
    <w:rsid w:val="006D58DF"/>
    <w:rsid w:val="006D6111"/>
    <w:rsid w:val="006D66BF"/>
    <w:rsid w:val="006D6ACA"/>
    <w:rsid w:val="006D6D9F"/>
    <w:rsid w:val="006D6F3D"/>
    <w:rsid w:val="006D6FA0"/>
    <w:rsid w:val="006D72A1"/>
    <w:rsid w:val="006D7396"/>
    <w:rsid w:val="006D7B17"/>
    <w:rsid w:val="006D7B9F"/>
    <w:rsid w:val="006D7C69"/>
    <w:rsid w:val="006D7EBE"/>
    <w:rsid w:val="006E0146"/>
    <w:rsid w:val="006E0306"/>
    <w:rsid w:val="006E04F8"/>
    <w:rsid w:val="006E05F2"/>
    <w:rsid w:val="006E0DCB"/>
    <w:rsid w:val="006E11C5"/>
    <w:rsid w:val="006E130F"/>
    <w:rsid w:val="006E185B"/>
    <w:rsid w:val="006E1B39"/>
    <w:rsid w:val="006E1EB5"/>
    <w:rsid w:val="006E2444"/>
    <w:rsid w:val="006E2482"/>
    <w:rsid w:val="006E2487"/>
    <w:rsid w:val="006E2891"/>
    <w:rsid w:val="006E2A1A"/>
    <w:rsid w:val="006E2C9D"/>
    <w:rsid w:val="006E2CB0"/>
    <w:rsid w:val="006E3593"/>
    <w:rsid w:val="006E363B"/>
    <w:rsid w:val="006E379B"/>
    <w:rsid w:val="006E3848"/>
    <w:rsid w:val="006E4174"/>
    <w:rsid w:val="006E4A4F"/>
    <w:rsid w:val="006E57B7"/>
    <w:rsid w:val="006E580A"/>
    <w:rsid w:val="006E5EB6"/>
    <w:rsid w:val="006E5F4F"/>
    <w:rsid w:val="006E6360"/>
    <w:rsid w:val="006E6457"/>
    <w:rsid w:val="006E6AE1"/>
    <w:rsid w:val="006E6FB7"/>
    <w:rsid w:val="006E7525"/>
    <w:rsid w:val="006E7C36"/>
    <w:rsid w:val="006E7D6E"/>
    <w:rsid w:val="006F0402"/>
    <w:rsid w:val="006F1684"/>
    <w:rsid w:val="006F16F4"/>
    <w:rsid w:val="006F1CAF"/>
    <w:rsid w:val="006F23EB"/>
    <w:rsid w:val="006F2B98"/>
    <w:rsid w:val="006F2E90"/>
    <w:rsid w:val="006F30AA"/>
    <w:rsid w:val="006F321D"/>
    <w:rsid w:val="006F365A"/>
    <w:rsid w:val="006F3A25"/>
    <w:rsid w:val="006F3B02"/>
    <w:rsid w:val="006F4356"/>
    <w:rsid w:val="006F4CE6"/>
    <w:rsid w:val="006F5175"/>
    <w:rsid w:val="006F52AC"/>
    <w:rsid w:val="006F5366"/>
    <w:rsid w:val="006F5BBE"/>
    <w:rsid w:val="006F6029"/>
    <w:rsid w:val="006F607B"/>
    <w:rsid w:val="006F611A"/>
    <w:rsid w:val="006F6137"/>
    <w:rsid w:val="006F6619"/>
    <w:rsid w:val="006F6664"/>
    <w:rsid w:val="006F68E6"/>
    <w:rsid w:val="006F6A10"/>
    <w:rsid w:val="006F6F57"/>
    <w:rsid w:val="006F7003"/>
    <w:rsid w:val="006F70CE"/>
    <w:rsid w:val="006F72FD"/>
    <w:rsid w:val="006F73CD"/>
    <w:rsid w:val="006F76FC"/>
    <w:rsid w:val="006F76FF"/>
    <w:rsid w:val="006F7ED6"/>
    <w:rsid w:val="00700290"/>
    <w:rsid w:val="007002AE"/>
    <w:rsid w:val="0070084E"/>
    <w:rsid w:val="007009C9"/>
    <w:rsid w:val="00701052"/>
    <w:rsid w:val="007010D5"/>
    <w:rsid w:val="00701362"/>
    <w:rsid w:val="00701589"/>
    <w:rsid w:val="0070199A"/>
    <w:rsid w:val="007020A4"/>
    <w:rsid w:val="00702614"/>
    <w:rsid w:val="00702D6E"/>
    <w:rsid w:val="007031CF"/>
    <w:rsid w:val="007031F6"/>
    <w:rsid w:val="0070321A"/>
    <w:rsid w:val="007033A5"/>
    <w:rsid w:val="0070383C"/>
    <w:rsid w:val="00703F92"/>
    <w:rsid w:val="00703FB7"/>
    <w:rsid w:val="00704001"/>
    <w:rsid w:val="0070498F"/>
    <w:rsid w:val="00704E2E"/>
    <w:rsid w:val="00705634"/>
    <w:rsid w:val="007059C8"/>
    <w:rsid w:val="00705A41"/>
    <w:rsid w:val="00705DBC"/>
    <w:rsid w:val="00706030"/>
    <w:rsid w:val="007060E1"/>
    <w:rsid w:val="0070610D"/>
    <w:rsid w:val="00706571"/>
    <w:rsid w:val="00706D06"/>
    <w:rsid w:val="00706E0D"/>
    <w:rsid w:val="00706F76"/>
    <w:rsid w:val="00707351"/>
    <w:rsid w:val="00707D42"/>
    <w:rsid w:val="00707EB7"/>
    <w:rsid w:val="00710040"/>
    <w:rsid w:val="00710168"/>
    <w:rsid w:val="007102FF"/>
    <w:rsid w:val="007108C3"/>
    <w:rsid w:val="007109B2"/>
    <w:rsid w:val="007109E3"/>
    <w:rsid w:val="00710EC8"/>
    <w:rsid w:val="0071125A"/>
    <w:rsid w:val="00711922"/>
    <w:rsid w:val="00712008"/>
    <w:rsid w:val="007122F9"/>
    <w:rsid w:val="00712746"/>
    <w:rsid w:val="00712B35"/>
    <w:rsid w:val="00712DC9"/>
    <w:rsid w:val="0071339C"/>
    <w:rsid w:val="00714172"/>
    <w:rsid w:val="00714A27"/>
    <w:rsid w:val="00714F96"/>
    <w:rsid w:val="00715090"/>
    <w:rsid w:val="0071596B"/>
    <w:rsid w:val="00715999"/>
    <w:rsid w:val="00715B6A"/>
    <w:rsid w:val="00715F4E"/>
    <w:rsid w:val="007160C9"/>
    <w:rsid w:val="0071615C"/>
    <w:rsid w:val="007164FB"/>
    <w:rsid w:val="00716774"/>
    <w:rsid w:val="00716AD8"/>
    <w:rsid w:val="00716D96"/>
    <w:rsid w:val="00716E2A"/>
    <w:rsid w:val="007171CE"/>
    <w:rsid w:val="007173F3"/>
    <w:rsid w:val="00717762"/>
    <w:rsid w:val="00717DC1"/>
    <w:rsid w:val="00717E45"/>
    <w:rsid w:val="0072008A"/>
    <w:rsid w:val="007202F5"/>
    <w:rsid w:val="007206B1"/>
    <w:rsid w:val="0072073D"/>
    <w:rsid w:val="007207CA"/>
    <w:rsid w:val="00720D49"/>
    <w:rsid w:val="0072105E"/>
    <w:rsid w:val="00721153"/>
    <w:rsid w:val="0072181C"/>
    <w:rsid w:val="00721C02"/>
    <w:rsid w:val="00721DF3"/>
    <w:rsid w:val="00721E59"/>
    <w:rsid w:val="007220A0"/>
    <w:rsid w:val="007222ED"/>
    <w:rsid w:val="00722589"/>
    <w:rsid w:val="0072299B"/>
    <w:rsid w:val="00722A4B"/>
    <w:rsid w:val="00722AB8"/>
    <w:rsid w:val="00722D70"/>
    <w:rsid w:val="00723421"/>
    <w:rsid w:val="00723560"/>
    <w:rsid w:val="00723705"/>
    <w:rsid w:val="00723C37"/>
    <w:rsid w:val="00723C40"/>
    <w:rsid w:val="00723F81"/>
    <w:rsid w:val="00724160"/>
    <w:rsid w:val="00724280"/>
    <w:rsid w:val="0072454E"/>
    <w:rsid w:val="007245F8"/>
    <w:rsid w:val="0072488F"/>
    <w:rsid w:val="007248BD"/>
    <w:rsid w:val="00724B9B"/>
    <w:rsid w:val="00724C3B"/>
    <w:rsid w:val="00724C68"/>
    <w:rsid w:val="00724E4B"/>
    <w:rsid w:val="00724EC3"/>
    <w:rsid w:val="00724F14"/>
    <w:rsid w:val="00725044"/>
    <w:rsid w:val="0072511D"/>
    <w:rsid w:val="0072524E"/>
    <w:rsid w:val="0072532F"/>
    <w:rsid w:val="0072564A"/>
    <w:rsid w:val="00725975"/>
    <w:rsid w:val="0072597B"/>
    <w:rsid w:val="00725B07"/>
    <w:rsid w:val="007262D2"/>
    <w:rsid w:val="007264B2"/>
    <w:rsid w:val="0072678B"/>
    <w:rsid w:val="007267F5"/>
    <w:rsid w:val="00726849"/>
    <w:rsid w:val="00726942"/>
    <w:rsid w:val="00726B36"/>
    <w:rsid w:val="00726BBF"/>
    <w:rsid w:val="00726F88"/>
    <w:rsid w:val="00727048"/>
    <w:rsid w:val="007270E5"/>
    <w:rsid w:val="00727418"/>
    <w:rsid w:val="007276F9"/>
    <w:rsid w:val="0072770A"/>
    <w:rsid w:val="00727722"/>
    <w:rsid w:val="007277EB"/>
    <w:rsid w:val="00727CA1"/>
    <w:rsid w:val="007301E9"/>
    <w:rsid w:val="007303E6"/>
    <w:rsid w:val="007305FC"/>
    <w:rsid w:val="00730D6F"/>
    <w:rsid w:val="0073102F"/>
    <w:rsid w:val="0073138B"/>
    <w:rsid w:val="0073140C"/>
    <w:rsid w:val="0073199B"/>
    <w:rsid w:val="00731E08"/>
    <w:rsid w:val="00732051"/>
    <w:rsid w:val="00732A3B"/>
    <w:rsid w:val="00732B35"/>
    <w:rsid w:val="00733EBA"/>
    <w:rsid w:val="0073400D"/>
    <w:rsid w:val="0073427B"/>
    <w:rsid w:val="0073506A"/>
    <w:rsid w:val="00735126"/>
    <w:rsid w:val="007357D3"/>
    <w:rsid w:val="0073598C"/>
    <w:rsid w:val="00736013"/>
    <w:rsid w:val="007360E4"/>
    <w:rsid w:val="007366CA"/>
    <w:rsid w:val="00736AB4"/>
    <w:rsid w:val="0073705D"/>
    <w:rsid w:val="007371C9"/>
    <w:rsid w:val="007372E9"/>
    <w:rsid w:val="00737907"/>
    <w:rsid w:val="00737BA3"/>
    <w:rsid w:val="00737C58"/>
    <w:rsid w:val="00740928"/>
    <w:rsid w:val="00740E52"/>
    <w:rsid w:val="0074151D"/>
    <w:rsid w:val="00741983"/>
    <w:rsid w:val="0074198E"/>
    <w:rsid w:val="00741A52"/>
    <w:rsid w:val="00741B8A"/>
    <w:rsid w:val="00741D9B"/>
    <w:rsid w:val="00741F5C"/>
    <w:rsid w:val="00741F62"/>
    <w:rsid w:val="00742082"/>
    <w:rsid w:val="0074213C"/>
    <w:rsid w:val="00742ABC"/>
    <w:rsid w:val="00743178"/>
    <w:rsid w:val="00743333"/>
    <w:rsid w:val="007433EF"/>
    <w:rsid w:val="007437B0"/>
    <w:rsid w:val="007437E2"/>
    <w:rsid w:val="007438FC"/>
    <w:rsid w:val="00743BC8"/>
    <w:rsid w:val="00743F5C"/>
    <w:rsid w:val="00743FF1"/>
    <w:rsid w:val="00744177"/>
    <w:rsid w:val="00744823"/>
    <w:rsid w:val="00744B93"/>
    <w:rsid w:val="007451F9"/>
    <w:rsid w:val="00745573"/>
    <w:rsid w:val="00745764"/>
    <w:rsid w:val="00745B95"/>
    <w:rsid w:val="00745EC0"/>
    <w:rsid w:val="0074640E"/>
    <w:rsid w:val="00746AF4"/>
    <w:rsid w:val="00746B62"/>
    <w:rsid w:val="007473BE"/>
    <w:rsid w:val="007475E9"/>
    <w:rsid w:val="007476E4"/>
    <w:rsid w:val="00747EB5"/>
    <w:rsid w:val="00750077"/>
    <w:rsid w:val="007503BF"/>
    <w:rsid w:val="007504F4"/>
    <w:rsid w:val="00750525"/>
    <w:rsid w:val="00750922"/>
    <w:rsid w:val="00750BC2"/>
    <w:rsid w:val="00750C97"/>
    <w:rsid w:val="00750DD4"/>
    <w:rsid w:val="007512F8"/>
    <w:rsid w:val="0075227D"/>
    <w:rsid w:val="007525C2"/>
    <w:rsid w:val="007527C4"/>
    <w:rsid w:val="007527D6"/>
    <w:rsid w:val="00752B0A"/>
    <w:rsid w:val="00752E7B"/>
    <w:rsid w:val="00752F88"/>
    <w:rsid w:val="0075395F"/>
    <w:rsid w:val="00754210"/>
    <w:rsid w:val="00754999"/>
    <w:rsid w:val="00754C36"/>
    <w:rsid w:val="00754E6F"/>
    <w:rsid w:val="00755002"/>
    <w:rsid w:val="0075555E"/>
    <w:rsid w:val="00755969"/>
    <w:rsid w:val="00755A96"/>
    <w:rsid w:val="00755B41"/>
    <w:rsid w:val="0075615D"/>
    <w:rsid w:val="00756451"/>
    <w:rsid w:val="007565D7"/>
    <w:rsid w:val="0075663B"/>
    <w:rsid w:val="0075685E"/>
    <w:rsid w:val="007568B8"/>
    <w:rsid w:val="00756CFB"/>
    <w:rsid w:val="00756DCC"/>
    <w:rsid w:val="00757048"/>
    <w:rsid w:val="0075707C"/>
    <w:rsid w:val="007572E9"/>
    <w:rsid w:val="0076014F"/>
    <w:rsid w:val="0076040B"/>
    <w:rsid w:val="00760A45"/>
    <w:rsid w:val="00761048"/>
    <w:rsid w:val="007615CC"/>
    <w:rsid w:val="007618F8"/>
    <w:rsid w:val="00761B23"/>
    <w:rsid w:val="00761C23"/>
    <w:rsid w:val="00761CF0"/>
    <w:rsid w:val="00761DD9"/>
    <w:rsid w:val="007620BC"/>
    <w:rsid w:val="007620C5"/>
    <w:rsid w:val="0076217A"/>
    <w:rsid w:val="00763372"/>
    <w:rsid w:val="0076372A"/>
    <w:rsid w:val="00763C23"/>
    <w:rsid w:val="00763C6C"/>
    <w:rsid w:val="00764281"/>
    <w:rsid w:val="007642C4"/>
    <w:rsid w:val="00764402"/>
    <w:rsid w:val="007644E3"/>
    <w:rsid w:val="0076490B"/>
    <w:rsid w:val="00764B28"/>
    <w:rsid w:val="00764C46"/>
    <w:rsid w:val="007650E7"/>
    <w:rsid w:val="007651A2"/>
    <w:rsid w:val="0076603D"/>
    <w:rsid w:val="00766743"/>
    <w:rsid w:val="00766E06"/>
    <w:rsid w:val="00766F66"/>
    <w:rsid w:val="007674B3"/>
    <w:rsid w:val="007674B9"/>
    <w:rsid w:val="00767823"/>
    <w:rsid w:val="00770533"/>
    <w:rsid w:val="00770AE5"/>
    <w:rsid w:val="00770E05"/>
    <w:rsid w:val="007715B3"/>
    <w:rsid w:val="0077166F"/>
    <w:rsid w:val="00771AEC"/>
    <w:rsid w:val="00771E96"/>
    <w:rsid w:val="0077256E"/>
    <w:rsid w:val="00772BD0"/>
    <w:rsid w:val="00772C03"/>
    <w:rsid w:val="00772E1E"/>
    <w:rsid w:val="00772FCF"/>
    <w:rsid w:val="00773095"/>
    <w:rsid w:val="00773600"/>
    <w:rsid w:val="007738CA"/>
    <w:rsid w:val="00774A46"/>
    <w:rsid w:val="00774AD5"/>
    <w:rsid w:val="00774B5E"/>
    <w:rsid w:val="00774B8F"/>
    <w:rsid w:val="00774EE4"/>
    <w:rsid w:val="007750A5"/>
    <w:rsid w:val="007756FC"/>
    <w:rsid w:val="00775E2E"/>
    <w:rsid w:val="00776AB7"/>
    <w:rsid w:val="00776E76"/>
    <w:rsid w:val="00776F76"/>
    <w:rsid w:val="0077744F"/>
    <w:rsid w:val="0077755F"/>
    <w:rsid w:val="007775F9"/>
    <w:rsid w:val="00777D47"/>
    <w:rsid w:val="00777ECD"/>
    <w:rsid w:val="007800CC"/>
    <w:rsid w:val="0078029F"/>
    <w:rsid w:val="00780C8A"/>
    <w:rsid w:val="0078121D"/>
    <w:rsid w:val="00781C68"/>
    <w:rsid w:val="00781C6F"/>
    <w:rsid w:val="00781CA8"/>
    <w:rsid w:val="007821E0"/>
    <w:rsid w:val="007823F1"/>
    <w:rsid w:val="00782590"/>
    <w:rsid w:val="007825DE"/>
    <w:rsid w:val="00782B6A"/>
    <w:rsid w:val="00782E87"/>
    <w:rsid w:val="007831BE"/>
    <w:rsid w:val="00783C25"/>
    <w:rsid w:val="007840D4"/>
    <w:rsid w:val="007840E3"/>
    <w:rsid w:val="00784A34"/>
    <w:rsid w:val="00784D30"/>
    <w:rsid w:val="00785394"/>
    <w:rsid w:val="00785458"/>
    <w:rsid w:val="00785459"/>
    <w:rsid w:val="007856A6"/>
    <w:rsid w:val="007858FF"/>
    <w:rsid w:val="0078590B"/>
    <w:rsid w:val="00785BF9"/>
    <w:rsid w:val="00785FEC"/>
    <w:rsid w:val="0078640B"/>
    <w:rsid w:val="0078648F"/>
    <w:rsid w:val="00787842"/>
    <w:rsid w:val="00790BB3"/>
    <w:rsid w:val="00790CEC"/>
    <w:rsid w:val="0079114E"/>
    <w:rsid w:val="00791283"/>
    <w:rsid w:val="007912E8"/>
    <w:rsid w:val="00791AA3"/>
    <w:rsid w:val="00791C22"/>
    <w:rsid w:val="00791DBC"/>
    <w:rsid w:val="00791DBD"/>
    <w:rsid w:val="0079203D"/>
    <w:rsid w:val="007920F6"/>
    <w:rsid w:val="00792886"/>
    <w:rsid w:val="00793190"/>
    <w:rsid w:val="00793300"/>
    <w:rsid w:val="007934C6"/>
    <w:rsid w:val="0079435D"/>
    <w:rsid w:val="00794527"/>
    <w:rsid w:val="00794B4A"/>
    <w:rsid w:val="00794E1C"/>
    <w:rsid w:val="00794FA3"/>
    <w:rsid w:val="00795E4A"/>
    <w:rsid w:val="00795FFF"/>
    <w:rsid w:val="00796385"/>
    <w:rsid w:val="00796E4D"/>
    <w:rsid w:val="007975E9"/>
    <w:rsid w:val="0079773A"/>
    <w:rsid w:val="00797B3F"/>
    <w:rsid w:val="00797B80"/>
    <w:rsid w:val="00797D2C"/>
    <w:rsid w:val="00797DD0"/>
    <w:rsid w:val="00797F3E"/>
    <w:rsid w:val="007A0125"/>
    <w:rsid w:val="007A02CC"/>
    <w:rsid w:val="007A08D0"/>
    <w:rsid w:val="007A0A0B"/>
    <w:rsid w:val="007A1043"/>
    <w:rsid w:val="007A133C"/>
    <w:rsid w:val="007A156A"/>
    <w:rsid w:val="007A1990"/>
    <w:rsid w:val="007A1AC4"/>
    <w:rsid w:val="007A1F4E"/>
    <w:rsid w:val="007A275C"/>
    <w:rsid w:val="007A2ACD"/>
    <w:rsid w:val="007A2EE8"/>
    <w:rsid w:val="007A3213"/>
    <w:rsid w:val="007A32F7"/>
    <w:rsid w:val="007A3329"/>
    <w:rsid w:val="007A42C8"/>
    <w:rsid w:val="007A4953"/>
    <w:rsid w:val="007A54BF"/>
    <w:rsid w:val="007A5A87"/>
    <w:rsid w:val="007A5C23"/>
    <w:rsid w:val="007A5EF3"/>
    <w:rsid w:val="007A6088"/>
    <w:rsid w:val="007A6194"/>
    <w:rsid w:val="007A644D"/>
    <w:rsid w:val="007A64E7"/>
    <w:rsid w:val="007A664C"/>
    <w:rsid w:val="007A6873"/>
    <w:rsid w:val="007A6A42"/>
    <w:rsid w:val="007A6C52"/>
    <w:rsid w:val="007A6CA5"/>
    <w:rsid w:val="007A728C"/>
    <w:rsid w:val="007A756A"/>
    <w:rsid w:val="007A7C73"/>
    <w:rsid w:val="007A7CB2"/>
    <w:rsid w:val="007A7F33"/>
    <w:rsid w:val="007B01E3"/>
    <w:rsid w:val="007B0354"/>
    <w:rsid w:val="007B0D18"/>
    <w:rsid w:val="007B121D"/>
    <w:rsid w:val="007B124F"/>
    <w:rsid w:val="007B1342"/>
    <w:rsid w:val="007B17AC"/>
    <w:rsid w:val="007B1CC3"/>
    <w:rsid w:val="007B22B4"/>
    <w:rsid w:val="007B254C"/>
    <w:rsid w:val="007B2A7D"/>
    <w:rsid w:val="007B2BB4"/>
    <w:rsid w:val="007B2FF7"/>
    <w:rsid w:val="007B329C"/>
    <w:rsid w:val="007B33DF"/>
    <w:rsid w:val="007B3814"/>
    <w:rsid w:val="007B3A0D"/>
    <w:rsid w:val="007B3B19"/>
    <w:rsid w:val="007B3E00"/>
    <w:rsid w:val="007B3E0C"/>
    <w:rsid w:val="007B3FF6"/>
    <w:rsid w:val="007B4140"/>
    <w:rsid w:val="007B4B7A"/>
    <w:rsid w:val="007B5261"/>
    <w:rsid w:val="007B52A5"/>
    <w:rsid w:val="007B5A11"/>
    <w:rsid w:val="007B5AF8"/>
    <w:rsid w:val="007B5B19"/>
    <w:rsid w:val="007B5B79"/>
    <w:rsid w:val="007B60F2"/>
    <w:rsid w:val="007B681A"/>
    <w:rsid w:val="007B6D6F"/>
    <w:rsid w:val="007B70BD"/>
    <w:rsid w:val="007B7311"/>
    <w:rsid w:val="007B76F3"/>
    <w:rsid w:val="007B778E"/>
    <w:rsid w:val="007B793B"/>
    <w:rsid w:val="007B7BFB"/>
    <w:rsid w:val="007C01A1"/>
    <w:rsid w:val="007C0629"/>
    <w:rsid w:val="007C08F6"/>
    <w:rsid w:val="007C0A88"/>
    <w:rsid w:val="007C0DCF"/>
    <w:rsid w:val="007C1321"/>
    <w:rsid w:val="007C1768"/>
    <w:rsid w:val="007C19D5"/>
    <w:rsid w:val="007C19DE"/>
    <w:rsid w:val="007C1B4E"/>
    <w:rsid w:val="007C2748"/>
    <w:rsid w:val="007C291B"/>
    <w:rsid w:val="007C2A9A"/>
    <w:rsid w:val="007C2F16"/>
    <w:rsid w:val="007C3018"/>
    <w:rsid w:val="007C3064"/>
    <w:rsid w:val="007C33B2"/>
    <w:rsid w:val="007C391B"/>
    <w:rsid w:val="007C3C85"/>
    <w:rsid w:val="007C3CF5"/>
    <w:rsid w:val="007C3DAA"/>
    <w:rsid w:val="007C3F66"/>
    <w:rsid w:val="007C3F88"/>
    <w:rsid w:val="007C4140"/>
    <w:rsid w:val="007C4739"/>
    <w:rsid w:val="007C499A"/>
    <w:rsid w:val="007C4D57"/>
    <w:rsid w:val="007C5555"/>
    <w:rsid w:val="007C57E7"/>
    <w:rsid w:val="007C5B8C"/>
    <w:rsid w:val="007C5C72"/>
    <w:rsid w:val="007C6207"/>
    <w:rsid w:val="007C7229"/>
    <w:rsid w:val="007C7D6B"/>
    <w:rsid w:val="007C7EC9"/>
    <w:rsid w:val="007D037D"/>
    <w:rsid w:val="007D0605"/>
    <w:rsid w:val="007D0A1B"/>
    <w:rsid w:val="007D0CD9"/>
    <w:rsid w:val="007D0D6F"/>
    <w:rsid w:val="007D0E2C"/>
    <w:rsid w:val="007D10EF"/>
    <w:rsid w:val="007D136F"/>
    <w:rsid w:val="007D186A"/>
    <w:rsid w:val="007D19B7"/>
    <w:rsid w:val="007D1A43"/>
    <w:rsid w:val="007D20C7"/>
    <w:rsid w:val="007D2330"/>
    <w:rsid w:val="007D2372"/>
    <w:rsid w:val="007D286D"/>
    <w:rsid w:val="007D2927"/>
    <w:rsid w:val="007D2AD0"/>
    <w:rsid w:val="007D2E1B"/>
    <w:rsid w:val="007D3BA2"/>
    <w:rsid w:val="007D3CDD"/>
    <w:rsid w:val="007D40C0"/>
    <w:rsid w:val="007D41D7"/>
    <w:rsid w:val="007D41F1"/>
    <w:rsid w:val="007D4B40"/>
    <w:rsid w:val="007D4E52"/>
    <w:rsid w:val="007D5060"/>
    <w:rsid w:val="007D594E"/>
    <w:rsid w:val="007D5F91"/>
    <w:rsid w:val="007D6090"/>
    <w:rsid w:val="007D636B"/>
    <w:rsid w:val="007D662C"/>
    <w:rsid w:val="007D6870"/>
    <w:rsid w:val="007D6A22"/>
    <w:rsid w:val="007D6C43"/>
    <w:rsid w:val="007D6E50"/>
    <w:rsid w:val="007D6F12"/>
    <w:rsid w:val="007D7018"/>
    <w:rsid w:val="007D7363"/>
    <w:rsid w:val="007D73BE"/>
    <w:rsid w:val="007D7587"/>
    <w:rsid w:val="007D7856"/>
    <w:rsid w:val="007D787B"/>
    <w:rsid w:val="007D7ADF"/>
    <w:rsid w:val="007D7FC2"/>
    <w:rsid w:val="007E002F"/>
    <w:rsid w:val="007E03D1"/>
    <w:rsid w:val="007E0D02"/>
    <w:rsid w:val="007E0E58"/>
    <w:rsid w:val="007E0E83"/>
    <w:rsid w:val="007E0E84"/>
    <w:rsid w:val="007E1341"/>
    <w:rsid w:val="007E1379"/>
    <w:rsid w:val="007E18BE"/>
    <w:rsid w:val="007E1C84"/>
    <w:rsid w:val="007E1C9E"/>
    <w:rsid w:val="007E20AA"/>
    <w:rsid w:val="007E2238"/>
    <w:rsid w:val="007E2846"/>
    <w:rsid w:val="007E2AC4"/>
    <w:rsid w:val="007E2CE2"/>
    <w:rsid w:val="007E2D17"/>
    <w:rsid w:val="007E3113"/>
    <w:rsid w:val="007E36F4"/>
    <w:rsid w:val="007E3A67"/>
    <w:rsid w:val="007E4286"/>
    <w:rsid w:val="007E4B96"/>
    <w:rsid w:val="007E4CA5"/>
    <w:rsid w:val="007E4FB5"/>
    <w:rsid w:val="007E54A8"/>
    <w:rsid w:val="007E62FD"/>
    <w:rsid w:val="007E6642"/>
    <w:rsid w:val="007E6880"/>
    <w:rsid w:val="007E69ED"/>
    <w:rsid w:val="007E7301"/>
    <w:rsid w:val="007E7816"/>
    <w:rsid w:val="007E79E1"/>
    <w:rsid w:val="007E79EE"/>
    <w:rsid w:val="007E7CE5"/>
    <w:rsid w:val="007E7F30"/>
    <w:rsid w:val="007F0082"/>
    <w:rsid w:val="007F029D"/>
    <w:rsid w:val="007F0AB1"/>
    <w:rsid w:val="007F1693"/>
    <w:rsid w:val="007F1701"/>
    <w:rsid w:val="007F1817"/>
    <w:rsid w:val="007F1941"/>
    <w:rsid w:val="007F1DBE"/>
    <w:rsid w:val="007F2364"/>
    <w:rsid w:val="007F256B"/>
    <w:rsid w:val="007F2656"/>
    <w:rsid w:val="007F2D6E"/>
    <w:rsid w:val="007F309D"/>
    <w:rsid w:val="007F356B"/>
    <w:rsid w:val="007F37D0"/>
    <w:rsid w:val="007F3977"/>
    <w:rsid w:val="007F3F40"/>
    <w:rsid w:val="007F409B"/>
    <w:rsid w:val="007F48AD"/>
    <w:rsid w:val="007F4A28"/>
    <w:rsid w:val="007F52BD"/>
    <w:rsid w:val="007F56AD"/>
    <w:rsid w:val="007F59B5"/>
    <w:rsid w:val="007F6318"/>
    <w:rsid w:val="007F655D"/>
    <w:rsid w:val="007F690F"/>
    <w:rsid w:val="007F7400"/>
    <w:rsid w:val="007F7EDD"/>
    <w:rsid w:val="00800203"/>
    <w:rsid w:val="0080082B"/>
    <w:rsid w:val="00800DA8"/>
    <w:rsid w:val="00801068"/>
    <w:rsid w:val="00801B69"/>
    <w:rsid w:val="00801D0D"/>
    <w:rsid w:val="008020E5"/>
    <w:rsid w:val="0080271F"/>
    <w:rsid w:val="0080291D"/>
    <w:rsid w:val="00802996"/>
    <w:rsid w:val="008035B9"/>
    <w:rsid w:val="00803684"/>
    <w:rsid w:val="008041A6"/>
    <w:rsid w:val="008042C9"/>
    <w:rsid w:val="0080449E"/>
    <w:rsid w:val="0080451F"/>
    <w:rsid w:val="00804592"/>
    <w:rsid w:val="0080496E"/>
    <w:rsid w:val="008051ED"/>
    <w:rsid w:val="008055D2"/>
    <w:rsid w:val="00806123"/>
    <w:rsid w:val="00806142"/>
    <w:rsid w:val="00806538"/>
    <w:rsid w:val="00806566"/>
    <w:rsid w:val="008065EA"/>
    <w:rsid w:val="0080695D"/>
    <w:rsid w:val="00806A22"/>
    <w:rsid w:val="00807579"/>
    <w:rsid w:val="00807616"/>
    <w:rsid w:val="00807A7A"/>
    <w:rsid w:val="00807ACF"/>
    <w:rsid w:val="00810392"/>
    <w:rsid w:val="00810691"/>
    <w:rsid w:val="008108FD"/>
    <w:rsid w:val="008109AF"/>
    <w:rsid w:val="00810CAE"/>
    <w:rsid w:val="00811078"/>
    <w:rsid w:val="008110EF"/>
    <w:rsid w:val="008116D1"/>
    <w:rsid w:val="008116F6"/>
    <w:rsid w:val="008119C6"/>
    <w:rsid w:val="00811DEE"/>
    <w:rsid w:val="00811F37"/>
    <w:rsid w:val="00812744"/>
    <w:rsid w:val="008127F3"/>
    <w:rsid w:val="00812AA4"/>
    <w:rsid w:val="00812ADD"/>
    <w:rsid w:val="008130E1"/>
    <w:rsid w:val="008134B7"/>
    <w:rsid w:val="0081377B"/>
    <w:rsid w:val="0081390D"/>
    <w:rsid w:val="00813A8E"/>
    <w:rsid w:val="00813AA6"/>
    <w:rsid w:val="00813FEB"/>
    <w:rsid w:val="00814AB4"/>
    <w:rsid w:val="00815BF9"/>
    <w:rsid w:val="00815C23"/>
    <w:rsid w:val="00815F15"/>
    <w:rsid w:val="00815F43"/>
    <w:rsid w:val="00816050"/>
    <w:rsid w:val="00816171"/>
    <w:rsid w:val="008162CD"/>
    <w:rsid w:val="00816575"/>
    <w:rsid w:val="008165B6"/>
    <w:rsid w:val="00816994"/>
    <w:rsid w:val="00816E7E"/>
    <w:rsid w:val="008173EA"/>
    <w:rsid w:val="00817771"/>
    <w:rsid w:val="00817ADC"/>
    <w:rsid w:val="00817C96"/>
    <w:rsid w:val="00817E9B"/>
    <w:rsid w:val="00817EEF"/>
    <w:rsid w:val="0082010E"/>
    <w:rsid w:val="008204AF"/>
    <w:rsid w:val="0082089F"/>
    <w:rsid w:val="00820B62"/>
    <w:rsid w:val="00820D4A"/>
    <w:rsid w:val="00820E55"/>
    <w:rsid w:val="00820FCF"/>
    <w:rsid w:val="0082140A"/>
    <w:rsid w:val="00821ED5"/>
    <w:rsid w:val="00822319"/>
    <w:rsid w:val="008229C5"/>
    <w:rsid w:val="00822D06"/>
    <w:rsid w:val="00822EF4"/>
    <w:rsid w:val="00823108"/>
    <w:rsid w:val="008238ED"/>
    <w:rsid w:val="00823E47"/>
    <w:rsid w:val="00823F93"/>
    <w:rsid w:val="00824241"/>
    <w:rsid w:val="00824618"/>
    <w:rsid w:val="00824A6C"/>
    <w:rsid w:val="00824F02"/>
    <w:rsid w:val="00825354"/>
    <w:rsid w:val="00825848"/>
    <w:rsid w:val="00825B12"/>
    <w:rsid w:val="0082649C"/>
    <w:rsid w:val="00826A67"/>
    <w:rsid w:val="00826B91"/>
    <w:rsid w:val="00826D78"/>
    <w:rsid w:val="00826DF1"/>
    <w:rsid w:val="008270E5"/>
    <w:rsid w:val="00827107"/>
    <w:rsid w:val="008272D2"/>
    <w:rsid w:val="00827413"/>
    <w:rsid w:val="00827E3F"/>
    <w:rsid w:val="00830B0C"/>
    <w:rsid w:val="008310FD"/>
    <w:rsid w:val="00831514"/>
    <w:rsid w:val="00831A5F"/>
    <w:rsid w:val="00832283"/>
    <w:rsid w:val="00832710"/>
    <w:rsid w:val="00832757"/>
    <w:rsid w:val="00832E70"/>
    <w:rsid w:val="00832E9A"/>
    <w:rsid w:val="00833080"/>
    <w:rsid w:val="0083333E"/>
    <w:rsid w:val="00833453"/>
    <w:rsid w:val="00833A11"/>
    <w:rsid w:val="00833A44"/>
    <w:rsid w:val="00833B96"/>
    <w:rsid w:val="00833E8E"/>
    <w:rsid w:val="008345D7"/>
    <w:rsid w:val="00834640"/>
    <w:rsid w:val="00834648"/>
    <w:rsid w:val="0083493B"/>
    <w:rsid w:val="00834AD4"/>
    <w:rsid w:val="008353A7"/>
    <w:rsid w:val="00835402"/>
    <w:rsid w:val="00835DFB"/>
    <w:rsid w:val="00835E3A"/>
    <w:rsid w:val="00836182"/>
    <w:rsid w:val="008366ED"/>
    <w:rsid w:val="0083684B"/>
    <w:rsid w:val="00836DA1"/>
    <w:rsid w:val="008370A8"/>
    <w:rsid w:val="00837500"/>
    <w:rsid w:val="00837595"/>
    <w:rsid w:val="008375A2"/>
    <w:rsid w:val="008379CC"/>
    <w:rsid w:val="00837A45"/>
    <w:rsid w:val="00837CE0"/>
    <w:rsid w:val="0084048E"/>
    <w:rsid w:val="00840A02"/>
    <w:rsid w:val="00840D0E"/>
    <w:rsid w:val="00840D9D"/>
    <w:rsid w:val="008413B5"/>
    <w:rsid w:val="00841F21"/>
    <w:rsid w:val="008425DB"/>
    <w:rsid w:val="00842995"/>
    <w:rsid w:val="00842FB4"/>
    <w:rsid w:val="008430ED"/>
    <w:rsid w:val="008431FD"/>
    <w:rsid w:val="00843431"/>
    <w:rsid w:val="00843AAE"/>
    <w:rsid w:val="00843C8B"/>
    <w:rsid w:val="00843DEE"/>
    <w:rsid w:val="00844331"/>
    <w:rsid w:val="008443CE"/>
    <w:rsid w:val="00844520"/>
    <w:rsid w:val="00844DEF"/>
    <w:rsid w:val="00844DF0"/>
    <w:rsid w:val="00844E10"/>
    <w:rsid w:val="008451F9"/>
    <w:rsid w:val="0084543F"/>
    <w:rsid w:val="00845692"/>
    <w:rsid w:val="0084575B"/>
    <w:rsid w:val="00845B40"/>
    <w:rsid w:val="00845BD9"/>
    <w:rsid w:val="00845C54"/>
    <w:rsid w:val="00845E36"/>
    <w:rsid w:val="0084620B"/>
    <w:rsid w:val="00846327"/>
    <w:rsid w:val="0084669E"/>
    <w:rsid w:val="00846808"/>
    <w:rsid w:val="00846BD2"/>
    <w:rsid w:val="008470EE"/>
    <w:rsid w:val="008473AA"/>
    <w:rsid w:val="00847979"/>
    <w:rsid w:val="00847A91"/>
    <w:rsid w:val="00847C06"/>
    <w:rsid w:val="00847F9F"/>
    <w:rsid w:val="008506A7"/>
    <w:rsid w:val="008508C9"/>
    <w:rsid w:val="00850A96"/>
    <w:rsid w:val="00850E84"/>
    <w:rsid w:val="00851A0C"/>
    <w:rsid w:val="00851ADD"/>
    <w:rsid w:val="00852047"/>
    <w:rsid w:val="00852053"/>
    <w:rsid w:val="00852317"/>
    <w:rsid w:val="00852694"/>
    <w:rsid w:val="00852A01"/>
    <w:rsid w:val="00852C5F"/>
    <w:rsid w:val="00852CB9"/>
    <w:rsid w:val="00852E03"/>
    <w:rsid w:val="0085337C"/>
    <w:rsid w:val="008533F0"/>
    <w:rsid w:val="00853CE2"/>
    <w:rsid w:val="00853F40"/>
    <w:rsid w:val="00853FBE"/>
    <w:rsid w:val="0085408F"/>
    <w:rsid w:val="0085484F"/>
    <w:rsid w:val="00854A50"/>
    <w:rsid w:val="00854E35"/>
    <w:rsid w:val="00855739"/>
    <w:rsid w:val="00855990"/>
    <w:rsid w:val="00855F6B"/>
    <w:rsid w:val="0085632B"/>
    <w:rsid w:val="0085637F"/>
    <w:rsid w:val="008563DC"/>
    <w:rsid w:val="00856974"/>
    <w:rsid w:val="00856BC3"/>
    <w:rsid w:val="00856E32"/>
    <w:rsid w:val="0085722A"/>
    <w:rsid w:val="00857331"/>
    <w:rsid w:val="00857348"/>
    <w:rsid w:val="0085770A"/>
    <w:rsid w:val="00857840"/>
    <w:rsid w:val="0085796E"/>
    <w:rsid w:val="00857B0D"/>
    <w:rsid w:val="00857C09"/>
    <w:rsid w:val="00857CC1"/>
    <w:rsid w:val="00857D5B"/>
    <w:rsid w:val="00857FB8"/>
    <w:rsid w:val="00857FC7"/>
    <w:rsid w:val="008600E8"/>
    <w:rsid w:val="00860490"/>
    <w:rsid w:val="0086084F"/>
    <w:rsid w:val="008609DC"/>
    <w:rsid w:val="00861C3E"/>
    <w:rsid w:val="00861D8C"/>
    <w:rsid w:val="00861E5E"/>
    <w:rsid w:val="0086257C"/>
    <w:rsid w:val="00862610"/>
    <w:rsid w:val="00862BA3"/>
    <w:rsid w:val="00863243"/>
    <w:rsid w:val="008632C0"/>
    <w:rsid w:val="00863775"/>
    <w:rsid w:val="008647FC"/>
    <w:rsid w:val="008648E8"/>
    <w:rsid w:val="008654C5"/>
    <w:rsid w:val="008654CE"/>
    <w:rsid w:val="008657D5"/>
    <w:rsid w:val="00865914"/>
    <w:rsid w:val="008659B9"/>
    <w:rsid w:val="008659E8"/>
    <w:rsid w:val="00865B0B"/>
    <w:rsid w:val="00865B13"/>
    <w:rsid w:val="00865D34"/>
    <w:rsid w:val="0086625A"/>
    <w:rsid w:val="0086657B"/>
    <w:rsid w:val="00866586"/>
    <w:rsid w:val="008665C2"/>
    <w:rsid w:val="00866932"/>
    <w:rsid w:val="008670DD"/>
    <w:rsid w:val="0086722F"/>
    <w:rsid w:val="00867370"/>
    <w:rsid w:val="008674A7"/>
    <w:rsid w:val="0086769C"/>
    <w:rsid w:val="00867927"/>
    <w:rsid w:val="00867C4D"/>
    <w:rsid w:val="00867C84"/>
    <w:rsid w:val="00867ED4"/>
    <w:rsid w:val="00870933"/>
    <w:rsid w:val="00870BC1"/>
    <w:rsid w:val="008710C6"/>
    <w:rsid w:val="00871117"/>
    <w:rsid w:val="008715BE"/>
    <w:rsid w:val="0087163E"/>
    <w:rsid w:val="0087188D"/>
    <w:rsid w:val="00871A5C"/>
    <w:rsid w:val="00871B8D"/>
    <w:rsid w:val="00871B92"/>
    <w:rsid w:val="008725C0"/>
    <w:rsid w:val="00872A65"/>
    <w:rsid w:val="00872DB3"/>
    <w:rsid w:val="008731A2"/>
    <w:rsid w:val="008733FD"/>
    <w:rsid w:val="0087347B"/>
    <w:rsid w:val="00873541"/>
    <w:rsid w:val="0087361D"/>
    <w:rsid w:val="00873876"/>
    <w:rsid w:val="00873C02"/>
    <w:rsid w:val="00874243"/>
    <w:rsid w:val="008742BC"/>
    <w:rsid w:val="00874463"/>
    <w:rsid w:val="00874980"/>
    <w:rsid w:val="00874C97"/>
    <w:rsid w:val="00874FF9"/>
    <w:rsid w:val="008752B8"/>
    <w:rsid w:val="0087542A"/>
    <w:rsid w:val="008754CD"/>
    <w:rsid w:val="0087577E"/>
    <w:rsid w:val="00875C52"/>
    <w:rsid w:val="00875D4E"/>
    <w:rsid w:val="00875F1D"/>
    <w:rsid w:val="0087664E"/>
    <w:rsid w:val="00876A11"/>
    <w:rsid w:val="00876AB0"/>
    <w:rsid w:val="00876CD6"/>
    <w:rsid w:val="00877476"/>
    <w:rsid w:val="00877822"/>
    <w:rsid w:val="00877969"/>
    <w:rsid w:val="00877A83"/>
    <w:rsid w:val="00877DFA"/>
    <w:rsid w:val="00880198"/>
    <w:rsid w:val="008801EB"/>
    <w:rsid w:val="00880DE1"/>
    <w:rsid w:val="008810DB"/>
    <w:rsid w:val="00881D13"/>
    <w:rsid w:val="00882189"/>
    <w:rsid w:val="00882627"/>
    <w:rsid w:val="00882681"/>
    <w:rsid w:val="00882913"/>
    <w:rsid w:val="00882C2B"/>
    <w:rsid w:val="00882EBA"/>
    <w:rsid w:val="00882F8F"/>
    <w:rsid w:val="008830A3"/>
    <w:rsid w:val="008831ED"/>
    <w:rsid w:val="00883272"/>
    <w:rsid w:val="0088392C"/>
    <w:rsid w:val="00883E28"/>
    <w:rsid w:val="008840DD"/>
    <w:rsid w:val="00884190"/>
    <w:rsid w:val="0088479D"/>
    <w:rsid w:val="008849E8"/>
    <w:rsid w:val="00884BC6"/>
    <w:rsid w:val="00884CD6"/>
    <w:rsid w:val="008852FE"/>
    <w:rsid w:val="00885358"/>
    <w:rsid w:val="008853FD"/>
    <w:rsid w:val="00885B10"/>
    <w:rsid w:val="00885CB2"/>
    <w:rsid w:val="0088627A"/>
    <w:rsid w:val="00886517"/>
    <w:rsid w:val="0088654B"/>
    <w:rsid w:val="00886F44"/>
    <w:rsid w:val="008870B0"/>
    <w:rsid w:val="0088718C"/>
    <w:rsid w:val="00887663"/>
    <w:rsid w:val="00887953"/>
    <w:rsid w:val="00887ADE"/>
    <w:rsid w:val="00887B23"/>
    <w:rsid w:val="00887FA7"/>
    <w:rsid w:val="0089011C"/>
    <w:rsid w:val="0089013F"/>
    <w:rsid w:val="008901D1"/>
    <w:rsid w:val="00890558"/>
    <w:rsid w:val="00890A9E"/>
    <w:rsid w:val="00890B73"/>
    <w:rsid w:val="00891B6B"/>
    <w:rsid w:val="00891BE1"/>
    <w:rsid w:val="00891E20"/>
    <w:rsid w:val="00892369"/>
    <w:rsid w:val="00892924"/>
    <w:rsid w:val="00892D7A"/>
    <w:rsid w:val="00893EFE"/>
    <w:rsid w:val="008940C1"/>
    <w:rsid w:val="00894443"/>
    <w:rsid w:val="00894962"/>
    <w:rsid w:val="008955AD"/>
    <w:rsid w:val="00895ABC"/>
    <w:rsid w:val="008963F6"/>
    <w:rsid w:val="00896515"/>
    <w:rsid w:val="0089652D"/>
    <w:rsid w:val="008966AD"/>
    <w:rsid w:val="00896E4B"/>
    <w:rsid w:val="008972E5"/>
    <w:rsid w:val="0089744F"/>
    <w:rsid w:val="00897C39"/>
    <w:rsid w:val="00897C8B"/>
    <w:rsid w:val="008A0005"/>
    <w:rsid w:val="008A0193"/>
    <w:rsid w:val="008A0326"/>
    <w:rsid w:val="008A06F2"/>
    <w:rsid w:val="008A08B6"/>
    <w:rsid w:val="008A08ED"/>
    <w:rsid w:val="008A0970"/>
    <w:rsid w:val="008A0AED"/>
    <w:rsid w:val="008A0D4B"/>
    <w:rsid w:val="008A0D95"/>
    <w:rsid w:val="008A0E09"/>
    <w:rsid w:val="008A0E34"/>
    <w:rsid w:val="008A102D"/>
    <w:rsid w:val="008A109C"/>
    <w:rsid w:val="008A13D4"/>
    <w:rsid w:val="008A14F8"/>
    <w:rsid w:val="008A19E9"/>
    <w:rsid w:val="008A1B43"/>
    <w:rsid w:val="008A1C3D"/>
    <w:rsid w:val="008A1F35"/>
    <w:rsid w:val="008A1FF4"/>
    <w:rsid w:val="008A22B9"/>
    <w:rsid w:val="008A2A8E"/>
    <w:rsid w:val="008A2EC7"/>
    <w:rsid w:val="008A3151"/>
    <w:rsid w:val="008A3821"/>
    <w:rsid w:val="008A412A"/>
    <w:rsid w:val="008A42B0"/>
    <w:rsid w:val="008A4877"/>
    <w:rsid w:val="008A4A10"/>
    <w:rsid w:val="008A4ADC"/>
    <w:rsid w:val="008A4F1C"/>
    <w:rsid w:val="008A5383"/>
    <w:rsid w:val="008A54F6"/>
    <w:rsid w:val="008A55E4"/>
    <w:rsid w:val="008A57CE"/>
    <w:rsid w:val="008A5B79"/>
    <w:rsid w:val="008A6090"/>
    <w:rsid w:val="008A63E0"/>
    <w:rsid w:val="008A652B"/>
    <w:rsid w:val="008A6D96"/>
    <w:rsid w:val="008A711C"/>
    <w:rsid w:val="008A71F5"/>
    <w:rsid w:val="008A7404"/>
    <w:rsid w:val="008A744D"/>
    <w:rsid w:val="008A7900"/>
    <w:rsid w:val="008A7C26"/>
    <w:rsid w:val="008B0085"/>
    <w:rsid w:val="008B03F4"/>
    <w:rsid w:val="008B0A66"/>
    <w:rsid w:val="008B0C54"/>
    <w:rsid w:val="008B0D64"/>
    <w:rsid w:val="008B0DDF"/>
    <w:rsid w:val="008B1625"/>
    <w:rsid w:val="008B186D"/>
    <w:rsid w:val="008B18EA"/>
    <w:rsid w:val="008B22A4"/>
    <w:rsid w:val="008B2861"/>
    <w:rsid w:val="008B2A4E"/>
    <w:rsid w:val="008B2BF5"/>
    <w:rsid w:val="008B2CC3"/>
    <w:rsid w:val="008B2CDE"/>
    <w:rsid w:val="008B2FFE"/>
    <w:rsid w:val="008B322A"/>
    <w:rsid w:val="008B33CB"/>
    <w:rsid w:val="008B344D"/>
    <w:rsid w:val="008B386F"/>
    <w:rsid w:val="008B3C9F"/>
    <w:rsid w:val="008B3E9B"/>
    <w:rsid w:val="008B43F7"/>
    <w:rsid w:val="008B48DE"/>
    <w:rsid w:val="008B4A9B"/>
    <w:rsid w:val="008B4F54"/>
    <w:rsid w:val="008B56C0"/>
    <w:rsid w:val="008B5708"/>
    <w:rsid w:val="008B57BE"/>
    <w:rsid w:val="008B59B5"/>
    <w:rsid w:val="008B5C5D"/>
    <w:rsid w:val="008B6590"/>
    <w:rsid w:val="008B67D2"/>
    <w:rsid w:val="008B6823"/>
    <w:rsid w:val="008B687A"/>
    <w:rsid w:val="008B6AEB"/>
    <w:rsid w:val="008B6D00"/>
    <w:rsid w:val="008B6DB2"/>
    <w:rsid w:val="008B6F33"/>
    <w:rsid w:val="008B6FBD"/>
    <w:rsid w:val="008B728A"/>
    <w:rsid w:val="008B75E6"/>
    <w:rsid w:val="008B77A5"/>
    <w:rsid w:val="008B77CE"/>
    <w:rsid w:val="008B798C"/>
    <w:rsid w:val="008B79E1"/>
    <w:rsid w:val="008B7C42"/>
    <w:rsid w:val="008B7E14"/>
    <w:rsid w:val="008B7ED0"/>
    <w:rsid w:val="008C024C"/>
    <w:rsid w:val="008C0B51"/>
    <w:rsid w:val="008C0D01"/>
    <w:rsid w:val="008C0ECA"/>
    <w:rsid w:val="008C117C"/>
    <w:rsid w:val="008C1283"/>
    <w:rsid w:val="008C16FE"/>
    <w:rsid w:val="008C179B"/>
    <w:rsid w:val="008C1A6F"/>
    <w:rsid w:val="008C1B4A"/>
    <w:rsid w:val="008C1B6A"/>
    <w:rsid w:val="008C1C66"/>
    <w:rsid w:val="008C1E57"/>
    <w:rsid w:val="008C2180"/>
    <w:rsid w:val="008C2535"/>
    <w:rsid w:val="008C27CA"/>
    <w:rsid w:val="008C2B3B"/>
    <w:rsid w:val="008C3351"/>
    <w:rsid w:val="008C3503"/>
    <w:rsid w:val="008C35C7"/>
    <w:rsid w:val="008C3896"/>
    <w:rsid w:val="008C3A3B"/>
    <w:rsid w:val="008C3BDC"/>
    <w:rsid w:val="008C4007"/>
    <w:rsid w:val="008C434C"/>
    <w:rsid w:val="008C4C98"/>
    <w:rsid w:val="008C4D00"/>
    <w:rsid w:val="008C4E02"/>
    <w:rsid w:val="008C5059"/>
    <w:rsid w:val="008C535C"/>
    <w:rsid w:val="008C53DC"/>
    <w:rsid w:val="008C5D5A"/>
    <w:rsid w:val="008C5E8F"/>
    <w:rsid w:val="008C6786"/>
    <w:rsid w:val="008C6E70"/>
    <w:rsid w:val="008C7B72"/>
    <w:rsid w:val="008D04B3"/>
    <w:rsid w:val="008D04BE"/>
    <w:rsid w:val="008D074A"/>
    <w:rsid w:val="008D0A83"/>
    <w:rsid w:val="008D0FE4"/>
    <w:rsid w:val="008D0FE7"/>
    <w:rsid w:val="008D1064"/>
    <w:rsid w:val="008D10C0"/>
    <w:rsid w:val="008D16AB"/>
    <w:rsid w:val="008D16E1"/>
    <w:rsid w:val="008D1A1B"/>
    <w:rsid w:val="008D1AF8"/>
    <w:rsid w:val="008D1B49"/>
    <w:rsid w:val="008D1B98"/>
    <w:rsid w:val="008D1E17"/>
    <w:rsid w:val="008D1E61"/>
    <w:rsid w:val="008D1EFA"/>
    <w:rsid w:val="008D242E"/>
    <w:rsid w:val="008D2801"/>
    <w:rsid w:val="008D292A"/>
    <w:rsid w:val="008D294A"/>
    <w:rsid w:val="008D3036"/>
    <w:rsid w:val="008D3040"/>
    <w:rsid w:val="008D3386"/>
    <w:rsid w:val="008D359B"/>
    <w:rsid w:val="008D38B4"/>
    <w:rsid w:val="008D3B0B"/>
    <w:rsid w:val="008D4123"/>
    <w:rsid w:val="008D451E"/>
    <w:rsid w:val="008D46F9"/>
    <w:rsid w:val="008D47D0"/>
    <w:rsid w:val="008D4910"/>
    <w:rsid w:val="008D4EA8"/>
    <w:rsid w:val="008D4F40"/>
    <w:rsid w:val="008D4FC3"/>
    <w:rsid w:val="008D5030"/>
    <w:rsid w:val="008D50D6"/>
    <w:rsid w:val="008D57D0"/>
    <w:rsid w:val="008D58BB"/>
    <w:rsid w:val="008D5D18"/>
    <w:rsid w:val="008D5D5A"/>
    <w:rsid w:val="008D5E4B"/>
    <w:rsid w:val="008D6299"/>
    <w:rsid w:val="008D6341"/>
    <w:rsid w:val="008D69EC"/>
    <w:rsid w:val="008D752C"/>
    <w:rsid w:val="008D7679"/>
    <w:rsid w:val="008D77D4"/>
    <w:rsid w:val="008D7B78"/>
    <w:rsid w:val="008D7C93"/>
    <w:rsid w:val="008E0866"/>
    <w:rsid w:val="008E10FF"/>
    <w:rsid w:val="008E1200"/>
    <w:rsid w:val="008E121C"/>
    <w:rsid w:val="008E12D8"/>
    <w:rsid w:val="008E1856"/>
    <w:rsid w:val="008E1F43"/>
    <w:rsid w:val="008E20F6"/>
    <w:rsid w:val="008E2930"/>
    <w:rsid w:val="008E293E"/>
    <w:rsid w:val="008E2949"/>
    <w:rsid w:val="008E29B9"/>
    <w:rsid w:val="008E2ADB"/>
    <w:rsid w:val="008E2BA2"/>
    <w:rsid w:val="008E2BF4"/>
    <w:rsid w:val="008E2FA8"/>
    <w:rsid w:val="008E3274"/>
    <w:rsid w:val="008E32C5"/>
    <w:rsid w:val="008E3625"/>
    <w:rsid w:val="008E3A67"/>
    <w:rsid w:val="008E3FDB"/>
    <w:rsid w:val="008E44C5"/>
    <w:rsid w:val="008E4FE8"/>
    <w:rsid w:val="008E5160"/>
    <w:rsid w:val="008E5379"/>
    <w:rsid w:val="008E5438"/>
    <w:rsid w:val="008E5838"/>
    <w:rsid w:val="008E5920"/>
    <w:rsid w:val="008E5E4B"/>
    <w:rsid w:val="008E71B1"/>
    <w:rsid w:val="008E79E1"/>
    <w:rsid w:val="008E7D54"/>
    <w:rsid w:val="008E7DAB"/>
    <w:rsid w:val="008E7FD5"/>
    <w:rsid w:val="008F029B"/>
    <w:rsid w:val="008F03AD"/>
    <w:rsid w:val="008F0AA1"/>
    <w:rsid w:val="008F106D"/>
    <w:rsid w:val="008F152E"/>
    <w:rsid w:val="008F1F4C"/>
    <w:rsid w:val="008F21B8"/>
    <w:rsid w:val="008F22B8"/>
    <w:rsid w:val="008F2583"/>
    <w:rsid w:val="008F2793"/>
    <w:rsid w:val="008F2CB9"/>
    <w:rsid w:val="008F3192"/>
    <w:rsid w:val="008F3525"/>
    <w:rsid w:val="008F37FC"/>
    <w:rsid w:val="008F3C01"/>
    <w:rsid w:val="008F3CE2"/>
    <w:rsid w:val="008F3F78"/>
    <w:rsid w:val="008F4C85"/>
    <w:rsid w:val="008F4E41"/>
    <w:rsid w:val="008F50D1"/>
    <w:rsid w:val="008F5602"/>
    <w:rsid w:val="008F564B"/>
    <w:rsid w:val="008F59E1"/>
    <w:rsid w:val="008F5EA4"/>
    <w:rsid w:val="008F60AD"/>
    <w:rsid w:val="008F61FC"/>
    <w:rsid w:val="008F63DC"/>
    <w:rsid w:val="008F6524"/>
    <w:rsid w:val="008F6798"/>
    <w:rsid w:val="008F69CE"/>
    <w:rsid w:val="008F6C3F"/>
    <w:rsid w:val="008F6ED0"/>
    <w:rsid w:val="008F79F5"/>
    <w:rsid w:val="008F7B17"/>
    <w:rsid w:val="008F7B26"/>
    <w:rsid w:val="0090010F"/>
    <w:rsid w:val="009005F8"/>
    <w:rsid w:val="00900A0E"/>
    <w:rsid w:val="00900D53"/>
    <w:rsid w:val="00900FE0"/>
    <w:rsid w:val="009011A7"/>
    <w:rsid w:val="009012C8"/>
    <w:rsid w:val="00901555"/>
    <w:rsid w:val="0090187E"/>
    <w:rsid w:val="00901A09"/>
    <w:rsid w:val="00901A18"/>
    <w:rsid w:val="00902766"/>
    <w:rsid w:val="009027C7"/>
    <w:rsid w:val="009027EF"/>
    <w:rsid w:val="00903244"/>
    <w:rsid w:val="00903316"/>
    <w:rsid w:val="00903750"/>
    <w:rsid w:val="0090394A"/>
    <w:rsid w:val="00903D27"/>
    <w:rsid w:val="00903DFC"/>
    <w:rsid w:val="00903F8F"/>
    <w:rsid w:val="009043CA"/>
    <w:rsid w:val="009043D1"/>
    <w:rsid w:val="009044E8"/>
    <w:rsid w:val="00904896"/>
    <w:rsid w:val="00904972"/>
    <w:rsid w:val="00904EE7"/>
    <w:rsid w:val="00905E0D"/>
    <w:rsid w:val="0090610C"/>
    <w:rsid w:val="00907445"/>
    <w:rsid w:val="00907469"/>
    <w:rsid w:val="00907BF0"/>
    <w:rsid w:val="009101AC"/>
    <w:rsid w:val="009101BD"/>
    <w:rsid w:val="0091030C"/>
    <w:rsid w:val="00910845"/>
    <w:rsid w:val="009108F9"/>
    <w:rsid w:val="00910B6B"/>
    <w:rsid w:val="00910E92"/>
    <w:rsid w:val="00911165"/>
    <w:rsid w:val="009112A7"/>
    <w:rsid w:val="0091151D"/>
    <w:rsid w:val="0091178E"/>
    <w:rsid w:val="00911F5D"/>
    <w:rsid w:val="00911FEB"/>
    <w:rsid w:val="0091222F"/>
    <w:rsid w:val="00912235"/>
    <w:rsid w:val="009124F9"/>
    <w:rsid w:val="00912A2A"/>
    <w:rsid w:val="00912B74"/>
    <w:rsid w:val="00912CE6"/>
    <w:rsid w:val="00912FA6"/>
    <w:rsid w:val="009135FD"/>
    <w:rsid w:val="00913639"/>
    <w:rsid w:val="009139EA"/>
    <w:rsid w:val="00913A07"/>
    <w:rsid w:val="009142F6"/>
    <w:rsid w:val="00914721"/>
    <w:rsid w:val="00914EF7"/>
    <w:rsid w:val="00915599"/>
    <w:rsid w:val="00915D2B"/>
    <w:rsid w:val="00916106"/>
    <w:rsid w:val="0091644B"/>
    <w:rsid w:val="00916513"/>
    <w:rsid w:val="00916AB3"/>
    <w:rsid w:val="00917023"/>
    <w:rsid w:val="009170BA"/>
    <w:rsid w:val="00917283"/>
    <w:rsid w:val="0091746B"/>
    <w:rsid w:val="009176FD"/>
    <w:rsid w:val="00917AD7"/>
    <w:rsid w:val="00917CB5"/>
    <w:rsid w:val="00917D58"/>
    <w:rsid w:val="009200D1"/>
    <w:rsid w:val="009203F2"/>
    <w:rsid w:val="009206BA"/>
    <w:rsid w:val="0092091D"/>
    <w:rsid w:val="0092099F"/>
    <w:rsid w:val="00920B99"/>
    <w:rsid w:val="0092167A"/>
    <w:rsid w:val="00921871"/>
    <w:rsid w:val="00921C83"/>
    <w:rsid w:val="00921D02"/>
    <w:rsid w:val="00922245"/>
    <w:rsid w:val="009223FC"/>
    <w:rsid w:val="00922499"/>
    <w:rsid w:val="00922DD5"/>
    <w:rsid w:val="009231AD"/>
    <w:rsid w:val="0092329C"/>
    <w:rsid w:val="0092372D"/>
    <w:rsid w:val="0092415A"/>
    <w:rsid w:val="00924761"/>
    <w:rsid w:val="0092492A"/>
    <w:rsid w:val="00924946"/>
    <w:rsid w:val="009249E1"/>
    <w:rsid w:val="00924BA5"/>
    <w:rsid w:val="00924C08"/>
    <w:rsid w:val="00924EFB"/>
    <w:rsid w:val="009250F5"/>
    <w:rsid w:val="009254B6"/>
    <w:rsid w:val="00925931"/>
    <w:rsid w:val="00926193"/>
    <w:rsid w:val="00926239"/>
    <w:rsid w:val="00926CF7"/>
    <w:rsid w:val="00926FB9"/>
    <w:rsid w:val="00927300"/>
    <w:rsid w:val="009279F9"/>
    <w:rsid w:val="00927E3B"/>
    <w:rsid w:val="00930513"/>
    <w:rsid w:val="0093082E"/>
    <w:rsid w:val="0093086B"/>
    <w:rsid w:val="00930DC5"/>
    <w:rsid w:val="00930FFA"/>
    <w:rsid w:val="00931083"/>
    <w:rsid w:val="0093142D"/>
    <w:rsid w:val="00931FBB"/>
    <w:rsid w:val="00931FFB"/>
    <w:rsid w:val="00932269"/>
    <w:rsid w:val="0093281A"/>
    <w:rsid w:val="00933011"/>
    <w:rsid w:val="009331A7"/>
    <w:rsid w:val="00933217"/>
    <w:rsid w:val="00933405"/>
    <w:rsid w:val="00933AC7"/>
    <w:rsid w:val="009341FC"/>
    <w:rsid w:val="00934247"/>
    <w:rsid w:val="009342F7"/>
    <w:rsid w:val="00934C6A"/>
    <w:rsid w:val="00934E4C"/>
    <w:rsid w:val="00934E5A"/>
    <w:rsid w:val="00934FEF"/>
    <w:rsid w:val="00935042"/>
    <w:rsid w:val="0093514C"/>
    <w:rsid w:val="00935204"/>
    <w:rsid w:val="009355A8"/>
    <w:rsid w:val="00935818"/>
    <w:rsid w:val="00935FA2"/>
    <w:rsid w:val="009360CA"/>
    <w:rsid w:val="00936438"/>
    <w:rsid w:val="00936610"/>
    <w:rsid w:val="00936B2F"/>
    <w:rsid w:val="00936E8A"/>
    <w:rsid w:val="00937068"/>
    <w:rsid w:val="009372AE"/>
    <w:rsid w:val="00937450"/>
    <w:rsid w:val="00937580"/>
    <w:rsid w:val="009375C5"/>
    <w:rsid w:val="00940149"/>
    <w:rsid w:val="009404BB"/>
    <w:rsid w:val="00940550"/>
    <w:rsid w:val="00940556"/>
    <w:rsid w:val="00940A60"/>
    <w:rsid w:val="00940DF6"/>
    <w:rsid w:val="00941147"/>
    <w:rsid w:val="0094117E"/>
    <w:rsid w:val="009415E9"/>
    <w:rsid w:val="009416F8"/>
    <w:rsid w:val="00941C5E"/>
    <w:rsid w:val="00942407"/>
    <w:rsid w:val="009424F3"/>
    <w:rsid w:val="00943062"/>
    <w:rsid w:val="009430C1"/>
    <w:rsid w:val="00943831"/>
    <w:rsid w:val="00944311"/>
    <w:rsid w:val="0094437B"/>
    <w:rsid w:val="00944413"/>
    <w:rsid w:val="00944453"/>
    <w:rsid w:val="009448C4"/>
    <w:rsid w:val="00944BCB"/>
    <w:rsid w:val="00944DEF"/>
    <w:rsid w:val="0094519E"/>
    <w:rsid w:val="00945334"/>
    <w:rsid w:val="0094559F"/>
    <w:rsid w:val="00945B44"/>
    <w:rsid w:val="00945CCD"/>
    <w:rsid w:val="00946348"/>
    <w:rsid w:val="009469DE"/>
    <w:rsid w:val="00946E83"/>
    <w:rsid w:val="009479BA"/>
    <w:rsid w:val="00947C82"/>
    <w:rsid w:val="00947D3D"/>
    <w:rsid w:val="00947D51"/>
    <w:rsid w:val="00947E44"/>
    <w:rsid w:val="00950225"/>
    <w:rsid w:val="009503D9"/>
    <w:rsid w:val="0095058D"/>
    <w:rsid w:val="009506F9"/>
    <w:rsid w:val="00950EA2"/>
    <w:rsid w:val="00950FD2"/>
    <w:rsid w:val="00951235"/>
    <w:rsid w:val="00951398"/>
    <w:rsid w:val="00951499"/>
    <w:rsid w:val="00951CD7"/>
    <w:rsid w:val="00951F5D"/>
    <w:rsid w:val="00951FE6"/>
    <w:rsid w:val="009521FA"/>
    <w:rsid w:val="00952537"/>
    <w:rsid w:val="0095292D"/>
    <w:rsid w:val="00952C4F"/>
    <w:rsid w:val="0095309B"/>
    <w:rsid w:val="0095345D"/>
    <w:rsid w:val="009534BC"/>
    <w:rsid w:val="00953652"/>
    <w:rsid w:val="00953AAD"/>
    <w:rsid w:val="00953B70"/>
    <w:rsid w:val="00953C79"/>
    <w:rsid w:val="00954499"/>
    <w:rsid w:val="0095467C"/>
    <w:rsid w:val="009553E8"/>
    <w:rsid w:val="0095554C"/>
    <w:rsid w:val="00955A25"/>
    <w:rsid w:val="00955C34"/>
    <w:rsid w:val="009561ED"/>
    <w:rsid w:val="00956508"/>
    <w:rsid w:val="00956861"/>
    <w:rsid w:val="0095699D"/>
    <w:rsid w:val="00956D91"/>
    <w:rsid w:val="009570C4"/>
    <w:rsid w:val="00957EC2"/>
    <w:rsid w:val="00960066"/>
    <w:rsid w:val="00960BA2"/>
    <w:rsid w:val="00961242"/>
    <w:rsid w:val="009613D1"/>
    <w:rsid w:val="00961410"/>
    <w:rsid w:val="009614EF"/>
    <w:rsid w:val="00961694"/>
    <w:rsid w:val="00961A12"/>
    <w:rsid w:val="00961ADF"/>
    <w:rsid w:val="00961B00"/>
    <w:rsid w:val="00962014"/>
    <w:rsid w:val="0096223E"/>
    <w:rsid w:val="00962420"/>
    <w:rsid w:val="009628EA"/>
    <w:rsid w:val="00962946"/>
    <w:rsid w:val="00962E5A"/>
    <w:rsid w:val="009634DA"/>
    <w:rsid w:val="00963566"/>
    <w:rsid w:val="00963611"/>
    <w:rsid w:val="00963D35"/>
    <w:rsid w:val="009640C7"/>
    <w:rsid w:val="009648A5"/>
    <w:rsid w:val="00964B76"/>
    <w:rsid w:val="00964DEA"/>
    <w:rsid w:val="00964E42"/>
    <w:rsid w:val="00964E79"/>
    <w:rsid w:val="0096515D"/>
    <w:rsid w:val="00965217"/>
    <w:rsid w:val="0096593F"/>
    <w:rsid w:val="00965A69"/>
    <w:rsid w:val="00965C16"/>
    <w:rsid w:val="009664B8"/>
    <w:rsid w:val="009668CA"/>
    <w:rsid w:val="00966C45"/>
    <w:rsid w:val="00966EBF"/>
    <w:rsid w:val="009670E7"/>
    <w:rsid w:val="00967A23"/>
    <w:rsid w:val="00967D0E"/>
    <w:rsid w:val="00967E18"/>
    <w:rsid w:val="009703AA"/>
    <w:rsid w:val="00970668"/>
    <w:rsid w:val="009706C3"/>
    <w:rsid w:val="00970C3A"/>
    <w:rsid w:val="00970C89"/>
    <w:rsid w:val="00970FBD"/>
    <w:rsid w:val="00970FE5"/>
    <w:rsid w:val="009710B9"/>
    <w:rsid w:val="00971362"/>
    <w:rsid w:val="0097157C"/>
    <w:rsid w:val="009716A3"/>
    <w:rsid w:val="00971AD1"/>
    <w:rsid w:val="00971D30"/>
    <w:rsid w:val="00971D39"/>
    <w:rsid w:val="00971E7E"/>
    <w:rsid w:val="00971FDE"/>
    <w:rsid w:val="00972064"/>
    <w:rsid w:val="009726EC"/>
    <w:rsid w:val="00972740"/>
    <w:rsid w:val="0097298F"/>
    <w:rsid w:val="00972BEB"/>
    <w:rsid w:val="00972EF8"/>
    <w:rsid w:val="009731FC"/>
    <w:rsid w:val="0097352B"/>
    <w:rsid w:val="009737F4"/>
    <w:rsid w:val="00973B16"/>
    <w:rsid w:val="00973BDB"/>
    <w:rsid w:val="00973D18"/>
    <w:rsid w:val="00973D51"/>
    <w:rsid w:val="009753F9"/>
    <w:rsid w:val="00975496"/>
    <w:rsid w:val="00975672"/>
    <w:rsid w:val="00975A22"/>
    <w:rsid w:val="00975D4E"/>
    <w:rsid w:val="00976EAB"/>
    <w:rsid w:val="0097715F"/>
    <w:rsid w:val="0097738F"/>
    <w:rsid w:val="00977430"/>
    <w:rsid w:val="009776E6"/>
    <w:rsid w:val="00977A14"/>
    <w:rsid w:val="00977B01"/>
    <w:rsid w:val="00977C3F"/>
    <w:rsid w:val="009805B4"/>
    <w:rsid w:val="00980C55"/>
    <w:rsid w:val="00981FC1"/>
    <w:rsid w:val="00982185"/>
    <w:rsid w:val="009821F0"/>
    <w:rsid w:val="009823CE"/>
    <w:rsid w:val="0098253A"/>
    <w:rsid w:val="00982E03"/>
    <w:rsid w:val="00982F04"/>
    <w:rsid w:val="00982FE3"/>
    <w:rsid w:val="0098387F"/>
    <w:rsid w:val="00983E50"/>
    <w:rsid w:val="00983F17"/>
    <w:rsid w:val="00984496"/>
    <w:rsid w:val="009844F1"/>
    <w:rsid w:val="009845A6"/>
    <w:rsid w:val="0098512A"/>
    <w:rsid w:val="0098545B"/>
    <w:rsid w:val="0098568A"/>
    <w:rsid w:val="00985F28"/>
    <w:rsid w:val="009864C3"/>
    <w:rsid w:val="009865D6"/>
    <w:rsid w:val="00986DBF"/>
    <w:rsid w:val="0098735A"/>
    <w:rsid w:val="00987777"/>
    <w:rsid w:val="0098788B"/>
    <w:rsid w:val="00987A0B"/>
    <w:rsid w:val="00987F92"/>
    <w:rsid w:val="009900FA"/>
    <w:rsid w:val="00990A77"/>
    <w:rsid w:val="00990A7B"/>
    <w:rsid w:val="00990B6B"/>
    <w:rsid w:val="00990E5D"/>
    <w:rsid w:val="0099114C"/>
    <w:rsid w:val="00991232"/>
    <w:rsid w:val="009915D8"/>
    <w:rsid w:val="00991740"/>
    <w:rsid w:val="0099182E"/>
    <w:rsid w:val="00991B40"/>
    <w:rsid w:val="00991FAF"/>
    <w:rsid w:val="00992312"/>
    <w:rsid w:val="00992970"/>
    <w:rsid w:val="0099331D"/>
    <w:rsid w:val="009933D0"/>
    <w:rsid w:val="00993974"/>
    <w:rsid w:val="0099399A"/>
    <w:rsid w:val="00993FC7"/>
    <w:rsid w:val="00994434"/>
    <w:rsid w:val="0099446A"/>
    <w:rsid w:val="009946A2"/>
    <w:rsid w:val="009947EE"/>
    <w:rsid w:val="00994B16"/>
    <w:rsid w:val="00994B4C"/>
    <w:rsid w:val="00994C52"/>
    <w:rsid w:val="00994CA2"/>
    <w:rsid w:val="00994DB2"/>
    <w:rsid w:val="00994DE5"/>
    <w:rsid w:val="009953E0"/>
    <w:rsid w:val="009959C6"/>
    <w:rsid w:val="009959CA"/>
    <w:rsid w:val="00995C4B"/>
    <w:rsid w:val="00995CD3"/>
    <w:rsid w:val="00995D8B"/>
    <w:rsid w:val="009967E6"/>
    <w:rsid w:val="00996DA3"/>
    <w:rsid w:val="00996E32"/>
    <w:rsid w:val="00996EA9"/>
    <w:rsid w:val="00996F1A"/>
    <w:rsid w:val="00997023"/>
    <w:rsid w:val="009976E4"/>
    <w:rsid w:val="0099796D"/>
    <w:rsid w:val="00997CE0"/>
    <w:rsid w:val="00997FB9"/>
    <w:rsid w:val="009A0099"/>
    <w:rsid w:val="009A063A"/>
    <w:rsid w:val="009A07F9"/>
    <w:rsid w:val="009A08F3"/>
    <w:rsid w:val="009A0D75"/>
    <w:rsid w:val="009A0E83"/>
    <w:rsid w:val="009A0FCD"/>
    <w:rsid w:val="009A131A"/>
    <w:rsid w:val="009A1482"/>
    <w:rsid w:val="009A1947"/>
    <w:rsid w:val="009A1B53"/>
    <w:rsid w:val="009A1B90"/>
    <w:rsid w:val="009A1BD0"/>
    <w:rsid w:val="009A2056"/>
    <w:rsid w:val="009A291A"/>
    <w:rsid w:val="009A2953"/>
    <w:rsid w:val="009A2D8E"/>
    <w:rsid w:val="009A32CD"/>
    <w:rsid w:val="009A34AE"/>
    <w:rsid w:val="009A38A7"/>
    <w:rsid w:val="009A3934"/>
    <w:rsid w:val="009A3962"/>
    <w:rsid w:val="009A43B6"/>
    <w:rsid w:val="009A488C"/>
    <w:rsid w:val="009A4A7D"/>
    <w:rsid w:val="009A4E95"/>
    <w:rsid w:val="009A50DF"/>
    <w:rsid w:val="009A50E0"/>
    <w:rsid w:val="009A54CD"/>
    <w:rsid w:val="009A5D21"/>
    <w:rsid w:val="009A5E4A"/>
    <w:rsid w:val="009A6205"/>
    <w:rsid w:val="009A62F6"/>
    <w:rsid w:val="009A6829"/>
    <w:rsid w:val="009A6953"/>
    <w:rsid w:val="009A6A7C"/>
    <w:rsid w:val="009A6DA1"/>
    <w:rsid w:val="009A6F15"/>
    <w:rsid w:val="009A7500"/>
    <w:rsid w:val="009A7590"/>
    <w:rsid w:val="009A7641"/>
    <w:rsid w:val="009A7719"/>
    <w:rsid w:val="009A7A91"/>
    <w:rsid w:val="009A7EA2"/>
    <w:rsid w:val="009B04BD"/>
    <w:rsid w:val="009B08E1"/>
    <w:rsid w:val="009B0DBB"/>
    <w:rsid w:val="009B1012"/>
    <w:rsid w:val="009B1366"/>
    <w:rsid w:val="009B136B"/>
    <w:rsid w:val="009B1417"/>
    <w:rsid w:val="009B1759"/>
    <w:rsid w:val="009B2901"/>
    <w:rsid w:val="009B2F7A"/>
    <w:rsid w:val="009B315C"/>
    <w:rsid w:val="009B3470"/>
    <w:rsid w:val="009B372E"/>
    <w:rsid w:val="009B388C"/>
    <w:rsid w:val="009B4171"/>
    <w:rsid w:val="009B4380"/>
    <w:rsid w:val="009B453B"/>
    <w:rsid w:val="009B45BD"/>
    <w:rsid w:val="009B4748"/>
    <w:rsid w:val="009B48E6"/>
    <w:rsid w:val="009B4B14"/>
    <w:rsid w:val="009B4C7B"/>
    <w:rsid w:val="009B4EEE"/>
    <w:rsid w:val="009B50A3"/>
    <w:rsid w:val="009B51B5"/>
    <w:rsid w:val="009B5A20"/>
    <w:rsid w:val="009B5FC9"/>
    <w:rsid w:val="009B6344"/>
    <w:rsid w:val="009B6424"/>
    <w:rsid w:val="009B6459"/>
    <w:rsid w:val="009B679A"/>
    <w:rsid w:val="009B6D39"/>
    <w:rsid w:val="009B6D82"/>
    <w:rsid w:val="009B6DFF"/>
    <w:rsid w:val="009B7236"/>
    <w:rsid w:val="009B7487"/>
    <w:rsid w:val="009C105F"/>
    <w:rsid w:val="009C11F8"/>
    <w:rsid w:val="009C126A"/>
    <w:rsid w:val="009C14C0"/>
    <w:rsid w:val="009C187E"/>
    <w:rsid w:val="009C1D19"/>
    <w:rsid w:val="009C1FB6"/>
    <w:rsid w:val="009C2534"/>
    <w:rsid w:val="009C26CD"/>
    <w:rsid w:val="009C28C8"/>
    <w:rsid w:val="009C2F0B"/>
    <w:rsid w:val="009C31D3"/>
    <w:rsid w:val="009C3A56"/>
    <w:rsid w:val="009C3A5F"/>
    <w:rsid w:val="009C3ABA"/>
    <w:rsid w:val="009C3CE3"/>
    <w:rsid w:val="009C44E0"/>
    <w:rsid w:val="009C4ECD"/>
    <w:rsid w:val="009C528E"/>
    <w:rsid w:val="009C586A"/>
    <w:rsid w:val="009C5AF7"/>
    <w:rsid w:val="009C6391"/>
    <w:rsid w:val="009C66B7"/>
    <w:rsid w:val="009C6747"/>
    <w:rsid w:val="009C6DC7"/>
    <w:rsid w:val="009C7596"/>
    <w:rsid w:val="009C7603"/>
    <w:rsid w:val="009C7671"/>
    <w:rsid w:val="009C7A9D"/>
    <w:rsid w:val="009C7EF7"/>
    <w:rsid w:val="009C7F2F"/>
    <w:rsid w:val="009D003C"/>
    <w:rsid w:val="009D005B"/>
    <w:rsid w:val="009D0188"/>
    <w:rsid w:val="009D0319"/>
    <w:rsid w:val="009D052A"/>
    <w:rsid w:val="009D065C"/>
    <w:rsid w:val="009D0D17"/>
    <w:rsid w:val="009D0E73"/>
    <w:rsid w:val="009D133A"/>
    <w:rsid w:val="009D16A4"/>
    <w:rsid w:val="009D1A7B"/>
    <w:rsid w:val="009D2163"/>
    <w:rsid w:val="009D2497"/>
    <w:rsid w:val="009D2568"/>
    <w:rsid w:val="009D273D"/>
    <w:rsid w:val="009D28EA"/>
    <w:rsid w:val="009D2BDB"/>
    <w:rsid w:val="009D2ED1"/>
    <w:rsid w:val="009D331B"/>
    <w:rsid w:val="009D3492"/>
    <w:rsid w:val="009D34E7"/>
    <w:rsid w:val="009D35E6"/>
    <w:rsid w:val="009D3AFD"/>
    <w:rsid w:val="009D3E96"/>
    <w:rsid w:val="009D418A"/>
    <w:rsid w:val="009D461D"/>
    <w:rsid w:val="009D49EA"/>
    <w:rsid w:val="009D4A8A"/>
    <w:rsid w:val="009D5073"/>
    <w:rsid w:val="009D53B8"/>
    <w:rsid w:val="009D5973"/>
    <w:rsid w:val="009D59BC"/>
    <w:rsid w:val="009D5DC6"/>
    <w:rsid w:val="009D666F"/>
    <w:rsid w:val="009D6B92"/>
    <w:rsid w:val="009D6F99"/>
    <w:rsid w:val="009D6FAF"/>
    <w:rsid w:val="009D71DA"/>
    <w:rsid w:val="009D738C"/>
    <w:rsid w:val="009D7392"/>
    <w:rsid w:val="009D797D"/>
    <w:rsid w:val="009D7A17"/>
    <w:rsid w:val="009E0055"/>
    <w:rsid w:val="009E05CA"/>
    <w:rsid w:val="009E07E8"/>
    <w:rsid w:val="009E0A45"/>
    <w:rsid w:val="009E0D3E"/>
    <w:rsid w:val="009E110C"/>
    <w:rsid w:val="009E11BC"/>
    <w:rsid w:val="009E14E4"/>
    <w:rsid w:val="009E1800"/>
    <w:rsid w:val="009E189A"/>
    <w:rsid w:val="009E207A"/>
    <w:rsid w:val="009E28FA"/>
    <w:rsid w:val="009E29DE"/>
    <w:rsid w:val="009E2FD3"/>
    <w:rsid w:val="009E3063"/>
    <w:rsid w:val="009E3085"/>
    <w:rsid w:val="009E30F8"/>
    <w:rsid w:val="009E39A0"/>
    <w:rsid w:val="009E3AA3"/>
    <w:rsid w:val="009E435C"/>
    <w:rsid w:val="009E484C"/>
    <w:rsid w:val="009E4AC2"/>
    <w:rsid w:val="009E4CB1"/>
    <w:rsid w:val="009E4CD4"/>
    <w:rsid w:val="009E4DDD"/>
    <w:rsid w:val="009E50F4"/>
    <w:rsid w:val="009E519E"/>
    <w:rsid w:val="009E51CC"/>
    <w:rsid w:val="009E53CF"/>
    <w:rsid w:val="009E5812"/>
    <w:rsid w:val="009E587C"/>
    <w:rsid w:val="009E5AEE"/>
    <w:rsid w:val="009E5CCE"/>
    <w:rsid w:val="009E6015"/>
    <w:rsid w:val="009E61E9"/>
    <w:rsid w:val="009E64C7"/>
    <w:rsid w:val="009E6592"/>
    <w:rsid w:val="009E69C4"/>
    <w:rsid w:val="009E6AAF"/>
    <w:rsid w:val="009E6B38"/>
    <w:rsid w:val="009E6C86"/>
    <w:rsid w:val="009E6CDB"/>
    <w:rsid w:val="009E6E3C"/>
    <w:rsid w:val="009E7081"/>
    <w:rsid w:val="009E73F4"/>
    <w:rsid w:val="009E7570"/>
    <w:rsid w:val="009E7AD5"/>
    <w:rsid w:val="009E7CBA"/>
    <w:rsid w:val="009F0C26"/>
    <w:rsid w:val="009F0E7D"/>
    <w:rsid w:val="009F103C"/>
    <w:rsid w:val="009F1082"/>
    <w:rsid w:val="009F10B6"/>
    <w:rsid w:val="009F1366"/>
    <w:rsid w:val="009F1487"/>
    <w:rsid w:val="009F1ACC"/>
    <w:rsid w:val="009F20F1"/>
    <w:rsid w:val="009F20FA"/>
    <w:rsid w:val="009F2377"/>
    <w:rsid w:val="009F2A92"/>
    <w:rsid w:val="009F301E"/>
    <w:rsid w:val="009F36F7"/>
    <w:rsid w:val="009F3BED"/>
    <w:rsid w:val="009F3F93"/>
    <w:rsid w:val="009F44AA"/>
    <w:rsid w:val="009F455A"/>
    <w:rsid w:val="009F463D"/>
    <w:rsid w:val="009F4BC1"/>
    <w:rsid w:val="009F5B4C"/>
    <w:rsid w:val="009F5FB8"/>
    <w:rsid w:val="009F6AAA"/>
    <w:rsid w:val="009F6BA3"/>
    <w:rsid w:val="009F6D6D"/>
    <w:rsid w:val="009F6EC4"/>
    <w:rsid w:val="009F759F"/>
    <w:rsid w:val="009F769B"/>
    <w:rsid w:val="009F7F14"/>
    <w:rsid w:val="00A00223"/>
    <w:rsid w:val="00A00865"/>
    <w:rsid w:val="00A01537"/>
    <w:rsid w:val="00A01889"/>
    <w:rsid w:val="00A01BC6"/>
    <w:rsid w:val="00A01F40"/>
    <w:rsid w:val="00A020C2"/>
    <w:rsid w:val="00A021AF"/>
    <w:rsid w:val="00A0224F"/>
    <w:rsid w:val="00A027A3"/>
    <w:rsid w:val="00A031AE"/>
    <w:rsid w:val="00A0392A"/>
    <w:rsid w:val="00A03DDF"/>
    <w:rsid w:val="00A04051"/>
    <w:rsid w:val="00A04368"/>
    <w:rsid w:val="00A04CEF"/>
    <w:rsid w:val="00A04D19"/>
    <w:rsid w:val="00A054F5"/>
    <w:rsid w:val="00A05AD0"/>
    <w:rsid w:val="00A05B39"/>
    <w:rsid w:val="00A05E5A"/>
    <w:rsid w:val="00A05FA6"/>
    <w:rsid w:val="00A06322"/>
    <w:rsid w:val="00A06358"/>
    <w:rsid w:val="00A06624"/>
    <w:rsid w:val="00A06720"/>
    <w:rsid w:val="00A06831"/>
    <w:rsid w:val="00A071B0"/>
    <w:rsid w:val="00A07470"/>
    <w:rsid w:val="00A0773B"/>
    <w:rsid w:val="00A100D8"/>
    <w:rsid w:val="00A1045E"/>
    <w:rsid w:val="00A109DB"/>
    <w:rsid w:val="00A10DAA"/>
    <w:rsid w:val="00A10FF6"/>
    <w:rsid w:val="00A1149A"/>
    <w:rsid w:val="00A117FC"/>
    <w:rsid w:val="00A11896"/>
    <w:rsid w:val="00A11A34"/>
    <w:rsid w:val="00A11A92"/>
    <w:rsid w:val="00A11CE5"/>
    <w:rsid w:val="00A11D45"/>
    <w:rsid w:val="00A12A1C"/>
    <w:rsid w:val="00A131E7"/>
    <w:rsid w:val="00A13270"/>
    <w:rsid w:val="00A134E3"/>
    <w:rsid w:val="00A13C00"/>
    <w:rsid w:val="00A13D23"/>
    <w:rsid w:val="00A13E9F"/>
    <w:rsid w:val="00A13F07"/>
    <w:rsid w:val="00A13F9B"/>
    <w:rsid w:val="00A14282"/>
    <w:rsid w:val="00A1434F"/>
    <w:rsid w:val="00A1447E"/>
    <w:rsid w:val="00A14680"/>
    <w:rsid w:val="00A14D81"/>
    <w:rsid w:val="00A14E97"/>
    <w:rsid w:val="00A15694"/>
    <w:rsid w:val="00A15D18"/>
    <w:rsid w:val="00A15D8F"/>
    <w:rsid w:val="00A1646E"/>
    <w:rsid w:val="00A1659C"/>
    <w:rsid w:val="00A1698B"/>
    <w:rsid w:val="00A16B8D"/>
    <w:rsid w:val="00A16CF6"/>
    <w:rsid w:val="00A16F43"/>
    <w:rsid w:val="00A17003"/>
    <w:rsid w:val="00A1713C"/>
    <w:rsid w:val="00A176EE"/>
    <w:rsid w:val="00A17799"/>
    <w:rsid w:val="00A17C34"/>
    <w:rsid w:val="00A200B9"/>
    <w:rsid w:val="00A20647"/>
    <w:rsid w:val="00A208FE"/>
    <w:rsid w:val="00A20DB7"/>
    <w:rsid w:val="00A228A3"/>
    <w:rsid w:val="00A22C1A"/>
    <w:rsid w:val="00A230D4"/>
    <w:rsid w:val="00A2333D"/>
    <w:rsid w:val="00A2339F"/>
    <w:rsid w:val="00A23679"/>
    <w:rsid w:val="00A23AC7"/>
    <w:rsid w:val="00A23E34"/>
    <w:rsid w:val="00A24099"/>
    <w:rsid w:val="00A2409E"/>
    <w:rsid w:val="00A243C7"/>
    <w:rsid w:val="00A2449E"/>
    <w:rsid w:val="00A24517"/>
    <w:rsid w:val="00A255DD"/>
    <w:rsid w:val="00A259B3"/>
    <w:rsid w:val="00A2604F"/>
    <w:rsid w:val="00A26064"/>
    <w:rsid w:val="00A26447"/>
    <w:rsid w:val="00A265FE"/>
    <w:rsid w:val="00A26BD7"/>
    <w:rsid w:val="00A26D09"/>
    <w:rsid w:val="00A26D7F"/>
    <w:rsid w:val="00A3022D"/>
    <w:rsid w:val="00A30AF1"/>
    <w:rsid w:val="00A30F3C"/>
    <w:rsid w:val="00A30FF0"/>
    <w:rsid w:val="00A31027"/>
    <w:rsid w:val="00A313CA"/>
    <w:rsid w:val="00A313E7"/>
    <w:rsid w:val="00A31443"/>
    <w:rsid w:val="00A318C7"/>
    <w:rsid w:val="00A31A80"/>
    <w:rsid w:val="00A31CF7"/>
    <w:rsid w:val="00A3256E"/>
    <w:rsid w:val="00A32830"/>
    <w:rsid w:val="00A32849"/>
    <w:rsid w:val="00A3294C"/>
    <w:rsid w:val="00A32EBF"/>
    <w:rsid w:val="00A32EE2"/>
    <w:rsid w:val="00A3344D"/>
    <w:rsid w:val="00A334A2"/>
    <w:rsid w:val="00A33E01"/>
    <w:rsid w:val="00A3420F"/>
    <w:rsid w:val="00A342A7"/>
    <w:rsid w:val="00A3449C"/>
    <w:rsid w:val="00A3496A"/>
    <w:rsid w:val="00A349EB"/>
    <w:rsid w:val="00A3505C"/>
    <w:rsid w:val="00A35932"/>
    <w:rsid w:val="00A35B1E"/>
    <w:rsid w:val="00A35DEB"/>
    <w:rsid w:val="00A35E39"/>
    <w:rsid w:val="00A365BF"/>
    <w:rsid w:val="00A36608"/>
    <w:rsid w:val="00A36A4F"/>
    <w:rsid w:val="00A36B07"/>
    <w:rsid w:val="00A36C96"/>
    <w:rsid w:val="00A36E53"/>
    <w:rsid w:val="00A37287"/>
    <w:rsid w:val="00A375DF"/>
    <w:rsid w:val="00A40D79"/>
    <w:rsid w:val="00A410D4"/>
    <w:rsid w:val="00A411E6"/>
    <w:rsid w:val="00A41405"/>
    <w:rsid w:val="00A41736"/>
    <w:rsid w:val="00A41D77"/>
    <w:rsid w:val="00A41EDD"/>
    <w:rsid w:val="00A422BC"/>
    <w:rsid w:val="00A42552"/>
    <w:rsid w:val="00A4269A"/>
    <w:rsid w:val="00A42783"/>
    <w:rsid w:val="00A4279E"/>
    <w:rsid w:val="00A4292C"/>
    <w:rsid w:val="00A431A6"/>
    <w:rsid w:val="00A43312"/>
    <w:rsid w:val="00A4350B"/>
    <w:rsid w:val="00A4367D"/>
    <w:rsid w:val="00A44156"/>
    <w:rsid w:val="00A44201"/>
    <w:rsid w:val="00A4428C"/>
    <w:rsid w:val="00A44327"/>
    <w:rsid w:val="00A44517"/>
    <w:rsid w:val="00A44518"/>
    <w:rsid w:val="00A445CC"/>
    <w:rsid w:val="00A44C6A"/>
    <w:rsid w:val="00A454C9"/>
    <w:rsid w:val="00A459DC"/>
    <w:rsid w:val="00A46086"/>
    <w:rsid w:val="00A460A4"/>
    <w:rsid w:val="00A4640B"/>
    <w:rsid w:val="00A46AF9"/>
    <w:rsid w:val="00A46B0B"/>
    <w:rsid w:val="00A46C6C"/>
    <w:rsid w:val="00A46F33"/>
    <w:rsid w:val="00A46FB0"/>
    <w:rsid w:val="00A4732B"/>
    <w:rsid w:val="00A47786"/>
    <w:rsid w:val="00A5010D"/>
    <w:rsid w:val="00A50294"/>
    <w:rsid w:val="00A507D1"/>
    <w:rsid w:val="00A5087C"/>
    <w:rsid w:val="00A5098D"/>
    <w:rsid w:val="00A50C23"/>
    <w:rsid w:val="00A5134F"/>
    <w:rsid w:val="00A51445"/>
    <w:rsid w:val="00A51493"/>
    <w:rsid w:val="00A515AF"/>
    <w:rsid w:val="00A51ACB"/>
    <w:rsid w:val="00A51BAC"/>
    <w:rsid w:val="00A52119"/>
    <w:rsid w:val="00A522AB"/>
    <w:rsid w:val="00A52380"/>
    <w:rsid w:val="00A524C0"/>
    <w:rsid w:val="00A527BF"/>
    <w:rsid w:val="00A52A42"/>
    <w:rsid w:val="00A53B18"/>
    <w:rsid w:val="00A53C4E"/>
    <w:rsid w:val="00A53F34"/>
    <w:rsid w:val="00A542E5"/>
    <w:rsid w:val="00A542FA"/>
    <w:rsid w:val="00A542FB"/>
    <w:rsid w:val="00A5437B"/>
    <w:rsid w:val="00A5470E"/>
    <w:rsid w:val="00A54BE8"/>
    <w:rsid w:val="00A54EFC"/>
    <w:rsid w:val="00A555C4"/>
    <w:rsid w:val="00A55A9D"/>
    <w:rsid w:val="00A55DF1"/>
    <w:rsid w:val="00A560E1"/>
    <w:rsid w:val="00A562B3"/>
    <w:rsid w:val="00A56406"/>
    <w:rsid w:val="00A56505"/>
    <w:rsid w:val="00A56780"/>
    <w:rsid w:val="00A56806"/>
    <w:rsid w:val="00A571A9"/>
    <w:rsid w:val="00A57201"/>
    <w:rsid w:val="00A57321"/>
    <w:rsid w:val="00A57B7E"/>
    <w:rsid w:val="00A60710"/>
    <w:rsid w:val="00A607D9"/>
    <w:rsid w:val="00A6099D"/>
    <w:rsid w:val="00A614AD"/>
    <w:rsid w:val="00A61B4A"/>
    <w:rsid w:val="00A61C67"/>
    <w:rsid w:val="00A61DB6"/>
    <w:rsid w:val="00A623E3"/>
    <w:rsid w:val="00A626A3"/>
    <w:rsid w:val="00A62A75"/>
    <w:rsid w:val="00A62B83"/>
    <w:rsid w:val="00A634B4"/>
    <w:rsid w:val="00A63559"/>
    <w:rsid w:val="00A636CC"/>
    <w:rsid w:val="00A64342"/>
    <w:rsid w:val="00A644E6"/>
    <w:rsid w:val="00A6465C"/>
    <w:rsid w:val="00A64817"/>
    <w:rsid w:val="00A64CFF"/>
    <w:rsid w:val="00A64FA9"/>
    <w:rsid w:val="00A65304"/>
    <w:rsid w:val="00A6530F"/>
    <w:rsid w:val="00A656E5"/>
    <w:rsid w:val="00A65731"/>
    <w:rsid w:val="00A65B8E"/>
    <w:rsid w:val="00A65E67"/>
    <w:rsid w:val="00A662E3"/>
    <w:rsid w:val="00A666B0"/>
    <w:rsid w:val="00A669C3"/>
    <w:rsid w:val="00A66B84"/>
    <w:rsid w:val="00A66E56"/>
    <w:rsid w:val="00A672E1"/>
    <w:rsid w:val="00A675EB"/>
    <w:rsid w:val="00A676F1"/>
    <w:rsid w:val="00A67958"/>
    <w:rsid w:val="00A70362"/>
    <w:rsid w:val="00A703AC"/>
    <w:rsid w:val="00A70805"/>
    <w:rsid w:val="00A711DC"/>
    <w:rsid w:val="00A71220"/>
    <w:rsid w:val="00A713F0"/>
    <w:rsid w:val="00A71728"/>
    <w:rsid w:val="00A718D3"/>
    <w:rsid w:val="00A71A02"/>
    <w:rsid w:val="00A71DCB"/>
    <w:rsid w:val="00A72CF4"/>
    <w:rsid w:val="00A72D4A"/>
    <w:rsid w:val="00A73287"/>
    <w:rsid w:val="00A733A5"/>
    <w:rsid w:val="00A73976"/>
    <w:rsid w:val="00A73B16"/>
    <w:rsid w:val="00A73EA7"/>
    <w:rsid w:val="00A73F25"/>
    <w:rsid w:val="00A74268"/>
    <w:rsid w:val="00A7459F"/>
    <w:rsid w:val="00A74D25"/>
    <w:rsid w:val="00A75082"/>
    <w:rsid w:val="00A757C4"/>
    <w:rsid w:val="00A7581A"/>
    <w:rsid w:val="00A75C88"/>
    <w:rsid w:val="00A767CB"/>
    <w:rsid w:val="00A76D50"/>
    <w:rsid w:val="00A76EFD"/>
    <w:rsid w:val="00A77086"/>
    <w:rsid w:val="00A772C0"/>
    <w:rsid w:val="00A7743A"/>
    <w:rsid w:val="00A7759C"/>
    <w:rsid w:val="00A80244"/>
    <w:rsid w:val="00A808BC"/>
    <w:rsid w:val="00A80A4A"/>
    <w:rsid w:val="00A816F0"/>
    <w:rsid w:val="00A81857"/>
    <w:rsid w:val="00A81A23"/>
    <w:rsid w:val="00A81BA9"/>
    <w:rsid w:val="00A81C4F"/>
    <w:rsid w:val="00A82981"/>
    <w:rsid w:val="00A82CDF"/>
    <w:rsid w:val="00A82DCB"/>
    <w:rsid w:val="00A82E83"/>
    <w:rsid w:val="00A83277"/>
    <w:rsid w:val="00A833D8"/>
    <w:rsid w:val="00A834DF"/>
    <w:rsid w:val="00A83A9A"/>
    <w:rsid w:val="00A8411D"/>
    <w:rsid w:val="00A842B6"/>
    <w:rsid w:val="00A84448"/>
    <w:rsid w:val="00A84520"/>
    <w:rsid w:val="00A84583"/>
    <w:rsid w:val="00A8475C"/>
    <w:rsid w:val="00A8498A"/>
    <w:rsid w:val="00A84CB7"/>
    <w:rsid w:val="00A84F52"/>
    <w:rsid w:val="00A85102"/>
    <w:rsid w:val="00A852A8"/>
    <w:rsid w:val="00A85821"/>
    <w:rsid w:val="00A859C2"/>
    <w:rsid w:val="00A85B0E"/>
    <w:rsid w:val="00A85DAC"/>
    <w:rsid w:val="00A85F54"/>
    <w:rsid w:val="00A86036"/>
    <w:rsid w:val="00A86287"/>
    <w:rsid w:val="00A8635C"/>
    <w:rsid w:val="00A86597"/>
    <w:rsid w:val="00A86AEF"/>
    <w:rsid w:val="00A870DF"/>
    <w:rsid w:val="00A87348"/>
    <w:rsid w:val="00A8736A"/>
    <w:rsid w:val="00A87881"/>
    <w:rsid w:val="00A87D06"/>
    <w:rsid w:val="00A87D4E"/>
    <w:rsid w:val="00A87EA2"/>
    <w:rsid w:val="00A907EC"/>
    <w:rsid w:val="00A90949"/>
    <w:rsid w:val="00A90F86"/>
    <w:rsid w:val="00A91139"/>
    <w:rsid w:val="00A915CB"/>
    <w:rsid w:val="00A92A62"/>
    <w:rsid w:val="00A92B6E"/>
    <w:rsid w:val="00A92E07"/>
    <w:rsid w:val="00A92F35"/>
    <w:rsid w:val="00A93159"/>
    <w:rsid w:val="00A933B4"/>
    <w:rsid w:val="00A93577"/>
    <w:rsid w:val="00A939EE"/>
    <w:rsid w:val="00A93A3E"/>
    <w:rsid w:val="00A93DBC"/>
    <w:rsid w:val="00A93DCF"/>
    <w:rsid w:val="00A93FD9"/>
    <w:rsid w:val="00A9405F"/>
    <w:rsid w:val="00A9430F"/>
    <w:rsid w:val="00A9456C"/>
    <w:rsid w:val="00A94571"/>
    <w:rsid w:val="00A946A9"/>
    <w:rsid w:val="00A94B26"/>
    <w:rsid w:val="00A94BC6"/>
    <w:rsid w:val="00A94C0E"/>
    <w:rsid w:val="00A94F4B"/>
    <w:rsid w:val="00A95034"/>
    <w:rsid w:val="00A954E7"/>
    <w:rsid w:val="00A95521"/>
    <w:rsid w:val="00A958CF"/>
    <w:rsid w:val="00A95CA4"/>
    <w:rsid w:val="00A95F23"/>
    <w:rsid w:val="00A95FAB"/>
    <w:rsid w:val="00A96227"/>
    <w:rsid w:val="00A96254"/>
    <w:rsid w:val="00A96D3F"/>
    <w:rsid w:val="00A96DEE"/>
    <w:rsid w:val="00A96E38"/>
    <w:rsid w:val="00A96F36"/>
    <w:rsid w:val="00A97785"/>
    <w:rsid w:val="00A97E84"/>
    <w:rsid w:val="00AA0239"/>
    <w:rsid w:val="00AA03C4"/>
    <w:rsid w:val="00AA0A60"/>
    <w:rsid w:val="00AA0BBE"/>
    <w:rsid w:val="00AA105A"/>
    <w:rsid w:val="00AA13F4"/>
    <w:rsid w:val="00AA19AE"/>
    <w:rsid w:val="00AA1BD1"/>
    <w:rsid w:val="00AA1E08"/>
    <w:rsid w:val="00AA1E28"/>
    <w:rsid w:val="00AA2A37"/>
    <w:rsid w:val="00AA2F62"/>
    <w:rsid w:val="00AA3120"/>
    <w:rsid w:val="00AA38A2"/>
    <w:rsid w:val="00AA3D59"/>
    <w:rsid w:val="00AA3D60"/>
    <w:rsid w:val="00AA43BE"/>
    <w:rsid w:val="00AA4858"/>
    <w:rsid w:val="00AA4C06"/>
    <w:rsid w:val="00AA502E"/>
    <w:rsid w:val="00AA5742"/>
    <w:rsid w:val="00AA587D"/>
    <w:rsid w:val="00AA5E35"/>
    <w:rsid w:val="00AA61B3"/>
    <w:rsid w:val="00AA63D1"/>
    <w:rsid w:val="00AA68A7"/>
    <w:rsid w:val="00AA68F5"/>
    <w:rsid w:val="00AA69B0"/>
    <w:rsid w:val="00AA6EEA"/>
    <w:rsid w:val="00AA71EB"/>
    <w:rsid w:val="00AA7D33"/>
    <w:rsid w:val="00AA7EFB"/>
    <w:rsid w:val="00AB0123"/>
    <w:rsid w:val="00AB0419"/>
    <w:rsid w:val="00AB046F"/>
    <w:rsid w:val="00AB04CE"/>
    <w:rsid w:val="00AB0547"/>
    <w:rsid w:val="00AB0AC7"/>
    <w:rsid w:val="00AB0CA1"/>
    <w:rsid w:val="00AB1A7F"/>
    <w:rsid w:val="00AB1FC1"/>
    <w:rsid w:val="00AB25EA"/>
    <w:rsid w:val="00AB2DDB"/>
    <w:rsid w:val="00AB31E6"/>
    <w:rsid w:val="00AB449B"/>
    <w:rsid w:val="00AB48A9"/>
    <w:rsid w:val="00AB4D8C"/>
    <w:rsid w:val="00AB4E04"/>
    <w:rsid w:val="00AB5501"/>
    <w:rsid w:val="00AB56C7"/>
    <w:rsid w:val="00AB597E"/>
    <w:rsid w:val="00AB5CA4"/>
    <w:rsid w:val="00AB606C"/>
    <w:rsid w:val="00AB661C"/>
    <w:rsid w:val="00AB6B9A"/>
    <w:rsid w:val="00AB70D8"/>
    <w:rsid w:val="00AB77A1"/>
    <w:rsid w:val="00AB7981"/>
    <w:rsid w:val="00AB79C3"/>
    <w:rsid w:val="00AB7A78"/>
    <w:rsid w:val="00AB7B2C"/>
    <w:rsid w:val="00AC045D"/>
    <w:rsid w:val="00AC0B33"/>
    <w:rsid w:val="00AC0DCD"/>
    <w:rsid w:val="00AC0DF5"/>
    <w:rsid w:val="00AC1514"/>
    <w:rsid w:val="00AC17ED"/>
    <w:rsid w:val="00AC183F"/>
    <w:rsid w:val="00AC1A4C"/>
    <w:rsid w:val="00AC1E31"/>
    <w:rsid w:val="00AC1F2D"/>
    <w:rsid w:val="00AC236A"/>
    <w:rsid w:val="00AC2483"/>
    <w:rsid w:val="00AC27C2"/>
    <w:rsid w:val="00AC29CF"/>
    <w:rsid w:val="00AC2F94"/>
    <w:rsid w:val="00AC3414"/>
    <w:rsid w:val="00AC3419"/>
    <w:rsid w:val="00AC3B3B"/>
    <w:rsid w:val="00AC3CE7"/>
    <w:rsid w:val="00AC4AC8"/>
    <w:rsid w:val="00AC5178"/>
    <w:rsid w:val="00AC537B"/>
    <w:rsid w:val="00AC5479"/>
    <w:rsid w:val="00AC5B03"/>
    <w:rsid w:val="00AC5C98"/>
    <w:rsid w:val="00AC5DEB"/>
    <w:rsid w:val="00AC5E84"/>
    <w:rsid w:val="00AC6E26"/>
    <w:rsid w:val="00AC6E95"/>
    <w:rsid w:val="00AC71D2"/>
    <w:rsid w:val="00AC74F8"/>
    <w:rsid w:val="00AC75BD"/>
    <w:rsid w:val="00AC7F4F"/>
    <w:rsid w:val="00AD011A"/>
    <w:rsid w:val="00AD0405"/>
    <w:rsid w:val="00AD0980"/>
    <w:rsid w:val="00AD0988"/>
    <w:rsid w:val="00AD0B3E"/>
    <w:rsid w:val="00AD0CAD"/>
    <w:rsid w:val="00AD0E9E"/>
    <w:rsid w:val="00AD1073"/>
    <w:rsid w:val="00AD128B"/>
    <w:rsid w:val="00AD178A"/>
    <w:rsid w:val="00AD190F"/>
    <w:rsid w:val="00AD29BF"/>
    <w:rsid w:val="00AD2B27"/>
    <w:rsid w:val="00AD2DF5"/>
    <w:rsid w:val="00AD324D"/>
    <w:rsid w:val="00AD3656"/>
    <w:rsid w:val="00AD3760"/>
    <w:rsid w:val="00AD3AE0"/>
    <w:rsid w:val="00AD3F61"/>
    <w:rsid w:val="00AD4695"/>
    <w:rsid w:val="00AD4E5B"/>
    <w:rsid w:val="00AD4F87"/>
    <w:rsid w:val="00AD5695"/>
    <w:rsid w:val="00AD5D37"/>
    <w:rsid w:val="00AD5EEF"/>
    <w:rsid w:val="00AD6108"/>
    <w:rsid w:val="00AD6716"/>
    <w:rsid w:val="00AD6719"/>
    <w:rsid w:val="00AD6A42"/>
    <w:rsid w:val="00AD6B66"/>
    <w:rsid w:val="00AD70F7"/>
    <w:rsid w:val="00AD71BB"/>
    <w:rsid w:val="00AD738E"/>
    <w:rsid w:val="00AD7DBE"/>
    <w:rsid w:val="00AD7F2A"/>
    <w:rsid w:val="00AE048F"/>
    <w:rsid w:val="00AE0A21"/>
    <w:rsid w:val="00AE114D"/>
    <w:rsid w:val="00AE1800"/>
    <w:rsid w:val="00AE1A51"/>
    <w:rsid w:val="00AE3457"/>
    <w:rsid w:val="00AE3713"/>
    <w:rsid w:val="00AE3819"/>
    <w:rsid w:val="00AE3853"/>
    <w:rsid w:val="00AE3B39"/>
    <w:rsid w:val="00AE3C7A"/>
    <w:rsid w:val="00AE3DEE"/>
    <w:rsid w:val="00AE3FF3"/>
    <w:rsid w:val="00AE40EB"/>
    <w:rsid w:val="00AE4403"/>
    <w:rsid w:val="00AE44C3"/>
    <w:rsid w:val="00AE4643"/>
    <w:rsid w:val="00AE46F8"/>
    <w:rsid w:val="00AE4C84"/>
    <w:rsid w:val="00AE4DAB"/>
    <w:rsid w:val="00AE51EE"/>
    <w:rsid w:val="00AE5500"/>
    <w:rsid w:val="00AE5B9E"/>
    <w:rsid w:val="00AE5BE8"/>
    <w:rsid w:val="00AE6169"/>
    <w:rsid w:val="00AE62C5"/>
    <w:rsid w:val="00AE66B8"/>
    <w:rsid w:val="00AE73AA"/>
    <w:rsid w:val="00AE771F"/>
    <w:rsid w:val="00AE7788"/>
    <w:rsid w:val="00AE783B"/>
    <w:rsid w:val="00AE7A3C"/>
    <w:rsid w:val="00AE7ABA"/>
    <w:rsid w:val="00AE7E5E"/>
    <w:rsid w:val="00AF0416"/>
    <w:rsid w:val="00AF0A62"/>
    <w:rsid w:val="00AF0CE6"/>
    <w:rsid w:val="00AF0DA8"/>
    <w:rsid w:val="00AF1114"/>
    <w:rsid w:val="00AF115E"/>
    <w:rsid w:val="00AF118E"/>
    <w:rsid w:val="00AF11D8"/>
    <w:rsid w:val="00AF16C7"/>
    <w:rsid w:val="00AF181D"/>
    <w:rsid w:val="00AF1F81"/>
    <w:rsid w:val="00AF1FAF"/>
    <w:rsid w:val="00AF204F"/>
    <w:rsid w:val="00AF2AC8"/>
    <w:rsid w:val="00AF2B6F"/>
    <w:rsid w:val="00AF334E"/>
    <w:rsid w:val="00AF3D0E"/>
    <w:rsid w:val="00AF45F0"/>
    <w:rsid w:val="00AF4854"/>
    <w:rsid w:val="00AF49C4"/>
    <w:rsid w:val="00AF4EB8"/>
    <w:rsid w:val="00AF5173"/>
    <w:rsid w:val="00AF55D2"/>
    <w:rsid w:val="00AF56A5"/>
    <w:rsid w:val="00AF5A95"/>
    <w:rsid w:val="00AF5CF3"/>
    <w:rsid w:val="00AF5E93"/>
    <w:rsid w:val="00AF651D"/>
    <w:rsid w:val="00AF6832"/>
    <w:rsid w:val="00AF697C"/>
    <w:rsid w:val="00AF6A6B"/>
    <w:rsid w:val="00AF7379"/>
    <w:rsid w:val="00AF74D1"/>
    <w:rsid w:val="00AF764B"/>
    <w:rsid w:val="00AF7AA8"/>
    <w:rsid w:val="00AF7B76"/>
    <w:rsid w:val="00AF7CF1"/>
    <w:rsid w:val="00AF7E5C"/>
    <w:rsid w:val="00AF7E81"/>
    <w:rsid w:val="00B005A9"/>
    <w:rsid w:val="00B005F8"/>
    <w:rsid w:val="00B0068D"/>
    <w:rsid w:val="00B00AB8"/>
    <w:rsid w:val="00B00EA0"/>
    <w:rsid w:val="00B00F5A"/>
    <w:rsid w:val="00B012A4"/>
    <w:rsid w:val="00B01726"/>
    <w:rsid w:val="00B01A04"/>
    <w:rsid w:val="00B0229F"/>
    <w:rsid w:val="00B02EB3"/>
    <w:rsid w:val="00B031AA"/>
    <w:rsid w:val="00B031F1"/>
    <w:rsid w:val="00B0352B"/>
    <w:rsid w:val="00B0361E"/>
    <w:rsid w:val="00B036EC"/>
    <w:rsid w:val="00B03873"/>
    <w:rsid w:val="00B03B24"/>
    <w:rsid w:val="00B03B2A"/>
    <w:rsid w:val="00B03CAD"/>
    <w:rsid w:val="00B03D14"/>
    <w:rsid w:val="00B03E5E"/>
    <w:rsid w:val="00B04134"/>
    <w:rsid w:val="00B041E9"/>
    <w:rsid w:val="00B04505"/>
    <w:rsid w:val="00B049F9"/>
    <w:rsid w:val="00B04AF3"/>
    <w:rsid w:val="00B04EE5"/>
    <w:rsid w:val="00B0515B"/>
    <w:rsid w:val="00B05E79"/>
    <w:rsid w:val="00B0645C"/>
    <w:rsid w:val="00B069CE"/>
    <w:rsid w:val="00B06E1C"/>
    <w:rsid w:val="00B071A2"/>
    <w:rsid w:val="00B077D4"/>
    <w:rsid w:val="00B100D2"/>
    <w:rsid w:val="00B1076E"/>
    <w:rsid w:val="00B10FCD"/>
    <w:rsid w:val="00B11035"/>
    <w:rsid w:val="00B1132A"/>
    <w:rsid w:val="00B1132F"/>
    <w:rsid w:val="00B114C4"/>
    <w:rsid w:val="00B114E7"/>
    <w:rsid w:val="00B11796"/>
    <w:rsid w:val="00B118AD"/>
    <w:rsid w:val="00B12063"/>
    <w:rsid w:val="00B12BBB"/>
    <w:rsid w:val="00B12CB6"/>
    <w:rsid w:val="00B133CA"/>
    <w:rsid w:val="00B1399F"/>
    <w:rsid w:val="00B1407F"/>
    <w:rsid w:val="00B142FA"/>
    <w:rsid w:val="00B1434C"/>
    <w:rsid w:val="00B145F5"/>
    <w:rsid w:val="00B148C8"/>
    <w:rsid w:val="00B14E97"/>
    <w:rsid w:val="00B14F58"/>
    <w:rsid w:val="00B1503C"/>
    <w:rsid w:val="00B15205"/>
    <w:rsid w:val="00B15D98"/>
    <w:rsid w:val="00B160E6"/>
    <w:rsid w:val="00B1614E"/>
    <w:rsid w:val="00B16EC1"/>
    <w:rsid w:val="00B16F07"/>
    <w:rsid w:val="00B171B9"/>
    <w:rsid w:val="00B175D9"/>
    <w:rsid w:val="00B17701"/>
    <w:rsid w:val="00B17E36"/>
    <w:rsid w:val="00B2075E"/>
    <w:rsid w:val="00B211D9"/>
    <w:rsid w:val="00B21B57"/>
    <w:rsid w:val="00B22858"/>
    <w:rsid w:val="00B22C98"/>
    <w:rsid w:val="00B231A2"/>
    <w:rsid w:val="00B233AD"/>
    <w:rsid w:val="00B233C7"/>
    <w:rsid w:val="00B23653"/>
    <w:rsid w:val="00B243BD"/>
    <w:rsid w:val="00B247AF"/>
    <w:rsid w:val="00B247FB"/>
    <w:rsid w:val="00B24FDF"/>
    <w:rsid w:val="00B2579D"/>
    <w:rsid w:val="00B2597A"/>
    <w:rsid w:val="00B25ACF"/>
    <w:rsid w:val="00B263EC"/>
    <w:rsid w:val="00B263FA"/>
    <w:rsid w:val="00B26791"/>
    <w:rsid w:val="00B26BFB"/>
    <w:rsid w:val="00B26D03"/>
    <w:rsid w:val="00B26E66"/>
    <w:rsid w:val="00B26FB1"/>
    <w:rsid w:val="00B27EC5"/>
    <w:rsid w:val="00B30351"/>
    <w:rsid w:val="00B3046D"/>
    <w:rsid w:val="00B30679"/>
    <w:rsid w:val="00B3075D"/>
    <w:rsid w:val="00B30B3B"/>
    <w:rsid w:val="00B30EF2"/>
    <w:rsid w:val="00B310E1"/>
    <w:rsid w:val="00B31343"/>
    <w:rsid w:val="00B31841"/>
    <w:rsid w:val="00B31BBF"/>
    <w:rsid w:val="00B32607"/>
    <w:rsid w:val="00B32B07"/>
    <w:rsid w:val="00B33463"/>
    <w:rsid w:val="00B33724"/>
    <w:rsid w:val="00B339D7"/>
    <w:rsid w:val="00B34019"/>
    <w:rsid w:val="00B3437A"/>
    <w:rsid w:val="00B34474"/>
    <w:rsid w:val="00B34610"/>
    <w:rsid w:val="00B34706"/>
    <w:rsid w:val="00B35459"/>
    <w:rsid w:val="00B35464"/>
    <w:rsid w:val="00B35C70"/>
    <w:rsid w:val="00B35D31"/>
    <w:rsid w:val="00B35E61"/>
    <w:rsid w:val="00B35F05"/>
    <w:rsid w:val="00B36BEA"/>
    <w:rsid w:val="00B3710E"/>
    <w:rsid w:val="00B37498"/>
    <w:rsid w:val="00B374AF"/>
    <w:rsid w:val="00B37A19"/>
    <w:rsid w:val="00B37AB4"/>
    <w:rsid w:val="00B37BB2"/>
    <w:rsid w:val="00B37EDD"/>
    <w:rsid w:val="00B4006F"/>
    <w:rsid w:val="00B403B6"/>
    <w:rsid w:val="00B404DE"/>
    <w:rsid w:val="00B40A46"/>
    <w:rsid w:val="00B40C1A"/>
    <w:rsid w:val="00B40CB2"/>
    <w:rsid w:val="00B415EC"/>
    <w:rsid w:val="00B416A4"/>
    <w:rsid w:val="00B41833"/>
    <w:rsid w:val="00B41C0F"/>
    <w:rsid w:val="00B42217"/>
    <w:rsid w:val="00B42939"/>
    <w:rsid w:val="00B42AC6"/>
    <w:rsid w:val="00B42BAF"/>
    <w:rsid w:val="00B42C66"/>
    <w:rsid w:val="00B42FF5"/>
    <w:rsid w:val="00B4361C"/>
    <w:rsid w:val="00B43858"/>
    <w:rsid w:val="00B439DE"/>
    <w:rsid w:val="00B43BC7"/>
    <w:rsid w:val="00B43BF0"/>
    <w:rsid w:val="00B44349"/>
    <w:rsid w:val="00B44A1A"/>
    <w:rsid w:val="00B44F74"/>
    <w:rsid w:val="00B450ED"/>
    <w:rsid w:val="00B45185"/>
    <w:rsid w:val="00B452EB"/>
    <w:rsid w:val="00B45506"/>
    <w:rsid w:val="00B45A99"/>
    <w:rsid w:val="00B45C23"/>
    <w:rsid w:val="00B45F35"/>
    <w:rsid w:val="00B45FDD"/>
    <w:rsid w:val="00B47805"/>
    <w:rsid w:val="00B4790F"/>
    <w:rsid w:val="00B47ABE"/>
    <w:rsid w:val="00B47D44"/>
    <w:rsid w:val="00B50AF6"/>
    <w:rsid w:val="00B50E8A"/>
    <w:rsid w:val="00B510A7"/>
    <w:rsid w:val="00B51102"/>
    <w:rsid w:val="00B513E6"/>
    <w:rsid w:val="00B5141D"/>
    <w:rsid w:val="00B51693"/>
    <w:rsid w:val="00B516F1"/>
    <w:rsid w:val="00B5177D"/>
    <w:rsid w:val="00B51C44"/>
    <w:rsid w:val="00B51D24"/>
    <w:rsid w:val="00B528FA"/>
    <w:rsid w:val="00B52946"/>
    <w:rsid w:val="00B52989"/>
    <w:rsid w:val="00B52C4D"/>
    <w:rsid w:val="00B52D27"/>
    <w:rsid w:val="00B530FF"/>
    <w:rsid w:val="00B5312F"/>
    <w:rsid w:val="00B5332F"/>
    <w:rsid w:val="00B536EA"/>
    <w:rsid w:val="00B53748"/>
    <w:rsid w:val="00B53B3A"/>
    <w:rsid w:val="00B53CAA"/>
    <w:rsid w:val="00B53E7B"/>
    <w:rsid w:val="00B54022"/>
    <w:rsid w:val="00B5435C"/>
    <w:rsid w:val="00B5477E"/>
    <w:rsid w:val="00B54B32"/>
    <w:rsid w:val="00B54C3E"/>
    <w:rsid w:val="00B55090"/>
    <w:rsid w:val="00B553F2"/>
    <w:rsid w:val="00B55D2A"/>
    <w:rsid w:val="00B55DAC"/>
    <w:rsid w:val="00B55E4C"/>
    <w:rsid w:val="00B56411"/>
    <w:rsid w:val="00B565DD"/>
    <w:rsid w:val="00B56811"/>
    <w:rsid w:val="00B56C34"/>
    <w:rsid w:val="00B56F08"/>
    <w:rsid w:val="00B57B6E"/>
    <w:rsid w:val="00B6016B"/>
    <w:rsid w:val="00B602A4"/>
    <w:rsid w:val="00B6034E"/>
    <w:rsid w:val="00B60884"/>
    <w:rsid w:val="00B60CDF"/>
    <w:rsid w:val="00B612D8"/>
    <w:rsid w:val="00B615AB"/>
    <w:rsid w:val="00B6179D"/>
    <w:rsid w:val="00B61CB9"/>
    <w:rsid w:val="00B62387"/>
    <w:rsid w:val="00B627E8"/>
    <w:rsid w:val="00B62BF7"/>
    <w:rsid w:val="00B62F36"/>
    <w:rsid w:val="00B630E0"/>
    <w:rsid w:val="00B63497"/>
    <w:rsid w:val="00B637B3"/>
    <w:rsid w:val="00B63CD9"/>
    <w:rsid w:val="00B63FFB"/>
    <w:rsid w:val="00B64216"/>
    <w:rsid w:val="00B646B5"/>
    <w:rsid w:val="00B64AD6"/>
    <w:rsid w:val="00B64AEB"/>
    <w:rsid w:val="00B64B76"/>
    <w:rsid w:val="00B64C10"/>
    <w:rsid w:val="00B64D62"/>
    <w:rsid w:val="00B65095"/>
    <w:rsid w:val="00B652DC"/>
    <w:rsid w:val="00B65316"/>
    <w:rsid w:val="00B65502"/>
    <w:rsid w:val="00B65653"/>
    <w:rsid w:val="00B65850"/>
    <w:rsid w:val="00B659CB"/>
    <w:rsid w:val="00B65B40"/>
    <w:rsid w:val="00B6630A"/>
    <w:rsid w:val="00B66382"/>
    <w:rsid w:val="00B663FA"/>
    <w:rsid w:val="00B6686D"/>
    <w:rsid w:val="00B66BBF"/>
    <w:rsid w:val="00B66D79"/>
    <w:rsid w:val="00B66DEA"/>
    <w:rsid w:val="00B66E93"/>
    <w:rsid w:val="00B671F0"/>
    <w:rsid w:val="00B67217"/>
    <w:rsid w:val="00B677E7"/>
    <w:rsid w:val="00B70104"/>
    <w:rsid w:val="00B70533"/>
    <w:rsid w:val="00B70697"/>
    <w:rsid w:val="00B7077E"/>
    <w:rsid w:val="00B70C9E"/>
    <w:rsid w:val="00B70F98"/>
    <w:rsid w:val="00B71025"/>
    <w:rsid w:val="00B71196"/>
    <w:rsid w:val="00B71278"/>
    <w:rsid w:val="00B719A5"/>
    <w:rsid w:val="00B71A71"/>
    <w:rsid w:val="00B71D99"/>
    <w:rsid w:val="00B727B1"/>
    <w:rsid w:val="00B72C27"/>
    <w:rsid w:val="00B72D37"/>
    <w:rsid w:val="00B731AA"/>
    <w:rsid w:val="00B7333C"/>
    <w:rsid w:val="00B7346A"/>
    <w:rsid w:val="00B7364C"/>
    <w:rsid w:val="00B73DCC"/>
    <w:rsid w:val="00B73ED2"/>
    <w:rsid w:val="00B73F60"/>
    <w:rsid w:val="00B74348"/>
    <w:rsid w:val="00B7435E"/>
    <w:rsid w:val="00B74588"/>
    <w:rsid w:val="00B74937"/>
    <w:rsid w:val="00B74A6B"/>
    <w:rsid w:val="00B75141"/>
    <w:rsid w:val="00B75521"/>
    <w:rsid w:val="00B75592"/>
    <w:rsid w:val="00B75594"/>
    <w:rsid w:val="00B75830"/>
    <w:rsid w:val="00B75C79"/>
    <w:rsid w:val="00B75CED"/>
    <w:rsid w:val="00B76475"/>
    <w:rsid w:val="00B76E26"/>
    <w:rsid w:val="00B76F05"/>
    <w:rsid w:val="00B773BB"/>
    <w:rsid w:val="00B77598"/>
    <w:rsid w:val="00B77905"/>
    <w:rsid w:val="00B77A61"/>
    <w:rsid w:val="00B77B78"/>
    <w:rsid w:val="00B77C74"/>
    <w:rsid w:val="00B80697"/>
    <w:rsid w:val="00B807EE"/>
    <w:rsid w:val="00B80907"/>
    <w:rsid w:val="00B80C1F"/>
    <w:rsid w:val="00B81236"/>
    <w:rsid w:val="00B81430"/>
    <w:rsid w:val="00B814DC"/>
    <w:rsid w:val="00B81C2D"/>
    <w:rsid w:val="00B8284E"/>
    <w:rsid w:val="00B82885"/>
    <w:rsid w:val="00B82B18"/>
    <w:rsid w:val="00B82B39"/>
    <w:rsid w:val="00B82B82"/>
    <w:rsid w:val="00B82F81"/>
    <w:rsid w:val="00B830A6"/>
    <w:rsid w:val="00B83295"/>
    <w:rsid w:val="00B836C7"/>
    <w:rsid w:val="00B83981"/>
    <w:rsid w:val="00B83B70"/>
    <w:rsid w:val="00B84184"/>
    <w:rsid w:val="00B848E4"/>
    <w:rsid w:val="00B84BCD"/>
    <w:rsid w:val="00B84D3C"/>
    <w:rsid w:val="00B84EDD"/>
    <w:rsid w:val="00B85486"/>
    <w:rsid w:val="00B85562"/>
    <w:rsid w:val="00B855B8"/>
    <w:rsid w:val="00B85616"/>
    <w:rsid w:val="00B856B6"/>
    <w:rsid w:val="00B85734"/>
    <w:rsid w:val="00B85737"/>
    <w:rsid w:val="00B8650B"/>
    <w:rsid w:val="00B8673F"/>
    <w:rsid w:val="00B8682C"/>
    <w:rsid w:val="00B874C3"/>
    <w:rsid w:val="00B87520"/>
    <w:rsid w:val="00B879B7"/>
    <w:rsid w:val="00B87EA1"/>
    <w:rsid w:val="00B90107"/>
    <w:rsid w:val="00B9052B"/>
    <w:rsid w:val="00B9099A"/>
    <w:rsid w:val="00B90A67"/>
    <w:rsid w:val="00B90C93"/>
    <w:rsid w:val="00B90E74"/>
    <w:rsid w:val="00B90E77"/>
    <w:rsid w:val="00B90EF3"/>
    <w:rsid w:val="00B914D8"/>
    <w:rsid w:val="00B915F3"/>
    <w:rsid w:val="00B91DB7"/>
    <w:rsid w:val="00B91F8B"/>
    <w:rsid w:val="00B92AD7"/>
    <w:rsid w:val="00B92C1C"/>
    <w:rsid w:val="00B92C42"/>
    <w:rsid w:val="00B92F75"/>
    <w:rsid w:val="00B93203"/>
    <w:rsid w:val="00B93E3E"/>
    <w:rsid w:val="00B94223"/>
    <w:rsid w:val="00B9422B"/>
    <w:rsid w:val="00B942BB"/>
    <w:rsid w:val="00B9451E"/>
    <w:rsid w:val="00B94A17"/>
    <w:rsid w:val="00B94A90"/>
    <w:rsid w:val="00B94CA9"/>
    <w:rsid w:val="00B94D5B"/>
    <w:rsid w:val="00B94E28"/>
    <w:rsid w:val="00B9535D"/>
    <w:rsid w:val="00B95849"/>
    <w:rsid w:val="00B95D1E"/>
    <w:rsid w:val="00B95FA6"/>
    <w:rsid w:val="00B96120"/>
    <w:rsid w:val="00B96767"/>
    <w:rsid w:val="00B96D85"/>
    <w:rsid w:val="00B96DE9"/>
    <w:rsid w:val="00B97014"/>
    <w:rsid w:val="00B971E9"/>
    <w:rsid w:val="00B97444"/>
    <w:rsid w:val="00B97BD4"/>
    <w:rsid w:val="00BA02B1"/>
    <w:rsid w:val="00BA044B"/>
    <w:rsid w:val="00BA0707"/>
    <w:rsid w:val="00BA0836"/>
    <w:rsid w:val="00BA097E"/>
    <w:rsid w:val="00BA0BF9"/>
    <w:rsid w:val="00BA0D66"/>
    <w:rsid w:val="00BA0EBA"/>
    <w:rsid w:val="00BA0F59"/>
    <w:rsid w:val="00BA1399"/>
    <w:rsid w:val="00BA173C"/>
    <w:rsid w:val="00BA1BB5"/>
    <w:rsid w:val="00BA1BEC"/>
    <w:rsid w:val="00BA2119"/>
    <w:rsid w:val="00BA2744"/>
    <w:rsid w:val="00BA2ACD"/>
    <w:rsid w:val="00BA2AF4"/>
    <w:rsid w:val="00BA36F3"/>
    <w:rsid w:val="00BA3704"/>
    <w:rsid w:val="00BA3F54"/>
    <w:rsid w:val="00BA4343"/>
    <w:rsid w:val="00BA440A"/>
    <w:rsid w:val="00BA442B"/>
    <w:rsid w:val="00BA44F0"/>
    <w:rsid w:val="00BA49B2"/>
    <w:rsid w:val="00BA4AD2"/>
    <w:rsid w:val="00BA4D00"/>
    <w:rsid w:val="00BA4F36"/>
    <w:rsid w:val="00BA50E2"/>
    <w:rsid w:val="00BA57B0"/>
    <w:rsid w:val="00BA596C"/>
    <w:rsid w:val="00BA5CD8"/>
    <w:rsid w:val="00BA5F89"/>
    <w:rsid w:val="00BA623F"/>
    <w:rsid w:val="00BA65FE"/>
    <w:rsid w:val="00BA6948"/>
    <w:rsid w:val="00BA69D8"/>
    <w:rsid w:val="00BA6C7E"/>
    <w:rsid w:val="00BA6F5C"/>
    <w:rsid w:val="00BA731E"/>
    <w:rsid w:val="00BA7475"/>
    <w:rsid w:val="00BA782E"/>
    <w:rsid w:val="00BA784D"/>
    <w:rsid w:val="00BA7E0A"/>
    <w:rsid w:val="00BA7F10"/>
    <w:rsid w:val="00BB0244"/>
    <w:rsid w:val="00BB07E4"/>
    <w:rsid w:val="00BB192E"/>
    <w:rsid w:val="00BB1BC4"/>
    <w:rsid w:val="00BB207A"/>
    <w:rsid w:val="00BB2095"/>
    <w:rsid w:val="00BB24B3"/>
    <w:rsid w:val="00BB275D"/>
    <w:rsid w:val="00BB2B43"/>
    <w:rsid w:val="00BB2D76"/>
    <w:rsid w:val="00BB3C77"/>
    <w:rsid w:val="00BB43AD"/>
    <w:rsid w:val="00BB4491"/>
    <w:rsid w:val="00BB4AD9"/>
    <w:rsid w:val="00BB4D94"/>
    <w:rsid w:val="00BB4F95"/>
    <w:rsid w:val="00BB5200"/>
    <w:rsid w:val="00BB555D"/>
    <w:rsid w:val="00BB5573"/>
    <w:rsid w:val="00BB5722"/>
    <w:rsid w:val="00BB5944"/>
    <w:rsid w:val="00BB61F2"/>
    <w:rsid w:val="00BB66D9"/>
    <w:rsid w:val="00BB699C"/>
    <w:rsid w:val="00BB6C14"/>
    <w:rsid w:val="00BB788D"/>
    <w:rsid w:val="00BC02E6"/>
    <w:rsid w:val="00BC03B3"/>
    <w:rsid w:val="00BC044F"/>
    <w:rsid w:val="00BC0464"/>
    <w:rsid w:val="00BC0A4E"/>
    <w:rsid w:val="00BC0BF1"/>
    <w:rsid w:val="00BC0CD7"/>
    <w:rsid w:val="00BC0D33"/>
    <w:rsid w:val="00BC1B20"/>
    <w:rsid w:val="00BC1E4D"/>
    <w:rsid w:val="00BC236C"/>
    <w:rsid w:val="00BC25C5"/>
    <w:rsid w:val="00BC2DCE"/>
    <w:rsid w:val="00BC2E21"/>
    <w:rsid w:val="00BC3192"/>
    <w:rsid w:val="00BC3299"/>
    <w:rsid w:val="00BC32D4"/>
    <w:rsid w:val="00BC3A57"/>
    <w:rsid w:val="00BC3AEC"/>
    <w:rsid w:val="00BC3D68"/>
    <w:rsid w:val="00BC463A"/>
    <w:rsid w:val="00BC496F"/>
    <w:rsid w:val="00BC4DC1"/>
    <w:rsid w:val="00BC5C88"/>
    <w:rsid w:val="00BC5E3E"/>
    <w:rsid w:val="00BC5F42"/>
    <w:rsid w:val="00BC5FD3"/>
    <w:rsid w:val="00BC6494"/>
    <w:rsid w:val="00BC6C95"/>
    <w:rsid w:val="00BC6DBF"/>
    <w:rsid w:val="00BC71CA"/>
    <w:rsid w:val="00BC7425"/>
    <w:rsid w:val="00BC74FC"/>
    <w:rsid w:val="00BC7799"/>
    <w:rsid w:val="00BC79FC"/>
    <w:rsid w:val="00BC7B3F"/>
    <w:rsid w:val="00BD0081"/>
    <w:rsid w:val="00BD02F8"/>
    <w:rsid w:val="00BD0776"/>
    <w:rsid w:val="00BD0954"/>
    <w:rsid w:val="00BD09A7"/>
    <w:rsid w:val="00BD0A19"/>
    <w:rsid w:val="00BD0EBE"/>
    <w:rsid w:val="00BD1207"/>
    <w:rsid w:val="00BD12C9"/>
    <w:rsid w:val="00BD13F6"/>
    <w:rsid w:val="00BD1826"/>
    <w:rsid w:val="00BD2165"/>
    <w:rsid w:val="00BD2363"/>
    <w:rsid w:val="00BD24C9"/>
    <w:rsid w:val="00BD25E1"/>
    <w:rsid w:val="00BD2822"/>
    <w:rsid w:val="00BD2847"/>
    <w:rsid w:val="00BD2B7A"/>
    <w:rsid w:val="00BD3867"/>
    <w:rsid w:val="00BD3992"/>
    <w:rsid w:val="00BD3F18"/>
    <w:rsid w:val="00BD3F40"/>
    <w:rsid w:val="00BD3FC3"/>
    <w:rsid w:val="00BD4145"/>
    <w:rsid w:val="00BD4916"/>
    <w:rsid w:val="00BD4E76"/>
    <w:rsid w:val="00BD4F7B"/>
    <w:rsid w:val="00BD531D"/>
    <w:rsid w:val="00BD5A2E"/>
    <w:rsid w:val="00BD5AEC"/>
    <w:rsid w:val="00BD5BF3"/>
    <w:rsid w:val="00BD5FE5"/>
    <w:rsid w:val="00BD6187"/>
    <w:rsid w:val="00BD62A1"/>
    <w:rsid w:val="00BD6488"/>
    <w:rsid w:val="00BD6576"/>
    <w:rsid w:val="00BD66A7"/>
    <w:rsid w:val="00BD6748"/>
    <w:rsid w:val="00BD6876"/>
    <w:rsid w:val="00BD69C8"/>
    <w:rsid w:val="00BD6AAA"/>
    <w:rsid w:val="00BD6B43"/>
    <w:rsid w:val="00BD6D3C"/>
    <w:rsid w:val="00BD75C4"/>
    <w:rsid w:val="00BD76F6"/>
    <w:rsid w:val="00BD7B38"/>
    <w:rsid w:val="00BD7B74"/>
    <w:rsid w:val="00BD7F25"/>
    <w:rsid w:val="00BE041A"/>
    <w:rsid w:val="00BE059D"/>
    <w:rsid w:val="00BE06FC"/>
    <w:rsid w:val="00BE0AE9"/>
    <w:rsid w:val="00BE0FE1"/>
    <w:rsid w:val="00BE11D7"/>
    <w:rsid w:val="00BE14D2"/>
    <w:rsid w:val="00BE151A"/>
    <w:rsid w:val="00BE152A"/>
    <w:rsid w:val="00BE1667"/>
    <w:rsid w:val="00BE16F1"/>
    <w:rsid w:val="00BE1B97"/>
    <w:rsid w:val="00BE1D9B"/>
    <w:rsid w:val="00BE21CE"/>
    <w:rsid w:val="00BE24D6"/>
    <w:rsid w:val="00BE26E2"/>
    <w:rsid w:val="00BE2719"/>
    <w:rsid w:val="00BE29C1"/>
    <w:rsid w:val="00BE34E4"/>
    <w:rsid w:val="00BE38D0"/>
    <w:rsid w:val="00BE3E22"/>
    <w:rsid w:val="00BE3F5D"/>
    <w:rsid w:val="00BE4293"/>
    <w:rsid w:val="00BE459F"/>
    <w:rsid w:val="00BE476C"/>
    <w:rsid w:val="00BE4906"/>
    <w:rsid w:val="00BE4A35"/>
    <w:rsid w:val="00BE5378"/>
    <w:rsid w:val="00BE5401"/>
    <w:rsid w:val="00BE60C8"/>
    <w:rsid w:val="00BE61FC"/>
    <w:rsid w:val="00BE6A2B"/>
    <w:rsid w:val="00BE6DCF"/>
    <w:rsid w:val="00BE6FEF"/>
    <w:rsid w:val="00BE767B"/>
    <w:rsid w:val="00BE78BC"/>
    <w:rsid w:val="00BE7E0E"/>
    <w:rsid w:val="00BE7E8D"/>
    <w:rsid w:val="00BF012D"/>
    <w:rsid w:val="00BF0622"/>
    <w:rsid w:val="00BF0811"/>
    <w:rsid w:val="00BF095B"/>
    <w:rsid w:val="00BF09C5"/>
    <w:rsid w:val="00BF09DC"/>
    <w:rsid w:val="00BF0F54"/>
    <w:rsid w:val="00BF1DD1"/>
    <w:rsid w:val="00BF249B"/>
    <w:rsid w:val="00BF3347"/>
    <w:rsid w:val="00BF354C"/>
    <w:rsid w:val="00BF3879"/>
    <w:rsid w:val="00BF3B3C"/>
    <w:rsid w:val="00BF3FE7"/>
    <w:rsid w:val="00BF43EC"/>
    <w:rsid w:val="00BF4799"/>
    <w:rsid w:val="00BF4AE4"/>
    <w:rsid w:val="00BF4FFE"/>
    <w:rsid w:val="00BF5055"/>
    <w:rsid w:val="00BF5955"/>
    <w:rsid w:val="00BF6A43"/>
    <w:rsid w:val="00BF6A7B"/>
    <w:rsid w:val="00BF6F29"/>
    <w:rsid w:val="00BF7028"/>
    <w:rsid w:val="00BF7118"/>
    <w:rsid w:val="00BF720A"/>
    <w:rsid w:val="00BF7716"/>
    <w:rsid w:val="00BF7A7A"/>
    <w:rsid w:val="00BF7D40"/>
    <w:rsid w:val="00BF7FD4"/>
    <w:rsid w:val="00C000AA"/>
    <w:rsid w:val="00C000C3"/>
    <w:rsid w:val="00C000FE"/>
    <w:rsid w:val="00C0035A"/>
    <w:rsid w:val="00C004CC"/>
    <w:rsid w:val="00C004D9"/>
    <w:rsid w:val="00C004E9"/>
    <w:rsid w:val="00C00CDE"/>
    <w:rsid w:val="00C0193D"/>
    <w:rsid w:val="00C01C50"/>
    <w:rsid w:val="00C02244"/>
    <w:rsid w:val="00C022CA"/>
    <w:rsid w:val="00C024E0"/>
    <w:rsid w:val="00C0296B"/>
    <w:rsid w:val="00C02FD0"/>
    <w:rsid w:val="00C03C98"/>
    <w:rsid w:val="00C03EB8"/>
    <w:rsid w:val="00C0423C"/>
    <w:rsid w:val="00C04597"/>
    <w:rsid w:val="00C045E9"/>
    <w:rsid w:val="00C0499B"/>
    <w:rsid w:val="00C04AEF"/>
    <w:rsid w:val="00C04C89"/>
    <w:rsid w:val="00C04DF5"/>
    <w:rsid w:val="00C053AF"/>
    <w:rsid w:val="00C05483"/>
    <w:rsid w:val="00C0598A"/>
    <w:rsid w:val="00C05A60"/>
    <w:rsid w:val="00C0622A"/>
    <w:rsid w:val="00C06424"/>
    <w:rsid w:val="00C06490"/>
    <w:rsid w:val="00C06587"/>
    <w:rsid w:val="00C06A42"/>
    <w:rsid w:val="00C06AFC"/>
    <w:rsid w:val="00C06B60"/>
    <w:rsid w:val="00C06F69"/>
    <w:rsid w:val="00C074DB"/>
    <w:rsid w:val="00C075D2"/>
    <w:rsid w:val="00C07617"/>
    <w:rsid w:val="00C078BA"/>
    <w:rsid w:val="00C07EFF"/>
    <w:rsid w:val="00C1073B"/>
    <w:rsid w:val="00C1088C"/>
    <w:rsid w:val="00C10F3F"/>
    <w:rsid w:val="00C10FB2"/>
    <w:rsid w:val="00C110D7"/>
    <w:rsid w:val="00C11270"/>
    <w:rsid w:val="00C113AE"/>
    <w:rsid w:val="00C11728"/>
    <w:rsid w:val="00C11A7A"/>
    <w:rsid w:val="00C11E18"/>
    <w:rsid w:val="00C11FC5"/>
    <w:rsid w:val="00C120E8"/>
    <w:rsid w:val="00C12396"/>
    <w:rsid w:val="00C12791"/>
    <w:rsid w:val="00C127D2"/>
    <w:rsid w:val="00C1299A"/>
    <w:rsid w:val="00C13508"/>
    <w:rsid w:val="00C1367D"/>
    <w:rsid w:val="00C139DA"/>
    <w:rsid w:val="00C13C82"/>
    <w:rsid w:val="00C14277"/>
    <w:rsid w:val="00C1430D"/>
    <w:rsid w:val="00C14960"/>
    <w:rsid w:val="00C1520B"/>
    <w:rsid w:val="00C1528B"/>
    <w:rsid w:val="00C15362"/>
    <w:rsid w:val="00C153A7"/>
    <w:rsid w:val="00C15752"/>
    <w:rsid w:val="00C15B69"/>
    <w:rsid w:val="00C15EA5"/>
    <w:rsid w:val="00C15F82"/>
    <w:rsid w:val="00C16757"/>
    <w:rsid w:val="00C1679C"/>
    <w:rsid w:val="00C16AC7"/>
    <w:rsid w:val="00C16F9E"/>
    <w:rsid w:val="00C17439"/>
    <w:rsid w:val="00C176BB"/>
    <w:rsid w:val="00C17898"/>
    <w:rsid w:val="00C179EB"/>
    <w:rsid w:val="00C17ACA"/>
    <w:rsid w:val="00C17CA5"/>
    <w:rsid w:val="00C17CDD"/>
    <w:rsid w:val="00C20084"/>
    <w:rsid w:val="00C20201"/>
    <w:rsid w:val="00C20241"/>
    <w:rsid w:val="00C20294"/>
    <w:rsid w:val="00C2033B"/>
    <w:rsid w:val="00C2033E"/>
    <w:rsid w:val="00C204E3"/>
    <w:rsid w:val="00C20BE6"/>
    <w:rsid w:val="00C20E53"/>
    <w:rsid w:val="00C21291"/>
    <w:rsid w:val="00C2147D"/>
    <w:rsid w:val="00C214EC"/>
    <w:rsid w:val="00C21535"/>
    <w:rsid w:val="00C21A30"/>
    <w:rsid w:val="00C21AED"/>
    <w:rsid w:val="00C22088"/>
    <w:rsid w:val="00C2214D"/>
    <w:rsid w:val="00C222C4"/>
    <w:rsid w:val="00C2231C"/>
    <w:rsid w:val="00C22365"/>
    <w:rsid w:val="00C2266B"/>
    <w:rsid w:val="00C226B7"/>
    <w:rsid w:val="00C22A5A"/>
    <w:rsid w:val="00C22C22"/>
    <w:rsid w:val="00C231AA"/>
    <w:rsid w:val="00C231EE"/>
    <w:rsid w:val="00C2390D"/>
    <w:rsid w:val="00C23DB1"/>
    <w:rsid w:val="00C23DEE"/>
    <w:rsid w:val="00C23EF9"/>
    <w:rsid w:val="00C2442D"/>
    <w:rsid w:val="00C24573"/>
    <w:rsid w:val="00C24C92"/>
    <w:rsid w:val="00C24FB7"/>
    <w:rsid w:val="00C24FBD"/>
    <w:rsid w:val="00C252F7"/>
    <w:rsid w:val="00C2638C"/>
    <w:rsid w:val="00C275FC"/>
    <w:rsid w:val="00C2764C"/>
    <w:rsid w:val="00C279BF"/>
    <w:rsid w:val="00C27B5C"/>
    <w:rsid w:val="00C27DC2"/>
    <w:rsid w:val="00C30038"/>
    <w:rsid w:val="00C3025B"/>
    <w:rsid w:val="00C30496"/>
    <w:rsid w:val="00C3074A"/>
    <w:rsid w:val="00C30935"/>
    <w:rsid w:val="00C30AFA"/>
    <w:rsid w:val="00C30AFB"/>
    <w:rsid w:val="00C30C0A"/>
    <w:rsid w:val="00C31643"/>
    <w:rsid w:val="00C319F1"/>
    <w:rsid w:val="00C31D97"/>
    <w:rsid w:val="00C322B9"/>
    <w:rsid w:val="00C327B2"/>
    <w:rsid w:val="00C32948"/>
    <w:rsid w:val="00C32A95"/>
    <w:rsid w:val="00C32B45"/>
    <w:rsid w:val="00C32CF6"/>
    <w:rsid w:val="00C32EE6"/>
    <w:rsid w:val="00C3309B"/>
    <w:rsid w:val="00C334F2"/>
    <w:rsid w:val="00C3375D"/>
    <w:rsid w:val="00C3398F"/>
    <w:rsid w:val="00C33B57"/>
    <w:rsid w:val="00C33CCF"/>
    <w:rsid w:val="00C34A4F"/>
    <w:rsid w:val="00C34B79"/>
    <w:rsid w:val="00C34DFC"/>
    <w:rsid w:val="00C355B7"/>
    <w:rsid w:val="00C355CE"/>
    <w:rsid w:val="00C35777"/>
    <w:rsid w:val="00C35A65"/>
    <w:rsid w:val="00C35C43"/>
    <w:rsid w:val="00C35E05"/>
    <w:rsid w:val="00C3630A"/>
    <w:rsid w:val="00C364BF"/>
    <w:rsid w:val="00C369FD"/>
    <w:rsid w:val="00C36F80"/>
    <w:rsid w:val="00C37FF7"/>
    <w:rsid w:val="00C402BD"/>
    <w:rsid w:val="00C40B73"/>
    <w:rsid w:val="00C4105B"/>
    <w:rsid w:val="00C41343"/>
    <w:rsid w:val="00C41456"/>
    <w:rsid w:val="00C414E3"/>
    <w:rsid w:val="00C418F4"/>
    <w:rsid w:val="00C4191C"/>
    <w:rsid w:val="00C4195A"/>
    <w:rsid w:val="00C419F4"/>
    <w:rsid w:val="00C41B51"/>
    <w:rsid w:val="00C423FB"/>
    <w:rsid w:val="00C42B4E"/>
    <w:rsid w:val="00C42CC7"/>
    <w:rsid w:val="00C43000"/>
    <w:rsid w:val="00C433D0"/>
    <w:rsid w:val="00C44578"/>
    <w:rsid w:val="00C4476D"/>
    <w:rsid w:val="00C44878"/>
    <w:rsid w:val="00C448FB"/>
    <w:rsid w:val="00C44C14"/>
    <w:rsid w:val="00C44C43"/>
    <w:rsid w:val="00C44E7F"/>
    <w:rsid w:val="00C4511B"/>
    <w:rsid w:val="00C451AB"/>
    <w:rsid w:val="00C45474"/>
    <w:rsid w:val="00C456FC"/>
    <w:rsid w:val="00C45A39"/>
    <w:rsid w:val="00C45B91"/>
    <w:rsid w:val="00C45E61"/>
    <w:rsid w:val="00C46272"/>
    <w:rsid w:val="00C466C3"/>
    <w:rsid w:val="00C469AB"/>
    <w:rsid w:val="00C46AB0"/>
    <w:rsid w:val="00C4727B"/>
    <w:rsid w:val="00C47395"/>
    <w:rsid w:val="00C50039"/>
    <w:rsid w:val="00C50C75"/>
    <w:rsid w:val="00C50DD4"/>
    <w:rsid w:val="00C50F28"/>
    <w:rsid w:val="00C51090"/>
    <w:rsid w:val="00C5145C"/>
    <w:rsid w:val="00C519A4"/>
    <w:rsid w:val="00C51A1A"/>
    <w:rsid w:val="00C528EE"/>
    <w:rsid w:val="00C52951"/>
    <w:rsid w:val="00C529AE"/>
    <w:rsid w:val="00C529B1"/>
    <w:rsid w:val="00C529DA"/>
    <w:rsid w:val="00C52CF8"/>
    <w:rsid w:val="00C52E59"/>
    <w:rsid w:val="00C539CF"/>
    <w:rsid w:val="00C539E9"/>
    <w:rsid w:val="00C53E59"/>
    <w:rsid w:val="00C54647"/>
    <w:rsid w:val="00C54683"/>
    <w:rsid w:val="00C55215"/>
    <w:rsid w:val="00C556E2"/>
    <w:rsid w:val="00C55C28"/>
    <w:rsid w:val="00C55D9F"/>
    <w:rsid w:val="00C566C9"/>
    <w:rsid w:val="00C56A82"/>
    <w:rsid w:val="00C5707C"/>
    <w:rsid w:val="00C57726"/>
    <w:rsid w:val="00C57765"/>
    <w:rsid w:val="00C57B63"/>
    <w:rsid w:val="00C57D52"/>
    <w:rsid w:val="00C600B8"/>
    <w:rsid w:val="00C603C7"/>
    <w:rsid w:val="00C60BA4"/>
    <w:rsid w:val="00C60BF8"/>
    <w:rsid w:val="00C610DD"/>
    <w:rsid w:val="00C6116D"/>
    <w:rsid w:val="00C612C2"/>
    <w:rsid w:val="00C613B2"/>
    <w:rsid w:val="00C61539"/>
    <w:rsid w:val="00C6175F"/>
    <w:rsid w:val="00C61891"/>
    <w:rsid w:val="00C61C2E"/>
    <w:rsid w:val="00C627F8"/>
    <w:rsid w:val="00C62A61"/>
    <w:rsid w:val="00C62BBB"/>
    <w:rsid w:val="00C62D20"/>
    <w:rsid w:val="00C62E23"/>
    <w:rsid w:val="00C6301E"/>
    <w:rsid w:val="00C6327B"/>
    <w:rsid w:val="00C6360B"/>
    <w:rsid w:val="00C63653"/>
    <w:rsid w:val="00C63687"/>
    <w:rsid w:val="00C63A1B"/>
    <w:rsid w:val="00C63C1C"/>
    <w:rsid w:val="00C63D28"/>
    <w:rsid w:val="00C6405F"/>
    <w:rsid w:val="00C64891"/>
    <w:rsid w:val="00C64B8C"/>
    <w:rsid w:val="00C64CE8"/>
    <w:rsid w:val="00C64CEB"/>
    <w:rsid w:val="00C64ED6"/>
    <w:rsid w:val="00C654BB"/>
    <w:rsid w:val="00C65602"/>
    <w:rsid w:val="00C65BF9"/>
    <w:rsid w:val="00C66161"/>
    <w:rsid w:val="00C66189"/>
    <w:rsid w:val="00C66290"/>
    <w:rsid w:val="00C66701"/>
    <w:rsid w:val="00C66823"/>
    <w:rsid w:val="00C66958"/>
    <w:rsid w:val="00C66984"/>
    <w:rsid w:val="00C66DDB"/>
    <w:rsid w:val="00C66F17"/>
    <w:rsid w:val="00C6720D"/>
    <w:rsid w:val="00C67622"/>
    <w:rsid w:val="00C677A4"/>
    <w:rsid w:val="00C67966"/>
    <w:rsid w:val="00C67A59"/>
    <w:rsid w:val="00C67AD0"/>
    <w:rsid w:val="00C67F63"/>
    <w:rsid w:val="00C70610"/>
    <w:rsid w:val="00C70763"/>
    <w:rsid w:val="00C70797"/>
    <w:rsid w:val="00C70B4D"/>
    <w:rsid w:val="00C710C1"/>
    <w:rsid w:val="00C7191F"/>
    <w:rsid w:val="00C71A0B"/>
    <w:rsid w:val="00C71A1A"/>
    <w:rsid w:val="00C71EE7"/>
    <w:rsid w:val="00C7200C"/>
    <w:rsid w:val="00C72714"/>
    <w:rsid w:val="00C72C19"/>
    <w:rsid w:val="00C72F3F"/>
    <w:rsid w:val="00C730A3"/>
    <w:rsid w:val="00C736B4"/>
    <w:rsid w:val="00C737A8"/>
    <w:rsid w:val="00C73A2A"/>
    <w:rsid w:val="00C74050"/>
    <w:rsid w:val="00C74C0E"/>
    <w:rsid w:val="00C74DDD"/>
    <w:rsid w:val="00C753F5"/>
    <w:rsid w:val="00C75630"/>
    <w:rsid w:val="00C768F4"/>
    <w:rsid w:val="00C76DED"/>
    <w:rsid w:val="00C77151"/>
    <w:rsid w:val="00C773FB"/>
    <w:rsid w:val="00C77860"/>
    <w:rsid w:val="00C77D4B"/>
    <w:rsid w:val="00C8013B"/>
    <w:rsid w:val="00C80342"/>
    <w:rsid w:val="00C80848"/>
    <w:rsid w:val="00C80C5D"/>
    <w:rsid w:val="00C8146F"/>
    <w:rsid w:val="00C819A5"/>
    <w:rsid w:val="00C81BE3"/>
    <w:rsid w:val="00C81E85"/>
    <w:rsid w:val="00C81EF2"/>
    <w:rsid w:val="00C81F94"/>
    <w:rsid w:val="00C82029"/>
    <w:rsid w:val="00C826F0"/>
    <w:rsid w:val="00C827D1"/>
    <w:rsid w:val="00C82918"/>
    <w:rsid w:val="00C82E10"/>
    <w:rsid w:val="00C830A6"/>
    <w:rsid w:val="00C83675"/>
    <w:rsid w:val="00C83ABD"/>
    <w:rsid w:val="00C83C56"/>
    <w:rsid w:val="00C840FB"/>
    <w:rsid w:val="00C8420C"/>
    <w:rsid w:val="00C8441D"/>
    <w:rsid w:val="00C8494E"/>
    <w:rsid w:val="00C84967"/>
    <w:rsid w:val="00C849AA"/>
    <w:rsid w:val="00C851BB"/>
    <w:rsid w:val="00C85975"/>
    <w:rsid w:val="00C85AEB"/>
    <w:rsid w:val="00C85C6A"/>
    <w:rsid w:val="00C85CFC"/>
    <w:rsid w:val="00C85F6B"/>
    <w:rsid w:val="00C85F6E"/>
    <w:rsid w:val="00C86190"/>
    <w:rsid w:val="00C86B54"/>
    <w:rsid w:val="00C86D3B"/>
    <w:rsid w:val="00C87085"/>
    <w:rsid w:val="00C872AF"/>
    <w:rsid w:val="00C872F0"/>
    <w:rsid w:val="00C8781F"/>
    <w:rsid w:val="00C87A82"/>
    <w:rsid w:val="00C87BAE"/>
    <w:rsid w:val="00C87C10"/>
    <w:rsid w:val="00C87FBD"/>
    <w:rsid w:val="00C901E8"/>
    <w:rsid w:val="00C90950"/>
    <w:rsid w:val="00C90C95"/>
    <w:rsid w:val="00C9109A"/>
    <w:rsid w:val="00C912BD"/>
    <w:rsid w:val="00C91389"/>
    <w:rsid w:val="00C913B7"/>
    <w:rsid w:val="00C914F0"/>
    <w:rsid w:val="00C919FA"/>
    <w:rsid w:val="00C91BEC"/>
    <w:rsid w:val="00C91F03"/>
    <w:rsid w:val="00C91F71"/>
    <w:rsid w:val="00C923DA"/>
    <w:rsid w:val="00C92727"/>
    <w:rsid w:val="00C92847"/>
    <w:rsid w:val="00C9297E"/>
    <w:rsid w:val="00C92D5A"/>
    <w:rsid w:val="00C92E2C"/>
    <w:rsid w:val="00C92F60"/>
    <w:rsid w:val="00C930EF"/>
    <w:rsid w:val="00C931DE"/>
    <w:rsid w:val="00C9350D"/>
    <w:rsid w:val="00C93A6C"/>
    <w:rsid w:val="00C93B3A"/>
    <w:rsid w:val="00C941A0"/>
    <w:rsid w:val="00C947EB"/>
    <w:rsid w:val="00C9494C"/>
    <w:rsid w:val="00C94D4B"/>
    <w:rsid w:val="00C94EF7"/>
    <w:rsid w:val="00C95046"/>
    <w:rsid w:val="00C954EF"/>
    <w:rsid w:val="00C95804"/>
    <w:rsid w:val="00C958E5"/>
    <w:rsid w:val="00C95BD0"/>
    <w:rsid w:val="00C95D5F"/>
    <w:rsid w:val="00C95F08"/>
    <w:rsid w:val="00C9670E"/>
    <w:rsid w:val="00C96801"/>
    <w:rsid w:val="00C96A70"/>
    <w:rsid w:val="00C96FF9"/>
    <w:rsid w:val="00C970A4"/>
    <w:rsid w:val="00C973AF"/>
    <w:rsid w:val="00C97443"/>
    <w:rsid w:val="00C976D5"/>
    <w:rsid w:val="00C97ED1"/>
    <w:rsid w:val="00CA046D"/>
    <w:rsid w:val="00CA04FC"/>
    <w:rsid w:val="00CA05AD"/>
    <w:rsid w:val="00CA0B77"/>
    <w:rsid w:val="00CA0C9E"/>
    <w:rsid w:val="00CA0E1A"/>
    <w:rsid w:val="00CA126D"/>
    <w:rsid w:val="00CA13A3"/>
    <w:rsid w:val="00CA13E5"/>
    <w:rsid w:val="00CA1533"/>
    <w:rsid w:val="00CA1809"/>
    <w:rsid w:val="00CA1E07"/>
    <w:rsid w:val="00CA2320"/>
    <w:rsid w:val="00CA25DA"/>
    <w:rsid w:val="00CA273D"/>
    <w:rsid w:val="00CA2D2C"/>
    <w:rsid w:val="00CA2FED"/>
    <w:rsid w:val="00CA32DE"/>
    <w:rsid w:val="00CA388E"/>
    <w:rsid w:val="00CA3C3D"/>
    <w:rsid w:val="00CA3CB7"/>
    <w:rsid w:val="00CA3E12"/>
    <w:rsid w:val="00CA3E50"/>
    <w:rsid w:val="00CA3EC4"/>
    <w:rsid w:val="00CA40B5"/>
    <w:rsid w:val="00CA438D"/>
    <w:rsid w:val="00CA477A"/>
    <w:rsid w:val="00CA48F2"/>
    <w:rsid w:val="00CA4C62"/>
    <w:rsid w:val="00CA52C2"/>
    <w:rsid w:val="00CA5886"/>
    <w:rsid w:val="00CA6087"/>
    <w:rsid w:val="00CA6242"/>
    <w:rsid w:val="00CA6639"/>
    <w:rsid w:val="00CA68AB"/>
    <w:rsid w:val="00CA6A85"/>
    <w:rsid w:val="00CA73BD"/>
    <w:rsid w:val="00CA7565"/>
    <w:rsid w:val="00CA7A13"/>
    <w:rsid w:val="00CA7A44"/>
    <w:rsid w:val="00CA7A96"/>
    <w:rsid w:val="00CA7D4F"/>
    <w:rsid w:val="00CA7DE0"/>
    <w:rsid w:val="00CA7EA2"/>
    <w:rsid w:val="00CA7FD0"/>
    <w:rsid w:val="00CA7FD2"/>
    <w:rsid w:val="00CB021A"/>
    <w:rsid w:val="00CB0438"/>
    <w:rsid w:val="00CB046F"/>
    <w:rsid w:val="00CB04A1"/>
    <w:rsid w:val="00CB07FC"/>
    <w:rsid w:val="00CB0B59"/>
    <w:rsid w:val="00CB0B5F"/>
    <w:rsid w:val="00CB0B62"/>
    <w:rsid w:val="00CB1009"/>
    <w:rsid w:val="00CB195A"/>
    <w:rsid w:val="00CB1D64"/>
    <w:rsid w:val="00CB2040"/>
    <w:rsid w:val="00CB2574"/>
    <w:rsid w:val="00CB261D"/>
    <w:rsid w:val="00CB26CE"/>
    <w:rsid w:val="00CB2EE7"/>
    <w:rsid w:val="00CB2F70"/>
    <w:rsid w:val="00CB34CF"/>
    <w:rsid w:val="00CB365E"/>
    <w:rsid w:val="00CB3806"/>
    <w:rsid w:val="00CB410D"/>
    <w:rsid w:val="00CB4568"/>
    <w:rsid w:val="00CB47AC"/>
    <w:rsid w:val="00CB4D5E"/>
    <w:rsid w:val="00CB4F9E"/>
    <w:rsid w:val="00CB5141"/>
    <w:rsid w:val="00CB536A"/>
    <w:rsid w:val="00CB5548"/>
    <w:rsid w:val="00CB599F"/>
    <w:rsid w:val="00CB5CF0"/>
    <w:rsid w:val="00CB62DF"/>
    <w:rsid w:val="00CB63E9"/>
    <w:rsid w:val="00CB64DC"/>
    <w:rsid w:val="00CB6752"/>
    <w:rsid w:val="00CB6987"/>
    <w:rsid w:val="00CB6C1D"/>
    <w:rsid w:val="00CB6E55"/>
    <w:rsid w:val="00CB71DD"/>
    <w:rsid w:val="00CB784A"/>
    <w:rsid w:val="00CB7C8F"/>
    <w:rsid w:val="00CC00E6"/>
    <w:rsid w:val="00CC015D"/>
    <w:rsid w:val="00CC0365"/>
    <w:rsid w:val="00CC061E"/>
    <w:rsid w:val="00CC0661"/>
    <w:rsid w:val="00CC0A1D"/>
    <w:rsid w:val="00CC15B3"/>
    <w:rsid w:val="00CC1B29"/>
    <w:rsid w:val="00CC224A"/>
    <w:rsid w:val="00CC2D70"/>
    <w:rsid w:val="00CC307E"/>
    <w:rsid w:val="00CC3087"/>
    <w:rsid w:val="00CC36D2"/>
    <w:rsid w:val="00CC3B5B"/>
    <w:rsid w:val="00CC4021"/>
    <w:rsid w:val="00CC41BC"/>
    <w:rsid w:val="00CC52BB"/>
    <w:rsid w:val="00CC5559"/>
    <w:rsid w:val="00CC5EC2"/>
    <w:rsid w:val="00CC6242"/>
    <w:rsid w:val="00CC6501"/>
    <w:rsid w:val="00CC674B"/>
    <w:rsid w:val="00CC6F31"/>
    <w:rsid w:val="00CC6FBD"/>
    <w:rsid w:val="00CC6FCE"/>
    <w:rsid w:val="00CC707B"/>
    <w:rsid w:val="00CC77A8"/>
    <w:rsid w:val="00CC77E3"/>
    <w:rsid w:val="00CC79D3"/>
    <w:rsid w:val="00CD0326"/>
    <w:rsid w:val="00CD039F"/>
    <w:rsid w:val="00CD0C21"/>
    <w:rsid w:val="00CD103A"/>
    <w:rsid w:val="00CD110A"/>
    <w:rsid w:val="00CD17CA"/>
    <w:rsid w:val="00CD204A"/>
    <w:rsid w:val="00CD27F9"/>
    <w:rsid w:val="00CD2D0F"/>
    <w:rsid w:val="00CD2D35"/>
    <w:rsid w:val="00CD302B"/>
    <w:rsid w:val="00CD3424"/>
    <w:rsid w:val="00CD3839"/>
    <w:rsid w:val="00CD3EBC"/>
    <w:rsid w:val="00CD3EF2"/>
    <w:rsid w:val="00CD5105"/>
    <w:rsid w:val="00CD5192"/>
    <w:rsid w:val="00CD51FF"/>
    <w:rsid w:val="00CD571A"/>
    <w:rsid w:val="00CD5BE9"/>
    <w:rsid w:val="00CD5C55"/>
    <w:rsid w:val="00CD5F71"/>
    <w:rsid w:val="00CD61FD"/>
    <w:rsid w:val="00CD6505"/>
    <w:rsid w:val="00CD6518"/>
    <w:rsid w:val="00CD6A73"/>
    <w:rsid w:val="00CD6AEA"/>
    <w:rsid w:val="00CD775C"/>
    <w:rsid w:val="00CD77BA"/>
    <w:rsid w:val="00CD7996"/>
    <w:rsid w:val="00CD7B23"/>
    <w:rsid w:val="00CE036B"/>
    <w:rsid w:val="00CE03B8"/>
    <w:rsid w:val="00CE07AE"/>
    <w:rsid w:val="00CE099B"/>
    <w:rsid w:val="00CE0ACC"/>
    <w:rsid w:val="00CE0C85"/>
    <w:rsid w:val="00CE112B"/>
    <w:rsid w:val="00CE1449"/>
    <w:rsid w:val="00CE1618"/>
    <w:rsid w:val="00CE162F"/>
    <w:rsid w:val="00CE1F7D"/>
    <w:rsid w:val="00CE289E"/>
    <w:rsid w:val="00CE2E6E"/>
    <w:rsid w:val="00CE337B"/>
    <w:rsid w:val="00CE3464"/>
    <w:rsid w:val="00CE355F"/>
    <w:rsid w:val="00CE3864"/>
    <w:rsid w:val="00CE39A5"/>
    <w:rsid w:val="00CE3A4A"/>
    <w:rsid w:val="00CE3EC9"/>
    <w:rsid w:val="00CE442A"/>
    <w:rsid w:val="00CE485B"/>
    <w:rsid w:val="00CE48A9"/>
    <w:rsid w:val="00CE495F"/>
    <w:rsid w:val="00CE4D4F"/>
    <w:rsid w:val="00CE5054"/>
    <w:rsid w:val="00CE5165"/>
    <w:rsid w:val="00CE5901"/>
    <w:rsid w:val="00CE5C61"/>
    <w:rsid w:val="00CE5E4C"/>
    <w:rsid w:val="00CE5EEE"/>
    <w:rsid w:val="00CE6392"/>
    <w:rsid w:val="00CE6C40"/>
    <w:rsid w:val="00CE6D7A"/>
    <w:rsid w:val="00CE7292"/>
    <w:rsid w:val="00CE73CA"/>
    <w:rsid w:val="00CE75D0"/>
    <w:rsid w:val="00CE7ACA"/>
    <w:rsid w:val="00CE7B23"/>
    <w:rsid w:val="00CF0089"/>
    <w:rsid w:val="00CF01AE"/>
    <w:rsid w:val="00CF042E"/>
    <w:rsid w:val="00CF04AD"/>
    <w:rsid w:val="00CF0518"/>
    <w:rsid w:val="00CF0841"/>
    <w:rsid w:val="00CF09AC"/>
    <w:rsid w:val="00CF0BD6"/>
    <w:rsid w:val="00CF1695"/>
    <w:rsid w:val="00CF19CF"/>
    <w:rsid w:val="00CF1EB0"/>
    <w:rsid w:val="00CF2672"/>
    <w:rsid w:val="00CF2A8E"/>
    <w:rsid w:val="00CF2E65"/>
    <w:rsid w:val="00CF2E66"/>
    <w:rsid w:val="00CF2FF9"/>
    <w:rsid w:val="00CF316C"/>
    <w:rsid w:val="00CF325D"/>
    <w:rsid w:val="00CF33AD"/>
    <w:rsid w:val="00CF33BB"/>
    <w:rsid w:val="00CF4096"/>
    <w:rsid w:val="00CF4350"/>
    <w:rsid w:val="00CF4511"/>
    <w:rsid w:val="00CF4881"/>
    <w:rsid w:val="00CF4ABB"/>
    <w:rsid w:val="00CF4B58"/>
    <w:rsid w:val="00CF4C4A"/>
    <w:rsid w:val="00CF4DD7"/>
    <w:rsid w:val="00CF4FDE"/>
    <w:rsid w:val="00CF5146"/>
    <w:rsid w:val="00CF51C8"/>
    <w:rsid w:val="00CF5614"/>
    <w:rsid w:val="00CF58C1"/>
    <w:rsid w:val="00CF5E48"/>
    <w:rsid w:val="00CF6408"/>
    <w:rsid w:val="00CF658F"/>
    <w:rsid w:val="00CF6F28"/>
    <w:rsid w:val="00CF701F"/>
    <w:rsid w:val="00CF730D"/>
    <w:rsid w:val="00CF73CD"/>
    <w:rsid w:val="00CF7820"/>
    <w:rsid w:val="00CF7E4D"/>
    <w:rsid w:val="00D005D5"/>
    <w:rsid w:val="00D0067C"/>
    <w:rsid w:val="00D00761"/>
    <w:rsid w:val="00D009C5"/>
    <w:rsid w:val="00D00B0B"/>
    <w:rsid w:val="00D00F1D"/>
    <w:rsid w:val="00D013CC"/>
    <w:rsid w:val="00D0145B"/>
    <w:rsid w:val="00D01AD4"/>
    <w:rsid w:val="00D01CDC"/>
    <w:rsid w:val="00D01D0D"/>
    <w:rsid w:val="00D01E29"/>
    <w:rsid w:val="00D028C9"/>
    <w:rsid w:val="00D0298E"/>
    <w:rsid w:val="00D02C0D"/>
    <w:rsid w:val="00D02C83"/>
    <w:rsid w:val="00D02DAC"/>
    <w:rsid w:val="00D0336E"/>
    <w:rsid w:val="00D03516"/>
    <w:rsid w:val="00D03556"/>
    <w:rsid w:val="00D0370D"/>
    <w:rsid w:val="00D037D7"/>
    <w:rsid w:val="00D03E2C"/>
    <w:rsid w:val="00D040F4"/>
    <w:rsid w:val="00D04AC2"/>
    <w:rsid w:val="00D04C14"/>
    <w:rsid w:val="00D0525E"/>
    <w:rsid w:val="00D0535B"/>
    <w:rsid w:val="00D05573"/>
    <w:rsid w:val="00D056A2"/>
    <w:rsid w:val="00D057B9"/>
    <w:rsid w:val="00D06245"/>
    <w:rsid w:val="00D0635C"/>
    <w:rsid w:val="00D065D9"/>
    <w:rsid w:val="00D06754"/>
    <w:rsid w:val="00D06AA5"/>
    <w:rsid w:val="00D074BE"/>
    <w:rsid w:val="00D07CA5"/>
    <w:rsid w:val="00D10048"/>
    <w:rsid w:val="00D10197"/>
    <w:rsid w:val="00D10863"/>
    <w:rsid w:val="00D10BCA"/>
    <w:rsid w:val="00D10C6F"/>
    <w:rsid w:val="00D11259"/>
    <w:rsid w:val="00D1136B"/>
    <w:rsid w:val="00D1142F"/>
    <w:rsid w:val="00D11C4B"/>
    <w:rsid w:val="00D1272D"/>
    <w:rsid w:val="00D12817"/>
    <w:rsid w:val="00D128A7"/>
    <w:rsid w:val="00D1309D"/>
    <w:rsid w:val="00D1343C"/>
    <w:rsid w:val="00D1376D"/>
    <w:rsid w:val="00D13D3A"/>
    <w:rsid w:val="00D13E93"/>
    <w:rsid w:val="00D13F28"/>
    <w:rsid w:val="00D14F87"/>
    <w:rsid w:val="00D150CD"/>
    <w:rsid w:val="00D15201"/>
    <w:rsid w:val="00D15926"/>
    <w:rsid w:val="00D15B04"/>
    <w:rsid w:val="00D15F10"/>
    <w:rsid w:val="00D15FD5"/>
    <w:rsid w:val="00D164D0"/>
    <w:rsid w:val="00D16DF1"/>
    <w:rsid w:val="00D170BC"/>
    <w:rsid w:val="00D179D1"/>
    <w:rsid w:val="00D17B5B"/>
    <w:rsid w:val="00D17BC1"/>
    <w:rsid w:val="00D17BCE"/>
    <w:rsid w:val="00D17F7D"/>
    <w:rsid w:val="00D20503"/>
    <w:rsid w:val="00D20629"/>
    <w:rsid w:val="00D20B99"/>
    <w:rsid w:val="00D20CB9"/>
    <w:rsid w:val="00D20E47"/>
    <w:rsid w:val="00D2127C"/>
    <w:rsid w:val="00D212C3"/>
    <w:rsid w:val="00D21871"/>
    <w:rsid w:val="00D218F5"/>
    <w:rsid w:val="00D21A02"/>
    <w:rsid w:val="00D22212"/>
    <w:rsid w:val="00D22244"/>
    <w:rsid w:val="00D225CA"/>
    <w:rsid w:val="00D22954"/>
    <w:rsid w:val="00D22D52"/>
    <w:rsid w:val="00D22DEB"/>
    <w:rsid w:val="00D22EAF"/>
    <w:rsid w:val="00D22F6C"/>
    <w:rsid w:val="00D23063"/>
    <w:rsid w:val="00D2394B"/>
    <w:rsid w:val="00D23C66"/>
    <w:rsid w:val="00D24029"/>
    <w:rsid w:val="00D24058"/>
    <w:rsid w:val="00D2460C"/>
    <w:rsid w:val="00D2478A"/>
    <w:rsid w:val="00D248B4"/>
    <w:rsid w:val="00D24E2B"/>
    <w:rsid w:val="00D24FCF"/>
    <w:rsid w:val="00D25136"/>
    <w:rsid w:val="00D2541C"/>
    <w:rsid w:val="00D25F80"/>
    <w:rsid w:val="00D26029"/>
    <w:rsid w:val="00D26785"/>
    <w:rsid w:val="00D27565"/>
    <w:rsid w:val="00D2756C"/>
    <w:rsid w:val="00D27865"/>
    <w:rsid w:val="00D27DAE"/>
    <w:rsid w:val="00D27F6C"/>
    <w:rsid w:val="00D30D33"/>
    <w:rsid w:val="00D30DE5"/>
    <w:rsid w:val="00D31226"/>
    <w:rsid w:val="00D31302"/>
    <w:rsid w:val="00D31857"/>
    <w:rsid w:val="00D31CF8"/>
    <w:rsid w:val="00D31E64"/>
    <w:rsid w:val="00D31EF5"/>
    <w:rsid w:val="00D32311"/>
    <w:rsid w:val="00D325F5"/>
    <w:rsid w:val="00D32BBF"/>
    <w:rsid w:val="00D32EA3"/>
    <w:rsid w:val="00D32F33"/>
    <w:rsid w:val="00D32FAE"/>
    <w:rsid w:val="00D33058"/>
    <w:rsid w:val="00D330DA"/>
    <w:rsid w:val="00D334EE"/>
    <w:rsid w:val="00D336A6"/>
    <w:rsid w:val="00D33747"/>
    <w:rsid w:val="00D344D7"/>
    <w:rsid w:val="00D34720"/>
    <w:rsid w:val="00D34896"/>
    <w:rsid w:val="00D34A31"/>
    <w:rsid w:val="00D35297"/>
    <w:rsid w:val="00D35A7A"/>
    <w:rsid w:val="00D35B8B"/>
    <w:rsid w:val="00D35D14"/>
    <w:rsid w:val="00D35FCD"/>
    <w:rsid w:val="00D35FD0"/>
    <w:rsid w:val="00D368DC"/>
    <w:rsid w:val="00D36C08"/>
    <w:rsid w:val="00D37418"/>
    <w:rsid w:val="00D40124"/>
    <w:rsid w:val="00D4024C"/>
    <w:rsid w:val="00D405CD"/>
    <w:rsid w:val="00D40A54"/>
    <w:rsid w:val="00D411BD"/>
    <w:rsid w:val="00D418BA"/>
    <w:rsid w:val="00D418BD"/>
    <w:rsid w:val="00D419C7"/>
    <w:rsid w:val="00D420E9"/>
    <w:rsid w:val="00D42670"/>
    <w:rsid w:val="00D42768"/>
    <w:rsid w:val="00D428A0"/>
    <w:rsid w:val="00D42A91"/>
    <w:rsid w:val="00D42DE6"/>
    <w:rsid w:val="00D42E9D"/>
    <w:rsid w:val="00D4316B"/>
    <w:rsid w:val="00D4339C"/>
    <w:rsid w:val="00D433BA"/>
    <w:rsid w:val="00D43A4E"/>
    <w:rsid w:val="00D43EDC"/>
    <w:rsid w:val="00D440BF"/>
    <w:rsid w:val="00D44483"/>
    <w:rsid w:val="00D44506"/>
    <w:rsid w:val="00D44946"/>
    <w:rsid w:val="00D44C0C"/>
    <w:rsid w:val="00D45328"/>
    <w:rsid w:val="00D45368"/>
    <w:rsid w:val="00D455CF"/>
    <w:rsid w:val="00D45621"/>
    <w:rsid w:val="00D46248"/>
    <w:rsid w:val="00D46947"/>
    <w:rsid w:val="00D46C22"/>
    <w:rsid w:val="00D46D0B"/>
    <w:rsid w:val="00D46FE6"/>
    <w:rsid w:val="00D47279"/>
    <w:rsid w:val="00D47720"/>
    <w:rsid w:val="00D47B17"/>
    <w:rsid w:val="00D47CB8"/>
    <w:rsid w:val="00D5010B"/>
    <w:rsid w:val="00D5010D"/>
    <w:rsid w:val="00D506F7"/>
    <w:rsid w:val="00D50EBE"/>
    <w:rsid w:val="00D51353"/>
    <w:rsid w:val="00D513FC"/>
    <w:rsid w:val="00D5151E"/>
    <w:rsid w:val="00D51718"/>
    <w:rsid w:val="00D51EC1"/>
    <w:rsid w:val="00D51F1E"/>
    <w:rsid w:val="00D52233"/>
    <w:rsid w:val="00D5249F"/>
    <w:rsid w:val="00D527FE"/>
    <w:rsid w:val="00D52916"/>
    <w:rsid w:val="00D52A02"/>
    <w:rsid w:val="00D52FF9"/>
    <w:rsid w:val="00D532B1"/>
    <w:rsid w:val="00D532F6"/>
    <w:rsid w:val="00D53567"/>
    <w:rsid w:val="00D542CC"/>
    <w:rsid w:val="00D5444C"/>
    <w:rsid w:val="00D546FC"/>
    <w:rsid w:val="00D552ED"/>
    <w:rsid w:val="00D55B30"/>
    <w:rsid w:val="00D55D11"/>
    <w:rsid w:val="00D564EE"/>
    <w:rsid w:val="00D5654B"/>
    <w:rsid w:val="00D5664F"/>
    <w:rsid w:val="00D56664"/>
    <w:rsid w:val="00D566BC"/>
    <w:rsid w:val="00D5705A"/>
    <w:rsid w:val="00D576C0"/>
    <w:rsid w:val="00D57740"/>
    <w:rsid w:val="00D57CDD"/>
    <w:rsid w:val="00D6050A"/>
    <w:rsid w:val="00D6059E"/>
    <w:rsid w:val="00D60915"/>
    <w:rsid w:val="00D61778"/>
    <w:rsid w:val="00D61AAD"/>
    <w:rsid w:val="00D61C45"/>
    <w:rsid w:val="00D62211"/>
    <w:rsid w:val="00D62252"/>
    <w:rsid w:val="00D624B8"/>
    <w:rsid w:val="00D62686"/>
    <w:rsid w:val="00D6284B"/>
    <w:rsid w:val="00D62978"/>
    <w:rsid w:val="00D62A40"/>
    <w:rsid w:val="00D62F31"/>
    <w:rsid w:val="00D63217"/>
    <w:rsid w:val="00D63440"/>
    <w:rsid w:val="00D63FB4"/>
    <w:rsid w:val="00D64CCB"/>
    <w:rsid w:val="00D64D5C"/>
    <w:rsid w:val="00D64E2E"/>
    <w:rsid w:val="00D65D29"/>
    <w:rsid w:val="00D6626C"/>
    <w:rsid w:val="00D66403"/>
    <w:rsid w:val="00D664EE"/>
    <w:rsid w:val="00D66D45"/>
    <w:rsid w:val="00D67230"/>
    <w:rsid w:val="00D67409"/>
    <w:rsid w:val="00D677FB"/>
    <w:rsid w:val="00D67CD6"/>
    <w:rsid w:val="00D70481"/>
    <w:rsid w:val="00D70FE9"/>
    <w:rsid w:val="00D7111A"/>
    <w:rsid w:val="00D719C8"/>
    <w:rsid w:val="00D71CB2"/>
    <w:rsid w:val="00D71F3E"/>
    <w:rsid w:val="00D72B6B"/>
    <w:rsid w:val="00D72BC1"/>
    <w:rsid w:val="00D72C5E"/>
    <w:rsid w:val="00D72D76"/>
    <w:rsid w:val="00D72FED"/>
    <w:rsid w:val="00D731E6"/>
    <w:rsid w:val="00D73253"/>
    <w:rsid w:val="00D7398F"/>
    <w:rsid w:val="00D73FC8"/>
    <w:rsid w:val="00D7449C"/>
    <w:rsid w:val="00D74696"/>
    <w:rsid w:val="00D74726"/>
    <w:rsid w:val="00D74AAB"/>
    <w:rsid w:val="00D74ABE"/>
    <w:rsid w:val="00D74CF7"/>
    <w:rsid w:val="00D75017"/>
    <w:rsid w:val="00D75562"/>
    <w:rsid w:val="00D758EB"/>
    <w:rsid w:val="00D75923"/>
    <w:rsid w:val="00D75C86"/>
    <w:rsid w:val="00D75DFB"/>
    <w:rsid w:val="00D76721"/>
    <w:rsid w:val="00D76BDE"/>
    <w:rsid w:val="00D772AE"/>
    <w:rsid w:val="00D779F8"/>
    <w:rsid w:val="00D77C55"/>
    <w:rsid w:val="00D77FF4"/>
    <w:rsid w:val="00D80DB1"/>
    <w:rsid w:val="00D8138E"/>
    <w:rsid w:val="00D813A6"/>
    <w:rsid w:val="00D815A0"/>
    <w:rsid w:val="00D81AF6"/>
    <w:rsid w:val="00D81B7D"/>
    <w:rsid w:val="00D81D90"/>
    <w:rsid w:val="00D82302"/>
    <w:rsid w:val="00D826FE"/>
    <w:rsid w:val="00D8282C"/>
    <w:rsid w:val="00D830D8"/>
    <w:rsid w:val="00D83103"/>
    <w:rsid w:val="00D8348F"/>
    <w:rsid w:val="00D835B1"/>
    <w:rsid w:val="00D835BE"/>
    <w:rsid w:val="00D836B1"/>
    <w:rsid w:val="00D839B1"/>
    <w:rsid w:val="00D83C4D"/>
    <w:rsid w:val="00D840D2"/>
    <w:rsid w:val="00D8430C"/>
    <w:rsid w:val="00D846DA"/>
    <w:rsid w:val="00D847B8"/>
    <w:rsid w:val="00D847EF"/>
    <w:rsid w:val="00D851FC"/>
    <w:rsid w:val="00D867D1"/>
    <w:rsid w:val="00D86A9C"/>
    <w:rsid w:val="00D8753C"/>
    <w:rsid w:val="00D87643"/>
    <w:rsid w:val="00D87B88"/>
    <w:rsid w:val="00D87D6D"/>
    <w:rsid w:val="00D87DE8"/>
    <w:rsid w:val="00D90069"/>
    <w:rsid w:val="00D902EF"/>
    <w:rsid w:val="00D90AB4"/>
    <w:rsid w:val="00D90D23"/>
    <w:rsid w:val="00D9149A"/>
    <w:rsid w:val="00D914A6"/>
    <w:rsid w:val="00D9154F"/>
    <w:rsid w:val="00D91C27"/>
    <w:rsid w:val="00D91EA1"/>
    <w:rsid w:val="00D92006"/>
    <w:rsid w:val="00D920B0"/>
    <w:rsid w:val="00D9229E"/>
    <w:rsid w:val="00D922E9"/>
    <w:rsid w:val="00D92412"/>
    <w:rsid w:val="00D92553"/>
    <w:rsid w:val="00D92839"/>
    <w:rsid w:val="00D92948"/>
    <w:rsid w:val="00D92CF2"/>
    <w:rsid w:val="00D92D56"/>
    <w:rsid w:val="00D92D65"/>
    <w:rsid w:val="00D93338"/>
    <w:rsid w:val="00D93376"/>
    <w:rsid w:val="00D9384E"/>
    <w:rsid w:val="00D93855"/>
    <w:rsid w:val="00D93934"/>
    <w:rsid w:val="00D939CB"/>
    <w:rsid w:val="00D94031"/>
    <w:rsid w:val="00D942B3"/>
    <w:rsid w:val="00D94569"/>
    <w:rsid w:val="00D9479D"/>
    <w:rsid w:val="00D94BBA"/>
    <w:rsid w:val="00D94DC2"/>
    <w:rsid w:val="00D9520E"/>
    <w:rsid w:val="00D95594"/>
    <w:rsid w:val="00D9563B"/>
    <w:rsid w:val="00D9594F"/>
    <w:rsid w:val="00D95BDC"/>
    <w:rsid w:val="00D95C3C"/>
    <w:rsid w:val="00D95D7A"/>
    <w:rsid w:val="00D963F9"/>
    <w:rsid w:val="00D9644A"/>
    <w:rsid w:val="00D9647B"/>
    <w:rsid w:val="00D96992"/>
    <w:rsid w:val="00D969F8"/>
    <w:rsid w:val="00D970E0"/>
    <w:rsid w:val="00D9747C"/>
    <w:rsid w:val="00D9786D"/>
    <w:rsid w:val="00DA000B"/>
    <w:rsid w:val="00DA004F"/>
    <w:rsid w:val="00DA01BA"/>
    <w:rsid w:val="00DA03FD"/>
    <w:rsid w:val="00DA073F"/>
    <w:rsid w:val="00DA08A2"/>
    <w:rsid w:val="00DA0C0B"/>
    <w:rsid w:val="00DA1511"/>
    <w:rsid w:val="00DA1725"/>
    <w:rsid w:val="00DA1A53"/>
    <w:rsid w:val="00DA1AC0"/>
    <w:rsid w:val="00DA1B83"/>
    <w:rsid w:val="00DA26B3"/>
    <w:rsid w:val="00DA2961"/>
    <w:rsid w:val="00DA2CD8"/>
    <w:rsid w:val="00DA2EA0"/>
    <w:rsid w:val="00DA30AA"/>
    <w:rsid w:val="00DA3116"/>
    <w:rsid w:val="00DA3124"/>
    <w:rsid w:val="00DA315F"/>
    <w:rsid w:val="00DA3608"/>
    <w:rsid w:val="00DA3719"/>
    <w:rsid w:val="00DA3AE3"/>
    <w:rsid w:val="00DA3AF5"/>
    <w:rsid w:val="00DA3BB7"/>
    <w:rsid w:val="00DA3C73"/>
    <w:rsid w:val="00DA3F65"/>
    <w:rsid w:val="00DA4793"/>
    <w:rsid w:val="00DA4951"/>
    <w:rsid w:val="00DA49F3"/>
    <w:rsid w:val="00DA4E62"/>
    <w:rsid w:val="00DA4E7D"/>
    <w:rsid w:val="00DA5014"/>
    <w:rsid w:val="00DA504F"/>
    <w:rsid w:val="00DA512A"/>
    <w:rsid w:val="00DA5303"/>
    <w:rsid w:val="00DA5384"/>
    <w:rsid w:val="00DA53A8"/>
    <w:rsid w:val="00DA54F1"/>
    <w:rsid w:val="00DA5534"/>
    <w:rsid w:val="00DA5628"/>
    <w:rsid w:val="00DA5849"/>
    <w:rsid w:val="00DA5CE2"/>
    <w:rsid w:val="00DA6015"/>
    <w:rsid w:val="00DA6EA3"/>
    <w:rsid w:val="00DA6EB1"/>
    <w:rsid w:val="00DA6F6B"/>
    <w:rsid w:val="00DA6FC8"/>
    <w:rsid w:val="00DA76EF"/>
    <w:rsid w:val="00DA7A32"/>
    <w:rsid w:val="00DA7A4F"/>
    <w:rsid w:val="00DA7C4E"/>
    <w:rsid w:val="00DA7F52"/>
    <w:rsid w:val="00DB0210"/>
    <w:rsid w:val="00DB0293"/>
    <w:rsid w:val="00DB064E"/>
    <w:rsid w:val="00DB08AD"/>
    <w:rsid w:val="00DB0939"/>
    <w:rsid w:val="00DB0B67"/>
    <w:rsid w:val="00DB0DE5"/>
    <w:rsid w:val="00DB0E3A"/>
    <w:rsid w:val="00DB1AB3"/>
    <w:rsid w:val="00DB1F3C"/>
    <w:rsid w:val="00DB1F40"/>
    <w:rsid w:val="00DB211A"/>
    <w:rsid w:val="00DB2171"/>
    <w:rsid w:val="00DB2378"/>
    <w:rsid w:val="00DB2C68"/>
    <w:rsid w:val="00DB39A7"/>
    <w:rsid w:val="00DB3D53"/>
    <w:rsid w:val="00DB4280"/>
    <w:rsid w:val="00DB429C"/>
    <w:rsid w:val="00DB4676"/>
    <w:rsid w:val="00DB4F00"/>
    <w:rsid w:val="00DB4FA5"/>
    <w:rsid w:val="00DB5178"/>
    <w:rsid w:val="00DB5199"/>
    <w:rsid w:val="00DB529D"/>
    <w:rsid w:val="00DB542A"/>
    <w:rsid w:val="00DB54E6"/>
    <w:rsid w:val="00DB5859"/>
    <w:rsid w:val="00DB58EA"/>
    <w:rsid w:val="00DB5EE9"/>
    <w:rsid w:val="00DB6223"/>
    <w:rsid w:val="00DB6A07"/>
    <w:rsid w:val="00DB6ABE"/>
    <w:rsid w:val="00DB6D45"/>
    <w:rsid w:val="00DB70CE"/>
    <w:rsid w:val="00DB7188"/>
    <w:rsid w:val="00DB71A2"/>
    <w:rsid w:val="00DB7329"/>
    <w:rsid w:val="00DB74B1"/>
    <w:rsid w:val="00DB7867"/>
    <w:rsid w:val="00DB798B"/>
    <w:rsid w:val="00DB7B90"/>
    <w:rsid w:val="00DC0A3D"/>
    <w:rsid w:val="00DC0DE3"/>
    <w:rsid w:val="00DC119E"/>
    <w:rsid w:val="00DC12A6"/>
    <w:rsid w:val="00DC1346"/>
    <w:rsid w:val="00DC13A1"/>
    <w:rsid w:val="00DC177E"/>
    <w:rsid w:val="00DC2146"/>
    <w:rsid w:val="00DC2AAA"/>
    <w:rsid w:val="00DC2F3E"/>
    <w:rsid w:val="00DC2FE9"/>
    <w:rsid w:val="00DC3879"/>
    <w:rsid w:val="00DC3DE7"/>
    <w:rsid w:val="00DC4004"/>
    <w:rsid w:val="00DC45EC"/>
    <w:rsid w:val="00DC4A36"/>
    <w:rsid w:val="00DC54EA"/>
    <w:rsid w:val="00DC5AB9"/>
    <w:rsid w:val="00DC5B42"/>
    <w:rsid w:val="00DC5DE8"/>
    <w:rsid w:val="00DC65B4"/>
    <w:rsid w:val="00DC6CD5"/>
    <w:rsid w:val="00DC72A2"/>
    <w:rsid w:val="00DC7A71"/>
    <w:rsid w:val="00DC7ADE"/>
    <w:rsid w:val="00DC7FD3"/>
    <w:rsid w:val="00DD05BC"/>
    <w:rsid w:val="00DD0621"/>
    <w:rsid w:val="00DD0B6D"/>
    <w:rsid w:val="00DD0B73"/>
    <w:rsid w:val="00DD0C28"/>
    <w:rsid w:val="00DD0C74"/>
    <w:rsid w:val="00DD0DCF"/>
    <w:rsid w:val="00DD1213"/>
    <w:rsid w:val="00DD1421"/>
    <w:rsid w:val="00DD15E2"/>
    <w:rsid w:val="00DD1D9A"/>
    <w:rsid w:val="00DD241C"/>
    <w:rsid w:val="00DD26B8"/>
    <w:rsid w:val="00DD2AE8"/>
    <w:rsid w:val="00DD2DB3"/>
    <w:rsid w:val="00DD2E29"/>
    <w:rsid w:val="00DD2FE8"/>
    <w:rsid w:val="00DD304C"/>
    <w:rsid w:val="00DD30E0"/>
    <w:rsid w:val="00DD335A"/>
    <w:rsid w:val="00DD38A8"/>
    <w:rsid w:val="00DD38CA"/>
    <w:rsid w:val="00DD4017"/>
    <w:rsid w:val="00DD40D8"/>
    <w:rsid w:val="00DD43EB"/>
    <w:rsid w:val="00DD471B"/>
    <w:rsid w:val="00DD48F3"/>
    <w:rsid w:val="00DD4AEC"/>
    <w:rsid w:val="00DD4D8E"/>
    <w:rsid w:val="00DD4E16"/>
    <w:rsid w:val="00DD53A7"/>
    <w:rsid w:val="00DD5590"/>
    <w:rsid w:val="00DD58AD"/>
    <w:rsid w:val="00DD58F7"/>
    <w:rsid w:val="00DD5C3B"/>
    <w:rsid w:val="00DD5C8D"/>
    <w:rsid w:val="00DD5D06"/>
    <w:rsid w:val="00DD5ED5"/>
    <w:rsid w:val="00DD6176"/>
    <w:rsid w:val="00DD6311"/>
    <w:rsid w:val="00DD63E5"/>
    <w:rsid w:val="00DD652D"/>
    <w:rsid w:val="00DD6A56"/>
    <w:rsid w:val="00DD6B06"/>
    <w:rsid w:val="00DD6BFC"/>
    <w:rsid w:val="00DD6DF1"/>
    <w:rsid w:val="00DD6EFF"/>
    <w:rsid w:val="00DD6F61"/>
    <w:rsid w:val="00DD6FC4"/>
    <w:rsid w:val="00DD743C"/>
    <w:rsid w:val="00DD75EA"/>
    <w:rsid w:val="00DD7873"/>
    <w:rsid w:val="00DD7927"/>
    <w:rsid w:val="00DE01FF"/>
    <w:rsid w:val="00DE0C1E"/>
    <w:rsid w:val="00DE0C27"/>
    <w:rsid w:val="00DE0C28"/>
    <w:rsid w:val="00DE0C45"/>
    <w:rsid w:val="00DE0F2C"/>
    <w:rsid w:val="00DE111C"/>
    <w:rsid w:val="00DE1294"/>
    <w:rsid w:val="00DE1465"/>
    <w:rsid w:val="00DE1D69"/>
    <w:rsid w:val="00DE20AC"/>
    <w:rsid w:val="00DE2781"/>
    <w:rsid w:val="00DE27B2"/>
    <w:rsid w:val="00DE3310"/>
    <w:rsid w:val="00DE3685"/>
    <w:rsid w:val="00DE3688"/>
    <w:rsid w:val="00DE3AB7"/>
    <w:rsid w:val="00DE4412"/>
    <w:rsid w:val="00DE480D"/>
    <w:rsid w:val="00DE4B61"/>
    <w:rsid w:val="00DE4B7C"/>
    <w:rsid w:val="00DE5163"/>
    <w:rsid w:val="00DE57BB"/>
    <w:rsid w:val="00DE5928"/>
    <w:rsid w:val="00DE597A"/>
    <w:rsid w:val="00DE5BE0"/>
    <w:rsid w:val="00DE621F"/>
    <w:rsid w:val="00DE6577"/>
    <w:rsid w:val="00DE6917"/>
    <w:rsid w:val="00DE6CFD"/>
    <w:rsid w:val="00DE6E0A"/>
    <w:rsid w:val="00DE6E55"/>
    <w:rsid w:val="00DE7098"/>
    <w:rsid w:val="00DE754F"/>
    <w:rsid w:val="00DE7665"/>
    <w:rsid w:val="00DE7790"/>
    <w:rsid w:val="00DE7ADA"/>
    <w:rsid w:val="00DE7D0B"/>
    <w:rsid w:val="00DF0697"/>
    <w:rsid w:val="00DF06E6"/>
    <w:rsid w:val="00DF0791"/>
    <w:rsid w:val="00DF0AF7"/>
    <w:rsid w:val="00DF0C23"/>
    <w:rsid w:val="00DF0D86"/>
    <w:rsid w:val="00DF0E0C"/>
    <w:rsid w:val="00DF0F56"/>
    <w:rsid w:val="00DF15C6"/>
    <w:rsid w:val="00DF2284"/>
    <w:rsid w:val="00DF2A27"/>
    <w:rsid w:val="00DF2C0E"/>
    <w:rsid w:val="00DF2C50"/>
    <w:rsid w:val="00DF2F9E"/>
    <w:rsid w:val="00DF37AC"/>
    <w:rsid w:val="00DF3959"/>
    <w:rsid w:val="00DF3F9A"/>
    <w:rsid w:val="00DF4794"/>
    <w:rsid w:val="00DF48E9"/>
    <w:rsid w:val="00DF4F9B"/>
    <w:rsid w:val="00DF4FDA"/>
    <w:rsid w:val="00DF511A"/>
    <w:rsid w:val="00DF52A3"/>
    <w:rsid w:val="00DF5484"/>
    <w:rsid w:val="00DF549C"/>
    <w:rsid w:val="00DF5945"/>
    <w:rsid w:val="00DF5EA1"/>
    <w:rsid w:val="00DF6137"/>
    <w:rsid w:val="00DF66EE"/>
    <w:rsid w:val="00DF6C83"/>
    <w:rsid w:val="00DF6E69"/>
    <w:rsid w:val="00DF769C"/>
    <w:rsid w:val="00DF7B5B"/>
    <w:rsid w:val="00DF7C81"/>
    <w:rsid w:val="00E00372"/>
    <w:rsid w:val="00E004B1"/>
    <w:rsid w:val="00E00776"/>
    <w:rsid w:val="00E00B4F"/>
    <w:rsid w:val="00E00D6A"/>
    <w:rsid w:val="00E00F21"/>
    <w:rsid w:val="00E01374"/>
    <w:rsid w:val="00E0138F"/>
    <w:rsid w:val="00E01F1A"/>
    <w:rsid w:val="00E02873"/>
    <w:rsid w:val="00E02DA1"/>
    <w:rsid w:val="00E0385A"/>
    <w:rsid w:val="00E03B89"/>
    <w:rsid w:val="00E03D55"/>
    <w:rsid w:val="00E042BD"/>
    <w:rsid w:val="00E04628"/>
    <w:rsid w:val="00E04FDE"/>
    <w:rsid w:val="00E051C5"/>
    <w:rsid w:val="00E05A94"/>
    <w:rsid w:val="00E05DE2"/>
    <w:rsid w:val="00E05E00"/>
    <w:rsid w:val="00E06145"/>
    <w:rsid w:val="00E061FF"/>
    <w:rsid w:val="00E0641F"/>
    <w:rsid w:val="00E06746"/>
    <w:rsid w:val="00E069A6"/>
    <w:rsid w:val="00E06D6F"/>
    <w:rsid w:val="00E06E1B"/>
    <w:rsid w:val="00E07272"/>
    <w:rsid w:val="00E0742F"/>
    <w:rsid w:val="00E074DA"/>
    <w:rsid w:val="00E07CCF"/>
    <w:rsid w:val="00E07D65"/>
    <w:rsid w:val="00E102CA"/>
    <w:rsid w:val="00E10895"/>
    <w:rsid w:val="00E108EC"/>
    <w:rsid w:val="00E10CA4"/>
    <w:rsid w:val="00E10D5E"/>
    <w:rsid w:val="00E10DC1"/>
    <w:rsid w:val="00E110B7"/>
    <w:rsid w:val="00E112BC"/>
    <w:rsid w:val="00E113DE"/>
    <w:rsid w:val="00E11693"/>
    <w:rsid w:val="00E1176A"/>
    <w:rsid w:val="00E118FA"/>
    <w:rsid w:val="00E11CCA"/>
    <w:rsid w:val="00E120EE"/>
    <w:rsid w:val="00E12521"/>
    <w:rsid w:val="00E1257E"/>
    <w:rsid w:val="00E125F1"/>
    <w:rsid w:val="00E12B6D"/>
    <w:rsid w:val="00E12E47"/>
    <w:rsid w:val="00E137F1"/>
    <w:rsid w:val="00E13D69"/>
    <w:rsid w:val="00E13EF2"/>
    <w:rsid w:val="00E146F5"/>
    <w:rsid w:val="00E1473B"/>
    <w:rsid w:val="00E14AAB"/>
    <w:rsid w:val="00E14EBF"/>
    <w:rsid w:val="00E14F17"/>
    <w:rsid w:val="00E1523D"/>
    <w:rsid w:val="00E1586D"/>
    <w:rsid w:val="00E15A2E"/>
    <w:rsid w:val="00E1613C"/>
    <w:rsid w:val="00E16599"/>
    <w:rsid w:val="00E16AE1"/>
    <w:rsid w:val="00E17154"/>
    <w:rsid w:val="00E171E5"/>
    <w:rsid w:val="00E17245"/>
    <w:rsid w:val="00E17363"/>
    <w:rsid w:val="00E17753"/>
    <w:rsid w:val="00E17F5A"/>
    <w:rsid w:val="00E20222"/>
    <w:rsid w:val="00E206D9"/>
    <w:rsid w:val="00E20887"/>
    <w:rsid w:val="00E20905"/>
    <w:rsid w:val="00E211EC"/>
    <w:rsid w:val="00E21BDD"/>
    <w:rsid w:val="00E21CA5"/>
    <w:rsid w:val="00E223D1"/>
    <w:rsid w:val="00E2248E"/>
    <w:rsid w:val="00E227CF"/>
    <w:rsid w:val="00E22B94"/>
    <w:rsid w:val="00E22F9B"/>
    <w:rsid w:val="00E22FED"/>
    <w:rsid w:val="00E23249"/>
    <w:rsid w:val="00E23316"/>
    <w:rsid w:val="00E23446"/>
    <w:rsid w:val="00E23A52"/>
    <w:rsid w:val="00E23C88"/>
    <w:rsid w:val="00E23F2F"/>
    <w:rsid w:val="00E2416E"/>
    <w:rsid w:val="00E24530"/>
    <w:rsid w:val="00E2473F"/>
    <w:rsid w:val="00E24A86"/>
    <w:rsid w:val="00E24C45"/>
    <w:rsid w:val="00E2636C"/>
    <w:rsid w:val="00E26D4A"/>
    <w:rsid w:val="00E26E09"/>
    <w:rsid w:val="00E2705B"/>
    <w:rsid w:val="00E27410"/>
    <w:rsid w:val="00E2744D"/>
    <w:rsid w:val="00E303E0"/>
    <w:rsid w:val="00E30945"/>
    <w:rsid w:val="00E30954"/>
    <w:rsid w:val="00E30A0F"/>
    <w:rsid w:val="00E30AF7"/>
    <w:rsid w:val="00E30B90"/>
    <w:rsid w:val="00E313CA"/>
    <w:rsid w:val="00E3143A"/>
    <w:rsid w:val="00E315A1"/>
    <w:rsid w:val="00E316D5"/>
    <w:rsid w:val="00E319BF"/>
    <w:rsid w:val="00E31D3B"/>
    <w:rsid w:val="00E31D68"/>
    <w:rsid w:val="00E31DDC"/>
    <w:rsid w:val="00E31F65"/>
    <w:rsid w:val="00E32023"/>
    <w:rsid w:val="00E3202C"/>
    <w:rsid w:val="00E32061"/>
    <w:rsid w:val="00E32130"/>
    <w:rsid w:val="00E3230E"/>
    <w:rsid w:val="00E324E8"/>
    <w:rsid w:val="00E328E1"/>
    <w:rsid w:val="00E331A1"/>
    <w:rsid w:val="00E3367F"/>
    <w:rsid w:val="00E338FA"/>
    <w:rsid w:val="00E33920"/>
    <w:rsid w:val="00E33E5C"/>
    <w:rsid w:val="00E341E7"/>
    <w:rsid w:val="00E34638"/>
    <w:rsid w:val="00E34686"/>
    <w:rsid w:val="00E34688"/>
    <w:rsid w:val="00E34DB8"/>
    <w:rsid w:val="00E34FD6"/>
    <w:rsid w:val="00E3516D"/>
    <w:rsid w:val="00E35260"/>
    <w:rsid w:val="00E354CB"/>
    <w:rsid w:val="00E356C3"/>
    <w:rsid w:val="00E356D0"/>
    <w:rsid w:val="00E35DF8"/>
    <w:rsid w:val="00E35E27"/>
    <w:rsid w:val="00E35E48"/>
    <w:rsid w:val="00E368C0"/>
    <w:rsid w:val="00E36FB6"/>
    <w:rsid w:val="00E371EA"/>
    <w:rsid w:val="00E37F72"/>
    <w:rsid w:val="00E406C6"/>
    <w:rsid w:val="00E409B9"/>
    <w:rsid w:val="00E41133"/>
    <w:rsid w:val="00E41401"/>
    <w:rsid w:val="00E41585"/>
    <w:rsid w:val="00E416FC"/>
    <w:rsid w:val="00E42385"/>
    <w:rsid w:val="00E427DE"/>
    <w:rsid w:val="00E427FC"/>
    <w:rsid w:val="00E42B2E"/>
    <w:rsid w:val="00E42F8C"/>
    <w:rsid w:val="00E43292"/>
    <w:rsid w:val="00E43D17"/>
    <w:rsid w:val="00E43E19"/>
    <w:rsid w:val="00E43EF3"/>
    <w:rsid w:val="00E43F0A"/>
    <w:rsid w:val="00E44BB1"/>
    <w:rsid w:val="00E44DF9"/>
    <w:rsid w:val="00E44E2F"/>
    <w:rsid w:val="00E45271"/>
    <w:rsid w:val="00E45346"/>
    <w:rsid w:val="00E4577C"/>
    <w:rsid w:val="00E45E3D"/>
    <w:rsid w:val="00E4656B"/>
    <w:rsid w:val="00E465FB"/>
    <w:rsid w:val="00E46797"/>
    <w:rsid w:val="00E467D1"/>
    <w:rsid w:val="00E469CB"/>
    <w:rsid w:val="00E46BFB"/>
    <w:rsid w:val="00E46E18"/>
    <w:rsid w:val="00E46F9B"/>
    <w:rsid w:val="00E471F0"/>
    <w:rsid w:val="00E47461"/>
    <w:rsid w:val="00E475C6"/>
    <w:rsid w:val="00E47920"/>
    <w:rsid w:val="00E4798D"/>
    <w:rsid w:val="00E47ABC"/>
    <w:rsid w:val="00E47BEE"/>
    <w:rsid w:val="00E47D89"/>
    <w:rsid w:val="00E47DF3"/>
    <w:rsid w:val="00E501DA"/>
    <w:rsid w:val="00E5029B"/>
    <w:rsid w:val="00E502A4"/>
    <w:rsid w:val="00E502B0"/>
    <w:rsid w:val="00E504F7"/>
    <w:rsid w:val="00E505B2"/>
    <w:rsid w:val="00E50A16"/>
    <w:rsid w:val="00E50B3C"/>
    <w:rsid w:val="00E50EB3"/>
    <w:rsid w:val="00E50EE1"/>
    <w:rsid w:val="00E5107C"/>
    <w:rsid w:val="00E511F2"/>
    <w:rsid w:val="00E51287"/>
    <w:rsid w:val="00E5180F"/>
    <w:rsid w:val="00E51A5D"/>
    <w:rsid w:val="00E51AE1"/>
    <w:rsid w:val="00E51DFD"/>
    <w:rsid w:val="00E52067"/>
    <w:rsid w:val="00E52097"/>
    <w:rsid w:val="00E52349"/>
    <w:rsid w:val="00E526CB"/>
    <w:rsid w:val="00E52ABF"/>
    <w:rsid w:val="00E52AF2"/>
    <w:rsid w:val="00E52FCB"/>
    <w:rsid w:val="00E53264"/>
    <w:rsid w:val="00E53619"/>
    <w:rsid w:val="00E54080"/>
    <w:rsid w:val="00E545A2"/>
    <w:rsid w:val="00E5484D"/>
    <w:rsid w:val="00E5491D"/>
    <w:rsid w:val="00E54C00"/>
    <w:rsid w:val="00E54F53"/>
    <w:rsid w:val="00E5522A"/>
    <w:rsid w:val="00E552A5"/>
    <w:rsid w:val="00E55A19"/>
    <w:rsid w:val="00E55F79"/>
    <w:rsid w:val="00E5694D"/>
    <w:rsid w:val="00E56A0D"/>
    <w:rsid w:val="00E56A33"/>
    <w:rsid w:val="00E56F55"/>
    <w:rsid w:val="00E57781"/>
    <w:rsid w:val="00E57C1C"/>
    <w:rsid w:val="00E57E93"/>
    <w:rsid w:val="00E61279"/>
    <w:rsid w:val="00E612C8"/>
    <w:rsid w:val="00E616F3"/>
    <w:rsid w:val="00E61AD5"/>
    <w:rsid w:val="00E61EB6"/>
    <w:rsid w:val="00E62039"/>
    <w:rsid w:val="00E62312"/>
    <w:rsid w:val="00E62921"/>
    <w:rsid w:val="00E6295C"/>
    <w:rsid w:val="00E632BB"/>
    <w:rsid w:val="00E633E8"/>
    <w:rsid w:val="00E634A8"/>
    <w:rsid w:val="00E64004"/>
    <w:rsid w:val="00E641B8"/>
    <w:rsid w:val="00E6434E"/>
    <w:rsid w:val="00E643D1"/>
    <w:rsid w:val="00E643FA"/>
    <w:rsid w:val="00E64DDB"/>
    <w:rsid w:val="00E65182"/>
    <w:rsid w:val="00E6571A"/>
    <w:rsid w:val="00E65724"/>
    <w:rsid w:val="00E6601C"/>
    <w:rsid w:val="00E66248"/>
    <w:rsid w:val="00E66336"/>
    <w:rsid w:val="00E66793"/>
    <w:rsid w:val="00E673E8"/>
    <w:rsid w:val="00E6742A"/>
    <w:rsid w:val="00E6777D"/>
    <w:rsid w:val="00E67AC6"/>
    <w:rsid w:val="00E67C44"/>
    <w:rsid w:val="00E67D6F"/>
    <w:rsid w:val="00E7001B"/>
    <w:rsid w:val="00E7021B"/>
    <w:rsid w:val="00E703BC"/>
    <w:rsid w:val="00E70938"/>
    <w:rsid w:val="00E70CBD"/>
    <w:rsid w:val="00E70D8E"/>
    <w:rsid w:val="00E7123B"/>
    <w:rsid w:val="00E7126C"/>
    <w:rsid w:val="00E714CF"/>
    <w:rsid w:val="00E71B75"/>
    <w:rsid w:val="00E71E3B"/>
    <w:rsid w:val="00E72400"/>
    <w:rsid w:val="00E7240A"/>
    <w:rsid w:val="00E73C52"/>
    <w:rsid w:val="00E73CD5"/>
    <w:rsid w:val="00E73DB4"/>
    <w:rsid w:val="00E746E2"/>
    <w:rsid w:val="00E74820"/>
    <w:rsid w:val="00E74AB8"/>
    <w:rsid w:val="00E74CCC"/>
    <w:rsid w:val="00E75067"/>
    <w:rsid w:val="00E750A7"/>
    <w:rsid w:val="00E75683"/>
    <w:rsid w:val="00E7692C"/>
    <w:rsid w:val="00E76BE1"/>
    <w:rsid w:val="00E76D9A"/>
    <w:rsid w:val="00E76E7C"/>
    <w:rsid w:val="00E774CB"/>
    <w:rsid w:val="00E774E5"/>
    <w:rsid w:val="00E77621"/>
    <w:rsid w:val="00E778DC"/>
    <w:rsid w:val="00E77ABC"/>
    <w:rsid w:val="00E77CC6"/>
    <w:rsid w:val="00E77EFD"/>
    <w:rsid w:val="00E8046B"/>
    <w:rsid w:val="00E8072C"/>
    <w:rsid w:val="00E809AA"/>
    <w:rsid w:val="00E81246"/>
    <w:rsid w:val="00E812DB"/>
    <w:rsid w:val="00E816AE"/>
    <w:rsid w:val="00E816F0"/>
    <w:rsid w:val="00E8172A"/>
    <w:rsid w:val="00E817FA"/>
    <w:rsid w:val="00E8194C"/>
    <w:rsid w:val="00E8277F"/>
    <w:rsid w:val="00E829FF"/>
    <w:rsid w:val="00E82AA0"/>
    <w:rsid w:val="00E82C73"/>
    <w:rsid w:val="00E832F9"/>
    <w:rsid w:val="00E83ED4"/>
    <w:rsid w:val="00E8403F"/>
    <w:rsid w:val="00E84F75"/>
    <w:rsid w:val="00E850AC"/>
    <w:rsid w:val="00E851E7"/>
    <w:rsid w:val="00E85884"/>
    <w:rsid w:val="00E85BA7"/>
    <w:rsid w:val="00E86675"/>
    <w:rsid w:val="00E8699E"/>
    <w:rsid w:val="00E870AF"/>
    <w:rsid w:val="00E871A0"/>
    <w:rsid w:val="00E87985"/>
    <w:rsid w:val="00E87A67"/>
    <w:rsid w:val="00E90240"/>
    <w:rsid w:val="00E9064E"/>
    <w:rsid w:val="00E90955"/>
    <w:rsid w:val="00E90CDB"/>
    <w:rsid w:val="00E913FB"/>
    <w:rsid w:val="00E917BE"/>
    <w:rsid w:val="00E91866"/>
    <w:rsid w:val="00E918BB"/>
    <w:rsid w:val="00E919DA"/>
    <w:rsid w:val="00E91AC6"/>
    <w:rsid w:val="00E91BC5"/>
    <w:rsid w:val="00E91D55"/>
    <w:rsid w:val="00E91DBB"/>
    <w:rsid w:val="00E91E39"/>
    <w:rsid w:val="00E91E6E"/>
    <w:rsid w:val="00E91F6A"/>
    <w:rsid w:val="00E9216D"/>
    <w:rsid w:val="00E92300"/>
    <w:rsid w:val="00E92472"/>
    <w:rsid w:val="00E92635"/>
    <w:rsid w:val="00E92890"/>
    <w:rsid w:val="00E92A1C"/>
    <w:rsid w:val="00E92E36"/>
    <w:rsid w:val="00E9303E"/>
    <w:rsid w:val="00E93DEA"/>
    <w:rsid w:val="00E940BF"/>
    <w:rsid w:val="00E941AB"/>
    <w:rsid w:val="00E949EE"/>
    <w:rsid w:val="00E94B1B"/>
    <w:rsid w:val="00E94C3B"/>
    <w:rsid w:val="00E94EAC"/>
    <w:rsid w:val="00E9508D"/>
    <w:rsid w:val="00E9542F"/>
    <w:rsid w:val="00E95650"/>
    <w:rsid w:val="00E956DB"/>
    <w:rsid w:val="00E95820"/>
    <w:rsid w:val="00E95953"/>
    <w:rsid w:val="00E95F12"/>
    <w:rsid w:val="00E970EF"/>
    <w:rsid w:val="00E973A9"/>
    <w:rsid w:val="00E978FA"/>
    <w:rsid w:val="00E979C7"/>
    <w:rsid w:val="00E97D28"/>
    <w:rsid w:val="00EA009B"/>
    <w:rsid w:val="00EA01D4"/>
    <w:rsid w:val="00EA0376"/>
    <w:rsid w:val="00EA0A9C"/>
    <w:rsid w:val="00EA0D43"/>
    <w:rsid w:val="00EA1183"/>
    <w:rsid w:val="00EA11E7"/>
    <w:rsid w:val="00EA1526"/>
    <w:rsid w:val="00EA18B5"/>
    <w:rsid w:val="00EA1BB4"/>
    <w:rsid w:val="00EA1E5A"/>
    <w:rsid w:val="00EA1FB2"/>
    <w:rsid w:val="00EA240F"/>
    <w:rsid w:val="00EA2541"/>
    <w:rsid w:val="00EA2AD9"/>
    <w:rsid w:val="00EA2AF3"/>
    <w:rsid w:val="00EA2BDD"/>
    <w:rsid w:val="00EA2F82"/>
    <w:rsid w:val="00EA3D5E"/>
    <w:rsid w:val="00EA41FA"/>
    <w:rsid w:val="00EA48CD"/>
    <w:rsid w:val="00EA4D55"/>
    <w:rsid w:val="00EA5170"/>
    <w:rsid w:val="00EA5574"/>
    <w:rsid w:val="00EA587D"/>
    <w:rsid w:val="00EA5A6B"/>
    <w:rsid w:val="00EA5EA7"/>
    <w:rsid w:val="00EA6145"/>
    <w:rsid w:val="00EA620C"/>
    <w:rsid w:val="00EA62FA"/>
    <w:rsid w:val="00EA6322"/>
    <w:rsid w:val="00EA663E"/>
    <w:rsid w:val="00EA66D2"/>
    <w:rsid w:val="00EA68F6"/>
    <w:rsid w:val="00EA69BD"/>
    <w:rsid w:val="00EA6A21"/>
    <w:rsid w:val="00EA6AB7"/>
    <w:rsid w:val="00EA7125"/>
    <w:rsid w:val="00EA75D1"/>
    <w:rsid w:val="00EA7A6F"/>
    <w:rsid w:val="00EA7AD7"/>
    <w:rsid w:val="00EA7D3E"/>
    <w:rsid w:val="00EA7FE3"/>
    <w:rsid w:val="00EB01E3"/>
    <w:rsid w:val="00EB0B36"/>
    <w:rsid w:val="00EB0E7F"/>
    <w:rsid w:val="00EB12E8"/>
    <w:rsid w:val="00EB1411"/>
    <w:rsid w:val="00EB1AA9"/>
    <w:rsid w:val="00EB1BB8"/>
    <w:rsid w:val="00EB1DAA"/>
    <w:rsid w:val="00EB1E6B"/>
    <w:rsid w:val="00EB1FB6"/>
    <w:rsid w:val="00EB2279"/>
    <w:rsid w:val="00EB2CF6"/>
    <w:rsid w:val="00EB306A"/>
    <w:rsid w:val="00EB3089"/>
    <w:rsid w:val="00EB3644"/>
    <w:rsid w:val="00EB3F5C"/>
    <w:rsid w:val="00EB4360"/>
    <w:rsid w:val="00EB46F7"/>
    <w:rsid w:val="00EB4977"/>
    <w:rsid w:val="00EB4D54"/>
    <w:rsid w:val="00EB4D59"/>
    <w:rsid w:val="00EB4E7E"/>
    <w:rsid w:val="00EB5262"/>
    <w:rsid w:val="00EB5455"/>
    <w:rsid w:val="00EB553A"/>
    <w:rsid w:val="00EB5599"/>
    <w:rsid w:val="00EB5706"/>
    <w:rsid w:val="00EB5AE7"/>
    <w:rsid w:val="00EB5E2F"/>
    <w:rsid w:val="00EB63AF"/>
    <w:rsid w:val="00EB64D5"/>
    <w:rsid w:val="00EB6774"/>
    <w:rsid w:val="00EB68B7"/>
    <w:rsid w:val="00EB6F9C"/>
    <w:rsid w:val="00EB735B"/>
    <w:rsid w:val="00EB77C8"/>
    <w:rsid w:val="00EB7E61"/>
    <w:rsid w:val="00EB7EC0"/>
    <w:rsid w:val="00EB7FFE"/>
    <w:rsid w:val="00EC022B"/>
    <w:rsid w:val="00EC0561"/>
    <w:rsid w:val="00EC09D7"/>
    <w:rsid w:val="00EC0E96"/>
    <w:rsid w:val="00EC103D"/>
    <w:rsid w:val="00EC1329"/>
    <w:rsid w:val="00EC1885"/>
    <w:rsid w:val="00EC1C65"/>
    <w:rsid w:val="00EC2052"/>
    <w:rsid w:val="00EC2398"/>
    <w:rsid w:val="00EC351B"/>
    <w:rsid w:val="00EC3D5B"/>
    <w:rsid w:val="00EC3E16"/>
    <w:rsid w:val="00EC4065"/>
    <w:rsid w:val="00EC4408"/>
    <w:rsid w:val="00EC4E2A"/>
    <w:rsid w:val="00EC559B"/>
    <w:rsid w:val="00EC56BC"/>
    <w:rsid w:val="00EC5E38"/>
    <w:rsid w:val="00EC6020"/>
    <w:rsid w:val="00EC664A"/>
    <w:rsid w:val="00EC665F"/>
    <w:rsid w:val="00EC6AB2"/>
    <w:rsid w:val="00EC6B1B"/>
    <w:rsid w:val="00EC6D3E"/>
    <w:rsid w:val="00EC6F42"/>
    <w:rsid w:val="00EC703E"/>
    <w:rsid w:val="00EC719E"/>
    <w:rsid w:val="00EC7A23"/>
    <w:rsid w:val="00EC7B8A"/>
    <w:rsid w:val="00EC7CCC"/>
    <w:rsid w:val="00ED034B"/>
    <w:rsid w:val="00ED0440"/>
    <w:rsid w:val="00ED087F"/>
    <w:rsid w:val="00ED08D1"/>
    <w:rsid w:val="00ED08F2"/>
    <w:rsid w:val="00ED0B74"/>
    <w:rsid w:val="00ED0CE6"/>
    <w:rsid w:val="00ED0FD5"/>
    <w:rsid w:val="00ED14A2"/>
    <w:rsid w:val="00ED176E"/>
    <w:rsid w:val="00ED1D47"/>
    <w:rsid w:val="00ED1FDB"/>
    <w:rsid w:val="00ED1FFF"/>
    <w:rsid w:val="00ED2029"/>
    <w:rsid w:val="00ED2386"/>
    <w:rsid w:val="00ED2572"/>
    <w:rsid w:val="00ED267E"/>
    <w:rsid w:val="00ED27C4"/>
    <w:rsid w:val="00ED2B54"/>
    <w:rsid w:val="00ED2C54"/>
    <w:rsid w:val="00ED2DA4"/>
    <w:rsid w:val="00ED2E2B"/>
    <w:rsid w:val="00ED2FAF"/>
    <w:rsid w:val="00ED333E"/>
    <w:rsid w:val="00ED3462"/>
    <w:rsid w:val="00ED3A93"/>
    <w:rsid w:val="00ED3D94"/>
    <w:rsid w:val="00ED3FF0"/>
    <w:rsid w:val="00ED4195"/>
    <w:rsid w:val="00ED43DC"/>
    <w:rsid w:val="00ED453A"/>
    <w:rsid w:val="00ED4562"/>
    <w:rsid w:val="00ED49F1"/>
    <w:rsid w:val="00ED4CC1"/>
    <w:rsid w:val="00ED4FE3"/>
    <w:rsid w:val="00ED5598"/>
    <w:rsid w:val="00ED57EA"/>
    <w:rsid w:val="00ED5A2A"/>
    <w:rsid w:val="00ED5BB6"/>
    <w:rsid w:val="00ED5BD8"/>
    <w:rsid w:val="00ED5D18"/>
    <w:rsid w:val="00ED6242"/>
    <w:rsid w:val="00ED6869"/>
    <w:rsid w:val="00ED6CF7"/>
    <w:rsid w:val="00ED6DD1"/>
    <w:rsid w:val="00ED72CE"/>
    <w:rsid w:val="00ED7866"/>
    <w:rsid w:val="00ED7C2A"/>
    <w:rsid w:val="00EE0778"/>
    <w:rsid w:val="00EE0812"/>
    <w:rsid w:val="00EE0A4B"/>
    <w:rsid w:val="00EE1CFE"/>
    <w:rsid w:val="00EE1E39"/>
    <w:rsid w:val="00EE2485"/>
    <w:rsid w:val="00EE2542"/>
    <w:rsid w:val="00EE2914"/>
    <w:rsid w:val="00EE2F68"/>
    <w:rsid w:val="00EE3177"/>
    <w:rsid w:val="00EE327A"/>
    <w:rsid w:val="00EE384B"/>
    <w:rsid w:val="00EE396A"/>
    <w:rsid w:val="00EE411B"/>
    <w:rsid w:val="00EE4188"/>
    <w:rsid w:val="00EE4804"/>
    <w:rsid w:val="00EE516D"/>
    <w:rsid w:val="00EE518C"/>
    <w:rsid w:val="00EE567F"/>
    <w:rsid w:val="00EE5933"/>
    <w:rsid w:val="00EE5A9C"/>
    <w:rsid w:val="00EE5F8A"/>
    <w:rsid w:val="00EE6987"/>
    <w:rsid w:val="00EE6ACD"/>
    <w:rsid w:val="00EE6B77"/>
    <w:rsid w:val="00EE6E28"/>
    <w:rsid w:val="00EE6E93"/>
    <w:rsid w:val="00EE7898"/>
    <w:rsid w:val="00EE7B27"/>
    <w:rsid w:val="00EE7B2C"/>
    <w:rsid w:val="00EE7C57"/>
    <w:rsid w:val="00EF05C3"/>
    <w:rsid w:val="00EF09B4"/>
    <w:rsid w:val="00EF15B4"/>
    <w:rsid w:val="00EF15BC"/>
    <w:rsid w:val="00EF1D57"/>
    <w:rsid w:val="00EF1E37"/>
    <w:rsid w:val="00EF1F2E"/>
    <w:rsid w:val="00EF253D"/>
    <w:rsid w:val="00EF2D55"/>
    <w:rsid w:val="00EF3898"/>
    <w:rsid w:val="00EF38AD"/>
    <w:rsid w:val="00EF3B36"/>
    <w:rsid w:val="00EF3DFD"/>
    <w:rsid w:val="00EF41D3"/>
    <w:rsid w:val="00EF495B"/>
    <w:rsid w:val="00EF5F98"/>
    <w:rsid w:val="00EF62EC"/>
    <w:rsid w:val="00EF6DF4"/>
    <w:rsid w:val="00EF718F"/>
    <w:rsid w:val="00EF7336"/>
    <w:rsid w:val="00F0004E"/>
    <w:rsid w:val="00F0027E"/>
    <w:rsid w:val="00F0051A"/>
    <w:rsid w:val="00F00F72"/>
    <w:rsid w:val="00F016F3"/>
    <w:rsid w:val="00F01D77"/>
    <w:rsid w:val="00F01F20"/>
    <w:rsid w:val="00F02045"/>
    <w:rsid w:val="00F02B98"/>
    <w:rsid w:val="00F03771"/>
    <w:rsid w:val="00F038E0"/>
    <w:rsid w:val="00F03BC9"/>
    <w:rsid w:val="00F03FB4"/>
    <w:rsid w:val="00F04138"/>
    <w:rsid w:val="00F042D5"/>
    <w:rsid w:val="00F04730"/>
    <w:rsid w:val="00F04891"/>
    <w:rsid w:val="00F0489D"/>
    <w:rsid w:val="00F053D6"/>
    <w:rsid w:val="00F05450"/>
    <w:rsid w:val="00F05708"/>
    <w:rsid w:val="00F05BEF"/>
    <w:rsid w:val="00F06032"/>
    <w:rsid w:val="00F060E5"/>
    <w:rsid w:val="00F0610D"/>
    <w:rsid w:val="00F06267"/>
    <w:rsid w:val="00F06AD8"/>
    <w:rsid w:val="00F06DDA"/>
    <w:rsid w:val="00F06DEC"/>
    <w:rsid w:val="00F070DB"/>
    <w:rsid w:val="00F07145"/>
    <w:rsid w:val="00F072E0"/>
    <w:rsid w:val="00F073F5"/>
    <w:rsid w:val="00F0753D"/>
    <w:rsid w:val="00F07558"/>
    <w:rsid w:val="00F076E1"/>
    <w:rsid w:val="00F07BA6"/>
    <w:rsid w:val="00F07DFF"/>
    <w:rsid w:val="00F07F3A"/>
    <w:rsid w:val="00F07FF7"/>
    <w:rsid w:val="00F105F8"/>
    <w:rsid w:val="00F1078D"/>
    <w:rsid w:val="00F107F5"/>
    <w:rsid w:val="00F108C6"/>
    <w:rsid w:val="00F10ED6"/>
    <w:rsid w:val="00F10FC9"/>
    <w:rsid w:val="00F11483"/>
    <w:rsid w:val="00F114EE"/>
    <w:rsid w:val="00F115BB"/>
    <w:rsid w:val="00F12075"/>
    <w:rsid w:val="00F12224"/>
    <w:rsid w:val="00F12539"/>
    <w:rsid w:val="00F128A8"/>
    <w:rsid w:val="00F12AAF"/>
    <w:rsid w:val="00F1328C"/>
    <w:rsid w:val="00F1355B"/>
    <w:rsid w:val="00F136C6"/>
    <w:rsid w:val="00F136C9"/>
    <w:rsid w:val="00F145E9"/>
    <w:rsid w:val="00F14A72"/>
    <w:rsid w:val="00F15221"/>
    <w:rsid w:val="00F1539B"/>
    <w:rsid w:val="00F159E2"/>
    <w:rsid w:val="00F15AF0"/>
    <w:rsid w:val="00F15F5A"/>
    <w:rsid w:val="00F16575"/>
    <w:rsid w:val="00F16CA6"/>
    <w:rsid w:val="00F16EEA"/>
    <w:rsid w:val="00F17A00"/>
    <w:rsid w:val="00F17CE5"/>
    <w:rsid w:val="00F17F64"/>
    <w:rsid w:val="00F202DE"/>
    <w:rsid w:val="00F2059B"/>
    <w:rsid w:val="00F207DF"/>
    <w:rsid w:val="00F20904"/>
    <w:rsid w:val="00F20995"/>
    <w:rsid w:val="00F20B08"/>
    <w:rsid w:val="00F20C3C"/>
    <w:rsid w:val="00F210DE"/>
    <w:rsid w:val="00F2122D"/>
    <w:rsid w:val="00F219D7"/>
    <w:rsid w:val="00F21B36"/>
    <w:rsid w:val="00F21DE7"/>
    <w:rsid w:val="00F2214E"/>
    <w:rsid w:val="00F22F33"/>
    <w:rsid w:val="00F22FDC"/>
    <w:rsid w:val="00F235FE"/>
    <w:rsid w:val="00F236BE"/>
    <w:rsid w:val="00F23777"/>
    <w:rsid w:val="00F23A1B"/>
    <w:rsid w:val="00F23A84"/>
    <w:rsid w:val="00F24246"/>
    <w:rsid w:val="00F24D76"/>
    <w:rsid w:val="00F24D7F"/>
    <w:rsid w:val="00F25499"/>
    <w:rsid w:val="00F25882"/>
    <w:rsid w:val="00F25F57"/>
    <w:rsid w:val="00F264A0"/>
    <w:rsid w:val="00F26CB6"/>
    <w:rsid w:val="00F26F93"/>
    <w:rsid w:val="00F26F9D"/>
    <w:rsid w:val="00F27677"/>
    <w:rsid w:val="00F277E5"/>
    <w:rsid w:val="00F27BF3"/>
    <w:rsid w:val="00F30202"/>
    <w:rsid w:val="00F30593"/>
    <w:rsid w:val="00F305E1"/>
    <w:rsid w:val="00F30AD1"/>
    <w:rsid w:val="00F30BCA"/>
    <w:rsid w:val="00F30D84"/>
    <w:rsid w:val="00F312AC"/>
    <w:rsid w:val="00F318A7"/>
    <w:rsid w:val="00F31ED3"/>
    <w:rsid w:val="00F32076"/>
    <w:rsid w:val="00F324B6"/>
    <w:rsid w:val="00F3263C"/>
    <w:rsid w:val="00F32704"/>
    <w:rsid w:val="00F32726"/>
    <w:rsid w:val="00F328B3"/>
    <w:rsid w:val="00F328EA"/>
    <w:rsid w:val="00F32959"/>
    <w:rsid w:val="00F32B7C"/>
    <w:rsid w:val="00F32D06"/>
    <w:rsid w:val="00F32E55"/>
    <w:rsid w:val="00F335D1"/>
    <w:rsid w:val="00F33952"/>
    <w:rsid w:val="00F33DD1"/>
    <w:rsid w:val="00F33E0D"/>
    <w:rsid w:val="00F33F24"/>
    <w:rsid w:val="00F35189"/>
    <w:rsid w:val="00F35686"/>
    <w:rsid w:val="00F35C92"/>
    <w:rsid w:val="00F35E3F"/>
    <w:rsid w:val="00F361A3"/>
    <w:rsid w:val="00F362E9"/>
    <w:rsid w:val="00F36CF9"/>
    <w:rsid w:val="00F37456"/>
    <w:rsid w:val="00F37BEE"/>
    <w:rsid w:val="00F37BFE"/>
    <w:rsid w:val="00F37E3D"/>
    <w:rsid w:val="00F37F50"/>
    <w:rsid w:val="00F40189"/>
    <w:rsid w:val="00F40492"/>
    <w:rsid w:val="00F406C0"/>
    <w:rsid w:val="00F40913"/>
    <w:rsid w:val="00F40B63"/>
    <w:rsid w:val="00F4101F"/>
    <w:rsid w:val="00F41486"/>
    <w:rsid w:val="00F414CC"/>
    <w:rsid w:val="00F41832"/>
    <w:rsid w:val="00F41855"/>
    <w:rsid w:val="00F42014"/>
    <w:rsid w:val="00F420B9"/>
    <w:rsid w:val="00F427B3"/>
    <w:rsid w:val="00F428A7"/>
    <w:rsid w:val="00F42B5C"/>
    <w:rsid w:val="00F42FD5"/>
    <w:rsid w:val="00F43C6F"/>
    <w:rsid w:val="00F446CF"/>
    <w:rsid w:val="00F44851"/>
    <w:rsid w:val="00F44DB6"/>
    <w:rsid w:val="00F44E6D"/>
    <w:rsid w:val="00F451A0"/>
    <w:rsid w:val="00F45765"/>
    <w:rsid w:val="00F458C9"/>
    <w:rsid w:val="00F45C7B"/>
    <w:rsid w:val="00F46C0C"/>
    <w:rsid w:val="00F47140"/>
    <w:rsid w:val="00F47235"/>
    <w:rsid w:val="00F47288"/>
    <w:rsid w:val="00F47295"/>
    <w:rsid w:val="00F475DC"/>
    <w:rsid w:val="00F47816"/>
    <w:rsid w:val="00F47E3C"/>
    <w:rsid w:val="00F47EC1"/>
    <w:rsid w:val="00F47F31"/>
    <w:rsid w:val="00F47F77"/>
    <w:rsid w:val="00F50CC1"/>
    <w:rsid w:val="00F512F8"/>
    <w:rsid w:val="00F516CF"/>
    <w:rsid w:val="00F5182B"/>
    <w:rsid w:val="00F51A35"/>
    <w:rsid w:val="00F51ADA"/>
    <w:rsid w:val="00F51EA0"/>
    <w:rsid w:val="00F5214A"/>
    <w:rsid w:val="00F521D0"/>
    <w:rsid w:val="00F5288D"/>
    <w:rsid w:val="00F52DAA"/>
    <w:rsid w:val="00F52DBA"/>
    <w:rsid w:val="00F52E7A"/>
    <w:rsid w:val="00F52EEC"/>
    <w:rsid w:val="00F53000"/>
    <w:rsid w:val="00F532E5"/>
    <w:rsid w:val="00F533D1"/>
    <w:rsid w:val="00F53D00"/>
    <w:rsid w:val="00F5425E"/>
    <w:rsid w:val="00F54B6E"/>
    <w:rsid w:val="00F5507F"/>
    <w:rsid w:val="00F559F8"/>
    <w:rsid w:val="00F56178"/>
    <w:rsid w:val="00F563A0"/>
    <w:rsid w:val="00F569BD"/>
    <w:rsid w:val="00F569FD"/>
    <w:rsid w:val="00F57252"/>
    <w:rsid w:val="00F572E1"/>
    <w:rsid w:val="00F57380"/>
    <w:rsid w:val="00F5746E"/>
    <w:rsid w:val="00F5765D"/>
    <w:rsid w:val="00F5786D"/>
    <w:rsid w:val="00F57BD8"/>
    <w:rsid w:val="00F60402"/>
    <w:rsid w:val="00F605F4"/>
    <w:rsid w:val="00F60A42"/>
    <w:rsid w:val="00F60A80"/>
    <w:rsid w:val="00F612F5"/>
    <w:rsid w:val="00F61B6B"/>
    <w:rsid w:val="00F62401"/>
    <w:rsid w:val="00F62985"/>
    <w:rsid w:val="00F62B03"/>
    <w:rsid w:val="00F62EF2"/>
    <w:rsid w:val="00F6329D"/>
    <w:rsid w:val="00F632CC"/>
    <w:rsid w:val="00F635C9"/>
    <w:rsid w:val="00F63FD6"/>
    <w:rsid w:val="00F6483C"/>
    <w:rsid w:val="00F64D5D"/>
    <w:rsid w:val="00F64D74"/>
    <w:rsid w:val="00F651F6"/>
    <w:rsid w:val="00F658C2"/>
    <w:rsid w:val="00F65BC1"/>
    <w:rsid w:val="00F65D95"/>
    <w:rsid w:val="00F65FBE"/>
    <w:rsid w:val="00F660B3"/>
    <w:rsid w:val="00F664A0"/>
    <w:rsid w:val="00F6673B"/>
    <w:rsid w:val="00F66C73"/>
    <w:rsid w:val="00F66F77"/>
    <w:rsid w:val="00F6714E"/>
    <w:rsid w:val="00F6739C"/>
    <w:rsid w:val="00F700B4"/>
    <w:rsid w:val="00F70238"/>
    <w:rsid w:val="00F7091D"/>
    <w:rsid w:val="00F70AFC"/>
    <w:rsid w:val="00F70B92"/>
    <w:rsid w:val="00F7107E"/>
    <w:rsid w:val="00F71090"/>
    <w:rsid w:val="00F711F5"/>
    <w:rsid w:val="00F714D8"/>
    <w:rsid w:val="00F71D0C"/>
    <w:rsid w:val="00F721F1"/>
    <w:rsid w:val="00F728DD"/>
    <w:rsid w:val="00F728DF"/>
    <w:rsid w:val="00F7342A"/>
    <w:rsid w:val="00F736E4"/>
    <w:rsid w:val="00F7387B"/>
    <w:rsid w:val="00F73967"/>
    <w:rsid w:val="00F73D08"/>
    <w:rsid w:val="00F73D53"/>
    <w:rsid w:val="00F73E6E"/>
    <w:rsid w:val="00F74071"/>
    <w:rsid w:val="00F74180"/>
    <w:rsid w:val="00F741D5"/>
    <w:rsid w:val="00F748CF"/>
    <w:rsid w:val="00F750BC"/>
    <w:rsid w:val="00F7554C"/>
    <w:rsid w:val="00F756F4"/>
    <w:rsid w:val="00F757D6"/>
    <w:rsid w:val="00F75B11"/>
    <w:rsid w:val="00F75C35"/>
    <w:rsid w:val="00F75EF8"/>
    <w:rsid w:val="00F762F2"/>
    <w:rsid w:val="00F76980"/>
    <w:rsid w:val="00F76A71"/>
    <w:rsid w:val="00F76B9F"/>
    <w:rsid w:val="00F76C64"/>
    <w:rsid w:val="00F774D6"/>
    <w:rsid w:val="00F7775C"/>
    <w:rsid w:val="00F77941"/>
    <w:rsid w:val="00F8098E"/>
    <w:rsid w:val="00F8132E"/>
    <w:rsid w:val="00F8152D"/>
    <w:rsid w:val="00F8176B"/>
    <w:rsid w:val="00F818E2"/>
    <w:rsid w:val="00F81E07"/>
    <w:rsid w:val="00F8210E"/>
    <w:rsid w:val="00F82431"/>
    <w:rsid w:val="00F824AC"/>
    <w:rsid w:val="00F824B4"/>
    <w:rsid w:val="00F825E1"/>
    <w:rsid w:val="00F826B8"/>
    <w:rsid w:val="00F8279A"/>
    <w:rsid w:val="00F8292C"/>
    <w:rsid w:val="00F82AE5"/>
    <w:rsid w:val="00F83323"/>
    <w:rsid w:val="00F833EF"/>
    <w:rsid w:val="00F834BB"/>
    <w:rsid w:val="00F834C5"/>
    <w:rsid w:val="00F83BE3"/>
    <w:rsid w:val="00F83D55"/>
    <w:rsid w:val="00F83E95"/>
    <w:rsid w:val="00F83EA4"/>
    <w:rsid w:val="00F846C3"/>
    <w:rsid w:val="00F84996"/>
    <w:rsid w:val="00F84C75"/>
    <w:rsid w:val="00F85180"/>
    <w:rsid w:val="00F8543F"/>
    <w:rsid w:val="00F8570F"/>
    <w:rsid w:val="00F85731"/>
    <w:rsid w:val="00F858ED"/>
    <w:rsid w:val="00F85AF3"/>
    <w:rsid w:val="00F85FC8"/>
    <w:rsid w:val="00F85FE5"/>
    <w:rsid w:val="00F86032"/>
    <w:rsid w:val="00F861E9"/>
    <w:rsid w:val="00F86464"/>
    <w:rsid w:val="00F8682C"/>
    <w:rsid w:val="00F86AAA"/>
    <w:rsid w:val="00F86D70"/>
    <w:rsid w:val="00F86F09"/>
    <w:rsid w:val="00F871C4"/>
    <w:rsid w:val="00F8736A"/>
    <w:rsid w:val="00F877B5"/>
    <w:rsid w:val="00F87F06"/>
    <w:rsid w:val="00F90589"/>
    <w:rsid w:val="00F90737"/>
    <w:rsid w:val="00F90A2A"/>
    <w:rsid w:val="00F90AE3"/>
    <w:rsid w:val="00F910A6"/>
    <w:rsid w:val="00F9128F"/>
    <w:rsid w:val="00F918F5"/>
    <w:rsid w:val="00F924EA"/>
    <w:rsid w:val="00F924F4"/>
    <w:rsid w:val="00F925C1"/>
    <w:rsid w:val="00F925F7"/>
    <w:rsid w:val="00F9266E"/>
    <w:rsid w:val="00F92CFD"/>
    <w:rsid w:val="00F92E10"/>
    <w:rsid w:val="00F933BB"/>
    <w:rsid w:val="00F934A5"/>
    <w:rsid w:val="00F947D7"/>
    <w:rsid w:val="00F94A60"/>
    <w:rsid w:val="00F94EF4"/>
    <w:rsid w:val="00F95251"/>
    <w:rsid w:val="00F95BC7"/>
    <w:rsid w:val="00F95D45"/>
    <w:rsid w:val="00F95E0F"/>
    <w:rsid w:val="00F96155"/>
    <w:rsid w:val="00F96A86"/>
    <w:rsid w:val="00F96C17"/>
    <w:rsid w:val="00F971CE"/>
    <w:rsid w:val="00F9738D"/>
    <w:rsid w:val="00F9753B"/>
    <w:rsid w:val="00F975EB"/>
    <w:rsid w:val="00F977D1"/>
    <w:rsid w:val="00FA00F9"/>
    <w:rsid w:val="00FA0131"/>
    <w:rsid w:val="00FA0190"/>
    <w:rsid w:val="00FA02D2"/>
    <w:rsid w:val="00FA0480"/>
    <w:rsid w:val="00FA07AE"/>
    <w:rsid w:val="00FA0B89"/>
    <w:rsid w:val="00FA131E"/>
    <w:rsid w:val="00FA13CA"/>
    <w:rsid w:val="00FA144A"/>
    <w:rsid w:val="00FA17EB"/>
    <w:rsid w:val="00FA1A93"/>
    <w:rsid w:val="00FA1AD9"/>
    <w:rsid w:val="00FA1BA7"/>
    <w:rsid w:val="00FA250C"/>
    <w:rsid w:val="00FA2994"/>
    <w:rsid w:val="00FA29A3"/>
    <w:rsid w:val="00FA2B8D"/>
    <w:rsid w:val="00FA2E5F"/>
    <w:rsid w:val="00FA307C"/>
    <w:rsid w:val="00FA33F4"/>
    <w:rsid w:val="00FA33F5"/>
    <w:rsid w:val="00FA340B"/>
    <w:rsid w:val="00FA3510"/>
    <w:rsid w:val="00FA36A4"/>
    <w:rsid w:val="00FA3768"/>
    <w:rsid w:val="00FA3BA2"/>
    <w:rsid w:val="00FA45E5"/>
    <w:rsid w:val="00FA4774"/>
    <w:rsid w:val="00FA4841"/>
    <w:rsid w:val="00FA49DC"/>
    <w:rsid w:val="00FA4AB4"/>
    <w:rsid w:val="00FA4CD0"/>
    <w:rsid w:val="00FA5795"/>
    <w:rsid w:val="00FA5989"/>
    <w:rsid w:val="00FA5B8F"/>
    <w:rsid w:val="00FA5F03"/>
    <w:rsid w:val="00FA5F50"/>
    <w:rsid w:val="00FA63F7"/>
    <w:rsid w:val="00FA656D"/>
    <w:rsid w:val="00FA6765"/>
    <w:rsid w:val="00FA6C4F"/>
    <w:rsid w:val="00FA6D64"/>
    <w:rsid w:val="00FA708C"/>
    <w:rsid w:val="00FA7E26"/>
    <w:rsid w:val="00FB0312"/>
    <w:rsid w:val="00FB07E4"/>
    <w:rsid w:val="00FB0B4F"/>
    <w:rsid w:val="00FB0FEF"/>
    <w:rsid w:val="00FB1013"/>
    <w:rsid w:val="00FB1191"/>
    <w:rsid w:val="00FB16F5"/>
    <w:rsid w:val="00FB19F3"/>
    <w:rsid w:val="00FB1A6B"/>
    <w:rsid w:val="00FB2943"/>
    <w:rsid w:val="00FB2B97"/>
    <w:rsid w:val="00FB2CD7"/>
    <w:rsid w:val="00FB35A0"/>
    <w:rsid w:val="00FB3A25"/>
    <w:rsid w:val="00FB3DEA"/>
    <w:rsid w:val="00FB3EA8"/>
    <w:rsid w:val="00FB3F88"/>
    <w:rsid w:val="00FB4083"/>
    <w:rsid w:val="00FB457D"/>
    <w:rsid w:val="00FB45DF"/>
    <w:rsid w:val="00FB463E"/>
    <w:rsid w:val="00FB491F"/>
    <w:rsid w:val="00FB5231"/>
    <w:rsid w:val="00FB5A77"/>
    <w:rsid w:val="00FB5B6B"/>
    <w:rsid w:val="00FB5C9E"/>
    <w:rsid w:val="00FB5CDB"/>
    <w:rsid w:val="00FB5E1C"/>
    <w:rsid w:val="00FB5FAF"/>
    <w:rsid w:val="00FB62F4"/>
    <w:rsid w:val="00FB655B"/>
    <w:rsid w:val="00FB684B"/>
    <w:rsid w:val="00FB6E5A"/>
    <w:rsid w:val="00FB6EB6"/>
    <w:rsid w:val="00FB7404"/>
    <w:rsid w:val="00FB75BD"/>
    <w:rsid w:val="00FB782F"/>
    <w:rsid w:val="00FC0091"/>
    <w:rsid w:val="00FC06D6"/>
    <w:rsid w:val="00FC12A4"/>
    <w:rsid w:val="00FC1899"/>
    <w:rsid w:val="00FC1C0A"/>
    <w:rsid w:val="00FC1EB2"/>
    <w:rsid w:val="00FC2BF0"/>
    <w:rsid w:val="00FC2C06"/>
    <w:rsid w:val="00FC2FA6"/>
    <w:rsid w:val="00FC30EC"/>
    <w:rsid w:val="00FC341B"/>
    <w:rsid w:val="00FC34DF"/>
    <w:rsid w:val="00FC383A"/>
    <w:rsid w:val="00FC3DAE"/>
    <w:rsid w:val="00FC3E31"/>
    <w:rsid w:val="00FC3E52"/>
    <w:rsid w:val="00FC3F16"/>
    <w:rsid w:val="00FC3FB3"/>
    <w:rsid w:val="00FC4186"/>
    <w:rsid w:val="00FC43D0"/>
    <w:rsid w:val="00FC4531"/>
    <w:rsid w:val="00FC45F1"/>
    <w:rsid w:val="00FC4724"/>
    <w:rsid w:val="00FC48FE"/>
    <w:rsid w:val="00FC4A45"/>
    <w:rsid w:val="00FC4EE1"/>
    <w:rsid w:val="00FC53BB"/>
    <w:rsid w:val="00FC55AE"/>
    <w:rsid w:val="00FC58B3"/>
    <w:rsid w:val="00FC629B"/>
    <w:rsid w:val="00FC654B"/>
    <w:rsid w:val="00FC671B"/>
    <w:rsid w:val="00FC69EB"/>
    <w:rsid w:val="00FC6D55"/>
    <w:rsid w:val="00FC707D"/>
    <w:rsid w:val="00FC7316"/>
    <w:rsid w:val="00FC774B"/>
    <w:rsid w:val="00FC77B7"/>
    <w:rsid w:val="00FD0085"/>
    <w:rsid w:val="00FD09A4"/>
    <w:rsid w:val="00FD0AF9"/>
    <w:rsid w:val="00FD0D91"/>
    <w:rsid w:val="00FD1111"/>
    <w:rsid w:val="00FD1191"/>
    <w:rsid w:val="00FD1198"/>
    <w:rsid w:val="00FD1C22"/>
    <w:rsid w:val="00FD1D3E"/>
    <w:rsid w:val="00FD1DF4"/>
    <w:rsid w:val="00FD2579"/>
    <w:rsid w:val="00FD2785"/>
    <w:rsid w:val="00FD294D"/>
    <w:rsid w:val="00FD2950"/>
    <w:rsid w:val="00FD2A81"/>
    <w:rsid w:val="00FD2C5E"/>
    <w:rsid w:val="00FD2FCB"/>
    <w:rsid w:val="00FD3250"/>
    <w:rsid w:val="00FD34FE"/>
    <w:rsid w:val="00FD385D"/>
    <w:rsid w:val="00FD3B1C"/>
    <w:rsid w:val="00FD40DD"/>
    <w:rsid w:val="00FD4693"/>
    <w:rsid w:val="00FD4ADF"/>
    <w:rsid w:val="00FD4C80"/>
    <w:rsid w:val="00FD4D6C"/>
    <w:rsid w:val="00FD4DA1"/>
    <w:rsid w:val="00FD543E"/>
    <w:rsid w:val="00FD54E5"/>
    <w:rsid w:val="00FD5AC9"/>
    <w:rsid w:val="00FD5D1E"/>
    <w:rsid w:val="00FD651F"/>
    <w:rsid w:val="00FD657A"/>
    <w:rsid w:val="00FD6707"/>
    <w:rsid w:val="00FD6E18"/>
    <w:rsid w:val="00FD7322"/>
    <w:rsid w:val="00FD78AD"/>
    <w:rsid w:val="00FD78D2"/>
    <w:rsid w:val="00FD7DA6"/>
    <w:rsid w:val="00FE06EE"/>
    <w:rsid w:val="00FE0DD1"/>
    <w:rsid w:val="00FE1147"/>
    <w:rsid w:val="00FE1301"/>
    <w:rsid w:val="00FE14E3"/>
    <w:rsid w:val="00FE1509"/>
    <w:rsid w:val="00FE1529"/>
    <w:rsid w:val="00FE165D"/>
    <w:rsid w:val="00FE183A"/>
    <w:rsid w:val="00FE1BEB"/>
    <w:rsid w:val="00FE2093"/>
    <w:rsid w:val="00FE24A6"/>
    <w:rsid w:val="00FE2A93"/>
    <w:rsid w:val="00FE2EDF"/>
    <w:rsid w:val="00FE31A6"/>
    <w:rsid w:val="00FE352B"/>
    <w:rsid w:val="00FE36E0"/>
    <w:rsid w:val="00FE394A"/>
    <w:rsid w:val="00FE39FE"/>
    <w:rsid w:val="00FE3EFB"/>
    <w:rsid w:val="00FE3FE3"/>
    <w:rsid w:val="00FE40B5"/>
    <w:rsid w:val="00FE4193"/>
    <w:rsid w:val="00FE4204"/>
    <w:rsid w:val="00FE432D"/>
    <w:rsid w:val="00FE4896"/>
    <w:rsid w:val="00FE4DBD"/>
    <w:rsid w:val="00FE506B"/>
    <w:rsid w:val="00FE51C1"/>
    <w:rsid w:val="00FE53FF"/>
    <w:rsid w:val="00FE56E4"/>
    <w:rsid w:val="00FE5952"/>
    <w:rsid w:val="00FE5956"/>
    <w:rsid w:val="00FE6392"/>
    <w:rsid w:val="00FE63FB"/>
    <w:rsid w:val="00FE6EFE"/>
    <w:rsid w:val="00FE6F9C"/>
    <w:rsid w:val="00FE7225"/>
    <w:rsid w:val="00FE72A3"/>
    <w:rsid w:val="00FE7816"/>
    <w:rsid w:val="00FE78AE"/>
    <w:rsid w:val="00FE7B73"/>
    <w:rsid w:val="00FE7CFA"/>
    <w:rsid w:val="00FF049E"/>
    <w:rsid w:val="00FF0FA5"/>
    <w:rsid w:val="00FF182D"/>
    <w:rsid w:val="00FF18C6"/>
    <w:rsid w:val="00FF1A48"/>
    <w:rsid w:val="00FF1C7B"/>
    <w:rsid w:val="00FF1DC1"/>
    <w:rsid w:val="00FF2017"/>
    <w:rsid w:val="00FF2630"/>
    <w:rsid w:val="00FF394F"/>
    <w:rsid w:val="00FF3A54"/>
    <w:rsid w:val="00FF3B9F"/>
    <w:rsid w:val="00FF4259"/>
    <w:rsid w:val="00FF49F5"/>
    <w:rsid w:val="00FF4E4F"/>
    <w:rsid w:val="00FF5406"/>
    <w:rsid w:val="00FF571D"/>
    <w:rsid w:val="00FF5BCB"/>
    <w:rsid w:val="00FF5CAC"/>
    <w:rsid w:val="00FF5ED0"/>
    <w:rsid w:val="00FF5FA1"/>
    <w:rsid w:val="00FF5FA8"/>
    <w:rsid w:val="00FF6CAB"/>
    <w:rsid w:val="00FF6DD3"/>
    <w:rsid w:val="00FF7372"/>
    <w:rsid w:val="00FF7876"/>
    <w:rsid w:val="00FF7C1C"/>
    <w:rsid w:val="00FF7CE7"/>
    <w:rsid w:val="00FF7D69"/>
    <w:rsid w:val="0147CCFC"/>
    <w:rsid w:val="01709E52"/>
    <w:rsid w:val="01FF9084"/>
    <w:rsid w:val="029E73CC"/>
    <w:rsid w:val="03714AE2"/>
    <w:rsid w:val="03E1CA6F"/>
    <w:rsid w:val="05140C67"/>
    <w:rsid w:val="0520B689"/>
    <w:rsid w:val="0527DFD3"/>
    <w:rsid w:val="054C4652"/>
    <w:rsid w:val="059A10E1"/>
    <w:rsid w:val="0634CB20"/>
    <w:rsid w:val="06930F13"/>
    <w:rsid w:val="06AFDCC8"/>
    <w:rsid w:val="0747BFFC"/>
    <w:rsid w:val="07503443"/>
    <w:rsid w:val="07776AC6"/>
    <w:rsid w:val="08829E7B"/>
    <w:rsid w:val="098220BC"/>
    <w:rsid w:val="0A2D9E70"/>
    <w:rsid w:val="0A91A0AB"/>
    <w:rsid w:val="0AB2A1F5"/>
    <w:rsid w:val="0ABC53DC"/>
    <w:rsid w:val="0B1CA8E3"/>
    <w:rsid w:val="0CA7E281"/>
    <w:rsid w:val="0CA9CF02"/>
    <w:rsid w:val="0CBAC697"/>
    <w:rsid w:val="0CDAED41"/>
    <w:rsid w:val="0D1F1E4C"/>
    <w:rsid w:val="0DA713EC"/>
    <w:rsid w:val="0E02CBB0"/>
    <w:rsid w:val="0E45F0CA"/>
    <w:rsid w:val="0E61C5D6"/>
    <w:rsid w:val="0E89A138"/>
    <w:rsid w:val="107D9E51"/>
    <w:rsid w:val="1081F9A3"/>
    <w:rsid w:val="109E5EAF"/>
    <w:rsid w:val="10A176B8"/>
    <w:rsid w:val="10D45349"/>
    <w:rsid w:val="11FB42F5"/>
    <w:rsid w:val="1363831F"/>
    <w:rsid w:val="13D2B00F"/>
    <w:rsid w:val="14D8F4E0"/>
    <w:rsid w:val="14FA0B40"/>
    <w:rsid w:val="15CD0BF7"/>
    <w:rsid w:val="1604D09A"/>
    <w:rsid w:val="16D71177"/>
    <w:rsid w:val="16F40312"/>
    <w:rsid w:val="1762C5BD"/>
    <w:rsid w:val="177E9A1B"/>
    <w:rsid w:val="1794B1CD"/>
    <w:rsid w:val="19A8EE91"/>
    <w:rsid w:val="1B555659"/>
    <w:rsid w:val="1BBE1015"/>
    <w:rsid w:val="1BF17D5A"/>
    <w:rsid w:val="1C083EF8"/>
    <w:rsid w:val="1C42B9A6"/>
    <w:rsid w:val="1D040C71"/>
    <w:rsid w:val="1D3D2F9C"/>
    <w:rsid w:val="1D4DE5A6"/>
    <w:rsid w:val="1D5A379A"/>
    <w:rsid w:val="1E44DF45"/>
    <w:rsid w:val="1E7445B2"/>
    <w:rsid w:val="20811AD7"/>
    <w:rsid w:val="20BA33D8"/>
    <w:rsid w:val="20C981CD"/>
    <w:rsid w:val="2129E310"/>
    <w:rsid w:val="21779848"/>
    <w:rsid w:val="219F53A3"/>
    <w:rsid w:val="2341E46D"/>
    <w:rsid w:val="234BCA31"/>
    <w:rsid w:val="234EB67B"/>
    <w:rsid w:val="235D92B1"/>
    <w:rsid w:val="237BA488"/>
    <w:rsid w:val="24282147"/>
    <w:rsid w:val="247F1E30"/>
    <w:rsid w:val="24C07510"/>
    <w:rsid w:val="24D47FA8"/>
    <w:rsid w:val="253D79D5"/>
    <w:rsid w:val="2547ADA8"/>
    <w:rsid w:val="2560DA37"/>
    <w:rsid w:val="25A585CF"/>
    <w:rsid w:val="263186F5"/>
    <w:rsid w:val="263DDC8C"/>
    <w:rsid w:val="27281496"/>
    <w:rsid w:val="27A5B12A"/>
    <w:rsid w:val="286B81AC"/>
    <w:rsid w:val="28D64EBE"/>
    <w:rsid w:val="28F9FDF4"/>
    <w:rsid w:val="29E2D023"/>
    <w:rsid w:val="2B02E3A9"/>
    <w:rsid w:val="2BAFD805"/>
    <w:rsid w:val="2BE1C758"/>
    <w:rsid w:val="2C48A5D0"/>
    <w:rsid w:val="2C809220"/>
    <w:rsid w:val="2C955C2B"/>
    <w:rsid w:val="2CE6C4E8"/>
    <w:rsid w:val="2D0D3282"/>
    <w:rsid w:val="2D42D0D2"/>
    <w:rsid w:val="2D513564"/>
    <w:rsid w:val="2D6E5096"/>
    <w:rsid w:val="2DB6E743"/>
    <w:rsid w:val="2DCE9E07"/>
    <w:rsid w:val="2DDA4E38"/>
    <w:rsid w:val="2E5CE1EF"/>
    <w:rsid w:val="2E7E98FB"/>
    <w:rsid w:val="2E90B765"/>
    <w:rsid w:val="2F5D03B2"/>
    <w:rsid w:val="303C7B5B"/>
    <w:rsid w:val="307D6409"/>
    <w:rsid w:val="3156A0D2"/>
    <w:rsid w:val="32010715"/>
    <w:rsid w:val="32091184"/>
    <w:rsid w:val="3236228B"/>
    <w:rsid w:val="323CCD9C"/>
    <w:rsid w:val="32635AE2"/>
    <w:rsid w:val="32B055A4"/>
    <w:rsid w:val="333245C4"/>
    <w:rsid w:val="334133EE"/>
    <w:rsid w:val="3362F009"/>
    <w:rsid w:val="336EFABE"/>
    <w:rsid w:val="33B4574F"/>
    <w:rsid w:val="352BA5F9"/>
    <w:rsid w:val="353259AA"/>
    <w:rsid w:val="3580566F"/>
    <w:rsid w:val="35CD2D1C"/>
    <w:rsid w:val="35CE3691"/>
    <w:rsid w:val="3690CE1D"/>
    <w:rsid w:val="36B6739C"/>
    <w:rsid w:val="370BD040"/>
    <w:rsid w:val="37C06B89"/>
    <w:rsid w:val="37FCE841"/>
    <w:rsid w:val="38479367"/>
    <w:rsid w:val="386D7125"/>
    <w:rsid w:val="38CC8C90"/>
    <w:rsid w:val="39552374"/>
    <w:rsid w:val="39661EAD"/>
    <w:rsid w:val="398F7EF1"/>
    <w:rsid w:val="3AE5B8ED"/>
    <w:rsid w:val="3B1F84EE"/>
    <w:rsid w:val="3C8DA5C0"/>
    <w:rsid w:val="3CE84ABE"/>
    <w:rsid w:val="3D8A951F"/>
    <w:rsid w:val="3DB73AA1"/>
    <w:rsid w:val="3E162009"/>
    <w:rsid w:val="3E4DFF6E"/>
    <w:rsid w:val="3F21D319"/>
    <w:rsid w:val="3F432DEE"/>
    <w:rsid w:val="3F82287D"/>
    <w:rsid w:val="3F83EC1D"/>
    <w:rsid w:val="40D5F7C1"/>
    <w:rsid w:val="40DF03F0"/>
    <w:rsid w:val="42B14FD7"/>
    <w:rsid w:val="42FE5A8C"/>
    <w:rsid w:val="4303BDBD"/>
    <w:rsid w:val="434D03AD"/>
    <w:rsid w:val="436DE15F"/>
    <w:rsid w:val="438BDD1E"/>
    <w:rsid w:val="43F55BB8"/>
    <w:rsid w:val="449B9E90"/>
    <w:rsid w:val="449D001F"/>
    <w:rsid w:val="44AD023A"/>
    <w:rsid w:val="44F755FE"/>
    <w:rsid w:val="4582B59A"/>
    <w:rsid w:val="4583A375"/>
    <w:rsid w:val="463D1EC2"/>
    <w:rsid w:val="4671721B"/>
    <w:rsid w:val="4686B114"/>
    <w:rsid w:val="46DB78C3"/>
    <w:rsid w:val="481AAFAF"/>
    <w:rsid w:val="48FADB89"/>
    <w:rsid w:val="498C8528"/>
    <w:rsid w:val="49DFB343"/>
    <w:rsid w:val="4AB2B4BB"/>
    <w:rsid w:val="4ACE953B"/>
    <w:rsid w:val="4B78A343"/>
    <w:rsid w:val="4B7E9CE9"/>
    <w:rsid w:val="4C8B169D"/>
    <w:rsid w:val="4CE64091"/>
    <w:rsid w:val="4DCA2973"/>
    <w:rsid w:val="4F6857B4"/>
    <w:rsid w:val="4FE0E1B6"/>
    <w:rsid w:val="505465A8"/>
    <w:rsid w:val="5061E56C"/>
    <w:rsid w:val="5295DFE1"/>
    <w:rsid w:val="52D7D994"/>
    <w:rsid w:val="530284CC"/>
    <w:rsid w:val="53DE0DE3"/>
    <w:rsid w:val="541676BF"/>
    <w:rsid w:val="54DDB9BF"/>
    <w:rsid w:val="54EAB48F"/>
    <w:rsid w:val="567FFE3D"/>
    <w:rsid w:val="56FE4DFA"/>
    <w:rsid w:val="579E093B"/>
    <w:rsid w:val="57D9D22E"/>
    <w:rsid w:val="57F3BBB1"/>
    <w:rsid w:val="57F4A219"/>
    <w:rsid w:val="585D492C"/>
    <w:rsid w:val="58EA8A96"/>
    <w:rsid w:val="59109BB8"/>
    <w:rsid w:val="5984D25E"/>
    <w:rsid w:val="5A23DFFC"/>
    <w:rsid w:val="5B8379E2"/>
    <w:rsid w:val="5BD38D59"/>
    <w:rsid w:val="5C55A774"/>
    <w:rsid w:val="5D097BE5"/>
    <w:rsid w:val="5D90746B"/>
    <w:rsid w:val="5DEE38DC"/>
    <w:rsid w:val="5F729D7C"/>
    <w:rsid w:val="5FB47F6D"/>
    <w:rsid w:val="6307CFDE"/>
    <w:rsid w:val="639F40BF"/>
    <w:rsid w:val="64C6488F"/>
    <w:rsid w:val="655FABBB"/>
    <w:rsid w:val="65828724"/>
    <w:rsid w:val="66911164"/>
    <w:rsid w:val="671B0877"/>
    <w:rsid w:val="6815677E"/>
    <w:rsid w:val="68AFE4A2"/>
    <w:rsid w:val="6915456F"/>
    <w:rsid w:val="697C937D"/>
    <w:rsid w:val="6B641C27"/>
    <w:rsid w:val="6C215C5E"/>
    <w:rsid w:val="6C715901"/>
    <w:rsid w:val="6C76C7F8"/>
    <w:rsid w:val="6CBB276F"/>
    <w:rsid w:val="6CBE59EF"/>
    <w:rsid w:val="6CF03C69"/>
    <w:rsid w:val="6CF2963A"/>
    <w:rsid w:val="6D0D35E8"/>
    <w:rsid w:val="6DD63034"/>
    <w:rsid w:val="6F5B2C4C"/>
    <w:rsid w:val="70225664"/>
    <w:rsid w:val="70280B97"/>
    <w:rsid w:val="70ED7B90"/>
    <w:rsid w:val="713283B1"/>
    <w:rsid w:val="714219BF"/>
    <w:rsid w:val="71DE3E7F"/>
    <w:rsid w:val="72256B29"/>
    <w:rsid w:val="72BB0424"/>
    <w:rsid w:val="73A01D02"/>
    <w:rsid w:val="7427158B"/>
    <w:rsid w:val="74316DA5"/>
    <w:rsid w:val="747A92D6"/>
    <w:rsid w:val="74D61365"/>
    <w:rsid w:val="7589CA95"/>
    <w:rsid w:val="75B0E0CC"/>
    <w:rsid w:val="75F83CB1"/>
    <w:rsid w:val="769DBA00"/>
    <w:rsid w:val="76A2A147"/>
    <w:rsid w:val="76BA6889"/>
    <w:rsid w:val="76C5A58A"/>
    <w:rsid w:val="7765A6B9"/>
    <w:rsid w:val="7789ED67"/>
    <w:rsid w:val="77A971AD"/>
    <w:rsid w:val="77E45408"/>
    <w:rsid w:val="77E9BBC3"/>
    <w:rsid w:val="77F62041"/>
    <w:rsid w:val="78DB3A30"/>
    <w:rsid w:val="794DCC11"/>
    <w:rsid w:val="7967412A"/>
    <w:rsid w:val="7A642F86"/>
    <w:rsid w:val="7A9C188B"/>
    <w:rsid w:val="7AAACDBE"/>
    <w:rsid w:val="7AC06534"/>
    <w:rsid w:val="7AED7EBB"/>
    <w:rsid w:val="7B6C56F0"/>
    <w:rsid w:val="7BBCE86E"/>
    <w:rsid w:val="7BD4FEA9"/>
    <w:rsid w:val="7BF90F7B"/>
    <w:rsid w:val="7CBBBCFB"/>
    <w:rsid w:val="7CC1D6CA"/>
    <w:rsid w:val="7D0B9316"/>
    <w:rsid w:val="7D3A458F"/>
    <w:rsid w:val="7DCC47A7"/>
    <w:rsid w:val="7E94CA8C"/>
    <w:rsid w:val="7F69EB4D"/>
    <w:rsid w:val="7FA76B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E08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7"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B83"/>
    <w:pPr>
      <w:spacing w:after="0" w:line="240" w:lineRule="auto"/>
      <w:jc w:val="both"/>
    </w:pPr>
    <w:rPr>
      <w:rFonts w:ascii="Calibri" w:eastAsia="Times New Roman" w:hAnsi="Calibri" w:cs="Arial"/>
      <w:kern w:val="0"/>
      <w:sz w:val="24"/>
      <w:szCs w:val="24"/>
      <w:lang w:eastAsia="en-AU"/>
      <w14:ligatures w14:val="none"/>
    </w:rPr>
  </w:style>
  <w:style w:type="paragraph" w:styleId="Heading1">
    <w:name w:val="heading 1"/>
    <w:basedOn w:val="Normal"/>
    <w:next w:val="Normal"/>
    <w:link w:val="Heading1Char"/>
    <w:uiPriority w:val="1"/>
    <w:rsid w:val="003E1B83"/>
    <w:pPr>
      <w:ind w:left="720" w:hanging="720"/>
      <w:outlineLvl w:val="0"/>
    </w:pPr>
    <w:rPr>
      <w:b/>
      <w:caps/>
      <w:sz w:val="32"/>
    </w:rPr>
  </w:style>
  <w:style w:type="paragraph" w:styleId="Heading2">
    <w:name w:val="heading 2"/>
    <w:basedOn w:val="Normal"/>
    <w:next w:val="Normal"/>
    <w:link w:val="Heading2Char"/>
    <w:rsid w:val="003E1B83"/>
    <w:pPr>
      <w:outlineLvl w:val="1"/>
    </w:pPr>
    <w:rPr>
      <w:b/>
      <w:i/>
      <w:sz w:val="28"/>
    </w:rPr>
  </w:style>
  <w:style w:type="paragraph" w:styleId="Heading3">
    <w:name w:val="heading 3"/>
    <w:basedOn w:val="Normal"/>
    <w:next w:val="Normal"/>
    <w:link w:val="Heading3Char"/>
    <w:rsid w:val="00C32A95"/>
    <w:pPr>
      <w:outlineLvl w:val="2"/>
    </w:pPr>
    <w:rPr>
      <w:u w:val="single"/>
    </w:rPr>
  </w:style>
  <w:style w:type="paragraph" w:styleId="Heading4">
    <w:name w:val="heading 4"/>
    <w:basedOn w:val="Normal"/>
    <w:next w:val="Normal"/>
    <w:link w:val="Heading4Char"/>
    <w:rsid w:val="00C32A95"/>
    <w:pPr>
      <w:keepNext/>
      <w:spacing w:before="240" w:after="60"/>
      <w:outlineLvl w:val="3"/>
    </w:pPr>
    <w:rPr>
      <w:b/>
      <w:bCs/>
      <w:i/>
      <w:sz w:val="26"/>
      <w:szCs w:val="28"/>
    </w:rPr>
  </w:style>
  <w:style w:type="paragraph" w:styleId="Heading5">
    <w:name w:val="heading 5"/>
    <w:basedOn w:val="Normal"/>
    <w:next w:val="Normal"/>
    <w:link w:val="Heading5Char"/>
    <w:rsid w:val="00C32A95"/>
    <w:pPr>
      <w:spacing w:before="240" w:after="60"/>
      <w:outlineLvl w:val="4"/>
    </w:pPr>
    <w:rPr>
      <w:b/>
      <w:bCs/>
      <w:iCs/>
      <w:sz w:val="26"/>
      <w:szCs w:val="26"/>
    </w:rPr>
  </w:style>
  <w:style w:type="paragraph" w:styleId="Heading6">
    <w:name w:val="heading 6"/>
    <w:basedOn w:val="Normal"/>
    <w:next w:val="Normal"/>
    <w:link w:val="Heading6Char"/>
    <w:rsid w:val="00C32A95"/>
    <w:pPr>
      <w:spacing w:before="240" w:after="60"/>
      <w:outlineLvl w:val="5"/>
    </w:pPr>
    <w:rPr>
      <w:b/>
      <w:bCs/>
      <w:i/>
    </w:rPr>
  </w:style>
  <w:style w:type="paragraph" w:styleId="Heading7">
    <w:name w:val="heading 7"/>
    <w:basedOn w:val="Normal"/>
    <w:next w:val="Normal"/>
    <w:link w:val="Heading7Char"/>
    <w:rsid w:val="00C32A95"/>
    <w:pPr>
      <w:keepNext/>
      <w:jc w:val="center"/>
      <w:outlineLvl w:val="6"/>
    </w:pPr>
    <w:rPr>
      <w:b/>
      <w:sz w:val="20"/>
    </w:rPr>
  </w:style>
  <w:style w:type="paragraph" w:styleId="Heading8">
    <w:name w:val="heading 8"/>
    <w:basedOn w:val="Normal"/>
    <w:next w:val="Normal"/>
    <w:link w:val="Heading8Char"/>
    <w:uiPriority w:val="7"/>
    <w:rsid w:val="00C32A95"/>
    <w:pPr>
      <w:keepNext/>
      <w:jc w:val="right"/>
      <w:outlineLvl w:val="7"/>
    </w:pPr>
    <w:rPr>
      <w:b/>
    </w:rPr>
  </w:style>
  <w:style w:type="paragraph" w:styleId="Heading9">
    <w:name w:val="heading 9"/>
    <w:basedOn w:val="Normal"/>
    <w:next w:val="Normal"/>
    <w:link w:val="Heading9Char"/>
    <w:rsid w:val="00C32A95"/>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E1B83"/>
    <w:rPr>
      <w:rFonts w:ascii="Calibri" w:eastAsia="Times New Roman" w:hAnsi="Calibri" w:cs="Arial"/>
      <w:b/>
      <w:caps/>
      <w:kern w:val="0"/>
      <w:sz w:val="32"/>
      <w:szCs w:val="24"/>
      <w:lang w:eastAsia="en-AU"/>
      <w14:ligatures w14:val="none"/>
    </w:rPr>
  </w:style>
  <w:style w:type="character" w:customStyle="1" w:styleId="Heading2Char">
    <w:name w:val="Heading 2 Char"/>
    <w:basedOn w:val="DefaultParagraphFont"/>
    <w:link w:val="Heading2"/>
    <w:rsid w:val="003E1B83"/>
    <w:rPr>
      <w:rFonts w:ascii="Calibri" w:eastAsia="Times New Roman" w:hAnsi="Calibri" w:cs="Arial"/>
      <w:b/>
      <w:i/>
      <w:kern w:val="0"/>
      <w:sz w:val="28"/>
      <w:szCs w:val="24"/>
      <w:lang w:eastAsia="en-AU"/>
      <w14:ligatures w14:val="none"/>
    </w:rPr>
  </w:style>
  <w:style w:type="paragraph" w:customStyle="1" w:styleId="TableFooter">
    <w:name w:val="Table Footer"/>
    <w:basedOn w:val="Normal"/>
    <w:link w:val="TableFooterChar"/>
    <w:rsid w:val="003E1B83"/>
    <w:rPr>
      <w:rFonts w:ascii="Arial Narrow" w:hAnsi="Arial Narrow"/>
      <w:sz w:val="18"/>
    </w:rPr>
  </w:style>
  <w:style w:type="character" w:customStyle="1" w:styleId="TableFooterChar">
    <w:name w:val="Table Footer Char"/>
    <w:link w:val="TableFooter"/>
    <w:rsid w:val="003E1B83"/>
    <w:rPr>
      <w:rFonts w:ascii="Arial Narrow" w:eastAsia="Times New Roman" w:hAnsi="Arial Narrow" w:cs="Arial"/>
      <w:kern w:val="0"/>
      <w:sz w:val="18"/>
      <w:szCs w:val="24"/>
      <w:lang w:eastAsia="en-AU"/>
      <w14:ligatures w14:val="none"/>
    </w:rPr>
  </w:style>
  <w:style w:type="paragraph" w:customStyle="1" w:styleId="TableHeader">
    <w:name w:val="Table Header"/>
    <w:basedOn w:val="Normal"/>
    <w:uiPriority w:val="3"/>
    <w:rsid w:val="003E1B83"/>
    <w:rPr>
      <w:b/>
      <w:sz w:val="20"/>
    </w:rPr>
  </w:style>
  <w:style w:type="paragraph" w:styleId="Header">
    <w:name w:val="header"/>
    <w:aliases w:val="Page Header,Header title,he=header,cntr/bld"/>
    <w:basedOn w:val="Normal"/>
    <w:link w:val="HeaderChar"/>
    <w:qFormat/>
    <w:rsid w:val="003E1B83"/>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3E1B83"/>
    <w:rPr>
      <w:rFonts w:ascii="Calibri" w:eastAsia="Times New Roman" w:hAnsi="Calibri" w:cs="Arial"/>
      <w:kern w:val="0"/>
      <w:sz w:val="24"/>
      <w:szCs w:val="24"/>
      <w:lang w:eastAsia="en-AU"/>
      <w14:ligatures w14:val="none"/>
    </w:rPr>
  </w:style>
  <w:style w:type="paragraph" w:styleId="Footer">
    <w:name w:val="footer"/>
    <w:basedOn w:val="Normal"/>
    <w:link w:val="FooterChar"/>
    <w:uiPriority w:val="99"/>
    <w:rsid w:val="003E1B83"/>
    <w:pPr>
      <w:tabs>
        <w:tab w:val="center" w:pos="4513"/>
        <w:tab w:val="right" w:pos="9026"/>
      </w:tabs>
    </w:pPr>
  </w:style>
  <w:style w:type="character" w:customStyle="1" w:styleId="FooterChar">
    <w:name w:val="Footer Char"/>
    <w:basedOn w:val="DefaultParagraphFont"/>
    <w:link w:val="Footer"/>
    <w:uiPriority w:val="99"/>
    <w:rsid w:val="003E1B83"/>
    <w:rPr>
      <w:rFonts w:ascii="Calibri" w:eastAsia="Times New Roman" w:hAnsi="Calibri" w:cs="Arial"/>
      <w:kern w:val="0"/>
      <w:sz w:val="24"/>
      <w:szCs w:val="24"/>
      <w:lang w:eastAsia="en-AU"/>
      <w14:ligatures w14:val="none"/>
    </w:rPr>
  </w:style>
  <w:style w:type="character" w:styleId="CommentReference">
    <w:name w:val="annotation reference"/>
    <w:aliases w:val="Table Title"/>
    <w:uiPriority w:val="99"/>
    <w:qFormat/>
    <w:rsid w:val="003E1B83"/>
    <w:rPr>
      <w:rFonts w:ascii="Arial Narrow" w:hAnsi="Arial Narrow"/>
      <w:b/>
      <w:sz w:val="20"/>
      <w:szCs w:val="16"/>
    </w:rPr>
  </w:style>
  <w:style w:type="paragraph" w:styleId="TOC2">
    <w:name w:val="toc 2"/>
    <w:basedOn w:val="Normal"/>
    <w:next w:val="Normal"/>
    <w:autoRedefine/>
    <w:uiPriority w:val="39"/>
    <w:rsid w:val="00F84C75"/>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290963"/>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3E1B83"/>
    <w:rPr>
      <w:color w:val="0563C1" w:themeColor="hyperlink"/>
      <w:u w:val="single"/>
    </w:rPr>
  </w:style>
  <w:style w:type="paragraph" w:styleId="CommentText">
    <w:name w:val="annotation text"/>
    <w:aliases w:val="Comment Text Char Char Char,Comment Text Char Char,Comment Text Char2 Char,Comment Text Char1 Char Char,Comment Text Char Char1 Char, Car17, Car17 Car, Char,Annotationtext,Char Char Char,Comment Text Char Char1,Car17"/>
    <w:basedOn w:val="Normal"/>
    <w:link w:val="CommentTextChar"/>
    <w:uiPriority w:val="99"/>
    <w:qFormat/>
    <w:rsid w:val="003E1B83"/>
    <w:rPr>
      <w:rFonts w:ascii="Times New Roman" w:hAnsi="Times New Roman" w:cs="Times New Roman"/>
      <w:sz w:val="20"/>
    </w:rPr>
  </w:style>
  <w:style w:type="character" w:customStyle="1" w:styleId="CommentTextChar">
    <w:name w:val="Comment Text Char"/>
    <w:aliases w:val="Comment Text Char Char Char Char,Comment Text Char Char Char1,Comment Text Char2 Char Char,Comment Text Char1 Char Char Char,Comment Text Char Char1 Char Char, Car17 Char, Car17 Car Char, Char Char,Annotationtext Char,Car17 Char"/>
    <w:basedOn w:val="DefaultParagraphFont"/>
    <w:link w:val="CommentText"/>
    <w:uiPriority w:val="99"/>
    <w:rsid w:val="003E1B83"/>
    <w:rPr>
      <w:rFonts w:ascii="Times New Roman" w:eastAsia="Times New Roman" w:hAnsi="Times New Roman" w:cs="Times New Roman"/>
      <w:kern w:val="0"/>
      <w:sz w:val="20"/>
      <w:szCs w:val="24"/>
      <w:lang w:eastAsia="en-AU"/>
      <w14:ligatures w14:val="none"/>
    </w:rPr>
  </w:style>
  <w:style w:type="paragraph" w:customStyle="1" w:styleId="TableText">
    <w:name w:val="Table Text"/>
    <w:link w:val="TableTextChar"/>
    <w:qFormat/>
    <w:rsid w:val="003E1B83"/>
    <w:pPr>
      <w:keepNext/>
      <w:spacing w:after="0" w:line="240" w:lineRule="auto"/>
    </w:pPr>
    <w:rPr>
      <w:rFonts w:ascii="Arial Narrow" w:eastAsiaTheme="majorEastAsia" w:hAnsi="Arial Narrow" w:cstheme="majorBidi"/>
      <w:bCs/>
      <w:kern w:val="0"/>
      <w:sz w:val="20"/>
      <w:szCs w:val="24"/>
      <w:lang w:eastAsia="en-AU"/>
      <w14:ligatures w14:val="none"/>
    </w:rPr>
  </w:style>
  <w:style w:type="paragraph" w:customStyle="1" w:styleId="In-tableHeading">
    <w:name w:val="In-table Heading"/>
    <w:qFormat/>
    <w:rsid w:val="003E1B83"/>
    <w:pPr>
      <w:keepNext/>
      <w:spacing w:after="0" w:line="240" w:lineRule="auto"/>
    </w:pPr>
    <w:rPr>
      <w:rFonts w:ascii="Arial Narrow" w:eastAsiaTheme="majorEastAsia" w:hAnsi="Arial Narrow" w:cs="Times New Roman"/>
      <w:b/>
      <w:kern w:val="0"/>
      <w:sz w:val="20"/>
      <w:szCs w:val="24"/>
      <w:lang w:val="en-US" w:eastAsia="en-AU"/>
      <w14:ligatures w14:val="none"/>
    </w:rPr>
  </w:style>
  <w:style w:type="paragraph" w:customStyle="1" w:styleId="2-SectionHeading">
    <w:name w:val="2-Section Heading"/>
    <w:qFormat/>
    <w:rsid w:val="003E1B83"/>
    <w:pPr>
      <w:keepNext/>
      <w:numPr>
        <w:numId w:val="1"/>
      </w:numPr>
      <w:spacing w:before="240" w:after="120" w:line="240" w:lineRule="auto"/>
      <w:outlineLvl w:val="0"/>
    </w:pPr>
    <w:rPr>
      <w:rFonts w:eastAsia="Times New Roman" w:cs="Arial"/>
      <w:b/>
      <w:snapToGrid w:val="0"/>
      <w:kern w:val="0"/>
      <w:sz w:val="32"/>
      <w:szCs w:val="32"/>
      <w:lang w:eastAsia="en-AU"/>
      <w14:ligatures w14:val="none"/>
    </w:rPr>
  </w:style>
  <w:style w:type="paragraph" w:customStyle="1" w:styleId="TableFigureHeading">
    <w:name w:val="Table/Figure Heading"/>
    <w:next w:val="In-tableHeading"/>
    <w:link w:val="TableFigureHeadingChar"/>
    <w:qFormat/>
    <w:rsid w:val="003E1B83"/>
    <w:pPr>
      <w:keepNext/>
      <w:spacing w:after="0" w:line="240" w:lineRule="auto"/>
    </w:pPr>
    <w:rPr>
      <w:rFonts w:ascii="Arial Narrow" w:eastAsiaTheme="majorEastAsia" w:hAnsi="Arial Narrow" w:cstheme="majorBidi"/>
      <w:b/>
      <w:bCs/>
      <w:kern w:val="0"/>
      <w:sz w:val="20"/>
      <w:szCs w:val="24"/>
      <w:lang w:eastAsia="en-AU"/>
      <w14:ligatures w14:val="none"/>
    </w:rPr>
  </w:style>
  <w:style w:type="character" w:customStyle="1" w:styleId="TableFigureHeadingChar">
    <w:name w:val="Table/Figure Heading Char"/>
    <w:basedOn w:val="DefaultParagraphFont"/>
    <w:link w:val="TableFigureHeading"/>
    <w:rsid w:val="003E1B83"/>
    <w:rPr>
      <w:rFonts w:ascii="Arial Narrow" w:eastAsiaTheme="majorEastAsia" w:hAnsi="Arial Narrow" w:cstheme="majorBidi"/>
      <w:b/>
      <w:bCs/>
      <w:kern w:val="0"/>
      <w:sz w:val="20"/>
      <w:szCs w:val="24"/>
      <w:lang w:eastAsia="en-AU"/>
      <w14:ligatures w14:val="none"/>
    </w:rPr>
  </w:style>
  <w:style w:type="paragraph" w:customStyle="1" w:styleId="3-BodyText">
    <w:name w:val="3-Body Text"/>
    <w:basedOn w:val="ListParagraph"/>
    <w:link w:val="3-BodyTextChar"/>
    <w:qFormat/>
    <w:rsid w:val="003E1B83"/>
    <w:pPr>
      <w:numPr>
        <w:ilvl w:val="1"/>
        <w:numId w:val="1"/>
      </w:numPr>
      <w:spacing w:after="120"/>
      <w:contextualSpacing w:val="0"/>
    </w:pPr>
    <w:rPr>
      <w:rFonts w:asciiTheme="minorHAnsi" w:hAnsiTheme="minorHAnsi"/>
      <w:snapToGrid w:val="0"/>
    </w:rPr>
  </w:style>
  <w:style w:type="paragraph" w:customStyle="1" w:styleId="FooterTableFigure">
    <w:name w:val="Footer Table/Figure"/>
    <w:basedOn w:val="Normal"/>
    <w:link w:val="FooterTableFigureChar"/>
    <w:qFormat/>
    <w:rsid w:val="003E1B83"/>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3E1B83"/>
    <w:rPr>
      <w:rFonts w:ascii="Arial Narrow" w:eastAsia="Times New Roman" w:hAnsi="Arial Narrow" w:cs="Arial"/>
      <w:snapToGrid w:val="0"/>
      <w:kern w:val="0"/>
      <w:sz w:val="18"/>
      <w:lang w:eastAsia="en-AU"/>
      <w14:ligatures w14:val="none"/>
    </w:rPr>
  </w:style>
  <w:style w:type="paragraph" w:styleId="ListBullet">
    <w:name w:val="List Bullet"/>
    <w:basedOn w:val="Normal"/>
    <w:unhideWhenUsed/>
    <w:rsid w:val="003E1B83"/>
    <w:pPr>
      <w:numPr>
        <w:numId w:val="2"/>
      </w:numPr>
      <w:contextualSpacing/>
    </w:pPr>
  </w:style>
  <w:style w:type="character" w:customStyle="1" w:styleId="TableTextChar">
    <w:name w:val="Table Text Char"/>
    <w:basedOn w:val="DefaultParagraphFont"/>
    <w:link w:val="TableText"/>
    <w:rsid w:val="003E1B83"/>
    <w:rPr>
      <w:rFonts w:ascii="Arial Narrow" w:eastAsiaTheme="majorEastAsia" w:hAnsi="Arial Narrow" w:cstheme="majorBidi"/>
      <w:bCs/>
      <w:kern w:val="0"/>
      <w:sz w:val="20"/>
      <w:szCs w:val="24"/>
      <w:lang w:eastAsia="en-AU"/>
      <w14:ligatures w14:val="none"/>
    </w:rPr>
  </w:style>
  <w:style w:type="paragraph" w:customStyle="1" w:styleId="paragraph">
    <w:name w:val="paragraph"/>
    <w:basedOn w:val="Normal"/>
    <w:rsid w:val="003E1B83"/>
    <w:pPr>
      <w:spacing w:before="100" w:beforeAutospacing="1" w:after="100" w:afterAutospacing="1"/>
      <w:jc w:val="left"/>
    </w:pPr>
    <w:rPr>
      <w:rFonts w:ascii="Times New Roman" w:hAnsi="Times New Roman" w:cs="Times New Roman"/>
    </w:rPr>
  </w:style>
  <w:style w:type="character" w:customStyle="1" w:styleId="normaltextrun">
    <w:name w:val="normaltextrun"/>
    <w:basedOn w:val="DefaultParagraphFont"/>
    <w:rsid w:val="003E1B83"/>
  </w:style>
  <w:style w:type="character" w:customStyle="1" w:styleId="eop">
    <w:name w:val="eop"/>
    <w:basedOn w:val="DefaultParagraphFont"/>
    <w:rsid w:val="003E1B83"/>
  </w:style>
  <w:style w:type="character" w:customStyle="1" w:styleId="tabchar">
    <w:name w:val="tabchar"/>
    <w:basedOn w:val="DefaultParagraphFont"/>
    <w:rsid w:val="003E1B83"/>
  </w:style>
  <w:style w:type="paragraph" w:styleId="FootnoteText">
    <w:name w:val="footnote text"/>
    <w:basedOn w:val="Normal"/>
    <w:link w:val="FootnoteTextChar"/>
    <w:unhideWhenUsed/>
    <w:rsid w:val="003E1B83"/>
    <w:rPr>
      <w:sz w:val="20"/>
      <w:szCs w:val="20"/>
    </w:rPr>
  </w:style>
  <w:style w:type="character" w:customStyle="1" w:styleId="FootnoteTextChar">
    <w:name w:val="Footnote Text Char"/>
    <w:basedOn w:val="DefaultParagraphFont"/>
    <w:link w:val="FootnoteText"/>
    <w:rsid w:val="003E1B83"/>
    <w:rPr>
      <w:rFonts w:ascii="Calibri" w:eastAsia="Times New Roman" w:hAnsi="Calibri" w:cs="Arial"/>
      <w:kern w:val="0"/>
      <w:sz w:val="20"/>
      <w:szCs w:val="20"/>
      <w:lang w:eastAsia="en-AU"/>
      <w14:ligatures w14:val="none"/>
    </w:rPr>
  </w:style>
  <w:style w:type="character" w:styleId="FootnoteReference">
    <w:name w:val="footnote reference"/>
    <w:basedOn w:val="DefaultParagraphFont"/>
    <w:uiPriority w:val="99"/>
    <w:semiHidden/>
    <w:unhideWhenUsed/>
    <w:rsid w:val="003E1B83"/>
    <w:rPr>
      <w:vertAlign w:val="superscript"/>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L,Bullet Point,Bulletr List Paragraph"/>
    <w:basedOn w:val="Normal"/>
    <w:link w:val="ListParagraphChar"/>
    <w:uiPriority w:val="34"/>
    <w:qFormat/>
    <w:rsid w:val="003E1B83"/>
    <w:pPr>
      <w:ind w:left="720"/>
      <w:contextualSpacing/>
    </w:pPr>
  </w:style>
  <w:style w:type="paragraph" w:styleId="CommentSubject">
    <w:name w:val="annotation subject"/>
    <w:basedOn w:val="CommentText"/>
    <w:next w:val="CommentText"/>
    <w:link w:val="CommentSubjectChar"/>
    <w:unhideWhenUsed/>
    <w:rsid w:val="00576930"/>
    <w:rPr>
      <w:rFonts w:ascii="Calibri" w:hAnsi="Calibri" w:cs="Arial"/>
      <w:b/>
      <w:bCs/>
      <w:szCs w:val="20"/>
    </w:rPr>
  </w:style>
  <w:style w:type="character" w:customStyle="1" w:styleId="CommentSubjectChar">
    <w:name w:val="Comment Subject Char"/>
    <w:basedOn w:val="CommentTextChar"/>
    <w:link w:val="CommentSubject"/>
    <w:rsid w:val="00576930"/>
    <w:rPr>
      <w:rFonts w:ascii="Calibri" w:eastAsia="Times New Roman" w:hAnsi="Calibri" w:cs="Arial"/>
      <w:b/>
      <w:bCs/>
      <w:kern w:val="0"/>
      <w:sz w:val="20"/>
      <w:szCs w:val="20"/>
      <w:lang w:eastAsia="en-AU"/>
      <w14:ligatures w14:val="none"/>
    </w:rPr>
  </w:style>
  <w:style w:type="character" w:styleId="Mention">
    <w:name w:val="Mention"/>
    <w:basedOn w:val="DefaultParagraphFont"/>
    <w:uiPriority w:val="99"/>
    <w:unhideWhenUsed/>
    <w:rsid w:val="00576930"/>
    <w:rPr>
      <w:color w:val="2B579A"/>
      <w:shd w:val="clear" w:color="auto" w:fill="E1DFDD"/>
    </w:rPr>
  </w:style>
  <w:style w:type="character" w:customStyle="1" w:styleId="Heading3Char">
    <w:name w:val="Heading 3 Char"/>
    <w:basedOn w:val="DefaultParagraphFont"/>
    <w:link w:val="Heading3"/>
    <w:rsid w:val="00C32A95"/>
    <w:rPr>
      <w:rFonts w:ascii="Calibri" w:eastAsia="Times New Roman" w:hAnsi="Calibri" w:cs="Arial"/>
      <w:kern w:val="0"/>
      <w:sz w:val="24"/>
      <w:szCs w:val="24"/>
      <w:u w:val="single"/>
      <w:lang w:eastAsia="en-AU"/>
      <w14:ligatures w14:val="none"/>
    </w:rPr>
  </w:style>
  <w:style w:type="character" w:customStyle="1" w:styleId="Heading4Char">
    <w:name w:val="Heading 4 Char"/>
    <w:basedOn w:val="DefaultParagraphFont"/>
    <w:link w:val="Heading4"/>
    <w:rsid w:val="00C32A95"/>
    <w:rPr>
      <w:rFonts w:ascii="Calibri" w:eastAsia="Times New Roman" w:hAnsi="Calibri" w:cs="Arial"/>
      <w:b/>
      <w:bCs/>
      <w:i/>
      <w:kern w:val="0"/>
      <w:sz w:val="26"/>
      <w:szCs w:val="28"/>
      <w:lang w:eastAsia="en-AU"/>
      <w14:ligatures w14:val="none"/>
    </w:rPr>
  </w:style>
  <w:style w:type="character" w:customStyle="1" w:styleId="Heading5Char">
    <w:name w:val="Heading 5 Char"/>
    <w:basedOn w:val="DefaultParagraphFont"/>
    <w:link w:val="Heading5"/>
    <w:rsid w:val="00C32A95"/>
    <w:rPr>
      <w:rFonts w:ascii="Calibri" w:eastAsia="Times New Roman" w:hAnsi="Calibri" w:cs="Arial"/>
      <w:b/>
      <w:bCs/>
      <w:iCs/>
      <w:kern w:val="0"/>
      <w:sz w:val="26"/>
      <w:szCs w:val="26"/>
      <w:lang w:eastAsia="en-AU"/>
      <w14:ligatures w14:val="none"/>
    </w:rPr>
  </w:style>
  <w:style w:type="character" w:customStyle="1" w:styleId="Heading6Char">
    <w:name w:val="Heading 6 Char"/>
    <w:basedOn w:val="DefaultParagraphFont"/>
    <w:link w:val="Heading6"/>
    <w:rsid w:val="00C32A95"/>
    <w:rPr>
      <w:rFonts w:ascii="Calibri" w:eastAsia="Times New Roman" w:hAnsi="Calibri" w:cs="Arial"/>
      <w:b/>
      <w:bCs/>
      <w:i/>
      <w:kern w:val="0"/>
      <w:sz w:val="24"/>
      <w:szCs w:val="24"/>
      <w:lang w:eastAsia="en-AU"/>
      <w14:ligatures w14:val="none"/>
    </w:rPr>
  </w:style>
  <w:style w:type="character" w:customStyle="1" w:styleId="Heading7Char">
    <w:name w:val="Heading 7 Char"/>
    <w:basedOn w:val="DefaultParagraphFont"/>
    <w:link w:val="Heading7"/>
    <w:rsid w:val="00C32A95"/>
    <w:rPr>
      <w:rFonts w:ascii="Calibri" w:eastAsia="Times New Roman" w:hAnsi="Calibri" w:cs="Arial"/>
      <w:b/>
      <w:kern w:val="0"/>
      <w:sz w:val="20"/>
      <w:szCs w:val="24"/>
      <w:lang w:eastAsia="en-AU"/>
      <w14:ligatures w14:val="none"/>
    </w:rPr>
  </w:style>
  <w:style w:type="character" w:customStyle="1" w:styleId="Heading8Char">
    <w:name w:val="Heading 8 Char"/>
    <w:basedOn w:val="DefaultParagraphFont"/>
    <w:link w:val="Heading8"/>
    <w:rsid w:val="00C32A95"/>
    <w:rPr>
      <w:rFonts w:ascii="Calibri" w:eastAsia="Times New Roman" w:hAnsi="Calibri" w:cs="Arial"/>
      <w:b/>
      <w:kern w:val="0"/>
      <w:sz w:val="24"/>
      <w:szCs w:val="24"/>
      <w:lang w:eastAsia="en-AU"/>
      <w14:ligatures w14:val="none"/>
    </w:rPr>
  </w:style>
  <w:style w:type="character" w:customStyle="1" w:styleId="Heading9Char">
    <w:name w:val="Heading 9 Char"/>
    <w:basedOn w:val="DefaultParagraphFont"/>
    <w:link w:val="Heading9"/>
    <w:rsid w:val="00C32A95"/>
    <w:rPr>
      <w:rFonts w:ascii="Calibri" w:eastAsia="Times New Roman" w:hAnsi="Calibri" w:cs="Arial"/>
      <w:b/>
      <w:color w:val="000000"/>
      <w:kern w:val="0"/>
      <w:sz w:val="20"/>
      <w:szCs w:val="24"/>
      <w:lang w:eastAsia="en-AU"/>
      <w14:ligatures w14:val="none"/>
    </w:rPr>
  </w:style>
  <w:style w:type="paragraph" w:styleId="Caption">
    <w:name w:val="caption"/>
    <w:basedOn w:val="Normal"/>
    <w:next w:val="Normal"/>
    <w:link w:val="CaptionChar"/>
    <w:unhideWhenUsed/>
    <w:rsid w:val="00C32A95"/>
    <w:pPr>
      <w:keepNext/>
      <w:keepLines/>
    </w:pPr>
    <w:rPr>
      <w:rFonts w:ascii="Arial Narrow" w:hAnsi="Arial Narrow"/>
      <w:b/>
      <w:bCs/>
      <w:sz w:val="20"/>
      <w:szCs w:val="18"/>
    </w:rPr>
  </w:style>
  <w:style w:type="character" w:customStyle="1" w:styleId="CaptionChar">
    <w:name w:val="Caption Char"/>
    <w:link w:val="Caption"/>
    <w:rsid w:val="00C32A95"/>
    <w:rPr>
      <w:rFonts w:ascii="Arial Narrow" w:eastAsia="Times New Roman" w:hAnsi="Arial Narrow" w:cs="Arial"/>
      <w:b/>
      <w:bCs/>
      <w:kern w:val="0"/>
      <w:sz w:val="20"/>
      <w:szCs w:val="18"/>
      <w:lang w:eastAsia="en-AU"/>
      <w14:ligatures w14:val="none"/>
    </w:rPr>
  </w:style>
  <w:style w:type="paragraph" w:styleId="Title">
    <w:name w:val="Title"/>
    <w:basedOn w:val="Normal"/>
    <w:next w:val="Normal"/>
    <w:link w:val="TitleChar"/>
    <w:rsid w:val="00C32A9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C32A95"/>
    <w:rPr>
      <w:rFonts w:ascii="Cambria" w:eastAsia="Times New Roman" w:hAnsi="Cambria" w:cs="Arial"/>
      <w:b/>
      <w:bCs/>
      <w:kern w:val="28"/>
      <w:sz w:val="32"/>
      <w:szCs w:val="32"/>
      <w:lang w:eastAsia="en-AU"/>
      <w14:ligatures w14:val="none"/>
    </w:rPr>
  </w:style>
  <w:style w:type="paragraph" w:styleId="BodyText">
    <w:name w:val="Body Text"/>
    <w:basedOn w:val="Normal"/>
    <w:link w:val="BodyTextChar"/>
    <w:rsid w:val="00C32A95"/>
    <w:pPr>
      <w:jc w:val="left"/>
    </w:pPr>
  </w:style>
  <w:style w:type="character" w:customStyle="1" w:styleId="BodyTextChar">
    <w:name w:val="Body Text Char"/>
    <w:basedOn w:val="DefaultParagraphFont"/>
    <w:link w:val="BodyText"/>
    <w:rsid w:val="00C32A95"/>
    <w:rPr>
      <w:rFonts w:ascii="Calibri" w:eastAsia="Times New Roman" w:hAnsi="Calibri" w:cs="Arial"/>
      <w:kern w:val="0"/>
      <w:sz w:val="24"/>
      <w:szCs w:val="24"/>
      <w:lang w:eastAsia="en-AU"/>
      <w14:ligatures w14:val="none"/>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 Char"/>
    <w:basedOn w:val="DefaultParagraphFont"/>
    <w:link w:val="ListParagraph"/>
    <w:uiPriority w:val="34"/>
    <w:qFormat/>
    <w:locked/>
    <w:rsid w:val="00C32A95"/>
    <w:rPr>
      <w:rFonts w:ascii="Calibri" w:eastAsia="Times New Roman" w:hAnsi="Calibri" w:cs="Arial"/>
      <w:kern w:val="0"/>
      <w:sz w:val="24"/>
      <w:szCs w:val="24"/>
      <w:lang w:eastAsia="en-AU"/>
      <w14:ligatures w14:val="none"/>
    </w:rPr>
  </w:style>
  <w:style w:type="paragraph" w:customStyle="1" w:styleId="RegularText">
    <w:name w:val="Regular Text"/>
    <w:basedOn w:val="BodyText"/>
    <w:link w:val="RegularTextChar"/>
    <w:rsid w:val="00C32A95"/>
    <w:rPr>
      <w:b/>
    </w:rPr>
  </w:style>
  <w:style w:type="character" w:customStyle="1" w:styleId="RegularTextChar">
    <w:name w:val="Regular Text Char"/>
    <w:basedOn w:val="BodyTextChar"/>
    <w:link w:val="RegularText"/>
    <w:rsid w:val="00C32A95"/>
    <w:rPr>
      <w:rFonts w:ascii="Calibri" w:eastAsia="Times New Roman" w:hAnsi="Calibri" w:cs="Arial"/>
      <w:b/>
      <w:kern w:val="0"/>
      <w:sz w:val="24"/>
      <w:szCs w:val="24"/>
      <w:lang w:eastAsia="en-AU"/>
      <w14:ligatures w14:val="none"/>
    </w:rPr>
  </w:style>
  <w:style w:type="paragraph" w:styleId="NoSpacing">
    <w:name w:val="No Spacing"/>
    <w:aliases w:val="Body text"/>
    <w:uiPriority w:val="1"/>
    <w:qFormat/>
    <w:rsid w:val="00C32A95"/>
    <w:pPr>
      <w:widowControl w:val="0"/>
      <w:spacing w:after="0" w:line="240" w:lineRule="auto"/>
      <w:jc w:val="both"/>
    </w:pPr>
    <w:rPr>
      <w:rFonts w:ascii="Arial" w:eastAsia="Times New Roman" w:hAnsi="Arial" w:cs="Arial"/>
      <w:snapToGrid w:val="0"/>
      <w:kern w:val="0"/>
      <w:szCs w:val="20"/>
      <w14:ligatures w14:val="none"/>
    </w:rPr>
  </w:style>
  <w:style w:type="table" w:styleId="TableGrid">
    <w:name w:val="Table Grid"/>
    <w:aliases w:val="Summary box,Table Gridbeth,CMA Table Template,ASD Table,new style,PBAC table,Header Table,NICE instructions,Source table_,MSD Table Grid,HTAtableplain,HealthConsult,Dossier table,Section 3- footnotes,Summary Table,RTI AMCP Table"/>
    <w:basedOn w:val="TableNormal"/>
    <w:uiPriority w:val="39"/>
    <w:rsid w:val="00C32A95"/>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al"/>
    <w:link w:val="TabletextChar0"/>
    <w:qFormat/>
    <w:rsid w:val="00C32A95"/>
    <w:pPr>
      <w:jc w:val="left"/>
    </w:pPr>
    <w:rPr>
      <w:rFonts w:ascii="Arial Narrow" w:hAnsi="Arial Narrow" w:cs="Times New Roman"/>
      <w:snapToGrid w:val="0"/>
      <w:sz w:val="20"/>
    </w:rPr>
  </w:style>
  <w:style w:type="character" w:customStyle="1" w:styleId="TabletextChar0">
    <w:name w:val="Table text Char"/>
    <w:link w:val="Tabletext0"/>
    <w:rsid w:val="00C32A95"/>
    <w:rPr>
      <w:rFonts w:ascii="Arial Narrow" w:eastAsia="Times New Roman" w:hAnsi="Arial Narrow" w:cs="Times New Roman"/>
      <w:snapToGrid w:val="0"/>
      <w:kern w:val="0"/>
      <w:sz w:val="20"/>
      <w:szCs w:val="24"/>
      <w:lang w:eastAsia="en-AU"/>
      <w14:ligatures w14:val="none"/>
    </w:rPr>
  </w:style>
  <w:style w:type="paragraph" w:customStyle="1" w:styleId="TableHeading">
    <w:name w:val="TableHeading"/>
    <w:basedOn w:val="Normal"/>
    <w:rsid w:val="00C32A95"/>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C32A95"/>
    <w:pPr>
      <w:jc w:val="both"/>
    </w:pPr>
    <w:rPr>
      <w:rFonts w:ascii="Times" w:hAnsi="Times" w:cs="Times New Roman"/>
      <w:snapToGrid w:val="0"/>
      <w:lang w:val="en-US"/>
    </w:rPr>
  </w:style>
  <w:style w:type="paragraph" w:styleId="NormalWeb">
    <w:name w:val="Normal (Web)"/>
    <w:basedOn w:val="Normal"/>
    <w:rsid w:val="00C32A95"/>
    <w:pPr>
      <w:spacing w:before="100" w:after="100"/>
      <w:jc w:val="left"/>
    </w:pPr>
    <w:rPr>
      <w:rFonts w:ascii="Times New Roman" w:hAnsi="Times New Roman" w:cs="Times New Roman"/>
      <w:snapToGrid w:val="0"/>
      <w:lang w:val="en-GB"/>
    </w:rPr>
  </w:style>
  <w:style w:type="paragraph" w:styleId="TOCHeading">
    <w:name w:val="TOC Heading"/>
    <w:basedOn w:val="Heading1"/>
    <w:next w:val="Normal"/>
    <w:uiPriority w:val="39"/>
    <w:unhideWhenUsed/>
    <w:rsid w:val="00C32A95"/>
    <w:pPr>
      <w:keepNext/>
      <w:keepLines/>
      <w:spacing w:before="480" w:line="276" w:lineRule="auto"/>
      <w:ind w:left="0" w:firstLine="0"/>
      <w:jc w:val="left"/>
      <w:outlineLvl w:val="9"/>
    </w:pPr>
    <w:rPr>
      <w:rFonts w:asciiTheme="majorHAnsi" w:eastAsiaTheme="majorEastAsia" w:hAnsiTheme="majorHAnsi" w:cstheme="majorBidi"/>
      <w:bCs/>
      <w:snapToGrid w:val="0"/>
      <w:color w:val="2F5496" w:themeColor="accent1" w:themeShade="BF"/>
      <w:sz w:val="28"/>
      <w:szCs w:val="28"/>
      <w:lang w:val="en-US" w:eastAsia="ja-JP"/>
    </w:rPr>
  </w:style>
  <w:style w:type="paragraph" w:styleId="TOC3">
    <w:name w:val="toc 3"/>
    <w:basedOn w:val="Normal"/>
    <w:next w:val="Normal"/>
    <w:autoRedefine/>
    <w:uiPriority w:val="39"/>
    <w:unhideWhenUsed/>
    <w:rsid w:val="00C32A95"/>
    <w:pPr>
      <w:ind w:left="440"/>
      <w:jc w:val="left"/>
    </w:pPr>
    <w:rPr>
      <w:rFonts w:asciiTheme="minorHAnsi" w:hAnsiTheme="minorHAnsi"/>
      <w:sz w:val="20"/>
    </w:rPr>
  </w:style>
  <w:style w:type="paragraph" w:styleId="TOC4">
    <w:name w:val="toc 4"/>
    <w:basedOn w:val="Normal"/>
    <w:next w:val="Normal"/>
    <w:autoRedefine/>
    <w:rsid w:val="00C32A95"/>
    <w:pPr>
      <w:ind w:left="660"/>
      <w:jc w:val="left"/>
    </w:pPr>
    <w:rPr>
      <w:rFonts w:asciiTheme="minorHAnsi" w:hAnsiTheme="minorHAnsi"/>
      <w:sz w:val="20"/>
    </w:rPr>
  </w:style>
  <w:style w:type="paragraph" w:styleId="TOC5">
    <w:name w:val="toc 5"/>
    <w:basedOn w:val="Normal"/>
    <w:next w:val="Normal"/>
    <w:autoRedefine/>
    <w:rsid w:val="00C32A95"/>
    <w:pPr>
      <w:ind w:left="880"/>
      <w:jc w:val="left"/>
    </w:pPr>
    <w:rPr>
      <w:rFonts w:asciiTheme="minorHAnsi" w:hAnsiTheme="minorHAnsi"/>
      <w:sz w:val="20"/>
    </w:rPr>
  </w:style>
  <w:style w:type="paragraph" w:styleId="TOC6">
    <w:name w:val="toc 6"/>
    <w:basedOn w:val="Normal"/>
    <w:next w:val="Normal"/>
    <w:autoRedefine/>
    <w:rsid w:val="00C32A95"/>
    <w:pPr>
      <w:ind w:left="1100"/>
      <w:jc w:val="left"/>
    </w:pPr>
    <w:rPr>
      <w:rFonts w:asciiTheme="minorHAnsi" w:hAnsiTheme="minorHAnsi"/>
      <w:sz w:val="20"/>
    </w:rPr>
  </w:style>
  <w:style w:type="paragraph" w:styleId="TOC7">
    <w:name w:val="toc 7"/>
    <w:basedOn w:val="Normal"/>
    <w:next w:val="Normal"/>
    <w:autoRedefine/>
    <w:rsid w:val="00C32A95"/>
    <w:pPr>
      <w:ind w:left="1320"/>
      <w:jc w:val="left"/>
    </w:pPr>
    <w:rPr>
      <w:rFonts w:asciiTheme="minorHAnsi" w:hAnsiTheme="minorHAnsi"/>
      <w:sz w:val="20"/>
    </w:rPr>
  </w:style>
  <w:style w:type="paragraph" w:styleId="TOC8">
    <w:name w:val="toc 8"/>
    <w:basedOn w:val="Normal"/>
    <w:next w:val="Normal"/>
    <w:autoRedefine/>
    <w:rsid w:val="00C32A95"/>
    <w:pPr>
      <w:ind w:left="1540"/>
      <w:jc w:val="left"/>
    </w:pPr>
    <w:rPr>
      <w:rFonts w:asciiTheme="minorHAnsi" w:hAnsiTheme="minorHAnsi"/>
      <w:sz w:val="20"/>
    </w:rPr>
  </w:style>
  <w:style w:type="paragraph" w:styleId="TOC9">
    <w:name w:val="toc 9"/>
    <w:basedOn w:val="Normal"/>
    <w:next w:val="Normal"/>
    <w:autoRedefine/>
    <w:rsid w:val="00C32A95"/>
    <w:pPr>
      <w:ind w:left="1760"/>
      <w:jc w:val="left"/>
    </w:pPr>
    <w:rPr>
      <w:rFonts w:asciiTheme="minorHAnsi" w:hAnsiTheme="minorHAnsi"/>
      <w:sz w:val="20"/>
    </w:rPr>
  </w:style>
  <w:style w:type="paragraph" w:customStyle="1" w:styleId="Bulletpoints">
    <w:name w:val="Bullet points"/>
    <w:basedOn w:val="ListParagraph"/>
    <w:rsid w:val="00C32A95"/>
    <w:pPr>
      <w:numPr>
        <w:numId w:val="6"/>
      </w:numPr>
      <w:spacing w:after="120"/>
    </w:pPr>
    <w:rPr>
      <w:rFonts w:asciiTheme="minorHAnsi" w:hAnsiTheme="minorHAnsi"/>
      <w:snapToGrid w:val="0"/>
    </w:rPr>
  </w:style>
  <w:style w:type="paragraph" w:customStyle="1" w:styleId="TableName">
    <w:name w:val="TableName"/>
    <w:basedOn w:val="Normal"/>
    <w:rsid w:val="00C32A95"/>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C32A95"/>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32A95"/>
    <w:pPr>
      <w:keepNext/>
      <w:spacing w:after="0"/>
    </w:pPr>
  </w:style>
  <w:style w:type="paragraph" w:styleId="Revision">
    <w:name w:val="Revision"/>
    <w:hidden/>
    <w:uiPriority w:val="99"/>
    <w:semiHidden/>
    <w:rsid w:val="00C32A95"/>
    <w:pPr>
      <w:spacing w:after="0" w:line="240" w:lineRule="auto"/>
    </w:pPr>
    <w:rPr>
      <w:rFonts w:ascii="Arial" w:eastAsia="Times New Roman" w:hAnsi="Arial" w:cs="Arial"/>
      <w:snapToGrid w:val="0"/>
      <w:kern w:val="0"/>
      <w:szCs w:val="20"/>
      <w14:ligatures w14:val="none"/>
    </w:rPr>
  </w:style>
  <w:style w:type="paragraph" w:styleId="BodyTextIndent">
    <w:name w:val="Body Text Indent"/>
    <w:basedOn w:val="Normal"/>
    <w:link w:val="BodyTextIndentChar"/>
    <w:rsid w:val="00C32A95"/>
    <w:pPr>
      <w:spacing w:after="120"/>
      <w:ind w:left="283"/>
    </w:pPr>
  </w:style>
  <w:style w:type="character" w:customStyle="1" w:styleId="BodyTextIndentChar">
    <w:name w:val="Body Text Indent Char"/>
    <w:basedOn w:val="DefaultParagraphFont"/>
    <w:link w:val="BodyTextIndent"/>
    <w:rsid w:val="00C32A95"/>
    <w:rPr>
      <w:rFonts w:ascii="Calibri" w:eastAsia="Times New Roman" w:hAnsi="Calibri" w:cs="Arial"/>
      <w:kern w:val="0"/>
      <w:sz w:val="24"/>
      <w:szCs w:val="24"/>
      <w:lang w:eastAsia="en-AU"/>
      <w14:ligatures w14:val="none"/>
    </w:rPr>
  </w:style>
  <w:style w:type="paragraph" w:customStyle="1" w:styleId="Char1CharCharChar">
    <w:name w:val="Char1 Char Char Char"/>
    <w:basedOn w:val="Normal"/>
    <w:rsid w:val="00C32A9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C32A95"/>
  </w:style>
  <w:style w:type="paragraph" w:styleId="Subtitle">
    <w:name w:val="Subtitle"/>
    <w:basedOn w:val="Normal"/>
    <w:link w:val="SubtitleChar"/>
    <w:rsid w:val="00C32A95"/>
    <w:rPr>
      <w:rFonts w:asciiTheme="minorHAnsi" w:eastAsiaTheme="minorHAnsi" w:hAnsiTheme="minorHAnsi" w:cstheme="minorBidi"/>
      <w:kern w:val="2"/>
      <w:sz w:val="22"/>
      <w:szCs w:val="22"/>
      <w:lang w:eastAsia="en-US"/>
      <w14:ligatures w14:val="standardContextual"/>
    </w:rPr>
  </w:style>
  <w:style w:type="character" w:customStyle="1" w:styleId="SubtitleChar1">
    <w:name w:val="Subtitle Char1"/>
    <w:basedOn w:val="DefaultParagraphFont"/>
    <w:rsid w:val="00C32A95"/>
    <w:rPr>
      <w:rFonts w:eastAsiaTheme="minorEastAsia"/>
      <w:color w:val="5A5A5A" w:themeColor="text1" w:themeTint="A5"/>
      <w:spacing w:val="15"/>
      <w:kern w:val="0"/>
      <w:lang w:eastAsia="en-AU"/>
      <w14:ligatures w14:val="none"/>
    </w:rPr>
  </w:style>
  <w:style w:type="paragraph" w:customStyle="1" w:styleId="PBACHeading1">
    <w:name w:val="PBAC Heading 1"/>
    <w:qFormat/>
    <w:rsid w:val="00C32A95"/>
    <w:pPr>
      <w:spacing w:after="0" w:line="240" w:lineRule="auto"/>
      <w:outlineLvl w:val="0"/>
    </w:pPr>
    <w:rPr>
      <w:rFonts w:ascii="Calibri" w:eastAsia="Times New Roman" w:hAnsi="Calibri" w:cs="Arial"/>
      <w:b/>
      <w:snapToGrid w:val="0"/>
      <w:kern w:val="0"/>
      <w:sz w:val="32"/>
      <w14:ligatures w14:val="none"/>
    </w:rPr>
  </w:style>
  <w:style w:type="table" w:customStyle="1" w:styleId="PlainTable21">
    <w:name w:val="Plain Table 21"/>
    <w:basedOn w:val="TableNormal"/>
    <w:uiPriority w:val="42"/>
    <w:rsid w:val="00C32A95"/>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C32A95"/>
    <w:rPr>
      <w:color w:val="954F72" w:themeColor="followedHyperlink"/>
      <w:u w:val="single"/>
    </w:rPr>
  </w:style>
  <w:style w:type="character" w:styleId="PageNumber">
    <w:name w:val="page number"/>
    <w:basedOn w:val="DefaultParagraphFont"/>
    <w:semiHidden/>
    <w:unhideWhenUsed/>
    <w:rsid w:val="00C32A95"/>
  </w:style>
  <w:style w:type="paragraph" w:customStyle="1" w:styleId="Commentitalics">
    <w:name w:val="Comment (italics)"/>
    <w:basedOn w:val="Normal"/>
    <w:next w:val="Normal"/>
    <w:rsid w:val="00C32A95"/>
    <w:rPr>
      <w:i/>
    </w:rPr>
  </w:style>
  <w:style w:type="paragraph" w:styleId="BalloonText">
    <w:name w:val="Balloon Text"/>
    <w:basedOn w:val="Normal"/>
    <w:link w:val="BalloonTextChar"/>
    <w:semiHidden/>
    <w:unhideWhenUsed/>
    <w:rsid w:val="00C32A95"/>
    <w:rPr>
      <w:rFonts w:ascii="Tahoma" w:hAnsi="Tahoma" w:cs="Tahoma"/>
      <w:sz w:val="16"/>
      <w:szCs w:val="16"/>
    </w:rPr>
  </w:style>
  <w:style w:type="character" w:customStyle="1" w:styleId="BalloonTextChar">
    <w:name w:val="Balloon Text Char"/>
    <w:basedOn w:val="DefaultParagraphFont"/>
    <w:link w:val="BalloonText"/>
    <w:semiHidden/>
    <w:rsid w:val="00C32A95"/>
    <w:rPr>
      <w:rFonts w:ascii="Tahoma" w:eastAsia="Times New Roman" w:hAnsi="Tahoma" w:cs="Tahoma"/>
      <w:kern w:val="0"/>
      <w:sz w:val="16"/>
      <w:szCs w:val="16"/>
      <w:lang w:eastAsia="en-AU"/>
      <w14:ligatures w14:val="none"/>
    </w:rPr>
  </w:style>
  <w:style w:type="paragraph" w:customStyle="1" w:styleId="V50Tablename">
    <w:name w:val="V5.0 Table name"/>
    <w:basedOn w:val="Normal"/>
    <w:link w:val="V50TablenameChar"/>
    <w:rsid w:val="00C32A95"/>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C32A95"/>
    <w:rPr>
      <w:b/>
      <w:snapToGrid w:val="0"/>
      <w:kern w:val="0"/>
      <w:sz w:val="20"/>
      <w:szCs w:val="24"/>
      <w:lang w:val="en-US" w:eastAsia="en-AU"/>
      <w14:ligatures w14:val="none"/>
    </w:rPr>
  </w:style>
  <w:style w:type="paragraph" w:customStyle="1" w:styleId="GeneralHeading">
    <w:name w:val="General Heading"/>
    <w:qFormat/>
    <w:rsid w:val="00C32A95"/>
    <w:pPr>
      <w:keepNext/>
      <w:spacing w:before="120" w:after="120" w:line="240" w:lineRule="auto"/>
      <w:ind w:left="720" w:hanging="720"/>
      <w:outlineLvl w:val="0"/>
    </w:pPr>
    <w:rPr>
      <w:rFonts w:ascii="Calibri" w:eastAsia="Times New Roman" w:hAnsi="Calibri" w:cs="Arial"/>
      <w:b/>
      <w:snapToGrid w:val="0"/>
      <w:kern w:val="0"/>
      <w:sz w:val="28"/>
      <w:lang w:eastAsia="en-AU"/>
      <w14:ligatures w14:val="none"/>
    </w:rPr>
  </w:style>
  <w:style w:type="paragraph" w:customStyle="1" w:styleId="1-MainHeading">
    <w:name w:val="1-Main Heading"/>
    <w:link w:val="1-MainHeadingChar"/>
    <w:qFormat/>
    <w:rsid w:val="00C32A95"/>
    <w:pPr>
      <w:keepNext/>
      <w:spacing w:before="120" w:line="240" w:lineRule="auto"/>
      <w:ind w:left="720" w:hanging="720"/>
      <w:outlineLvl w:val="0"/>
    </w:pPr>
    <w:rPr>
      <w:rFonts w:eastAsiaTheme="majorEastAsia" w:cstheme="majorBidi"/>
      <w:b/>
      <w:spacing w:val="5"/>
      <w:kern w:val="28"/>
      <w:sz w:val="36"/>
      <w:szCs w:val="36"/>
      <w:lang w:eastAsia="en-AU"/>
      <w14:ligatures w14:val="none"/>
    </w:rPr>
  </w:style>
  <w:style w:type="character" w:customStyle="1" w:styleId="1-MainHeadingChar">
    <w:name w:val="1-Main Heading Char"/>
    <w:basedOn w:val="DefaultParagraphFont"/>
    <w:link w:val="1-MainHeading"/>
    <w:rsid w:val="00C32A95"/>
    <w:rPr>
      <w:rFonts w:eastAsiaTheme="majorEastAsia" w:cstheme="majorBidi"/>
      <w:b/>
      <w:spacing w:val="5"/>
      <w:kern w:val="28"/>
      <w:sz w:val="36"/>
      <w:szCs w:val="36"/>
      <w:lang w:eastAsia="en-AU"/>
      <w14:ligatures w14:val="none"/>
    </w:rPr>
  </w:style>
  <w:style w:type="character" w:customStyle="1" w:styleId="3-BodyTextChar">
    <w:name w:val="3-Body Text Char"/>
    <w:basedOn w:val="ListParagraphChar"/>
    <w:link w:val="3-BodyText"/>
    <w:rsid w:val="00C32A95"/>
    <w:rPr>
      <w:rFonts w:ascii="Calibri" w:eastAsia="Times New Roman" w:hAnsi="Calibri" w:cs="Arial"/>
      <w:snapToGrid w:val="0"/>
      <w:kern w:val="0"/>
      <w:sz w:val="24"/>
      <w:szCs w:val="24"/>
      <w:lang w:eastAsia="en-AU"/>
      <w14:ligatures w14:val="none"/>
    </w:rPr>
  </w:style>
  <w:style w:type="paragraph" w:customStyle="1" w:styleId="PageFooter">
    <w:name w:val="Page Footer"/>
    <w:basedOn w:val="Normal"/>
    <w:link w:val="PageFooterChar"/>
    <w:qFormat/>
    <w:rsid w:val="00C32A95"/>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C32A95"/>
    <w:rPr>
      <w:rFonts w:ascii="Calibri" w:eastAsia="Times New Roman" w:hAnsi="Calibri" w:cs="Arial"/>
      <w:b/>
      <w:kern w:val="0"/>
      <w:sz w:val="24"/>
      <w:szCs w:val="24"/>
      <w:lang w:eastAsia="en-AU"/>
      <w14:ligatures w14:val="none"/>
    </w:rPr>
  </w:style>
  <w:style w:type="paragraph" w:customStyle="1" w:styleId="4-SubsectionHeading">
    <w:name w:val="4-Subsection Heading"/>
    <w:basedOn w:val="Heading2"/>
    <w:next w:val="3-BodyText"/>
    <w:link w:val="4-SubsectionHeadingChar"/>
    <w:qFormat/>
    <w:rsid w:val="00C32A95"/>
    <w:pPr>
      <w:keepNext/>
      <w:spacing w:before="120" w:after="120"/>
    </w:pPr>
    <w:rPr>
      <w:rFonts w:eastAsiaTheme="majorEastAsia" w:cstheme="majorBidi"/>
      <w:spacing w:val="5"/>
      <w:kern w:val="28"/>
      <w:szCs w:val="36"/>
    </w:rPr>
  </w:style>
  <w:style w:type="character" w:customStyle="1" w:styleId="4-SubsectionHeadingChar">
    <w:name w:val="4-Subsection Heading Char"/>
    <w:basedOn w:val="Heading2Char"/>
    <w:link w:val="4-SubsectionHeading"/>
    <w:rsid w:val="00C32A95"/>
    <w:rPr>
      <w:rFonts w:ascii="Calibri" w:eastAsiaTheme="majorEastAsia" w:hAnsi="Calibri" w:cstheme="majorBidi"/>
      <w:b/>
      <w:i/>
      <w:spacing w:val="5"/>
      <w:kern w:val="28"/>
      <w:sz w:val="28"/>
      <w:szCs w:val="36"/>
      <w:lang w:eastAsia="en-AU"/>
      <w14:ligatures w14:val="none"/>
    </w:rPr>
  </w:style>
  <w:style w:type="paragraph" w:customStyle="1" w:styleId="5-SubsectionSubheading">
    <w:name w:val="5-Subsection Subheading"/>
    <w:basedOn w:val="Heading3"/>
    <w:next w:val="3-BodyText"/>
    <w:link w:val="5-SubsectionSubheadingChar"/>
    <w:qFormat/>
    <w:rsid w:val="00C32A95"/>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C32A95"/>
    <w:rPr>
      <w:rFonts w:eastAsiaTheme="majorEastAsia" w:cstheme="majorBidi"/>
      <w:b/>
      <w:color w:val="000000" w:themeColor="text1"/>
      <w:kern w:val="0"/>
      <w:sz w:val="24"/>
      <w:szCs w:val="24"/>
      <w:lang w:eastAsia="en-AU"/>
      <w14:ligatures w14:val="none"/>
    </w:rPr>
  </w:style>
  <w:style w:type="paragraph" w:customStyle="1" w:styleId="ExecSumBodyText">
    <w:name w:val="Exec Sum Body Text"/>
    <w:basedOn w:val="Normal"/>
    <w:link w:val="ExecSumBodyTextChar"/>
    <w:uiPriority w:val="99"/>
    <w:rsid w:val="00C32A95"/>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C32A95"/>
    <w:rPr>
      <w:rFonts w:eastAsia="Times New Roman" w:cs="Arial"/>
      <w:snapToGrid w:val="0"/>
      <w:kern w:val="0"/>
      <w:sz w:val="24"/>
      <w:szCs w:val="24"/>
      <w:lang w:eastAsia="en-AU"/>
      <w14:ligatures w14:val="none"/>
    </w:rPr>
  </w:style>
  <w:style w:type="paragraph" w:customStyle="1" w:styleId="bullet">
    <w:name w:val="bullet"/>
    <w:basedOn w:val="ListParagraph"/>
    <w:link w:val="bulletChar"/>
    <w:rsid w:val="00C32A95"/>
    <w:pPr>
      <w:numPr>
        <w:numId w:val="7"/>
      </w:numPr>
      <w:spacing w:after="120"/>
      <w:contextualSpacing w:val="0"/>
    </w:pPr>
    <w:rPr>
      <w:rFonts w:cstheme="minorBidi"/>
      <w:i/>
      <w:sz w:val="22"/>
      <w:szCs w:val="22"/>
      <w:lang w:eastAsia="en-US"/>
    </w:rPr>
  </w:style>
  <w:style w:type="character" w:customStyle="1" w:styleId="bulletChar">
    <w:name w:val="bullet Char"/>
    <w:basedOn w:val="DefaultParagraphFont"/>
    <w:link w:val="bullet"/>
    <w:rsid w:val="00C32A95"/>
    <w:rPr>
      <w:rFonts w:ascii="Calibri" w:eastAsia="Times New Roman" w:hAnsi="Calibri"/>
      <w:i/>
      <w:kern w:val="0"/>
      <w14:ligatures w14:val="none"/>
    </w:rPr>
  </w:style>
  <w:style w:type="paragraph" w:customStyle="1" w:styleId="Default">
    <w:name w:val="Default"/>
    <w:rsid w:val="00C32A95"/>
    <w:pPr>
      <w:autoSpaceDE w:val="0"/>
      <w:autoSpaceDN w:val="0"/>
      <w:adjustRightInd w:val="0"/>
      <w:spacing w:after="0" w:line="240" w:lineRule="auto"/>
    </w:pPr>
    <w:rPr>
      <w:rFonts w:ascii="Calibri" w:eastAsia="Times New Roman" w:hAnsi="Calibri" w:cs="Calibri"/>
      <w:color w:val="000000"/>
      <w:kern w:val="0"/>
      <w:sz w:val="24"/>
      <w:szCs w:val="24"/>
      <w:lang w:eastAsia="en-AU"/>
      <w14:ligatures w14:val="none"/>
    </w:rPr>
  </w:style>
  <w:style w:type="character" w:customStyle="1" w:styleId="contentcontrolboundarysink">
    <w:name w:val="contentcontrolboundarysink"/>
    <w:basedOn w:val="DefaultParagraphFont"/>
    <w:rsid w:val="00C32A95"/>
  </w:style>
  <w:style w:type="character" w:customStyle="1" w:styleId="scxw53575332">
    <w:name w:val="scxw53575332"/>
    <w:basedOn w:val="DefaultParagraphFont"/>
    <w:rsid w:val="00C32A95"/>
  </w:style>
  <w:style w:type="character" w:customStyle="1" w:styleId="scxw239041576">
    <w:name w:val="scxw239041576"/>
    <w:basedOn w:val="DefaultParagraphFont"/>
    <w:rsid w:val="00C32A95"/>
  </w:style>
  <w:style w:type="character" w:styleId="UnresolvedMention">
    <w:name w:val="Unresolved Mention"/>
    <w:basedOn w:val="DefaultParagraphFont"/>
    <w:uiPriority w:val="99"/>
    <w:semiHidden/>
    <w:unhideWhenUsed/>
    <w:rsid w:val="00C32A95"/>
    <w:rPr>
      <w:color w:val="605E5C"/>
      <w:shd w:val="clear" w:color="auto" w:fill="E1DFDD"/>
    </w:rPr>
  </w:style>
  <w:style w:type="character" w:customStyle="1" w:styleId="scxw217510901">
    <w:name w:val="scxw217510901"/>
    <w:basedOn w:val="DefaultParagraphFont"/>
    <w:rsid w:val="00C32A95"/>
  </w:style>
  <w:style w:type="table" w:customStyle="1" w:styleId="HTATableshaded">
    <w:name w:val="HTA Table shaded"/>
    <w:basedOn w:val="TableNormal"/>
    <w:rsid w:val="001B2ACC"/>
    <w:pPr>
      <w:spacing w:before="40" w:after="20" w:line="240" w:lineRule="auto"/>
    </w:pPr>
    <w:rPr>
      <w:rFonts w:ascii="Calibri" w:eastAsia="Times New Roman" w:hAnsi="Calibri" w:cs="Times New Roman"/>
      <w:kern w:val="0"/>
      <w:sz w:val="18"/>
      <w:szCs w:val="18"/>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abletextleft">
    <w:name w:val="Table text left"/>
    <w:basedOn w:val="Normal"/>
    <w:link w:val="TabletextleftChar"/>
    <w:qFormat/>
    <w:rsid w:val="001B2ACC"/>
    <w:pPr>
      <w:spacing w:before="20" w:after="20"/>
    </w:pPr>
    <w:rPr>
      <w:rFonts w:asciiTheme="minorHAnsi" w:hAnsiTheme="minorHAnsi" w:cs="Times New Roman"/>
      <w:sz w:val="18"/>
      <w:szCs w:val="20"/>
    </w:rPr>
  </w:style>
  <w:style w:type="character" w:customStyle="1" w:styleId="TabletextleftChar">
    <w:name w:val="Table text left Char"/>
    <w:basedOn w:val="DefaultParagraphFont"/>
    <w:link w:val="Tabletextleft"/>
    <w:rsid w:val="001B2ACC"/>
    <w:rPr>
      <w:rFonts w:eastAsia="Times New Roman" w:cs="Times New Roman"/>
      <w:kern w:val="0"/>
      <w:sz w:val="18"/>
      <w:szCs w:val="20"/>
      <w:lang w:eastAsia="en-AU"/>
      <w14:ligatures w14:val="none"/>
    </w:rPr>
  </w:style>
  <w:style w:type="paragraph" w:customStyle="1" w:styleId="TableFigNotes18">
    <w:name w:val="TableFigNotes+18"/>
    <w:basedOn w:val="BodyText"/>
    <w:next w:val="BodyText"/>
    <w:link w:val="TableFigNotes18Char"/>
    <w:uiPriority w:val="4"/>
    <w:qFormat/>
    <w:rsid w:val="001B2ACC"/>
    <w:pPr>
      <w:keepLines/>
      <w:spacing w:after="360" w:line="276" w:lineRule="auto"/>
      <w:jc w:val="both"/>
    </w:pPr>
    <w:rPr>
      <w:rFonts w:asciiTheme="minorHAnsi" w:eastAsiaTheme="minorHAnsi" w:hAnsiTheme="minorHAnsi" w:cs="Tahoma"/>
      <w:color w:val="000000"/>
      <w:sz w:val="16"/>
      <w:szCs w:val="18"/>
    </w:rPr>
  </w:style>
  <w:style w:type="character" w:customStyle="1" w:styleId="TableFigNotes18Char">
    <w:name w:val="TableFigNotes+18 Char"/>
    <w:basedOn w:val="DefaultParagraphFont"/>
    <w:link w:val="TableFigNotes18"/>
    <w:uiPriority w:val="4"/>
    <w:rsid w:val="001B2ACC"/>
    <w:rPr>
      <w:rFonts w:cs="Tahoma"/>
      <w:color w:val="000000"/>
      <w:kern w:val="0"/>
      <w:sz w:val="16"/>
      <w:szCs w:val="18"/>
      <w:lang w:eastAsia="en-AU"/>
      <w14:ligatures w14:val="none"/>
    </w:rPr>
  </w:style>
  <w:style w:type="paragraph" w:customStyle="1" w:styleId="TableFigNotes0">
    <w:name w:val="TableFigNotes+0"/>
    <w:basedOn w:val="Normal"/>
    <w:uiPriority w:val="4"/>
    <w:rsid w:val="002E62C0"/>
    <w:pPr>
      <w:keepNext/>
      <w:keepLines/>
    </w:pPr>
    <w:rPr>
      <w:rFonts w:cs="Tahoma"/>
      <w:color w:val="000000"/>
      <w:sz w:val="16"/>
      <w:szCs w:val="18"/>
      <w:lang w:val="en-US"/>
    </w:rPr>
  </w:style>
  <w:style w:type="character" w:customStyle="1" w:styleId="scxw137850067">
    <w:name w:val="scxw137850067"/>
    <w:basedOn w:val="DefaultParagraphFont"/>
    <w:rsid w:val="00F947D7"/>
  </w:style>
  <w:style w:type="character" w:customStyle="1" w:styleId="scxw61598581">
    <w:name w:val="scxw61598581"/>
    <w:basedOn w:val="DefaultParagraphFont"/>
    <w:rsid w:val="00F947D7"/>
  </w:style>
  <w:style w:type="character" w:customStyle="1" w:styleId="cf01">
    <w:name w:val="cf01"/>
    <w:basedOn w:val="DefaultParagraphFont"/>
    <w:rsid w:val="003515D9"/>
    <w:rPr>
      <w:rFonts w:ascii="Segoe UI" w:hAnsi="Segoe UI" w:cs="Segoe UI" w:hint="default"/>
      <w:sz w:val="18"/>
      <w:szCs w:val="18"/>
      <w:shd w:val="clear" w:color="auto" w:fill="FFFFFF"/>
    </w:rPr>
  </w:style>
  <w:style w:type="paragraph" w:customStyle="1" w:styleId="EndNoteBibliography">
    <w:name w:val="EndNote Bibliography"/>
    <w:basedOn w:val="Normal"/>
    <w:link w:val="EndNoteBibliographyChar"/>
    <w:rsid w:val="004E0527"/>
    <w:pPr>
      <w:spacing w:after="200"/>
    </w:pPr>
    <w:rPr>
      <w:rFonts w:ascii="Tahoma" w:eastAsiaTheme="minorHAnsi" w:hAnsi="Tahoma" w:cs="Tahoma"/>
      <w:noProof/>
      <w:sz w:val="32"/>
      <w:szCs w:val="22"/>
      <w:lang w:val="en-US" w:eastAsia="en-US"/>
    </w:rPr>
  </w:style>
  <w:style w:type="character" w:customStyle="1" w:styleId="EndNoteBibliographyChar">
    <w:name w:val="EndNote Bibliography Char"/>
    <w:basedOn w:val="DefaultParagraphFont"/>
    <w:link w:val="EndNoteBibliography"/>
    <w:rsid w:val="004E0527"/>
    <w:rPr>
      <w:rFonts w:ascii="Tahoma" w:hAnsi="Tahoma" w:cs="Tahoma"/>
      <w:noProof/>
      <w:kern w:val="0"/>
      <w:sz w:val="32"/>
      <w:lang w:val="en-US"/>
      <w14:ligatures w14:val="none"/>
    </w:rPr>
  </w:style>
  <w:style w:type="paragraph" w:customStyle="1" w:styleId="Tabletext8pt">
    <w:name w:val="Table text 8pt"/>
    <w:basedOn w:val="TableText"/>
    <w:qFormat/>
    <w:rsid w:val="00F569BD"/>
    <w:pPr>
      <w:keepLines/>
      <w:spacing w:before="20" w:after="20"/>
      <w:jc w:val="both"/>
    </w:pPr>
    <w:rPr>
      <w:rFonts w:ascii="Montserrat" w:eastAsia="Calibri" w:hAnsi="Montserrat" w:cs="Calibri"/>
      <w:bCs w:val="0"/>
      <w:sz w:val="16"/>
      <w:szCs w:val="16"/>
      <w:lang w:eastAsia="en-US"/>
    </w:rPr>
  </w:style>
  <w:style w:type="paragraph" w:customStyle="1" w:styleId="TableH28ptCentered">
    <w:name w:val="Table H2 8pt + Centered"/>
    <w:basedOn w:val="Normal"/>
    <w:qFormat/>
    <w:rsid w:val="00F569BD"/>
    <w:pPr>
      <w:keepNext/>
      <w:keepLines/>
      <w:spacing w:before="20" w:after="20"/>
      <w:contextualSpacing/>
      <w:jc w:val="center"/>
    </w:pPr>
    <w:rPr>
      <w:rFonts w:ascii="Montserrat" w:eastAsia="Calibri" w:hAnsi="Montserrat" w:cs="Calibri"/>
      <w:b/>
      <w:sz w:val="16"/>
      <w:szCs w:val="20"/>
      <w:lang w:eastAsia="en-US"/>
    </w:rPr>
  </w:style>
  <w:style w:type="paragraph" w:customStyle="1" w:styleId="TableH28pt">
    <w:name w:val="Table H2 8pt"/>
    <w:basedOn w:val="TableH28ptCentered"/>
    <w:qFormat/>
    <w:rsid w:val="00F569BD"/>
    <w:pPr>
      <w:jc w:val="left"/>
    </w:pPr>
  </w:style>
  <w:style w:type="paragraph" w:customStyle="1" w:styleId="Tabletext8ptCentered">
    <w:name w:val="Table text 8pt + Centered"/>
    <w:basedOn w:val="Tabletext8pt"/>
    <w:qFormat/>
    <w:rsid w:val="00F569BD"/>
    <w:pPr>
      <w:jc w:val="left"/>
    </w:pPr>
  </w:style>
  <w:style w:type="paragraph" w:customStyle="1" w:styleId="elementtoproof">
    <w:name w:val="elementtoproof"/>
    <w:basedOn w:val="Normal"/>
    <w:uiPriority w:val="99"/>
    <w:semiHidden/>
    <w:rsid w:val="00865D34"/>
    <w:pPr>
      <w:jc w:val="left"/>
    </w:pPr>
    <w:rPr>
      <w:rFonts w:eastAsiaTheme="minorHAnsi" w:cs="Calibri"/>
      <w:sz w:val="22"/>
      <w:szCs w:val="22"/>
    </w:rPr>
  </w:style>
  <w:style w:type="character" w:customStyle="1" w:styleId="cf21">
    <w:name w:val="cf21"/>
    <w:basedOn w:val="DefaultParagraphFont"/>
    <w:rsid w:val="0076490B"/>
    <w:rPr>
      <w:rFonts w:ascii="Segoe UI" w:hAnsi="Segoe UI" w:cs="Segoe UI" w:hint="default"/>
      <w:b/>
      <w:bCs/>
      <w:color w:val="222222"/>
      <w:sz w:val="18"/>
      <w:szCs w:val="18"/>
      <w:u w:val="single"/>
      <w:shd w:val="clear" w:color="auto" w:fill="FFFFFF"/>
    </w:rPr>
  </w:style>
  <w:style w:type="paragraph" w:customStyle="1" w:styleId="3-SubsectionHeading">
    <w:name w:val="3-Subsection Heading"/>
    <w:basedOn w:val="Heading2"/>
    <w:next w:val="Normal"/>
    <w:link w:val="3-SubsectionHeadingChar"/>
    <w:qFormat/>
    <w:rsid w:val="00845C54"/>
    <w:pPr>
      <w:keepNext/>
      <w:spacing w:before="120" w:after="120"/>
      <w:outlineLvl w:val="9"/>
    </w:pPr>
    <w:rPr>
      <w:rFonts w:eastAsiaTheme="majorEastAsia" w:cstheme="majorBidi"/>
      <w:spacing w:val="5"/>
      <w:kern w:val="28"/>
      <w:szCs w:val="36"/>
    </w:rPr>
  </w:style>
  <w:style w:type="character" w:customStyle="1" w:styleId="3-SubsectionHeadingChar">
    <w:name w:val="3-Subsection Heading Char"/>
    <w:basedOn w:val="Heading2Char"/>
    <w:link w:val="3-SubsectionHeading"/>
    <w:rsid w:val="00845C54"/>
    <w:rPr>
      <w:rFonts w:ascii="Calibri" w:eastAsiaTheme="majorEastAsia" w:hAnsi="Calibri" w:cstheme="majorBidi"/>
      <w:b/>
      <w:i/>
      <w:spacing w:val="5"/>
      <w:kern w:val="28"/>
      <w:sz w:val="28"/>
      <w:szCs w:val="36"/>
      <w:lang w:eastAsia="en-AU"/>
      <w14:ligatures w14:val="none"/>
    </w:rPr>
  </w:style>
  <w:style w:type="paragraph" w:customStyle="1" w:styleId="COMH1numbered">
    <w:name w:val="COM H1 numbered"/>
    <w:next w:val="Normal"/>
    <w:qFormat/>
    <w:rsid w:val="009D418A"/>
    <w:pPr>
      <w:keepNext/>
      <w:spacing w:before="240" w:after="120" w:line="240" w:lineRule="auto"/>
      <w:ind w:left="720" w:hanging="720"/>
      <w:outlineLvl w:val="0"/>
    </w:pPr>
    <w:rPr>
      <w:rFonts w:eastAsia="Times New Roman" w:cs="Arial"/>
      <w:b/>
      <w:snapToGrid w:val="0"/>
      <w:kern w:val="0"/>
      <w:sz w:val="32"/>
      <w:szCs w:val="32"/>
      <w:lang w:eastAsia="en-AU"/>
      <w14:ligatures w14:val="none"/>
    </w:rPr>
  </w:style>
  <w:style w:type="paragraph" w:customStyle="1" w:styleId="COMexecsumnumberedpara">
    <w:name w:val="COM exec sum numbered para"/>
    <w:basedOn w:val="ListParagraph"/>
    <w:qFormat/>
    <w:rsid w:val="009D418A"/>
    <w:pPr>
      <w:tabs>
        <w:tab w:val="num" w:pos="360"/>
      </w:tabs>
      <w:spacing w:after="120"/>
      <w:contextualSpacing w:val="0"/>
    </w:pPr>
    <w:rPr>
      <w:rFonts w:asciiTheme="minorHAnsi" w:hAnsiTheme="minorHAnsi"/>
      <w:snapToGrid w:val="0"/>
    </w:rPr>
  </w:style>
  <w:style w:type="paragraph" w:styleId="Bibliography">
    <w:name w:val="Bibliography"/>
    <w:basedOn w:val="Normal"/>
    <w:next w:val="Normal"/>
    <w:uiPriority w:val="37"/>
    <w:unhideWhenUsed/>
    <w:rsid w:val="00A65E67"/>
  </w:style>
  <w:style w:type="character" w:customStyle="1" w:styleId="cit">
    <w:name w:val="cit"/>
    <w:basedOn w:val="DefaultParagraphFont"/>
    <w:rsid w:val="00917023"/>
  </w:style>
  <w:style w:type="character" w:customStyle="1" w:styleId="citation-doi">
    <w:name w:val="citation-doi"/>
    <w:basedOn w:val="DefaultParagraphFont"/>
    <w:rsid w:val="00917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82105">
      <w:bodyDiv w:val="1"/>
      <w:marLeft w:val="0"/>
      <w:marRight w:val="0"/>
      <w:marTop w:val="0"/>
      <w:marBottom w:val="0"/>
      <w:divBdr>
        <w:top w:val="none" w:sz="0" w:space="0" w:color="auto"/>
        <w:left w:val="none" w:sz="0" w:space="0" w:color="auto"/>
        <w:bottom w:val="none" w:sz="0" w:space="0" w:color="auto"/>
        <w:right w:val="none" w:sz="0" w:space="0" w:color="auto"/>
      </w:divBdr>
    </w:div>
    <w:div w:id="174535496">
      <w:bodyDiv w:val="1"/>
      <w:marLeft w:val="0"/>
      <w:marRight w:val="0"/>
      <w:marTop w:val="0"/>
      <w:marBottom w:val="0"/>
      <w:divBdr>
        <w:top w:val="none" w:sz="0" w:space="0" w:color="auto"/>
        <w:left w:val="none" w:sz="0" w:space="0" w:color="auto"/>
        <w:bottom w:val="none" w:sz="0" w:space="0" w:color="auto"/>
        <w:right w:val="none" w:sz="0" w:space="0" w:color="auto"/>
      </w:divBdr>
    </w:div>
    <w:div w:id="216548642">
      <w:bodyDiv w:val="1"/>
      <w:marLeft w:val="0"/>
      <w:marRight w:val="0"/>
      <w:marTop w:val="0"/>
      <w:marBottom w:val="0"/>
      <w:divBdr>
        <w:top w:val="none" w:sz="0" w:space="0" w:color="auto"/>
        <w:left w:val="none" w:sz="0" w:space="0" w:color="auto"/>
        <w:bottom w:val="none" w:sz="0" w:space="0" w:color="auto"/>
        <w:right w:val="none" w:sz="0" w:space="0" w:color="auto"/>
      </w:divBdr>
    </w:div>
    <w:div w:id="245311057">
      <w:bodyDiv w:val="1"/>
      <w:marLeft w:val="0"/>
      <w:marRight w:val="0"/>
      <w:marTop w:val="0"/>
      <w:marBottom w:val="0"/>
      <w:divBdr>
        <w:top w:val="none" w:sz="0" w:space="0" w:color="auto"/>
        <w:left w:val="none" w:sz="0" w:space="0" w:color="auto"/>
        <w:bottom w:val="none" w:sz="0" w:space="0" w:color="auto"/>
        <w:right w:val="none" w:sz="0" w:space="0" w:color="auto"/>
      </w:divBdr>
      <w:divsChild>
        <w:div w:id="1933736302">
          <w:marLeft w:val="1080"/>
          <w:marRight w:val="0"/>
          <w:marTop w:val="100"/>
          <w:marBottom w:val="0"/>
          <w:divBdr>
            <w:top w:val="none" w:sz="0" w:space="0" w:color="auto"/>
            <w:left w:val="none" w:sz="0" w:space="0" w:color="auto"/>
            <w:bottom w:val="none" w:sz="0" w:space="0" w:color="auto"/>
            <w:right w:val="none" w:sz="0" w:space="0" w:color="auto"/>
          </w:divBdr>
        </w:div>
      </w:divsChild>
    </w:div>
    <w:div w:id="541789502">
      <w:bodyDiv w:val="1"/>
      <w:marLeft w:val="0"/>
      <w:marRight w:val="0"/>
      <w:marTop w:val="0"/>
      <w:marBottom w:val="0"/>
      <w:divBdr>
        <w:top w:val="none" w:sz="0" w:space="0" w:color="auto"/>
        <w:left w:val="none" w:sz="0" w:space="0" w:color="auto"/>
        <w:bottom w:val="none" w:sz="0" w:space="0" w:color="auto"/>
        <w:right w:val="none" w:sz="0" w:space="0" w:color="auto"/>
      </w:divBdr>
      <w:divsChild>
        <w:div w:id="81684019">
          <w:marLeft w:val="0"/>
          <w:marRight w:val="0"/>
          <w:marTop w:val="0"/>
          <w:marBottom w:val="0"/>
          <w:divBdr>
            <w:top w:val="none" w:sz="0" w:space="0" w:color="auto"/>
            <w:left w:val="none" w:sz="0" w:space="0" w:color="auto"/>
            <w:bottom w:val="none" w:sz="0" w:space="0" w:color="auto"/>
            <w:right w:val="none" w:sz="0" w:space="0" w:color="auto"/>
          </w:divBdr>
        </w:div>
        <w:div w:id="1347751054">
          <w:marLeft w:val="0"/>
          <w:marRight w:val="0"/>
          <w:marTop w:val="0"/>
          <w:marBottom w:val="0"/>
          <w:divBdr>
            <w:top w:val="none" w:sz="0" w:space="0" w:color="auto"/>
            <w:left w:val="none" w:sz="0" w:space="0" w:color="auto"/>
            <w:bottom w:val="none" w:sz="0" w:space="0" w:color="auto"/>
            <w:right w:val="none" w:sz="0" w:space="0" w:color="auto"/>
          </w:divBdr>
        </w:div>
        <w:div w:id="1376734873">
          <w:marLeft w:val="0"/>
          <w:marRight w:val="0"/>
          <w:marTop w:val="0"/>
          <w:marBottom w:val="0"/>
          <w:divBdr>
            <w:top w:val="none" w:sz="0" w:space="0" w:color="auto"/>
            <w:left w:val="none" w:sz="0" w:space="0" w:color="auto"/>
            <w:bottom w:val="none" w:sz="0" w:space="0" w:color="auto"/>
            <w:right w:val="none" w:sz="0" w:space="0" w:color="auto"/>
          </w:divBdr>
        </w:div>
      </w:divsChild>
    </w:div>
    <w:div w:id="644897315">
      <w:bodyDiv w:val="1"/>
      <w:marLeft w:val="0"/>
      <w:marRight w:val="0"/>
      <w:marTop w:val="0"/>
      <w:marBottom w:val="0"/>
      <w:divBdr>
        <w:top w:val="none" w:sz="0" w:space="0" w:color="auto"/>
        <w:left w:val="none" w:sz="0" w:space="0" w:color="auto"/>
        <w:bottom w:val="none" w:sz="0" w:space="0" w:color="auto"/>
        <w:right w:val="none" w:sz="0" w:space="0" w:color="auto"/>
      </w:divBdr>
      <w:divsChild>
        <w:div w:id="1620061835">
          <w:marLeft w:val="360"/>
          <w:marRight w:val="0"/>
          <w:marTop w:val="200"/>
          <w:marBottom w:val="0"/>
          <w:divBdr>
            <w:top w:val="none" w:sz="0" w:space="0" w:color="auto"/>
            <w:left w:val="none" w:sz="0" w:space="0" w:color="auto"/>
            <w:bottom w:val="none" w:sz="0" w:space="0" w:color="auto"/>
            <w:right w:val="none" w:sz="0" w:space="0" w:color="auto"/>
          </w:divBdr>
        </w:div>
      </w:divsChild>
    </w:div>
    <w:div w:id="654456172">
      <w:bodyDiv w:val="1"/>
      <w:marLeft w:val="0"/>
      <w:marRight w:val="0"/>
      <w:marTop w:val="0"/>
      <w:marBottom w:val="0"/>
      <w:divBdr>
        <w:top w:val="none" w:sz="0" w:space="0" w:color="auto"/>
        <w:left w:val="none" w:sz="0" w:space="0" w:color="auto"/>
        <w:bottom w:val="none" w:sz="0" w:space="0" w:color="auto"/>
        <w:right w:val="none" w:sz="0" w:space="0" w:color="auto"/>
      </w:divBdr>
    </w:div>
    <w:div w:id="669060826">
      <w:bodyDiv w:val="1"/>
      <w:marLeft w:val="0"/>
      <w:marRight w:val="0"/>
      <w:marTop w:val="0"/>
      <w:marBottom w:val="0"/>
      <w:divBdr>
        <w:top w:val="none" w:sz="0" w:space="0" w:color="auto"/>
        <w:left w:val="none" w:sz="0" w:space="0" w:color="auto"/>
        <w:bottom w:val="none" w:sz="0" w:space="0" w:color="auto"/>
        <w:right w:val="none" w:sz="0" w:space="0" w:color="auto"/>
      </w:divBdr>
      <w:divsChild>
        <w:div w:id="544679873">
          <w:marLeft w:val="0"/>
          <w:marRight w:val="0"/>
          <w:marTop w:val="0"/>
          <w:marBottom w:val="0"/>
          <w:divBdr>
            <w:top w:val="none" w:sz="0" w:space="0" w:color="auto"/>
            <w:left w:val="none" w:sz="0" w:space="0" w:color="auto"/>
            <w:bottom w:val="none" w:sz="0" w:space="0" w:color="auto"/>
            <w:right w:val="none" w:sz="0" w:space="0" w:color="auto"/>
          </w:divBdr>
        </w:div>
      </w:divsChild>
    </w:div>
    <w:div w:id="957376398">
      <w:bodyDiv w:val="1"/>
      <w:marLeft w:val="0"/>
      <w:marRight w:val="0"/>
      <w:marTop w:val="0"/>
      <w:marBottom w:val="0"/>
      <w:divBdr>
        <w:top w:val="none" w:sz="0" w:space="0" w:color="auto"/>
        <w:left w:val="none" w:sz="0" w:space="0" w:color="auto"/>
        <w:bottom w:val="none" w:sz="0" w:space="0" w:color="auto"/>
        <w:right w:val="none" w:sz="0" w:space="0" w:color="auto"/>
      </w:divBdr>
      <w:divsChild>
        <w:div w:id="1595284316">
          <w:marLeft w:val="1080"/>
          <w:marRight w:val="0"/>
          <w:marTop w:val="100"/>
          <w:marBottom w:val="0"/>
          <w:divBdr>
            <w:top w:val="none" w:sz="0" w:space="0" w:color="auto"/>
            <w:left w:val="none" w:sz="0" w:space="0" w:color="auto"/>
            <w:bottom w:val="none" w:sz="0" w:space="0" w:color="auto"/>
            <w:right w:val="none" w:sz="0" w:space="0" w:color="auto"/>
          </w:divBdr>
        </w:div>
      </w:divsChild>
    </w:div>
    <w:div w:id="980501516">
      <w:bodyDiv w:val="1"/>
      <w:marLeft w:val="0"/>
      <w:marRight w:val="0"/>
      <w:marTop w:val="0"/>
      <w:marBottom w:val="0"/>
      <w:divBdr>
        <w:top w:val="none" w:sz="0" w:space="0" w:color="auto"/>
        <w:left w:val="none" w:sz="0" w:space="0" w:color="auto"/>
        <w:bottom w:val="none" w:sz="0" w:space="0" w:color="auto"/>
        <w:right w:val="none" w:sz="0" w:space="0" w:color="auto"/>
      </w:divBdr>
    </w:div>
    <w:div w:id="1116287926">
      <w:bodyDiv w:val="1"/>
      <w:marLeft w:val="0"/>
      <w:marRight w:val="0"/>
      <w:marTop w:val="0"/>
      <w:marBottom w:val="0"/>
      <w:divBdr>
        <w:top w:val="none" w:sz="0" w:space="0" w:color="auto"/>
        <w:left w:val="none" w:sz="0" w:space="0" w:color="auto"/>
        <w:bottom w:val="none" w:sz="0" w:space="0" w:color="auto"/>
        <w:right w:val="none" w:sz="0" w:space="0" w:color="auto"/>
      </w:divBdr>
    </w:div>
    <w:div w:id="1287467791">
      <w:bodyDiv w:val="1"/>
      <w:marLeft w:val="0"/>
      <w:marRight w:val="0"/>
      <w:marTop w:val="0"/>
      <w:marBottom w:val="0"/>
      <w:divBdr>
        <w:top w:val="none" w:sz="0" w:space="0" w:color="auto"/>
        <w:left w:val="none" w:sz="0" w:space="0" w:color="auto"/>
        <w:bottom w:val="none" w:sz="0" w:space="0" w:color="auto"/>
        <w:right w:val="none" w:sz="0" w:space="0" w:color="auto"/>
      </w:divBdr>
    </w:div>
    <w:div w:id="1638025044">
      <w:bodyDiv w:val="1"/>
      <w:marLeft w:val="0"/>
      <w:marRight w:val="0"/>
      <w:marTop w:val="0"/>
      <w:marBottom w:val="0"/>
      <w:divBdr>
        <w:top w:val="none" w:sz="0" w:space="0" w:color="auto"/>
        <w:left w:val="none" w:sz="0" w:space="0" w:color="auto"/>
        <w:bottom w:val="none" w:sz="0" w:space="0" w:color="auto"/>
        <w:right w:val="none" w:sz="0" w:space="0" w:color="auto"/>
      </w:divBdr>
      <w:divsChild>
        <w:div w:id="693506272">
          <w:marLeft w:val="0"/>
          <w:marRight w:val="0"/>
          <w:marTop w:val="0"/>
          <w:marBottom w:val="0"/>
          <w:divBdr>
            <w:top w:val="none" w:sz="0" w:space="0" w:color="auto"/>
            <w:left w:val="none" w:sz="0" w:space="0" w:color="auto"/>
            <w:bottom w:val="none" w:sz="0" w:space="0" w:color="auto"/>
            <w:right w:val="none" w:sz="0" w:space="0" w:color="auto"/>
          </w:divBdr>
        </w:div>
        <w:div w:id="1780637787">
          <w:marLeft w:val="0"/>
          <w:marRight w:val="0"/>
          <w:marTop w:val="0"/>
          <w:marBottom w:val="0"/>
          <w:divBdr>
            <w:top w:val="none" w:sz="0" w:space="0" w:color="auto"/>
            <w:left w:val="none" w:sz="0" w:space="0" w:color="auto"/>
            <w:bottom w:val="none" w:sz="0" w:space="0" w:color="auto"/>
            <w:right w:val="none" w:sz="0" w:space="0" w:color="auto"/>
          </w:divBdr>
        </w:div>
        <w:div w:id="1802259514">
          <w:marLeft w:val="0"/>
          <w:marRight w:val="0"/>
          <w:marTop w:val="0"/>
          <w:marBottom w:val="0"/>
          <w:divBdr>
            <w:top w:val="none" w:sz="0" w:space="0" w:color="auto"/>
            <w:left w:val="none" w:sz="0" w:space="0" w:color="auto"/>
            <w:bottom w:val="none" w:sz="0" w:space="0" w:color="auto"/>
            <w:right w:val="none" w:sz="0" w:space="0" w:color="auto"/>
          </w:divBdr>
        </w:div>
      </w:divsChild>
    </w:div>
    <w:div w:id="1812164557">
      <w:bodyDiv w:val="1"/>
      <w:marLeft w:val="0"/>
      <w:marRight w:val="0"/>
      <w:marTop w:val="0"/>
      <w:marBottom w:val="0"/>
      <w:divBdr>
        <w:top w:val="none" w:sz="0" w:space="0" w:color="auto"/>
        <w:left w:val="none" w:sz="0" w:space="0" w:color="auto"/>
        <w:bottom w:val="none" w:sz="0" w:space="0" w:color="auto"/>
        <w:right w:val="none" w:sz="0" w:space="0" w:color="auto"/>
      </w:divBdr>
      <w:divsChild>
        <w:div w:id="83192984">
          <w:marLeft w:val="0"/>
          <w:marRight w:val="0"/>
          <w:marTop w:val="0"/>
          <w:marBottom w:val="0"/>
          <w:divBdr>
            <w:top w:val="none" w:sz="0" w:space="0" w:color="auto"/>
            <w:left w:val="none" w:sz="0" w:space="0" w:color="auto"/>
            <w:bottom w:val="none" w:sz="0" w:space="0" w:color="auto"/>
            <w:right w:val="none" w:sz="0" w:space="0" w:color="auto"/>
          </w:divBdr>
        </w:div>
        <w:div w:id="515847528">
          <w:marLeft w:val="0"/>
          <w:marRight w:val="0"/>
          <w:marTop w:val="0"/>
          <w:marBottom w:val="0"/>
          <w:divBdr>
            <w:top w:val="none" w:sz="0" w:space="0" w:color="auto"/>
            <w:left w:val="none" w:sz="0" w:space="0" w:color="auto"/>
            <w:bottom w:val="none" w:sz="0" w:space="0" w:color="auto"/>
            <w:right w:val="none" w:sz="0" w:space="0" w:color="auto"/>
          </w:divBdr>
        </w:div>
        <w:div w:id="1574387756">
          <w:marLeft w:val="0"/>
          <w:marRight w:val="0"/>
          <w:marTop w:val="0"/>
          <w:marBottom w:val="0"/>
          <w:divBdr>
            <w:top w:val="none" w:sz="0" w:space="0" w:color="auto"/>
            <w:left w:val="none" w:sz="0" w:space="0" w:color="auto"/>
            <w:bottom w:val="none" w:sz="0" w:space="0" w:color="auto"/>
            <w:right w:val="none" w:sz="0" w:space="0" w:color="auto"/>
          </w:divBdr>
        </w:div>
      </w:divsChild>
    </w:div>
    <w:div w:id="1931966799">
      <w:bodyDiv w:val="1"/>
      <w:marLeft w:val="0"/>
      <w:marRight w:val="0"/>
      <w:marTop w:val="0"/>
      <w:marBottom w:val="0"/>
      <w:divBdr>
        <w:top w:val="none" w:sz="0" w:space="0" w:color="auto"/>
        <w:left w:val="none" w:sz="0" w:space="0" w:color="auto"/>
        <w:bottom w:val="none" w:sz="0" w:space="0" w:color="auto"/>
        <w:right w:val="none" w:sz="0" w:space="0" w:color="auto"/>
      </w:divBdr>
    </w:div>
    <w:div w:id="2062249659">
      <w:bodyDiv w:val="1"/>
      <w:marLeft w:val="0"/>
      <w:marRight w:val="0"/>
      <w:marTop w:val="0"/>
      <w:marBottom w:val="0"/>
      <w:divBdr>
        <w:top w:val="none" w:sz="0" w:space="0" w:color="auto"/>
        <w:left w:val="none" w:sz="0" w:space="0" w:color="auto"/>
        <w:bottom w:val="none" w:sz="0" w:space="0" w:color="auto"/>
        <w:right w:val="none" w:sz="0" w:space="0" w:color="auto"/>
      </w:divBdr>
    </w:div>
    <w:div w:id="213556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ervicesaustralia.gov.au/HPO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DC957-650D-430B-ABB8-0616F9915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20821</Words>
  <Characters>118682</Characters>
  <Application>Microsoft Office Word</Application>
  <DocSecurity>0</DocSecurity>
  <Lines>989</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139225</CharactersWithSpaces>
  <SharedDoc>false</SharedDoc>
  <HLinks>
    <vt:vector size="6" baseType="variant">
      <vt:variant>
        <vt:i4>6225935</vt:i4>
      </vt:variant>
      <vt:variant>
        <vt:i4>234</vt:i4>
      </vt:variant>
      <vt:variant>
        <vt:i4>0</vt:i4>
      </vt:variant>
      <vt:variant>
        <vt:i4>5</vt:i4>
      </vt:variant>
      <vt:variant>
        <vt:lpwstr>https://www.servicesaustralia.gov.au/HPOS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2024-06-21T05:56:00Z</dcterms:created>
  <dcterms:modified xsi:type="dcterms:W3CDTF">2024-07-03T23:53:00Z</dcterms:modified>
</cp:coreProperties>
</file>