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F438802" w:rsidR="00872E8F" w:rsidRPr="001C33E7" w:rsidRDefault="009B10C0" w:rsidP="003910D0">
      <w:pPr>
        <w:pStyle w:val="1MainTitle"/>
        <w:ind w:left="993" w:hanging="993"/>
        <w:jc w:val="left"/>
      </w:pPr>
      <w:r w:rsidRPr="001C33E7">
        <w:t>11</w:t>
      </w:r>
      <w:r w:rsidR="70971A32" w:rsidRPr="001C33E7">
        <w:t>.</w:t>
      </w:r>
      <w:r w:rsidRPr="001C33E7">
        <w:t>01</w:t>
      </w:r>
      <w:r w:rsidR="00872E8F" w:rsidRPr="001C33E7">
        <w:tab/>
      </w:r>
      <w:r w:rsidR="00BB7EC0" w:rsidRPr="001C33E7">
        <w:t>AMINO ACID FORMULA SUPPLEMENTED WITH PREBIOTICS, PROBIOTICS AND LONG CHAIN POLYUNSATURATED FATTY ACIDS</w:t>
      </w:r>
      <w:r w:rsidR="70971A32" w:rsidRPr="001C33E7">
        <w:t>,</w:t>
      </w:r>
      <w:r w:rsidR="00872E8F" w:rsidRPr="001C33E7">
        <w:br/>
      </w:r>
      <w:r w:rsidR="00BB7EC0" w:rsidRPr="001C33E7">
        <w:t>Oral powder 400 g (Neocate Syneo)</w:t>
      </w:r>
      <w:r w:rsidR="70971A32" w:rsidRPr="001C33E7">
        <w:t>,</w:t>
      </w:r>
      <w:r w:rsidR="00872E8F" w:rsidRPr="001C33E7">
        <w:br/>
      </w:r>
      <w:bookmarkStart w:id="0" w:name="_Hlk161754613"/>
      <w:r w:rsidR="00BB7EC0" w:rsidRPr="001C33E7">
        <w:t>Neocate® Syneo</w:t>
      </w:r>
      <w:bookmarkEnd w:id="0"/>
      <w:r w:rsidR="70971A32" w:rsidRPr="001C33E7">
        <w:t>,</w:t>
      </w:r>
      <w:r w:rsidR="00872E8F" w:rsidRPr="001C33E7">
        <w:br/>
      </w:r>
      <w:r w:rsidR="00BB7EC0" w:rsidRPr="001C33E7">
        <w:t>NUTRICIA AUSTRALIA PTY LIMITED</w:t>
      </w:r>
    </w:p>
    <w:p w14:paraId="5F4D54C1" w14:textId="471C29A4" w:rsidR="00E11F44" w:rsidRPr="001C33E7" w:rsidRDefault="007E490F" w:rsidP="0010291A">
      <w:pPr>
        <w:pStyle w:val="2-SectionHeading"/>
      </w:pPr>
      <w:r w:rsidRPr="001C33E7">
        <w:t xml:space="preserve">Purpose of </w:t>
      </w:r>
      <w:r w:rsidR="00FA0B04" w:rsidRPr="001C33E7">
        <w:t>Submission</w:t>
      </w:r>
    </w:p>
    <w:p w14:paraId="7F3F0ACD" w14:textId="1DF202C5" w:rsidR="0012008B" w:rsidRPr="001C33E7" w:rsidRDefault="0012008B" w:rsidP="0010291A">
      <w:pPr>
        <w:pStyle w:val="3-BodyText"/>
      </w:pPr>
      <w:r w:rsidRPr="001C33E7">
        <w:t xml:space="preserve">The Committee Secretariat submission requested that </w:t>
      </w:r>
      <w:r w:rsidR="00E90C0D" w:rsidRPr="001C33E7">
        <w:t xml:space="preserve">the new formulation for </w:t>
      </w:r>
      <w:r w:rsidRPr="001C33E7">
        <w:t xml:space="preserve">amino acid formula supplemented with prebiotics, </w:t>
      </w:r>
      <w:proofErr w:type="gramStart"/>
      <w:r w:rsidRPr="001C33E7">
        <w:t>probiotics</w:t>
      </w:r>
      <w:proofErr w:type="gramEnd"/>
      <w:r w:rsidRPr="001C33E7">
        <w:t xml:space="preserve"> and long chain polyunsaturated fatty acids (Neocate® Syneo) continue to be listed on the Pharmaceutical Benefits Scheme (PBS) under the same conditions of the existing formulation.</w:t>
      </w:r>
    </w:p>
    <w:p w14:paraId="0889F363" w14:textId="502A7137" w:rsidR="00581075" w:rsidRPr="001C33E7" w:rsidRDefault="00581075" w:rsidP="0010291A">
      <w:pPr>
        <w:pStyle w:val="3-BodyText"/>
      </w:pPr>
      <w:r w:rsidRPr="001C33E7">
        <w:t>The submission stated that the reason for the change to the Neocate Syneo formula is to increase the similarity of the formula with human milk. This is done by replacing some dried glucose syrup with synthetic human milk oligosaccharide 2’-fucosyllactose (2’-FL), which</w:t>
      </w:r>
      <w:r w:rsidR="00445128" w:rsidRPr="001C33E7">
        <w:t xml:space="preserve"> the submission claimed</w:t>
      </w:r>
      <w:r w:rsidRPr="001C33E7">
        <w:t xml:space="preserve"> may provide anti-inflammatory and </w:t>
      </w:r>
      <w:r w:rsidR="00AB597A" w:rsidRPr="001C33E7">
        <w:t>immune</w:t>
      </w:r>
      <w:r w:rsidR="00154F16">
        <w:noBreakHyphen/>
      </w:r>
      <w:r w:rsidRPr="001C33E7">
        <w:t>modulatory effects.</w:t>
      </w:r>
    </w:p>
    <w:p w14:paraId="3D1D4320" w14:textId="77777777" w:rsidR="007E490F" w:rsidRPr="001C33E7" w:rsidRDefault="007E490F" w:rsidP="00D52353">
      <w:pPr>
        <w:pStyle w:val="2-SectionHeading"/>
        <w:numPr>
          <w:ilvl w:val="0"/>
          <w:numId w:val="1"/>
        </w:numPr>
        <w:jc w:val="both"/>
      </w:pPr>
      <w:r w:rsidRPr="001C33E7">
        <w:t xml:space="preserve">Background </w:t>
      </w:r>
    </w:p>
    <w:p w14:paraId="592676D2" w14:textId="7EE587F3" w:rsidR="0012008B" w:rsidRPr="001C33E7" w:rsidRDefault="0012008B" w:rsidP="0010291A">
      <w:pPr>
        <w:pStyle w:val="3-BodyText"/>
      </w:pPr>
      <w:r w:rsidRPr="001C33E7">
        <w:rPr>
          <w:rFonts w:cstheme="minorHAnsi"/>
          <w:szCs w:val="24"/>
        </w:rPr>
        <w:t>Neocate Syneo</w:t>
      </w:r>
      <w:r w:rsidRPr="001C33E7">
        <w:t xml:space="preserve"> was recommended by the PBAC at its July 2017 meeting and is currently listed on the PBS as Authority Required for the treatment of:</w:t>
      </w:r>
    </w:p>
    <w:p w14:paraId="33A93A2B" w14:textId="77777777" w:rsidR="0012008B" w:rsidRPr="001C33E7" w:rsidRDefault="0012008B" w:rsidP="00451280">
      <w:pPr>
        <w:pStyle w:val="ListParagraph"/>
        <w:jc w:val="both"/>
      </w:pPr>
      <w:r w:rsidRPr="001C33E7">
        <w:t>Cows' milk protein enteropathy</w:t>
      </w:r>
    </w:p>
    <w:p w14:paraId="7E296254" w14:textId="77777777" w:rsidR="0012008B" w:rsidRPr="001C33E7" w:rsidRDefault="0012008B" w:rsidP="00451280">
      <w:pPr>
        <w:pStyle w:val="ListParagraph"/>
        <w:jc w:val="both"/>
      </w:pPr>
      <w:r w:rsidRPr="001C33E7">
        <w:t>Severe cows' milk protein enteropathy with failure to thrive</w:t>
      </w:r>
    </w:p>
    <w:p w14:paraId="14AE2123" w14:textId="77777777" w:rsidR="0012008B" w:rsidRPr="001C33E7" w:rsidRDefault="0012008B" w:rsidP="00451280">
      <w:pPr>
        <w:pStyle w:val="ListParagraph"/>
        <w:jc w:val="both"/>
      </w:pPr>
      <w:r w:rsidRPr="001C33E7">
        <w:t>Combined intolerance to cows' milk protein, soy protein and protein hydrolysate formulae</w:t>
      </w:r>
    </w:p>
    <w:p w14:paraId="7739EF7D" w14:textId="77777777" w:rsidR="0012008B" w:rsidRPr="001C33E7" w:rsidRDefault="0012008B" w:rsidP="00451280">
      <w:pPr>
        <w:pStyle w:val="ListParagraph"/>
        <w:jc w:val="both"/>
      </w:pPr>
      <w:r w:rsidRPr="001C33E7">
        <w:t>Proven combined immunoglobulin E (IgE) mediated allergy to cows' milk protein and soy protein</w:t>
      </w:r>
    </w:p>
    <w:p w14:paraId="04A57BF6" w14:textId="77777777" w:rsidR="0012008B" w:rsidRPr="001C33E7" w:rsidRDefault="0012008B" w:rsidP="00451280">
      <w:pPr>
        <w:pStyle w:val="ListParagraph"/>
        <w:jc w:val="both"/>
      </w:pPr>
      <w:r w:rsidRPr="001C33E7">
        <w:t xml:space="preserve">Cows' milk anaphylaxis </w:t>
      </w:r>
    </w:p>
    <w:p w14:paraId="5B912F0F" w14:textId="77777777" w:rsidR="0012008B" w:rsidRPr="001C33E7" w:rsidRDefault="0012008B" w:rsidP="00451280">
      <w:pPr>
        <w:pStyle w:val="ListParagraph"/>
        <w:jc w:val="both"/>
      </w:pPr>
      <w:r w:rsidRPr="001C33E7">
        <w:t>Severe intestinal malabsorption including short bowel syndrome</w:t>
      </w:r>
    </w:p>
    <w:p w14:paraId="0D840E7A" w14:textId="20117C7F" w:rsidR="00221824" w:rsidRPr="001C33E7" w:rsidRDefault="0012008B" w:rsidP="00451280">
      <w:pPr>
        <w:pStyle w:val="ListParagraph"/>
        <w:jc w:val="both"/>
      </w:pPr>
      <w:r w:rsidRPr="001C33E7">
        <w:t xml:space="preserve">Eosinophilic oesophagitis </w:t>
      </w:r>
      <w:r w:rsidR="00021ED0" w:rsidRPr="001C33E7">
        <w:t>(EOE)</w:t>
      </w:r>
    </w:p>
    <w:p w14:paraId="68399D5A" w14:textId="140E4845" w:rsidR="0012008B" w:rsidRPr="001C33E7" w:rsidDel="00581075" w:rsidRDefault="0012008B" w:rsidP="0010291A">
      <w:pPr>
        <w:pStyle w:val="3-BodyText"/>
      </w:pPr>
      <w:r w:rsidRPr="001C33E7" w:rsidDel="00581075">
        <w:t xml:space="preserve">The submission confirmed that the new formulation of </w:t>
      </w:r>
      <w:r w:rsidRPr="001C33E7" w:rsidDel="00581075">
        <w:rPr>
          <w:rFonts w:cstheme="minorHAnsi"/>
          <w:szCs w:val="24"/>
        </w:rPr>
        <w:t>Neocate Syneo</w:t>
      </w:r>
      <w:r w:rsidRPr="001C33E7" w:rsidDel="00581075">
        <w:t xml:space="preserve"> continues to meet the requirements for Infant Formula Products for Special Dietary Use as set out under </w:t>
      </w:r>
      <w:r w:rsidRPr="001C33E7" w:rsidDel="00581075">
        <w:rPr>
          <w:i/>
          <w:iCs/>
        </w:rPr>
        <w:t>The Australia New Zealand Food Standards Code — Standard 2.9.1: Infant Formula Products</w:t>
      </w:r>
      <w:r w:rsidRPr="001C33E7" w:rsidDel="00581075">
        <w:t xml:space="preserve">. </w:t>
      </w:r>
    </w:p>
    <w:p w14:paraId="7291B408" w14:textId="028F95A3" w:rsidR="0012008B" w:rsidRPr="001C33E7" w:rsidDel="00581075" w:rsidRDefault="0012008B" w:rsidP="0010291A">
      <w:pPr>
        <w:pStyle w:val="3-BodyText"/>
      </w:pPr>
      <w:r w:rsidRPr="001C33E7" w:rsidDel="00581075">
        <w:lastRenderedPageBreak/>
        <w:t>As these products are marketed as nutritional products</w:t>
      </w:r>
      <w:r w:rsidRPr="001C33E7" w:rsidDel="00581075">
        <w:rPr>
          <w:rFonts w:ascii="Calibri" w:eastAsia="Times New Roman" w:hAnsi="Calibri" w:cs="Times New Roman"/>
          <w:szCs w:val="24"/>
        </w:rPr>
        <w:t xml:space="preserve"> </w:t>
      </w:r>
      <w:r w:rsidRPr="001C33E7" w:rsidDel="00581075">
        <w:t>and not therapeutic goods, they are not registered in the Australian Register of Therapeutic Goods.</w:t>
      </w:r>
    </w:p>
    <w:p w14:paraId="1B8790B6" w14:textId="77777777" w:rsidR="00964A9F" w:rsidRPr="001C33E7" w:rsidRDefault="00964A9F" w:rsidP="00964A9F">
      <w:pPr>
        <w:pStyle w:val="2-SectionHeading"/>
      </w:pPr>
      <w:r w:rsidRPr="001C33E7">
        <w:t xml:space="preserve">Requested listing </w:t>
      </w:r>
    </w:p>
    <w:p w14:paraId="4141E7F0" w14:textId="5946AA57" w:rsidR="00964A9F" w:rsidRPr="001C33E7" w:rsidRDefault="0012008B" w:rsidP="0010291A">
      <w:pPr>
        <w:pStyle w:val="3-BodyText"/>
        <w:rPr>
          <w:rFonts w:cstheme="minorHAnsi"/>
          <w:i/>
        </w:rPr>
      </w:pPr>
      <w:r w:rsidRPr="001C33E7">
        <w:t xml:space="preserve">The submission requested no changes to the existing listings for </w:t>
      </w:r>
      <w:r w:rsidRPr="001C33E7">
        <w:rPr>
          <w:rFonts w:cstheme="minorHAnsi"/>
          <w:szCs w:val="24"/>
        </w:rPr>
        <w:t>Neocate Syneo</w:t>
      </w:r>
      <w:r w:rsidRPr="001C33E7">
        <w:rPr>
          <w:rFonts w:cstheme="minorHAnsi"/>
        </w:rPr>
        <w:t xml:space="preserve"> </w:t>
      </w:r>
      <w:r w:rsidR="00AD4297" w:rsidRPr="001C33E7">
        <w:rPr>
          <w:rFonts w:cstheme="minorHAnsi"/>
        </w:rPr>
        <w:t xml:space="preserve">under </w:t>
      </w:r>
      <w:r w:rsidRPr="001C33E7">
        <w:rPr>
          <w:rFonts w:cstheme="minorHAnsi"/>
        </w:rPr>
        <w:t>PBS item codes 11331J, 11340W and 11343B.</w:t>
      </w:r>
    </w:p>
    <w:p w14:paraId="0436B7D8" w14:textId="77777777" w:rsidR="00C27C1C" w:rsidRPr="001C33E7" w:rsidRDefault="00C27C1C" w:rsidP="0010291A">
      <w:pPr>
        <w:pStyle w:val="2-SectionHeading"/>
      </w:pPr>
      <w:r w:rsidRPr="001C33E7">
        <w:t>Consideration of the evidence</w:t>
      </w:r>
    </w:p>
    <w:p w14:paraId="7DD6A9C9" w14:textId="77777777" w:rsidR="0010291A" w:rsidRPr="001C33E7" w:rsidRDefault="0010291A" w:rsidP="0010291A">
      <w:pPr>
        <w:pStyle w:val="4-SubsectionHeading"/>
        <w:rPr>
          <w:lang w:eastAsia="en-US"/>
        </w:rPr>
      </w:pPr>
      <w:r w:rsidRPr="001C33E7">
        <w:rPr>
          <w:lang w:eastAsia="en-US"/>
        </w:rPr>
        <w:t>Sponsor hearing</w:t>
      </w:r>
    </w:p>
    <w:p w14:paraId="1880DE21" w14:textId="77BDE8A5" w:rsidR="0010291A" w:rsidRPr="001C33E7" w:rsidRDefault="0010291A" w:rsidP="0010291A">
      <w:pPr>
        <w:pStyle w:val="3-BodyText"/>
        <w:rPr>
          <w:rFonts w:ascii="Calibri" w:hAnsi="Calibri" w:cs="Calibri"/>
          <w:snapToGrid w:val="0"/>
        </w:rPr>
      </w:pPr>
      <w:bookmarkStart w:id="1" w:name="_Hlk76382575"/>
      <w:r w:rsidRPr="001C33E7">
        <w:rPr>
          <w:rFonts w:ascii="Calibri" w:hAnsi="Calibri" w:cs="Calibri"/>
          <w:snapToGrid w:val="0"/>
        </w:rPr>
        <w:t>There was no hearing for this item.</w:t>
      </w:r>
    </w:p>
    <w:bookmarkEnd w:id="1"/>
    <w:p w14:paraId="22D64AB8" w14:textId="77777777" w:rsidR="0010291A" w:rsidRPr="001C33E7" w:rsidRDefault="0010291A" w:rsidP="0010291A">
      <w:pPr>
        <w:pStyle w:val="4-SubsectionHeading"/>
        <w:rPr>
          <w:lang w:eastAsia="en-US"/>
        </w:rPr>
      </w:pPr>
      <w:r w:rsidRPr="001C33E7">
        <w:rPr>
          <w:lang w:eastAsia="en-US"/>
        </w:rPr>
        <w:t>Consumer comments</w:t>
      </w:r>
    </w:p>
    <w:p w14:paraId="11FD2733" w14:textId="6A2A16D8" w:rsidR="0010291A" w:rsidRPr="001C33E7" w:rsidRDefault="0010291A" w:rsidP="00AB597A">
      <w:pPr>
        <w:pStyle w:val="3-BodyText"/>
        <w:numPr>
          <w:ilvl w:val="1"/>
          <w:numId w:val="1"/>
        </w:numPr>
        <w:rPr>
          <w:snapToGrid w:val="0"/>
        </w:rPr>
      </w:pPr>
      <w:r w:rsidRPr="001C33E7">
        <w:rPr>
          <w:snapToGrid w:val="0"/>
        </w:rPr>
        <w:t>The PBAC noted and welcomed the input from health care professionals (1)</w:t>
      </w:r>
      <w:r w:rsidR="00AB0BD6" w:rsidRPr="001C33E7">
        <w:rPr>
          <w:snapToGrid w:val="0"/>
        </w:rPr>
        <w:t>, medical</w:t>
      </w:r>
      <w:r w:rsidRPr="001C33E7">
        <w:rPr>
          <w:snapToGrid w:val="0"/>
        </w:rPr>
        <w:t xml:space="preserve"> organisations (</w:t>
      </w:r>
      <w:r w:rsidR="00AB0BD6" w:rsidRPr="001C33E7">
        <w:rPr>
          <w:snapToGrid w:val="0"/>
        </w:rPr>
        <w:t>2</w:t>
      </w:r>
      <w:r w:rsidRPr="001C33E7">
        <w:rPr>
          <w:snapToGrid w:val="0"/>
        </w:rPr>
        <w:t xml:space="preserve">) </w:t>
      </w:r>
      <w:r w:rsidR="00AB0BD6" w:rsidRPr="001C33E7">
        <w:rPr>
          <w:snapToGrid w:val="0"/>
        </w:rPr>
        <w:t xml:space="preserve">and consumer groups (1) </w:t>
      </w:r>
      <w:r w:rsidRPr="001C33E7">
        <w:rPr>
          <w:snapToGrid w:val="0"/>
        </w:rPr>
        <w:t xml:space="preserve">via the Consumer Comments facility on the PBS website. </w:t>
      </w:r>
      <w:r w:rsidR="00021ED0" w:rsidRPr="001C33E7">
        <w:rPr>
          <w:snapToGrid w:val="0"/>
        </w:rPr>
        <w:t xml:space="preserve">The PBAC noted submissions from </w:t>
      </w:r>
      <w:r w:rsidR="00A74540">
        <w:rPr>
          <w:snapToGrid w:val="0"/>
        </w:rPr>
        <w:t xml:space="preserve">the </w:t>
      </w:r>
      <w:r w:rsidR="00021ED0" w:rsidRPr="001C33E7">
        <w:rPr>
          <w:snapToGrid w:val="0"/>
        </w:rPr>
        <w:t xml:space="preserve">Australasian Society of Clinical Immunology and Allergy, </w:t>
      </w:r>
      <w:r w:rsidR="00A74540">
        <w:rPr>
          <w:snapToGrid w:val="0"/>
        </w:rPr>
        <w:t xml:space="preserve">ausEE Inc and </w:t>
      </w:r>
      <w:r w:rsidR="00021ED0" w:rsidRPr="001C33E7">
        <w:rPr>
          <w:snapToGrid w:val="0"/>
        </w:rPr>
        <w:t xml:space="preserve">a joint submission </w:t>
      </w:r>
      <w:r w:rsidR="00A74540">
        <w:rPr>
          <w:snapToGrid w:val="0"/>
        </w:rPr>
        <w:t>from</w:t>
      </w:r>
      <w:r w:rsidR="00A74540" w:rsidRPr="001C33E7">
        <w:rPr>
          <w:snapToGrid w:val="0"/>
        </w:rPr>
        <w:t xml:space="preserve"> </w:t>
      </w:r>
      <w:r w:rsidR="00021ED0" w:rsidRPr="001C33E7">
        <w:rPr>
          <w:snapToGrid w:val="0"/>
        </w:rPr>
        <w:t xml:space="preserve">the National Allergy Council and Allergy &amp; Anaphylaxis Australia. </w:t>
      </w:r>
      <w:r w:rsidRPr="001C33E7">
        <w:rPr>
          <w:snapToGrid w:val="0"/>
        </w:rPr>
        <w:t xml:space="preserve">The comments described </w:t>
      </w:r>
      <w:r w:rsidR="00EC4D16" w:rsidRPr="001C33E7">
        <w:rPr>
          <w:snapToGrid w:val="0"/>
        </w:rPr>
        <w:t xml:space="preserve">the </w:t>
      </w:r>
      <w:r w:rsidRPr="001C33E7">
        <w:rPr>
          <w:snapToGrid w:val="0"/>
        </w:rPr>
        <w:t xml:space="preserve">benefits of treatment with </w:t>
      </w:r>
      <w:r w:rsidR="00AB0BD6" w:rsidRPr="001C33E7">
        <w:t xml:space="preserve">Neocate Syneo </w:t>
      </w:r>
      <w:r w:rsidRPr="001C33E7">
        <w:rPr>
          <w:snapToGrid w:val="0"/>
        </w:rPr>
        <w:t xml:space="preserve">including </w:t>
      </w:r>
      <w:r w:rsidR="00021ED0" w:rsidRPr="001C33E7">
        <w:rPr>
          <w:snapToGrid w:val="0"/>
        </w:rPr>
        <w:t>that its probiotic and prebiotic formula</w:t>
      </w:r>
      <w:r w:rsidR="00AB0BD6" w:rsidRPr="001C33E7">
        <w:rPr>
          <w:snapToGrid w:val="0"/>
        </w:rPr>
        <w:t xml:space="preserve"> support</w:t>
      </w:r>
      <w:r w:rsidR="00021ED0" w:rsidRPr="001C33E7">
        <w:rPr>
          <w:snapToGrid w:val="0"/>
        </w:rPr>
        <w:t>s</w:t>
      </w:r>
      <w:r w:rsidR="00AB0BD6" w:rsidRPr="001C33E7">
        <w:rPr>
          <w:snapToGrid w:val="0"/>
        </w:rPr>
        <w:t xml:space="preserve"> gut health in </w:t>
      </w:r>
      <w:r w:rsidR="00021ED0" w:rsidRPr="001C33E7">
        <w:rPr>
          <w:snapToGrid w:val="0"/>
        </w:rPr>
        <w:t>infants and children</w:t>
      </w:r>
      <w:r w:rsidR="006E786F" w:rsidRPr="001C33E7">
        <w:rPr>
          <w:snapToGrid w:val="0"/>
        </w:rPr>
        <w:t xml:space="preserve"> </w:t>
      </w:r>
      <w:r w:rsidR="00EC4D16" w:rsidRPr="001C33E7">
        <w:rPr>
          <w:snapToGrid w:val="0"/>
        </w:rPr>
        <w:t xml:space="preserve">and </w:t>
      </w:r>
      <w:r w:rsidR="006E786F" w:rsidRPr="001C33E7">
        <w:t>the variety of flavours and textures of Neocate Syneo enhances compliance, particularly in younger patients</w:t>
      </w:r>
      <w:r w:rsidRPr="001C33E7">
        <w:rPr>
          <w:snapToGrid w:val="0"/>
        </w:rPr>
        <w:t>.</w:t>
      </w:r>
      <w:r w:rsidR="00021ED0" w:rsidRPr="001C33E7">
        <w:rPr>
          <w:snapToGrid w:val="0"/>
        </w:rPr>
        <w:t xml:space="preserve"> </w:t>
      </w:r>
      <w:r w:rsidR="006E786F" w:rsidRPr="001C33E7">
        <w:rPr>
          <w:snapToGrid w:val="0"/>
        </w:rPr>
        <w:t>The consumer comments raised concerns about recent supply chain issues and a shrinking range of nutritional products in Australia for the management of cows</w:t>
      </w:r>
      <w:r w:rsidR="006357B2">
        <w:rPr>
          <w:snapToGrid w:val="0"/>
        </w:rPr>
        <w:t>’</w:t>
      </w:r>
      <w:r w:rsidR="006E786F" w:rsidRPr="001C33E7">
        <w:rPr>
          <w:snapToGrid w:val="0"/>
        </w:rPr>
        <w:t xml:space="preserve"> milk allergy, EOE, </w:t>
      </w:r>
      <w:r w:rsidR="006E786F" w:rsidRPr="001C33E7">
        <w:t>severe intestinal malabsorption</w:t>
      </w:r>
      <w:r w:rsidR="006E786F" w:rsidRPr="001C33E7">
        <w:rPr>
          <w:snapToGrid w:val="0"/>
        </w:rPr>
        <w:t xml:space="preserve"> and other food allergies and noted </w:t>
      </w:r>
      <w:r w:rsidR="00021ED0" w:rsidRPr="001C33E7">
        <w:rPr>
          <w:snapToGrid w:val="0"/>
        </w:rPr>
        <w:t xml:space="preserve">the importance of having multiple products available for those people with </w:t>
      </w:r>
      <w:r w:rsidR="00AB597A" w:rsidRPr="001C33E7">
        <w:rPr>
          <w:snapToGrid w:val="0"/>
        </w:rPr>
        <w:t xml:space="preserve">these indications in addition to </w:t>
      </w:r>
      <w:r w:rsidR="00021ED0" w:rsidRPr="001C33E7">
        <w:rPr>
          <w:snapToGrid w:val="0"/>
        </w:rPr>
        <w:t xml:space="preserve">the other indications of </w:t>
      </w:r>
      <w:r w:rsidR="00021ED0" w:rsidRPr="001C33E7">
        <w:t>Neocate Syneo</w:t>
      </w:r>
      <w:r w:rsidR="006E786F" w:rsidRPr="001C33E7">
        <w:t>.</w:t>
      </w:r>
    </w:p>
    <w:p w14:paraId="10BDE262" w14:textId="454023AA" w:rsidR="0012008B" w:rsidRPr="001C33E7" w:rsidRDefault="0012008B" w:rsidP="002E5374">
      <w:pPr>
        <w:pStyle w:val="4-SubsectionHeading"/>
        <w:rPr>
          <w:lang w:eastAsia="en-US"/>
        </w:rPr>
      </w:pPr>
      <w:r w:rsidRPr="001C33E7">
        <w:rPr>
          <w:lang w:eastAsia="en-US"/>
        </w:rPr>
        <w:t>Nutritional profile</w:t>
      </w:r>
    </w:p>
    <w:p w14:paraId="5FA27775" w14:textId="2E12B827" w:rsidR="0012008B" w:rsidRPr="001C33E7" w:rsidRDefault="0012008B" w:rsidP="0010291A">
      <w:pPr>
        <w:pStyle w:val="3-BodyText"/>
        <w:rPr>
          <w:i/>
          <w:iCs/>
          <w:lang w:eastAsia="en-US"/>
        </w:rPr>
      </w:pPr>
      <w:r w:rsidRPr="001C33E7">
        <w:rPr>
          <w:lang w:eastAsia="en-US"/>
        </w:rPr>
        <w:t xml:space="preserve">A comparison of the new and previous formulation of </w:t>
      </w:r>
      <w:r w:rsidR="00AD4297" w:rsidRPr="001C33E7">
        <w:rPr>
          <w:rFonts w:cstheme="minorHAnsi"/>
          <w:szCs w:val="24"/>
        </w:rPr>
        <w:t>Neocate Syneo</w:t>
      </w:r>
      <w:r w:rsidR="00AD4297" w:rsidRPr="001C33E7">
        <w:rPr>
          <w:rFonts w:cstheme="minorHAnsi"/>
        </w:rPr>
        <w:t xml:space="preserve"> </w:t>
      </w:r>
      <w:r w:rsidRPr="001C33E7">
        <w:rPr>
          <w:lang w:eastAsia="en-US"/>
        </w:rPr>
        <w:t xml:space="preserve">is provided at </w:t>
      </w:r>
      <w:r w:rsidR="00F558C2" w:rsidRPr="001C33E7">
        <w:rPr>
          <w:lang w:eastAsia="en-US"/>
        </w:rPr>
        <w:fldChar w:fldCharType="begin" w:fldLock="1"/>
      </w:r>
      <w:r w:rsidR="00F558C2" w:rsidRPr="001C33E7">
        <w:rPr>
          <w:lang w:eastAsia="en-US"/>
        </w:rPr>
        <w:instrText xml:space="preserve"> REF _Ref161932649 \h </w:instrText>
      </w:r>
      <w:r w:rsidR="00F558C2" w:rsidRPr="001C33E7">
        <w:rPr>
          <w:lang w:eastAsia="en-US"/>
        </w:rPr>
      </w:r>
      <w:r w:rsidR="00F558C2" w:rsidRPr="001C33E7">
        <w:rPr>
          <w:lang w:eastAsia="en-US"/>
        </w:rPr>
        <w:fldChar w:fldCharType="separate"/>
      </w:r>
      <w:r w:rsidR="00F558C2" w:rsidRPr="001C33E7">
        <w:t xml:space="preserve">Table </w:t>
      </w:r>
      <w:r w:rsidR="00F558C2" w:rsidRPr="005C4051">
        <w:t>1</w:t>
      </w:r>
      <w:r w:rsidR="00F558C2" w:rsidRPr="001C33E7">
        <w:rPr>
          <w:lang w:eastAsia="en-US"/>
        </w:rPr>
        <w:fldChar w:fldCharType="end"/>
      </w:r>
      <w:r w:rsidRPr="001C33E7">
        <w:rPr>
          <w:lang w:eastAsia="en-US"/>
        </w:rPr>
        <w:t>.</w:t>
      </w:r>
    </w:p>
    <w:p w14:paraId="6B39D405" w14:textId="0E6258A0" w:rsidR="0012008B" w:rsidRPr="001C33E7" w:rsidRDefault="0012008B" w:rsidP="00F558C2">
      <w:pPr>
        <w:pStyle w:val="TableFigureHeading"/>
      </w:pPr>
      <w:bookmarkStart w:id="2" w:name="_Ref161932649"/>
      <w:r w:rsidRPr="001C33E7">
        <w:t xml:space="preserve">Table </w:t>
      </w:r>
      <w:fldSimple w:instr=" SEQ Table \* ARABIC " w:fldLock="1">
        <w:r w:rsidR="00F558C2" w:rsidRPr="005C4051">
          <w:t>1</w:t>
        </w:r>
      </w:fldSimple>
      <w:bookmarkEnd w:id="2"/>
      <w:r w:rsidR="00AD4297" w:rsidRPr="001C33E7">
        <w:t xml:space="preserve">: Neocate Syneo </w:t>
      </w:r>
      <w:r w:rsidRPr="001C33E7">
        <w:t>reformulation</w:t>
      </w:r>
      <w:r w:rsidR="00AD4297" w:rsidRPr="001C33E7">
        <w:t xml:space="preserve"> – nutritional comparison</w:t>
      </w:r>
    </w:p>
    <w:tbl>
      <w:tblPr>
        <w:tblStyle w:val="TableGrid"/>
        <w:tblW w:w="0" w:type="auto"/>
        <w:tblLook w:val="04A0" w:firstRow="1" w:lastRow="0" w:firstColumn="1" w:lastColumn="0" w:noHBand="0" w:noVBand="1"/>
      </w:tblPr>
      <w:tblGrid>
        <w:gridCol w:w="3060"/>
        <w:gridCol w:w="1897"/>
        <w:gridCol w:w="1984"/>
        <w:gridCol w:w="2075"/>
      </w:tblGrid>
      <w:tr w:rsidR="0012008B" w:rsidRPr="001C33E7" w14:paraId="725CBFF6" w14:textId="77777777" w:rsidTr="0010291A">
        <w:trPr>
          <w:trHeight w:val="285"/>
          <w:tblHeader/>
        </w:trPr>
        <w:tc>
          <w:tcPr>
            <w:tcW w:w="3060" w:type="dxa"/>
            <w:vMerge w:val="restart"/>
            <w:shd w:val="clear" w:color="auto" w:fill="BFBFBF" w:themeFill="background1" w:themeFillShade="BF"/>
            <w:noWrap/>
            <w:vAlign w:val="center"/>
            <w:hideMark/>
          </w:tcPr>
          <w:p w14:paraId="2487A18E" w14:textId="77777777" w:rsidR="0012008B" w:rsidRPr="001C33E7" w:rsidRDefault="0012008B" w:rsidP="00F558C2">
            <w:pPr>
              <w:pStyle w:val="TableFigureHeading"/>
              <w:keepNext w:val="0"/>
            </w:pPr>
            <w:r w:rsidRPr="001C33E7">
              <w:t>Nutrient</w:t>
            </w:r>
          </w:p>
        </w:tc>
        <w:tc>
          <w:tcPr>
            <w:tcW w:w="5956" w:type="dxa"/>
            <w:gridSpan w:val="3"/>
            <w:shd w:val="clear" w:color="auto" w:fill="BFBFBF" w:themeFill="background1" w:themeFillShade="BF"/>
            <w:vAlign w:val="center"/>
            <w:hideMark/>
          </w:tcPr>
          <w:p w14:paraId="024D810F" w14:textId="2BE50548" w:rsidR="0012008B" w:rsidRPr="001C33E7" w:rsidRDefault="0012008B" w:rsidP="00F558C2">
            <w:pPr>
              <w:pStyle w:val="TableFigureHeading"/>
              <w:keepNext w:val="0"/>
            </w:pPr>
            <w:r w:rsidRPr="001C33E7">
              <w:t xml:space="preserve">Product nutritional content (per </w:t>
            </w:r>
            <w:r w:rsidR="00AD4297" w:rsidRPr="001C33E7">
              <w:t>100 g</w:t>
            </w:r>
            <w:r w:rsidRPr="001C33E7">
              <w:t>)</w:t>
            </w:r>
          </w:p>
        </w:tc>
      </w:tr>
      <w:tr w:rsidR="0012008B" w:rsidRPr="001C33E7" w14:paraId="0BC56C7D" w14:textId="77777777" w:rsidTr="0010291A">
        <w:trPr>
          <w:trHeight w:val="463"/>
          <w:tblHeader/>
        </w:trPr>
        <w:tc>
          <w:tcPr>
            <w:tcW w:w="3060" w:type="dxa"/>
            <w:vMerge/>
            <w:shd w:val="clear" w:color="auto" w:fill="BFBFBF" w:themeFill="background1" w:themeFillShade="BF"/>
            <w:vAlign w:val="center"/>
            <w:hideMark/>
          </w:tcPr>
          <w:p w14:paraId="6B3D4451" w14:textId="77777777" w:rsidR="0012008B" w:rsidRPr="001C33E7" w:rsidRDefault="0012008B" w:rsidP="00F558C2">
            <w:pPr>
              <w:pStyle w:val="TableFigureHeading"/>
              <w:keepNext w:val="0"/>
            </w:pPr>
          </w:p>
        </w:tc>
        <w:tc>
          <w:tcPr>
            <w:tcW w:w="1897" w:type="dxa"/>
            <w:shd w:val="clear" w:color="auto" w:fill="BFBFBF" w:themeFill="background1" w:themeFillShade="BF"/>
            <w:vAlign w:val="center"/>
            <w:hideMark/>
          </w:tcPr>
          <w:p w14:paraId="2872C340" w14:textId="1B7573C2" w:rsidR="0012008B" w:rsidRPr="001C33E7" w:rsidRDefault="00AD4297" w:rsidP="00F558C2">
            <w:pPr>
              <w:pStyle w:val="TableFigureHeading"/>
              <w:keepNext w:val="0"/>
            </w:pPr>
            <w:r w:rsidRPr="001C33E7">
              <w:t>Neocate Syneo New</w:t>
            </w:r>
          </w:p>
        </w:tc>
        <w:tc>
          <w:tcPr>
            <w:tcW w:w="1984" w:type="dxa"/>
            <w:shd w:val="clear" w:color="auto" w:fill="BFBFBF" w:themeFill="background1" w:themeFillShade="BF"/>
            <w:vAlign w:val="center"/>
            <w:hideMark/>
          </w:tcPr>
          <w:p w14:paraId="55B93069" w14:textId="764E1461" w:rsidR="0012008B" w:rsidRPr="001C33E7" w:rsidRDefault="00AD4297" w:rsidP="00F558C2">
            <w:pPr>
              <w:pStyle w:val="TableFigureHeading"/>
              <w:keepNext w:val="0"/>
            </w:pPr>
            <w:r w:rsidRPr="001C33E7">
              <w:t>Neocate Syneo Current</w:t>
            </w:r>
          </w:p>
        </w:tc>
        <w:tc>
          <w:tcPr>
            <w:tcW w:w="2075" w:type="dxa"/>
            <w:shd w:val="clear" w:color="auto" w:fill="BFBFBF" w:themeFill="background1" w:themeFillShade="BF"/>
            <w:vAlign w:val="center"/>
            <w:hideMark/>
          </w:tcPr>
          <w:p w14:paraId="3C8314E5" w14:textId="3145253C" w:rsidR="0012008B" w:rsidRPr="001C33E7" w:rsidRDefault="0012008B" w:rsidP="00F558C2">
            <w:pPr>
              <w:pStyle w:val="TableFigureHeading"/>
              <w:keepNext w:val="0"/>
              <w:rPr>
                <w:rFonts w:cs="Arial Narrow"/>
                <w:i/>
                <w:iCs/>
                <w:lang w:eastAsia="en-US"/>
              </w:rPr>
            </w:pPr>
            <w:r w:rsidRPr="001C33E7">
              <w:rPr>
                <w:rFonts w:cs="Arial Narrow"/>
                <w:i/>
                <w:iCs/>
                <w:lang w:eastAsia="en-US"/>
              </w:rPr>
              <w:t>New formula</w:t>
            </w:r>
            <w:r w:rsidR="003910D0" w:rsidRPr="001C33E7">
              <w:rPr>
                <w:rFonts w:cs="Arial Narrow"/>
                <w:i/>
                <w:iCs/>
                <w:lang w:eastAsia="en-US"/>
              </w:rPr>
              <w:t xml:space="preserve"> to c</w:t>
            </w:r>
            <w:r w:rsidRPr="001C33E7">
              <w:rPr>
                <w:rFonts w:cs="Arial Narrow"/>
                <w:i/>
                <w:iCs/>
                <w:lang w:eastAsia="en-US"/>
              </w:rPr>
              <w:t xml:space="preserve">urrent formula </w:t>
            </w:r>
            <w:r w:rsidR="003910D0" w:rsidRPr="001C33E7">
              <w:rPr>
                <w:rFonts w:cs="Arial Narrow"/>
                <w:i/>
                <w:iCs/>
                <w:lang w:eastAsia="en-US"/>
              </w:rPr>
              <w:t>difference</w:t>
            </w:r>
          </w:p>
        </w:tc>
      </w:tr>
      <w:tr w:rsidR="00AD4297" w:rsidRPr="001C33E7" w14:paraId="2288BC98" w14:textId="77777777" w:rsidTr="00C6320A">
        <w:trPr>
          <w:trHeight w:val="255"/>
        </w:trPr>
        <w:tc>
          <w:tcPr>
            <w:tcW w:w="3060" w:type="dxa"/>
            <w:noWrap/>
            <w:vAlign w:val="bottom"/>
          </w:tcPr>
          <w:p w14:paraId="2FDF9BFA" w14:textId="29F19451" w:rsidR="00AD4297" w:rsidRPr="001C33E7" w:rsidRDefault="00AD4297" w:rsidP="00F558C2">
            <w:pPr>
              <w:pStyle w:val="TableText0"/>
              <w:keepNext w:val="0"/>
            </w:pPr>
            <w:r w:rsidRPr="001C33E7">
              <w:t>Energy (kcal)</w:t>
            </w:r>
          </w:p>
        </w:tc>
        <w:tc>
          <w:tcPr>
            <w:tcW w:w="1897" w:type="dxa"/>
            <w:noWrap/>
            <w:vAlign w:val="bottom"/>
          </w:tcPr>
          <w:p w14:paraId="306F91E0" w14:textId="0A603716" w:rsidR="00AD4297" w:rsidRPr="001C33E7" w:rsidRDefault="00AD4297" w:rsidP="00F558C2">
            <w:pPr>
              <w:pStyle w:val="TableText0"/>
              <w:keepNext w:val="0"/>
            </w:pPr>
            <w:r w:rsidRPr="001C33E7">
              <w:t>474</w:t>
            </w:r>
          </w:p>
        </w:tc>
        <w:tc>
          <w:tcPr>
            <w:tcW w:w="1984" w:type="dxa"/>
            <w:noWrap/>
            <w:vAlign w:val="bottom"/>
          </w:tcPr>
          <w:p w14:paraId="433BFFDD" w14:textId="049E79E9" w:rsidR="00AD4297" w:rsidRPr="001C33E7" w:rsidRDefault="00AD4297" w:rsidP="00F558C2">
            <w:pPr>
              <w:pStyle w:val="TableText0"/>
              <w:keepNext w:val="0"/>
            </w:pPr>
            <w:r w:rsidRPr="001C33E7">
              <w:t>464</w:t>
            </w:r>
          </w:p>
        </w:tc>
        <w:tc>
          <w:tcPr>
            <w:tcW w:w="2075" w:type="dxa"/>
            <w:noWrap/>
            <w:vAlign w:val="bottom"/>
          </w:tcPr>
          <w:p w14:paraId="6FD391AE" w14:textId="2F627BD4" w:rsidR="00AD4297" w:rsidRPr="001C33E7" w:rsidRDefault="00AD4297" w:rsidP="00F558C2">
            <w:pPr>
              <w:pStyle w:val="TableText0"/>
              <w:keepNext w:val="0"/>
            </w:pPr>
            <w:r w:rsidRPr="001C33E7">
              <w:t>102%</w:t>
            </w:r>
          </w:p>
        </w:tc>
      </w:tr>
      <w:tr w:rsidR="00AD4297" w:rsidRPr="001C33E7" w14:paraId="657D6EB0" w14:textId="77777777" w:rsidTr="00C6320A">
        <w:trPr>
          <w:trHeight w:val="255"/>
        </w:trPr>
        <w:tc>
          <w:tcPr>
            <w:tcW w:w="3060" w:type="dxa"/>
            <w:noWrap/>
            <w:vAlign w:val="bottom"/>
            <w:hideMark/>
          </w:tcPr>
          <w:p w14:paraId="72B7DAC6" w14:textId="5B59FA04" w:rsidR="00AD4297" w:rsidRPr="001C33E7" w:rsidRDefault="00AD4297" w:rsidP="00F558C2">
            <w:pPr>
              <w:pStyle w:val="TableText0"/>
              <w:keepNext w:val="0"/>
            </w:pPr>
            <w:r w:rsidRPr="001C33E7">
              <w:t>Energy (kJ)</w:t>
            </w:r>
          </w:p>
        </w:tc>
        <w:tc>
          <w:tcPr>
            <w:tcW w:w="1897" w:type="dxa"/>
            <w:noWrap/>
            <w:vAlign w:val="bottom"/>
          </w:tcPr>
          <w:p w14:paraId="1250C9AE" w14:textId="7440562C" w:rsidR="00AD4297" w:rsidRPr="001C33E7" w:rsidRDefault="00AD4297" w:rsidP="00F558C2">
            <w:pPr>
              <w:pStyle w:val="TableText0"/>
              <w:keepNext w:val="0"/>
            </w:pPr>
            <w:r w:rsidRPr="001C33E7">
              <w:t>1985</w:t>
            </w:r>
          </w:p>
        </w:tc>
        <w:tc>
          <w:tcPr>
            <w:tcW w:w="1984" w:type="dxa"/>
            <w:noWrap/>
            <w:vAlign w:val="bottom"/>
          </w:tcPr>
          <w:p w14:paraId="4055D37B" w14:textId="47231F72" w:rsidR="00AD4297" w:rsidRPr="001C33E7" w:rsidRDefault="00AD4297" w:rsidP="00F558C2">
            <w:pPr>
              <w:pStyle w:val="TableText0"/>
              <w:keepNext w:val="0"/>
            </w:pPr>
            <w:r w:rsidRPr="001C33E7">
              <w:t>1941</w:t>
            </w:r>
          </w:p>
        </w:tc>
        <w:tc>
          <w:tcPr>
            <w:tcW w:w="2075" w:type="dxa"/>
            <w:noWrap/>
            <w:vAlign w:val="bottom"/>
          </w:tcPr>
          <w:p w14:paraId="379EE329" w14:textId="4893D53F" w:rsidR="00AD4297" w:rsidRPr="001C33E7" w:rsidRDefault="00AD4297" w:rsidP="00F558C2">
            <w:pPr>
              <w:pStyle w:val="TableText0"/>
              <w:keepNext w:val="0"/>
            </w:pPr>
            <w:r w:rsidRPr="001C33E7">
              <w:t>102%</w:t>
            </w:r>
          </w:p>
        </w:tc>
      </w:tr>
      <w:tr w:rsidR="00AD4297" w:rsidRPr="001C33E7" w14:paraId="213372EC" w14:textId="77777777" w:rsidTr="00C6320A">
        <w:trPr>
          <w:trHeight w:val="255"/>
        </w:trPr>
        <w:tc>
          <w:tcPr>
            <w:tcW w:w="3060" w:type="dxa"/>
            <w:noWrap/>
            <w:vAlign w:val="bottom"/>
            <w:hideMark/>
          </w:tcPr>
          <w:p w14:paraId="180C4B21" w14:textId="1BF09829" w:rsidR="00AD4297" w:rsidRPr="001C33E7" w:rsidRDefault="00AD4297" w:rsidP="00F558C2">
            <w:pPr>
              <w:pStyle w:val="TableText0"/>
              <w:keepNext w:val="0"/>
            </w:pPr>
            <w:r w:rsidRPr="001C33E7">
              <w:t>Protein (g)</w:t>
            </w:r>
          </w:p>
        </w:tc>
        <w:tc>
          <w:tcPr>
            <w:tcW w:w="1897" w:type="dxa"/>
            <w:noWrap/>
            <w:vAlign w:val="bottom"/>
          </w:tcPr>
          <w:p w14:paraId="2AAAE7C3" w14:textId="51AA04FB" w:rsidR="00AD4297" w:rsidRPr="001C33E7" w:rsidRDefault="00AD4297" w:rsidP="00F558C2">
            <w:pPr>
              <w:pStyle w:val="TableText0"/>
              <w:keepNext w:val="0"/>
            </w:pPr>
            <w:r w:rsidRPr="001C33E7">
              <w:t>13.2</w:t>
            </w:r>
          </w:p>
        </w:tc>
        <w:tc>
          <w:tcPr>
            <w:tcW w:w="1984" w:type="dxa"/>
            <w:noWrap/>
            <w:vAlign w:val="bottom"/>
          </w:tcPr>
          <w:p w14:paraId="7989F535" w14:textId="1A332EB5" w:rsidR="00AD4297" w:rsidRPr="001C33E7" w:rsidRDefault="00AD4297" w:rsidP="00F558C2">
            <w:pPr>
              <w:pStyle w:val="TableText0"/>
              <w:keepNext w:val="0"/>
            </w:pPr>
            <w:r w:rsidRPr="001C33E7">
              <w:t>13</w:t>
            </w:r>
          </w:p>
        </w:tc>
        <w:tc>
          <w:tcPr>
            <w:tcW w:w="2075" w:type="dxa"/>
            <w:noWrap/>
            <w:vAlign w:val="bottom"/>
          </w:tcPr>
          <w:p w14:paraId="3C90FC7F" w14:textId="4DA4C3D4" w:rsidR="00AD4297" w:rsidRPr="001C33E7" w:rsidRDefault="00AD4297" w:rsidP="00F558C2">
            <w:pPr>
              <w:pStyle w:val="TableText0"/>
              <w:keepNext w:val="0"/>
            </w:pPr>
            <w:r w:rsidRPr="001C33E7">
              <w:t>102%</w:t>
            </w:r>
          </w:p>
        </w:tc>
      </w:tr>
      <w:tr w:rsidR="00AD4297" w:rsidRPr="001C33E7" w14:paraId="43059D46" w14:textId="77777777" w:rsidTr="00C6320A">
        <w:trPr>
          <w:trHeight w:val="255"/>
        </w:trPr>
        <w:tc>
          <w:tcPr>
            <w:tcW w:w="3060" w:type="dxa"/>
            <w:noWrap/>
            <w:vAlign w:val="bottom"/>
            <w:hideMark/>
          </w:tcPr>
          <w:p w14:paraId="4DCC98F5" w14:textId="3841FA3B" w:rsidR="00AD4297" w:rsidRPr="001C33E7" w:rsidRDefault="00AD4297" w:rsidP="00F558C2">
            <w:pPr>
              <w:pStyle w:val="TableText0"/>
              <w:keepNext w:val="0"/>
            </w:pPr>
            <w:r w:rsidRPr="001C33E7">
              <w:t>Carbohydrate (g)</w:t>
            </w:r>
          </w:p>
        </w:tc>
        <w:tc>
          <w:tcPr>
            <w:tcW w:w="1897" w:type="dxa"/>
            <w:noWrap/>
            <w:vAlign w:val="bottom"/>
          </w:tcPr>
          <w:p w14:paraId="3D14C4F2" w14:textId="1049567F" w:rsidR="00AD4297" w:rsidRPr="001C33E7" w:rsidRDefault="00AD4297" w:rsidP="00F558C2">
            <w:pPr>
              <w:pStyle w:val="TableText0"/>
              <w:keepNext w:val="0"/>
            </w:pPr>
            <w:r w:rsidRPr="001C33E7">
              <w:t>50.2</w:t>
            </w:r>
          </w:p>
        </w:tc>
        <w:tc>
          <w:tcPr>
            <w:tcW w:w="1984" w:type="dxa"/>
            <w:noWrap/>
            <w:vAlign w:val="bottom"/>
          </w:tcPr>
          <w:p w14:paraId="60D45EDD" w14:textId="47066519" w:rsidR="00AD4297" w:rsidRPr="001C33E7" w:rsidRDefault="00AD4297" w:rsidP="00F558C2">
            <w:pPr>
              <w:pStyle w:val="TableText0"/>
              <w:keepNext w:val="0"/>
            </w:pPr>
            <w:r w:rsidRPr="001C33E7">
              <w:t>49</w:t>
            </w:r>
          </w:p>
        </w:tc>
        <w:tc>
          <w:tcPr>
            <w:tcW w:w="2075" w:type="dxa"/>
            <w:noWrap/>
            <w:vAlign w:val="bottom"/>
          </w:tcPr>
          <w:p w14:paraId="4E483427" w14:textId="2F4DF9B3" w:rsidR="00AD4297" w:rsidRPr="001C33E7" w:rsidRDefault="00AD4297" w:rsidP="00F558C2">
            <w:pPr>
              <w:pStyle w:val="TableText0"/>
              <w:keepNext w:val="0"/>
            </w:pPr>
            <w:r w:rsidRPr="001C33E7">
              <w:t>102%</w:t>
            </w:r>
          </w:p>
        </w:tc>
      </w:tr>
      <w:tr w:rsidR="00AD4297" w:rsidRPr="001C33E7" w14:paraId="69CCA6C7" w14:textId="77777777" w:rsidTr="00C6320A">
        <w:trPr>
          <w:trHeight w:val="255"/>
        </w:trPr>
        <w:tc>
          <w:tcPr>
            <w:tcW w:w="3060" w:type="dxa"/>
            <w:noWrap/>
            <w:vAlign w:val="bottom"/>
            <w:hideMark/>
          </w:tcPr>
          <w:p w14:paraId="496F6FDB" w14:textId="1255DDD4" w:rsidR="00AD4297" w:rsidRPr="001C33E7" w:rsidRDefault="00AD4297" w:rsidP="00F558C2">
            <w:pPr>
              <w:pStyle w:val="TableText0"/>
              <w:keepNext w:val="0"/>
            </w:pPr>
            <w:r w:rsidRPr="001C33E7">
              <w:t>Of which sugars (g)</w:t>
            </w:r>
          </w:p>
        </w:tc>
        <w:tc>
          <w:tcPr>
            <w:tcW w:w="1897" w:type="dxa"/>
            <w:noWrap/>
            <w:vAlign w:val="bottom"/>
          </w:tcPr>
          <w:p w14:paraId="5322EDD6" w14:textId="3FD92356" w:rsidR="00AD4297" w:rsidRPr="001C33E7" w:rsidRDefault="00AD4297" w:rsidP="00F558C2">
            <w:pPr>
              <w:pStyle w:val="TableText0"/>
              <w:keepNext w:val="0"/>
            </w:pPr>
            <w:r w:rsidRPr="001C33E7">
              <w:t>4.7</w:t>
            </w:r>
          </w:p>
        </w:tc>
        <w:tc>
          <w:tcPr>
            <w:tcW w:w="1984" w:type="dxa"/>
            <w:noWrap/>
            <w:vAlign w:val="bottom"/>
          </w:tcPr>
          <w:p w14:paraId="7E0B1D4E" w14:textId="51B167F9" w:rsidR="00AD4297" w:rsidRPr="001C33E7" w:rsidRDefault="00AD4297" w:rsidP="00F558C2">
            <w:pPr>
              <w:pStyle w:val="TableText0"/>
              <w:keepNext w:val="0"/>
            </w:pPr>
            <w:r w:rsidRPr="001C33E7">
              <w:t>4.6</w:t>
            </w:r>
          </w:p>
        </w:tc>
        <w:tc>
          <w:tcPr>
            <w:tcW w:w="2075" w:type="dxa"/>
            <w:noWrap/>
            <w:vAlign w:val="bottom"/>
          </w:tcPr>
          <w:p w14:paraId="0B702F20" w14:textId="57249F38" w:rsidR="00AD4297" w:rsidRPr="001C33E7" w:rsidRDefault="00AD4297" w:rsidP="00F558C2">
            <w:pPr>
              <w:pStyle w:val="TableText0"/>
              <w:keepNext w:val="0"/>
            </w:pPr>
            <w:r w:rsidRPr="001C33E7">
              <w:t>102%</w:t>
            </w:r>
          </w:p>
        </w:tc>
      </w:tr>
      <w:tr w:rsidR="00AD4297" w:rsidRPr="001C33E7" w14:paraId="6F3CDB24" w14:textId="77777777" w:rsidTr="00C6320A">
        <w:trPr>
          <w:trHeight w:val="255"/>
        </w:trPr>
        <w:tc>
          <w:tcPr>
            <w:tcW w:w="3060" w:type="dxa"/>
            <w:noWrap/>
            <w:vAlign w:val="bottom"/>
            <w:hideMark/>
          </w:tcPr>
          <w:p w14:paraId="6B271D6C" w14:textId="415188F2" w:rsidR="00AD4297" w:rsidRPr="001C33E7" w:rsidRDefault="00AD4297" w:rsidP="00F558C2">
            <w:pPr>
              <w:pStyle w:val="TableText0"/>
              <w:keepNext w:val="0"/>
            </w:pPr>
            <w:r w:rsidRPr="001C33E7">
              <w:t>Fat (g)</w:t>
            </w:r>
          </w:p>
        </w:tc>
        <w:tc>
          <w:tcPr>
            <w:tcW w:w="1897" w:type="dxa"/>
            <w:noWrap/>
            <w:vAlign w:val="bottom"/>
          </w:tcPr>
          <w:p w14:paraId="56A09F1C" w14:textId="67D93423" w:rsidR="00AD4297" w:rsidRPr="001C33E7" w:rsidRDefault="00AD4297" w:rsidP="00F558C2">
            <w:pPr>
              <w:pStyle w:val="TableText0"/>
              <w:keepNext w:val="0"/>
            </w:pPr>
            <w:r w:rsidRPr="001C33E7">
              <w:t>23.6</w:t>
            </w:r>
          </w:p>
        </w:tc>
        <w:tc>
          <w:tcPr>
            <w:tcW w:w="1984" w:type="dxa"/>
            <w:noWrap/>
            <w:vAlign w:val="bottom"/>
          </w:tcPr>
          <w:p w14:paraId="6B04DE25" w14:textId="54D03B9D" w:rsidR="00AD4297" w:rsidRPr="001C33E7" w:rsidRDefault="00AD4297" w:rsidP="00F558C2">
            <w:pPr>
              <w:pStyle w:val="TableText0"/>
              <w:keepNext w:val="0"/>
            </w:pPr>
            <w:r w:rsidRPr="001C33E7">
              <w:t>23</w:t>
            </w:r>
          </w:p>
        </w:tc>
        <w:tc>
          <w:tcPr>
            <w:tcW w:w="2075" w:type="dxa"/>
            <w:noWrap/>
            <w:vAlign w:val="bottom"/>
          </w:tcPr>
          <w:p w14:paraId="34CB1DA4" w14:textId="2E658248" w:rsidR="00AD4297" w:rsidRPr="001C33E7" w:rsidRDefault="00AD4297" w:rsidP="00F558C2">
            <w:pPr>
              <w:pStyle w:val="TableText0"/>
              <w:keepNext w:val="0"/>
            </w:pPr>
            <w:r w:rsidRPr="001C33E7">
              <w:t>103%</w:t>
            </w:r>
          </w:p>
        </w:tc>
      </w:tr>
      <w:tr w:rsidR="00AD4297" w:rsidRPr="001C33E7" w14:paraId="5AAE2886" w14:textId="77777777" w:rsidTr="00C6320A">
        <w:trPr>
          <w:trHeight w:val="255"/>
        </w:trPr>
        <w:tc>
          <w:tcPr>
            <w:tcW w:w="3060" w:type="dxa"/>
            <w:noWrap/>
            <w:vAlign w:val="bottom"/>
            <w:hideMark/>
          </w:tcPr>
          <w:p w14:paraId="0CAFE79F" w14:textId="3756B5D3" w:rsidR="00AD4297" w:rsidRPr="001C33E7" w:rsidRDefault="00AD4297" w:rsidP="00F558C2">
            <w:pPr>
              <w:pStyle w:val="TableText0"/>
              <w:keepNext w:val="0"/>
            </w:pPr>
            <w:r w:rsidRPr="001C33E7">
              <w:t>Saturates (g)</w:t>
            </w:r>
          </w:p>
        </w:tc>
        <w:tc>
          <w:tcPr>
            <w:tcW w:w="1897" w:type="dxa"/>
            <w:noWrap/>
            <w:vAlign w:val="bottom"/>
          </w:tcPr>
          <w:p w14:paraId="535575D5" w14:textId="37FCFBAA" w:rsidR="00AD4297" w:rsidRPr="001C33E7" w:rsidRDefault="00AD4297" w:rsidP="00F558C2">
            <w:pPr>
              <w:pStyle w:val="TableText0"/>
              <w:keepNext w:val="0"/>
            </w:pPr>
            <w:r w:rsidRPr="001C33E7">
              <w:t>10.5</w:t>
            </w:r>
          </w:p>
        </w:tc>
        <w:tc>
          <w:tcPr>
            <w:tcW w:w="1984" w:type="dxa"/>
            <w:noWrap/>
            <w:vAlign w:val="bottom"/>
          </w:tcPr>
          <w:p w14:paraId="109659A1" w14:textId="28BF3457" w:rsidR="00AD4297" w:rsidRPr="001C33E7" w:rsidRDefault="00AD4297" w:rsidP="00F558C2">
            <w:pPr>
              <w:pStyle w:val="TableText0"/>
              <w:keepNext w:val="0"/>
            </w:pPr>
            <w:r w:rsidRPr="001C33E7">
              <w:t>9.7</w:t>
            </w:r>
          </w:p>
        </w:tc>
        <w:tc>
          <w:tcPr>
            <w:tcW w:w="2075" w:type="dxa"/>
            <w:noWrap/>
            <w:vAlign w:val="bottom"/>
          </w:tcPr>
          <w:p w14:paraId="72F92284" w14:textId="521B4C22" w:rsidR="00AD4297" w:rsidRPr="001C33E7" w:rsidRDefault="00AD4297" w:rsidP="00F558C2">
            <w:pPr>
              <w:pStyle w:val="TableText0"/>
              <w:keepNext w:val="0"/>
            </w:pPr>
            <w:r w:rsidRPr="001C33E7">
              <w:t>108%</w:t>
            </w:r>
          </w:p>
        </w:tc>
      </w:tr>
      <w:tr w:rsidR="00AD4297" w:rsidRPr="001C33E7" w14:paraId="1ACE0AF5" w14:textId="77777777" w:rsidTr="00C6320A">
        <w:trPr>
          <w:trHeight w:val="255"/>
        </w:trPr>
        <w:tc>
          <w:tcPr>
            <w:tcW w:w="3060" w:type="dxa"/>
            <w:noWrap/>
            <w:vAlign w:val="bottom"/>
            <w:hideMark/>
          </w:tcPr>
          <w:p w14:paraId="66557F35" w14:textId="1639A389" w:rsidR="00AD4297" w:rsidRPr="001C33E7" w:rsidRDefault="00AD4297" w:rsidP="00F558C2">
            <w:pPr>
              <w:pStyle w:val="TableText0"/>
              <w:keepNext w:val="0"/>
            </w:pPr>
            <w:r w:rsidRPr="001C33E7">
              <w:t>Of which MCT (g)</w:t>
            </w:r>
          </w:p>
        </w:tc>
        <w:tc>
          <w:tcPr>
            <w:tcW w:w="1897" w:type="dxa"/>
            <w:noWrap/>
            <w:vAlign w:val="bottom"/>
          </w:tcPr>
          <w:p w14:paraId="78FE0EFC" w14:textId="3E31384B" w:rsidR="00AD4297" w:rsidRPr="001C33E7" w:rsidRDefault="00AD4297" w:rsidP="00F558C2">
            <w:pPr>
              <w:pStyle w:val="TableText0"/>
              <w:keepNext w:val="0"/>
            </w:pPr>
            <w:r w:rsidRPr="001C33E7">
              <w:t>7.36</w:t>
            </w:r>
          </w:p>
        </w:tc>
        <w:tc>
          <w:tcPr>
            <w:tcW w:w="1984" w:type="dxa"/>
            <w:noWrap/>
            <w:vAlign w:val="bottom"/>
          </w:tcPr>
          <w:p w14:paraId="4591C79E" w14:textId="7A0C2717" w:rsidR="00AD4297" w:rsidRPr="001C33E7" w:rsidRDefault="00AD4297" w:rsidP="00F558C2">
            <w:pPr>
              <w:pStyle w:val="TableText0"/>
              <w:keepNext w:val="0"/>
            </w:pPr>
            <w:r w:rsidRPr="001C33E7">
              <w:t>7.3</w:t>
            </w:r>
          </w:p>
        </w:tc>
        <w:tc>
          <w:tcPr>
            <w:tcW w:w="2075" w:type="dxa"/>
            <w:noWrap/>
            <w:vAlign w:val="bottom"/>
          </w:tcPr>
          <w:p w14:paraId="04A3CBCC" w14:textId="710951B0" w:rsidR="00AD4297" w:rsidRPr="001C33E7" w:rsidRDefault="00AD4297" w:rsidP="00F558C2">
            <w:pPr>
              <w:pStyle w:val="TableText0"/>
              <w:keepNext w:val="0"/>
            </w:pPr>
            <w:r w:rsidRPr="001C33E7">
              <w:t>101%</w:t>
            </w:r>
          </w:p>
        </w:tc>
      </w:tr>
      <w:tr w:rsidR="00AD4297" w:rsidRPr="001C33E7" w14:paraId="13EC4693" w14:textId="77777777" w:rsidTr="00C6320A">
        <w:trPr>
          <w:trHeight w:val="255"/>
        </w:trPr>
        <w:tc>
          <w:tcPr>
            <w:tcW w:w="3060" w:type="dxa"/>
            <w:noWrap/>
            <w:vAlign w:val="bottom"/>
            <w:hideMark/>
          </w:tcPr>
          <w:p w14:paraId="6D87152B" w14:textId="01F8B2C5" w:rsidR="00AD4297" w:rsidRPr="001C33E7" w:rsidRDefault="00AD4297" w:rsidP="00F558C2">
            <w:pPr>
              <w:pStyle w:val="TableText0"/>
              <w:keepNext w:val="0"/>
              <w:rPr>
                <w:b/>
              </w:rPr>
            </w:pPr>
            <w:r w:rsidRPr="001C33E7">
              <w:t>Monounsaturated (g)</w:t>
            </w:r>
          </w:p>
        </w:tc>
        <w:tc>
          <w:tcPr>
            <w:tcW w:w="1897" w:type="dxa"/>
            <w:noWrap/>
            <w:vAlign w:val="bottom"/>
          </w:tcPr>
          <w:p w14:paraId="72440D5A" w14:textId="4696D1A6" w:rsidR="00AD4297" w:rsidRPr="001C33E7" w:rsidRDefault="00AD4297" w:rsidP="00F558C2">
            <w:pPr>
              <w:pStyle w:val="TableText0"/>
              <w:keepNext w:val="0"/>
              <w:rPr>
                <w:b/>
              </w:rPr>
            </w:pPr>
            <w:r w:rsidRPr="001C33E7">
              <w:t>9.3</w:t>
            </w:r>
          </w:p>
        </w:tc>
        <w:tc>
          <w:tcPr>
            <w:tcW w:w="1984" w:type="dxa"/>
            <w:noWrap/>
            <w:vAlign w:val="bottom"/>
          </w:tcPr>
          <w:p w14:paraId="37C123EA" w14:textId="45116880" w:rsidR="00AD4297" w:rsidRPr="001C33E7" w:rsidRDefault="00AD4297" w:rsidP="00F558C2">
            <w:pPr>
              <w:pStyle w:val="TableText0"/>
              <w:keepNext w:val="0"/>
              <w:rPr>
                <w:b/>
              </w:rPr>
            </w:pPr>
            <w:r w:rsidRPr="001C33E7">
              <w:t>7.8</w:t>
            </w:r>
          </w:p>
        </w:tc>
        <w:tc>
          <w:tcPr>
            <w:tcW w:w="2075" w:type="dxa"/>
            <w:noWrap/>
            <w:vAlign w:val="bottom"/>
          </w:tcPr>
          <w:p w14:paraId="078BA958" w14:textId="60843269" w:rsidR="00AD4297" w:rsidRPr="001C33E7" w:rsidRDefault="00AD4297" w:rsidP="00F558C2">
            <w:pPr>
              <w:pStyle w:val="TableText0"/>
              <w:keepNext w:val="0"/>
            </w:pPr>
            <w:r w:rsidRPr="001C33E7">
              <w:t>119%</w:t>
            </w:r>
          </w:p>
        </w:tc>
      </w:tr>
      <w:tr w:rsidR="00AD4297" w:rsidRPr="001C33E7" w14:paraId="71D115C0" w14:textId="77777777" w:rsidTr="00C6320A">
        <w:trPr>
          <w:trHeight w:val="64"/>
        </w:trPr>
        <w:tc>
          <w:tcPr>
            <w:tcW w:w="3060" w:type="dxa"/>
            <w:vAlign w:val="bottom"/>
            <w:hideMark/>
          </w:tcPr>
          <w:p w14:paraId="6A5C3251" w14:textId="345DA51A" w:rsidR="00AD4297" w:rsidRPr="001C33E7" w:rsidRDefault="00AD4297" w:rsidP="00F558C2">
            <w:pPr>
              <w:pStyle w:val="TableText0"/>
              <w:keepNext w:val="0"/>
            </w:pPr>
            <w:r w:rsidRPr="001C33E7">
              <w:t>Polyunsaturated (g)</w:t>
            </w:r>
          </w:p>
        </w:tc>
        <w:tc>
          <w:tcPr>
            <w:tcW w:w="1897" w:type="dxa"/>
            <w:vAlign w:val="bottom"/>
          </w:tcPr>
          <w:p w14:paraId="6E03411D" w14:textId="652876B6" w:rsidR="00AD4297" w:rsidRPr="001C33E7" w:rsidRDefault="00AD4297" w:rsidP="00F558C2">
            <w:pPr>
              <w:pStyle w:val="TableText0"/>
              <w:keepNext w:val="0"/>
            </w:pPr>
            <w:r w:rsidRPr="001C33E7">
              <w:t>3.8</w:t>
            </w:r>
          </w:p>
        </w:tc>
        <w:tc>
          <w:tcPr>
            <w:tcW w:w="1984" w:type="dxa"/>
            <w:vAlign w:val="bottom"/>
          </w:tcPr>
          <w:p w14:paraId="0DE5E0C3" w14:textId="487A158A" w:rsidR="00AD4297" w:rsidRPr="001C33E7" w:rsidRDefault="00AD4297" w:rsidP="00F558C2">
            <w:pPr>
              <w:pStyle w:val="TableText0"/>
              <w:keepNext w:val="0"/>
            </w:pPr>
            <w:r w:rsidRPr="001C33E7">
              <w:t>4.5</w:t>
            </w:r>
          </w:p>
        </w:tc>
        <w:tc>
          <w:tcPr>
            <w:tcW w:w="2075" w:type="dxa"/>
            <w:noWrap/>
            <w:vAlign w:val="bottom"/>
          </w:tcPr>
          <w:p w14:paraId="46EC499E" w14:textId="633C8323" w:rsidR="00AD4297" w:rsidRPr="001C33E7" w:rsidRDefault="00AD4297" w:rsidP="00F558C2">
            <w:pPr>
              <w:pStyle w:val="TableText0"/>
              <w:keepNext w:val="0"/>
            </w:pPr>
            <w:r w:rsidRPr="001C33E7">
              <w:t>84%</w:t>
            </w:r>
          </w:p>
        </w:tc>
      </w:tr>
      <w:tr w:rsidR="00AD4297" w:rsidRPr="001C33E7" w14:paraId="6BA500B0" w14:textId="77777777" w:rsidTr="00C6320A">
        <w:trPr>
          <w:trHeight w:val="255"/>
        </w:trPr>
        <w:tc>
          <w:tcPr>
            <w:tcW w:w="3060" w:type="dxa"/>
            <w:vAlign w:val="bottom"/>
            <w:hideMark/>
          </w:tcPr>
          <w:p w14:paraId="7D3C6167" w14:textId="45CAEA1E" w:rsidR="00AD4297" w:rsidRPr="001C33E7" w:rsidRDefault="00AD4297" w:rsidP="00F558C2">
            <w:pPr>
              <w:pStyle w:val="TableText0"/>
              <w:keepNext w:val="0"/>
            </w:pPr>
            <w:r w:rsidRPr="001C33E7">
              <w:lastRenderedPageBreak/>
              <w:t>Of which Linoleic acid (LA) (g)</w:t>
            </w:r>
          </w:p>
        </w:tc>
        <w:tc>
          <w:tcPr>
            <w:tcW w:w="1897" w:type="dxa"/>
            <w:vAlign w:val="bottom"/>
          </w:tcPr>
          <w:p w14:paraId="1071B9F6" w14:textId="24FC47AC" w:rsidR="00AD4297" w:rsidRPr="001C33E7" w:rsidRDefault="00AD4297" w:rsidP="00F558C2">
            <w:pPr>
              <w:pStyle w:val="TableText0"/>
              <w:keepNext w:val="0"/>
            </w:pPr>
            <w:r w:rsidRPr="001C33E7">
              <w:t>3.09</w:t>
            </w:r>
          </w:p>
        </w:tc>
        <w:tc>
          <w:tcPr>
            <w:tcW w:w="1984" w:type="dxa"/>
            <w:vAlign w:val="bottom"/>
          </w:tcPr>
          <w:p w14:paraId="75F7CA7C" w14:textId="77128450" w:rsidR="00AD4297" w:rsidRPr="001C33E7" w:rsidRDefault="00AD4297" w:rsidP="00F558C2">
            <w:pPr>
              <w:pStyle w:val="TableText0"/>
              <w:keepNext w:val="0"/>
            </w:pPr>
            <w:r w:rsidRPr="001C33E7">
              <w:t>3.3</w:t>
            </w:r>
          </w:p>
        </w:tc>
        <w:tc>
          <w:tcPr>
            <w:tcW w:w="2075" w:type="dxa"/>
            <w:noWrap/>
            <w:vAlign w:val="bottom"/>
          </w:tcPr>
          <w:p w14:paraId="3E1FF91F" w14:textId="773EEC92" w:rsidR="00AD4297" w:rsidRPr="001C33E7" w:rsidRDefault="00AD4297" w:rsidP="00F558C2">
            <w:pPr>
              <w:pStyle w:val="TableText0"/>
              <w:keepNext w:val="0"/>
            </w:pPr>
            <w:r w:rsidRPr="001C33E7">
              <w:t>94%</w:t>
            </w:r>
          </w:p>
        </w:tc>
      </w:tr>
      <w:tr w:rsidR="00AD4297" w:rsidRPr="001C33E7" w14:paraId="35B591C3" w14:textId="77777777" w:rsidTr="00C6320A">
        <w:trPr>
          <w:trHeight w:val="255"/>
        </w:trPr>
        <w:tc>
          <w:tcPr>
            <w:tcW w:w="3060" w:type="dxa"/>
            <w:vAlign w:val="bottom"/>
            <w:hideMark/>
          </w:tcPr>
          <w:p w14:paraId="34184564" w14:textId="33CDBF84" w:rsidR="00AD4297" w:rsidRPr="001C33E7" w:rsidRDefault="00AD4297" w:rsidP="00F558C2">
            <w:pPr>
              <w:pStyle w:val="TableText0"/>
              <w:keepNext w:val="0"/>
            </w:pPr>
            <w:r w:rsidRPr="001C33E7">
              <w:t>Of which Alpha linolenic acid (ALA) (g)</w:t>
            </w:r>
          </w:p>
        </w:tc>
        <w:tc>
          <w:tcPr>
            <w:tcW w:w="1897" w:type="dxa"/>
            <w:vAlign w:val="bottom"/>
          </w:tcPr>
          <w:p w14:paraId="222AE512" w14:textId="4D1596B1" w:rsidR="00AD4297" w:rsidRPr="001C33E7" w:rsidRDefault="00AD4297" w:rsidP="00F558C2">
            <w:pPr>
              <w:pStyle w:val="TableText0"/>
              <w:keepNext w:val="0"/>
            </w:pPr>
            <w:r w:rsidRPr="001C33E7">
              <w:t>0.31</w:t>
            </w:r>
          </w:p>
        </w:tc>
        <w:tc>
          <w:tcPr>
            <w:tcW w:w="1984" w:type="dxa"/>
            <w:vAlign w:val="bottom"/>
          </w:tcPr>
          <w:p w14:paraId="62A2B1EA" w14:textId="3161F077" w:rsidR="00AD4297" w:rsidRPr="001C33E7" w:rsidRDefault="00AD4297" w:rsidP="00F558C2">
            <w:pPr>
              <w:pStyle w:val="TableText0"/>
              <w:keepNext w:val="0"/>
            </w:pPr>
            <w:r w:rsidRPr="001C33E7">
              <w:t>0.33</w:t>
            </w:r>
          </w:p>
        </w:tc>
        <w:tc>
          <w:tcPr>
            <w:tcW w:w="2075" w:type="dxa"/>
            <w:noWrap/>
            <w:vAlign w:val="bottom"/>
          </w:tcPr>
          <w:p w14:paraId="169037B3" w14:textId="4AE55B33" w:rsidR="00AD4297" w:rsidRPr="001C33E7" w:rsidRDefault="00AD4297" w:rsidP="00F558C2">
            <w:pPr>
              <w:pStyle w:val="TableText0"/>
              <w:keepNext w:val="0"/>
            </w:pPr>
            <w:r w:rsidRPr="001C33E7">
              <w:t>94%</w:t>
            </w:r>
          </w:p>
        </w:tc>
      </w:tr>
      <w:tr w:rsidR="00AD4297" w:rsidRPr="001C33E7" w14:paraId="06DC4C22" w14:textId="77777777" w:rsidTr="00C6320A">
        <w:trPr>
          <w:trHeight w:val="255"/>
        </w:trPr>
        <w:tc>
          <w:tcPr>
            <w:tcW w:w="3060" w:type="dxa"/>
            <w:vAlign w:val="bottom"/>
            <w:hideMark/>
          </w:tcPr>
          <w:p w14:paraId="11A5C779" w14:textId="5F436AE5" w:rsidR="00AD4297" w:rsidRPr="001C33E7" w:rsidRDefault="00AD4297" w:rsidP="00F558C2">
            <w:pPr>
              <w:pStyle w:val="TableText0"/>
              <w:keepNext w:val="0"/>
            </w:pPr>
            <w:r w:rsidRPr="001C33E7">
              <w:t>Fibre (g)</w:t>
            </w:r>
          </w:p>
        </w:tc>
        <w:tc>
          <w:tcPr>
            <w:tcW w:w="1897" w:type="dxa"/>
            <w:noWrap/>
            <w:vAlign w:val="bottom"/>
          </w:tcPr>
          <w:p w14:paraId="1FE23A6F" w14:textId="26057591" w:rsidR="00AD4297" w:rsidRPr="001C33E7" w:rsidRDefault="00AD4297" w:rsidP="00F558C2">
            <w:pPr>
              <w:pStyle w:val="TableText0"/>
              <w:keepNext w:val="0"/>
            </w:pPr>
            <w:r w:rsidRPr="001C33E7">
              <w:t>4.6</w:t>
            </w:r>
          </w:p>
        </w:tc>
        <w:tc>
          <w:tcPr>
            <w:tcW w:w="1984" w:type="dxa"/>
            <w:vAlign w:val="bottom"/>
          </w:tcPr>
          <w:p w14:paraId="44E8871F" w14:textId="44D0E072" w:rsidR="00AD4297" w:rsidRPr="001C33E7" w:rsidRDefault="00AD4297" w:rsidP="00F558C2">
            <w:pPr>
              <w:pStyle w:val="TableText0"/>
              <w:keepNext w:val="0"/>
            </w:pPr>
            <w:r w:rsidRPr="001C33E7">
              <w:t>4.5</w:t>
            </w:r>
          </w:p>
        </w:tc>
        <w:tc>
          <w:tcPr>
            <w:tcW w:w="2075" w:type="dxa"/>
            <w:noWrap/>
            <w:vAlign w:val="bottom"/>
          </w:tcPr>
          <w:p w14:paraId="27947F17" w14:textId="066C9F54" w:rsidR="00AD4297" w:rsidRPr="001C33E7" w:rsidRDefault="00AD4297" w:rsidP="00F558C2">
            <w:pPr>
              <w:pStyle w:val="TableText0"/>
              <w:keepNext w:val="0"/>
            </w:pPr>
            <w:r w:rsidRPr="001C33E7">
              <w:t>102%</w:t>
            </w:r>
          </w:p>
        </w:tc>
      </w:tr>
      <w:tr w:rsidR="00C6320A" w:rsidRPr="001C33E7" w14:paraId="04214E15" w14:textId="77777777" w:rsidTr="00C6320A">
        <w:trPr>
          <w:trHeight w:val="255"/>
        </w:trPr>
        <w:tc>
          <w:tcPr>
            <w:tcW w:w="0" w:type="auto"/>
            <w:gridSpan w:val="4"/>
            <w:vAlign w:val="bottom"/>
          </w:tcPr>
          <w:p w14:paraId="7C3E7BD3" w14:textId="436EA37D" w:rsidR="00C6320A" w:rsidRPr="001C33E7" w:rsidRDefault="00C6320A" w:rsidP="00F558C2">
            <w:pPr>
              <w:pStyle w:val="TableText0"/>
              <w:keepNext w:val="0"/>
            </w:pPr>
            <w:r w:rsidRPr="001C33E7">
              <w:t>Minerals</w:t>
            </w:r>
          </w:p>
        </w:tc>
      </w:tr>
      <w:tr w:rsidR="00AD4297" w:rsidRPr="001C33E7" w14:paraId="11AC5436" w14:textId="77777777" w:rsidTr="00C6320A">
        <w:trPr>
          <w:trHeight w:val="255"/>
        </w:trPr>
        <w:tc>
          <w:tcPr>
            <w:tcW w:w="3060" w:type="dxa"/>
            <w:vAlign w:val="bottom"/>
          </w:tcPr>
          <w:p w14:paraId="0CBD3BFF" w14:textId="0E8DD837" w:rsidR="00AD4297" w:rsidRPr="001C33E7" w:rsidRDefault="00AD4297" w:rsidP="00F558C2">
            <w:pPr>
              <w:pStyle w:val="TableText0"/>
              <w:keepNext w:val="0"/>
            </w:pPr>
            <w:r w:rsidRPr="001C33E7">
              <w:t>Sodium (mg)</w:t>
            </w:r>
          </w:p>
        </w:tc>
        <w:tc>
          <w:tcPr>
            <w:tcW w:w="1897" w:type="dxa"/>
            <w:vAlign w:val="bottom"/>
          </w:tcPr>
          <w:p w14:paraId="52B35A3C" w14:textId="5DB22404" w:rsidR="00AD4297" w:rsidRPr="001C33E7" w:rsidRDefault="00AD4297" w:rsidP="00F558C2">
            <w:pPr>
              <w:pStyle w:val="TableText0"/>
              <w:keepNext w:val="0"/>
            </w:pPr>
            <w:r w:rsidRPr="001C33E7">
              <w:t>209</w:t>
            </w:r>
          </w:p>
        </w:tc>
        <w:tc>
          <w:tcPr>
            <w:tcW w:w="1984" w:type="dxa"/>
            <w:vAlign w:val="bottom"/>
          </w:tcPr>
          <w:p w14:paraId="45999D44" w14:textId="61F77D77" w:rsidR="00AD4297" w:rsidRPr="001C33E7" w:rsidRDefault="00AD4297" w:rsidP="00F558C2">
            <w:pPr>
              <w:pStyle w:val="TableText0"/>
              <w:keepNext w:val="0"/>
            </w:pPr>
            <w:r w:rsidRPr="001C33E7">
              <w:t>181</w:t>
            </w:r>
          </w:p>
        </w:tc>
        <w:tc>
          <w:tcPr>
            <w:tcW w:w="2075" w:type="dxa"/>
            <w:noWrap/>
            <w:vAlign w:val="bottom"/>
          </w:tcPr>
          <w:p w14:paraId="31332201" w14:textId="6AD464AC" w:rsidR="00AD4297" w:rsidRPr="001C33E7" w:rsidRDefault="00AD4297" w:rsidP="00F558C2">
            <w:pPr>
              <w:pStyle w:val="TableText0"/>
              <w:keepNext w:val="0"/>
            </w:pPr>
            <w:r w:rsidRPr="001C33E7">
              <w:t>115%</w:t>
            </w:r>
          </w:p>
        </w:tc>
      </w:tr>
      <w:tr w:rsidR="00AD4297" w:rsidRPr="001C33E7" w14:paraId="2F8CBEA2" w14:textId="77777777" w:rsidTr="00C6320A">
        <w:trPr>
          <w:trHeight w:val="255"/>
        </w:trPr>
        <w:tc>
          <w:tcPr>
            <w:tcW w:w="3060" w:type="dxa"/>
            <w:noWrap/>
            <w:vAlign w:val="bottom"/>
            <w:hideMark/>
          </w:tcPr>
          <w:p w14:paraId="1B2758E9" w14:textId="00FBC8EF" w:rsidR="00AD4297" w:rsidRPr="001C33E7" w:rsidRDefault="00AD4297" w:rsidP="00F558C2">
            <w:pPr>
              <w:pStyle w:val="TableText0"/>
              <w:keepNext w:val="0"/>
            </w:pPr>
            <w:r w:rsidRPr="001C33E7">
              <w:t>Potassium (mg)</w:t>
            </w:r>
          </w:p>
        </w:tc>
        <w:tc>
          <w:tcPr>
            <w:tcW w:w="1897" w:type="dxa"/>
            <w:vAlign w:val="bottom"/>
          </w:tcPr>
          <w:p w14:paraId="4F8AAC73" w14:textId="10495068" w:rsidR="00AD4297" w:rsidRPr="001C33E7" w:rsidRDefault="00AD4297" w:rsidP="00F558C2">
            <w:pPr>
              <w:pStyle w:val="TableText0"/>
              <w:keepNext w:val="0"/>
            </w:pPr>
            <w:r w:rsidRPr="001C33E7">
              <w:t>520</w:t>
            </w:r>
          </w:p>
        </w:tc>
        <w:tc>
          <w:tcPr>
            <w:tcW w:w="1984" w:type="dxa"/>
            <w:vAlign w:val="bottom"/>
          </w:tcPr>
          <w:p w14:paraId="16068E66" w14:textId="426298AC" w:rsidR="00AD4297" w:rsidRPr="001C33E7" w:rsidRDefault="00AD4297" w:rsidP="00F558C2">
            <w:pPr>
              <w:pStyle w:val="TableText0"/>
              <w:keepNext w:val="0"/>
            </w:pPr>
            <w:r w:rsidRPr="001C33E7">
              <w:t>505</w:t>
            </w:r>
          </w:p>
        </w:tc>
        <w:tc>
          <w:tcPr>
            <w:tcW w:w="2075" w:type="dxa"/>
            <w:noWrap/>
            <w:vAlign w:val="bottom"/>
          </w:tcPr>
          <w:p w14:paraId="149191A2" w14:textId="05D61614" w:rsidR="00AD4297" w:rsidRPr="001C33E7" w:rsidRDefault="00AD4297" w:rsidP="00F558C2">
            <w:pPr>
              <w:pStyle w:val="TableText0"/>
              <w:keepNext w:val="0"/>
            </w:pPr>
            <w:r w:rsidRPr="001C33E7">
              <w:t>103%</w:t>
            </w:r>
          </w:p>
        </w:tc>
      </w:tr>
      <w:tr w:rsidR="00AD4297" w:rsidRPr="001C33E7" w14:paraId="30CAB58C" w14:textId="77777777" w:rsidTr="00C6320A">
        <w:trPr>
          <w:trHeight w:val="255"/>
        </w:trPr>
        <w:tc>
          <w:tcPr>
            <w:tcW w:w="3060" w:type="dxa"/>
            <w:noWrap/>
            <w:vAlign w:val="bottom"/>
            <w:hideMark/>
          </w:tcPr>
          <w:p w14:paraId="457A0AF8" w14:textId="50E3631A" w:rsidR="00AD4297" w:rsidRPr="001C33E7" w:rsidRDefault="00AD4297" w:rsidP="00F558C2">
            <w:pPr>
              <w:pStyle w:val="TableText0"/>
              <w:keepNext w:val="0"/>
            </w:pPr>
            <w:r w:rsidRPr="001C33E7">
              <w:t>Chloride (mg)</w:t>
            </w:r>
          </w:p>
        </w:tc>
        <w:tc>
          <w:tcPr>
            <w:tcW w:w="1897" w:type="dxa"/>
            <w:vAlign w:val="bottom"/>
          </w:tcPr>
          <w:p w14:paraId="760395D2" w14:textId="2BFBCD99" w:rsidR="00AD4297" w:rsidRPr="001C33E7" w:rsidRDefault="00AD4297" w:rsidP="00F558C2">
            <w:pPr>
              <w:pStyle w:val="TableText0"/>
              <w:keepNext w:val="0"/>
            </w:pPr>
            <w:r w:rsidRPr="001C33E7">
              <w:t>378</w:t>
            </w:r>
          </w:p>
        </w:tc>
        <w:tc>
          <w:tcPr>
            <w:tcW w:w="1984" w:type="dxa"/>
            <w:vAlign w:val="bottom"/>
          </w:tcPr>
          <w:p w14:paraId="02978F4E" w14:textId="25326942" w:rsidR="00AD4297" w:rsidRPr="001C33E7" w:rsidRDefault="00AD4297" w:rsidP="00F558C2">
            <w:pPr>
              <w:pStyle w:val="TableText0"/>
              <w:keepNext w:val="0"/>
            </w:pPr>
            <w:r w:rsidRPr="001C33E7">
              <w:t>370</w:t>
            </w:r>
          </w:p>
        </w:tc>
        <w:tc>
          <w:tcPr>
            <w:tcW w:w="2075" w:type="dxa"/>
            <w:noWrap/>
            <w:vAlign w:val="bottom"/>
          </w:tcPr>
          <w:p w14:paraId="0B615A1D" w14:textId="12C1DE31" w:rsidR="00AD4297" w:rsidRPr="001C33E7" w:rsidRDefault="00AD4297" w:rsidP="00F558C2">
            <w:pPr>
              <w:pStyle w:val="TableText0"/>
              <w:keepNext w:val="0"/>
            </w:pPr>
            <w:r w:rsidRPr="001C33E7">
              <w:t>102%</w:t>
            </w:r>
          </w:p>
        </w:tc>
      </w:tr>
      <w:tr w:rsidR="00AD4297" w:rsidRPr="001C33E7" w14:paraId="7A1C538E" w14:textId="77777777" w:rsidTr="00C6320A">
        <w:trPr>
          <w:trHeight w:val="255"/>
        </w:trPr>
        <w:tc>
          <w:tcPr>
            <w:tcW w:w="3060" w:type="dxa"/>
            <w:noWrap/>
            <w:vAlign w:val="bottom"/>
            <w:hideMark/>
          </w:tcPr>
          <w:p w14:paraId="6BA3905E" w14:textId="6874FE95" w:rsidR="00AD4297" w:rsidRPr="001C33E7" w:rsidRDefault="00AD4297" w:rsidP="00F558C2">
            <w:pPr>
              <w:pStyle w:val="TableText0"/>
              <w:keepNext w:val="0"/>
            </w:pPr>
            <w:r w:rsidRPr="001C33E7">
              <w:t>Calcium (mg)</w:t>
            </w:r>
          </w:p>
        </w:tc>
        <w:tc>
          <w:tcPr>
            <w:tcW w:w="1897" w:type="dxa"/>
            <w:vAlign w:val="bottom"/>
          </w:tcPr>
          <w:p w14:paraId="7CE652E7" w14:textId="196F9013" w:rsidR="00AD4297" w:rsidRPr="001C33E7" w:rsidRDefault="00AD4297" w:rsidP="00F558C2">
            <w:pPr>
              <w:pStyle w:val="TableText0"/>
              <w:keepNext w:val="0"/>
            </w:pPr>
            <w:r w:rsidRPr="001C33E7">
              <w:t>550</w:t>
            </w:r>
          </w:p>
        </w:tc>
        <w:tc>
          <w:tcPr>
            <w:tcW w:w="1984" w:type="dxa"/>
            <w:vAlign w:val="bottom"/>
          </w:tcPr>
          <w:p w14:paraId="2B076DF7" w14:textId="03C4CEAC" w:rsidR="00AD4297" w:rsidRPr="001C33E7" w:rsidRDefault="00AD4297" w:rsidP="00F558C2">
            <w:pPr>
              <w:pStyle w:val="TableText0"/>
              <w:keepNext w:val="0"/>
            </w:pPr>
            <w:r w:rsidRPr="001C33E7">
              <w:t>538</w:t>
            </w:r>
          </w:p>
        </w:tc>
        <w:tc>
          <w:tcPr>
            <w:tcW w:w="2075" w:type="dxa"/>
            <w:noWrap/>
            <w:vAlign w:val="bottom"/>
          </w:tcPr>
          <w:p w14:paraId="571274EC" w14:textId="243B8555" w:rsidR="00AD4297" w:rsidRPr="001C33E7" w:rsidRDefault="00AD4297" w:rsidP="00F558C2">
            <w:pPr>
              <w:pStyle w:val="TableText0"/>
              <w:keepNext w:val="0"/>
            </w:pPr>
            <w:r w:rsidRPr="001C33E7">
              <w:t>102%</w:t>
            </w:r>
          </w:p>
        </w:tc>
      </w:tr>
      <w:tr w:rsidR="00AD4297" w:rsidRPr="001C33E7" w14:paraId="0E550950" w14:textId="77777777" w:rsidTr="00C6320A">
        <w:trPr>
          <w:trHeight w:val="255"/>
        </w:trPr>
        <w:tc>
          <w:tcPr>
            <w:tcW w:w="3060" w:type="dxa"/>
            <w:vAlign w:val="bottom"/>
            <w:hideMark/>
          </w:tcPr>
          <w:p w14:paraId="2BBE55EA" w14:textId="59B3886B" w:rsidR="00AD4297" w:rsidRPr="001C33E7" w:rsidRDefault="00AD4297" w:rsidP="00F558C2">
            <w:pPr>
              <w:pStyle w:val="TableText0"/>
              <w:keepNext w:val="0"/>
            </w:pPr>
            <w:r w:rsidRPr="001C33E7">
              <w:t>Phosphorus (mg)</w:t>
            </w:r>
          </w:p>
        </w:tc>
        <w:tc>
          <w:tcPr>
            <w:tcW w:w="1897" w:type="dxa"/>
            <w:vAlign w:val="bottom"/>
          </w:tcPr>
          <w:p w14:paraId="3FF2B811" w14:textId="3105A8FA" w:rsidR="00AD4297" w:rsidRPr="001C33E7" w:rsidRDefault="00AD4297" w:rsidP="00F558C2">
            <w:pPr>
              <w:pStyle w:val="TableText0"/>
              <w:keepNext w:val="0"/>
            </w:pPr>
            <w:r w:rsidRPr="001C33E7">
              <w:t>358</w:t>
            </w:r>
          </w:p>
        </w:tc>
        <w:tc>
          <w:tcPr>
            <w:tcW w:w="1984" w:type="dxa"/>
            <w:vAlign w:val="bottom"/>
          </w:tcPr>
          <w:p w14:paraId="5D8C37A5" w14:textId="76E89B83" w:rsidR="00AD4297" w:rsidRPr="001C33E7" w:rsidRDefault="00AD4297" w:rsidP="00F558C2">
            <w:pPr>
              <w:pStyle w:val="TableText0"/>
              <w:keepNext w:val="0"/>
            </w:pPr>
            <w:r w:rsidRPr="001C33E7">
              <w:t>381</w:t>
            </w:r>
          </w:p>
        </w:tc>
        <w:tc>
          <w:tcPr>
            <w:tcW w:w="2075" w:type="dxa"/>
            <w:noWrap/>
            <w:vAlign w:val="bottom"/>
          </w:tcPr>
          <w:p w14:paraId="673F9C1E" w14:textId="0841C16A" w:rsidR="00AD4297" w:rsidRPr="001C33E7" w:rsidRDefault="00AD4297" w:rsidP="00F558C2">
            <w:pPr>
              <w:pStyle w:val="TableText0"/>
              <w:keepNext w:val="0"/>
            </w:pPr>
            <w:r w:rsidRPr="001C33E7">
              <w:t>94%</w:t>
            </w:r>
          </w:p>
        </w:tc>
      </w:tr>
      <w:tr w:rsidR="00AD4297" w:rsidRPr="001C33E7" w14:paraId="63ECE90D" w14:textId="77777777" w:rsidTr="00C6320A">
        <w:trPr>
          <w:trHeight w:val="255"/>
        </w:trPr>
        <w:tc>
          <w:tcPr>
            <w:tcW w:w="3060" w:type="dxa"/>
            <w:vAlign w:val="bottom"/>
            <w:hideMark/>
          </w:tcPr>
          <w:p w14:paraId="6F52F071" w14:textId="3729B23B" w:rsidR="00AD4297" w:rsidRPr="001C33E7" w:rsidRDefault="00AD4297" w:rsidP="00F558C2">
            <w:pPr>
              <w:pStyle w:val="TableText0"/>
              <w:keepNext w:val="0"/>
            </w:pPr>
            <w:r w:rsidRPr="001C33E7">
              <w:t>Magnesium (mg)</w:t>
            </w:r>
          </w:p>
        </w:tc>
        <w:tc>
          <w:tcPr>
            <w:tcW w:w="1897" w:type="dxa"/>
            <w:noWrap/>
            <w:vAlign w:val="bottom"/>
          </w:tcPr>
          <w:p w14:paraId="5BDF0999" w14:textId="0F208CB8" w:rsidR="00AD4297" w:rsidRPr="001C33E7" w:rsidRDefault="00AD4297" w:rsidP="00F558C2">
            <w:pPr>
              <w:pStyle w:val="TableText0"/>
              <w:keepNext w:val="0"/>
            </w:pPr>
            <w:r w:rsidRPr="001C33E7">
              <w:t>50</w:t>
            </w:r>
          </w:p>
        </w:tc>
        <w:tc>
          <w:tcPr>
            <w:tcW w:w="1984" w:type="dxa"/>
            <w:vAlign w:val="bottom"/>
          </w:tcPr>
          <w:p w14:paraId="168017D0" w14:textId="4FC34D0E" w:rsidR="00AD4297" w:rsidRPr="001C33E7" w:rsidRDefault="00AD4297" w:rsidP="00F558C2">
            <w:pPr>
              <w:pStyle w:val="TableText0"/>
              <w:keepNext w:val="0"/>
            </w:pPr>
            <w:r w:rsidRPr="001C33E7">
              <w:t>49.2</w:t>
            </w:r>
          </w:p>
        </w:tc>
        <w:tc>
          <w:tcPr>
            <w:tcW w:w="2075" w:type="dxa"/>
            <w:noWrap/>
            <w:vAlign w:val="bottom"/>
          </w:tcPr>
          <w:p w14:paraId="4B1E4940" w14:textId="6AC63440" w:rsidR="00AD4297" w:rsidRPr="001C33E7" w:rsidRDefault="00AD4297" w:rsidP="00F558C2">
            <w:pPr>
              <w:pStyle w:val="TableText0"/>
              <w:keepNext w:val="0"/>
            </w:pPr>
            <w:r w:rsidRPr="001C33E7">
              <w:t>102%</w:t>
            </w:r>
          </w:p>
        </w:tc>
      </w:tr>
      <w:tr w:rsidR="00AD4297" w:rsidRPr="001C33E7" w14:paraId="49953294" w14:textId="77777777" w:rsidTr="00C6320A">
        <w:trPr>
          <w:trHeight w:val="255"/>
        </w:trPr>
        <w:tc>
          <w:tcPr>
            <w:tcW w:w="3060" w:type="dxa"/>
            <w:vAlign w:val="bottom"/>
            <w:hideMark/>
          </w:tcPr>
          <w:p w14:paraId="12B57888" w14:textId="4036401E" w:rsidR="00AD4297" w:rsidRPr="001C33E7" w:rsidRDefault="00AD4297" w:rsidP="00F558C2">
            <w:pPr>
              <w:pStyle w:val="TableText0"/>
              <w:keepNext w:val="0"/>
            </w:pPr>
            <w:r w:rsidRPr="001C33E7">
              <w:t>Iron (mg)</w:t>
            </w:r>
          </w:p>
        </w:tc>
        <w:tc>
          <w:tcPr>
            <w:tcW w:w="1897" w:type="dxa"/>
            <w:noWrap/>
            <w:vAlign w:val="bottom"/>
          </w:tcPr>
          <w:p w14:paraId="56DDC6F5" w14:textId="3830E0EF" w:rsidR="00AD4297" w:rsidRPr="001C33E7" w:rsidRDefault="00AD4297" w:rsidP="00F558C2">
            <w:pPr>
              <w:pStyle w:val="TableText0"/>
              <w:keepNext w:val="0"/>
            </w:pPr>
            <w:r w:rsidRPr="001C33E7">
              <w:t>7.1</w:t>
            </w:r>
          </w:p>
        </w:tc>
        <w:tc>
          <w:tcPr>
            <w:tcW w:w="1984" w:type="dxa"/>
            <w:vAlign w:val="bottom"/>
          </w:tcPr>
          <w:p w14:paraId="15267EC5" w14:textId="054F15C9" w:rsidR="00AD4297" w:rsidRPr="001C33E7" w:rsidRDefault="00AD4297" w:rsidP="00F558C2">
            <w:pPr>
              <w:pStyle w:val="TableText0"/>
              <w:keepNext w:val="0"/>
            </w:pPr>
            <w:r w:rsidRPr="001C33E7">
              <w:t>6.9</w:t>
            </w:r>
          </w:p>
        </w:tc>
        <w:tc>
          <w:tcPr>
            <w:tcW w:w="2075" w:type="dxa"/>
            <w:noWrap/>
            <w:vAlign w:val="bottom"/>
          </w:tcPr>
          <w:p w14:paraId="00DA1646" w14:textId="0A9881A9" w:rsidR="00AD4297" w:rsidRPr="001C33E7" w:rsidRDefault="00AD4297" w:rsidP="00F558C2">
            <w:pPr>
              <w:pStyle w:val="TableText0"/>
              <w:keepNext w:val="0"/>
            </w:pPr>
            <w:r w:rsidRPr="001C33E7">
              <w:t>103%</w:t>
            </w:r>
          </w:p>
        </w:tc>
      </w:tr>
      <w:tr w:rsidR="00AD4297" w:rsidRPr="001C33E7" w14:paraId="170FE945" w14:textId="77777777" w:rsidTr="00C6320A">
        <w:trPr>
          <w:trHeight w:val="255"/>
        </w:trPr>
        <w:tc>
          <w:tcPr>
            <w:tcW w:w="3060" w:type="dxa"/>
            <w:vAlign w:val="bottom"/>
            <w:hideMark/>
          </w:tcPr>
          <w:p w14:paraId="7BC2259D" w14:textId="466F2194" w:rsidR="00AD4297" w:rsidRPr="001C33E7" w:rsidRDefault="00AD4297" w:rsidP="00F558C2">
            <w:pPr>
              <w:pStyle w:val="TableText0"/>
              <w:keepNext w:val="0"/>
            </w:pPr>
            <w:r w:rsidRPr="001C33E7">
              <w:t>Zinc (mg)</w:t>
            </w:r>
          </w:p>
        </w:tc>
        <w:tc>
          <w:tcPr>
            <w:tcW w:w="1897" w:type="dxa"/>
            <w:vAlign w:val="bottom"/>
          </w:tcPr>
          <w:p w14:paraId="6229F923" w14:textId="213AC358" w:rsidR="00AD4297" w:rsidRPr="001C33E7" w:rsidRDefault="00AD4297" w:rsidP="00F558C2">
            <w:pPr>
              <w:pStyle w:val="TableText0"/>
              <w:keepNext w:val="0"/>
            </w:pPr>
            <w:r w:rsidRPr="001C33E7">
              <w:t>5.2</w:t>
            </w:r>
          </w:p>
        </w:tc>
        <w:tc>
          <w:tcPr>
            <w:tcW w:w="1984" w:type="dxa"/>
            <w:vAlign w:val="bottom"/>
          </w:tcPr>
          <w:p w14:paraId="7F478C5A" w14:textId="45CF455B" w:rsidR="00AD4297" w:rsidRPr="001C33E7" w:rsidRDefault="00AD4297" w:rsidP="00F558C2">
            <w:pPr>
              <w:pStyle w:val="TableText0"/>
              <w:keepNext w:val="0"/>
            </w:pPr>
            <w:r w:rsidRPr="001C33E7">
              <w:t>5.1</w:t>
            </w:r>
          </w:p>
        </w:tc>
        <w:tc>
          <w:tcPr>
            <w:tcW w:w="2075" w:type="dxa"/>
            <w:noWrap/>
            <w:vAlign w:val="bottom"/>
          </w:tcPr>
          <w:p w14:paraId="76E05453" w14:textId="330140EF" w:rsidR="00AD4297" w:rsidRPr="001C33E7" w:rsidRDefault="00AD4297" w:rsidP="00F558C2">
            <w:pPr>
              <w:pStyle w:val="TableText0"/>
              <w:keepNext w:val="0"/>
            </w:pPr>
            <w:r w:rsidRPr="001C33E7">
              <w:t>102%</w:t>
            </w:r>
          </w:p>
        </w:tc>
      </w:tr>
      <w:tr w:rsidR="00AD4297" w:rsidRPr="001C33E7" w14:paraId="4AF02A77" w14:textId="77777777" w:rsidTr="00C6320A">
        <w:trPr>
          <w:trHeight w:val="255"/>
        </w:trPr>
        <w:tc>
          <w:tcPr>
            <w:tcW w:w="3060" w:type="dxa"/>
            <w:vAlign w:val="bottom"/>
            <w:hideMark/>
          </w:tcPr>
          <w:p w14:paraId="5874ABF2" w14:textId="6CCCD31E" w:rsidR="00AD4297" w:rsidRPr="001C33E7" w:rsidRDefault="00AD4297" w:rsidP="00F558C2">
            <w:pPr>
              <w:pStyle w:val="TableText0"/>
              <w:keepNext w:val="0"/>
            </w:pPr>
            <w:r w:rsidRPr="001C33E7">
              <w:t>Copper (mg)</w:t>
            </w:r>
          </w:p>
        </w:tc>
        <w:tc>
          <w:tcPr>
            <w:tcW w:w="1897" w:type="dxa"/>
            <w:vAlign w:val="bottom"/>
          </w:tcPr>
          <w:p w14:paraId="0EF53F61" w14:textId="193AD814" w:rsidR="00AD4297" w:rsidRPr="001C33E7" w:rsidRDefault="00AD4297" w:rsidP="00F558C2">
            <w:pPr>
              <w:pStyle w:val="TableText0"/>
              <w:keepNext w:val="0"/>
            </w:pPr>
            <w:r w:rsidRPr="001C33E7">
              <w:t>0.40</w:t>
            </w:r>
          </w:p>
        </w:tc>
        <w:tc>
          <w:tcPr>
            <w:tcW w:w="1984" w:type="dxa"/>
            <w:vAlign w:val="bottom"/>
          </w:tcPr>
          <w:p w14:paraId="718D2542" w14:textId="2C1CF665" w:rsidR="00AD4297" w:rsidRPr="001C33E7" w:rsidRDefault="00AD4297" w:rsidP="00F558C2">
            <w:pPr>
              <w:pStyle w:val="TableText0"/>
              <w:keepNext w:val="0"/>
            </w:pPr>
            <w:r w:rsidRPr="001C33E7">
              <w:t>0.39</w:t>
            </w:r>
          </w:p>
        </w:tc>
        <w:tc>
          <w:tcPr>
            <w:tcW w:w="2075" w:type="dxa"/>
            <w:noWrap/>
            <w:vAlign w:val="bottom"/>
          </w:tcPr>
          <w:p w14:paraId="4EDB3795" w14:textId="2A510D9B" w:rsidR="00AD4297" w:rsidRPr="001C33E7" w:rsidRDefault="00AD4297" w:rsidP="00F558C2">
            <w:pPr>
              <w:pStyle w:val="TableText0"/>
              <w:keepNext w:val="0"/>
            </w:pPr>
            <w:r w:rsidRPr="001C33E7">
              <w:t>103%</w:t>
            </w:r>
          </w:p>
        </w:tc>
      </w:tr>
      <w:tr w:rsidR="00AD4297" w:rsidRPr="001C33E7" w14:paraId="029BB220" w14:textId="77777777" w:rsidTr="00C6320A">
        <w:trPr>
          <w:trHeight w:val="255"/>
        </w:trPr>
        <w:tc>
          <w:tcPr>
            <w:tcW w:w="3060" w:type="dxa"/>
            <w:vAlign w:val="bottom"/>
            <w:hideMark/>
          </w:tcPr>
          <w:p w14:paraId="7A9A012D" w14:textId="14D242F2" w:rsidR="00AD4297" w:rsidRPr="001C33E7" w:rsidRDefault="00AD4297" w:rsidP="00F558C2">
            <w:pPr>
              <w:pStyle w:val="TableText0"/>
              <w:keepNext w:val="0"/>
            </w:pPr>
            <w:r w:rsidRPr="001C33E7">
              <w:t>Iodine (µg)</w:t>
            </w:r>
          </w:p>
        </w:tc>
        <w:tc>
          <w:tcPr>
            <w:tcW w:w="1897" w:type="dxa"/>
            <w:noWrap/>
            <w:vAlign w:val="bottom"/>
          </w:tcPr>
          <w:p w14:paraId="012C1569" w14:textId="14705A36" w:rsidR="00AD4297" w:rsidRPr="001C33E7" w:rsidRDefault="00AD4297" w:rsidP="00F558C2">
            <w:pPr>
              <w:pStyle w:val="TableText0"/>
              <w:keepNext w:val="0"/>
            </w:pPr>
            <w:r w:rsidRPr="001C33E7">
              <w:t>99.6</w:t>
            </w:r>
          </w:p>
        </w:tc>
        <w:tc>
          <w:tcPr>
            <w:tcW w:w="1984" w:type="dxa"/>
            <w:vAlign w:val="bottom"/>
          </w:tcPr>
          <w:p w14:paraId="133E0C94" w14:textId="2C54B44C" w:rsidR="00AD4297" w:rsidRPr="001C33E7" w:rsidRDefault="00AD4297" w:rsidP="00F558C2">
            <w:pPr>
              <w:pStyle w:val="TableText0"/>
              <w:keepNext w:val="0"/>
            </w:pPr>
            <w:r w:rsidRPr="001C33E7">
              <w:t>95.6</w:t>
            </w:r>
          </w:p>
        </w:tc>
        <w:tc>
          <w:tcPr>
            <w:tcW w:w="2075" w:type="dxa"/>
            <w:noWrap/>
            <w:vAlign w:val="bottom"/>
          </w:tcPr>
          <w:p w14:paraId="4E753C6B" w14:textId="2DE13BA7" w:rsidR="00AD4297" w:rsidRPr="001C33E7" w:rsidRDefault="00AD4297" w:rsidP="00F558C2">
            <w:pPr>
              <w:pStyle w:val="TableText0"/>
              <w:keepNext w:val="0"/>
            </w:pPr>
            <w:r w:rsidRPr="001C33E7">
              <w:t>104%</w:t>
            </w:r>
          </w:p>
        </w:tc>
      </w:tr>
      <w:tr w:rsidR="00AD4297" w:rsidRPr="001C33E7" w14:paraId="316CA7DC" w14:textId="77777777" w:rsidTr="00C6320A">
        <w:trPr>
          <w:trHeight w:val="255"/>
        </w:trPr>
        <w:tc>
          <w:tcPr>
            <w:tcW w:w="3060" w:type="dxa"/>
            <w:vAlign w:val="bottom"/>
            <w:hideMark/>
          </w:tcPr>
          <w:p w14:paraId="2A0D17F2" w14:textId="665E8FE0" w:rsidR="00AD4297" w:rsidRPr="001C33E7" w:rsidRDefault="00AD4297" w:rsidP="00F558C2">
            <w:pPr>
              <w:pStyle w:val="TableText0"/>
              <w:keepNext w:val="0"/>
            </w:pPr>
            <w:r w:rsidRPr="001C33E7">
              <w:t>Selenium (µg)</w:t>
            </w:r>
          </w:p>
        </w:tc>
        <w:tc>
          <w:tcPr>
            <w:tcW w:w="1897" w:type="dxa"/>
            <w:vAlign w:val="bottom"/>
          </w:tcPr>
          <w:p w14:paraId="535C59BC" w14:textId="447C1DEA" w:rsidR="00AD4297" w:rsidRPr="001C33E7" w:rsidRDefault="00AD4297" w:rsidP="00F558C2">
            <w:pPr>
              <w:pStyle w:val="TableText0"/>
              <w:keepNext w:val="0"/>
            </w:pPr>
            <w:r w:rsidRPr="001C33E7">
              <w:t>18.0</w:t>
            </w:r>
          </w:p>
        </w:tc>
        <w:tc>
          <w:tcPr>
            <w:tcW w:w="1984" w:type="dxa"/>
            <w:vAlign w:val="bottom"/>
          </w:tcPr>
          <w:p w14:paraId="18EB6255" w14:textId="20641212" w:rsidR="00AD4297" w:rsidRPr="001C33E7" w:rsidRDefault="00AD4297" w:rsidP="00F558C2">
            <w:pPr>
              <w:pStyle w:val="TableText0"/>
              <w:keepNext w:val="0"/>
            </w:pPr>
            <w:r w:rsidRPr="001C33E7">
              <w:t>13.8</w:t>
            </w:r>
          </w:p>
        </w:tc>
        <w:tc>
          <w:tcPr>
            <w:tcW w:w="2075" w:type="dxa"/>
            <w:noWrap/>
            <w:vAlign w:val="bottom"/>
          </w:tcPr>
          <w:p w14:paraId="192812F9" w14:textId="770A3698" w:rsidR="00AD4297" w:rsidRPr="001C33E7" w:rsidRDefault="00AD4297" w:rsidP="00F558C2">
            <w:pPr>
              <w:pStyle w:val="TableText0"/>
              <w:keepNext w:val="0"/>
            </w:pPr>
            <w:r w:rsidRPr="001C33E7">
              <w:t>130%</w:t>
            </w:r>
          </w:p>
        </w:tc>
      </w:tr>
      <w:tr w:rsidR="00AD4297" w:rsidRPr="001C33E7" w14:paraId="58BF4CE5" w14:textId="77777777" w:rsidTr="00C6320A">
        <w:trPr>
          <w:trHeight w:val="255"/>
        </w:trPr>
        <w:tc>
          <w:tcPr>
            <w:tcW w:w="3060" w:type="dxa"/>
            <w:vAlign w:val="bottom"/>
            <w:hideMark/>
          </w:tcPr>
          <w:p w14:paraId="30706EC0" w14:textId="12D902C7" w:rsidR="00AD4297" w:rsidRPr="001C33E7" w:rsidRDefault="00AD4297" w:rsidP="00F558C2">
            <w:pPr>
              <w:pStyle w:val="TableText0"/>
              <w:keepNext w:val="0"/>
            </w:pPr>
            <w:r w:rsidRPr="001C33E7">
              <w:t>Manganese (µg)</w:t>
            </w:r>
          </w:p>
        </w:tc>
        <w:tc>
          <w:tcPr>
            <w:tcW w:w="1897" w:type="dxa"/>
            <w:vAlign w:val="bottom"/>
          </w:tcPr>
          <w:p w14:paraId="64558EB2" w14:textId="4CA13E6F" w:rsidR="00AD4297" w:rsidRPr="001C33E7" w:rsidRDefault="00AD4297" w:rsidP="00F558C2">
            <w:pPr>
              <w:pStyle w:val="TableText0"/>
              <w:keepNext w:val="0"/>
            </w:pPr>
            <w:r w:rsidRPr="001C33E7">
              <w:t>47</w:t>
            </w:r>
          </w:p>
        </w:tc>
        <w:tc>
          <w:tcPr>
            <w:tcW w:w="1984" w:type="dxa"/>
            <w:vAlign w:val="bottom"/>
          </w:tcPr>
          <w:p w14:paraId="41501F6D" w14:textId="4BF2BE0B" w:rsidR="00AD4297" w:rsidRPr="001C33E7" w:rsidRDefault="00AD4297" w:rsidP="00F558C2">
            <w:pPr>
              <w:pStyle w:val="TableText0"/>
              <w:keepNext w:val="0"/>
            </w:pPr>
            <w:r w:rsidRPr="001C33E7">
              <w:t>190</w:t>
            </w:r>
          </w:p>
        </w:tc>
        <w:tc>
          <w:tcPr>
            <w:tcW w:w="2075" w:type="dxa"/>
            <w:noWrap/>
            <w:vAlign w:val="bottom"/>
          </w:tcPr>
          <w:p w14:paraId="39D26D7E" w14:textId="2F8FDB45" w:rsidR="00AD4297" w:rsidRPr="001C33E7" w:rsidRDefault="00AD4297" w:rsidP="00F558C2">
            <w:pPr>
              <w:pStyle w:val="TableText0"/>
              <w:keepNext w:val="0"/>
            </w:pPr>
            <w:r w:rsidRPr="001C33E7">
              <w:t>25%</w:t>
            </w:r>
          </w:p>
        </w:tc>
      </w:tr>
      <w:tr w:rsidR="00AD4297" w:rsidRPr="001C33E7" w14:paraId="4731AAFD" w14:textId="77777777" w:rsidTr="00C6320A">
        <w:trPr>
          <w:trHeight w:val="255"/>
        </w:trPr>
        <w:tc>
          <w:tcPr>
            <w:tcW w:w="3060" w:type="dxa"/>
            <w:vAlign w:val="bottom"/>
            <w:hideMark/>
          </w:tcPr>
          <w:p w14:paraId="3DF5CA07" w14:textId="53896E08" w:rsidR="00AD4297" w:rsidRPr="001C33E7" w:rsidRDefault="00AD4297" w:rsidP="00F558C2">
            <w:pPr>
              <w:pStyle w:val="TableText0"/>
              <w:keepNext w:val="0"/>
            </w:pPr>
            <w:r w:rsidRPr="001C33E7">
              <w:t>Chromium (µg)</w:t>
            </w:r>
          </w:p>
        </w:tc>
        <w:tc>
          <w:tcPr>
            <w:tcW w:w="1897" w:type="dxa"/>
            <w:vAlign w:val="bottom"/>
          </w:tcPr>
          <w:p w14:paraId="19544A68" w14:textId="27062A15" w:rsidR="00AD4297" w:rsidRPr="001C33E7" w:rsidRDefault="00AD4297" w:rsidP="00F558C2">
            <w:pPr>
              <w:pStyle w:val="TableText0"/>
              <w:keepNext w:val="0"/>
            </w:pPr>
            <w:r w:rsidRPr="001C33E7">
              <w:t>10.4</w:t>
            </w:r>
          </w:p>
        </w:tc>
        <w:tc>
          <w:tcPr>
            <w:tcW w:w="1984" w:type="dxa"/>
            <w:vAlign w:val="bottom"/>
          </w:tcPr>
          <w:p w14:paraId="51B745C8" w14:textId="544E6509" w:rsidR="00AD4297" w:rsidRPr="001C33E7" w:rsidRDefault="00AD4297" w:rsidP="00F558C2">
            <w:pPr>
              <w:pStyle w:val="TableText0"/>
              <w:keepNext w:val="0"/>
            </w:pPr>
            <w:r w:rsidRPr="001C33E7">
              <w:t>10.1</w:t>
            </w:r>
          </w:p>
        </w:tc>
        <w:tc>
          <w:tcPr>
            <w:tcW w:w="2075" w:type="dxa"/>
            <w:noWrap/>
            <w:vAlign w:val="bottom"/>
          </w:tcPr>
          <w:p w14:paraId="7EFCE6DD" w14:textId="793468F8" w:rsidR="00AD4297" w:rsidRPr="001C33E7" w:rsidRDefault="00AD4297" w:rsidP="00F558C2">
            <w:pPr>
              <w:pStyle w:val="TableText0"/>
              <w:keepNext w:val="0"/>
            </w:pPr>
            <w:r w:rsidRPr="001C33E7">
              <w:t>103%</w:t>
            </w:r>
          </w:p>
        </w:tc>
      </w:tr>
      <w:tr w:rsidR="00AD4297" w:rsidRPr="001C33E7" w14:paraId="19A0EDD7" w14:textId="77777777" w:rsidTr="00C6320A">
        <w:trPr>
          <w:trHeight w:val="255"/>
        </w:trPr>
        <w:tc>
          <w:tcPr>
            <w:tcW w:w="3060" w:type="dxa"/>
            <w:vAlign w:val="bottom"/>
            <w:hideMark/>
          </w:tcPr>
          <w:p w14:paraId="57798BBE" w14:textId="5F619777" w:rsidR="00AD4297" w:rsidRPr="001C33E7" w:rsidRDefault="00AD4297" w:rsidP="00F558C2">
            <w:pPr>
              <w:pStyle w:val="TableText0"/>
              <w:keepNext w:val="0"/>
            </w:pPr>
            <w:r w:rsidRPr="001C33E7">
              <w:t>Molybdenum (mcg)</w:t>
            </w:r>
          </w:p>
        </w:tc>
        <w:tc>
          <w:tcPr>
            <w:tcW w:w="1897" w:type="dxa"/>
            <w:vAlign w:val="bottom"/>
          </w:tcPr>
          <w:p w14:paraId="6CF2DE13" w14:textId="1CB9C12B" w:rsidR="00AD4297" w:rsidRPr="001C33E7" w:rsidRDefault="00AD4297" w:rsidP="00F558C2">
            <w:pPr>
              <w:pStyle w:val="TableText0"/>
              <w:keepNext w:val="0"/>
            </w:pPr>
            <w:r w:rsidRPr="001C33E7">
              <w:t>10.9</w:t>
            </w:r>
          </w:p>
        </w:tc>
        <w:tc>
          <w:tcPr>
            <w:tcW w:w="1984" w:type="dxa"/>
            <w:vAlign w:val="bottom"/>
          </w:tcPr>
          <w:p w14:paraId="3C3E67E1" w14:textId="7D7035DB" w:rsidR="00AD4297" w:rsidRPr="001C33E7" w:rsidRDefault="00AD4297" w:rsidP="00F558C2">
            <w:pPr>
              <w:pStyle w:val="TableText0"/>
              <w:keepNext w:val="0"/>
            </w:pPr>
            <w:r w:rsidRPr="001C33E7">
              <w:t>10.7</w:t>
            </w:r>
          </w:p>
        </w:tc>
        <w:tc>
          <w:tcPr>
            <w:tcW w:w="2075" w:type="dxa"/>
            <w:noWrap/>
            <w:vAlign w:val="bottom"/>
          </w:tcPr>
          <w:p w14:paraId="4123E8A6" w14:textId="275D312C" w:rsidR="00AD4297" w:rsidRPr="001C33E7" w:rsidRDefault="00AD4297" w:rsidP="00F558C2">
            <w:pPr>
              <w:pStyle w:val="TableText0"/>
              <w:keepNext w:val="0"/>
            </w:pPr>
            <w:r w:rsidRPr="001C33E7">
              <w:t>102%</w:t>
            </w:r>
          </w:p>
        </w:tc>
      </w:tr>
      <w:tr w:rsidR="00C6320A" w:rsidRPr="001C33E7" w14:paraId="0AE3499E" w14:textId="77777777" w:rsidTr="00C6320A">
        <w:trPr>
          <w:trHeight w:val="255"/>
        </w:trPr>
        <w:tc>
          <w:tcPr>
            <w:tcW w:w="0" w:type="auto"/>
            <w:gridSpan w:val="4"/>
            <w:vAlign w:val="bottom"/>
          </w:tcPr>
          <w:p w14:paraId="1F7FF4E9" w14:textId="71F2C36E" w:rsidR="00C6320A" w:rsidRPr="001C33E7" w:rsidRDefault="00C6320A" w:rsidP="00F558C2">
            <w:pPr>
              <w:pStyle w:val="TableText0"/>
              <w:keepNext w:val="0"/>
            </w:pPr>
            <w:r w:rsidRPr="001C33E7">
              <w:t>Vitamins</w:t>
            </w:r>
          </w:p>
        </w:tc>
      </w:tr>
      <w:tr w:rsidR="00AD4297" w:rsidRPr="001C33E7" w14:paraId="6E531258" w14:textId="77777777" w:rsidTr="00C6320A">
        <w:trPr>
          <w:trHeight w:val="255"/>
        </w:trPr>
        <w:tc>
          <w:tcPr>
            <w:tcW w:w="3060" w:type="dxa"/>
            <w:vAlign w:val="bottom"/>
          </w:tcPr>
          <w:p w14:paraId="4C8BE400" w14:textId="4DB116DA" w:rsidR="00AD4297" w:rsidRPr="001C33E7" w:rsidRDefault="00AD4297" w:rsidP="00F558C2">
            <w:pPr>
              <w:pStyle w:val="TableText0"/>
              <w:keepNext w:val="0"/>
            </w:pPr>
            <w:r w:rsidRPr="001C33E7">
              <w:t>Vitamin A (µg RE)</w:t>
            </w:r>
          </w:p>
        </w:tc>
        <w:tc>
          <w:tcPr>
            <w:tcW w:w="1897" w:type="dxa"/>
            <w:vAlign w:val="bottom"/>
          </w:tcPr>
          <w:p w14:paraId="2DB6B748" w14:textId="1DC69325" w:rsidR="00AD4297" w:rsidRPr="001C33E7" w:rsidRDefault="00AD4297" w:rsidP="00F558C2">
            <w:pPr>
              <w:pStyle w:val="TableText0"/>
              <w:keepNext w:val="0"/>
            </w:pPr>
            <w:r w:rsidRPr="001C33E7">
              <w:t>415</w:t>
            </w:r>
          </w:p>
        </w:tc>
        <w:tc>
          <w:tcPr>
            <w:tcW w:w="1984" w:type="dxa"/>
            <w:vAlign w:val="bottom"/>
          </w:tcPr>
          <w:p w14:paraId="55A2127B" w14:textId="6607C622" w:rsidR="00AD4297" w:rsidRPr="001C33E7" w:rsidRDefault="00AD4297" w:rsidP="00F558C2">
            <w:pPr>
              <w:pStyle w:val="TableText0"/>
              <w:keepNext w:val="0"/>
            </w:pPr>
            <w:r w:rsidRPr="001C33E7">
              <w:t>390</w:t>
            </w:r>
          </w:p>
        </w:tc>
        <w:tc>
          <w:tcPr>
            <w:tcW w:w="2075" w:type="dxa"/>
            <w:noWrap/>
            <w:vAlign w:val="bottom"/>
          </w:tcPr>
          <w:p w14:paraId="45ABE3E8" w14:textId="5349026F" w:rsidR="00AD4297" w:rsidRPr="001C33E7" w:rsidRDefault="00AD4297" w:rsidP="00F558C2">
            <w:pPr>
              <w:pStyle w:val="TableText0"/>
              <w:keepNext w:val="0"/>
            </w:pPr>
            <w:r w:rsidRPr="001C33E7">
              <w:t>106%</w:t>
            </w:r>
          </w:p>
        </w:tc>
      </w:tr>
      <w:tr w:rsidR="00AD4297" w:rsidRPr="001C33E7" w14:paraId="4A5FEB5E" w14:textId="77777777" w:rsidTr="00C6320A">
        <w:trPr>
          <w:trHeight w:val="255"/>
        </w:trPr>
        <w:tc>
          <w:tcPr>
            <w:tcW w:w="3060" w:type="dxa"/>
            <w:vAlign w:val="bottom"/>
          </w:tcPr>
          <w:p w14:paraId="03F3BCB9" w14:textId="32EF2E5F" w:rsidR="00AD4297" w:rsidRPr="001C33E7" w:rsidRDefault="00AD4297" w:rsidP="00F558C2">
            <w:pPr>
              <w:pStyle w:val="TableText0"/>
              <w:keepNext w:val="0"/>
            </w:pPr>
            <w:r w:rsidRPr="001C33E7">
              <w:t>Vitamin D (µg)</w:t>
            </w:r>
          </w:p>
        </w:tc>
        <w:tc>
          <w:tcPr>
            <w:tcW w:w="1897" w:type="dxa"/>
            <w:noWrap/>
            <w:vAlign w:val="bottom"/>
          </w:tcPr>
          <w:p w14:paraId="389BB756" w14:textId="1CD2C862" w:rsidR="00AD4297" w:rsidRPr="001C33E7" w:rsidRDefault="00AD4297" w:rsidP="00F558C2">
            <w:pPr>
              <w:pStyle w:val="TableText0"/>
              <w:keepNext w:val="0"/>
            </w:pPr>
            <w:r w:rsidRPr="001C33E7">
              <w:t>11.4</w:t>
            </w:r>
          </w:p>
        </w:tc>
        <w:tc>
          <w:tcPr>
            <w:tcW w:w="1984" w:type="dxa"/>
            <w:vAlign w:val="bottom"/>
          </w:tcPr>
          <w:p w14:paraId="48D52593" w14:textId="5D5E1138" w:rsidR="00AD4297" w:rsidRPr="001C33E7" w:rsidRDefault="00AD4297" w:rsidP="00F558C2">
            <w:pPr>
              <w:pStyle w:val="TableText0"/>
              <w:keepNext w:val="0"/>
            </w:pPr>
            <w:r w:rsidRPr="001C33E7">
              <w:t>8.4</w:t>
            </w:r>
          </w:p>
        </w:tc>
        <w:tc>
          <w:tcPr>
            <w:tcW w:w="2075" w:type="dxa"/>
            <w:noWrap/>
            <w:vAlign w:val="bottom"/>
          </w:tcPr>
          <w:p w14:paraId="340F4F3F" w14:textId="7CC78554" w:rsidR="00AD4297" w:rsidRPr="001C33E7" w:rsidRDefault="00AD4297" w:rsidP="00F558C2">
            <w:pPr>
              <w:pStyle w:val="TableText0"/>
              <w:keepNext w:val="0"/>
            </w:pPr>
            <w:r w:rsidRPr="001C33E7">
              <w:t>136%</w:t>
            </w:r>
          </w:p>
        </w:tc>
      </w:tr>
      <w:tr w:rsidR="00AD4297" w:rsidRPr="001C33E7" w14:paraId="1B1F4A12" w14:textId="77777777" w:rsidTr="00C6320A">
        <w:trPr>
          <w:trHeight w:val="255"/>
        </w:trPr>
        <w:tc>
          <w:tcPr>
            <w:tcW w:w="3060" w:type="dxa"/>
            <w:vAlign w:val="bottom"/>
          </w:tcPr>
          <w:p w14:paraId="5CD559ED" w14:textId="0D52EE9D" w:rsidR="00AD4297" w:rsidRPr="001C33E7" w:rsidRDefault="00AD4297" w:rsidP="00F558C2">
            <w:pPr>
              <w:pStyle w:val="TableText0"/>
              <w:keepNext w:val="0"/>
            </w:pPr>
            <w:r w:rsidRPr="001C33E7">
              <w:t>Vitamin E (mg TE)</w:t>
            </w:r>
          </w:p>
        </w:tc>
        <w:tc>
          <w:tcPr>
            <w:tcW w:w="1897" w:type="dxa"/>
            <w:vAlign w:val="bottom"/>
          </w:tcPr>
          <w:p w14:paraId="7FE7BEB2" w14:textId="4198C3B1" w:rsidR="00AD4297" w:rsidRPr="001C33E7" w:rsidRDefault="00AD4297" w:rsidP="00F558C2">
            <w:pPr>
              <w:pStyle w:val="TableText0"/>
              <w:keepNext w:val="0"/>
            </w:pPr>
            <w:r w:rsidRPr="001C33E7">
              <w:t>9.48</w:t>
            </w:r>
          </w:p>
        </w:tc>
        <w:tc>
          <w:tcPr>
            <w:tcW w:w="1984" w:type="dxa"/>
            <w:vAlign w:val="bottom"/>
          </w:tcPr>
          <w:p w14:paraId="788BBE8D" w14:textId="1C984228" w:rsidR="00AD4297" w:rsidRPr="001C33E7" w:rsidRDefault="00AD4297" w:rsidP="00F558C2">
            <w:pPr>
              <w:pStyle w:val="TableText0"/>
              <w:keepNext w:val="0"/>
            </w:pPr>
            <w:r w:rsidRPr="001C33E7">
              <w:t>4.3</w:t>
            </w:r>
          </w:p>
        </w:tc>
        <w:tc>
          <w:tcPr>
            <w:tcW w:w="2075" w:type="dxa"/>
            <w:noWrap/>
            <w:vAlign w:val="bottom"/>
          </w:tcPr>
          <w:p w14:paraId="241A2C39" w14:textId="182EBEBE" w:rsidR="00AD4297" w:rsidRPr="001C33E7" w:rsidRDefault="00AD4297" w:rsidP="00F558C2">
            <w:pPr>
              <w:pStyle w:val="TableText0"/>
              <w:keepNext w:val="0"/>
            </w:pPr>
            <w:r w:rsidRPr="001C33E7">
              <w:t>220%</w:t>
            </w:r>
          </w:p>
        </w:tc>
      </w:tr>
      <w:tr w:rsidR="00AD4297" w:rsidRPr="001C33E7" w14:paraId="57A0BEAE" w14:textId="77777777" w:rsidTr="00C6320A">
        <w:trPr>
          <w:trHeight w:val="255"/>
        </w:trPr>
        <w:tc>
          <w:tcPr>
            <w:tcW w:w="3060" w:type="dxa"/>
            <w:vAlign w:val="bottom"/>
          </w:tcPr>
          <w:p w14:paraId="1A695355" w14:textId="54583A11" w:rsidR="00AD4297" w:rsidRPr="001C33E7" w:rsidRDefault="00AD4297" w:rsidP="00F558C2">
            <w:pPr>
              <w:pStyle w:val="TableText0"/>
              <w:keepNext w:val="0"/>
            </w:pPr>
            <w:r w:rsidRPr="001C33E7">
              <w:t>Vitamin C (mg)</w:t>
            </w:r>
          </w:p>
        </w:tc>
        <w:tc>
          <w:tcPr>
            <w:tcW w:w="1897" w:type="dxa"/>
            <w:vAlign w:val="bottom"/>
          </w:tcPr>
          <w:p w14:paraId="55AE9F99" w14:textId="57B87D1C" w:rsidR="00AD4297" w:rsidRPr="001C33E7" w:rsidRDefault="00AD4297" w:rsidP="00F558C2">
            <w:pPr>
              <w:pStyle w:val="TableText0"/>
              <w:keepNext w:val="0"/>
            </w:pPr>
            <w:r w:rsidRPr="001C33E7">
              <w:t>50.7</w:t>
            </w:r>
          </w:p>
        </w:tc>
        <w:tc>
          <w:tcPr>
            <w:tcW w:w="1984" w:type="dxa"/>
            <w:vAlign w:val="bottom"/>
          </w:tcPr>
          <w:p w14:paraId="272D8182" w14:textId="5BA47A54" w:rsidR="00AD4297" w:rsidRPr="001C33E7" w:rsidRDefault="00AD4297" w:rsidP="00F558C2">
            <w:pPr>
              <w:pStyle w:val="TableText0"/>
              <w:keepNext w:val="0"/>
            </w:pPr>
            <w:r w:rsidRPr="001C33E7">
              <w:t>49.6</w:t>
            </w:r>
          </w:p>
        </w:tc>
        <w:tc>
          <w:tcPr>
            <w:tcW w:w="2075" w:type="dxa"/>
            <w:noWrap/>
            <w:vAlign w:val="bottom"/>
          </w:tcPr>
          <w:p w14:paraId="17CE124C" w14:textId="4FF5DC94" w:rsidR="00AD4297" w:rsidRPr="001C33E7" w:rsidRDefault="00AD4297" w:rsidP="00F558C2">
            <w:pPr>
              <w:pStyle w:val="TableText0"/>
              <w:keepNext w:val="0"/>
            </w:pPr>
            <w:r w:rsidRPr="001C33E7">
              <w:t>102%</w:t>
            </w:r>
          </w:p>
        </w:tc>
      </w:tr>
      <w:tr w:rsidR="00AD4297" w:rsidRPr="001C33E7" w14:paraId="3C1D5A5D" w14:textId="77777777" w:rsidTr="00C6320A">
        <w:trPr>
          <w:trHeight w:val="255"/>
        </w:trPr>
        <w:tc>
          <w:tcPr>
            <w:tcW w:w="3060" w:type="dxa"/>
            <w:vAlign w:val="bottom"/>
          </w:tcPr>
          <w:p w14:paraId="4CC00794" w14:textId="261C0178" w:rsidR="00AD4297" w:rsidRPr="001C33E7" w:rsidRDefault="00AD4297" w:rsidP="00F558C2">
            <w:pPr>
              <w:pStyle w:val="TableText0"/>
              <w:keepNext w:val="0"/>
            </w:pPr>
            <w:r w:rsidRPr="001C33E7">
              <w:t>Vitamin K (µg)</w:t>
            </w:r>
          </w:p>
        </w:tc>
        <w:tc>
          <w:tcPr>
            <w:tcW w:w="1897" w:type="dxa"/>
            <w:vAlign w:val="bottom"/>
          </w:tcPr>
          <w:p w14:paraId="7DEFA7F5" w14:textId="1B711B0F" w:rsidR="00AD4297" w:rsidRPr="001C33E7" w:rsidRDefault="00AD4297" w:rsidP="00F558C2">
            <w:pPr>
              <w:pStyle w:val="TableText0"/>
              <w:keepNext w:val="0"/>
            </w:pPr>
            <w:r w:rsidRPr="001C33E7">
              <w:t>42.8</w:t>
            </w:r>
          </w:p>
        </w:tc>
        <w:tc>
          <w:tcPr>
            <w:tcW w:w="1984" w:type="dxa"/>
            <w:vAlign w:val="bottom"/>
          </w:tcPr>
          <w:p w14:paraId="6E0B511F" w14:textId="5D27C658" w:rsidR="00AD4297" w:rsidRPr="001C33E7" w:rsidRDefault="00AD4297" w:rsidP="00F558C2">
            <w:pPr>
              <w:pStyle w:val="TableText0"/>
              <w:keepNext w:val="0"/>
            </w:pPr>
            <w:r w:rsidRPr="001C33E7">
              <w:t>40.8</w:t>
            </w:r>
          </w:p>
        </w:tc>
        <w:tc>
          <w:tcPr>
            <w:tcW w:w="2075" w:type="dxa"/>
            <w:noWrap/>
            <w:vAlign w:val="bottom"/>
          </w:tcPr>
          <w:p w14:paraId="4333FA7D" w14:textId="59F10B23" w:rsidR="00AD4297" w:rsidRPr="001C33E7" w:rsidRDefault="00AD4297" w:rsidP="00F558C2">
            <w:pPr>
              <w:pStyle w:val="TableText0"/>
              <w:keepNext w:val="0"/>
            </w:pPr>
            <w:r w:rsidRPr="001C33E7">
              <w:t>105%</w:t>
            </w:r>
          </w:p>
        </w:tc>
      </w:tr>
      <w:tr w:rsidR="00AD4297" w:rsidRPr="001C33E7" w14:paraId="65329758" w14:textId="77777777" w:rsidTr="00C6320A">
        <w:trPr>
          <w:trHeight w:val="255"/>
        </w:trPr>
        <w:tc>
          <w:tcPr>
            <w:tcW w:w="3060" w:type="dxa"/>
            <w:vAlign w:val="bottom"/>
          </w:tcPr>
          <w:p w14:paraId="4D206A2A" w14:textId="0F453082" w:rsidR="00AD4297" w:rsidRPr="001C33E7" w:rsidRDefault="00AD4297" w:rsidP="00F558C2">
            <w:pPr>
              <w:pStyle w:val="TableText0"/>
              <w:keepNext w:val="0"/>
            </w:pPr>
            <w:r w:rsidRPr="001C33E7">
              <w:t>Thiamin B1 (mg)</w:t>
            </w:r>
          </w:p>
        </w:tc>
        <w:tc>
          <w:tcPr>
            <w:tcW w:w="1897" w:type="dxa"/>
            <w:vAlign w:val="bottom"/>
          </w:tcPr>
          <w:p w14:paraId="6F95B8ED" w14:textId="6C62A931" w:rsidR="00AD4297" w:rsidRPr="001C33E7" w:rsidRDefault="00AD4297" w:rsidP="00F558C2">
            <w:pPr>
              <w:pStyle w:val="TableText0"/>
              <w:keepNext w:val="0"/>
            </w:pPr>
            <w:r w:rsidRPr="001C33E7">
              <w:t>0.57</w:t>
            </w:r>
          </w:p>
        </w:tc>
        <w:tc>
          <w:tcPr>
            <w:tcW w:w="1984" w:type="dxa"/>
            <w:vAlign w:val="bottom"/>
          </w:tcPr>
          <w:p w14:paraId="5DE45CF9" w14:textId="20019EF6" w:rsidR="00AD4297" w:rsidRPr="001C33E7" w:rsidRDefault="00AD4297" w:rsidP="00F558C2">
            <w:pPr>
              <w:pStyle w:val="TableText0"/>
              <w:keepNext w:val="0"/>
            </w:pPr>
            <w:r w:rsidRPr="001C33E7">
              <w:t>0.54</w:t>
            </w:r>
          </w:p>
        </w:tc>
        <w:tc>
          <w:tcPr>
            <w:tcW w:w="2075" w:type="dxa"/>
            <w:noWrap/>
            <w:vAlign w:val="bottom"/>
          </w:tcPr>
          <w:p w14:paraId="1CCFA67C" w14:textId="793BF50B" w:rsidR="00AD4297" w:rsidRPr="001C33E7" w:rsidRDefault="00AD4297" w:rsidP="00F558C2">
            <w:pPr>
              <w:pStyle w:val="TableText0"/>
              <w:keepNext w:val="0"/>
            </w:pPr>
            <w:r w:rsidRPr="001C33E7">
              <w:t>106%</w:t>
            </w:r>
          </w:p>
        </w:tc>
      </w:tr>
      <w:tr w:rsidR="00AD4297" w:rsidRPr="001C33E7" w14:paraId="25349708" w14:textId="77777777" w:rsidTr="00C6320A">
        <w:trPr>
          <w:trHeight w:val="255"/>
        </w:trPr>
        <w:tc>
          <w:tcPr>
            <w:tcW w:w="3060" w:type="dxa"/>
            <w:vAlign w:val="bottom"/>
          </w:tcPr>
          <w:p w14:paraId="60E502ED" w14:textId="0C34913F" w:rsidR="00AD4297" w:rsidRPr="001C33E7" w:rsidRDefault="00AD4297" w:rsidP="00F558C2">
            <w:pPr>
              <w:pStyle w:val="TableText0"/>
              <w:keepNext w:val="0"/>
            </w:pPr>
            <w:r w:rsidRPr="001C33E7">
              <w:t>Riboflavin B2 (mg)</w:t>
            </w:r>
          </w:p>
        </w:tc>
        <w:tc>
          <w:tcPr>
            <w:tcW w:w="1897" w:type="dxa"/>
            <w:vAlign w:val="bottom"/>
          </w:tcPr>
          <w:p w14:paraId="4CAE36E2" w14:textId="57B4E73E" w:rsidR="00AD4297" w:rsidRPr="001C33E7" w:rsidRDefault="00AD4297" w:rsidP="00F558C2">
            <w:pPr>
              <w:pStyle w:val="TableText0"/>
              <w:keepNext w:val="0"/>
            </w:pPr>
            <w:r w:rsidRPr="001C33E7">
              <w:t>0.57</w:t>
            </w:r>
          </w:p>
        </w:tc>
        <w:tc>
          <w:tcPr>
            <w:tcW w:w="1984" w:type="dxa"/>
            <w:vAlign w:val="bottom"/>
          </w:tcPr>
          <w:p w14:paraId="527C4E72" w14:textId="521808B1" w:rsidR="00AD4297" w:rsidRPr="001C33E7" w:rsidRDefault="00AD4297" w:rsidP="00F558C2">
            <w:pPr>
              <w:pStyle w:val="TableText0"/>
              <w:keepNext w:val="0"/>
            </w:pPr>
            <w:r w:rsidRPr="001C33E7">
              <w:t>0.54</w:t>
            </w:r>
          </w:p>
        </w:tc>
        <w:tc>
          <w:tcPr>
            <w:tcW w:w="2075" w:type="dxa"/>
            <w:noWrap/>
            <w:vAlign w:val="bottom"/>
          </w:tcPr>
          <w:p w14:paraId="05DA5D29" w14:textId="7F125FF7" w:rsidR="00AD4297" w:rsidRPr="001C33E7" w:rsidRDefault="00AD4297" w:rsidP="00F558C2">
            <w:pPr>
              <w:pStyle w:val="TableText0"/>
              <w:keepNext w:val="0"/>
            </w:pPr>
            <w:r w:rsidRPr="001C33E7">
              <w:t>106%</w:t>
            </w:r>
          </w:p>
        </w:tc>
      </w:tr>
      <w:tr w:rsidR="00AD4297" w:rsidRPr="001C33E7" w14:paraId="2A4F76C2" w14:textId="77777777" w:rsidTr="00C6320A">
        <w:trPr>
          <w:trHeight w:val="255"/>
        </w:trPr>
        <w:tc>
          <w:tcPr>
            <w:tcW w:w="3060" w:type="dxa"/>
            <w:vAlign w:val="bottom"/>
            <w:hideMark/>
          </w:tcPr>
          <w:p w14:paraId="6D92DD07" w14:textId="45D02BEE" w:rsidR="00AD4297" w:rsidRPr="001C33E7" w:rsidRDefault="00AD4297" w:rsidP="00F558C2">
            <w:pPr>
              <w:pStyle w:val="TableText0"/>
              <w:keepNext w:val="0"/>
            </w:pPr>
            <w:r w:rsidRPr="001C33E7">
              <w:t>Vitamin B6 (mg)</w:t>
            </w:r>
          </w:p>
        </w:tc>
        <w:tc>
          <w:tcPr>
            <w:tcW w:w="1897" w:type="dxa"/>
            <w:vAlign w:val="bottom"/>
          </w:tcPr>
          <w:p w14:paraId="36364E8E" w14:textId="44A0B139" w:rsidR="00AD4297" w:rsidRPr="001C33E7" w:rsidRDefault="00AD4297" w:rsidP="00F558C2">
            <w:pPr>
              <w:pStyle w:val="TableText0"/>
              <w:keepNext w:val="0"/>
            </w:pPr>
            <w:r w:rsidRPr="001C33E7">
              <w:t>0.46</w:t>
            </w:r>
          </w:p>
        </w:tc>
        <w:tc>
          <w:tcPr>
            <w:tcW w:w="1984" w:type="dxa"/>
            <w:vAlign w:val="bottom"/>
          </w:tcPr>
          <w:p w14:paraId="5C705E8C" w14:textId="317A8656" w:rsidR="00AD4297" w:rsidRPr="001C33E7" w:rsidRDefault="00AD4297" w:rsidP="00F558C2">
            <w:pPr>
              <w:pStyle w:val="TableText0"/>
              <w:keepNext w:val="0"/>
            </w:pPr>
            <w:r w:rsidRPr="001C33E7">
              <w:t>0.54</w:t>
            </w:r>
          </w:p>
        </w:tc>
        <w:tc>
          <w:tcPr>
            <w:tcW w:w="2075" w:type="dxa"/>
            <w:noWrap/>
            <w:vAlign w:val="bottom"/>
          </w:tcPr>
          <w:p w14:paraId="5DE80D34" w14:textId="0B6E0F44" w:rsidR="00AD4297" w:rsidRPr="001C33E7" w:rsidRDefault="00AD4297" w:rsidP="00F558C2">
            <w:pPr>
              <w:pStyle w:val="TableText0"/>
              <w:keepNext w:val="0"/>
            </w:pPr>
            <w:r w:rsidRPr="001C33E7">
              <w:t>85%</w:t>
            </w:r>
          </w:p>
        </w:tc>
      </w:tr>
      <w:tr w:rsidR="00AD4297" w:rsidRPr="001C33E7" w14:paraId="1F2594C4" w14:textId="77777777" w:rsidTr="00C6320A">
        <w:trPr>
          <w:trHeight w:val="255"/>
        </w:trPr>
        <w:tc>
          <w:tcPr>
            <w:tcW w:w="3060" w:type="dxa"/>
            <w:vAlign w:val="bottom"/>
          </w:tcPr>
          <w:p w14:paraId="514548E2" w14:textId="184C4C78" w:rsidR="00AD4297" w:rsidRPr="001C33E7" w:rsidRDefault="00AD4297" w:rsidP="00F558C2">
            <w:pPr>
              <w:pStyle w:val="TableText0"/>
              <w:keepNext w:val="0"/>
            </w:pPr>
            <w:r w:rsidRPr="001C33E7">
              <w:t>Niacin (mg NE)</w:t>
            </w:r>
          </w:p>
        </w:tc>
        <w:tc>
          <w:tcPr>
            <w:tcW w:w="1897" w:type="dxa"/>
            <w:vAlign w:val="bottom"/>
          </w:tcPr>
          <w:p w14:paraId="6A09EC4D" w14:textId="421E43E0" w:rsidR="00AD4297" w:rsidRPr="001C33E7" w:rsidRDefault="00AD4297" w:rsidP="00F558C2">
            <w:pPr>
              <w:pStyle w:val="TableText0"/>
              <w:keepNext w:val="0"/>
            </w:pPr>
            <w:r w:rsidRPr="001C33E7">
              <w:t>9.25</w:t>
            </w:r>
          </w:p>
        </w:tc>
        <w:tc>
          <w:tcPr>
            <w:tcW w:w="1984" w:type="dxa"/>
            <w:vAlign w:val="bottom"/>
          </w:tcPr>
          <w:p w14:paraId="19BB3CE3" w14:textId="1E1ECFA1" w:rsidR="00AD4297" w:rsidRPr="001C33E7" w:rsidRDefault="00AD4297" w:rsidP="00F558C2">
            <w:pPr>
              <w:pStyle w:val="TableText0"/>
              <w:keepNext w:val="0"/>
            </w:pPr>
            <w:r w:rsidRPr="001C33E7">
              <w:t>10</w:t>
            </w:r>
          </w:p>
        </w:tc>
        <w:tc>
          <w:tcPr>
            <w:tcW w:w="2075" w:type="dxa"/>
            <w:noWrap/>
            <w:vAlign w:val="bottom"/>
          </w:tcPr>
          <w:p w14:paraId="3F1B8E0E" w14:textId="1F101281" w:rsidR="00AD4297" w:rsidRPr="001C33E7" w:rsidRDefault="00AD4297" w:rsidP="00F558C2">
            <w:pPr>
              <w:pStyle w:val="TableText0"/>
              <w:keepNext w:val="0"/>
            </w:pPr>
            <w:r w:rsidRPr="001C33E7">
              <w:t>93%</w:t>
            </w:r>
          </w:p>
        </w:tc>
      </w:tr>
      <w:tr w:rsidR="00AD4297" w:rsidRPr="001C33E7" w14:paraId="226ADBAB" w14:textId="77777777" w:rsidTr="00C6320A">
        <w:trPr>
          <w:trHeight w:val="255"/>
        </w:trPr>
        <w:tc>
          <w:tcPr>
            <w:tcW w:w="3060" w:type="dxa"/>
            <w:vAlign w:val="bottom"/>
          </w:tcPr>
          <w:p w14:paraId="1F237987" w14:textId="46A2AF7C" w:rsidR="00AD4297" w:rsidRPr="001C33E7" w:rsidRDefault="00AD4297" w:rsidP="00F558C2">
            <w:pPr>
              <w:pStyle w:val="TableText0"/>
              <w:keepNext w:val="0"/>
            </w:pPr>
            <w:r w:rsidRPr="001C33E7">
              <w:t>Folic acid (µg)</w:t>
            </w:r>
          </w:p>
        </w:tc>
        <w:tc>
          <w:tcPr>
            <w:tcW w:w="1897" w:type="dxa"/>
            <w:vAlign w:val="bottom"/>
          </w:tcPr>
          <w:p w14:paraId="2EF9E000" w14:textId="6A3312F8" w:rsidR="00AD4297" w:rsidRPr="001C33E7" w:rsidRDefault="00AD4297" w:rsidP="00F558C2">
            <w:pPr>
              <w:pStyle w:val="TableText0"/>
              <w:keepNext w:val="0"/>
            </w:pPr>
            <w:r w:rsidRPr="001C33E7">
              <w:t>66</w:t>
            </w:r>
          </w:p>
        </w:tc>
        <w:tc>
          <w:tcPr>
            <w:tcW w:w="1984" w:type="dxa"/>
            <w:vAlign w:val="bottom"/>
          </w:tcPr>
          <w:p w14:paraId="43131D11" w14:textId="446B95A7" w:rsidR="00AD4297" w:rsidRPr="001C33E7" w:rsidRDefault="00AD4297" w:rsidP="00F558C2">
            <w:pPr>
              <w:pStyle w:val="TableText0"/>
              <w:keepNext w:val="0"/>
            </w:pPr>
            <w:r w:rsidRPr="001C33E7">
              <w:t>62.7</w:t>
            </w:r>
          </w:p>
        </w:tc>
        <w:tc>
          <w:tcPr>
            <w:tcW w:w="2075" w:type="dxa"/>
            <w:noWrap/>
            <w:vAlign w:val="bottom"/>
          </w:tcPr>
          <w:p w14:paraId="4F4EF070" w14:textId="6E58EE2C" w:rsidR="00AD4297" w:rsidRPr="001C33E7" w:rsidRDefault="00AD4297" w:rsidP="00F558C2">
            <w:pPr>
              <w:pStyle w:val="TableText0"/>
              <w:keepNext w:val="0"/>
            </w:pPr>
            <w:r w:rsidRPr="001C33E7">
              <w:t>105%</w:t>
            </w:r>
          </w:p>
        </w:tc>
      </w:tr>
      <w:tr w:rsidR="00AD4297" w:rsidRPr="001C33E7" w14:paraId="31D5278C" w14:textId="77777777" w:rsidTr="00C6320A">
        <w:trPr>
          <w:trHeight w:val="255"/>
        </w:trPr>
        <w:tc>
          <w:tcPr>
            <w:tcW w:w="3060" w:type="dxa"/>
            <w:vAlign w:val="bottom"/>
          </w:tcPr>
          <w:p w14:paraId="7AA32C54" w14:textId="64B60B43" w:rsidR="00AD4297" w:rsidRPr="001C33E7" w:rsidRDefault="00AD4297" w:rsidP="00F558C2">
            <w:pPr>
              <w:pStyle w:val="TableText0"/>
              <w:keepNext w:val="0"/>
            </w:pPr>
            <w:r w:rsidRPr="001C33E7">
              <w:t>Vitamin B12 (µg)</w:t>
            </w:r>
          </w:p>
        </w:tc>
        <w:tc>
          <w:tcPr>
            <w:tcW w:w="1897" w:type="dxa"/>
            <w:vAlign w:val="bottom"/>
          </w:tcPr>
          <w:p w14:paraId="60E8945D" w14:textId="36DAFE27" w:rsidR="00AD4297" w:rsidRPr="001C33E7" w:rsidRDefault="00AD4297" w:rsidP="00F558C2">
            <w:pPr>
              <w:pStyle w:val="TableText0"/>
              <w:keepNext w:val="0"/>
            </w:pPr>
            <w:r w:rsidRPr="001C33E7">
              <w:t>1.33</w:t>
            </w:r>
          </w:p>
        </w:tc>
        <w:tc>
          <w:tcPr>
            <w:tcW w:w="1984" w:type="dxa"/>
            <w:vAlign w:val="bottom"/>
          </w:tcPr>
          <w:p w14:paraId="5590ABBF" w14:textId="0A54FED4" w:rsidR="00AD4297" w:rsidRPr="001C33E7" w:rsidRDefault="00AD4297" w:rsidP="00F558C2">
            <w:pPr>
              <w:pStyle w:val="TableText0"/>
              <w:keepNext w:val="0"/>
            </w:pPr>
            <w:r w:rsidRPr="001C33E7">
              <w:t>1.3</w:t>
            </w:r>
          </w:p>
        </w:tc>
        <w:tc>
          <w:tcPr>
            <w:tcW w:w="2075" w:type="dxa"/>
            <w:noWrap/>
            <w:vAlign w:val="bottom"/>
          </w:tcPr>
          <w:p w14:paraId="2A1990CF" w14:textId="79C0CAA0" w:rsidR="00AD4297" w:rsidRPr="001C33E7" w:rsidRDefault="00AD4297" w:rsidP="00F558C2">
            <w:pPr>
              <w:pStyle w:val="TableText0"/>
              <w:keepNext w:val="0"/>
            </w:pPr>
            <w:r w:rsidRPr="001C33E7">
              <w:t>102%</w:t>
            </w:r>
          </w:p>
        </w:tc>
      </w:tr>
      <w:tr w:rsidR="00AD4297" w:rsidRPr="001C33E7" w14:paraId="1C365D05" w14:textId="77777777" w:rsidTr="00C6320A">
        <w:trPr>
          <w:trHeight w:val="255"/>
        </w:trPr>
        <w:tc>
          <w:tcPr>
            <w:tcW w:w="3060" w:type="dxa"/>
            <w:vAlign w:val="bottom"/>
          </w:tcPr>
          <w:p w14:paraId="491DB69E" w14:textId="742A647E" w:rsidR="00AD4297" w:rsidRPr="001C33E7" w:rsidRDefault="00AD4297" w:rsidP="00F558C2">
            <w:pPr>
              <w:pStyle w:val="TableText0"/>
              <w:keepNext w:val="0"/>
            </w:pPr>
            <w:r w:rsidRPr="001C33E7">
              <w:t>Pantothenic acid (mg)</w:t>
            </w:r>
          </w:p>
        </w:tc>
        <w:tc>
          <w:tcPr>
            <w:tcW w:w="1897" w:type="dxa"/>
            <w:vAlign w:val="bottom"/>
          </w:tcPr>
          <w:p w14:paraId="13F3B0C8" w14:textId="195E2618" w:rsidR="00AD4297" w:rsidRPr="001C33E7" w:rsidRDefault="00AD4297" w:rsidP="00F558C2">
            <w:pPr>
              <w:pStyle w:val="TableText0"/>
              <w:keepNext w:val="0"/>
            </w:pPr>
            <w:r w:rsidRPr="001C33E7">
              <w:t>2.94</w:t>
            </w:r>
          </w:p>
        </w:tc>
        <w:tc>
          <w:tcPr>
            <w:tcW w:w="1984" w:type="dxa"/>
            <w:vAlign w:val="bottom"/>
          </w:tcPr>
          <w:p w14:paraId="06D192EB" w14:textId="4BE824FC" w:rsidR="00AD4297" w:rsidRPr="001C33E7" w:rsidRDefault="00AD4297" w:rsidP="00F558C2">
            <w:pPr>
              <w:pStyle w:val="TableText0"/>
              <w:keepNext w:val="0"/>
            </w:pPr>
            <w:r w:rsidRPr="001C33E7">
              <w:t>2.8</w:t>
            </w:r>
          </w:p>
        </w:tc>
        <w:tc>
          <w:tcPr>
            <w:tcW w:w="2075" w:type="dxa"/>
            <w:noWrap/>
            <w:vAlign w:val="bottom"/>
          </w:tcPr>
          <w:p w14:paraId="30FE05EF" w14:textId="23DFAF37" w:rsidR="00AD4297" w:rsidRPr="001C33E7" w:rsidRDefault="00AD4297" w:rsidP="00F558C2">
            <w:pPr>
              <w:pStyle w:val="TableText0"/>
              <w:keepNext w:val="0"/>
            </w:pPr>
            <w:r w:rsidRPr="001C33E7">
              <w:t>105%</w:t>
            </w:r>
          </w:p>
        </w:tc>
      </w:tr>
      <w:tr w:rsidR="00AD4297" w:rsidRPr="001C33E7" w14:paraId="6DC9F83D" w14:textId="77777777" w:rsidTr="00C6320A">
        <w:trPr>
          <w:trHeight w:val="255"/>
        </w:trPr>
        <w:tc>
          <w:tcPr>
            <w:tcW w:w="3060" w:type="dxa"/>
            <w:vAlign w:val="bottom"/>
          </w:tcPr>
          <w:p w14:paraId="0AC864A8" w14:textId="57519863" w:rsidR="00AD4297" w:rsidRPr="001C33E7" w:rsidRDefault="00AD4297" w:rsidP="00F558C2">
            <w:pPr>
              <w:pStyle w:val="TableText0"/>
              <w:keepNext w:val="0"/>
            </w:pPr>
            <w:r w:rsidRPr="001C33E7">
              <w:t>Biotin (µg)</w:t>
            </w:r>
          </w:p>
        </w:tc>
        <w:tc>
          <w:tcPr>
            <w:tcW w:w="1897" w:type="dxa"/>
            <w:vAlign w:val="bottom"/>
          </w:tcPr>
          <w:p w14:paraId="44CA3CAD" w14:textId="704FEBC6" w:rsidR="00AD4297" w:rsidRPr="001C33E7" w:rsidRDefault="00AD4297" w:rsidP="00F558C2">
            <w:pPr>
              <w:pStyle w:val="TableText0"/>
              <w:keepNext w:val="0"/>
            </w:pPr>
            <w:r w:rsidRPr="001C33E7">
              <w:t>18.5</w:t>
            </w:r>
          </w:p>
        </w:tc>
        <w:tc>
          <w:tcPr>
            <w:tcW w:w="1984" w:type="dxa"/>
            <w:vAlign w:val="bottom"/>
          </w:tcPr>
          <w:p w14:paraId="1D8682CE" w14:textId="4514F4A7" w:rsidR="00AD4297" w:rsidRPr="001C33E7" w:rsidRDefault="00AD4297" w:rsidP="00F558C2">
            <w:pPr>
              <w:pStyle w:val="TableText0"/>
              <w:keepNext w:val="0"/>
            </w:pPr>
            <w:r w:rsidRPr="001C33E7">
              <w:t>18.1</w:t>
            </w:r>
          </w:p>
        </w:tc>
        <w:tc>
          <w:tcPr>
            <w:tcW w:w="2075" w:type="dxa"/>
            <w:noWrap/>
            <w:vAlign w:val="bottom"/>
          </w:tcPr>
          <w:p w14:paraId="4C54D707" w14:textId="4FFA8FE5" w:rsidR="00AD4297" w:rsidRPr="001C33E7" w:rsidRDefault="00AD4297" w:rsidP="00F558C2">
            <w:pPr>
              <w:pStyle w:val="TableText0"/>
              <w:keepNext w:val="0"/>
            </w:pPr>
            <w:r w:rsidRPr="001C33E7">
              <w:t>102%</w:t>
            </w:r>
          </w:p>
        </w:tc>
      </w:tr>
      <w:tr w:rsidR="00AD4297" w:rsidRPr="001C33E7" w14:paraId="1A2C7EA0" w14:textId="77777777" w:rsidTr="00C6320A">
        <w:trPr>
          <w:trHeight w:val="255"/>
        </w:trPr>
        <w:tc>
          <w:tcPr>
            <w:tcW w:w="3060" w:type="dxa"/>
            <w:vAlign w:val="bottom"/>
          </w:tcPr>
          <w:p w14:paraId="1A89BC30" w14:textId="5A6F2D3D" w:rsidR="00AD4297" w:rsidRPr="001C33E7" w:rsidRDefault="00AD4297" w:rsidP="00F558C2">
            <w:pPr>
              <w:pStyle w:val="TableText0"/>
              <w:keepNext w:val="0"/>
            </w:pPr>
            <w:r w:rsidRPr="001C33E7">
              <w:t>Inositol (mg)</w:t>
            </w:r>
          </w:p>
        </w:tc>
        <w:tc>
          <w:tcPr>
            <w:tcW w:w="1897" w:type="dxa"/>
            <w:vAlign w:val="bottom"/>
          </w:tcPr>
          <w:p w14:paraId="310547FE" w14:textId="76277052" w:rsidR="00AD4297" w:rsidRPr="001C33E7" w:rsidRDefault="00AD4297" w:rsidP="00F558C2">
            <w:pPr>
              <w:pStyle w:val="TableText0"/>
              <w:keepNext w:val="0"/>
            </w:pPr>
            <w:r w:rsidRPr="001C33E7">
              <w:t>106</w:t>
            </w:r>
          </w:p>
        </w:tc>
        <w:tc>
          <w:tcPr>
            <w:tcW w:w="1984" w:type="dxa"/>
            <w:vAlign w:val="bottom"/>
          </w:tcPr>
          <w:p w14:paraId="32A7AAD9" w14:textId="620D00F5" w:rsidR="00AD4297" w:rsidRPr="001C33E7" w:rsidRDefault="00AD4297" w:rsidP="00F558C2">
            <w:pPr>
              <w:pStyle w:val="TableText0"/>
              <w:keepNext w:val="0"/>
            </w:pPr>
            <w:r w:rsidRPr="001C33E7">
              <w:t>104</w:t>
            </w:r>
          </w:p>
        </w:tc>
        <w:tc>
          <w:tcPr>
            <w:tcW w:w="2075" w:type="dxa"/>
            <w:noWrap/>
            <w:vAlign w:val="bottom"/>
          </w:tcPr>
          <w:p w14:paraId="65521CEC" w14:textId="27EAAAEB" w:rsidR="00AD4297" w:rsidRPr="001C33E7" w:rsidRDefault="00AD4297" w:rsidP="00F558C2">
            <w:pPr>
              <w:pStyle w:val="TableText0"/>
              <w:keepNext w:val="0"/>
            </w:pPr>
            <w:r w:rsidRPr="001C33E7">
              <w:t>102%</w:t>
            </w:r>
          </w:p>
        </w:tc>
      </w:tr>
      <w:tr w:rsidR="00AD4297" w:rsidRPr="001C33E7" w14:paraId="126E9314" w14:textId="77777777" w:rsidTr="00C6320A">
        <w:trPr>
          <w:trHeight w:val="255"/>
        </w:trPr>
        <w:tc>
          <w:tcPr>
            <w:tcW w:w="3060" w:type="dxa"/>
            <w:vAlign w:val="bottom"/>
          </w:tcPr>
          <w:p w14:paraId="4AB27152" w14:textId="70ABD322" w:rsidR="00AD4297" w:rsidRPr="001C33E7" w:rsidRDefault="00AD4297" w:rsidP="00F558C2">
            <w:pPr>
              <w:pStyle w:val="TableText0"/>
              <w:keepNext w:val="0"/>
            </w:pPr>
            <w:r w:rsidRPr="001C33E7">
              <w:t>Choline (mg)</w:t>
            </w:r>
          </w:p>
        </w:tc>
        <w:tc>
          <w:tcPr>
            <w:tcW w:w="1897" w:type="dxa"/>
            <w:vAlign w:val="bottom"/>
          </w:tcPr>
          <w:p w14:paraId="3AB2295C" w14:textId="0ACFB06C" w:rsidR="00AD4297" w:rsidRPr="001C33E7" w:rsidRDefault="00AD4297" w:rsidP="00F558C2">
            <w:pPr>
              <w:pStyle w:val="TableText0"/>
              <w:keepNext w:val="0"/>
            </w:pPr>
            <w:r w:rsidRPr="001C33E7">
              <w:t>132</w:t>
            </w:r>
          </w:p>
        </w:tc>
        <w:tc>
          <w:tcPr>
            <w:tcW w:w="1984" w:type="dxa"/>
            <w:vAlign w:val="bottom"/>
          </w:tcPr>
          <w:p w14:paraId="5FE98EB4" w14:textId="5CAFD675" w:rsidR="00AD4297" w:rsidRPr="001C33E7" w:rsidRDefault="00AD4297" w:rsidP="00F558C2">
            <w:pPr>
              <w:pStyle w:val="TableText0"/>
              <w:keepNext w:val="0"/>
            </w:pPr>
            <w:r w:rsidRPr="001C33E7">
              <w:t>91.9</w:t>
            </w:r>
          </w:p>
        </w:tc>
        <w:tc>
          <w:tcPr>
            <w:tcW w:w="2075" w:type="dxa"/>
            <w:noWrap/>
            <w:vAlign w:val="bottom"/>
          </w:tcPr>
          <w:p w14:paraId="1E1478E4" w14:textId="60C31B52" w:rsidR="00AD4297" w:rsidRPr="001C33E7" w:rsidRDefault="00AD4297" w:rsidP="00F558C2">
            <w:pPr>
              <w:pStyle w:val="TableText0"/>
              <w:keepNext w:val="0"/>
            </w:pPr>
            <w:r w:rsidRPr="001C33E7">
              <w:t>144%</w:t>
            </w:r>
          </w:p>
        </w:tc>
      </w:tr>
      <w:tr w:rsidR="00C6320A" w:rsidRPr="001C33E7" w14:paraId="3BD91F52" w14:textId="77777777" w:rsidTr="00C6320A">
        <w:trPr>
          <w:trHeight w:val="255"/>
        </w:trPr>
        <w:tc>
          <w:tcPr>
            <w:tcW w:w="0" w:type="auto"/>
            <w:gridSpan w:val="4"/>
            <w:vAlign w:val="bottom"/>
          </w:tcPr>
          <w:p w14:paraId="57CBADD8" w14:textId="050B3A05" w:rsidR="00C6320A" w:rsidRPr="001C33E7" w:rsidRDefault="00C6320A" w:rsidP="00F558C2">
            <w:pPr>
              <w:pStyle w:val="TableText0"/>
              <w:keepNext w:val="0"/>
            </w:pPr>
            <w:r w:rsidRPr="001C33E7">
              <w:t>Others</w:t>
            </w:r>
          </w:p>
        </w:tc>
      </w:tr>
      <w:tr w:rsidR="00AD4297" w:rsidRPr="001C33E7" w14:paraId="58D7BBE3" w14:textId="77777777" w:rsidTr="00C6320A">
        <w:trPr>
          <w:trHeight w:val="255"/>
        </w:trPr>
        <w:tc>
          <w:tcPr>
            <w:tcW w:w="3060" w:type="dxa"/>
            <w:vAlign w:val="bottom"/>
          </w:tcPr>
          <w:p w14:paraId="636BDECB" w14:textId="1ECE03BF" w:rsidR="00AD4297" w:rsidRPr="001C33E7" w:rsidRDefault="00AD4297" w:rsidP="00F558C2">
            <w:pPr>
              <w:pStyle w:val="TableText0"/>
              <w:keepNext w:val="0"/>
            </w:pPr>
            <w:r w:rsidRPr="001C33E7">
              <w:t>Taurine (mg)</w:t>
            </w:r>
          </w:p>
        </w:tc>
        <w:tc>
          <w:tcPr>
            <w:tcW w:w="1897" w:type="dxa"/>
            <w:vAlign w:val="bottom"/>
          </w:tcPr>
          <w:p w14:paraId="3C4F0596" w14:textId="6072667D" w:rsidR="00AD4297" w:rsidRPr="001C33E7" w:rsidRDefault="00AD4297" w:rsidP="00F558C2">
            <w:pPr>
              <w:pStyle w:val="TableText0"/>
              <w:keepNext w:val="0"/>
            </w:pPr>
            <w:r w:rsidRPr="001C33E7">
              <w:t>30.8</w:t>
            </w:r>
          </w:p>
        </w:tc>
        <w:tc>
          <w:tcPr>
            <w:tcW w:w="1984" w:type="dxa"/>
            <w:vAlign w:val="bottom"/>
          </w:tcPr>
          <w:p w14:paraId="3E961E4A" w14:textId="1FD2BAC7" w:rsidR="00AD4297" w:rsidRPr="001C33E7" w:rsidRDefault="00AD4297" w:rsidP="00F558C2">
            <w:pPr>
              <w:pStyle w:val="TableText0"/>
              <w:keepNext w:val="0"/>
            </w:pPr>
            <w:r w:rsidRPr="001C33E7">
              <w:t>30</w:t>
            </w:r>
          </w:p>
        </w:tc>
        <w:tc>
          <w:tcPr>
            <w:tcW w:w="2075" w:type="dxa"/>
            <w:noWrap/>
            <w:vAlign w:val="bottom"/>
          </w:tcPr>
          <w:p w14:paraId="2014CBB6" w14:textId="72543750" w:rsidR="00AD4297" w:rsidRPr="001C33E7" w:rsidRDefault="00AD4297" w:rsidP="00F558C2">
            <w:pPr>
              <w:pStyle w:val="TableText0"/>
              <w:keepNext w:val="0"/>
            </w:pPr>
            <w:r w:rsidRPr="001C33E7">
              <w:t>103%</w:t>
            </w:r>
          </w:p>
        </w:tc>
      </w:tr>
      <w:tr w:rsidR="00AD4297" w:rsidRPr="001C33E7" w14:paraId="0DFDB32F" w14:textId="77777777" w:rsidTr="00C6320A">
        <w:trPr>
          <w:trHeight w:val="255"/>
        </w:trPr>
        <w:tc>
          <w:tcPr>
            <w:tcW w:w="3060" w:type="dxa"/>
            <w:vAlign w:val="bottom"/>
          </w:tcPr>
          <w:p w14:paraId="0984F9AF" w14:textId="23DADBCB" w:rsidR="00AD4297" w:rsidRPr="001C33E7" w:rsidRDefault="00AD4297" w:rsidP="00F558C2">
            <w:pPr>
              <w:pStyle w:val="TableText0"/>
              <w:keepNext w:val="0"/>
            </w:pPr>
            <w:r w:rsidRPr="001C33E7">
              <w:t>L-Carnitine (mg)</w:t>
            </w:r>
          </w:p>
        </w:tc>
        <w:tc>
          <w:tcPr>
            <w:tcW w:w="1897" w:type="dxa"/>
            <w:vAlign w:val="bottom"/>
          </w:tcPr>
          <w:p w14:paraId="4D6B75C1" w14:textId="1E2ECB99" w:rsidR="00AD4297" w:rsidRPr="001C33E7" w:rsidRDefault="00AD4297" w:rsidP="00F558C2">
            <w:pPr>
              <w:pStyle w:val="TableText0"/>
              <w:keepNext w:val="0"/>
            </w:pPr>
            <w:r w:rsidRPr="001C33E7">
              <w:t>9.49</w:t>
            </w:r>
          </w:p>
        </w:tc>
        <w:tc>
          <w:tcPr>
            <w:tcW w:w="1984" w:type="dxa"/>
            <w:vAlign w:val="bottom"/>
          </w:tcPr>
          <w:p w14:paraId="2E915C62" w14:textId="04455FB0" w:rsidR="00AD4297" w:rsidRPr="001C33E7" w:rsidRDefault="00AD4297" w:rsidP="00F558C2">
            <w:pPr>
              <w:pStyle w:val="TableText0"/>
              <w:keepNext w:val="0"/>
            </w:pPr>
            <w:r w:rsidRPr="001C33E7">
              <w:t>9.5</w:t>
            </w:r>
          </w:p>
        </w:tc>
        <w:tc>
          <w:tcPr>
            <w:tcW w:w="2075" w:type="dxa"/>
            <w:noWrap/>
            <w:vAlign w:val="bottom"/>
          </w:tcPr>
          <w:p w14:paraId="1991EB54" w14:textId="747491C4" w:rsidR="00AD4297" w:rsidRPr="001C33E7" w:rsidRDefault="00AD4297" w:rsidP="00F558C2">
            <w:pPr>
              <w:pStyle w:val="TableText0"/>
              <w:keepNext w:val="0"/>
            </w:pPr>
            <w:r w:rsidRPr="001C33E7">
              <w:t>100%</w:t>
            </w:r>
          </w:p>
        </w:tc>
      </w:tr>
      <w:tr w:rsidR="003910D0" w:rsidRPr="001C33E7" w14:paraId="3B7F495B" w14:textId="77777777" w:rsidTr="00C6320A">
        <w:trPr>
          <w:trHeight w:val="255"/>
        </w:trPr>
        <w:tc>
          <w:tcPr>
            <w:tcW w:w="3060" w:type="dxa"/>
            <w:vAlign w:val="bottom"/>
          </w:tcPr>
          <w:p w14:paraId="6A437B6D" w14:textId="3708FA33" w:rsidR="003910D0" w:rsidRPr="001C33E7" w:rsidRDefault="003910D0" w:rsidP="00F558C2">
            <w:pPr>
              <w:pStyle w:val="TableText0"/>
              <w:keepNext w:val="0"/>
            </w:pPr>
            <w:r w:rsidRPr="001C33E7">
              <w:t>Bifidobacterium breve M-16V (CFU)</w:t>
            </w:r>
          </w:p>
        </w:tc>
        <w:tc>
          <w:tcPr>
            <w:tcW w:w="1897" w:type="dxa"/>
            <w:vAlign w:val="bottom"/>
          </w:tcPr>
          <w:p w14:paraId="39E2FE0F" w14:textId="522F9816" w:rsidR="003910D0" w:rsidRPr="001C33E7" w:rsidRDefault="003910D0" w:rsidP="00F558C2">
            <w:pPr>
              <w:pStyle w:val="TableText0"/>
              <w:keepNext w:val="0"/>
            </w:pPr>
            <w:r w:rsidRPr="001C33E7">
              <w:t>1.00x10</w:t>
            </w:r>
            <w:r w:rsidRPr="001C33E7">
              <w:rPr>
                <w:vertAlign w:val="superscript"/>
              </w:rPr>
              <w:t>10</w:t>
            </w:r>
          </w:p>
        </w:tc>
        <w:tc>
          <w:tcPr>
            <w:tcW w:w="1984" w:type="dxa"/>
            <w:vAlign w:val="bottom"/>
          </w:tcPr>
          <w:p w14:paraId="543949C8" w14:textId="437404BB" w:rsidR="003910D0" w:rsidRPr="001C33E7" w:rsidRDefault="003910D0" w:rsidP="00F558C2">
            <w:pPr>
              <w:pStyle w:val="TableText0"/>
              <w:keepNext w:val="0"/>
            </w:pPr>
            <w:r w:rsidRPr="001C33E7">
              <w:t>1.00x10</w:t>
            </w:r>
            <w:r w:rsidRPr="001C33E7">
              <w:rPr>
                <w:vertAlign w:val="superscript"/>
              </w:rPr>
              <w:t>10</w:t>
            </w:r>
          </w:p>
        </w:tc>
        <w:tc>
          <w:tcPr>
            <w:tcW w:w="2075" w:type="dxa"/>
            <w:noWrap/>
            <w:vAlign w:val="bottom"/>
          </w:tcPr>
          <w:p w14:paraId="34D070AC" w14:textId="73539882" w:rsidR="003910D0" w:rsidRPr="001C33E7" w:rsidRDefault="003910D0" w:rsidP="00F558C2">
            <w:pPr>
              <w:pStyle w:val="TableText0"/>
              <w:keepNext w:val="0"/>
            </w:pPr>
            <w:r w:rsidRPr="001C33E7">
              <w:t>100%</w:t>
            </w:r>
          </w:p>
        </w:tc>
      </w:tr>
      <w:tr w:rsidR="00AD4297" w:rsidRPr="001C33E7" w14:paraId="7D9998F3" w14:textId="77777777" w:rsidTr="00C6320A">
        <w:trPr>
          <w:trHeight w:val="255"/>
        </w:trPr>
        <w:tc>
          <w:tcPr>
            <w:tcW w:w="3060" w:type="dxa"/>
            <w:vAlign w:val="bottom"/>
          </w:tcPr>
          <w:p w14:paraId="7DA5CBF9" w14:textId="700422F3" w:rsidR="00AD4297" w:rsidRPr="001C33E7" w:rsidRDefault="00AD4297" w:rsidP="00F558C2">
            <w:pPr>
              <w:pStyle w:val="TableText0"/>
              <w:keepNext w:val="0"/>
              <w:rPr>
                <w:b/>
              </w:rPr>
            </w:pPr>
            <w:r w:rsidRPr="001C33E7">
              <w:t>Nucleotides (mg)</w:t>
            </w:r>
          </w:p>
        </w:tc>
        <w:tc>
          <w:tcPr>
            <w:tcW w:w="1897" w:type="dxa"/>
            <w:noWrap/>
            <w:vAlign w:val="bottom"/>
          </w:tcPr>
          <w:p w14:paraId="5C8F0E9C" w14:textId="2E6FA84B" w:rsidR="00AD4297" w:rsidRPr="001C33E7" w:rsidRDefault="00AD4297" w:rsidP="00F558C2">
            <w:pPr>
              <w:pStyle w:val="TableText0"/>
              <w:keepNext w:val="0"/>
            </w:pPr>
            <w:r w:rsidRPr="001C33E7">
              <w:t>16.6</w:t>
            </w:r>
          </w:p>
        </w:tc>
        <w:tc>
          <w:tcPr>
            <w:tcW w:w="1984" w:type="dxa"/>
            <w:noWrap/>
            <w:vAlign w:val="bottom"/>
          </w:tcPr>
          <w:p w14:paraId="773059F3" w14:textId="41B40EC3" w:rsidR="00AD4297" w:rsidRPr="001C33E7" w:rsidRDefault="00AD4297" w:rsidP="00F558C2">
            <w:pPr>
              <w:pStyle w:val="TableText0"/>
              <w:keepNext w:val="0"/>
            </w:pPr>
            <w:r w:rsidRPr="001C33E7">
              <w:t>23.3</w:t>
            </w:r>
          </w:p>
        </w:tc>
        <w:tc>
          <w:tcPr>
            <w:tcW w:w="2075" w:type="dxa"/>
            <w:noWrap/>
            <w:vAlign w:val="bottom"/>
          </w:tcPr>
          <w:p w14:paraId="14F7B2F8" w14:textId="2D12E0EE" w:rsidR="00AD4297" w:rsidRPr="001C33E7" w:rsidRDefault="00AD4297" w:rsidP="00F558C2">
            <w:pPr>
              <w:pStyle w:val="TableText0"/>
              <w:keepNext w:val="0"/>
            </w:pPr>
            <w:r w:rsidRPr="001C33E7">
              <w:t>71%</w:t>
            </w:r>
          </w:p>
        </w:tc>
      </w:tr>
    </w:tbl>
    <w:p w14:paraId="7D6C70B7" w14:textId="5580793A" w:rsidR="0012008B" w:rsidRPr="001C33E7" w:rsidRDefault="0012008B" w:rsidP="00AD4297">
      <w:pPr>
        <w:pStyle w:val="tablenotes"/>
        <w:spacing w:after="120"/>
        <w:jc w:val="left"/>
        <w:rPr>
          <w:rFonts w:ascii="Arial Narrow" w:hAnsi="Arial Narrow"/>
          <w:i/>
          <w:iCs/>
          <w:sz w:val="18"/>
          <w:szCs w:val="18"/>
        </w:rPr>
      </w:pPr>
      <w:r w:rsidRPr="001C33E7">
        <w:rPr>
          <w:rFonts w:ascii="Arial Narrow" w:hAnsi="Arial Narrow"/>
          <w:sz w:val="18"/>
          <w:szCs w:val="18"/>
        </w:rPr>
        <w:t xml:space="preserve">Source: </w:t>
      </w:r>
      <w:bookmarkStart w:id="3" w:name="_Hlk153265989"/>
      <w:r w:rsidR="00655FE2" w:rsidRPr="001C33E7">
        <w:rPr>
          <w:rFonts w:ascii="Arial Narrow" w:hAnsi="Arial Narrow"/>
          <w:sz w:val="18"/>
          <w:szCs w:val="18"/>
        </w:rPr>
        <w:t xml:space="preserve">Table 3 </w:t>
      </w:r>
      <w:r w:rsidR="003910D0" w:rsidRPr="001C33E7">
        <w:rPr>
          <w:rFonts w:ascii="Arial Narrow" w:hAnsi="Arial Narrow"/>
          <w:sz w:val="18"/>
          <w:szCs w:val="18"/>
        </w:rPr>
        <w:t>Neocate Syneo Update Appendix 1.xlsx</w:t>
      </w:r>
      <w:r w:rsidR="00427014" w:rsidRPr="001C33E7">
        <w:rPr>
          <w:rFonts w:ascii="Arial Narrow" w:hAnsi="Arial Narrow"/>
          <w:sz w:val="18"/>
          <w:szCs w:val="18"/>
        </w:rPr>
        <w:t>.</w:t>
      </w:r>
      <w:r w:rsidR="00427014" w:rsidRPr="001C33E7">
        <w:rPr>
          <w:rFonts w:ascii="Arial Narrow" w:hAnsi="Arial Narrow"/>
          <w:i/>
          <w:iCs/>
          <w:sz w:val="18"/>
          <w:szCs w:val="18"/>
        </w:rPr>
        <w:t xml:space="preserve"> </w:t>
      </w:r>
      <w:bookmarkEnd w:id="3"/>
      <w:r w:rsidR="003910D0" w:rsidRPr="001C33E7">
        <w:rPr>
          <w:rFonts w:ascii="Arial Narrow" w:hAnsi="Arial Narrow"/>
          <w:i/>
          <w:iCs/>
          <w:sz w:val="18"/>
          <w:szCs w:val="18"/>
        </w:rPr>
        <w:t xml:space="preserve">% comparison calculated </w:t>
      </w:r>
      <w:r w:rsidR="004A0D7B" w:rsidRPr="001C33E7">
        <w:rPr>
          <w:rFonts w:ascii="Arial Narrow" w:hAnsi="Arial Narrow"/>
          <w:i/>
          <w:iCs/>
          <w:sz w:val="18"/>
          <w:szCs w:val="18"/>
        </w:rPr>
        <w:t>during the evaluation</w:t>
      </w:r>
      <w:r w:rsidR="003910D0" w:rsidRPr="001C33E7">
        <w:rPr>
          <w:rFonts w:ascii="Arial Narrow" w:hAnsi="Arial Narrow"/>
          <w:i/>
          <w:iCs/>
          <w:sz w:val="18"/>
          <w:szCs w:val="18"/>
        </w:rPr>
        <w:t>.</w:t>
      </w:r>
    </w:p>
    <w:p w14:paraId="32025D02" w14:textId="253AD3F4" w:rsidR="003910D0" w:rsidRPr="001C33E7" w:rsidRDefault="003910D0" w:rsidP="003406DB">
      <w:pPr>
        <w:pStyle w:val="3-BodyText"/>
      </w:pPr>
      <w:r w:rsidRPr="001C33E7">
        <w:t xml:space="preserve">The submission presented comparisons of the new nutritional profile against the </w:t>
      </w:r>
      <w:r w:rsidRPr="001C33E7">
        <w:rPr>
          <w:i/>
          <w:iCs/>
        </w:rPr>
        <w:t xml:space="preserve">Australia New Zealand Food Standards Code Standard 2.9.1 Schedule 2 </w:t>
      </w:r>
      <w:r w:rsidRPr="001C33E7">
        <w:t>requirements</w:t>
      </w:r>
      <w:r w:rsidRPr="001C33E7">
        <w:rPr>
          <w:i/>
          <w:iCs/>
        </w:rPr>
        <w:t xml:space="preserve"> </w:t>
      </w:r>
      <w:r w:rsidRPr="001C33E7">
        <w:t xml:space="preserve">and the </w:t>
      </w:r>
      <w:r w:rsidRPr="001C33E7">
        <w:rPr>
          <w:i/>
          <w:iCs/>
        </w:rPr>
        <w:t>Standard 2.9.5 Schedule 2</w:t>
      </w:r>
      <w:r w:rsidRPr="001C33E7">
        <w:t xml:space="preserve"> requirements as well as adequate intake (AI) and recommended daily intake (RDI) requirements for infants and children </w:t>
      </w:r>
      <w:r w:rsidR="00AF04A9" w:rsidRPr="001C33E7">
        <w:t xml:space="preserve">between </w:t>
      </w:r>
      <w:r w:rsidRPr="001C33E7">
        <w:t>1</w:t>
      </w:r>
      <w:r w:rsidR="00AF04A9" w:rsidRPr="001C33E7">
        <w:t xml:space="preserve"> to </w:t>
      </w:r>
      <w:r w:rsidR="00AF04A9" w:rsidRPr="001C33E7">
        <w:lastRenderedPageBreak/>
        <w:t>20 years</w:t>
      </w:r>
      <w:r w:rsidR="00F558C2" w:rsidRPr="001C33E7">
        <w:t>.</w:t>
      </w:r>
      <w:r w:rsidR="00AF04A9" w:rsidRPr="001C33E7">
        <w:t xml:space="preserve"> </w:t>
      </w:r>
      <w:r w:rsidR="00D66D99" w:rsidRPr="001C33E7">
        <w:t xml:space="preserve">The submission acknowledged the few deviations from AI/RDI values defined by the National Health and Medical Research Council (NHMRC) in certain vitamins and minerals in certain age groups, </w:t>
      </w:r>
      <w:r w:rsidR="00581075" w:rsidRPr="001C33E7">
        <w:t xml:space="preserve">and noted that </w:t>
      </w:r>
      <w:r w:rsidR="00D66D99" w:rsidRPr="001C33E7">
        <w:t xml:space="preserve">none of </w:t>
      </w:r>
      <w:r w:rsidR="00581075" w:rsidRPr="001C33E7">
        <w:t xml:space="preserve">the deviations were </w:t>
      </w:r>
      <w:r w:rsidR="00D66D99" w:rsidRPr="001C33E7">
        <w:t>regarded to be of nutritional concern</w:t>
      </w:r>
      <w:r w:rsidR="00F558C2" w:rsidRPr="001C33E7">
        <w:t>.</w:t>
      </w:r>
      <w:r w:rsidR="00D66D99" w:rsidRPr="001C33E7">
        <w:t xml:space="preserve"> </w:t>
      </w:r>
      <w:r w:rsidR="000667C3" w:rsidRPr="001C33E7">
        <w:t xml:space="preserve">Overall, the submission claimed the comparisons </w:t>
      </w:r>
      <w:r w:rsidR="00A74230" w:rsidRPr="001C33E7">
        <w:t xml:space="preserve">of the current and new formulation </w:t>
      </w:r>
      <w:r w:rsidR="000667C3" w:rsidRPr="001C33E7">
        <w:t xml:space="preserve">showed general compliance </w:t>
      </w:r>
      <w:r w:rsidR="00A74230" w:rsidRPr="001C33E7">
        <w:t xml:space="preserve">of </w:t>
      </w:r>
      <w:r w:rsidR="000667C3" w:rsidRPr="001C33E7">
        <w:t xml:space="preserve">the new formulation </w:t>
      </w:r>
      <w:r w:rsidR="00A74230" w:rsidRPr="001C33E7">
        <w:t xml:space="preserve">with </w:t>
      </w:r>
      <w:r w:rsidR="000667C3" w:rsidRPr="001C33E7">
        <w:t>the standards, AIs and RDIs.</w:t>
      </w:r>
    </w:p>
    <w:p w14:paraId="798C1EB1" w14:textId="6877DD04" w:rsidR="001C5DBB" w:rsidRPr="001C33E7" w:rsidRDefault="001C5DBB" w:rsidP="0010291A">
      <w:pPr>
        <w:pStyle w:val="3-BodyText"/>
      </w:pPr>
      <w:r w:rsidRPr="001C33E7">
        <w:t xml:space="preserve">The </w:t>
      </w:r>
      <w:r w:rsidR="00E40272" w:rsidRPr="001C33E7">
        <w:t>PBAC</w:t>
      </w:r>
      <w:r w:rsidRPr="001C33E7">
        <w:t xml:space="preserve"> </w:t>
      </w:r>
      <w:r w:rsidR="00F558C2" w:rsidRPr="001C33E7">
        <w:t xml:space="preserve">considered </w:t>
      </w:r>
      <w:r w:rsidRPr="001C33E7">
        <w:t xml:space="preserve">the new formulation is expected to provide non-inferior clinical </w:t>
      </w:r>
      <w:r w:rsidR="008A4DC8" w:rsidRPr="001C33E7">
        <w:t xml:space="preserve">effectiveness </w:t>
      </w:r>
      <w:r w:rsidRPr="001C33E7">
        <w:t>in comparison to the current formulation</w:t>
      </w:r>
      <w:r w:rsidR="00DE6A2B" w:rsidRPr="001C33E7">
        <w:t>.</w:t>
      </w:r>
    </w:p>
    <w:p w14:paraId="5EB16602" w14:textId="75E6B918" w:rsidR="00D70349" w:rsidRPr="001C33E7" w:rsidRDefault="00D70349" w:rsidP="00D70349">
      <w:pPr>
        <w:pStyle w:val="4-SubsectionHeading"/>
        <w:rPr>
          <w:lang w:eastAsia="en-US"/>
        </w:rPr>
      </w:pPr>
      <w:r w:rsidRPr="001C33E7">
        <w:rPr>
          <w:lang w:eastAsia="en-US"/>
        </w:rPr>
        <w:t xml:space="preserve">Estimated PBS </w:t>
      </w:r>
      <w:r w:rsidR="00276BE3" w:rsidRPr="001C33E7">
        <w:rPr>
          <w:lang w:eastAsia="en-US"/>
        </w:rPr>
        <w:t>usage</w:t>
      </w:r>
      <w:r w:rsidRPr="001C33E7">
        <w:rPr>
          <w:lang w:eastAsia="en-US"/>
        </w:rPr>
        <w:t xml:space="preserve"> and financial implications</w:t>
      </w:r>
    </w:p>
    <w:p w14:paraId="082BB80B" w14:textId="4892CC47" w:rsidR="00F558C2" w:rsidRPr="001C33E7" w:rsidRDefault="00A647A8" w:rsidP="004F6388">
      <w:pPr>
        <w:pStyle w:val="3-BodyText"/>
        <w:rPr>
          <w:rFonts w:ascii="Calibri" w:eastAsia="Times New Roman" w:hAnsi="Calibri" w:cs="Times New Roman"/>
          <w:szCs w:val="24"/>
        </w:rPr>
      </w:pPr>
      <w:r w:rsidRPr="001C33E7">
        <w:t xml:space="preserve">The submission did not present economic or financial analyses. </w:t>
      </w:r>
      <w:r w:rsidR="00AF04A9" w:rsidRPr="001C33E7">
        <w:t xml:space="preserve">The submission requested no change to the current price or PBS restriction of Neocate Syneo. </w:t>
      </w:r>
      <w:r w:rsidRPr="001C33E7">
        <w:t>The submission stated the formulation change should have no financial impact to the PBS/RPBS.</w:t>
      </w:r>
      <w:r w:rsidR="00AF04A9" w:rsidRPr="001C33E7">
        <w:t xml:space="preserve"> </w:t>
      </w:r>
      <w:r w:rsidR="00FC16EA" w:rsidRPr="001C33E7">
        <w:t xml:space="preserve">The </w:t>
      </w:r>
      <w:r w:rsidR="00F558C2" w:rsidRPr="001C33E7">
        <w:t>Pre-PBAC Response</w:t>
      </w:r>
      <w:r w:rsidRPr="001C33E7">
        <w:t xml:space="preserve"> </w:t>
      </w:r>
      <w:r w:rsidR="00FC16EA" w:rsidRPr="001C33E7">
        <w:t xml:space="preserve">stated </w:t>
      </w:r>
      <w:r w:rsidR="00F558C2" w:rsidRPr="001C33E7">
        <w:t>the</w:t>
      </w:r>
      <w:r w:rsidR="00FC16EA" w:rsidRPr="001C33E7">
        <w:t xml:space="preserve">re are no </w:t>
      </w:r>
      <w:r w:rsidRPr="001C33E7">
        <w:t>anticipate</w:t>
      </w:r>
      <w:r w:rsidR="00FC16EA" w:rsidRPr="001C33E7">
        <w:t>d</w:t>
      </w:r>
      <w:r w:rsidRPr="001C33E7">
        <w:t xml:space="preserve"> changes to product market growth and service delivery arrangements associated with the formulation change.</w:t>
      </w:r>
    </w:p>
    <w:p w14:paraId="2F17E310" w14:textId="77777777" w:rsidR="00D858F8" w:rsidRPr="001C33E7" w:rsidRDefault="00D858F8" w:rsidP="0010291A">
      <w:pPr>
        <w:pStyle w:val="2-SectionHeading"/>
      </w:pPr>
      <w:r w:rsidRPr="001C33E7">
        <w:t>NPWP consideration</w:t>
      </w:r>
    </w:p>
    <w:p w14:paraId="426EBB86" w14:textId="5A584407" w:rsidR="00D858F8" w:rsidRPr="001C33E7" w:rsidRDefault="00D858F8" w:rsidP="0010291A">
      <w:pPr>
        <w:pStyle w:val="3-BodyText"/>
      </w:pPr>
      <w:r w:rsidRPr="001C33E7">
        <w:t xml:space="preserve">The </w:t>
      </w:r>
      <w:bookmarkStart w:id="4" w:name="_Hlk126315232"/>
      <w:r w:rsidRPr="001C33E7">
        <w:t>Nutritional Products Working Party (NPWP</w:t>
      </w:r>
      <w:bookmarkEnd w:id="4"/>
      <w:r w:rsidRPr="001C33E7">
        <w:t>) advised that the new formulation</w:t>
      </w:r>
      <w:r w:rsidR="002E6608" w:rsidRPr="001C33E7">
        <w:t xml:space="preserve"> </w:t>
      </w:r>
      <w:r w:rsidR="002E6608" w:rsidRPr="001C33E7">
        <w:rPr>
          <w:rFonts w:cstheme="minorHAnsi"/>
          <w:szCs w:val="24"/>
        </w:rPr>
        <w:t>of Neocate Syneo</w:t>
      </w:r>
      <w:r w:rsidRPr="001C33E7">
        <w:t xml:space="preserve"> is expected to provide non-inferior clinical benefit</w:t>
      </w:r>
      <w:r w:rsidR="002E6608" w:rsidRPr="001C33E7">
        <w:t xml:space="preserve"> </w:t>
      </w:r>
      <w:r w:rsidR="002E6608" w:rsidRPr="001C33E7">
        <w:rPr>
          <w:rFonts w:cstheme="minorHAnsi"/>
          <w:szCs w:val="24"/>
        </w:rPr>
        <w:t>in comparison to the current formulation</w:t>
      </w:r>
      <w:r w:rsidRPr="001C33E7">
        <w:t xml:space="preserve"> for the management of cows' milk protein intolerance.</w:t>
      </w:r>
    </w:p>
    <w:p w14:paraId="67C5EE4A" w14:textId="2197B56C" w:rsidR="002E6608" w:rsidRPr="001C33E7" w:rsidRDefault="002E6608" w:rsidP="0010291A">
      <w:pPr>
        <w:pStyle w:val="3-BodyText"/>
      </w:pPr>
      <w:r w:rsidRPr="001C33E7">
        <w:t xml:space="preserve">The NPWP noted that although the manganese was low, it meets the Food Standards Australia New Zealand (FSANZ) standard for infant formula. </w:t>
      </w:r>
    </w:p>
    <w:p w14:paraId="58D78BED" w14:textId="77777777" w:rsidR="0093596E" w:rsidRPr="001C33E7" w:rsidRDefault="00D858F8" w:rsidP="0010291A">
      <w:pPr>
        <w:pStyle w:val="3-BodyText"/>
      </w:pPr>
      <w:r w:rsidRPr="001C33E7">
        <w:t xml:space="preserve">The NPWP noted there is a clinical need for nutritional products for the treatment of cows' milk protein intolerance. </w:t>
      </w:r>
      <w:r w:rsidR="002E6608" w:rsidRPr="001C33E7">
        <w:rPr>
          <w:rFonts w:cstheme="minorHAnsi"/>
          <w:szCs w:val="24"/>
        </w:rPr>
        <w:t xml:space="preserve">The NPWP expressed concern that </w:t>
      </w:r>
      <w:r w:rsidRPr="001C33E7">
        <w:t xml:space="preserve">there were a limited number of alternative nutritional products for the treatment of cows' milk protein intolerance on the PBS </w:t>
      </w:r>
      <w:r w:rsidR="002E6608" w:rsidRPr="001C33E7">
        <w:rPr>
          <w:rFonts w:cstheme="minorHAnsi"/>
          <w:szCs w:val="24"/>
        </w:rPr>
        <w:t xml:space="preserve">due to delistings and supply issues. The NPWP considered that it was essential that a variety of products for the treatment of cows’ milk protein intolerance be included on the PBS, to ensure adequate supply in the event of individual product shortages and to cater to individual preferences. </w:t>
      </w:r>
    </w:p>
    <w:p w14:paraId="73FAA01F" w14:textId="1F417882" w:rsidR="00D858F8" w:rsidRPr="001C33E7" w:rsidRDefault="00D858F8" w:rsidP="0010291A">
      <w:pPr>
        <w:pStyle w:val="3-BodyText"/>
      </w:pPr>
      <w:r w:rsidRPr="001C33E7">
        <w:t xml:space="preserve">The NPWP supported the new formulation of Neocate Syneo continuing to be listed on the PBS under the existing conditions as the existing formulation. </w:t>
      </w:r>
    </w:p>
    <w:p w14:paraId="06527EE6" w14:textId="77777777" w:rsidR="00F558C2" w:rsidRPr="001C33E7" w:rsidRDefault="00F558C2" w:rsidP="00F558C2">
      <w:pPr>
        <w:pStyle w:val="2-SectionHeading"/>
      </w:pPr>
      <w:r w:rsidRPr="001C33E7">
        <w:t>PBAC Outcome</w:t>
      </w:r>
    </w:p>
    <w:p w14:paraId="7390B9AA" w14:textId="1592092E" w:rsidR="00D52353" w:rsidRPr="001C33E7" w:rsidRDefault="00D52353" w:rsidP="00D52353">
      <w:pPr>
        <w:pStyle w:val="3-BodyText"/>
      </w:pPr>
      <w:r w:rsidRPr="001C33E7">
        <w:t xml:space="preserve">The PBAC recommended </w:t>
      </w:r>
      <w:r w:rsidR="00FC16EA" w:rsidRPr="001C33E7">
        <w:t xml:space="preserve">the </w:t>
      </w:r>
      <w:r w:rsidRPr="001C33E7">
        <w:t xml:space="preserve">new formulation of amino acid formula supplemented with prebiotics, </w:t>
      </w:r>
      <w:proofErr w:type="gramStart"/>
      <w:r w:rsidRPr="001C33E7">
        <w:t>probiotics</w:t>
      </w:r>
      <w:proofErr w:type="gramEnd"/>
      <w:r w:rsidRPr="001C33E7">
        <w:t xml:space="preserve"> and long chain polyunsaturated fatty acids (Neocate® Syneo) continue to be listed on the PBS under the existing conditions of the current formulation. </w:t>
      </w:r>
    </w:p>
    <w:p w14:paraId="122F9257" w14:textId="50707755" w:rsidR="00D52353" w:rsidRPr="001C33E7" w:rsidRDefault="00D52353" w:rsidP="00D52353">
      <w:pPr>
        <w:pStyle w:val="3-BodyText"/>
      </w:pPr>
      <w:r w:rsidRPr="001C33E7">
        <w:lastRenderedPageBreak/>
        <w:t>The PBAC noted and supported the NPWP advice that the new formulation is expected to provide a non-inferior clinical benefit for the management of cows' milk protein intolerance, cows’ milk allergy, EoE and the other indicated conditions.</w:t>
      </w:r>
    </w:p>
    <w:p w14:paraId="460DD684" w14:textId="77777777" w:rsidR="00D52353" w:rsidRPr="001C33E7" w:rsidRDefault="00D52353" w:rsidP="00D52353">
      <w:pPr>
        <w:pStyle w:val="3-BodyText"/>
      </w:pPr>
      <w:r w:rsidRPr="001C33E7">
        <w:t>The PBAC noted there were no changes requested to the circumstances under which the existing listings are available.</w:t>
      </w:r>
    </w:p>
    <w:p w14:paraId="1BEB67AA" w14:textId="010B802A" w:rsidR="00D52353" w:rsidRPr="001C33E7" w:rsidRDefault="00D52353" w:rsidP="00D52353">
      <w:pPr>
        <w:pStyle w:val="3-BodyText"/>
      </w:pPr>
      <w:r w:rsidRPr="001C33E7">
        <w:t xml:space="preserve">The PBAC considered the </w:t>
      </w:r>
      <w:r w:rsidR="00EF52C9" w:rsidRPr="001C33E7">
        <w:t xml:space="preserve">new </w:t>
      </w:r>
      <w:r w:rsidRPr="001C33E7">
        <w:t xml:space="preserve">formulation </w:t>
      </w:r>
      <w:r w:rsidR="00445128" w:rsidRPr="001C33E7">
        <w:t xml:space="preserve">is not expected to have impacts on current </w:t>
      </w:r>
      <w:r w:rsidRPr="001C33E7">
        <w:t xml:space="preserve">utilisation </w:t>
      </w:r>
      <w:r w:rsidR="00445128" w:rsidRPr="001C33E7">
        <w:t xml:space="preserve">of the product </w:t>
      </w:r>
      <w:r w:rsidRPr="001C33E7">
        <w:t xml:space="preserve">or </w:t>
      </w:r>
      <w:r w:rsidR="00445128" w:rsidRPr="001C33E7">
        <w:t xml:space="preserve">the current </w:t>
      </w:r>
      <w:r w:rsidRPr="001C33E7">
        <w:t>cost</w:t>
      </w:r>
      <w:r w:rsidR="00EF52C9" w:rsidRPr="001C33E7">
        <w:t>s</w:t>
      </w:r>
      <w:r w:rsidRPr="001C33E7">
        <w:t xml:space="preserve"> to Government. </w:t>
      </w:r>
    </w:p>
    <w:p w14:paraId="0B015BA3" w14:textId="0F766490" w:rsidR="00D52353" w:rsidRPr="001C33E7" w:rsidRDefault="00D52353" w:rsidP="00D52353">
      <w:pPr>
        <w:pStyle w:val="3-BodyText"/>
      </w:pPr>
      <w:r w:rsidRPr="001C33E7">
        <w:t xml:space="preserve">The PBAC noted </w:t>
      </w:r>
      <w:r w:rsidR="00FC16EA" w:rsidRPr="001C33E7">
        <w:t xml:space="preserve">the concerns raised in </w:t>
      </w:r>
      <w:r w:rsidRPr="001C33E7">
        <w:t xml:space="preserve">the consumer comments and the NPWP </w:t>
      </w:r>
      <w:r w:rsidR="00FC16EA" w:rsidRPr="001C33E7">
        <w:t xml:space="preserve">advice </w:t>
      </w:r>
      <w:r w:rsidRPr="001C33E7">
        <w:t>regarding the clinical need for a</w:t>
      </w:r>
      <w:r w:rsidRPr="001C33E7">
        <w:rPr>
          <w:rFonts w:cstheme="minorHAnsi"/>
          <w:szCs w:val="24"/>
        </w:rPr>
        <w:t xml:space="preserve"> variety of products for the treatment of cows’ milk protein intolerance be included on the PBS, to ensure adequate supply in the event of individual product shortages and to cater to individual preferences.</w:t>
      </w:r>
    </w:p>
    <w:p w14:paraId="30F492D7" w14:textId="77777777" w:rsidR="00D52353" w:rsidRPr="001C33E7" w:rsidRDefault="00D52353" w:rsidP="00D52353">
      <w:pPr>
        <w:pStyle w:val="3-BodyText"/>
      </w:pPr>
      <w:r w:rsidRPr="001C33E7">
        <w:t xml:space="preserve">The PBAC noted that this submission is not eligible for an Independent Review as it received a positive recommendation. </w:t>
      </w:r>
    </w:p>
    <w:p w14:paraId="5AD00169" w14:textId="77777777" w:rsidR="00F558C2" w:rsidRPr="005C4051" w:rsidRDefault="00F558C2" w:rsidP="00F558C2">
      <w:pPr>
        <w:rPr>
          <w:rFonts w:asciiTheme="minorHAnsi" w:hAnsiTheme="minorHAnsi" w:cs="Arial"/>
          <w:b/>
          <w:bCs/>
          <w:snapToGrid w:val="0"/>
        </w:rPr>
      </w:pPr>
      <w:r w:rsidRPr="005C4051">
        <w:rPr>
          <w:rFonts w:asciiTheme="minorHAnsi" w:hAnsiTheme="minorHAnsi" w:cs="Arial"/>
          <w:b/>
          <w:bCs/>
          <w:snapToGrid w:val="0"/>
        </w:rPr>
        <w:t>Outcome:</w:t>
      </w:r>
    </w:p>
    <w:p w14:paraId="78D305B6" w14:textId="1718D905" w:rsidR="00F558C2" w:rsidRPr="005C4051" w:rsidRDefault="00F558C2" w:rsidP="00F558C2">
      <w:pPr>
        <w:rPr>
          <w:rFonts w:asciiTheme="minorHAnsi" w:hAnsiTheme="minorHAnsi" w:cs="Arial"/>
          <w:bCs/>
          <w:snapToGrid w:val="0"/>
        </w:rPr>
      </w:pPr>
      <w:r w:rsidRPr="005C4051">
        <w:rPr>
          <w:rFonts w:asciiTheme="minorHAnsi" w:hAnsiTheme="minorHAnsi" w:cs="Arial"/>
          <w:bCs/>
          <w:snapToGrid w:val="0"/>
        </w:rPr>
        <w:t>Recommended</w:t>
      </w:r>
    </w:p>
    <w:p w14:paraId="528F1EE3" w14:textId="77777777" w:rsidR="00F558C2" w:rsidRPr="005C4051" w:rsidRDefault="00F558C2" w:rsidP="00F558C2">
      <w:pPr>
        <w:rPr>
          <w:rFonts w:asciiTheme="minorHAnsi" w:hAnsiTheme="minorHAnsi" w:cs="Arial"/>
          <w:bCs/>
          <w:snapToGrid w:val="0"/>
        </w:rPr>
      </w:pPr>
    </w:p>
    <w:p w14:paraId="06B00591" w14:textId="77777777" w:rsidR="00F558C2" w:rsidRPr="001C33E7" w:rsidRDefault="00F558C2" w:rsidP="00F558C2">
      <w:pPr>
        <w:pStyle w:val="2-SectionHeading"/>
      </w:pPr>
      <w:r w:rsidRPr="001C33E7">
        <w:t>Recommended listing</w:t>
      </w:r>
    </w:p>
    <w:p w14:paraId="3A64105B" w14:textId="5F3B3EDB" w:rsidR="00F558C2" w:rsidRPr="00CE7F34" w:rsidRDefault="00F558C2" w:rsidP="002A10DF">
      <w:pPr>
        <w:pStyle w:val="3-BodyText"/>
        <w:jc w:val="left"/>
      </w:pPr>
      <w:r w:rsidRPr="00CF05DA">
        <w:rPr>
          <w:snapToGrid w:val="0"/>
        </w:rPr>
        <w:t xml:space="preserve">No change to the existing listing. </w:t>
      </w:r>
    </w:p>
    <w:p w14:paraId="74CBF7CD" w14:textId="77777777" w:rsidR="00CE7F34" w:rsidRPr="00D4216F" w:rsidRDefault="00CE7F34" w:rsidP="00CE7F34">
      <w:pPr>
        <w:pStyle w:val="2-SectionHeading"/>
        <w:keepLines/>
        <w:numPr>
          <w:ilvl w:val="0"/>
          <w:numId w:val="1"/>
        </w:numPr>
      </w:pPr>
      <w:r w:rsidRPr="00C07617">
        <w:t>Context for Decision</w:t>
      </w:r>
    </w:p>
    <w:p w14:paraId="4FEE5F85" w14:textId="77777777" w:rsidR="00CE7F34" w:rsidRPr="00D4216F" w:rsidRDefault="00CE7F34" w:rsidP="00CE7F34">
      <w:pPr>
        <w:keepNext/>
        <w:keepLines/>
        <w:widowControl w:val="0"/>
        <w:spacing w:after="120"/>
        <w:ind w:left="720"/>
        <w:rPr>
          <w:rFonts w:asciiTheme="minorHAnsi" w:hAnsiTheme="minorHAnsi"/>
          <w:bCs/>
          <w:snapToGrid w:val="0"/>
        </w:rPr>
      </w:pPr>
      <w:r w:rsidRPr="00D4216F">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D34876" w14:textId="77777777" w:rsidR="00CE7F34" w:rsidRPr="00D4216F" w:rsidRDefault="00CE7F34" w:rsidP="00CE7F34">
      <w:pPr>
        <w:pStyle w:val="2-SectionHeading"/>
        <w:keepLines/>
        <w:numPr>
          <w:ilvl w:val="0"/>
          <w:numId w:val="1"/>
        </w:numPr>
      </w:pPr>
      <w:r>
        <w:t>Sponsor’s Comment</w:t>
      </w:r>
    </w:p>
    <w:p w14:paraId="08FD8C9D" w14:textId="074639CE" w:rsidR="00CE7F34" w:rsidRPr="00CF05DA" w:rsidRDefault="00CE7F34" w:rsidP="00B7325E">
      <w:pPr>
        <w:keepNext/>
        <w:keepLines/>
        <w:widowControl w:val="0"/>
        <w:spacing w:after="120"/>
        <w:ind w:firstLine="720"/>
      </w:pPr>
      <w:r w:rsidRPr="00D4216F">
        <w:rPr>
          <w:rFonts w:asciiTheme="minorHAnsi" w:hAnsiTheme="minorHAnsi"/>
          <w:bCs/>
          <w:snapToGrid w:val="0"/>
        </w:rPr>
        <w:t>The sponsor had no comment.</w:t>
      </w:r>
    </w:p>
    <w:sectPr w:rsidR="00CE7F34" w:rsidRPr="00CF05D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endnote>
  <w:endnote w:type="continuationSeparator" w:id="0">
    <w:p w14:paraId="1023D6E6" w14:textId="77777777" w:rsidR="000E3168" w:rsidRDefault="000E3168">
      <w:r>
        <w:continuationSeparator/>
      </w:r>
    </w:p>
    <w:p w14:paraId="49F7FF8C" w14:textId="77777777" w:rsidR="000E3168" w:rsidRDefault="000E3168"/>
  </w:endnote>
  <w:endnote w:type="continuationNotice" w:id="1">
    <w:p w14:paraId="6724B856" w14:textId="77777777"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636CE189" w:rsidR="009C26AA" w:rsidRPr="009B10C0" w:rsidRDefault="00401640" w:rsidP="00C56D78">
    <w:pPr>
      <w:pStyle w:val="MinorOVRHeader"/>
      <w:jc w:val="center"/>
      <w:rPr>
        <w:b/>
        <w:bCs/>
      </w:rPr>
    </w:pPr>
    <w:r w:rsidRPr="009B10C0">
      <w:rPr>
        <w:b/>
        <w:bCs/>
      </w:rPr>
      <w:fldChar w:fldCharType="begin"/>
    </w:r>
    <w:r w:rsidRPr="00502961">
      <w:rPr>
        <w:b/>
        <w:bCs/>
      </w:rPr>
      <w:instrText xml:space="preserve"> PAGE   \* MERGEFORMAT </w:instrText>
    </w:r>
    <w:r w:rsidRPr="009B10C0">
      <w:rPr>
        <w:b/>
        <w:bCs/>
      </w:rPr>
      <w:fldChar w:fldCharType="separate"/>
    </w:r>
    <w:r w:rsidRPr="00502961">
      <w:rPr>
        <w:b/>
        <w:bCs/>
      </w:rPr>
      <w:t>1</w:t>
    </w:r>
    <w:r w:rsidRPr="009B10C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footnote>
  <w:footnote w:type="continuationSeparator" w:id="0">
    <w:p w14:paraId="3D3ACA01" w14:textId="77777777" w:rsidR="000E3168" w:rsidRDefault="000E3168">
      <w:r>
        <w:continuationSeparator/>
      </w:r>
    </w:p>
    <w:p w14:paraId="13646221" w14:textId="77777777" w:rsidR="000E3168" w:rsidRDefault="000E3168"/>
  </w:footnote>
  <w:footnote w:type="continuationNotice" w:id="1">
    <w:p w14:paraId="06ABA1D1" w14:textId="77777777" w:rsidR="000E3168" w:rsidRDefault="000E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4258"/>
      <w:gridCol w:w="594"/>
      <w:gridCol w:w="4060"/>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12DFE069" w:rsidR="009C26AA" w:rsidRPr="00A06225" w:rsidRDefault="009C26AA" w:rsidP="00A06225">
          <w:pPr>
            <w:pStyle w:val="MediumGrid21"/>
            <w:rPr>
              <w:rFonts w:ascii="Cambria" w:hAnsi="Cambria"/>
              <w:color w:val="4F81BD"/>
              <w:szCs w:val="20"/>
            </w:rPr>
          </w:pP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612A1A71" w:rsidR="00C56D78" w:rsidRPr="00154F16" w:rsidRDefault="00CE7F34" w:rsidP="00C56D78">
    <w:pPr>
      <w:keepNext/>
      <w:tabs>
        <w:tab w:val="center" w:pos="4513"/>
        <w:tab w:val="right" w:pos="9026"/>
      </w:tabs>
      <w:jc w:val="center"/>
      <w:rPr>
        <w:rFonts w:asciiTheme="minorHAnsi" w:eastAsiaTheme="minorEastAsia" w:hAnsiTheme="minorHAnsi" w:cstheme="minorHAnsi"/>
        <w:i/>
      </w:rPr>
    </w:pPr>
    <w:r w:rsidRPr="0015274C">
      <w:rPr>
        <w:rFonts w:cs="Calibri"/>
        <w:i/>
      </w:rPr>
      <w:t xml:space="preserve">Public Summary Document </w:t>
    </w:r>
    <w:r w:rsidR="00CC2224" w:rsidRPr="00154F16">
      <w:rPr>
        <w:rFonts w:asciiTheme="minorHAnsi" w:eastAsiaTheme="minorEastAsia" w:hAnsiTheme="minorHAnsi" w:cstheme="minorHAnsi"/>
        <w:i/>
      </w:rPr>
      <w:t xml:space="preserve">– </w:t>
    </w:r>
    <w:r w:rsidR="00C56D78" w:rsidRPr="00154F16">
      <w:rPr>
        <w:rFonts w:asciiTheme="minorHAnsi" w:eastAsiaTheme="minorEastAsia" w:hAnsiTheme="minorHAnsi" w:cstheme="minorHAnsi"/>
        <w:i/>
      </w:rPr>
      <w:t>M</w:t>
    </w:r>
    <w:r w:rsidR="009B10C0" w:rsidRPr="00154F16">
      <w:rPr>
        <w:rFonts w:asciiTheme="minorHAnsi" w:eastAsiaTheme="minorEastAsia" w:hAnsiTheme="minorHAnsi" w:cstheme="minorHAnsi"/>
        <w:i/>
      </w:rPr>
      <w:t>arch</w:t>
    </w:r>
    <w:r w:rsidR="00C56D78" w:rsidRPr="00154F16">
      <w:rPr>
        <w:rFonts w:asciiTheme="minorHAnsi" w:eastAsiaTheme="minorEastAsia" w:hAnsiTheme="minorHAnsi" w:cstheme="minorHAnsi"/>
        <w:i/>
      </w:rPr>
      <w:t xml:space="preserve"> 202</w:t>
    </w:r>
    <w:r w:rsidR="009B10C0" w:rsidRPr="00154F16">
      <w:rPr>
        <w:rFonts w:asciiTheme="minorHAnsi" w:eastAsiaTheme="minorEastAsia" w:hAnsiTheme="minorHAnsi" w:cstheme="minorHAnsi"/>
        <w:i/>
      </w:rPr>
      <w:t>4</w:t>
    </w:r>
    <w:r w:rsidR="00C56D78" w:rsidRPr="00154F16">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FDE" w14:textId="77777777" w:rsidR="003264B7" w:rsidRDefault="00326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1" w15:restartNumberingAfterBreak="0">
    <w:nsid w:val="30346AD7"/>
    <w:multiLevelType w:val="hybridMultilevel"/>
    <w:tmpl w:val="BB94A876"/>
    <w:lvl w:ilvl="0" w:tplc="3536DA2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84D033C"/>
    <w:multiLevelType w:val="multilevel"/>
    <w:tmpl w:val="4044E9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4"/>
  </w:num>
  <w:num w:numId="2" w16cid:durableId="1159004663">
    <w:abstractNumId w:val="3"/>
  </w:num>
  <w:num w:numId="3" w16cid:durableId="495537779">
    <w:abstractNumId w:val="2"/>
  </w:num>
  <w:num w:numId="4" w16cid:durableId="1468400811">
    <w:abstractNumId w:val="0"/>
  </w:num>
  <w:num w:numId="5" w16cid:durableId="309137375">
    <w:abstractNumId w:val="1"/>
  </w:num>
  <w:num w:numId="6" w16cid:durableId="13252356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ED0"/>
    <w:rsid w:val="00021F20"/>
    <w:rsid w:val="0002464A"/>
    <w:rsid w:val="00025A04"/>
    <w:rsid w:val="0002693D"/>
    <w:rsid w:val="0003050E"/>
    <w:rsid w:val="0003106B"/>
    <w:rsid w:val="0003351F"/>
    <w:rsid w:val="000335B9"/>
    <w:rsid w:val="00033E2C"/>
    <w:rsid w:val="00034905"/>
    <w:rsid w:val="00037906"/>
    <w:rsid w:val="00040A30"/>
    <w:rsid w:val="000421A1"/>
    <w:rsid w:val="0004240E"/>
    <w:rsid w:val="000425A2"/>
    <w:rsid w:val="00044E52"/>
    <w:rsid w:val="00044EC4"/>
    <w:rsid w:val="00045E26"/>
    <w:rsid w:val="00046903"/>
    <w:rsid w:val="000514B5"/>
    <w:rsid w:val="000521ED"/>
    <w:rsid w:val="0005322E"/>
    <w:rsid w:val="00054E2B"/>
    <w:rsid w:val="00060E64"/>
    <w:rsid w:val="000621AB"/>
    <w:rsid w:val="00062C03"/>
    <w:rsid w:val="00062E88"/>
    <w:rsid w:val="00066193"/>
    <w:rsid w:val="00066755"/>
    <w:rsid w:val="000667C3"/>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3337"/>
    <w:rsid w:val="000C5740"/>
    <w:rsid w:val="000C5F95"/>
    <w:rsid w:val="000C6996"/>
    <w:rsid w:val="000C7C46"/>
    <w:rsid w:val="000D09E9"/>
    <w:rsid w:val="000D113F"/>
    <w:rsid w:val="000D23BA"/>
    <w:rsid w:val="000E19B7"/>
    <w:rsid w:val="000E20FC"/>
    <w:rsid w:val="000E3168"/>
    <w:rsid w:val="000E3C1D"/>
    <w:rsid w:val="000E3DFB"/>
    <w:rsid w:val="000E5EA1"/>
    <w:rsid w:val="000E681E"/>
    <w:rsid w:val="000E696B"/>
    <w:rsid w:val="000E7E52"/>
    <w:rsid w:val="000E7E90"/>
    <w:rsid w:val="000EE1C7"/>
    <w:rsid w:val="000F0003"/>
    <w:rsid w:val="000F3374"/>
    <w:rsid w:val="000F3384"/>
    <w:rsid w:val="000F4E6A"/>
    <w:rsid w:val="000F6ABB"/>
    <w:rsid w:val="000F7354"/>
    <w:rsid w:val="000F7C27"/>
    <w:rsid w:val="0010052A"/>
    <w:rsid w:val="00101ABE"/>
    <w:rsid w:val="00102202"/>
    <w:rsid w:val="00102700"/>
    <w:rsid w:val="0010291A"/>
    <w:rsid w:val="00102A78"/>
    <w:rsid w:val="00103118"/>
    <w:rsid w:val="00103F1B"/>
    <w:rsid w:val="00104227"/>
    <w:rsid w:val="001053D5"/>
    <w:rsid w:val="00107409"/>
    <w:rsid w:val="001107BF"/>
    <w:rsid w:val="00113649"/>
    <w:rsid w:val="00113D5C"/>
    <w:rsid w:val="00116B03"/>
    <w:rsid w:val="0012008B"/>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7D84"/>
    <w:rsid w:val="00151CBD"/>
    <w:rsid w:val="0015274C"/>
    <w:rsid w:val="001533C3"/>
    <w:rsid w:val="001549C1"/>
    <w:rsid w:val="00154F16"/>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196"/>
    <w:rsid w:val="001864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33E7"/>
    <w:rsid w:val="001C5DBB"/>
    <w:rsid w:val="001D1F5F"/>
    <w:rsid w:val="001E06D2"/>
    <w:rsid w:val="001E17C4"/>
    <w:rsid w:val="001E2A47"/>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B87"/>
    <w:rsid w:val="002174FD"/>
    <w:rsid w:val="00217BE1"/>
    <w:rsid w:val="002206D5"/>
    <w:rsid w:val="00221361"/>
    <w:rsid w:val="002214B9"/>
    <w:rsid w:val="00221824"/>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7664"/>
    <w:rsid w:val="00260165"/>
    <w:rsid w:val="00265151"/>
    <w:rsid w:val="00265C2C"/>
    <w:rsid w:val="00266509"/>
    <w:rsid w:val="00271BA1"/>
    <w:rsid w:val="00272BEA"/>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491"/>
    <w:rsid w:val="002B0AE0"/>
    <w:rsid w:val="002B1AE6"/>
    <w:rsid w:val="002B1D51"/>
    <w:rsid w:val="002B2DE8"/>
    <w:rsid w:val="002B30F8"/>
    <w:rsid w:val="002B388A"/>
    <w:rsid w:val="002B3BFE"/>
    <w:rsid w:val="002B3C1A"/>
    <w:rsid w:val="002B4C2A"/>
    <w:rsid w:val="002B5596"/>
    <w:rsid w:val="002B77D7"/>
    <w:rsid w:val="002B7951"/>
    <w:rsid w:val="002C0763"/>
    <w:rsid w:val="002C12BB"/>
    <w:rsid w:val="002C212F"/>
    <w:rsid w:val="002C2F35"/>
    <w:rsid w:val="002C6AA9"/>
    <w:rsid w:val="002C7485"/>
    <w:rsid w:val="002D2641"/>
    <w:rsid w:val="002D283A"/>
    <w:rsid w:val="002D4543"/>
    <w:rsid w:val="002D715F"/>
    <w:rsid w:val="002E022A"/>
    <w:rsid w:val="002E3153"/>
    <w:rsid w:val="002E4A02"/>
    <w:rsid w:val="002E5292"/>
    <w:rsid w:val="002E5374"/>
    <w:rsid w:val="002E6608"/>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607C"/>
    <w:rsid w:val="003264B7"/>
    <w:rsid w:val="00326E79"/>
    <w:rsid w:val="0032748A"/>
    <w:rsid w:val="003301B1"/>
    <w:rsid w:val="00331189"/>
    <w:rsid w:val="0033263D"/>
    <w:rsid w:val="00334E69"/>
    <w:rsid w:val="0033518A"/>
    <w:rsid w:val="00335535"/>
    <w:rsid w:val="003367EF"/>
    <w:rsid w:val="00341AE4"/>
    <w:rsid w:val="003425CA"/>
    <w:rsid w:val="00343A34"/>
    <w:rsid w:val="00343FB7"/>
    <w:rsid w:val="003476EE"/>
    <w:rsid w:val="003541DD"/>
    <w:rsid w:val="00356E5B"/>
    <w:rsid w:val="00360887"/>
    <w:rsid w:val="0036249F"/>
    <w:rsid w:val="00371246"/>
    <w:rsid w:val="003736C9"/>
    <w:rsid w:val="00383B77"/>
    <w:rsid w:val="00384988"/>
    <w:rsid w:val="003872CF"/>
    <w:rsid w:val="003874CB"/>
    <w:rsid w:val="003910D0"/>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3B8C"/>
    <w:rsid w:val="003B49B2"/>
    <w:rsid w:val="003B6124"/>
    <w:rsid w:val="003B7960"/>
    <w:rsid w:val="003C0908"/>
    <w:rsid w:val="003C093A"/>
    <w:rsid w:val="003C1ECF"/>
    <w:rsid w:val="003C2FB5"/>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269D2"/>
    <w:rsid w:val="00427014"/>
    <w:rsid w:val="00430D39"/>
    <w:rsid w:val="00442C91"/>
    <w:rsid w:val="00444E9D"/>
    <w:rsid w:val="00445128"/>
    <w:rsid w:val="004465BD"/>
    <w:rsid w:val="00446938"/>
    <w:rsid w:val="00451280"/>
    <w:rsid w:val="004528FA"/>
    <w:rsid w:val="00452A6C"/>
    <w:rsid w:val="00461A44"/>
    <w:rsid w:val="00462D26"/>
    <w:rsid w:val="0046368B"/>
    <w:rsid w:val="0046385A"/>
    <w:rsid w:val="00464039"/>
    <w:rsid w:val="00466ADA"/>
    <w:rsid w:val="004702BB"/>
    <w:rsid w:val="0047471C"/>
    <w:rsid w:val="0047494B"/>
    <w:rsid w:val="00476245"/>
    <w:rsid w:val="00477A9B"/>
    <w:rsid w:val="00482AE4"/>
    <w:rsid w:val="00483035"/>
    <w:rsid w:val="00485940"/>
    <w:rsid w:val="00486C95"/>
    <w:rsid w:val="004877C2"/>
    <w:rsid w:val="004904B9"/>
    <w:rsid w:val="00491EDC"/>
    <w:rsid w:val="004928E1"/>
    <w:rsid w:val="00492D8D"/>
    <w:rsid w:val="00496662"/>
    <w:rsid w:val="004A0D7B"/>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692D"/>
    <w:rsid w:val="004E7230"/>
    <w:rsid w:val="004E7D87"/>
    <w:rsid w:val="004F2553"/>
    <w:rsid w:val="004F306A"/>
    <w:rsid w:val="00501554"/>
    <w:rsid w:val="00502961"/>
    <w:rsid w:val="00502AFE"/>
    <w:rsid w:val="00502E64"/>
    <w:rsid w:val="00503AD7"/>
    <w:rsid w:val="00503E89"/>
    <w:rsid w:val="00504E0C"/>
    <w:rsid w:val="00504E13"/>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484E"/>
    <w:rsid w:val="00565999"/>
    <w:rsid w:val="00567D8A"/>
    <w:rsid w:val="00570231"/>
    <w:rsid w:val="005714B7"/>
    <w:rsid w:val="005764CD"/>
    <w:rsid w:val="00577C4D"/>
    <w:rsid w:val="00580532"/>
    <w:rsid w:val="00581075"/>
    <w:rsid w:val="00581932"/>
    <w:rsid w:val="00583002"/>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6FA"/>
    <w:rsid w:val="005C4051"/>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E7C45"/>
    <w:rsid w:val="005F0AD0"/>
    <w:rsid w:val="005F0C3F"/>
    <w:rsid w:val="005F4959"/>
    <w:rsid w:val="00601A91"/>
    <w:rsid w:val="0060227E"/>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63BF"/>
    <w:rsid w:val="0062748A"/>
    <w:rsid w:val="00630546"/>
    <w:rsid w:val="00630A2C"/>
    <w:rsid w:val="00634512"/>
    <w:rsid w:val="00634A75"/>
    <w:rsid w:val="006357B2"/>
    <w:rsid w:val="0063682E"/>
    <w:rsid w:val="00640088"/>
    <w:rsid w:val="00642672"/>
    <w:rsid w:val="00642DA8"/>
    <w:rsid w:val="006436CD"/>
    <w:rsid w:val="00650976"/>
    <w:rsid w:val="00651169"/>
    <w:rsid w:val="00653D69"/>
    <w:rsid w:val="006552E6"/>
    <w:rsid w:val="00655794"/>
    <w:rsid w:val="00655FE2"/>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B0D94"/>
    <w:rsid w:val="006B16B6"/>
    <w:rsid w:val="006B2D57"/>
    <w:rsid w:val="006B485D"/>
    <w:rsid w:val="006B7DDA"/>
    <w:rsid w:val="006C0C45"/>
    <w:rsid w:val="006C2806"/>
    <w:rsid w:val="006C334C"/>
    <w:rsid w:val="006C6C10"/>
    <w:rsid w:val="006C708E"/>
    <w:rsid w:val="006D14E7"/>
    <w:rsid w:val="006D4444"/>
    <w:rsid w:val="006D6493"/>
    <w:rsid w:val="006D6A09"/>
    <w:rsid w:val="006D6EC7"/>
    <w:rsid w:val="006D7B05"/>
    <w:rsid w:val="006D7E45"/>
    <w:rsid w:val="006E1143"/>
    <w:rsid w:val="006E1BCD"/>
    <w:rsid w:val="006E2732"/>
    <w:rsid w:val="006E59CD"/>
    <w:rsid w:val="006E786F"/>
    <w:rsid w:val="006E7CF4"/>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137C"/>
    <w:rsid w:val="007340B9"/>
    <w:rsid w:val="007353D3"/>
    <w:rsid w:val="0073736F"/>
    <w:rsid w:val="0074156B"/>
    <w:rsid w:val="00741619"/>
    <w:rsid w:val="00742885"/>
    <w:rsid w:val="00747092"/>
    <w:rsid w:val="007477FF"/>
    <w:rsid w:val="007526E6"/>
    <w:rsid w:val="00754DF9"/>
    <w:rsid w:val="007555E8"/>
    <w:rsid w:val="00755CC5"/>
    <w:rsid w:val="00762862"/>
    <w:rsid w:val="007642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E0543"/>
    <w:rsid w:val="007E07AC"/>
    <w:rsid w:val="007E1014"/>
    <w:rsid w:val="007E12F8"/>
    <w:rsid w:val="007E1D28"/>
    <w:rsid w:val="007E3AFF"/>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4506"/>
    <w:rsid w:val="00855FD6"/>
    <w:rsid w:val="00856DDD"/>
    <w:rsid w:val="00860233"/>
    <w:rsid w:val="00863E68"/>
    <w:rsid w:val="008647B5"/>
    <w:rsid w:val="00865AA9"/>
    <w:rsid w:val="00867D64"/>
    <w:rsid w:val="00872E8F"/>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4DC8"/>
    <w:rsid w:val="008A50F1"/>
    <w:rsid w:val="008A59D9"/>
    <w:rsid w:val="008A62F0"/>
    <w:rsid w:val="008A643E"/>
    <w:rsid w:val="008A6819"/>
    <w:rsid w:val="008B007A"/>
    <w:rsid w:val="008B2EC0"/>
    <w:rsid w:val="008B6DCF"/>
    <w:rsid w:val="008C4D49"/>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75A"/>
    <w:rsid w:val="00907DFD"/>
    <w:rsid w:val="00913C99"/>
    <w:rsid w:val="00917D69"/>
    <w:rsid w:val="00920B6D"/>
    <w:rsid w:val="00926560"/>
    <w:rsid w:val="009265EC"/>
    <w:rsid w:val="00926B15"/>
    <w:rsid w:val="00930291"/>
    <w:rsid w:val="009306B6"/>
    <w:rsid w:val="00930937"/>
    <w:rsid w:val="009324A6"/>
    <w:rsid w:val="00933B7D"/>
    <w:rsid w:val="00933E6C"/>
    <w:rsid w:val="0093596E"/>
    <w:rsid w:val="00935A6E"/>
    <w:rsid w:val="00937958"/>
    <w:rsid w:val="009406E5"/>
    <w:rsid w:val="00941602"/>
    <w:rsid w:val="00942160"/>
    <w:rsid w:val="00946921"/>
    <w:rsid w:val="00947343"/>
    <w:rsid w:val="0095146F"/>
    <w:rsid w:val="00951E9A"/>
    <w:rsid w:val="00951F2D"/>
    <w:rsid w:val="00952839"/>
    <w:rsid w:val="0095344C"/>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B0062"/>
    <w:rsid w:val="009B0C64"/>
    <w:rsid w:val="009B0F67"/>
    <w:rsid w:val="009B10C0"/>
    <w:rsid w:val="009B208A"/>
    <w:rsid w:val="009B2756"/>
    <w:rsid w:val="009B2D2B"/>
    <w:rsid w:val="009B3D56"/>
    <w:rsid w:val="009B3F8C"/>
    <w:rsid w:val="009B533B"/>
    <w:rsid w:val="009B546B"/>
    <w:rsid w:val="009C26AA"/>
    <w:rsid w:val="009C703C"/>
    <w:rsid w:val="009D0C29"/>
    <w:rsid w:val="009D206E"/>
    <w:rsid w:val="009D3AD6"/>
    <w:rsid w:val="009D3CAA"/>
    <w:rsid w:val="009D507A"/>
    <w:rsid w:val="009D6532"/>
    <w:rsid w:val="009D71FD"/>
    <w:rsid w:val="009E06F0"/>
    <w:rsid w:val="009E0755"/>
    <w:rsid w:val="009E10AD"/>
    <w:rsid w:val="009E2588"/>
    <w:rsid w:val="009E2E8E"/>
    <w:rsid w:val="009E32A2"/>
    <w:rsid w:val="009E33E5"/>
    <w:rsid w:val="009E40E1"/>
    <w:rsid w:val="009F073D"/>
    <w:rsid w:val="009F0EFA"/>
    <w:rsid w:val="009F4E46"/>
    <w:rsid w:val="009F5B65"/>
    <w:rsid w:val="009F5F2E"/>
    <w:rsid w:val="00A01432"/>
    <w:rsid w:val="00A06225"/>
    <w:rsid w:val="00A066E6"/>
    <w:rsid w:val="00A110D1"/>
    <w:rsid w:val="00A12587"/>
    <w:rsid w:val="00A128E6"/>
    <w:rsid w:val="00A144D3"/>
    <w:rsid w:val="00A1628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47A8"/>
    <w:rsid w:val="00A665C1"/>
    <w:rsid w:val="00A673A4"/>
    <w:rsid w:val="00A7001A"/>
    <w:rsid w:val="00A70622"/>
    <w:rsid w:val="00A70977"/>
    <w:rsid w:val="00A70D58"/>
    <w:rsid w:val="00A74230"/>
    <w:rsid w:val="00A744F9"/>
    <w:rsid w:val="00A74540"/>
    <w:rsid w:val="00A753A1"/>
    <w:rsid w:val="00A77613"/>
    <w:rsid w:val="00A77B87"/>
    <w:rsid w:val="00A77E01"/>
    <w:rsid w:val="00A801AD"/>
    <w:rsid w:val="00A81851"/>
    <w:rsid w:val="00A8390C"/>
    <w:rsid w:val="00A83E42"/>
    <w:rsid w:val="00A851EA"/>
    <w:rsid w:val="00A86AE0"/>
    <w:rsid w:val="00A912B0"/>
    <w:rsid w:val="00A91362"/>
    <w:rsid w:val="00A9151C"/>
    <w:rsid w:val="00A919C6"/>
    <w:rsid w:val="00A928BD"/>
    <w:rsid w:val="00A92D61"/>
    <w:rsid w:val="00A97DE9"/>
    <w:rsid w:val="00AA12CD"/>
    <w:rsid w:val="00AA4D1C"/>
    <w:rsid w:val="00AA52FD"/>
    <w:rsid w:val="00AA7006"/>
    <w:rsid w:val="00AB0BD6"/>
    <w:rsid w:val="00AB3138"/>
    <w:rsid w:val="00AB4684"/>
    <w:rsid w:val="00AB491D"/>
    <w:rsid w:val="00AB5856"/>
    <w:rsid w:val="00AB597A"/>
    <w:rsid w:val="00AC081D"/>
    <w:rsid w:val="00AC0C6F"/>
    <w:rsid w:val="00AC1266"/>
    <w:rsid w:val="00AC193C"/>
    <w:rsid w:val="00AC30C1"/>
    <w:rsid w:val="00AC4DE5"/>
    <w:rsid w:val="00AC5206"/>
    <w:rsid w:val="00AD095B"/>
    <w:rsid w:val="00AD3106"/>
    <w:rsid w:val="00AD4297"/>
    <w:rsid w:val="00AD4322"/>
    <w:rsid w:val="00AE11A5"/>
    <w:rsid w:val="00AE13E2"/>
    <w:rsid w:val="00AE22D3"/>
    <w:rsid w:val="00AE5A49"/>
    <w:rsid w:val="00AF03E6"/>
    <w:rsid w:val="00AF04A9"/>
    <w:rsid w:val="00AF0CD7"/>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089"/>
    <w:rsid w:val="00B5392A"/>
    <w:rsid w:val="00B539EF"/>
    <w:rsid w:val="00B53EB1"/>
    <w:rsid w:val="00B56118"/>
    <w:rsid w:val="00B566E1"/>
    <w:rsid w:val="00B56AFB"/>
    <w:rsid w:val="00B602F6"/>
    <w:rsid w:val="00B62EC1"/>
    <w:rsid w:val="00B64A1A"/>
    <w:rsid w:val="00B64A96"/>
    <w:rsid w:val="00B6533B"/>
    <w:rsid w:val="00B6773F"/>
    <w:rsid w:val="00B70EB3"/>
    <w:rsid w:val="00B716C6"/>
    <w:rsid w:val="00B72906"/>
    <w:rsid w:val="00B7325E"/>
    <w:rsid w:val="00B74F48"/>
    <w:rsid w:val="00B7525E"/>
    <w:rsid w:val="00B75433"/>
    <w:rsid w:val="00B75F70"/>
    <w:rsid w:val="00B760FB"/>
    <w:rsid w:val="00B76765"/>
    <w:rsid w:val="00B767AB"/>
    <w:rsid w:val="00B801BA"/>
    <w:rsid w:val="00B812D6"/>
    <w:rsid w:val="00B846E6"/>
    <w:rsid w:val="00B84D5C"/>
    <w:rsid w:val="00B85AF6"/>
    <w:rsid w:val="00B92E46"/>
    <w:rsid w:val="00B941ED"/>
    <w:rsid w:val="00B956ED"/>
    <w:rsid w:val="00BA0B9C"/>
    <w:rsid w:val="00BA2DA8"/>
    <w:rsid w:val="00BA347C"/>
    <w:rsid w:val="00BA4C79"/>
    <w:rsid w:val="00BB298A"/>
    <w:rsid w:val="00BB3469"/>
    <w:rsid w:val="00BB5C49"/>
    <w:rsid w:val="00BB6240"/>
    <w:rsid w:val="00BB6285"/>
    <w:rsid w:val="00BB69F5"/>
    <w:rsid w:val="00BB6E48"/>
    <w:rsid w:val="00BB78BF"/>
    <w:rsid w:val="00BB7EC0"/>
    <w:rsid w:val="00BB7EC3"/>
    <w:rsid w:val="00BC04B1"/>
    <w:rsid w:val="00BC470E"/>
    <w:rsid w:val="00BC4B9A"/>
    <w:rsid w:val="00BD02C3"/>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DE"/>
    <w:rsid w:val="00C059D5"/>
    <w:rsid w:val="00C068A6"/>
    <w:rsid w:val="00C12768"/>
    <w:rsid w:val="00C12D70"/>
    <w:rsid w:val="00C16724"/>
    <w:rsid w:val="00C21B09"/>
    <w:rsid w:val="00C23CA1"/>
    <w:rsid w:val="00C2462E"/>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67C1"/>
    <w:rsid w:val="00C56D78"/>
    <w:rsid w:val="00C57465"/>
    <w:rsid w:val="00C60272"/>
    <w:rsid w:val="00C603D4"/>
    <w:rsid w:val="00C6256A"/>
    <w:rsid w:val="00C6320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06F9"/>
    <w:rsid w:val="00CA14BB"/>
    <w:rsid w:val="00CA230C"/>
    <w:rsid w:val="00CA48D9"/>
    <w:rsid w:val="00CB1193"/>
    <w:rsid w:val="00CB4767"/>
    <w:rsid w:val="00CB493D"/>
    <w:rsid w:val="00CB7637"/>
    <w:rsid w:val="00CC2224"/>
    <w:rsid w:val="00CC3B97"/>
    <w:rsid w:val="00CD6257"/>
    <w:rsid w:val="00CD7C0B"/>
    <w:rsid w:val="00CE10C4"/>
    <w:rsid w:val="00CE2343"/>
    <w:rsid w:val="00CE27B5"/>
    <w:rsid w:val="00CE2BDF"/>
    <w:rsid w:val="00CE6D24"/>
    <w:rsid w:val="00CE6DAF"/>
    <w:rsid w:val="00CE7F34"/>
    <w:rsid w:val="00CF05DA"/>
    <w:rsid w:val="00CF410A"/>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406A"/>
    <w:rsid w:val="00D34D24"/>
    <w:rsid w:val="00D40B11"/>
    <w:rsid w:val="00D42864"/>
    <w:rsid w:val="00D429EC"/>
    <w:rsid w:val="00D441F1"/>
    <w:rsid w:val="00D4572C"/>
    <w:rsid w:val="00D469B2"/>
    <w:rsid w:val="00D52353"/>
    <w:rsid w:val="00D52B24"/>
    <w:rsid w:val="00D52EAA"/>
    <w:rsid w:val="00D52ECF"/>
    <w:rsid w:val="00D54B09"/>
    <w:rsid w:val="00D60E28"/>
    <w:rsid w:val="00D6243E"/>
    <w:rsid w:val="00D62E28"/>
    <w:rsid w:val="00D647BC"/>
    <w:rsid w:val="00D65658"/>
    <w:rsid w:val="00D66D99"/>
    <w:rsid w:val="00D67EB2"/>
    <w:rsid w:val="00D70349"/>
    <w:rsid w:val="00D72B6F"/>
    <w:rsid w:val="00D741EB"/>
    <w:rsid w:val="00D74CEA"/>
    <w:rsid w:val="00D7679C"/>
    <w:rsid w:val="00D817A9"/>
    <w:rsid w:val="00D820F3"/>
    <w:rsid w:val="00D83605"/>
    <w:rsid w:val="00D84934"/>
    <w:rsid w:val="00D858F8"/>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6A2B"/>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60AF"/>
    <w:rsid w:val="00E078D9"/>
    <w:rsid w:val="00E10293"/>
    <w:rsid w:val="00E103A0"/>
    <w:rsid w:val="00E1043F"/>
    <w:rsid w:val="00E1157E"/>
    <w:rsid w:val="00E11F44"/>
    <w:rsid w:val="00E13E60"/>
    <w:rsid w:val="00E15627"/>
    <w:rsid w:val="00E164B3"/>
    <w:rsid w:val="00E16910"/>
    <w:rsid w:val="00E21164"/>
    <w:rsid w:val="00E225FD"/>
    <w:rsid w:val="00E239E2"/>
    <w:rsid w:val="00E24E09"/>
    <w:rsid w:val="00E26327"/>
    <w:rsid w:val="00E27234"/>
    <w:rsid w:val="00E33A23"/>
    <w:rsid w:val="00E3495C"/>
    <w:rsid w:val="00E40272"/>
    <w:rsid w:val="00E42BDB"/>
    <w:rsid w:val="00E524A9"/>
    <w:rsid w:val="00E53049"/>
    <w:rsid w:val="00E53F1A"/>
    <w:rsid w:val="00E5726D"/>
    <w:rsid w:val="00E57EEB"/>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6F92"/>
    <w:rsid w:val="00E90C0D"/>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0F53"/>
    <w:rsid w:val="00EB1936"/>
    <w:rsid w:val="00EB3545"/>
    <w:rsid w:val="00EB37BE"/>
    <w:rsid w:val="00EB4BAE"/>
    <w:rsid w:val="00EB5088"/>
    <w:rsid w:val="00EB7210"/>
    <w:rsid w:val="00EC2726"/>
    <w:rsid w:val="00EC4D16"/>
    <w:rsid w:val="00EC575E"/>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3C52"/>
    <w:rsid w:val="00EF44A0"/>
    <w:rsid w:val="00EF4580"/>
    <w:rsid w:val="00EF4FED"/>
    <w:rsid w:val="00EF52C9"/>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398F"/>
    <w:rsid w:val="00F25578"/>
    <w:rsid w:val="00F258E5"/>
    <w:rsid w:val="00F25B9C"/>
    <w:rsid w:val="00F2675A"/>
    <w:rsid w:val="00F26CC6"/>
    <w:rsid w:val="00F300BC"/>
    <w:rsid w:val="00F30361"/>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58C2"/>
    <w:rsid w:val="00F56A2D"/>
    <w:rsid w:val="00F57A6D"/>
    <w:rsid w:val="00F6044B"/>
    <w:rsid w:val="00F62F19"/>
    <w:rsid w:val="00F638CC"/>
    <w:rsid w:val="00F64C9E"/>
    <w:rsid w:val="00F64CC1"/>
    <w:rsid w:val="00F708B1"/>
    <w:rsid w:val="00F708C0"/>
    <w:rsid w:val="00F7130E"/>
    <w:rsid w:val="00F72317"/>
    <w:rsid w:val="00F73DC1"/>
    <w:rsid w:val="00F75BB8"/>
    <w:rsid w:val="00F77714"/>
    <w:rsid w:val="00F80475"/>
    <w:rsid w:val="00F80E6E"/>
    <w:rsid w:val="00F81390"/>
    <w:rsid w:val="00F81F7A"/>
    <w:rsid w:val="00F8247A"/>
    <w:rsid w:val="00F82E5C"/>
    <w:rsid w:val="00F83E86"/>
    <w:rsid w:val="00F83F58"/>
    <w:rsid w:val="00F85206"/>
    <w:rsid w:val="00F85958"/>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0C0"/>
    <w:rsid w:val="00FB442F"/>
    <w:rsid w:val="00FB4C4D"/>
    <w:rsid w:val="00FC118C"/>
    <w:rsid w:val="00FC16EA"/>
    <w:rsid w:val="00FC1929"/>
    <w:rsid w:val="00FC5B46"/>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91A"/>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10291A"/>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10291A"/>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10291A"/>
    <w:pPr>
      <w:numPr>
        <w:numId w:val="5"/>
      </w:numPr>
      <w:spacing w:after="120"/>
      <w:ind w:left="1134"/>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10291A"/>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12008B"/>
    <w:pPr>
      <w:numPr>
        <w:numId w:val="0"/>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12008B"/>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10291A"/>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10291A"/>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10291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0291A"/>
    <w:pPr>
      <w:keepNext/>
    </w:pPr>
    <w:rPr>
      <w:rFonts w:ascii="Arial Narrow" w:eastAsiaTheme="majorEastAsia" w:hAnsi="Arial Narrow"/>
      <w:b/>
      <w:szCs w:val="24"/>
      <w:lang w:val="en-US"/>
    </w:rPr>
  </w:style>
  <w:style w:type="paragraph" w:customStyle="1" w:styleId="2-SectionHeading">
    <w:name w:val="2-Section Heading"/>
    <w:qFormat/>
    <w:rsid w:val="0010291A"/>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10291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0291A"/>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10291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10291A"/>
    <w:rPr>
      <w:rFonts w:ascii="Arial Narrow" w:eastAsiaTheme="majorEastAsia" w:hAnsi="Arial Narrow" w:cstheme="majorBidi"/>
      <w:b/>
      <w:bCs/>
      <w:szCs w:val="24"/>
    </w:rPr>
  </w:style>
  <w:style w:type="paragraph" w:customStyle="1" w:styleId="3-BodyText">
    <w:name w:val="3-Body Text"/>
    <w:link w:val="3-BodyTextChar"/>
    <w:qFormat/>
    <w:rsid w:val="0010291A"/>
    <w:pPr>
      <w:numPr>
        <w:ilvl w:val="1"/>
        <w:numId w:val="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0291A"/>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10291A"/>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10291A"/>
    <w:rPr>
      <w:rFonts w:ascii="Calibri" w:hAnsi="Calibri" w:cs="Arial"/>
      <w:b/>
      <w:sz w:val="24"/>
      <w:szCs w:val="24"/>
    </w:rPr>
  </w:style>
  <w:style w:type="paragraph" w:customStyle="1" w:styleId="TableFigureFooter">
    <w:name w:val="Table/Figure Footer"/>
    <w:basedOn w:val="Normal"/>
    <w:link w:val="TableFigureFooterChar"/>
    <w:qFormat/>
    <w:rsid w:val="0010291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10291A"/>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10291A"/>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10291A"/>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10291A"/>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10291A"/>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tablenotesChar">
    <w:name w:val="table notes Char"/>
    <w:basedOn w:val="DefaultParagraphFont"/>
    <w:link w:val="tablenotes"/>
    <w:rsid w:val="0012008B"/>
    <w:rPr>
      <w:rFonts w:ascii="Arial" w:hAnsi="Arial"/>
      <w:snapToGrid w:val="0"/>
      <w:lang w:eastAsia="en-US"/>
    </w:rPr>
  </w:style>
  <w:style w:type="paragraph" w:customStyle="1" w:styleId="3-SubsectionHeading">
    <w:name w:val="3-Subsection Heading"/>
    <w:basedOn w:val="Heading2"/>
    <w:next w:val="Normal"/>
    <w:link w:val="3-SubsectionHeadingChar"/>
    <w:rsid w:val="0010291A"/>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10291A"/>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4994304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1488</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2024-07-01T04:29:00Z</dcterms:created>
  <dcterms:modified xsi:type="dcterms:W3CDTF">2024-07-01T04:33:00Z</dcterms:modified>
</cp:coreProperties>
</file>