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AFB7D" w14:textId="404558A7" w:rsidR="002A66BB" w:rsidRPr="00AD5A27" w:rsidRDefault="00F9048C" w:rsidP="00DC645D">
      <w:pPr>
        <w:pStyle w:val="1-MainHeading"/>
        <w:contextualSpacing/>
      </w:pPr>
      <w:bookmarkStart w:id="0" w:name="_Toc107927616"/>
      <w:bookmarkStart w:id="1" w:name="_Toc156988894"/>
      <w:r w:rsidRPr="00AD5A27">
        <w:t>7</w:t>
      </w:r>
      <w:r w:rsidR="002A66BB" w:rsidRPr="00AD5A27">
        <w:t>.</w:t>
      </w:r>
      <w:r w:rsidRPr="00AD5A27">
        <w:t>01</w:t>
      </w:r>
      <w:r w:rsidR="002A66BB" w:rsidRPr="00AD5A27">
        <w:tab/>
        <w:t>ADALIMUMAB,</w:t>
      </w:r>
      <w:bookmarkStart w:id="2" w:name="_Hlk149925369"/>
      <w:r w:rsidR="002A66BB" w:rsidRPr="00AD5A27">
        <w:br/>
      </w:r>
      <w:bookmarkEnd w:id="2"/>
      <w:r w:rsidR="00E904BE" w:rsidRPr="00AD5A27">
        <w:t xml:space="preserve">Injection </w:t>
      </w:r>
      <w:r w:rsidR="002A66BB" w:rsidRPr="00AD5A27">
        <w:t xml:space="preserve">20 mg in 0.2 mL, </w:t>
      </w:r>
      <w:bookmarkStart w:id="3" w:name="_Hlk149925315"/>
      <w:r w:rsidR="002A66BB" w:rsidRPr="00AD5A27">
        <w:t>pre-filled syringe</w:t>
      </w:r>
      <w:bookmarkEnd w:id="3"/>
      <w:r w:rsidR="002A66BB" w:rsidRPr="00AD5A27">
        <w:t xml:space="preserve">, </w:t>
      </w:r>
      <w:r w:rsidR="002A66BB" w:rsidRPr="00AD5A27">
        <w:br/>
      </w:r>
      <w:bookmarkStart w:id="4" w:name="_Hlk151554601"/>
      <w:r w:rsidR="00E904BE" w:rsidRPr="00AD5A27">
        <w:t xml:space="preserve">Injection </w:t>
      </w:r>
      <w:r w:rsidR="002A66BB" w:rsidRPr="00AD5A27">
        <w:t>40 mg in 0.4 mL, pre-filled syringe</w:t>
      </w:r>
      <w:bookmarkEnd w:id="4"/>
      <w:r w:rsidR="002A66BB" w:rsidRPr="00AD5A27">
        <w:t>,</w:t>
      </w:r>
      <w:r w:rsidR="002A66BB" w:rsidRPr="00AD5A27">
        <w:br/>
      </w:r>
      <w:r w:rsidR="00E904BE" w:rsidRPr="00AD5A27">
        <w:t xml:space="preserve">Injection </w:t>
      </w:r>
      <w:r w:rsidR="002A66BB" w:rsidRPr="00AD5A27">
        <w:t>40 mg in 0.4 mL, pre-filled pen</w:t>
      </w:r>
      <w:r w:rsidR="002A66BB" w:rsidRPr="00AD5A27">
        <w:br/>
      </w:r>
      <w:r w:rsidR="00E904BE" w:rsidRPr="00AD5A27">
        <w:t xml:space="preserve">Injection </w:t>
      </w:r>
      <w:r w:rsidR="002A66BB" w:rsidRPr="00AD5A27">
        <w:t>80 mg in 0.8 mL, pre-filled syringe,</w:t>
      </w:r>
      <w:r w:rsidR="002A66BB" w:rsidRPr="00AD5A27">
        <w:br/>
      </w:r>
      <w:r w:rsidR="00E904BE" w:rsidRPr="00AD5A27">
        <w:t xml:space="preserve">Injection </w:t>
      </w:r>
      <w:r w:rsidR="002A66BB" w:rsidRPr="00AD5A27">
        <w:t>80 mg in 0.8 mL, pre-filled pen</w:t>
      </w:r>
      <w:r w:rsidR="002A66BB" w:rsidRPr="00AD5A27">
        <w:br/>
        <w:t>Humira</w:t>
      </w:r>
      <w:r w:rsidR="002A66BB" w:rsidRPr="00AD5A27">
        <w:rPr>
          <w:vertAlign w:val="superscript"/>
        </w:rPr>
        <w:t>®</w:t>
      </w:r>
      <w:r w:rsidR="002A66BB" w:rsidRPr="00AD5A27">
        <w:t>,</w:t>
      </w:r>
      <w:r w:rsidR="002A66BB" w:rsidRPr="00AD5A27">
        <w:br/>
        <w:t>AbbVie Pty Ltd.</w:t>
      </w:r>
      <w:bookmarkEnd w:id="0"/>
      <w:bookmarkEnd w:id="1"/>
    </w:p>
    <w:p w14:paraId="6D171D8F" w14:textId="77777777" w:rsidR="002A66BB" w:rsidRPr="00AD5A27" w:rsidRDefault="002A66BB">
      <w:pPr>
        <w:pStyle w:val="2-SectionHeading"/>
      </w:pPr>
      <w:bookmarkStart w:id="5" w:name="_Toc156988896"/>
      <w:bookmarkStart w:id="6" w:name="_Toc107927618"/>
      <w:r w:rsidRPr="00AD5A27">
        <w:t>Purpose of submission</w:t>
      </w:r>
      <w:bookmarkEnd w:id="5"/>
    </w:p>
    <w:p w14:paraId="2AD5F3A2" w14:textId="337FAB58" w:rsidR="002A66BB" w:rsidRPr="00AD5A27" w:rsidRDefault="002A66BB" w:rsidP="002A66BB">
      <w:pPr>
        <w:pStyle w:val="3-BodyText"/>
      </w:pPr>
      <w:r w:rsidRPr="00AD5A27">
        <w:t>The Standard Re-entry resubmission requested a General Schedule</w:t>
      </w:r>
      <w:r w:rsidR="009906C7" w:rsidRPr="00AD5A27">
        <w:t>,</w:t>
      </w:r>
      <w:r w:rsidRPr="00AD5A27">
        <w:t xml:space="preserve"> Authority Required (Telephone/Online) listing for adalimumab for the treatment of patients with vision-threatening non-infectious uveitis. </w:t>
      </w:r>
    </w:p>
    <w:p w14:paraId="6CF04AEA" w14:textId="77777777" w:rsidR="002A66BB" w:rsidRPr="00AD5A27" w:rsidRDefault="002A66BB" w:rsidP="002A66BB">
      <w:pPr>
        <w:pStyle w:val="3-BodyText"/>
      </w:pPr>
      <w:r w:rsidRPr="00AD5A27">
        <w:t xml:space="preserve">Listing was requested on the basis of a cost-utility analysis versus placebo. </w:t>
      </w:r>
    </w:p>
    <w:p w14:paraId="5976F4A2" w14:textId="129447EA" w:rsidR="002A66BB" w:rsidRPr="00AD5A27" w:rsidRDefault="002A66BB">
      <w:pPr>
        <w:pStyle w:val="TableFigureHeading"/>
        <w:rPr>
          <w:rStyle w:val="CommentReference"/>
          <w:b/>
          <w:szCs w:val="24"/>
        </w:rPr>
      </w:pPr>
      <w:r w:rsidRPr="00AD5A27">
        <w:t xml:space="preserve">Table </w:t>
      </w:r>
      <w:r w:rsidR="004050E4">
        <w:fldChar w:fldCharType="begin" w:fldLock="1"/>
      </w:r>
      <w:r w:rsidR="004050E4">
        <w:instrText xml:space="preserve"> SEQ Table \* ARABIC </w:instrText>
      </w:r>
      <w:r w:rsidR="004050E4">
        <w:fldChar w:fldCharType="separate"/>
      </w:r>
      <w:r w:rsidR="00B510E9" w:rsidRPr="00AD5A27">
        <w:t>1</w:t>
      </w:r>
      <w:r w:rsidR="004050E4">
        <w:fldChar w:fldCharType="end"/>
      </w:r>
      <w:r w:rsidRPr="00AD5A27">
        <w:t>:</w:t>
      </w:r>
      <w:r w:rsidRPr="00AD5A27">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Description w:val="Key components of the clinical issue addressed by the submission "/>
      </w:tblPr>
      <w:tblGrid>
        <w:gridCol w:w="1666"/>
        <w:gridCol w:w="7351"/>
      </w:tblGrid>
      <w:tr w:rsidR="002A66BB" w:rsidRPr="00AD5A27" w14:paraId="1C3AF34B" w14:textId="77777777">
        <w:trPr>
          <w:cantSplit/>
          <w:tblHeader/>
        </w:trPr>
        <w:tc>
          <w:tcPr>
            <w:tcW w:w="924" w:type="pct"/>
            <w:shd w:val="clear" w:color="auto" w:fill="auto"/>
          </w:tcPr>
          <w:p w14:paraId="4393CDFB" w14:textId="77777777" w:rsidR="002A66BB" w:rsidRPr="00AD5A27" w:rsidRDefault="002A66BB">
            <w:pPr>
              <w:pStyle w:val="In-tableHeading"/>
              <w:jc w:val="center"/>
              <w:rPr>
                <w:lang w:val="en-AU"/>
              </w:rPr>
            </w:pPr>
            <w:r w:rsidRPr="00AD5A27">
              <w:rPr>
                <w:lang w:val="en-AU"/>
              </w:rPr>
              <w:t>Component</w:t>
            </w:r>
          </w:p>
        </w:tc>
        <w:tc>
          <w:tcPr>
            <w:tcW w:w="4076" w:type="pct"/>
            <w:shd w:val="clear" w:color="auto" w:fill="auto"/>
          </w:tcPr>
          <w:p w14:paraId="1851FBF0" w14:textId="77777777" w:rsidR="002A66BB" w:rsidRPr="00AD5A27" w:rsidRDefault="002A66BB">
            <w:pPr>
              <w:pStyle w:val="In-tableHeading"/>
              <w:jc w:val="center"/>
              <w:rPr>
                <w:lang w:val="en-AU"/>
              </w:rPr>
            </w:pPr>
            <w:r w:rsidRPr="00AD5A27">
              <w:rPr>
                <w:lang w:val="en-AU"/>
              </w:rPr>
              <w:t>Description</w:t>
            </w:r>
          </w:p>
        </w:tc>
      </w:tr>
      <w:tr w:rsidR="002A66BB" w:rsidRPr="00AD5A27" w14:paraId="24717145" w14:textId="77777777">
        <w:trPr>
          <w:cantSplit/>
          <w:trHeight w:val="300"/>
        </w:trPr>
        <w:tc>
          <w:tcPr>
            <w:tcW w:w="924" w:type="pct"/>
            <w:shd w:val="clear" w:color="auto" w:fill="auto"/>
          </w:tcPr>
          <w:p w14:paraId="1C943434" w14:textId="77777777" w:rsidR="002A66BB" w:rsidRPr="00AD5A27" w:rsidRDefault="002A66BB">
            <w:pPr>
              <w:pStyle w:val="TableText0"/>
            </w:pPr>
            <w:r w:rsidRPr="00AD5A27">
              <w:t>Population</w:t>
            </w:r>
          </w:p>
        </w:tc>
        <w:tc>
          <w:tcPr>
            <w:tcW w:w="4076" w:type="pct"/>
          </w:tcPr>
          <w:p w14:paraId="7CA36BF4" w14:textId="77777777" w:rsidR="002A66BB" w:rsidRPr="00AD5A27" w:rsidRDefault="002A66BB">
            <w:pPr>
              <w:pStyle w:val="TableText0"/>
              <w:rPr>
                <w:rFonts w:cstheme="minorBidi"/>
                <w:u w:val="single"/>
                <w:vertAlign w:val="superscript"/>
              </w:rPr>
            </w:pPr>
            <w:r w:rsidRPr="00AD5A27">
              <w:rPr>
                <w:rFonts w:cstheme="minorBidi"/>
                <w:u w:val="single"/>
              </w:rPr>
              <w:t xml:space="preserve">Vision threatening non-infectious uveitis </w:t>
            </w:r>
            <w:r w:rsidRPr="00AD5A27">
              <w:rPr>
                <w:rFonts w:cstheme="minorBidi"/>
                <w:u w:val="single"/>
                <w:vertAlign w:val="superscript"/>
              </w:rPr>
              <w:t>a</w:t>
            </w:r>
          </w:p>
        </w:tc>
      </w:tr>
      <w:tr w:rsidR="002A66BB" w:rsidRPr="00AD5A27" w14:paraId="54553D16" w14:textId="77777777">
        <w:trPr>
          <w:cantSplit/>
        </w:trPr>
        <w:tc>
          <w:tcPr>
            <w:tcW w:w="924" w:type="pct"/>
            <w:shd w:val="clear" w:color="auto" w:fill="auto"/>
          </w:tcPr>
          <w:p w14:paraId="2F1320D6" w14:textId="77777777" w:rsidR="002A66BB" w:rsidRPr="00AD5A27" w:rsidRDefault="002A66BB">
            <w:pPr>
              <w:pStyle w:val="TableText0"/>
            </w:pPr>
            <w:r w:rsidRPr="00AD5A27">
              <w:t>Intervention</w:t>
            </w:r>
          </w:p>
        </w:tc>
        <w:tc>
          <w:tcPr>
            <w:tcW w:w="4076" w:type="pct"/>
          </w:tcPr>
          <w:p w14:paraId="0BDF7123" w14:textId="77777777" w:rsidR="002A66BB" w:rsidRPr="00AD5A27" w:rsidRDefault="002A66BB">
            <w:pPr>
              <w:pStyle w:val="TableText0"/>
              <w:contextualSpacing/>
              <w:jc w:val="both"/>
              <w:rPr>
                <w:rFonts w:cstheme="minorBidi"/>
              </w:rPr>
            </w:pPr>
            <w:r w:rsidRPr="00AD5A27">
              <w:rPr>
                <w:rFonts w:cstheme="minorBidi"/>
              </w:rPr>
              <w:t xml:space="preserve">Adalimumab 80 mg injection (given as 1 x 80 mg in 0.8 mL or 2 x 40 mg in 0.4 mL pre-filled syringe or cartridge), followed by 40 mg in 0.4 mL pre-filled syringe or cartridge every other week, starting one week after the initial dose. </w:t>
            </w:r>
            <w:r w:rsidRPr="00AD5A27">
              <w:rPr>
                <w:rFonts w:cstheme="minorBidi"/>
                <w:vertAlign w:val="superscript"/>
              </w:rPr>
              <w:t>b</w:t>
            </w:r>
          </w:p>
          <w:p w14:paraId="1603F275" w14:textId="5D6B85ED" w:rsidR="002A66BB" w:rsidRPr="00AD5A27" w:rsidRDefault="002A66BB">
            <w:pPr>
              <w:keepNext/>
              <w:contextualSpacing/>
              <w:rPr>
                <w:rFonts w:ascii="Arial Narrow" w:hAnsi="Arial Narrow" w:cstheme="minorBidi"/>
                <w:sz w:val="20"/>
                <w:szCs w:val="20"/>
              </w:rPr>
            </w:pPr>
            <w:r w:rsidRPr="00AD5A27">
              <w:rPr>
                <w:rFonts w:ascii="Arial Narrow" w:hAnsi="Arial Narrow" w:cstheme="minorBidi"/>
                <w:sz w:val="20"/>
                <w:szCs w:val="20"/>
              </w:rPr>
              <w:t xml:space="preserve">For paediatric patients an initial loading dose of adalimumab 40 mg </w:t>
            </w:r>
            <w:r w:rsidR="005E2349" w:rsidRPr="00AD5A27">
              <w:rPr>
                <w:rFonts w:ascii="Arial Narrow" w:hAnsi="Arial Narrow" w:cstheme="minorBidi"/>
                <w:sz w:val="20"/>
                <w:szCs w:val="20"/>
              </w:rPr>
              <w:t xml:space="preserve">injection </w:t>
            </w:r>
            <w:r w:rsidRPr="00AD5A27">
              <w:rPr>
                <w:rFonts w:ascii="Arial Narrow" w:hAnsi="Arial Narrow" w:cstheme="minorBidi"/>
                <w:sz w:val="20"/>
                <w:szCs w:val="20"/>
              </w:rPr>
              <w:t>(given as 1 x 40 mg in 0.4 mL pre-filled syringe or cartridge or 2 x 20 mg in 0.2 mL pre-filled syringe) for patients &lt; 30 kg or 80 mg</w:t>
            </w:r>
            <w:r w:rsidR="005E2349" w:rsidRPr="00AD5A27">
              <w:rPr>
                <w:rFonts w:ascii="Arial Narrow" w:hAnsi="Arial Narrow" w:cstheme="minorBidi"/>
                <w:sz w:val="20"/>
                <w:szCs w:val="20"/>
              </w:rPr>
              <w:t xml:space="preserve"> injection</w:t>
            </w:r>
            <w:r w:rsidRPr="00AD5A27">
              <w:rPr>
                <w:rFonts w:ascii="Arial Narrow" w:hAnsi="Arial Narrow" w:cstheme="minorBidi"/>
                <w:sz w:val="20"/>
                <w:szCs w:val="20"/>
              </w:rPr>
              <w:t xml:space="preserve"> (given as 1 x 80 mg in 0.8 mL or 2 x 40 mg in 0.4 mL pre-filled syringe or cartridge) for patients ≥ 30 kg may be administered one week prior to the start of fortnightly therapy at a dose based on body weight:</w:t>
            </w:r>
            <w:r w:rsidR="007E135F" w:rsidRPr="00AD5A27">
              <w:rPr>
                <w:rFonts w:ascii="Arial Narrow" w:hAnsi="Arial Narrow" w:cstheme="minorBidi"/>
                <w:sz w:val="20"/>
                <w:szCs w:val="20"/>
              </w:rPr>
              <w:t xml:space="preserve"> </w:t>
            </w:r>
            <w:r w:rsidRPr="00AD5A27">
              <w:rPr>
                <w:rFonts w:ascii="Arial Narrow" w:hAnsi="Arial Narrow" w:cstheme="minorBidi"/>
                <w:sz w:val="20"/>
                <w:szCs w:val="20"/>
                <w:vertAlign w:val="superscript"/>
              </w:rPr>
              <w:t>b,c</w:t>
            </w:r>
          </w:p>
          <w:p w14:paraId="30792276" w14:textId="77777777" w:rsidR="002A66BB" w:rsidRPr="00AD5A27" w:rsidRDefault="002A66BB" w:rsidP="005B3215">
            <w:pPr>
              <w:pStyle w:val="TableFigureHeading"/>
              <w:numPr>
                <w:ilvl w:val="0"/>
                <w:numId w:val="8"/>
              </w:numPr>
              <w:rPr>
                <w:b w:val="0"/>
                <w:bCs w:val="0"/>
              </w:rPr>
            </w:pPr>
            <w:r w:rsidRPr="00AD5A27">
              <w:rPr>
                <w:b w:val="0"/>
                <w:bCs w:val="0"/>
              </w:rPr>
              <w:t xml:space="preserve">&lt; 30 kg: adalimumab 20 mg in 0.2 mL pre-filled syringe every other week </w:t>
            </w:r>
          </w:p>
          <w:p w14:paraId="322BC5EF" w14:textId="77777777" w:rsidR="002A66BB" w:rsidRPr="00AD5A27" w:rsidRDefault="002A66BB" w:rsidP="005B3215">
            <w:pPr>
              <w:pStyle w:val="TableText0"/>
              <w:numPr>
                <w:ilvl w:val="0"/>
                <w:numId w:val="8"/>
              </w:numPr>
            </w:pPr>
            <w:r w:rsidRPr="00AD5A27">
              <w:rPr>
                <w:bCs w:val="0"/>
              </w:rPr>
              <w:t>≥ 30 kg: adalimumab 40 mg in 0.4 mL pre-filled syringe or cartridge every other week</w:t>
            </w:r>
          </w:p>
        </w:tc>
      </w:tr>
      <w:tr w:rsidR="002A66BB" w:rsidRPr="00AD5A27" w14:paraId="763C29C5" w14:textId="77777777">
        <w:trPr>
          <w:cantSplit/>
        </w:trPr>
        <w:tc>
          <w:tcPr>
            <w:tcW w:w="924" w:type="pct"/>
            <w:shd w:val="clear" w:color="auto" w:fill="auto"/>
          </w:tcPr>
          <w:p w14:paraId="651557F8" w14:textId="77777777" w:rsidR="002A66BB" w:rsidRPr="00AD5A27" w:rsidRDefault="002A66BB">
            <w:pPr>
              <w:pStyle w:val="TableText0"/>
            </w:pPr>
            <w:r w:rsidRPr="00AD5A27">
              <w:t>Comparator</w:t>
            </w:r>
          </w:p>
        </w:tc>
        <w:tc>
          <w:tcPr>
            <w:tcW w:w="4076" w:type="pct"/>
          </w:tcPr>
          <w:p w14:paraId="7EDCC345" w14:textId="7376E337" w:rsidR="002A66BB" w:rsidRPr="00AD5A27" w:rsidRDefault="002A66BB">
            <w:pPr>
              <w:pStyle w:val="TableText0"/>
            </w:pPr>
            <w:r w:rsidRPr="00AD5A27">
              <w:rPr>
                <w:rFonts w:cstheme="minorBidi"/>
              </w:rPr>
              <w:t>Current best supportive care: high dose oral corticosteroids (&gt;</w:t>
            </w:r>
            <w:r w:rsidR="007E135F" w:rsidRPr="00AD5A27">
              <w:rPr>
                <w:rFonts w:cstheme="minorBidi"/>
              </w:rPr>
              <w:t xml:space="preserve"> </w:t>
            </w:r>
            <w:r w:rsidRPr="00AD5A27">
              <w:rPr>
                <w:rFonts w:cstheme="minorBidi"/>
              </w:rPr>
              <w:t>7.5</w:t>
            </w:r>
            <w:r w:rsidR="00AD5A27">
              <w:rPr>
                <w:rFonts w:cstheme="minorBidi"/>
              </w:rPr>
              <w:t xml:space="preserve"> </w:t>
            </w:r>
            <w:r w:rsidRPr="00AD5A27">
              <w:rPr>
                <w:rFonts w:cstheme="minorBidi"/>
              </w:rPr>
              <w:t>mg/day) with or without an immunomodulatory agent.</w:t>
            </w:r>
          </w:p>
        </w:tc>
      </w:tr>
      <w:tr w:rsidR="002A66BB" w:rsidRPr="00AD5A27" w14:paraId="30C5889F" w14:textId="77777777">
        <w:trPr>
          <w:cantSplit/>
        </w:trPr>
        <w:tc>
          <w:tcPr>
            <w:tcW w:w="924" w:type="pct"/>
            <w:shd w:val="clear" w:color="auto" w:fill="auto"/>
          </w:tcPr>
          <w:p w14:paraId="7D1B6692" w14:textId="77777777" w:rsidR="002A66BB" w:rsidRPr="00AD5A27" w:rsidRDefault="002A66BB">
            <w:pPr>
              <w:pStyle w:val="TableText0"/>
            </w:pPr>
            <w:r w:rsidRPr="00AD5A27">
              <w:t>Outcomes</w:t>
            </w:r>
          </w:p>
        </w:tc>
        <w:tc>
          <w:tcPr>
            <w:tcW w:w="4076" w:type="pct"/>
          </w:tcPr>
          <w:p w14:paraId="1F3AE08F" w14:textId="77777777" w:rsidR="002A66BB" w:rsidRPr="00AD5A27" w:rsidRDefault="002A66BB">
            <w:pPr>
              <w:pStyle w:val="TableText0"/>
              <w:rPr>
                <w:rFonts w:eastAsia="Times New Roman" w:cs="Arial"/>
                <w:snapToGrid w:val="0"/>
                <w:color w:val="0066FF"/>
              </w:rPr>
            </w:pPr>
            <w:r w:rsidRPr="00AD5A27">
              <w:rPr>
                <w:rFonts w:cstheme="minorBidi"/>
              </w:rPr>
              <w:t>Time to treatment failure (inflammatory uveitic flare) analysed using a composite of 4 components: inflammatory chorioretinal and/or inflammatory retinal vascular lesions; AC cell grade; VH grade; and visual acuity.</w:t>
            </w:r>
          </w:p>
        </w:tc>
      </w:tr>
      <w:tr w:rsidR="002A66BB" w:rsidRPr="00AD5A27" w14:paraId="1C9AFE32" w14:textId="77777777">
        <w:trPr>
          <w:cantSplit/>
        </w:trPr>
        <w:tc>
          <w:tcPr>
            <w:tcW w:w="924" w:type="pct"/>
            <w:shd w:val="clear" w:color="auto" w:fill="auto"/>
          </w:tcPr>
          <w:p w14:paraId="2516F7DB" w14:textId="77777777" w:rsidR="002A66BB" w:rsidRPr="00AD5A27" w:rsidRDefault="002A66BB">
            <w:pPr>
              <w:pStyle w:val="TableText0"/>
            </w:pPr>
            <w:r w:rsidRPr="00AD5A27">
              <w:t>Clinical claim</w:t>
            </w:r>
          </w:p>
        </w:tc>
        <w:tc>
          <w:tcPr>
            <w:tcW w:w="4076" w:type="pct"/>
          </w:tcPr>
          <w:p w14:paraId="7D2F59F5" w14:textId="5CD56857" w:rsidR="002A66BB" w:rsidRPr="00AD5A27" w:rsidRDefault="002A66BB">
            <w:pPr>
              <w:pStyle w:val="TableText0"/>
              <w:rPr>
                <w:rFonts w:eastAsia="Times New Roman" w:cs="Arial"/>
                <w:snapToGrid w:val="0"/>
                <w:color w:val="0066FF"/>
              </w:rPr>
            </w:pPr>
            <w:r w:rsidRPr="00AD5A27">
              <w:rPr>
                <w:rFonts w:cstheme="minorBidi"/>
              </w:rPr>
              <w:t>Adalimumab is superior to best supportive care</w:t>
            </w:r>
            <w:r w:rsidR="006811D5" w:rsidRPr="00AD5A27">
              <w:rPr>
                <w:rFonts w:cstheme="minorBidi"/>
              </w:rPr>
              <w:t xml:space="preserve"> (BSC)</w:t>
            </w:r>
            <w:r w:rsidRPr="00AD5A27">
              <w:rPr>
                <w:rFonts w:cstheme="minorBidi"/>
              </w:rPr>
              <w:t xml:space="preserve"> in patients with non-infectious uveitis in terms of efficacy and is comparable with best supportive care in terms of safety.</w:t>
            </w:r>
          </w:p>
        </w:tc>
      </w:tr>
    </w:tbl>
    <w:p w14:paraId="0116971D" w14:textId="361A4873" w:rsidR="002A66BB" w:rsidRPr="00AD5A27" w:rsidRDefault="002A66BB">
      <w:pPr>
        <w:pStyle w:val="FooterTableFigure"/>
        <w:keepNext/>
      </w:pPr>
      <w:r w:rsidRPr="00AD5A27">
        <w:t xml:space="preserve">Source: Table1-1, p31 of the submission. Para. 2.1 pp1-4, adalimumab March 2017 PBAC meeting. </w:t>
      </w:r>
    </w:p>
    <w:p w14:paraId="5AAFE9EF" w14:textId="77777777" w:rsidR="002A66BB" w:rsidRPr="00AD5A27" w:rsidRDefault="002A66BB">
      <w:pPr>
        <w:pStyle w:val="FooterTableFigure"/>
        <w:keepNext/>
      </w:pPr>
      <w:r w:rsidRPr="00AD5A27">
        <w:t>AC = anterior chamber; mg = milligram; mL= millilitre; VH = vitreous haze</w:t>
      </w:r>
    </w:p>
    <w:p w14:paraId="29AE4AB9" w14:textId="77777777" w:rsidR="002A66BB" w:rsidRPr="00AD5A27" w:rsidRDefault="002A66BB">
      <w:pPr>
        <w:pStyle w:val="FooterTableFigure"/>
        <w:keepNext/>
      </w:pPr>
      <w:r w:rsidRPr="00AD5A27">
        <w:t>a Population in the March 2017 submission was described as “Ocular inflammation of a severity that is vision threatening” with suggestions and additions proposed by the Secretariat to the requested listing as “Vision threatening”.</w:t>
      </w:r>
    </w:p>
    <w:p w14:paraId="1E75526E" w14:textId="77777777" w:rsidR="002A66BB" w:rsidRPr="00AD5A27" w:rsidRDefault="002A66BB">
      <w:pPr>
        <w:pStyle w:val="FooterTableFigure"/>
        <w:keepNext/>
      </w:pPr>
      <w:r w:rsidRPr="00AD5A27">
        <w:t>b Intervention was the ‘new’ formulation manner of administration and form requests: Injection, 80mg in 0.8mL pre-filled syringe; Injection, 40mg in 0.4mL pre-filled syringe, 2; Injection, 20mg in 0.2mL pre-filled syringe (Adalimumab, PSD, December 2017; July 2018; November 2019, PBAC meeting).</w:t>
      </w:r>
    </w:p>
    <w:p w14:paraId="15E81AC8" w14:textId="77777777" w:rsidR="002A66BB" w:rsidRPr="00AD5A27" w:rsidRDefault="002A66BB">
      <w:pPr>
        <w:pStyle w:val="FooterTableFigure"/>
      </w:pPr>
      <w:r w:rsidRPr="00AD5A27">
        <w:t>c Population in the March 2017 submission was in adults.</w:t>
      </w:r>
    </w:p>
    <w:p w14:paraId="032648AA" w14:textId="6EBE577B" w:rsidR="005E2349" w:rsidRPr="00AD5A27" w:rsidRDefault="005E2349">
      <w:pPr>
        <w:pStyle w:val="FooterTableFigure"/>
      </w:pPr>
      <w:r w:rsidRPr="00AD5A27">
        <w:rPr>
          <w:u w:val="single"/>
        </w:rPr>
        <w:t>Underline</w:t>
      </w:r>
      <w:r w:rsidRPr="00AD5A27">
        <w:t xml:space="preserve"> denotes changes compared with the previous submission (March 2017).</w:t>
      </w:r>
    </w:p>
    <w:p w14:paraId="045835D0" w14:textId="77777777" w:rsidR="002A66BB" w:rsidRPr="00AD5A27" w:rsidRDefault="002A66BB">
      <w:pPr>
        <w:pStyle w:val="2-SectionHeading"/>
      </w:pPr>
      <w:bookmarkStart w:id="7" w:name="_Toc156988897"/>
      <w:r w:rsidRPr="00AD5A27">
        <w:lastRenderedPageBreak/>
        <w:t>Background</w:t>
      </w:r>
      <w:bookmarkEnd w:id="7"/>
    </w:p>
    <w:p w14:paraId="47152728" w14:textId="77777777" w:rsidR="002A66BB" w:rsidRPr="00AD5A27" w:rsidRDefault="002A66BB">
      <w:pPr>
        <w:pStyle w:val="4-SubsectionHeading"/>
      </w:pPr>
      <w:bookmarkStart w:id="8" w:name="_Toc156988898"/>
      <w:r w:rsidRPr="00AD5A27">
        <w:t>Registration status</w:t>
      </w:r>
      <w:bookmarkEnd w:id="8"/>
    </w:p>
    <w:p w14:paraId="118C0506" w14:textId="7ED623B7" w:rsidR="002A66BB" w:rsidRPr="00AD5A27" w:rsidRDefault="002A66BB" w:rsidP="002A66BB">
      <w:pPr>
        <w:pStyle w:val="3-BodyText"/>
      </w:pPr>
      <w:r w:rsidRPr="00AD5A27">
        <w:t xml:space="preserve">Adalimumab was Therapeutic Goods Administration (TGA) registered on 26 October 2016 for the treatment of non-infectious intermediate, posterior and panuveitis in adult patients who have had an inadequate response to corticosteroids, in patients in need of corticosteroid sparing, or in whom corticosteroid treatment is inappropriate. </w:t>
      </w:r>
    </w:p>
    <w:p w14:paraId="43A96257" w14:textId="77777777" w:rsidR="002A66BB" w:rsidRPr="00AD5A27" w:rsidRDefault="002A66BB" w:rsidP="002A66BB">
      <w:pPr>
        <w:pStyle w:val="3-BodyText"/>
      </w:pPr>
      <w:r w:rsidRPr="00AD5A27">
        <w:t>The TGA-approved indications for adalimumab also include: rheumatoid arthritis, juvenile idiopathic arthritis (JIA), enthesitis-related arthritis, psoriatic arthritis, ankylosing spondylitis, Crohn’s disease in adults and children (≥ 6 years), ulcerative colitis, psoriasis in adults and children and hidradenitis suppurativa in adults and adolescents (from 12 years of age).</w:t>
      </w:r>
    </w:p>
    <w:p w14:paraId="542E6F0F" w14:textId="0CC12DEA" w:rsidR="002A66BB" w:rsidRPr="00AD5A27" w:rsidRDefault="003C063D" w:rsidP="002A66BB">
      <w:pPr>
        <w:pStyle w:val="3-BodyText"/>
      </w:pPr>
      <w:r w:rsidRPr="00AD5A27">
        <w:t xml:space="preserve">TGA status at time of </w:t>
      </w:r>
      <w:r w:rsidR="00876D11" w:rsidRPr="00AD5A27">
        <w:t>PBAC consideration (paediatric population)</w:t>
      </w:r>
      <w:r w:rsidRPr="00AD5A27">
        <w:t xml:space="preserve">: </w:t>
      </w:r>
      <w:r w:rsidR="00C07AA5" w:rsidRPr="00AD5A27">
        <w:t>The Delegate’s Overview is not anticipated until September 2024, with registration expected around 31 December 2024</w:t>
      </w:r>
      <w:r w:rsidR="00C557AC" w:rsidRPr="00AD5A27">
        <w:t>.</w:t>
      </w:r>
    </w:p>
    <w:p w14:paraId="146768EB" w14:textId="77777777" w:rsidR="002A66BB" w:rsidRPr="00AD5A27" w:rsidRDefault="002A66BB">
      <w:pPr>
        <w:pStyle w:val="4-SubsectionHeading"/>
      </w:pPr>
      <w:bookmarkStart w:id="9" w:name="_Toc156988899"/>
      <w:r w:rsidRPr="00AD5A27">
        <w:t>Previous PBAC consideration</w:t>
      </w:r>
      <w:bookmarkEnd w:id="9"/>
    </w:p>
    <w:p w14:paraId="5E30CA5F" w14:textId="77777777" w:rsidR="002A66BB" w:rsidRPr="00AD5A27" w:rsidRDefault="002A66BB">
      <w:pPr>
        <w:pStyle w:val="3-BodyText"/>
      </w:pPr>
      <w:r w:rsidRPr="00AD5A27">
        <w:t>The PBAC previously considered adalimumab for this indication in March 2017. Table 2 summarises the key matters of concern highlighted at the March 2017 meeting.</w:t>
      </w:r>
    </w:p>
    <w:p w14:paraId="10D097E6" w14:textId="57B40CA2" w:rsidR="002A66BB" w:rsidRPr="00AD5A27" w:rsidRDefault="002A66BB">
      <w:pPr>
        <w:pStyle w:val="TableFigureHeading"/>
        <w:rPr>
          <w:rStyle w:val="CommentReference"/>
          <w:b/>
          <w:szCs w:val="24"/>
        </w:rPr>
      </w:pPr>
      <w:r w:rsidRPr="00AD5A27">
        <w:t xml:space="preserve">Table </w:t>
      </w:r>
      <w:r w:rsidR="004050E4">
        <w:fldChar w:fldCharType="begin" w:fldLock="1"/>
      </w:r>
      <w:r w:rsidR="004050E4">
        <w:instrText xml:space="preserve"> SEQ Table \* ARABIC </w:instrText>
      </w:r>
      <w:r w:rsidR="004050E4">
        <w:fldChar w:fldCharType="separate"/>
      </w:r>
      <w:r w:rsidR="00B510E9" w:rsidRPr="00AD5A27">
        <w:t>2</w:t>
      </w:r>
      <w:r w:rsidR="004050E4">
        <w:fldChar w:fldCharType="end"/>
      </w:r>
      <w:r w:rsidRPr="00AD5A27">
        <w:t>:</w:t>
      </w:r>
      <w:r w:rsidRPr="00AD5A27">
        <w:rPr>
          <w:rStyle w:val="CommentReference"/>
          <w:b/>
          <w:szCs w:val="24"/>
        </w:rPr>
        <w:t xml:space="preserve"> Summary of key matters of concern</w:t>
      </w:r>
    </w:p>
    <w:tbl>
      <w:tblPr>
        <w:tblpPr w:leftFromText="180" w:rightFromText="180" w:vertAnchor="text" w:tblpY="1"/>
        <w:tblOverlap w:val="neve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w:tblPr>
      <w:tblGrid>
        <w:gridCol w:w="1620"/>
        <w:gridCol w:w="3478"/>
        <w:gridCol w:w="3919"/>
      </w:tblGrid>
      <w:tr w:rsidR="002A66BB" w:rsidRPr="00AD5A27" w14:paraId="49B4F485" w14:textId="77777777" w:rsidTr="00AB79CD">
        <w:trPr>
          <w:cantSplit/>
          <w:tblHeader/>
        </w:trPr>
        <w:tc>
          <w:tcPr>
            <w:tcW w:w="1620" w:type="dxa"/>
            <w:vAlign w:val="center"/>
          </w:tcPr>
          <w:p w14:paraId="2D600FEC" w14:textId="77777777" w:rsidR="002A66BB" w:rsidRPr="00AD5A27" w:rsidRDefault="002A66BB">
            <w:pPr>
              <w:pStyle w:val="In-tableHeading"/>
              <w:jc w:val="center"/>
              <w:rPr>
                <w:lang w:val="en-AU"/>
              </w:rPr>
            </w:pPr>
            <w:r w:rsidRPr="00AD5A27">
              <w:rPr>
                <w:lang w:val="en-AU"/>
              </w:rPr>
              <w:t>Component</w:t>
            </w:r>
          </w:p>
        </w:tc>
        <w:tc>
          <w:tcPr>
            <w:tcW w:w="3478" w:type="dxa"/>
            <w:vAlign w:val="center"/>
          </w:tcPr>
          <w:p w14:paraId="594FA181" w14:textId="77777777" w:rsidR="002A66BB" w:rsidRPr="00AD5A27" w:rsidRDefault="002A66BB">
            <w:pPr>
              <w:pStyle w:val="In-tableHeading"/>
              <w:jc w:val="center"/>
              <w:rPr>
                <w:lang w:val="en-AU"/>
              </w:rPr>
            </w:pPr>
            <w:r w:rsidRPr="00AD5A27">
              <w:rPr>
                <w:lang w:val="en-AU"/>
              </w:rPr>
              <w:t>Matter of concern</w:t>
            </w:r>
          </w:p>
        </w:tc>
        <w:tc>
          <w:tcPr>
            <w:tcW w:w="3919" w:type="dxa"/>
            <w:vAlign w:val="center"/>
          </w:tcPr>
          <w:p w14:paraId="5EF3CAB9" w14:textId="77777777" w:rsidR="002A66BB" w:rsidRPr="00AD5A27" w:rsidRDefault="002A66BB">
            <w:pPr>
              <w:pStyle w:val="In-tableHeading"/>
              <w:jc w:val="center"/>
              <w:rPr>
                <w:lang w:val="en-AU"/>
              </w:rPr>
            </w:pPr>
            <w:r w:rsidRPr="00AD5A27">
              <w:rPr>
                <w:lang w:val="en-AU"/>
              </w:rPr>
              <w:t>How the resubmission addressed the previous concern</w:t>
            </w:r>
          </w:p>
        </w:tc>
      </w:tr>
      <w:tr w:rsidR="002A66BB" w:rsidRPr="00AD5A27" w14:paraId="21F940EE" w14:textId="77777777" w:rsidTr="00AB79CD">
        <w:trPr>
          <w:cantSplit/>
        </w:trPr>
        <w:tc>
          <w:tcPr>
            <w:tcW w:w="1620" w:type="dxa"/>
            <w:vMerge w:val="restart"/>
            <w:shd w:val="clear" w:color="auto" w:fill="auto"/>
            <w:vAlign w:val="center"/>
          </w:tcPr>
          <w:p w14:paraId="3E157FF0" w14:textId="77777777" w:rsidR="002A66BB" w:rsidRPr="00AD5A27" w:rsidRDefault="002A66BB" w:rsidP="00F35985">
            <w:pPr>
              <w:pStyle w:val="TableText0"/>
            </w:pPr>
            <w:r w:rsidRPr="00AD5A27">
              <w:t>PBS restriction</w:t>
            </w:r>
          </w:p>
        </w:tc>
        <w:tc>
          <w:tcPr>
            <w:tcW w:w="3478" w:type="dxa"/>
            <w:tcBorders>
              <w:top w:val="single" w:sz="4" w:space="0" w:color="auto"/>
              <w:left w:val="single" w:sz="4" w:space="0" w:color="auto"/>
              <w:bottom w:val="single" w:sz="4" w:space="0" w:color="auto"/>
              <w:right w:val="single" w:sz="4" w:space="0" w:color="auto"/>
            </w:tcBorders>
          </w:tcPr>
          <w:p w14:paraId="59D9EA0F" w14:textId="66E799E5" w:rsidR="002A66BB" w:rsidRPr="00AD5A27" w:rsidRDefault="002A66BB">
            <w:pPr>
              <w:pStyle w:val="TableText0"/>
              <w:rPr>
                <w:rFonts w:eastAsia="Times New Roman" w:cs="Arial"/>
                <w:snapToGrid w:val="0"/>
              </w:rPr>
            </w:pPr>
            <w:r w:rsidRPr="00AD5A27">
              <w:t>“The proposed restriction …may allow less restrictive access to adalimumab than current restrictions for systemic diseases (e.g., the restriction for rheumatoid arthritis includes failure of at least two DMARDs). The use in patients with uveitis and systemic disease is clinically appropriate but may represent an avenue for leakage around existing restrictions” (para. 2.4, ADA, PSD, March 2017 PBAC meeting).</w:t>
            </w:r>
          </w:p>
        </w:tc>
        <w:tc>
          <w:tcPr>
            <w:tcW w:w="3919" w:type="dxa"/>
            <w:tcBorders>
              <w:top w:val="single" w:sz="4" w:space="0" w:color="auto"/>
              <w:left w:val="single" w:sz="4" w:space="0" w:color="auto"/>
              <w:bottom w:val="single" w:sz="4" w:space="0" w:color="auto"/>
              <w:right w:val="single" w:sz="4" w:space="0" w:color="auto"/>
            </w:tcBorders>
          </w:tcPr>
          <w:p w14:paraId="17F5336B" w14:textId="106D370F" w:rsidR="002A66BB" w:rsidRPr="00AD5A27" w:rsidRDefault="002A66BB">
            <w:pPr>
              <w:rPr>
                <w:rFonts w:ascii="Arial Narrow" w:hAnsi="Arial Narrow"/>
                <w:sz w:val="20"/>
                <w:szCs w:val="20"/>
              </w:rPr>
            </w:pPr>
            <w:r w:rsidRPr="00AD5A27">
              <w:rPr>
                <w:rFonts w:ascii="Arial Narrow" w:hAnsi="Arial Narrow"/>
                <w:sz w:val="20"/>
                <w:szCs w:val="20"/>
              </w:rPr>
              <w:t>Not addressed</w:t>
            </w:r>
            <w:r w:rsidR="009906C7" w:rsidRPr="00AD5A27">
              <w:rPr>
                <w:rFonts w:ascii="Arial Narrow" w:hAnsi="Arial Narrow"/>
                <w:sz w:val="20"/>
                <w:szCs w:val="20"/>
              </w:rPr>
              <w:t>.</w:t>
            </w:r>
          </w:p>
          <w:p w14:paraId="01D66BF0" w14:textId="77777777" w:rsidR="009906C7" w:rsidRPr="00AD5A27" w:rsidRDefault="009906C7">
            <w:pPr>
              <w:rPr>
                <w:rFonts w:ascii="Arial Narrow" w:hAnsi="Arial Narrow"/>
                <w:sz w:val="20"/>
                <w:szCs w:val="20"/>
              </w:rPr>
            </w:pPr>
          </w:p>
          <w:p w14:paraId="619D649F" w14:textId="28F96945" w:rsidR="004453E1" w:rsidRPr="00AD5A27" w:rsidRDefault="002A66BB" w:rsidP="00AE721D">
            <w:pPr>
              <w:pStyle w:val="TableText0"/>
            </w:pPr>
            <w:r w:rsidRPr="00AD5A27">
              <w:rPr>
                <w:szCs w:val="20"/>
              </w:rPr>
              <w:t>Systemic disease was not explicitly excluded in the treatment algorithm or proposed PBS restriction</w:t>
            </w:r>
            <w:r w:rsidR="00AD5A27">
              <w:rPr>
                <w:szCs w:val="20"/>
              </w:rPr>
              <w:t xml:space="preserve">. </w:t>
            </w:r>
          </w:p>
          <w:p w14:paraId="572DAC69" w14:textId="77777777" w:rsidR="004453E1" w:rsidRPr="00AD5A27" w:rsidRDefault="004453E1" w:rsidP="00AE721D">
            <w:pPr>
              <w:pStyle w:val="TableText0"/>
            </w:pPr>
          </w:p>
          <w:p w14:paraId="24092F87" w14:textId="38859CCE" w:rsidR="00AB79CD" w:rsidRPr="00AD5A27" w:rsidRDefault="00BC0321">
            <w:pPr>
              <w:pStyle w:val="TableText0"/>
            </w:pPr>
            <w:r>
              <w:t>The evaluation considered it</w:t>
            </w:r>
            <w:r w:rsidR="00C346FA" w:rsidRPr="00AD5A27">
              <w:t xml:space="preserve"> </w:t>
            </w:r>
            <w:r w:rsidR="0074791F" w:rsidRPr="00AD5A27">
              <w:t>may be clinically inappropriate to exclude patients</w:t>
            </w:r>
            <w:r w:rsidR="00C346FA" w:rsidRPr="00AD5A27">
              <w:t xml:space="preserve"> with </w:t>
            </w:r>
            <w:r w:rsidR="00B030A5" w:rsidRPr="00AD5A27">
              <w:t>systemic</w:t>
            </w:r>
            <w:r w:rsidR="005E1057" w:rsidRPr="00AD5A27">
              <w:t xml:space="preserve"> disease. </w:t>
            </w:r>
            <w:r w:rsidR="00FD313B" w:rsidRPr="00AD5A27">
              <w:t>Currently</w:t>
            </w:r>
            <w:r w:rsidR="00FD313B" w:rsidRPr="00AD5A27">
              <w:rPr>
                <w:szCs w:val="20"/>
              </w:rPr>
              <w:t xml:space="preserve"> biosimilars are streamlined authorities for subsequent continuing therapy for multiple indications</w:t>
            </w:r>
            <w:r w:rsidR="00AD5A27">
              <w:rPr>
                <w:szCs w:val="20"/>
              </w:rPr>
              <w:t xml:space="preserve">. </w:t>
            </w:r>
          </w:p>
          <w:p w14:paraId="017BAD24" w14:textId="77777777" w:rsidR="00AB79CD" w:rsidRPr="00AD5A27" w:rsidRDefault="00AB79CD">
            <w:pPr>
              <w:pStyle w:val="TableText0"/>
            </w:pPr>
          </w:p>
          <w:p w14:paraId="34C24DEA" w14:textId="12F40A18" w:rsidR="002A66BB" w:rsidRPr="00AD5A27" w:rsidRDefault="00A62F0C">
            <w:pPr>
              <w:pStyle w:val="TableText0"/>
            </w:pPr>
            <w:r w:rsidRPr="00AD5A27">
              <w:t>The ESC considered the risk of leakage to other indications was low.</w:t>
            </w:r>
          </w:p>
          <w:p w14:paraId="1D33CCC5" w14:textId="77777777" w:rsidR="002A66BB" w:rsidRPr="00AD5A27" w:rsidRDefault="002A66BB">
            <w:pPr>
              <w:pStyle w:val="TableText0"/>
              <w:rPr>
                <w:snapToGrid w:val="0"/>
                <w:szCs w:val="20"/>
              </w:rPr>
            </w:pPr>
          </w:p>
          <w:p w14:paraId="67437556" w14:textId="77777777" w:rsidR="002A66BB" w:rsidRPr="00AD5A27" w:rsidRDefault="002A66BB">
            <w:pPr>
              <w:pStyle w:val="TableText0"/>
              <w:rPr>
                <w:snapToGrid w:val="0"/>
                <w:szCs w:val="20"/>
              </w:rPr>
            </w:pPr>
            <w:r w:rsidRPr="00AD5A27">
              <w:rPr>
                <w:szCs w:val="20"/>
              </w:rPr>
              <w:t>A risk-sharing arrangement was not proposed in the resubmission.</w:t>
            </w:r>
          </w:p>
        </w:tc>
      </w:tr>
      <w:tr w:rsidR="002A66BB" w:rsidRPr="00AD5A27" w14:paraId="0F6C32C9" w14:textId="77777777" w:rsidTr="00AB79CD">
        <w:trPr>
          <w:cantSplit/>
        </w:trPr>
        <w:tc>
          <w:tcPr>
            <w:tcW w:w="1620" w:type="dxa"/>
            <w:vMerge/>
            <w:vAlign w:val="center"/>
          </w:tcPr>
          <w:p w14:paraId="723CB862" w14:textId="77777777" w:rsidR="002A66BB" w:rsidRPr="00AD5A27" w:rsidRDefault="002A66BB">
            <w:pPr>
              <w:pStyle w:val="TableText0"/>
              <w:jc w:val="center"/>
            </w:pPr>
          </w:p>
        </w:tc>
        <w:tc>
          <w:tcPr>
            <w:tcW w:w="3478" w:type="dxa"/>
            <w:tcBorders>
              <w:top w:val="single" w:sz="4" w:space="0" w:color="auto"/>
              <w:left w:val="single" w:sz="4" w:space="0" w:color="auto"/>
              <w:bottom w:val="single" w:sz="4" w:space="0" w:color="auto"/>
              <w:right w:val="single" w:sz="4" w:space="0" w:color="auto"/>
            </w:tcBorders>
          </w:tcPr>
          <w:p w14:paraId="1E7A8436" w14:textId="77777777" w:rsidR="002A66BB" w:rsidRPr="00AD5A27" w:rsidRDefault="002A66BB">
            <w:pPr>
              <w:pStyle w:val="TableText0"/>
              <w:rPr>
                <w:rFonts w:eastAsia="Times New Roman" w:cs="Arial"/>
                <w:snapToGrid w:val="0"/>
              </w:rPr>
            </w:pPr>
            <w:r w:rsidRPr="00AD5A27">
              <w:t>“The PBAC noted the advice from the Royal Children’s Hospital Melbourne and that due to different dosing requirements a separate PBS restriction would be required if a paediatric listing was pursued (para. 7.3 ADA, PSD, March 2017 PBAC meeting).</w:t>
            </w:r>
          </w:p>
        </w:tc>
        <w:tc>
          <w:tcPr>
            <w:tcW w:w="3919" w:type="dxa"/>
            <w:tcBorders>
              <w:top w:val="single" w:sz="4" w:space="0" w:color="auto"/>
              <w:left w:val="single" w:sz="4" w:space="0" w:color="auto"/>
              <w:bottom w:val="single" w:sz="4" w:space="0" w:color="auto"/>
              <w:right w:val="single" w:sz="4" w:space="0" w:color="auto"/>
            </w:tcBorders>
          </w:tcPr>
          <w:p w14:paraId="5D2EC1CA" w14:textId="68AD2989" w:rsidR="002A66BB" w:rsidRPr="00AD5A27" w:rsidRDefault="002A66BB">
            <w:pPr>
              <w:pStyle w:val="TableText0"/>
            </w:pPr>
            <w:r w:rsidRPr="00AD5A27">
              <w:t>Not addressed</w:t>
            </w:r>
            <w:r w:rsidR="00B85C30" w:rsidRPr="00AD5A27">
              <w:t>.</w:t>
            </w:r>
          </w:p>
          <w:p w14:paraId="1300D875" w14:textId="77777777" w:rsidR="00B85C30" w:rsidRPr="00AD5A27" w:rsidRDefault="00B85C30">
            <w:pPr>
              <w:pStyle w:val="TableText0"/>
            </w:pPr>
          </w:p>
          <w:p w14:paraId="65CD48BC" w14:textId="5E07C473" w:rsidR="002A66BB" w:rsidRPr="00AD5A27" w:rsidRDefault="002A66BB">
            <w:pPr>
              <w:pStyle w:val="TableText0"/>
            </w:pPr>
            <w:r w:rsidRPr="00AD5A27">
              <w:t xml:space="preserve">A separate paediatric PBS </w:t>
            </w:r>
            <w:r w:rsidR="00B85C30" w:rsidRPr="00AD5A27">
              <w:t xml:space="preserve">listing </w:t>
            </w:r>
            <w:r w:rsidRPr="00AD5A27">
              <w:t>was not proposed</w:t>
            </w:r>
            <w:r w:rsidR="00DB214D" w:rsidRPr="00AD5A27">
              <w:t>.</w:t>
            </w:r>
            <w:r w:rsidR="009E625C" w:rsidRPr="00AD5A27">
              <w:t xml:space="preserve"> </w:t>
            </w:r>
            <w:r w:rsidR="00F03980" w:rsidRPr="00AD5A27">
              <w:t xml:space="preserve">There are differences in typical disease manifestations/phenotypes and considerations for use of oral corticosteroids between adult and paediatric patients that </w:t>
            </w:r>
            <w:r w:rsidR="00876D11" w:rsidRPr="00AD5A27">
              <w:t>merit further consideration.</w:t>
            </w:r>
          </w:p>
        </w:tc>
      </w:tr>
      <w:tr w:rsidR="001D6BA3" w:rsidRPr="00AD5A27" w14:paraId="5DF2939B" w14:textId="77777777" w:rsidTr="00AB79CD">
        <w:trPr>
          <w:cantSplit/>
        </w:trPr>
        <w:tc>
          <w:tcPr>
            <w:tcW w:w="1620" w:type="dxa"/>
            <w:vMerge w:val="restart"/>
            <w:shd w:val="clear" w:color="auto" w:fill="auto"/>
            <w:vAlign w:val="center"/>
          </w:tcPr>
          <w:p w14:paraId="44E4FE5E" w14:textId="77777777" w:rsidR="001D6BA3" w:rsidRPr="00AD5A27" w:rsidRDefault="001D6BA3" w:rsidP="003D1B39">
            <w:pPr>
              <w:pStyle w:val="TableText0"/>
            </w:pPr>
            <w:r w:rsidRPr="00AD5A27">
              <w:t>Ocular complications</w:t>
            </w:r>
          </w:p>
        </w:tc>
        <w:tc>
          <w:tcPr>
            <w:tcW w:w="3478" w:type="dxa"/>
            <w:shd w:val="clear" w:color="auto" w:fill="auto"/>
          </w:tcPr>
          <w:p w14:paraId="1FFF4294" w14:textId="4FA31E0B" w:rsidR="001D6BA3" w:rsidRPr="00AD5A27" w:rsidRDefault="001D6BA3">
            <w:pPr>
              <w:pStyle w:val="TableText0"/>
              <w:rPr>
                <w:rFonts w:eastAsia="Times New Roman" w:cs="Arial"/>
                <w:snapToGrid w:val="0"/>
              </w:rPr>
            </w:pPr>
            <w:r w:rsidRPr="00AD5A27">
              <w:rPr>
                <w:color w:val="000000" w:themeColor="text1"/>
              </w:rPr>
              <w:t xml:space="preserve">The PBAC noted uncertainties remain around the extrapolation of the efficacy of the surrogate (flares) to the efficacy against </w:t>
            </w:r>
            <w:r w:rsidRPr="00AD5A27">
              <w:rPr>
                <w:color w:val="000000" w:themeColor="text1"/>
              </w:rPr>
              <w:lastRenderedPageBreak/>
              <w:t>downstream complications, such as cataracts, visual disturbance, glaucoma and blindness.</w:t>
            </w:r>
            <w:r w:rsidRPr="00AD5A27">
              <w:t xml:space="preserve"> The PBAC noted that the components of the composite measure are normally used in clinical practice to assess ocular inflammation. However, the extrapolation of the relationship between flare and ocular complication was likely to be overestimated, strongly favouring adalimumab </w:t>
            </w:r>
            <w:r w:rsidRPr="00AD5A27">
              <w:rPr>
                <w:color w:val="000000" w:themeColor="text1"/>
              </w:rPr>
              <w:t>(paras 6.10, 7.8, ADA, PSD, March 2017 PBAC meeting).</w:t>
            </w:r>
          </w:p>
        </w:tc>
        <w:tc>
          <w:tcPr>
            <w:tcW w:w="3919" w:type="dxa"/>
            <w:shd w:val="clear" w:color="auto" w:fill="auto"/>
          </w:tcPr>
          <w:p w14:paraId="1EA9E6DC" w14:textId="10801066" w:rsidR="001D6BA3" w:rsidRPr="00AD5A27" w:rsidRDefault="00285CEA">
            <w:pPr>
              <w:pStyle w:val="TableText0"/>
              <w:keepNext w:val="0"/>
              <w:rPr>
                <w:color w:val="000000" w:themeColor="text1"/>
              </w:rPr>
            </w:pPr>
            <w:r w:rsidRPr="00AD5A27">
              <w:rPr>
                <w:color w:val="000000" w:themeColor="text1"/>
              </w:rPr>
              <w:lastRenderedPageBreak/>
              <w:t>Not addressed.</w:t>
            </w:r>
          </w:p>
          <w:p w14:paraId="49C870B2" w14:textId="77777777" w:rsidR="001D6BA3" w:rsidRPr="00AD5A27" w:rsidRDefault="001D6BA3">
            <w:pPr>
              <w:pStyle w:val="TableText0"/>
              <w:keepNext w:val="0"/>
              <w:rPr>
                <w:color w:val="000000" w:themeColor="text1"/>
              </w:rPr>
            </w:pPr>
          </w:p>
          <w:p w14:paraId="071A52E7" w14:textId="77777777" w:rsidR="001D6BA3" w:rsidRPr="00AD5A27" w:rsidRDefault="001D6BA3">
            <w:pPr>
              <w:pStyle w:val="TableText0"/>
            </w:pPr>
            <w:r w:rsidRPr="00AD5A27">
              <w:lastRenderedPageBreak/>
              <w:t>The resubmission did not present clinical evidence directly linking adalimumab treatment with</w:t>
            </w:r>
            <w:r w:rsidRPr="00AD5A27" w:rsidDel="0019170B">
              <w:t xml:space="preserve"> ocular complications. </w:t>
            </w:r>
            <w:r w:rsidRPr="00AD5A27">
              <w:t xml:space="preserve">A meta-analysis conducted during the evaluation of TEAEs relating to ocular disorders or complications between the adalimumab and placebo arms in the VISUAL I and VISUAL II trials, using a random effects model, found no difference in relative risk, as the bounds of the 95% CI included </w:t>
            </w:r>
            <w:r w:rsidR="00B62393" w:rsidRPr="00AD5A27">
              <w:t>1</w:t>
            </w:r>
            <w:r w:rsidRPr="00AD5A27">
              <w:t xml:space="preserve"> (pooled relative risk: 1.00, 95% CI: 0.79, 1.27). Further, clinical evidence</w:t>
            </w:r>
            <w:r w:rsidR="007F7542" w:rsidRPr="00AD5A27">
              <w:t xml:space="preserve"> demonstrating a link between flares and</w:t>
            </w:r>
            <w:r w:rsidR="00032BF1" w:rsidRPr="00AD5A27">
              <w:t xml:space="preserve">  </w:t>
            </w:r>
            <w:r w:rsidRPr="00AD5A27">
              <w:t>downstream ocular complications was not presented. The lack of demonstrating a clear benefit in downstream ocular complications or link between active flares and ocular complications has implications for the reliability of the results of the economic model</w:t>
            </w:r>
            <w:r w:rsidR="005E548F" w:rsidRPr="00AD5A27">
              <w:t>.</w:t>
            </w:r>
          </w:p>
          <w:p w14:paraId="30DD2AFF" w14:textId="77777777" w:rsidR="00557108" w:rsidRPr="00AD5A27" w:rsidRDefault="00557108">
            <w:pPr>
              <w:pStyle w:val="TableText0"/>
              <w:rPr>
                <w:snapToGrid w:val="0"/>
              </w:rPr>
            </w:pPr>
          </w:p>
          <w:p w14:paraId="770A3726" w14:textId="2FC738A0" w:rsidR="00557108" w:rsidRPr="00AD5A27" w:rsidRDefault="00557108">
            <w:pPr>
              <w:pStyle w:val="TableText0"/>
              <w:rPr>
                <w:rFonts w:eastAsia="Times New Roman" w:cs="Arial"/>
                <w:snapToGrid w:val="0"/>
              </w:rPr>
            </w:pPr>
            <w:r w:rsidRPr="00AD5A27">
              <w:t>The ESC considered a link between repeat flares and downstream ocular complications was biologically plausible but difficult to quantify reliably for the economic model.</w:t>
            </w:r>
          </w:p>
        </w:tc>
      </w:tr>
      <w:tr w:rsidR="003D1B39" w:rsidRPr="00AD5A27" w14:paraId="4804FE93" w14:textId="77777777" w:rsidTr="00AB79CD">
        <w:trPr>
          <w:cantSplit/>
          <w:trHeight w:val="2305"/>
        </w:trPr>
        <w:tc>
          <w:tcPr>
            <w:tcW w:w="1620" w:type="dxa"/>
            <w:vMerge/>
            <w:vAlign w:val="center"/>
          </w:tcPr>
          <w:p w14:paraId="3E15833E" w14:textId="77777777" w:rsidR="003D1B39" w:rsidRPr="00AD5A27" w:rsidRDefault="003D1B39">
            <w:pPr>
              <w:pStyle w:val="TableText0"/>
              <w:jc w:val="center"/>
              <w:rPr>
                <w:highlight w:val="cyan"/>
              </w:rPr>
            </w:pPr>
          </w:p>
        </w:tc>
        <w:tc>
          <w:tcPr>
            <w:tcW w:w="3478" w:type="dxa"/>
          </w:tcPr>
          <w:p w14:paraId="5A58A482" w14:textId="4BDE6906" w:rsidR="003D1B39" w:rsidRPr="00AD5A27" w:rsidRDefault="003D1B39">
            <w:pPr>
              <w:pStyle w:val="TableText0"/>
              <w:rPr>
                <w:rFonts w:eastAsia="Times New Roman" w:cs="Arial"/>
                <w:snapToGrid w:val="0"/>
                <w:color w:val="0066FF"/>
                <w:highlight w:val="cyan"/>
              </w:rPr>
            </w:pPr>
            <w:r w:rsidRPr="00AD5A27">
              <w:rPr>
                <w:rFonts w:eastAsia="Times New Roman" w:cs="Arial"/>
                <w:snapToGrid w:val="0"/>
              </w:rPr>
              <w:t>“</w:t>
            </w:r>
            <w:r w:rsidRPr="00AD5A27">
              <w:rPr>
                <w:rFonts w:eastAsia="Times New Roman" w:cs="Arial"/>
              </w:rPr>
              <w:t>The PBAC noted there is no long term use of corticosteroids in the trials so there is no direct data to inform the model of the relative efficacy or safety of adalimumab versus chronic corticosteroid use.</w:t>
            </w:r>
            <w:r w:rsidRPr="00AD5A27">
              <w:rPr>
                <w:rFonts w:eastAsia="Times New Roman" w:cs="Arial"/>
                <w:snapToGrid w:val="0"/>
              </w:rPr>
              <w:t xml:space="preserve"> The PBAC agreed with the ESC that the forced corticosteroid taper schedules may have overestimated the treatment effect of adalimumab” (para. 7.5, ADA, PSD, March 2017 PBAC meeting)</w:t>
            </w:r>
            <w:r w:rsidR="00562447" w:rsidRPr="00AD5A27">
              <w:rPr>
                <w:rFonts w:eastAsia="Times New Roman" w:cs="Arial"/>
                <w:snapToGrid w:val="0"/>
              </w:rPr>
              <w:t>,</w:t>
            </w:r>
          </w:p>
        </w:tc>
        <w:tc>
          <w:tcPr>
            <w:tcW w:w="3919" w:type="dxa"/>
          </w:tcPr>
          <w:p w14:paraId="15ABF7E7" w14:textId="2599BE94" w:rsidR="003D1B39" w:rsidRPr="00AD5A27" w:rsidRDefault="003D1B39">
            <w:pPr>
              <w:pStyle w:val="TableText0"/>
              <w:rPr>
                <w:rFonts w:eastAsia="Times New Roman" w:cs="Arial"/>
                <w:snapToGrid w:val="0"/>
              </w:rPr>
            </w:pPr>
            <w:r w:rsidRPr="00AD5A27">
              <w:rPr>
                <w:rFonts w:eastAsia="Times New Roman" w:cs="Arial"/>
                <w:snapToGrid w:val="0"/>
              </w:rPr>
              <w:t xml:space="preserve">Partially addressed. </w:t>
            </w:r>
          </w:p>
          <w:p w14:paraId="1630E8E5" w14:textId="77777777" w:rsidR="003D1B39" w:rsidRPr="00AD5A27" w:rsidRDefault="003D1B39">
            <w:pPr>
              <w:pStyle w:val="TableText0"/>
              <w:rPr>
                <w:rFonts w:eastAsia="Times New Roman" w:cs="Arial"/>
                <w:snapToGrid w:val="0"/>
              </w:rPr>
            </w:pPr>
          </w:p>
          <w:p w14:paraId="12B19F35" w14:textId="77777777" w:rsidR="003D1B39" w:rsidRPr="00AD5A27" w:rsidRDefault="003D1B39">
            <w:pPr>
              <w:pStyle w:val="TableText0"/>
              <w:rPr>
                <w:rFonts w:eastAsia="Times New Roman" w:cs="Arial"/>
              </w:rPr>
            </w:pPr>
            <w:r w:rsidRPr="00AD5A27">
              <w:rPr>
                <w:rFonts w:eastAsia="Times New Roman" w:cs="Arial"/>
                <w:snapToGrid w:val="0"/>
              </w:rPr>
              <w:t xml:space="preserve">The OLE VISUAL III </w:t>
            </w:r>
            <w:r w:rsidRPr="00AD5A27">
              <w:rPr>
                <w:rFonts w:eastAsia="Times New Roman" w:cs="Arial"/>
              </w:rPr>
              <w:t>and the</w:t>
            </w:r>
            <w:r w:rsidRPr="00AD5A27">
              <w:rPr>
                <w:rFonts w:eastAsia="Times New Roman" w:cs="Arial"/>
                <w:snapToGrid w:val="0"/>
              </w:rPr>
              <w:t xml:space="preserve"> </w:t>
            </w:r>
            <w:r w:rsidRPr="00AD5A27">
              <w:rPr>
                <w:rFonts w:eastAsia="Times New Roman" w:cs="Arial"/>
              </w:rPr>
              <w:t xml:space="preserve">supplementary </w:t>
            </w:r>
            <w:r w:rsidRPr="00AD5A27">
              <w:rPr>
                <w:rFonts w:eastAsia="Times New Roman" w:cs="Arial"/>
                <w:snapToGrid w:val="0"/>
              </w:rPr>
              <w:t xml:space="preserve">observational </w:t>
            </w:r>
            <w:r w:rsidRPr="00AD5A27">
              <w:rPr>
                <w:rFonts w:eastAsia="Times New Roman" w:cs="Arial"/>
              </w:rPr>
              <w:t>studies did not include forced steroid taper.</w:t>
            </w:r>
            <w:r w:rsidR="00562447" w:rsidRPr="00AD5A27">
              <w:rPr>
                <w:rFonts w:eastAsia="Times New Roman" w:cs="Arial"/>
              </w:rPr>
              <w:t xml:space="preserve"> </w:t>
            </w:r>
            <w:r w:rsidR="003C5716" w:rsidRPr="00AD5A27">
              <w:rPr>
                <w:rFonts w:eastAsia="Times New Roman" w:cs="Arial"/>
              </w:rPr>
              <w:t>However, the c</w:t>
            </w:r>
            <w:r w:rsidRPr="00AD5A27">
              <w:rPr>
                <w:rFonts w:eastAsia="Times New Roman" w:cs="Arial"/>
              </w:rPr>
              <w:t>linical efficacy in the economic evaluation was still based on the VISUAL I and II trials, where there was forced corticosteroid taper schedules, however it was applied to both treatment arms.</w:t>
            </w:r>
          </w:p>
          <w:p w14:paraId="76C75557" w14:textId="77777777" w:rsidR="00F50619" w:rsidRPr="00AD5A27" w:rsidRDefault="00F50619">
            <w:pPr>
              <w:pStyle w:val="TableText0"/>
              <w:rPr>
                <w:rFonts w:eastAsia="Times New Roman" w:cs="Arial"/>
                <w:snapToGrid w:val="0"/>
              </w:rPr>
            </w:pPr>
          </w:p>
          <w:p w14:paraId="0152293F" w14:textId="2712B9DB" w:rsidR="00F50619" w:rsidRPr="00AD5A27" w:rsidRDefault="00F50619">
            <w:pPr>
              <w:pStyle w:val="TableText0"/>
              <w:rPr>
                <w:rFonts w:eastAsia="Times New Roman" w:cs="Arial"/>
                <w:snapToGrid w:val="0"/>
              </w:rPr>
            </w:pPr>
            <w:r w:rsidRPr="00AD5A27">
              <w:t>The ESC agreed with the evaluation and considered the design of the</w:t>
            </w:r>
            <w:r w:rsidR="00876D11" w:rsidRPr="00AD5A27">
              <w:t xml:space="preserve"> randomised</w:t>
            </w:r>
            <w:r w:rsidRPr="00AD5A27">
              <w:t xml:space="preserve"> trials precluded a direct assessment of the comparative effectiveness of adalimumab and the comparator and was a significant source of uncertainty.</w:t>
            </w:r>
          </w:p>
        </w:tc>
      </w:tr>
      <w:tr w:rsidR="00A747ED" w:rsidRPr="00AD5A27" w14:paraId="7B406BAA" w14:textId="77777777" w:rsidTr="00AB79CD">
        <w:trPr>
          <w:cantSplit/>
        </w:trPr>
        <w:tc>
          <w:tcPr>
            <w:tcW w:w="1620" w:type="dxa"/>
          </w:tcPr>
          <w:p w14:paraId="257DF831" w14:textId="1B69FA9A" w:rsidR="003D1B39" w:rsidRPr="00AD5A27" w:rsidRDefault="003D1B39" w:rsidP="003D1B39">
            <w:pPr>
              <w:pStyle w:val="TableText0"/>
            </w:pPr>
            <w:r w:rsidRPr="00AD5A27">
              <w:t>Immunomodulatory therapy usage at baseline</w:t>
            </w:r>
          </w:p>
        </w:tc>
        <w:tc>
          <w:tcPr>
            <w:tcW w:w="3478" w:type="dxa"/>
          </w:tcPr>
          <w:p w14:paraId="6CA74631" w14:textId="1D29E8EB" w:rsidR="003D1B39" w:rsidRPr="00AD5A27" w:rsidRDefault="003D1B39" w:rsidP="003D1B39">
            <w:pPr>
              <w:pStyle w:val="TableText0"/>
              <w:rPr>
                <w:rFonts w:eastAsia="Times New Roman" w:cs="Arial"/>
                <w:snapToGrid w:val="0"/>
              </w:rPr>
            </w:pPr>
            <w:r w:rsidRPr="00AD5A27">
              <w:rPr>
                <w:rFonts w:eastAsia="Times New Roman" w:cs="Arial"/>
                <w:snapToGrid w:val="0"/>
              </w:rPr>
              <w:t>“The PBAC noted only a proportion of patients in VISUAL I and VISUAL II were taking immunomodulating therapy at baseline (approximately 31% and 47%, respectively), and there was no evaluation of treatment effect modification by use of immunomodulatory agents” (para. 7.6</w:t>
            </w:r>
            <w:r w:rsidR="006E3164" w:rsidRPr="00AD5A27">
              <w:rPr>
                <w:rFonts w:eastAsia="Times New Roman" w:cs="Arial"/>
                <w:snapToGrid w:val="0"/>
              </w:rPr>
              <w:t xml:space="preserve">, </w:t>
            </w:r>
            <w:r w:rsidRPr="00AD5A27">
              <w:rPr>
                <w:rFonts w:eastAsia="Times New Roman" w:cs="Arial"/>
                <w:snapToGrid w:val="0"/>
              </w:rPr>
              <w:t>ADA, PSD, March 2017 PBAC meeting)</w:t>
            </w:r>
            <w:r w:rsidR="006E3164" w:rsidRPr="00AD5A27">
              <w:rPr>
                <w:rFonts w:eastAsia="Times New Roman" w:cs="Arial"/>
                <w:snapToGrid w:val="0"/>
              </w:rPr>
              <w:t>.</w:t>
            </w:r>
          </w:p>
        </w:tc>
        <w:tc>
          <w:tcPr>
            <w:tcW w:w="3919" w:type="dxa"/>
          </w:tcPr>
          <w:p w14:paraId="7629D595" w14:textId="77777777" w:rsidR="003D1B39" w:rsidRPr="00AD5A27" w:rsidRDefault="003D1B39" w:rsidP="003D1B39">
            <w:pPr>
              <w:pStyle w:val="TableText0"/>
              <w:rPr>
                <w:rFonts w:eastAsia="Times New Roman" w:cs="Arial"/>
                <w:snapToGrid w:val="0"/>
              </w:rPr>
            </w:pPr>
            <w:r w:rsidRPr="00AD5A27">
              <w:rPr>
                <w:rFonts w:eastAsia="Times New Roman" w:cs="Arial"/>
                <w:snapToGrid w:val="0"/>
              </w:rPr>
              <w:t>Partially addressed.</w:t>
            </w:r>
          </w:p>
          <w:p w14:paraId="4A63657C" w14:textId="77777777" w:rsidR="003D1B39" w:rsidRPr="00AD5A27" w:rsidRDefault="003D1B39" w:rsidP="003D1B39">
            <w:pPr>
              <w:pStyle w:val="TableText0"/>
              <w:rPr>
                <w:rFonts w:eastAsia="Times New Roman" w:cs="Arial"/>
                <w:snapToGrid w:val="0"/>
              </w:rPr>
            </w:pPr>
          </w:p>
          <w:p w14:paraId="2C81564B" w14:textId="7D0CD96D" w:rsidR="003D1B39" w:rsidRPr="00AD5A27" w:rsidRDefault="003D1B39" w:rsidP="003D1B39">
            <w:pPr>
              <w:pStyle w:val="TableText0"/>
              <w:rPr>
                <w:rFonts w:eastAsia="Times New Roman" w:cs="Arial"/>
                <w:snapToGrid w:val="0"/>
              </w:rPr>
            </w:pPr>
            <w:r w:rsidRPr="00AD5A27">
              <w:rPr>
                <w:rFonts w:eastAsia="Times New Roman" w:cs="Arial"/>
                <w:snapToGrid w:val="0"/>
              </w:rPr>
              <w:t xml:space="preserve">Based on the subgroup analysis presented in the VISUAL III study CSR, the proportions of patients in quiescence among those with vs. without immunomodulatory therapy usage at baseline were similar (83.1% vs. 86.0% at week 150, respectively) </w:t>
            </w:r>
            <w:r w:rsidRPr="00AD5A27">
              <w:t>(VISUAL III study CSR)</w:t>
            </w:r>
            <w:r w:rsidRPr="00AD5A27">
              <w:rPr>
                <w:rFonts w:eastAsia="Times New Roman" w:cs="Arial"/>
                <w:snapToGrid w:val="0"/>
              </w:rPr>
              <w:t>. However, the VISUAL III study was not designed, powered, or analysed to detect a difference in treatment effect based on prior immunomodulatory therapy.</w:t>
            </w:r>
          </w:p>
          <w:p w14:paraId="1D424A4E" w14:textId="77777777" w:rsidR="002A10D6" w:rsidRPr="00AD5A27" w:rsidRDefault="002A10D6" w:rsidP="003D1B39">
            <w:pPr>
              <w:pStyle w:val="TableText0"/>
              <w:rPr>
                <w:rFonts w:eastAsia="Times New Roman" w:cs="Arial"/>
                <w:snapToGrid w:val="0"/>
              </w:rPr>
            </w:pPr>
          </w:p>
          <w:p w14:paraId="683CB032" w14:textId="096C0DE4" w:rsidR="002A10D6" w:rsidRPr="00AD5A27" w:rsidRDefault="002A10D6" w:rsidP="003D1B39">
            <w:pPr>
              <w:pStyle w:val="TableText0"/>
              <w:rPr>
                <w:rFonts w:eastAsia="Times New Roman" w:cs="Arial"/>
                <w:bCs w:val="0"/>
                <w:snapToGrid w:val="0"/>
                <w:szCs w:val="20"/>
              </w:rPr>
            </w:pPr>
            <w:r w:rsidRPr="00AD5A27">
              <w:rPr>
                <w:rFonts w:eastAsia="Times New Roman" w:cs="Arial"/>
                <w:snapToGrid w:val="0"/>
              </w:rPr>
              <w:t>The ESC considered the</w:t>
            </w:r>
            <w:r w:rsidR="00985618" w:rsidRPr="00AD5A27">
              <w:rPr>
                <w:rFonts w:eastAsia="Times New Roman" w:cs="Arial"/>
                <w:snapToGrid w:val="0"/>
              </w:rPr>
              <w:t xml:space="preserve"> impact of immunomodulatory therapy on the efficacy of adalimumab was uncertain, and considered that this remained a matter of concern, noting that </w:t>
            </w:r>
            <w:r w:rsidR="00985618" w:rsidRPr="00AD5A27">
              <w:rPr>
                <w:rFonts w:eastAsia="Times New Roman" w:cs="Arial"/>
                <w:snapToGrid w:val="0"/>
              </w:rPr>
              <w:lastRenderedPageBreak/>
              <w:t xml:space="preserve">clinical criteria of the restriction requires uncontrolled disease despite use of </w:t>
            </w:r>
            <w:r w:rsidR="00891520" w:rsidRPr="00AD5A27">
              <w:rPr>
                <w:rFonts w:eastAsia="Times New Roman" w:cs="Arial"/>
                <w:snapToGrid w:val="0"/>
              </w:rPr>
              <w:t xml:space="preserve">immunomodulator </w:t>
            </w:r>
            <w:r w:rsidR="00985618" w:rsidRPr="00AD5A27">
              <w:rPr>
                <w:rFonts w:eastAsia="Times New Roman" w:cs="Arial"/>
                <w:snapToGrid w:val="0"/>
              </w:rPr>
              <w:t xml:space="preserve">therapy. </w:t>
            </w:r>
          </w:p>
        </w:tc>
      </w:tr>
      <w:tr w:rsidR="003D1B39" w:rsidRPr="00AD5A27" w14:paraId="5F58CAA4" w14:textId="77777777" w:rsidTr="00AB79CD">
        <w:trPr>
          <w:cantSplit/>
        </w:trPr>
        <w:tc>
          <w:tcPr>
            <w:tcW w:w="1620" w:type="dxa"/>
          </w:tcPr>
          <w:p w14:paraId="3A68F704" w14:textId="6B9D1B41" w:rsidR="003D1B39" w:rsidRPr="00AD5A27" w:rsidRDefault="008F2C0E" w:rsidP="003D1B39">
            <w:pPr>
              <w:pStyle w:val="TableText0"/>
            </w:pPr>
            <w:r w:rsidRPr="00AD5A27">
              <w:lastRenderedPageBreak/>
              <w:t>Reason for t</w:t>
            </w:r>
            <w:r w:rsidR="006E3164" w:rsidRPr="00AD5A27">
              <w:t>reatment failure</w:t>
            </w:r>
          </w:p>
        </w:tc>
        <w:tc>
          <w:tcPr>
            <w:tcW w:w="3478" w:type="dxa"/>
          </w:tcPr>
          <w:p w14:paraId="67D91B2F" w14:textId="0D061BAF" w:rsidR="003D1B39" w:rsidRPr="00AD5A27" w:rsidRDefault="008F2C0E" w:rsidP="006E3164">
            <w:pPr>
              <w:pStyle w:val="TableText0"/>
              <w:rPr>
                <w:rFonts w:eastAsia="Times New Roman" w:cs="Arial"/>
                <w:snapToGrid w:val="0"/>
              </w:rPr>
            </w:pPr>
            <w:r w:rsidRPr="00AD5A27">
              <w:rPr>
                <w:rFonts w:eastAsia="Times New Roman" w:cs="Arial"/>
                <w:snapToGrid w:val="0"/>
              </w:rPr>
              <w:t>“….</w:t>
            </w:r>
            <w:r w:rsidR="003D1B39" w:rsidRPr="00AD5A27">
              <w:rPr>
                <w:rFonts w:eastAsia="Times New Roman" w:cs="Arial"/>
                <w:snapToGrid w:val="0"/>
              </w:rPr>
              <w:t xml:space="preserve"> the reasons for treatment failure varied across the VISUAL I and VISUAL II trials e.g. the most cited reason for </w:t>
            </w:r>
            <w:r w:rsidR="006E3164" w:rsidRPr="00AD5A27">
              <w:rPr>
                <w:rFonts w:eastAsia="Times New Roman" w:cs="Arial"/>
                <w:snapToGrid w:val="0"/>
              </w:rPr>
              <w:t xml:space="preserve">treatment </w:t>
            </w:r>
            <w:r w:rsidR="006E3164" w:rsidRPr="00AD5A27">
              <w:t>failure</w:t>
            </w:r>
            <w:r w:rsidR="006E3164" w:rsidRPr="00AD5A27">
              <w:rPr>
                <w:rFonts w:eastAsia="Times New Roman" w:cs="Arial"/>
                <w:snapToGrid w:val="0"/>
              </w:rPr>
              <w:t xml:space="preserve"> in the placebo arm in VISUAL I was vitreous haze, whereas in VISUAL II vitreous haze was the least cited reason” (para. 7.7</w:t>
            </w:r>
            <w:r w:rsidRPr="00AD5A27">
              <w:rPr>
                <w:rFonts w:eastAsia="Times New Roman" w:cs="Arial"/>
                <w:snapToGrid w:val="0"/>
              </w:rPr>
              <w:t>, ADA</w:t>
            </w:r>
            <w:r w:rsidR="006E3164" w:rsidRPr="00AD5A27">
              <w:rPr>
                <w:rFonts w:eastAsia="Times New Roman" w:cs="Arial"/>
                <w:snapToGrid w:val="0"/>
              </w:rPr>
              <w:t>, PSD, March 2017 PBAC meeting)</w:t>
            </w:r>
            <w:r w:rsidR="00562447" w:rsidRPr="00AD5A27">
              <w:rPr>
                <w:rFonts w:eastAsia="Times New Roman" w:cs="Arial"/>
                <w:snapToGrid w:val="0"/>
              </w:rPr>
              <w:t>.</w:t>
            </w:r>
          </w:p>
        </w:tc>
        <w:tc>
          <w:tcPr>
            <w:tcW w:w="3919" w:type="dxa"/>
          </w:tcPr>
          <w:p w14:paraId="1010F2CB" w14:textId="77777777" w:rsidR="003D1B39" w:rsidRPr="00AD5A27" w:rsidRDefault="008A0B52" w:rsidP="003D1B39">
            <w:pPr>
              <w:pStyle w:val="TableText0"/>
              <w:rPr>
                <w:rFonts w:eastAsia="Times New Roman" w:cs="Arial"/>
                <w:snapToGrid w:val="0"/>
              </w:rPr>
            </w:pPr>
            <w:r w:rsidRPr="00AD5A27">
              <w:rPr>
                <w:rFonts w:eastAsia="Times New Roman" w:cs="Arial"/>
                <w:snapToGrid w:val="0"/>
              </w:rPr>
              <w:t>Not addressed.</w:t>
            </w:r>
          </w:p>
          <w:p w14:paraId="10F802DC" w14:textId="77777777" w:rsidR="008A0B52" w:rsidRPr="00AD5A27" w:rsidRDefault="008A0B52" w:rsidP="003D1B39">
            <w:pPr>
              <w:pStyle w:val="TableText0"/>
              <w:rPr>
                <w:rFonts w:eastAsia="Times New Roman" w:cs="Arial"/>
                <w:snapToGrid w:val="0"/>
              </w:rPr>
            </w:pPr>
          </w:p>
          <w:p w14:paraId="0EF4C5E6" w14:textId="69F034CC" w:rsidR="008A0B52" w:rsidRPr="00AD5A27" w:rsidRDefault="008A0B52" w:rsidP="003D1B39">
            <w:pPr>
              <w:pStyle w:val="TableText0"/>
              <w:rPr>
                <w:rFonts w:eastAsia="Times New Roman" w:cs="Arial"/>
                <w:snapToGrid w:val="0"/>
              </w:rPr>
            </w:pPr>
            <w:r w:rsidRPr="00AD5A27">
              <w:rPr>
                <w:rFonts w:eastAsia="Times New Roman" w:cs="Arial"/>
                <w:snapToGrid w:val="0"/>
              </w:rPr>
              <w:t xml:space="preserve">The resubmission did not present new evidence </w:t>
            </w:r>
            <w:r w:rsidR="005A6FC6" w:rsidRPr="00AD5A27">
              <w:rPr>
                <w:rFonts w:eastAsia="Times New Roman" w:cs="Arial"/>
                <w:snapToGrid w:val="0"/>
              </w:rPr>
              <w:t>confirming</w:t>
            </w:r>
            <w:r w:rsidRPr="00AD5A27">
              <w:rPr>
                <w:rFonts w:eastAsia="Times New Roman" w:cs="Arial"/>
                <w:snapToGrid w:val="0"/>
              </w:rPr>
              <w:t xml:space="preserve"> the reasons behind the treatment failure.</w:t>
            </w:r>
          </w:p>
        </w:tc>
      </w:tr>
      <w:tr w:rsidR="003D1B39" w:rsidRPr="00AD5A27" w14:paraId="4423F29B" w14:textId="77777777" w:rsidTr="00BC0321">
        <w:trPr>
          <w:cantSplit/>
        </w:trPr>
        <w:tc>
          <w:tcPr>
            <w:tcW w:w="1620" w:type="dxa"/>
            <w:vMerge w:val="restart"/>
          </w:tcPr>
          <w:p w14:paraId="02A71916" w14:textId="77777777" w:rsidR="003D1B39" w:rsidRPr="00AD5A27" w:rsidRDefault="003D1B39" w:rsidP="00BC0321">
            <w:pPr>
              <w:pStyle w:val="TableText0"/>
              <w:rPr>
                <w:highlight w:val="cyan"/>
              </w:rPr>
            </w:pPr>
            <w:r w:rsidRPr="00AD5A27">
              <w:t>Economic evaluation</w:t>
            </w:r>
          </w:p>
        </w:tc>
        <w:tc>
          <w:tcPr>
            <w:tcW w:w="3478" w:type="dxa"/>
          </w:tcPr>
          <w:p w14:paraId="5F7A0B1A" w14:textId="7C86155E" w:rsidR="003D1B39" w:rsidRPr="00AD5A27" w:rsidRDefault="003D1B39" w:rsidP="003D1B39">
            <w:pPr>
              <w:pStyle w:val="TableText0"/>
              <w:rPr>
                <w:rFonts w:eastAsia="Times New Roman" w:cs="Arial"/>
                <w:snapToGrid w:val="0"/>
                <w:highlight w:val="cyan"/>
              </w:rPr>
            </w:pPr>
            <w:r w:rsidRPr="00AD5A27">
              <w:rPr>
                <w:rFonts w:eastAsia="Times New Roman" w:cs="Arial"/>
                <w:snapToGrid w:val="0"/>
              </w:rPr>
              <w:t>“The PBAC noted that…the effect of treatment was likely to be over-estimated because the less conservative estimate of treatment effect (from VISUAL 1) was selected over the more conservative estimate from VISUAL 2 (HR 0.57), and because the treatment effect on uveitis flares was assumed to be a perfect surrogate for the treatment effect on uveitis-attributable complications. The PBAC considered the model should have factored both a more conservative estimate of the effect of treatment on flares, and a more conservative assumption of the relationship between the effect of treatment on acute flares and the effect of treatment on uveitis-attributable complications” (para. 7.13, ADA, PSD March 2017 PBAC meeting).</w:t>
            </w:r>
          </w:p>
        </w:tc>
        <w:tc>
          <w:tcPr>
            <w:tcW w:w="3919" w:type="dxa"/>
          </w:tcPr>
          <w:p w14:paraId="6808C16E" w14:textId="3491D78F" w:rsidR="003D1B39" w:rsidRPr="00AD5A27" w:rsidRDefault="003D1B39" w:rsidP="003D1B39">
            <w:pPr>
              <w:pStyle w:val="TableText0"/>
              <w:rPr>
                <w:rFonts w:eastAsia="Times New Roman" w:cs="Arial"/>
                <w:bCs w:val="0"/>
                <w:snapToGrid w:val="0"/>
                <w:szCs w:val="20"/>
              </w:rPr>
            </w:pPr>
            <w:r w:rsidRPr="00AD5A27">
              <w:rPr>
                <w:rFonts w:eastAsia="Times New Roman" w:cs="Arial"/>
                <w:bCs w:val="0"/>
                <w:snapToGrid w:val="0"/>
                <w:szCs w:val="20"/>
              </w:rPr>
              <w:t xml:space="preserve">Partially addressed. </w:t>
            </w:r>
          </w:p>
          <w:p w14:paraId="5A0747AA" w14:textId="7F880837" w:rsidR="003D1B39" w:rsidRPr="00AD5A27" w:rsidRDefault="003D1B39" w:rsidP="003D1B39">
            <w:pPr>
              <w:pStyle w:val="TableText0"/>
              <w:rPr>
                <w:rFonts w:eastAsia="Times New Roman" w:cs="Arial"/>
                <w:bCs w:val="0"/>
                <w:snapToGrid w:val="0"/>
                <w:szCs w:val="20"/>
              </w:rPr>
            </w:pPr>
          </w:p>
          <w:p w14:paraId="79BE7FF4" w14:textId="6953537A" w:rsidR="00CA79C1" w:rsidRPr="00AD5A27" w:rsidRDefault="00CA79C1" w:rsidP="00CA79C1">
            <w:pPr>
              <w:pStyle w:val="TableText0"/>
              <w:rPr>
                <w:rFonts w:eastAsia="Times New Roman" w:cs="Arial"/>
                <w:snapToGrid w:val="0"/>
              </w:rPr>
            </w:pPr>
            <w:r w:rsidRPr="00AD5A27">
              <w:rPr>
                <w:rFonts w:eastAsia="Times New Roman" w:cs="Arial"/>
                <w:snapToGrid w:val="0"/>
              </w:rPr>
              <w:t xml:space="preserve">Efficacy of ADA in the economic evaluation was based on time to treatment failure in both the VISUAL I and VISUAL II trials (pooled HR 0.53, Figure 1). </w:t>
            </w:r>
            <w:r w:rsidRPr="00AD5A27">
              <w:t xml:space="preserve">However, the </w:t>
            </w:r>
            <w:r w:rsidRPr="00AD5A27">
              <w:rPr>
                <w:rFonts w:eastAsia="Times New Roman" w:cs="Arial"/>
                <w:snapToGrid w:val="0"/>
              </w:rPr>
              <w:t xml:space="preserve">forced corticosteroid taper schedules may have overestimated the treatment effect of adalimumab in clinical practice. </w:t>
            </w:r>
          </w:p>
          <w:p w14:paraId="20B0213D" w14:textId="54AA146B" w:rsidR="00CA79C1" w:rsidRPr="00AD5A27" w:rsidRDefault="00CA79C1" w:rsidP="003D1B39">
            <w:pPr>
              <w:pStyle w:val="TableText0"/>
              <w:rPr>
                <w:rFonts w:eastAsia="Times New Roman" w:cs="Arial"/>
                <w:bCs w:val="0"/>
                <w:snapToGrid w:val="0"/>
                <w:szCs w:val="20"/>
              </w:rPr>
            </w:pPr>
          </w:p>
          <w:p w14:paraId="330756BB" w14:textId="2D3AFB10" w:rsidR="00CA79C1" w:rsidRPr="00AD5A27" w:rsidRDefault="00CA79C1" w:rsidP="00CA79C1">
            <w:pPr>
              <w:pStyle w:val="TableText0"/>
              <w:rPr>
                <w:rFonts w:eastAsia="Times New Roman" w:cs="Arial"/>
                <w:snapToGrid w:val="0"/>
              </w:rPr>
            </w:pPr>
            <w:r w:rsidRPr="00AD5A27">
              <w:rPr>
                <w:rFonts w:eastAsia="Times New Roman" w:cs="Arial"/>
                <w:snapToGrid w:val="0"/>
              </w:rPr>
              <w:t xml:space="preserve">The economic evaluation continued to </w:t>
            </w:r>
            <w:r w:rsidR="00D50229" w:rsidRPr="00AD5A27">
              <w:rPr>
                <w:rFonts w:eastAsia="Times New Roman" w:cs="Arial"/>
                <w:snapToGrid w:val="0"/>
              </w:rPr>
              <w:t>include</w:t>
            </w:r>
            <w:r w:rsidRPr="00AD5A27">
              <w:rPr>
                <w:rFonts w:eastAsia="Times New Roman" w:cs="Arial"/>
                <w:snapToGrid w:val="0"/>
              </w:rPr>
              <w:t xml:space="preserve"> a perfect relationship (“link coefficient”) to capture the proportion of ocular complications avoided relative to the number of flares avoided.</w:t>
            </w:r>
          </w:p>
          <w:p w14:paraId="3B972019" w14:textId="77777777" w:rsidR="00CA79C1" w:rsidRPr="00AD5A27" w:rsidRDefault="00CA79C1" w:rsidP="00CA79C1">
            <w:pPr>
              <w:pStyle w:val="TableText0"/>
              <w:rPr>
                <w:rFonts w:eastAsia="Times New Roman" w:cs="Arial"/>
                <w:snapToGrid w:val="0"/>
              </w:rPr>
            </w:pPr>
            <w:r w:rsidRPr="00AD5A27">
              <w:rPr>
                <w:rFonts w:eastAsia="Times New Roman" w:cs="Arial"/>
                <w:snapToGrid w:val="0"/>
              </w:rPr>
              <w:t>Base case = 1 (assumed)</w:t>
            </w:r>
          </w:p>
          <w:p w14:paraId="2FB72298" w14:textId="77777777" w:rsidR="00CA79C1" w:rsidRPr="00AD5A27" w:rsidRDefault="00CA79C1" w:rsidP="00CA79C1">
            <w:pPr>
              <w:pStyle w:val="TableText0"/>
              <w:rPr>
                <w:rFonts w:eastAsia="Times New Roman" w:cs="Arial"/>
                <w:snapToGrid w:val="0"/>
              </w:rPr>
            </w:pPr>
            <w:r w:rsidRPr="00AD5A27">
              <w:rPr>
                <w:rFonts w:eastAsia="Times New Roman" w:cs="Arial"/>
                <w:snapToGrid w:val="0"/>
              </w:rPr>
              <w:t>SA = 0.85</w:t>
            </w:r>
            <w:r w:rsidRPr="00AD5A27">
              <w:rPr>
                <w:rFonts w:eastAsia="Times New Roman" w:cs="Arial"/>
              </w:rPr>
              <w:t xml:space="preserve"> </w:t>
            </w:r>
            <w:r w:rsidRPr="00AD5A27">
              <w:t xml:space="preserve">(Leal et al. 2022) </w:t>
            </w:r>
            <w:r w:rsidRPr="00AD5A27">
              <w:rPr>
                <w:vertAlign w:val="superscript"/>
              </w:rPr>
              <w:t>a</w:t>
            </w:r>
            <w:r w:rsidRPr="00AD5A27">
              <w:t xml:space="preserve"> </w:t>
            </w:r>
          </w:p>
          <w:p w14:paraId="1FB6EDF3" w14:textId="77777777" w:rsidR="00CA79C1" w:rsidRPr="00AD5A27" w:rsidRDefault="00CA79C1" w:rsidP="00CA79C1">
            <w:pPr>
              <w:pStyle w:val="TableText0"/>
              <w:rPr>
                <w:rFonts w:eastAsia="Times New Roman" w:cs="Arial"/>
                <w:bCs w:val="0"/>
                <w:snapToGrid w:val="0"/>
                <w:szCs w:val="20"/>
              </w:rPr>
            </w:pPr>
          </w:p>
          <w:p w14:paraId="1BDE1CE6" w14:textId="47D336C1" w:rsidR="00CA79C1" w:rsidRPr="00AD5A27" w:rsidRDefault="00CA79C1" w:rsidP="00CA79C1">
            <w:pPr>
              <w:pStyle w:val="TableText0"/>
              <w:rPr>
                <w:rFonts w:eastAsia="Times New Roman" w:cs="Arial"/>
                <w:bCs w:val="0"/>
                <w:snapToGrid w:val="0"/>
                <w:szCs w:val="20"/>
              </w:rPr>
            </w:pPr>
            <w:r w:rsidRPr="00AD5A27">
              <w:rPr>
                <w:rFonts w:eastAsia="Times New Roman" w:cs="Arial"/>
                <w:snapToGrid w:val="0"/>
              </w:rPr>
              <w:t xml:space="preserve">Probabilities of </w:t>
            </w:r>
            <w:r w:rsidRPr="00AD5A27">
              <w:t>ocular complications</w:t>
            </w:r>
            <w:r w:rsidRPr="00AD5A27">
              <w:rPr>
                <w:rFonts w:eastAsia="Times New Roman" w:cs="Arial"/>
                <w:snapToGrid w:val="0"/>
              </w:rPr>
              <w:t xml:space="preserve"> adjusted for the risk of </w:t>
            </w:r>
            <w:r w:rsidRPr="00AD5A27">
              <w:t>ocular complications</w:t>
            </w:r>
            <w:r w:rsidRPr="00AD5A27">
              <w:rPr>
                <w:rFonts w:eastAsia="Times New Roman" w:cs="Arial"/>
                <w:snapToGrid w:val="0"/>
              </w:rPr>
              <w:t xml:space="preserve"> without uveitis were estimated.</w:t>
            </w:r>
          </w:p>
          <w:p w14:paraId="126685BC" w14:textId="77777777" w:rsidR="00CA79C1" w:rsidRPr="00AD5A27" w:rsidRDefault="00CA79C1" w:rsidP="003D1B39">
            <w:pPr>
              <w:pStyle w:val="TableText0"/>
              <w:rPr>
                <w:rFonts w:eastAsia="Times New Roman" w:cs="Arial"/>
                <w:bCs w:val="0"/>
                <w:snapToGrid w:val="0"/>
                <w:szCs w:val="20"/>
              </w:rPr>
            </w:pPr>
          </w:p>
          <w:p w14:paraId="07208187" w14:textId="77777777" w:rsidR="003D1B39" w:rsidRPr="00AD5A27" w:rsidRDefault="003D1B39" w:rsidP="003D1B39">
            <w:pPr>
              <w:pStyle w:val="TableText0"/>
            </w:pPr>
            <w:r w:rsidRPr="00AD5A27">
              <w:t xml:space="preserve">The resubmission did not provide clinical evidence supporting the direct link between adalimumab treatment and ocular complications, or sequentially link active flares to ocular complications in the economic model. </w:t>
            </w:r>
          </w:p>
          <w:p w14:paraId="2F5308D1" w14:textId="77777777" w:rsidR="009042EC" w:rsidRPr="00AD5A27" w:rsidRDefault="009042EC" w:rsidP="003D1B39">
            <w:pPr>
              <w:pStyle w:val="TableText0"/>
            </w:pPr>
          </w:p>
          <w:p w14:paraId="58A16EC9" w14:textId="665EFE4C" w:rsidR="009042EC" w:rsidRPr="00AD5A27" w:rsidRDefault="009042EC" w:rsidP="003D1B39">
            <w:pPr>
              <w:pStyle w:val="TableText0"/>
            </w:pPr>
            <w:r w:rsidRPr="00AD5A27">
              <w:t>The ESC considered the link coefficient relationship of 1:1 likely overestimated the adalimumab treatment effect due to the inherent uncertainty of downstream events</w:t>
            </w:r>
            <w:r w:rsidR="00F03980" w:rsidRPr="00AD5A27">
              <w:t>.</w:t>
            </w:r>
          </w:p>
        </w:tc>
      </w:tr>
      <w:tr w:rsidR="003D1B39" w:rsidRPr="00AD5A27" w14:paraId="2F8AB800" w14:textId="77777777" w:rsidTr="00AB79CD">
        <w:trPr>
          <w:cantSplit/>
          <w:trHeight w:val="300"/>
        </w:trPr>
        <w:tc>
          <w:tcPr>
            <w:tcW w:w="1620" w:type="dxa"/>
            <w:vMerge/>
            <w:vAlign w:val="center"/>
          </w:tcPr>
          <w:p w14:paraId="321EF921" w14:textId="77777777" w:rsidR="003D1B39" w:rsidRPr="00AD5A27" w:rsidRDefault="003D1B39" w:rsidP="003D1B39">
            <w:pPr>
              <w:pStyle w:val="TableText0"/>
              <w:jc w:val="center"/>
            </w:pPr>
          </w:p>
        </w:tc>
        <w:tc>
          <w:tcPr>
            <w:tcW w:w="3478" w:type="dxa"/>
          </w:tcPr>
          <w:p w14:paraId="69483224" w14:textId="1E350731" w:rsidR="003D1B39" w:rsidRPr="00AD5A27" w:rsidRDefault="00D50229" w:rsidP="003D1B39">
            <w:pPr>
              <w:pStyle w:val="TableText0"/>
            </w:pPr>
            <w:r w:rsidRPr="00AD5A27">
              <w:t xml:space="preserve">The PBAC previously considered that “As there was considerable uncertainty between flares and ocular complications, the PBAC did not consider the lifetime time horizon appropriate and that it significantly overestimated the cost effectiveness of adalimumab. The PBAC suggested important differences in costs and outcomes would be captured in a 10 year time horizon given majority of ocular complications are expected to occur within 2–5 years” and considered that a major resubmission “should present a revised economic </w:t>
            </w:r>
            <w:r w:rsidRPr="00AD5A27">
              <w:lastRenderedPageBreak/>
              <w:t xml:space="preserve">model…including…a revised time horizon of 10 years” </w:t>
            </w:r>
            <w:r w:rsidR="003D1B39" w:rsidRPr="00AD5A27">
              <w:rPr>
                <w:rFonts w:eastAsia="Times New Roman" w:cs="Arial"/>
              </w:rPr>
              <w:t>(paras. 7.14 and 7.16, ADA, PSD, March 2017 PBAC meeting).</w:t>
            </w:r>
          </w:p>
        </w:tc>
        <w:tc>
          <w:tcPr>
            <w:tcW w:w="3919" w:type="dxa"/>
          </w:tcPr>
          <w:p w14:paraId="11B8700A" w14:textId="3F92C36E" w:rsidR="003D1B39" w:rsidRPr="00AD5A27" w:rsidRDefault="003D1B39" w:rsidP="003D1B39">
            <w:pPr>
              <w:pStyle w:val="TableText0"/>
            </w:pPr>
            <w:r w:rsidRPr="00AD5A27">
              <w:lastRenderedPageBreak/>
              <w:t xml:space="preserve">Not addressed. </w:t>
            </w:r>
          </w:p>
          <w:p w14:paraId="36B52F6A" w14:textId="77777777" w:rsidR="003D1B39" w:rsidRPr="00AD5A27" w:rsidRDefault="003D1B39" w:rsidP="003D1B39">
            <w:pPr>
              <w:pStyle w:val="TableText0"/>
            </w:pPr>
          </w:p>
          <w:p w14:paraId="2BDAEFAD" w14:textId="77777777" w:rsidR="003D1B39" w:rsidRPr="00AD5A27" w:rsidRDefault="003D1B39" w:rsidP="003D1B39">
            <w:pPr>
              <w:pStyle w:val="TableText0"/>
            </w:pPr>
            <w:r w:rsidRPr="00AD5A27">
              <w:t xml:space="preserve">No change but explored the impact of a time horizon of 10 and 20 years in one-way sensitivity analyses. </w:t>
            </w:r>
          </w:p>
          <w:p w14:paraId="16CF821A" w14:textId="77777777" w:rsidR="00EE0FBC" w:rsidRPr="00AD5A27" w:rsidRDefault="00EE0FBC" w:rsidP="003D1B39">
            <w:pPr>
              <w:pStyle w:val="TableText0"/>
            </w:pPr>
          </w:p>
          <w:p w14:paraId="6BAEE4C1" w14:textId="31BEE25C" w:rsidR="00EE0FBC" w:rsidRPr="00AD5A27" w:rsidRDefault="00EE0FBC" w:rsidP="003D1B39">
            <w:pPr>
              <w:pStyle w:val="TableText0"/>
            </w:pPr>
            <w:r w:rsidRPr="00AD5A27">
              <w:t xml:space="preserve">The ESC considered that given the uncertainty of the magnitude of the relationship between the surrogate outcome (flares) and modelled ocular complications, it may be reasonable to explore a shorter time horizon to reduce uncertainty; but acknowledged a shorter time horizon would </w:t>
            </w:r>
            <w:r w:rsidRPr="00AD5A27">
              <w:lastRenderedPageBreak/>
              <w:t>exclude plausible ongoing quality of life benefits associated with avoiding ocular complications.</w:t>
            </w:r>
          </w:p>
        </w:tc>
      </w:tr>
      <w:tr w:rsidR="003D1B39" w:rsidRPr="00AD5A27" w14:paraId="064F4D2A" w14:textId="77777777" w:rsidTr="00AB79CD">
        <w:trPr>
          <w:cantSplit/>
          <w:trHeight w:val="300"/>
        </w:trPr>
        <w:tc>
          <w:tcPr>
            <w:tcW w:w="1620" w:type="dxa"/>
            <w:vMerge/>
            <w:vAlign w:val="center"/>
          </w:tcPr>
          <w:p w14:paraId="77C1A373" w14:textId="77777777" w:rsidR="003D1B39" w:rsidRPr="00AD5A27" w:rsidRDefault="003D1B39" w:rsidP="003D1B39">
            <w:pPr>
              <w:pStyle w:val="TableText0"/>
              <w:jc w:val="center"/>
            </w:pPr>
          </w:p>
        </w:tc>
        <w:tc>
          <w:tcPr>
            <w:tcW w:w="3478" w:type="dxa"/>
          </w:tcPr>
          <w:p w14:paraId="44C68DD9" w14:textId="77777777" w:rsidR="00EE03AB" w:rsidRPr="00AD5A27" w:rsidRDefault="003D1B39" w:rsidP="003D1B39">
            <w:pPr>
              <w:pStyle w:val="TableText0"/>
              <w:rPr>
                <w:rFonts w:eastAsia="Times New Roman" w:cs="Arial"/>
              </w:rPr>
            </w:pPr>
            <w:r w:rsidRPr="00AD5A27">
              <w:rPr>
                <w:rFonts w:eastAsia="Times New Roman" w:cs="Arial"/>
              </w:rPr>
              <w:t xml:space="preserve">The PBAC previously considered the model should include both the benefits and harms of corticosteroid use. </w:t>
            </w:r>
          </w:p>
          <w:p w14:paraId="5229AB18" w14:textId="77777777" w:rsidR="00EE03AB" w:rsidRPr="00AD5A27" w:rsidRDefault="00EE03AB" w:rsidP="003D1B39">
            <w:pPr>
              <w:pStyle w:val="TableText0"/>
              <w:rPr>
                <w:rFonts w:eastAsia="Times New Roman" w:cs="Arial"/>
              </w:rPr>
            </w:pPr>
          </w:p>
          <w:p w14:paraId="5AA86F9B" w14:textId="574A22E6" w:rsidR="003D1B39" w:rsidRPr="00AD5A27" w:rsidRDefault="003D1B39" w:rsidP="003D1B39">
            <w:pPr>
              <w:pStyle w:val="TableText0"/>
              <w:rPr>
                <w:highlight w:val="cyan"/>
              </w:rPr>
            </w:pPr>
            <w:r w:rsidRPr="00AD5A27">
              <w:rPr>
                <w:rFonts w:eastAsia="Times New Roman" w:cs="Arial"/>
              </w:rPr>
              <w:t>The adverse events of adalimumab also need to be included in the model (para. 7.15, ADA, PSD March 2017 PBAC meeting).</w:t>
            </w:r>
          </w:p>
        </w:tc>
        <w:tc>
          <w:tcPr>
            <w:tcW w:w="3919" w:type="dxa"/>
          </w:tcPr>
          <w:p w14:paraId="0ACE7ED4" w14:textId="64823ADD" w:rsidR="003D1B39" w:rsidRPr="00AD5A27" w:rsidRDefault="003D1B39" w:rsidP="003D1B39">
            <w:pPr>
              <w:pStyle w:val="TableText0"/>
            </w:pPr>
            <w:r w:rsidRPr="00AD5A27">
              <w:t>Not addressed.</w:t>
            </w:r>
          </w:p>
          <w:p w14:paraId="09D1BAB4" w14:textId="77777777" w:rsidR="003D1B39" w:rsidRPr="00AD5A27" w:rsidRDefault="003D1B39" w:rsidP="003D1B39">
            <w:pPr>
              <w:pStyle w:val="TableText0"/>
            </w:pPr>
          </w:p>
          <w:p w14:paraId="2EE4459C" w14:textId="0348510A" w:rsidR="003D1B39" w:rsidRPr="00AD5A27" w:rsidRDefault="003D1B39" w:rsidP="003D1B39">
            <w:pPr>
              <w:pStyle w:val="TableText0"/>
            </w:pPr>
            <w:r w:rsidRPr="00AD5A27">
              <w:t>Disutilities related to OCS adverse events were removed from the economic model</w:t>
            </w:r>
            <w:r w:rsidR="00AD5A27">
              <w:t xml:space="preserve">. </w:t>
            </w:r>
            <w:r w:rsidRPr="00AD5A27">
              <w:t>The change in EQ-5D scores from baseline either favoured ADA or were not statistically significant in the trials (VISUAL I: 0.04, p= 0.04, VISUAL II: 0.00, p= 0.836). The EQ-5D scores would have captured the impact of any differences between ADA and OCS in adverse events on utilities in the short term, however any differences may have been underestimated in the long term due to forced tapering of OCS in the trials. The effect of re-including disutilities associated with OCS adverse events on the ICER was minimal.</w:t>
            </w:r>
          </w:p>
        </w:tc>
      </w:tr>
    </w:tbl>
    <w:p w14:paraId="2B4FEF6B" w14:textId="77777777" w:rsidR="002A66BB" w:rsidRPr="00AD5A27" w:rsidRDefault="002A66BB">
      <w:pPr>
        <w:pStyle w:val="FooterTableFigure"/>
      </w:pPr>
      <w:r w:rsidRPr="00AD5A27">
        <w:t>Source: Para. 2.4, 6.10, 7.5, 7.3 and Table 7 ADA, PSD, March 2017, PBAC meeting; pp 39-40, 45-48, 98, 130, 158, 160, 162 of the submission.</w:t>
      </w:r>
    </w:p>
    <w:p w14:paraId="1FC0D2A0" w14:textId="77777777" w:rsidR="00860BB2" w:rsidRPr="00860BB2" w:rsidRDefault="002A66BB">
      <w:pPr>
        <w:pStyle w:val="FooterTableFigure"/>
      </w:pPr>
      <w:r w:rsidRPr="00AD5A27">
        <w:t xml:space="preserve">ADA = adalimumab; CI = </w:t>
      </w:r>
      <w:r w:rsidR="00696849">
        <w:t>c</w:t>
      </w:r>
      <w:r w:rsidRPr="00AD5A27">
        <w:t xml:space="preserve">onfidence </w:t>
      </w:r>
      <w:r w:rsidR="00696849">
        <w:t>i</w:t>
      </w:r>
      <w:r w:rsidRPr="00AD5A27">
        <w:t>nterval;</w:t>
      </w:r>
      <w:r w:rsidR="00D91B9E" w:rsidRPr="00AD5A27">
        <w:t xml:space="preserve"> CSR = clinical study report;</w:t>
      </w:r>
      <w:r w:rsidRPr="00AD5A27">
        <w:t xml:space="preserve"> DMARDs = disease-modifying anti-rheumatic drugs; bDMARD = biological disease-modifying anti-rheumatic drugs; ESC = Economic Sub-Committee; EQ-5D = EuroQol 5 Dimension; HR = </w:t>
      </w:r>
      <w:r w:rsidR="00696849">
        <w:t>h</w:t>
      </w:r>
      <w:r w:rsidRPr="00AD5A27">
        <w:t xml:space="preserve">azard ratio; </w:t>
      </w:r>
      <w:r w:rsidR="005716D7" w:rsidRPr="00AD5A27">
        <w:t xml:space="preserve">ICER = incremental cost-effectiveness ratio; </w:t>
      </w:r>
      <w:r w:rsidRPr="00AD5A27">
        <w:t xml:space="preserve">IFX = infliximab; OCS = oral corticosteroids; OLE = </w:t>
      </w:r>
      <w:r w:rsidR="00696849">
        <w:t>o</w:t>
      </w:r>
      <w:r w:rsidRPr="00AD5A27">
        <w:t xml:space="preserve">pen label extension; PBAC = Pharmaceutical Benefits Advisory Committee; PSD = Public Summary Document; SA = </w:t>
      </w:r>
      <w:r w:rsidR="000B72F2" w:rsidRPr="00AD5A27">
        <w:t>s</w:t>
      </w:r>
      <w:r w:rsidRPr="00AD5A27">
        <w:t xml:space="preserve">ensitivity analysis; TEAE = </w:t>
      </w:r>
      <w:r w:rsidR="000B72F2" w:rsidRPr="00AD5A27">
        <w:t>t</w:t>
      </w:r>
      <w:r w:rsidRPr="00AD5A27">
        <w:t xml:space="preserve">reatment-emergent adverse events </w:t>
      </w:r>
    </w:p>
    <w:p w14:paraId="123FF19F" w14:textId="0C11BE5E" w:rsidR="002A66BB" w:rsidRPr="00AD5A27" w:rsidRDefault="002A66BB">
      <w:pPr>
        <w:pStyle w:val="FooterTableFigure"/>
      </w:pPr>
      <w:r w:rsidRPr="00AD5A27">
        <w:t>a Leal (2022) retrospectively reviewed 51 patients with non-infectious uveitis (102 affected eyes) in the UK. The study found that 13 out of 51 patients (20 eyes; unilateral in 6 patients) experienced treatment failure after 12 months</w:t>
      </w:r>
      <w:r w:rsidR="0072083D" w:rsidRPr="00AD5A27">
        <w:t>, after starting adalimumab</w:t>
      </w:r>
      <w:r w:rsidRPr="00AD5A27">
        <w:t>. Of the 20 eyes that experienced treatment failure, 17 (85%) eyes experienced failure because of worsening visual acuity (7 eyes due to macular oedema, 4 eyes due to cataract development, 6 eyes due to unspecified and miscellaneous reasons such as advanced glaucoma and corneal decompensation).</w:t>
      </w:r>
    </w:p>
    <w:p w14:paraId="3A252BC4" w14:textId="77777777" w:rsidR="002A66BB" w:rsidRPr="00AD5A27" w:rsidRDefault="002A66BB">
      <w:pPr>
        <w:pStyle w:val="2-SectionHeading"/>
      </w:pPr>
      <w:bookmarkStart w:id="10" w:name="_Toc156988900"/>
      <w:r w:rsidRPr="00AD5A27">
        <w:t>Requested listing</w:t>
      </w:r>
      <w:bookmarkEnd w:id="10"/>
    </w:p>
    <w:p w14:paraId="788AC213" w14:textId="1246CC0D" w:rsidR="00F71136" w:rsidRPr="00AD5A27" w:rsidRDefault="004F6DFB" w:rsidP="00D24997">
      <w:pPr>
        <w:pStyle w:val="3-BodyText"/>
        <w:rPr>
          <w:i/>
        </w:rPr>
      </w:pPr>
      <w:r w:rsidRPr="00AD5A27">
        <w:t xml:space="preserve">The </w:t>
      </w:r>
      <w:r w:rsidR="00BC0321">
        <w:t xml:space="preserve">restrictions </w:t>
      </w:r>
      <w:r w:rsidRPr="00AD5A27">
        <w:t xml:space="preserve">requested </w:t>
      </w:r>
      <w:r w:rsidR="00BC0321">
        <w:t>in the submission are</w:t>
      </w:r>
      <w:r w:rsidRPr="00AD5A27">
        <w:t xml:space="preserve"> presented below and ha</w:t>
      </w:r>
      <w:r w:rsidR="00BC0321">
        <w:t>ve</w:t>
      </w:r>
      <w:r w:rsidRPr="00AD5A27">
        <w:t xml:space="preserve"> not been updated with Secretariat comments as the PBAC considered additional</w:t>
      </w:r>
      <w:r w:rsidR="00136F45" w:rsidRPr="00AD5A27">
        <w:t xml:space="preserve"> </w:t>
      </w:r>
      <w:r w:rsidR="00E92421" w:rsidRPr="00AD5A27">
        <w:t xml:space="preserve">work </w:t>
      </w:r>
      <w:r w:rsidR="00BC0321" w:rsidRPr="00AD5A27">
        <w:t xml:space="preserve">will be required </w:t>
      </w:r>
      <w:r w:rsidR="00E92421" w:rsidRPr="00AD5A27">
        <w:t xml:space="preserve">to finalise the </w:t>
      </w:r>
      <w:r w:rsidRPr="00AD5A27">
        <w:t>restriction</w:t>
      </w:r>
      <w:r w:rsidR="00BC0321">
        <w:t>s</w:t>
      </w:r>
      <w:r w:rsidRPr="00AD5A27">
        <w:t xml:space="preserve">. </w:t>
      </w:r>
      <w:r w:rsidR="00F71136" w:rsidRPr="00AD5A27">
        <w:t xml:space="preserve">For brevity reasons, an abbreviated version of the requested restrictions is presented below (proposed subsequent continuing and grandfather restrictions are not presented).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9"/>
        <w:gridCol w:w="1524"/>
        <w:gridCol w:w="967"/>
        <w:gridCol w:w="909"/>
        <w:gridCol w:w="658"/>
        <w:gridCol w:w="1430"/>
      </w:tblGrid>
      <w:tr w:rsidR="002A66BB" w:rsidRPr="00AD5A27" w14:paraId="71A6382C" w14:textId="77777777" w:rsidTr="006C24C0">
        <w:trPr>
          <w:cantSplit/>
          <w:trHeight w:val="20"/>
        </w:trPr>
        <w:tc>
          <w:tcPr>
            <w:tcW w:w="1957" w:type="pct"/>
            <w:vAlign w:val="center"/>
          </w:tcPr>
          <w:p w14:paraId="69C35B6F" w14:textId="77777777" w:rsidR="002A66BB" w:rsidRPr="00AD5A27" w:rsidRDefault="002A66BB" w:rsidP="00771261">
            <w:pPr>
              <w:rPr>
                <w:rFonts w:ascii="Arial Narrow" w:hAnsi="Arial Narrow"/>
                <w:b/>
                <w:bCs/>
                <w:sz w:val="20"/>
                <w:szCs w:val="20"/>
              </w:rPr>
            </w:pPr>
            <w:r w:rsidRPr="00AD5A27">
              <w:rPr>
                <w:rFonts w:ascii="Arial Narrow" w:hAnsi="Arial Narrow"/>
                <w:b/>
                <w:bCs/>
                <w:sz w:val="20"/>
                <w:szCs w:val="20"/>
              </w:rPr>
              <w:t>MEDICINAL PRODUCT</w:t>
            </w:r>
          </w:p>
          <w:p w14:paraId="0697A877" w14:textId="77777777" w:rsidR="002A66BB" w:rsidRPr="00AD5A27" w:rsidRDefault="002A66BB" w:rsidP="00771261">
            <w:pPr>
              <w:rPr>
                <w:rFonts w:ascii="Arial Narrow" w:hAnsi="Arial Narrow"/>
                <w:b/>
                <w:sz w:val="20"/>
                <w:szCs w:val="20"/>
              </w:rPr>
            </w:pPr>
            <w:r w:rsidRPr="00AD5A27">
              <w:rPr>
                <w:rFonts w:ascii="Arial Narrow" w:hAnsi="Arial Narrow"/>
                <w:b/>
                <w:bCs/>
                <w:sz w:val="20"/>
                <w:szCs w:val="20"/>
              </w:rPr>
              <w:t>medicinal product pack</w:t>
            </w:r>
          </w:p>
        </w:tc>
        <w:tc>
          <w:tcPr>
            <w:tcW w:w="845" w:type="pct"/>
            <w:vAlign w:val="center"/>
          </w:tcPr>
          <w:p w14:paraId="0326895E" w14:textId="77777777" w:rsidR="002A66BB" w:rsidRPr="00AD5A27" w:rsidRDefault="002A66BB" w:rsidP="00771261">
            <w:pPr>
              <w:pStyle w:val="TableText0"/>
              <w:keepNext w:val="0"/>
              <w:jc w:val="center"/>
              <w:rPr>
                <w:b/>
              </w:rPr>
            </w:pPr>
            <w:r w:rsidRPr="00AD5A27">
              <w:rPr>
                <w:b/>
                <w:snapToGrid w:val="0"/>
              </w:rPr>
              <w:t>Dispensed Price for Max. Qty</w:t>
            </w:r>
          </w:p>
        </w:tc>
        <w:tc>
          <w:tcPr>
            <w:tcW w:w="536" w:type="pct"/>
            <w:vAlign w:val="center"/>
          </w:tcPr>
          <w:p w14:paraId="78708E19" w14:textId="77777777" w:rsidR="002A66BB" w:rsidRPr="00AD5A27" w:rsidRDefault="002A66BB" w:rsidP="00771261">
            <w:pPr>
              <w:jc w:val="center"/>
              <w:rPr>
                <w:rFonts w:ascii="Arial Narrow" w:hAnsi="Arial Narrow"/>
                <w:b/>
                <w:sz w:val="20"/>
                <w:szCs w:val="20"/>
              </w:rPr>
            </w:pPr>
            <w:r w:rsidRPr="00AD5A27">
              <w:rPr>
                <w:rFonts w:ascii="Arial Narrow" w:hAnsi="Arial Narrow"/>
                <w:b/>
                <w:sz w:val="20"/>
                <w:szCs w:val="20"/>
              </w:rPr>
              <w:t>Max. qty packs</w:t>
            </w:r>
          </w:p>
        </w:tc>
        <w:tc>
          <w:tcPr>
            <w:tcW w:w="504" w:type="pct"/>
            <w:vAlign w:val="center"/>
          </w:tcPr>
          <w:p w14:paraId="110842B5" w14:textId="77777777" w:rsidR="002A66BB" w:rsidRPr="00AD5A27" w:rsidRDefault="002A66BB" w:rsidP="00771261">
            <w:pPr>
              <w:jc w:val="center"/>
              <w:rPr>
                <w:rFonts w:ascii="Arial Narrow" w:hAnsi="Arial Narrow"/>
                <w:b/>
                <w:sz w:val="20"/>
                <w:szCs w:val="20"/>
              </w:rPr>
            </w:pPr>
            <w:r w:rsidRPr="00AD5A27">
              <w:rPr>
                <w:rFonts w:ascii="Arial Narrow" w:hAnsi="Arial Narrow"/>
                <w:b/>
                <w:sz w:val="20"/>
                <w:szCs w:val="20"/>
              </w:rPr>
              <w:t>Max. qty units</w:t>
            </w:r>
          </w:p>
        </w:tc>
        <w:tc>
          <w:tcPr>
            <w:tcW w:w="365" w:type="pct"/>
            <w:vAlign w:val="center"/>
          </w:tcPr>
          <w:p w14:paraId="04F3DA45" w14:textId="77777777" w:rsidR="002A66BB" w:rsidRPr="00AD5A27" w:rsidRDefault="002A66BB" w:rsidP="00771261">
            <w:pPr>
              <w:jc w:val="center"/>
              <w:rPr>
                <w:rFonts w:ascii="Arial Narrow" w:hAnsi="Arial Narrow"/>
                <w:b/>
                <w:sz w:val="20"/>
                <w:szCs w:val="20"/>
              </w:rPr>
            </w:pPr>
            <w:r w:rsidRPr="00AD5A27">
              <w:rPr>
                <w:rFonts w:ascii="Arial Narrow" w:hAnsi="Arial Narrow"/>
                <w:b/>
                <w:sz w:val="20"/>
                <w:szCs w:val="20"/>
              </w:rPr>
              <w:t>№.of</w:t>
            </w:r>
            <w:r w:rsidRPr="00AD5A27">
              <w:rPr>
                <w:rFonts w:ascii="Arial Narrow" w:hAnsi="Arial Narrow"/>
                <w:b/>
                <w:bCs/>
                <w:sz w:val="20"/>
                <w:szCs w:val="20"/>
              </w:rPr>
              <w:t xml:space="preserve"> Rpt</w:t>
            </w:r>
          </w:p>
        </w:tc>
        <w:tc>
          <w:tcPr>
            <w:tcW w:w="793" w:type="pct"/>
            <w:vAlign w:val="center"/>
          </w:tcPr>
          <w:p w14:paraId="1A094B9B" w14:textId="77777777" w:rsidR="002A66BB" w:rsidRPr="00AD5A27" w:rsidRDefault="002A66BB" w:rsidP="00771261">
            <w:pPr>
              <w:jc w:val="center"/>
              <w:rPr>
                <w:rFonts w:ascii="Arial Narrow" w:hAnsi="Arial Narrow"/>
                <w:b/>
                <w:sz w:val="20"/>
                <w:szCs w:val="20"/>
              </w:rPr>
            </w:pPr>
            <w:r w:rsidRPr="00AD5A27">
              <w:rPr>
                <w:rFonts w:ascii="Arial Narrow" w:hAnsi="Arial Narrow"/>
                <w:b/>
                <w:sz w:val="20"/>
                <w:szCs w:val="20"/>
              </w:rPr>
              <w:t>Available brands</w:t>
            </w:r>
          </w:p>
        </w:tc>
      </w:tr>
      <w:tr w:rsidR="002A66BB" w:rsidRPr="00AD5A27" w14:paraId="1123FB39" w14:textId="77777777" w:rsidTr="006C24C0">
        <w:trPr>
          <w:cantSplit/>
          <w:trHeight w:val="20"/>
        </w:trPr>
        <w:tc>
          <w:tcPr>
            <w:tcW w:w="5000" w:type="pct"/>
            <w:gridSpan w:val="6"/>
            <w:vAlign w:val="center"/>
          </w:tcPr>
          <w:p w14:paraId="10C5D909" w14:textId="77777777" w:rsidR="002A66BB" w:rsidRPr="00AD5A27" w:rsidRDefault="002A66BB" w:rsidP="00771261">
            <w:pPr>
              <w:pStyle w:val="TableText0"/>
              <w:keepNext w:val="0"/>
              <w:rPr>
                <w:rFonts w:cs="Arial"/>
                <w:szCs w:val="20"/>
              </w:rPr>
            </w:pPr>
            <w:r w:rsidRPr="00AD5A27">
              <w:rPr>
                <w:szCs w:val="20"/>
              </w:rPr>
              <w:t xml:space="preserve">ADALIMUMAB </w:t>
            </w:r>
            <w:r w:rsidRPr="00AD5A27">
              <w:rPr>
                <w:rFonts w:cs="Arial"/>
                <w:color w:val="0066FF"/>
                <w:szCs w:val="20"/>
              </w:rPr>
              <w:t xml:space="preserve"> </w:t>
            </w:r>
          </w:p>
        </w:tc>
      </w:tr>
      <w:tr w:rsidR="002A66BB" w:rsidRPr="00AD5A27" w14:paraId="66B071A9" w14:textId="77777777" w:rsidTr="006C24C0">
        <w:trPr>
          <w:cantSplit/>
          <w:trHeight w:val="20"/>
        </w:trPr>
        <w:tc>
          <w:tcPr>
            <w:tcW w:w="5000" w:type="pct"/>
            <w:gridSpan w:val="6"/>
            <w:tcBorders>
              <w:bottom w:val="single" w:sz="4" w:space="0" w:color="auto"/>
            </w:tcBorders>
            <w:shd w:val="clear" w:color="auto" w:fill="auto"/>
          </w:tcPr>
          <w:p w14:paraId="2C698217" w14:textId="77777777" w:rsidR="002A66BB" w:rsidRPr="00AD5A27" w:rsidRDefault="002A66BB" w:rsidP="00771261">
            <w:pPr>
              <w:jc w:val="left"/>
              <w:rPr>
                <w:rFonts w:ascii="Arial Narrow" w:hAnsi="Arial Narrow"/>
                <w:sz w:val="20"/>
                <w:szCs w:val="20"/>
              </w:rPr>
            </w:pPr>
            <w:r w:rsidRPr="00AD5A27">
              <w:rPr>
                <w:rFonts w:ascii="Arial Narrow" w:hAnsi="Arial Narrow"/>
                <w:b/>
                <w:bCs/>
                <w:sz w:val="20"/>
                <w:szCs w:val="20"/>
              </w:rPr>
              <w:t>Initial Treatment</w:t>
            </w:r>
          </w:p>
        </w:tc>
      </w:tr>
      <w:tr w:rsidR="002A66BB" w:rsidRPr="00AD5A27" w14:paraId="3AABFA97" w14:textId="77777777" w:rsidTr="006C24C0">
        <w:trPr>
          <w:cantSplit/>
          <w:trHeight w:val="20"/>
        </w:trPr>
        <w:tc>
          <w:tcPr>
            <w:tcW w:w="1957" w:type="pct"/>
            <w:tcBorders>
              <w:top w:val="single" w:sz="4" w:space="0" w:color="auto"/>
              <w:bottom w:val="single" w:sz="4" w:space="0" w:color="auto"/>
            </w:tcBorders>
          </w:tcPr>
          <w:p w14:paraId="1A056146" w14:textId="77777777" w:rsidR="002A66BB" w:rsidRPr="00AD5A27" w:rsidRDefault="002A66BB" w:rsidP="00771261">
            <w:pPr>
              <w:widowControl w:val="0"/>
              <w:rPr>
                <w:rFonts w:ascii="Arial Narrow" w:hAnsi="Arial Narrow"/>
                <w:sz w:val="20"/>
                <w:szCs w:val="20"/>
              </w:rPr>
            </w:pPr>
            <w:r w:rsidRPr="00AD5A27">
              <w:rPr>
                <w:rFonts w:ascii="Arial Narrow" w:hAnsi="Arial Narrow"/>
                <w:sz w:val="20"/>
                <w:szCs w:val="20"/>
              </w:rPr>
              <w:t>Adalimumab</w:t>
            </w:r>
          </w:p>
          <w:p w14:paraId="5B717E17" w14:textId="77777777" w:rsidR="002A66BB" w:rsidRPr="00AD5A27" w:rsidRDefault="002A66BB" w:rsidP="00771261">
            <w:pPr>
              <w:widowControl w:val="0"/>
              <w:rPr>
                <w:rFonts w:ascii="Arial Narrow" w:hAnsi="Arial Narrow"/>
                <w:sz w:val="20"/>
                <w:szCs w:val="20"/>
              </w:rPr>
            </w:pPr>
            <w:r w:rsidRPr="00AD5A27">
              <w:rPr>
                <w:rFonts w:ascii="Arial Narrow" w:hAnsi="Arial Narrow"/>
                <w:sz w:val="20"/>
                <w:szCs w:val="20"/>
              </w:rPr>
              <w:t>Injection, 80mg in 0.8mL pre-filled syringe</w:t>
            </w:r>
          </w:p>
        </w:tc>
        <w:tc>
          <w:tcPr>
            <w:tcW w:w="845" w:type="pct"/>
            <w:tcBorders>
              <w:top w:val="single" w:sz="4" w:space="0" w:color="auto"/>
              <w:bottom w:val="single" w:sz="4" w:space="0" w:color="auto"/>
            </w:tcBorders>
            <w:vAlign w:val="center"/>
          </w:tcPr>
          <w:p w14:paraId="2BFF1305"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 xml:space="preserve">$676.79 </w:t>
            </w:r>
          </w:p>
        </w:tc>
        <w:tc>
          <w:tcPr>
            <w:tcW w:w="536" w:type="pct"/>
            <w:tcBorders>
              <w:top w:val="single" w:sz="4" w:space="0" w:color="auto"/>
              <w:bottom w:val="single" w:sz="4" w:space="0" w:color="auto"/>
            </w:tcBorders>
            <w:vAlign w:val="center"/>
          </w:tcPr>
          <w:p w14:paraId="73897869"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1</w:t>
            </w:r>
          </w:p>
        </w:tc>
        <w:tc>
          <w:tcPr>
            <w:tcW w:w="504" w:type="pct"/>
            <w:tcBorders>
              <w:top w:val="single" w:sz="4" w:space="0" w:color="auto"/>
              <w:bottom w:val="single" w:sz="4" w:space="0" w:color="auto"/>
            </w:tcBorders>
            <w:vAlign w:val="center"/>
          </w:tcPr>
          <w:p w14:paraId="7BDD4CED"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1</w:t>
            </w:r>
          </w:p>
        </w:tc>
        <w:tc>
          <w:tcPr>
            <w:tcW w:w="365" w:type="pct"/>
            <w:tcBorders>
              <w:top w:val="single" w:sz="4" w:space="0" w:color="auto"/>
              <w:bottom w:val="single" w:sz="4" w:space="0" w:color="auto"/>
            </w:tcBorders>
            <w:vAlign w:val="center"/>
          </w:tcPr>
          <w:p w14:paraId="73DD18CE"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0</w:t>
            </w:r>
          </w:p>
        </w:tc>
        <w:tc>
          <w:tcPr>
            <w:tcW w:w="793" w:type="pct"/>
            <w:tcBorders>
              <w:bottom w:val="nil"/>
            </w:tcBorders>
            <w:vAlign w:val="center"/>
          </w:tcPr>
          <w:p w14:paraId="040D88A8" w14:textId="77777777" w:rsidR="002A66BB" w:rsidRPr="00AD5A27" w:rsidRDefault="002A66BB" w:rsidP="00771261">
            <w:pPr>
              <w:jc w:val="left"/>
              <w:rPr>
                <w:rFonts w:ascii="Arial Narrow" w:hAnsi="Arial Narrow" w:cstheme="minorBidi"/>
                <w:sz w:val="20"/>
                <w:szCs w:val="20"/>
              </w:rPr>
            </w:pPr>
            <w:r w:rsidRPr="00AD5A27">
              <w:rPr>
                <w:rFonts w:ascii="Arial Narrow" w:hAnsi="Arial Narrow" w:cstheme="minorBidi"/>
                <w:sz w:val="20"/>
                <w:szCs w:val="20"/>
              </w:rPr>
              <w:t>Humira,</w:t>
            </w:r>
          </w:p>
          <w:p w14:paraId="16404537" w14:textId="77777777" w:rsidR="002A66BB" w:rsidRPr="00AD5A27" w:rsidRDefault="002A66BB" w:rsidP="00771261">
            <w:pPr>
              <w:jc w:val="left"/>
              <w:rPr>
                <w:rFonts w:ascii="Arial Narrow" w:hAnsi="Arial Narrow" w:cstheme="minorBidi"/>
                <w:sz w:val="20"/>
                <w:szCs w:val="20"/>
              </w:rPr>
            </w:pPr>
            <w:r w:rsidRPr="00AD5A27">
              <w:rPr>
                <w:rFonts w:ascii="Arial Narrow" w:hAnsi="Arial Narrow" w:cstheme="minorBidi"/>
                <w:sz w:val="20"/>
                <w:szCs w:val="20"/>
              </w:rPr>
              <w:t>AbbVie Pty Ltd</w:t>
            </w:r>
          </w:p>
        </w:tc>
      </w:tr>
      <w:tr w:rsidR="002A66BB" w:rsidRPr="00AD5A27" w14:paraId="40312209" w14:textId="77777777" w:rsidTr="006C24C0">
        <w:trPr>
          <w:cantSplit/>
          <w:trHeight w:val="20"/>
        </w:trPr>
        <w:tc>
          <w:tcPr>
            <w:tcW w:w="1957" w:type="pct"/>
            <w:tcBorders>
              <w:top w:val="single" w:sz="4" w:space="0" w:color="auto"/>
              <w:bottom w:val="single" w:sz="4" w:space="0" w:color="auto"/>
            </w:tcBorders>
          </w:tcPr>
          <w:p w14:paraId="72B941C1" w14:textId="77777777" w:rsidR="002A66BB" w:rsidRPr="00AD5A27" w:rsidRDefault="002A66BB" w:rsidP="00771261">
            <w:pPr>
              <w:widowControl w:val="0"/>
              <w:rPr>
                <w:rFonts w:ascii="Arial Narrow" w:hAnsi="Arial Narrow"/>
                <w:sz w:val="20"/>
                <w:szCs w:val="20"/>
              </w:rPr>
            </w:pPr>
            <w:r w:rsidRPr="00AD5A27">
              <w:rPr>
                <w:rFonts w:ascii="Arial Narrow" w:hAnsi="Arial Narrow"/>
                <w:sz w:val="20"/>
                <w:szCs w:val="20"/>
              </w:rPr>
              <w:t>Adalimumab</w:t>
            </w:r>
          </w:p>
          <w:p w14:paraId="481C6D38" w14:textId="77777777" w:rsidR="002A66BB" w:rsidRPr="00AD5A27" w:rsidRDefault="002A66BB" w:rsidP="00771261">
            <w:pPr>
              <w:widowControl w:val="0"/>
              <w:rPr>
                <w:rFonts w:ascii="Arial Narrow" w:hAnsi="Arial Narrow"/>
                <w:sz w:val="20"/>
                <w:szCs w:val="20"/>
              </w:rPr>
            </w:pPr>
            <w:r w:rsidRPr="00AD5A27">
              <w:rPr>
                <w:rFonts w:ascii="Arial Narrow" w:hAnsi="Arial Narrow"/>
                <w:sz w:val="20"/>
                <w:szCs w:val="20"/>
              </w:rPr>
              <w:t>Injection, 80mg in 0.8mL pre-filled pen</w:t>
            </w:r>
          </w:p>
        </w:tc>
        <w:tc>
          <w:tcPr>
            <w:tcW w:w="845" w:type="pct"/>
            <w:tcBorders>
              <w:top w:val="single" w:sz="4" w:space="0" w:color="auto"/>
              <w:bottom w:val="single" w:sz="4" w:space="0" w:color="auto"/>
            </w:tcBorders>
            <w:vAlign w:val="center"/>
          </w:tcPr>
          <w:p w14:paraId="0596CA99"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 xml:space="preserve">$676.79 </w:t>
            </w:r>
          </w:p>
        </w:tc>
        <w:tc>
          <w:tcPr>
            <w:tcW w:w="536" w:type="pct"/>
            <w:tcBorders>
              <w:top w:val="single" w:sz="4" w:space="0" w:color="auto"/>
              <w:bottom w:val="single" w:sz="4" w:space="0" w:color="auto"/>
            </w:tcBorders>
            <w:vAlign w:val="center"/>
          </w:tcPr>
          <w:p w14:paraId="04E70D7A"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1</w:t>
            </w:r>
          </w:p>
        </w:tc>
        <w:tc>
          <w:tcPr>
            <w:tcW w:w="504" w:type="pct"/>
            <w:tcBorders>
              <w:top w:val="single" w:sz="4" w:space="0" w:color="auto"/>
              <w:bottom w:val="single" w:sz="4" w:space="0" w:color="auto"/>
            </w:tcBorders>
            <w:vAlign w:val="center"/>
          </w:tcPr>
          <w:p w14:paraId="2EFCB625"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1</w:t>
            </w:r>
          </w:p>
        </w:tc>
        <w:tc>
          <w:tcPr>
            <w:tcW w:w="365" w:type="pct"/>
            <w:tcBorders>
              <w:top w:val="single" w:sz="4" w:space="0" w:color="auto"/>
              <w:bottom w:val="single" w:sz="4" w:space="0" w:color="auto"/>
            </w:tcBorders>
            <w:vAlign w:val="center"/>
          </w:tcPr>
          <w:p w14:paraId="2FE48574"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0</w:t>
            </w:r>
          </w:p>
        </w:tc>
        <w:tc>
          <w:tcPr>
            <w:tcW w:w="793" w:type="pct"/>
            <w:tcBorders>
              <w:bottom w:val="nil"/>
            </w:tcBorders>
            <w:vAlign w:val="center"/>
          </w:tcPr>
          <w:p w14:paraId="6CE08F13" w14:textId="77777777" w:rsidR="002A66BB" w:rsidRPr="00AD5A27" w:rsidRDefault="002A66BB" w:rsidP="00771261">
            <w:pPr>
              <w:jc w:val="left"/>
              <w:rPr>
                <w:rFonts w:ascii="Arial Narrow" w:hAnsi="Arial Narrow" w:cstheme="minorBidi"/>
                <w:sz w:val="20"/>
                <w:szCs w:val="20"/>
              </w:rPr>
            </w:pPr>
            <w:r w:rsidRPr="00AD5A27">
              <w:rPr>
                <w:rFonts w:ascii="Arial Narrow" w:hAnsi="Arial Narrow" w:cstheme="minorBidi"/>
                <w:sz w:val="20"/>
                <w:szCs w:val="20"/>
              </w:rPr>
              <w:t>Humira,</w:t>
            </w:r>
          </w:p>
          <w:p w14:paraId="7DDDC73B" w14:textId="77777777" w:rsidR="002A66BB" w:rsidRPr="00AD5A27" w:rsidRDefault="002A66BB" w:rsidP="00771261">
            <w:pPr>
              <w:jc w:val="left"/>
              <w:rPr>
                <w:rFonts w:ascii="Arial Narrow" w:hAnsi="Arial Narrow" w:cstheme="minorBidi"/>
                <w:sz w:val="20"/>
                <w:szCs w:val="20"/>
              </w:rPr>
            </w:pPr>
            <w:r w:rsidRPr="00AD5A27">
              <w:rPr>
                <w:rFonts w:ascii="Arial Narrow" w:hAnsi="Arial Narrow" w:cstheme="minorBidi"/>
                <w:sz w:val="20"/>
                <w:szCs w:val="20"/>
              </w:rPr>
              <w:t>AbbVie Pty Ltd</w:t>
            </w:r>
          </w:p>
        </w:tc>
      </w:tr>
      <w:tr w:rsidR="002A66BB" w:rsidRPr="00AD5A27" w14:paraId="11FE937B" w14:textId="77777777" w:rsidTr="006C24C0">
        <w:trPr>
          <w:cantSplit/>
          <w:trHeight w:val="20"/>
        </w:trPr>
        <w:tc>
          <w:tcPr>
            <w:tcW w:w="1957" w:type="pct"/>
            <w:tcBorders>
              <w:top w:val="single" w:sz="4" w:space="0" w:color="auto"/>
              <w:bottom w:val="nil"/>
            </w:tcBorders>
          </w:tcPr>
          <w:p w14:paraId="37F399FF" w14:textId="77777777" w:rsidR="002A66BB" w:rsidRPr="00AD5A27" w:rsidRDefault="002A66BB" w:rsidP="00771261">
            <w:pPr>
              <w:widowControl w:val="0"/>
              <w:rPr>
                <w:rFonts w:ascii="Arial Narrow" w:hAnsi="Arial Narrow"/>
                <w:sz w:val="20"/>
                <w:szCs w:val="20"/>
              </w:rPr>
            </w:pPr>
            <w:r w:rsidRPr="00AD5A27">
              <w:rPr>
                <w:rFonts w:ascii="Arial Narrow" w:hAnsi="Arial Narrow"/>
                <w:sz w:val="20"/>
                <w:szCs w:val="20"/>
              </w:rPr>
              <w:t>Adalimumab</w:t>
            </w:r>
          </w:p>
          <w:p w14:paraId="1767A69A" w14:textId="77777777" w:rsidR="002A66BB" w:rsidRPr="00AD5A27" w:rsidRDefault="002A66BB" w:rsidP="00771261">
            <w:pPr>
              <w:widowControl w:val="0"/>
              <w:rPr>
                <w:rFonts w:ascii="Arial Narrow" w:hAnsi="Arial Narrow"/>
                <w:sz w:val="20"/>
                <w:szCs w:val="20"/>
              </w:rPr>
            </w:pPr>
            <w:r w:rsidRPr="00AD5A27">
              <w:rPr>
                <w:rFonts w:ascii="Arial Narrow" w:hAnsi="Arial Narrow"/>
                <w:sz w:val="20"/>
                <w:szCs w:val="20"/>
              </w:rPr>
              <w:t>Injection, 40mg in 0.4mL pre-filled syringe, 2</w:t>
            </w:r>
          </w:p>
        </w:tc>
        <w:tc>
          <w:tcPr>
            <w:tcW w:w="845" w:type="pct"/>
            <w:tcBorders>
              <w:top w:val="single" w:sz="4" w:space="0" w:color="auto"/>
            </w:tcBorders>
            <w:vAlign w:val="center"/>
          </w:tcPr>
          <w:p w14:paraId="7E6F290C"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 xml:space="preserve">$676.79 </w:t>
            </w:r>
          </w:p>
        </w:tc>
        <w:tc>
          <w:tcPr>
            <w:tcW w:w="536" w:type="pct"/>
            <w:tcBorders>
              <w:top w:val="single" w:sz="4" w:space="0" w:color="auto"/>
            </w:tcBorders>
            <w:vAlign w:val="center"/>
          </w:tcPr>
          <w:p w14:paraId="0986C007"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1</w:t>
            </w:r>
          </w:p>
        </w:tc>
        <w:tc>
          <w:tcPr>
            <w:tcW w:w="504" w:type="pct"/>
            <w:tcBorders>
              <w:top w:val="single" w:sz="4" w:space="0" w:color="auto"/>
            </w:tcBorders>
            <w:vAlign w:val="center"/>
          </w:tcPr>
          <w:p w14:paraId="11817A07"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2</w:t>
            </w:r>
          </w:p>
        </w:tc>
        <w:tc>
          <w:tcPr>
            <w:tcW w:w="365" w:type="pct"/>
            <w:tcBorders>
              <w:top w:val="single" w:sz="4" w:space="0" w:color="auto"/>
            </w:tcBorders>
            <w:vAlign w:val="center"/>
          </w:tcPr>
          <w:p w14:paraId="2F331BD6"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6</w:t>
            </w:r>
          </w:p>
        </w:tc>
        <w:tc>
          <w:tcPr>
            <w:tcW w:w="793" w:type="pct"/>
            <w:tcBorders>
              <w:top w:val="single" w:sz="4" w:space="0" w:color="auto"/>
              <w:bottom w:val="nil"/>
            </w:tcBorders>
            <w:vAlign w:val="center"/>
          </w:tcPr>
          <w:p w14:paraId="56BFAA8C" w14:textId="77777777" w:rsidR="002A66BB" w:rsidRPr="00AD5A27" w:rsidRDefault="002A66BB" w:rsidP="00771261">
            <w:pPr>
              <w:jc w:val="left"/>
              <w:rPr>
                <w:rFonts w:ascii="Arial Narrow" w:hAnsi="Arial Narrow" w:cstheme="minorBidi"/>
                <w:sz w:val="20"/>
                <w:szCs w:val="20"/>
              </w:rPr>
            </w:pPr>
            <w:r w:rsidRPr="00AD5A27">
              <w:rPr>
                <w:rFonts w:ascii="Arial Narrow" w:hAnsi="Arial Narrow" w:cstheme="minorBidi"/>
                <w:sz w:val="20"/>
                <w:szCs w:val="20"/>
              </w:rPr>
              <w:t>Humira,</w:t>
            </w:r>
            <w:r w:rsidRPr="00AD5A27">
              <w:br/>
            </w:r>
            <w:r w:rsidRPr="00AD5A27">
              <w:rPr>
                <w:rFonts w:ascii="Arial Narrow" w:hAnsi="Arial Narrow" w:cstheme="minorBidi"/>
                <w:sz w:val="20"/>
                <w:szCs w:val="20"/>
              </w:rPr>
              <w:t>AbbVie Pty Ltd</w:t>
            </w:r>
          </w:p>
        </w:tc>
      </w:tr>
      <w:tr w:rsidR="002A66BB" w:rsidRPr="00AD5A27" w14:paraId="6C1759F1" w14:textId="77777777" w:rsidTr="00771261">
        <w:trPr>
          <w:cantSplit/>
          <w:trHeight w:val="20"/>
        </w:trPr>
        <w:tc>
          <w:tcPr>
            <w:tcW w:w="1957" w:type="pct"/>
            <w:tcBorders>
              <w:top w:val="single" w:sz="4" w:space="0" w:color="auto"/>
              <w:bottom w:val="single" w:sz="4" w:space="0" w:color="auto"/>
            </w:tcBorders>
          </w:tcPr>
          <w:p w14:paraId="6E6C8842" w14:textId="77777777" w:rsidR="002A66BB" w:rsidRPr="00AD5A27" w:rsidRDefault="002A66BB" w:rsidP="00771261">
            <w:pPr>
              <w:widowControl w:val="0"/>
              <w:rPr>
                <w:rFonts w:ascii="Arial Narrow" w:hAnsi="Arial Narrow"/>
                <w:sz w:val="20"/>
                <w:szCs w:val="20"/>
              </w:rPr>
            </w:pPr>
            <w:r w:rsidRPr="00AD5A27">
              <w:rPr>
                <w:rFonts w:ascii="Arial Narrow" w:hAnsi="Arial Narrow"/>
                <w:sz w:val="20"/>
                <w:szCs w:val="20"/>
              </w:rPr>
              <w:t>Adalimumab</w:t>
            </w:r>
          </w:p>
          <w:p w14:paraId="54B43D1E" w14:textId="77777777" w:rsidR="002A66BB" w:rsidRPr="00AD5A27" w:rsidRDefault="002A66BB" w:rsidP="00771261">
            <w:pPr>
              <w:widowControl w:val="0"/>
              <w:rPr>
                <w:rFonts w:ascii="Arial Narrow" w:hAnsi="Arial Narrow"/>
                <w:sz w:val="20"/>
                <w:szCs w:val="20"/>
              </w:rPr>
            </w:pPr>
            <w:r w:rsidRPr="00AD5A27">
              <w:rPr>
                <w:rFonts w:ascii="Arial Narrow" w:hAnsi="Arial Narrow"/>
                <w:sz w:val="20"/>
                <w:szCs w:val="20"/>
              </w:rPr>
              <w:t>Injection, 40mg in 0.4mL pre-filled pen, 2</w:t>
            </w:r>
          </w:p>
        </w:tc>
        <w:tc>
          <w:tcPr>
            <w:tcW w:w="845" w:type="pct"/>
            <w:tcBorders>
              <w:top w:val="single" w:sz="4" w:space="0" w:color="auto"/>
              <w:bottom w:val="single" w:sz="4" w:space="0" w:color="auto"/>
            </w:tcBorders>
            <w:vAlign w:val="center"/>
          </w:tcPr>
          <w:p w14:paraId="21998C88"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 xml:space="preserve">$676.79 </w:t>
            </w:r>
          </w:p>
        </w:tc>
        <w:tc>
          <w:tcPr>
            <w:tcW w:w="536" w:type="pct"/>
            <w:tcBorders>
              <w:top w:val="single" w:sz="4" w:space="0" w:color="auto"/>
              <w:bottom w:val="single" w:sz="4" w:space="0" w:color="auto"/>
            </w:tcBorders>
            <w:vAlign w:val="center"/>
          </w:tcPr>
          <w:p w14:paraId="1AB0EEB6"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1</w:t>
            </w:r>
          </w:p>
        </w:tc>
        <w:tc>
          <w:tcPr>
            <w:tcW w:w="504" w:type="pct"/>
            <w:tcBorders>
              <w:top w:val="single" w:sz="4" w:space="0" w:color="auto"/>
              <w:bottom w:val="single" w:sz="4" w:space="0" w:color="auto"/>
            </w:tcBorders>
            <w:vAlign w:val="center"/>
          </w:tcPr>
          <w:p w14:paraId="10C28387"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2</w:t>
            </w:r>
          </w:p>
        </w:tc>
        <w:tc>
          <w:tcPr>
            <w:tcW w:w="365" w:type="pct"/>
            <w:tcBorders>
              <w:top w:val="single" w:sz="4" w:space="0" w:color="auto"/>
              <w:bottom w:val="single" w:sz="4" w:space="0" w:color="auto"/>
            </w:tcBorders>
            <w:vAlign w:val="center"/>
          </w:tcPr>
          <w:p w14:paraId="113C897E"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6</w:t>
            </w:r>
          </w:p>
        </w:tc>
        <w:tc>
          <w:tcPr>
            <w:tcW w:w="793" w:type="pct"/>
            <w:tcBorders>
              <w:top w:val="single" w:sz="4" w:space="0" w:color="auto"/>
              <w:bottom w:val="single" w:sz="4" w:space="0" w:color="auto"/>
            </w:tcBorders>
            <w:vAlign w:val="center"/>
          </w:tcPr>
          <w:p w14:paraId="5A736A22" w14:textId="77777777" w:rsidR="002A66BB" w:rsidRPr="00AD5A27" w:rsidRDefault="002A66BB" w:rsidP="00771261">
            <w:pPr>
              <w:jc w:val="left"/>
              <w:rPr>
                <w:rFonts w:ascii="Arial Narrow" w:hAnsi="Arial Narrow" w:cstheme="minorBidi"/>
                <w:sz w:val="20"/>
                <w:szCs w:val="20"/>
              </w:rPr>
            </w:pPr>
            <w:r w:rsidRPr="00AD5A27">
              <w:rPr>
                <w:rFonts w:ascii="Arial Narrow" w:hAnsi="Arial Narrow" w:cstheme="minorBidi"/>
                <w:sz w:val="20"/>
                <w:szCs w:val="20"/>
              </w:rPr>
              <w:t>Humira,</w:t>
            </w:r>
          </w:p>
          <w:p w14:paraId="18BB7F82" w14:textId="77777777" w:rsidR="002A66BB" w:rsidRPr="00AD5A27" w:rsidRDefault="002A66BB" w:rsidP="00771261">
            <w:pPr>
              <w:jc w:val="left"/>
              <w:rPr>
                <w:rFonts w:ascii="Arial Narrow" w:hAnsi="Arial Narrow" w:cstheme="minorBidi"/>
                <w:sz w:val="20"/>
                <w:szCs w:val="20"/>
              </w:rPr>
            </w:pPr>
            <w:r w:rsidRPr="00AD5A27">
              <w:rPr>
                <w:rFonts w:ascii="Arial Narrow" w:hAnsi="Arial Narrow" w:cstheme="minorBidi"/>
                <w:sz w:val="20"/>
                <w:szCs w:val="20"/>
              </w:rPr>
              <w:t>AbbVie Pty Ltd</w:t>
            </w:r>
          </w:p>
        </w:tc>
      </w:tr>
      <w:tr w:rsidR="002A66BB" w:rsidRPr="00AD5A27" w14:paraId="1437B59B" w14:textId="77777777" w:rsidTr="00771261">
        <w:trPr>
          <w:cantSplit/>
          <w:trHeight w:val="20"/>
        </w:trPr>
        <w:tc>
          <w:tcPr>
            <w:tcW w:w="1957" w:type="pct"/>
            <w:tcBorders>
              <w:top w:val="single" w:sz="4" w:space="0" w:color="auto"/>
              <w:bottom w:val="single" w:sz="4" w:space="0" w:color="auto"/>
            </w:tcBorders>
          </w:tcPr>
          <w:p w14:paraId="56E269D6" w14:textId="77777777" w:rsidR="002A66BB" w:rsidRPr="00AD5A27" w:rsidRDefault="002A66BB" w:rsidP="00771261">
            <w:pPr>
              <w:widowControl w:val="0"/>
              <w:rPr>
                <w:rFonts w:ascii="Arial Narrow" w:hAnsi="Arial Narrow"/>
                <w:sz w:val="20"/>
                <w:szCs w:val="20"/>
              </w:rPr>
            </w:pPr>
            <w:r w:rsidRPr="00AD5A27">
              <w:rPr>
                <w:rFonts w:ascii="Arial Narrow" w:hAnsi="Arial Narrow"/>
                <w:sz w:val="20"/>
                <w:szCs w:val="20"/>
              </w:rPr>
              <w:t>Adalimumab</w:t>
            </w:r>
          </w:p>
          <w:p w14:paraId="4703172D" w14:textId="77777777" w:rsidR="002A66BB" w:rsidRPr="00AD5A27" w:rsidRDefault="002A66BB" w:rsidP="00771261">
            <w:pPr>
              <w:jc w:val="left"/>
              <w:rPr>
                <w:rFonts w:ascii="Arial Narrow" w:hAnsi="Arial Narrow"/>
                <w:sz w:val="20"/>
                <w:szCs w:val="20"/>
              </w:rPr>
            </w:pPr>
            <w:r w:rsidRPr="00AD5A27">
              <w:rPr>
                <w:rFonts w:ascii="Arial Narrow" w:hAnsi="Arial Narrow"/>
                <w:sz w:val="20"/>
                <w:szCs w:val="20"/>
              </w:rPr>
              <w:t>Injection, 20mg in 0.2mL pre-filled syringe, 2</w:t>
            </w:r>
          </w:p>
        </w:tc>
        <w:tc>
          <w:tcPr>
            <w:tcW w:w="845" w:type="pct"/>
            <w:tcBorders>
              <w:top w:val="single" w:sz="4" w:space="0" w:color="auto"/>
              <w:bottom w:val="single" w:sz="4" w:space="0" w:color="auto"/>
            </w:tcBorders>
            <w:vAlign w:val="center"/>
          </w:tcPr>
          <w:p w14:paraId="5C9CEA6B"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 xml:space="preserve">$706.70 </w:t>
            </w:r>
          </w:p>
        </w:tc>
        <w:tc>
          <w:tcPr>
            <w:tcW w:w="536" w:type="pct"/>
            <w:tcBorders>
              <w:top w:val="single" w:sz="4" w:space="0" w:color="auto"/>
              <w:bottom w:val="single" w:sz="4" w:space="0" w:color="auto"/>
            </w:tcBorders>
            <w:vAlign w:val="center"/>
          </w:tcPr>
          <w:p w14:paraId="0AD9F93E"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1</w:t>
            </w:r>
          </w:p>
        </w:tc>
        <w:tc>
          <w:tcPr>
            <w:tcW w:w="504" w:type="pct"/>
            <w:tcBorders>
              <w:top w:val="single" w:sz="4" w:space="0" w:color="auto"/>
              <w:bottom w:val="single" w:sz="4" w:space="0" w:color="auto"/>
            </w:tcBorders>
            <w:vAlign w:val="center"/>
          </w:tcPr>
          <w:p w14:paraId="673B885A"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2</w:t>
            </w:r>
          </w:p>
        </w:tc>
        <w:tc>
          <w:tcPr>
            <w:tcW w:w="365" w:type="pct"/>
            <w:tcBorders>
              <w:top w:val="single" w:sz="4" w:space="0" w:color="auto"/>
              <w:bottom w:val="single" w:sz="4" w:space="0" w:color="auto"/>
            </w:tcBorders>
            <w:vAlign w:val="center"/>
          </w:tcPr>
          <w:p w14:paraId="71EAD3D0"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6</w:t>
            </w:r>
          </w:p>
        </w:tc>
        <w:tc>
          <w:tcPr>
            <w:tcW w:w="793" w:type="pct"/>
            <w:tcBorders>
              <w:top w:val="single" w:sz="4" w:space="0" w:color="auto"/>
              <w:bottom w:val="single" w:sz="4" w:space="0" w:color="auto"/>
            </w:tcBorders>
            <w:vAlign w:val="center"/>
          </w:tcPr>
          <w:p w14:paraId="58CCBAB6" w14:textId="77777777" w:rsidR="002A66BB" w:rsidRPr="00AD5A27" w:rsidRDefault="002A66BB" w:rsidP="00771261">
            <w:pPr>
              <w:jc w:val="left"/>
              <w:rPr>
                <w:rFonts w:ascii="Arial Narrow" w:hAnsi="Arial Narrow"/>
                <w:sz w:val="20"/>
                <w:szCs w:val="20"/>
              </w:rPr>
            </w:pPr>
            <w:r w:rsidRPr="00AD5A27">
              <w:rPr>
                <w:rFonts w:ascii="Arial Narrow" w:hAnsi="Arial Narrow" w:cstheme="minorBidi"/>
                <w:sz w:val="20"/>
                <w:szCs w:val="20"/>
              </w:rPr>
              <w:t>Humira,</w:t>
            </w:r>
          </w:p>
          <w:p w14:paraId="4123C48A" w14:textId="77777777" w:rsidR="002A66BB" w:rsidRPr="00AD5A27" w:rsidRDefault="002A66BB" w:rsidP="00771261">
            <w:pPr>
              <w:jc w:val="left"/>
              <w:rPr>
                <w:rFonts w:ascii="Arial Narrow" w:hAnsi="Arial Narrow"/>
                <w:sz w:val="20"/>
                <w:szCs w:val="20"/>
              </w:rPr>
            </w:pPr>
            <w:r w:rsidRPr="00AD5A27">
              <w:rPr>
                <w:rFonts w:ascii="Arial Narrow" w:hAnsi="Arial Narrow" w:cstheme="minorBidi"/>
                <w:sz w:val="20"/>
                <w:szCs w:val="20"/>
              </w:rPr>
              <w:t>AbbVie Pty Ltd</w:t>
            </w:r>
          </w:p>
        </w:tc>
      </w:tr>
      <w:tr w:rsidR="002A66BB" w:rsidRPr="00AD5A27" w14:paraId="59C3CFAC" w14:textId="77777777" w:rsidTr="00771261">
        <w:trPr>
          <w:cantSplit/>
          <w:trHeight w:val="20"/>
        </w:trPr>
        <w:tc>
          <w:tcPr>
            <w:tcW w:w="5000" w:type="pct"/>
            <w:gridSpan w:val="6"/>
            <w:tcBorders>
              <w:top w:val="single" w:sz="4" w:space="0" w:color="auto"/>
              <w:bottom w:val="single" w:sz="4" w:space="0" w:color="auto"/>
            </w:tcBorders>
            <w:shd w:val="clear" w:color="auto" w:fill="auto"/>
          </w:tcPr>
          <w:p w14:paraId="383EBC1F" w14:textId="77777777" w:rsidR="002A66BB" w:rsidRPr="00AD5A27" w:rsidRDefault="002A66BB" w:rsidP="00771261">
            <w:pPr>
              <w:jc w:val="left"/>
              <w:rPr>
                <w:rFonts w:ascii="Arial Narrow" w:hAnsi="Arial Narrow"/>
                <w:sz w:val="20"/>
                <w:szCs w:val="20"/>
              </w:rPr>
            </w:pPr>
            <w:r w:rsidRPr="00AD5A27">
              <w:rPr>
                <w:rFonts w:ascii="Arial Narrow" w:hAnsi="Arial Narrow"/>
                <w:b/>
                <w:bCs/>
                <w:sz w:val="20"/>
                <w:szCs w:val="20"/>
              </w:rPr>
              <w:lastRenderedPageBreak/>
              <w:t>Continuing Treatment</w:t>
            </w:r>
          </w:p>
        </w:tc>
      </w:tr>
      <w:tr w:rsidR="002A66BB" w:rsidRPr="00AD5A27" w14:paraId="264DA960" w14:textId="77777777" w:rsidTr="006C24C0">
        <w:trPr>
          <w:cantSplit/>
          <w:trHeight w:val="20"/>
        </w:trPr>
        <w:tc>
          <w:tcPr>
            <w:tcW w:w="1957" w:type="pct"/>
            <w:tcBorders>
              <w:top w:val="single" w:sz="4" w:space="0" w:color="auto"/>
              <w:bottom w:val="nil"/>
            </w:tcBorders>
          </w:tcPr>
          <w:p w14:paraId="4802CE3A" w14:textId="77777777" w:rsidR="002A66BB" w:rsidRPr="00AD5A27" w:rsidRDefault="002A66BB" w:rsidP="00771261">
            <w:pPr>
              <w:widowControl w:val="0"/>
              <w:rPr>
                <w:rFonts w:ascii="Arial Narrow" w:hAnsi="Arial Narrow"/>
                <w:sz w:val="20"/>
                <w:szCs w:val="20"/>
              </w:rPr>
            </w:pPr>
            <w:r w:rsidRPr="00AD5A27">
              <w:rPr>
                <w:rFonts w:ascii="Arial Narrow" w:hAnsi="Arial Narrow"/>
                <w:sz w:val="20"/>
                <w:szCs w:val="20"/>
              </w:rPr>
              <w:t>Adalimumab</w:t>
            </w:r>
          </w:p>
          <w:p w14:paraId="2EAE719F" w14:textId="77777777" w:rsidR="002A66BB" w:rsidRPr="00AD5A27" w:rsidRDefault="002A66BB" w:rsidP="00771261">
            <w:pPr>
              <w:widowControl w:val="0"/>
              <w:rPr>
                <w:rFonts w:ascii="Arial Narrow" w:hAnsi="Arial Narrow"/>
                <w:sz w:val="20"/>
                <w:szCs w:val="20"/>
              </w:rPr>
            </w:pPr>
            <w:r w:rsidRPr="00AD5A27">
              <w:rPr>
                <w:rFonts w:ascii="Arial Narrow" w:hAnsi="Arial Narrow"/>
                <w:sz w:val="20"/>
                <w:szCs w:val="20"/>
              </w:rPr>
              <w:t>Injection, 40mg in 0.4mL pre-filled syringe, 2</w:t>
            </w:r>
          </w:p>
        </w:tc>
        <w:tc>
          <w:tcPr>
            <w:tcW w:w="845" w:type="pct"/>
            <w:tcBorders>
              <w:top w:val="single" w:sz="4" w:space="0" w:color="auto"/>
            </w:tcBorders>
            <w:vAlign w:val="center"/>
          </w:tcPr>
          <w:p w14:paraId="75499F79"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 xml:space="preserve">$676.79 </w:t>
            </w:r>
          </w:p>
        </w:tc>
        <w:tc>
          <w:tcPr>
            <w:tcW w:w="536" w:type="pct"/>
            <w:tcBorders>
              <w:top w:val="single" w:sz="4" w:space="0" w:color="auto"/>
            </w:tcBorders>
            <w:vAlign w:val="center"/>
          </w:tcPr>
          <w:p w14:paraId="2477E66F"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1</w:t>
            </w:r>
          </w:p>
        </w:tc>
        <w:tc>
          <w:tcPr>
            <w:tcW w:w="504" w:type="pct"/>
            <w:tcBorders>
              <w:top w:val="single" w:sz="4" w:space="0" w:color="auto"/>
            </w:tcBorders>
            <w:vAlign w:val="center"/>
          </w:tcPr>
          <w:p w14:paraId="26D0055F"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2</w:t>
            </w:r>
          </w:p>
        </w:tc>
        <w:tc>
          <w:tcPr>
            <w:tcW w:w="365" w:type="pct"/>
            <w:tcBorders>
              <w:top w:val="single" w:sz="4" w:space="0" w:color="auto"/>
            </w:tcBorders>
            <w:vAlign w:val="center"/>
          </w:tcPr>
          <w:p w14:paraId="156AC736"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5</w:t>
            </w:r>
          </w:p>
        </w:tc>
        <w:tc>
          <w:tcPr>
            <w:tcW w:w="793" w:type="pct"/>
            <w:tcBorders>
              <w:top w:val="single" w:sz="4" w:space="0" w:color="auto"/>
              <w:bottom w:val="nil"/>
            </w:tcBorders>
            <w:vAlign w:val="center"/>
          </w:tcPr>
          <w:p w14:paraId="3C6910D9" w14:textId="77777777" w:rsidR="002A66BB" w:rsidRPr="00AD5A27" w:rsidRDefault="002A66BB" w:rsidP="00771261">
            <w:pPr>
              <w:jc w:val="left"/>
              <w:rPr>
                <w:rFonts w:ascii="Arial Narrow" w:hAnsi="Arial Narrow" w:cstheme="minorBidi"/>
                <w:sz w:val="20"/>
                <w:szCs w:val="20"/>
              </w:rPr>
            </w:pPr>
            <w:r w:rsidRPr="00AD5A27">
              <w:rPr>
                <w:rFonts w:ascii="Arial Narrow" w:hAnsi="Arial Narrow" w:cstheme="minorBidi"/>
                <w:sz w:val="20"/>
                <w:szCs w:val="20"/>
              </w:rPr>
              <w:t>Humira,</w:t>
            </w:r>
          </w:p>
          <w:p w14:paraId="25B83172" w14:textId="77777777" w:rsidR="002A66BB" w:rsidRPr="00AD5A27" w:rsidRDefault="002A66BB" w:rsidP="00771261">
            <w:pPr>
              <w:jc w:val="left"/>
              <w:rPr>
                <w:rFonts w:ascii="Arial Narrow" w:hAnsi="Arial Narrow" w:cstheme="minorBidi"/>
                <w:sz w:val="20"/>
                <w:szCs w:val="20"/>
              </w:rPr>
            </w:pPr>
            <w:r w:rsidRPr="00AD5A27">
              <w:rPr>
                <w:rFonts w:ascii="Arial Narrow" w:hAnsi="Arial Narrow" w:cstheme="minorBidi"/>
                <w:sz w:val="20"/>
                <w:szCs w:val="20"/>
              </w:rPr>
              <w:t>AbbVie Pty Ltd</w:t>
            </w:r>
          </w:p>
        </w:tc>
      </w:tr>
      <w:tr w:rsidR="002A66BB" w:rsidRPr="00AD5A27" w14:paraId="7E07909B" w14:textId="77777777" w:rsidTr="006C24C0">
        <w:trPr>
          <w:cantSplit/>
          <w:trHeight w:val="20"/>
        </w:trPr>
        <w:tc>
          <w:tcPr>
            <w:tcW w:w="1957" w:type="pct"/>
            <w:tcBorders>
              <w:top w:val="single" w:sz="4" w:space="0" w:color="auto"/>
              <w:bottom w:val="nil"/>
            </w:tcBorders>
          </w:tcPr>
          <w:p w14:paraId="0C677BE1" w14:textId="77777777" w:rsidR="002A66BB" w:rsidRPr="00AD5A27" w:rsidRDefault="002A66BB" w:rsidP="00771261">
            <w:pPr>
              <w:jc w:val="left"/>
              <w:rPr>
                <w:rFonts w:ascii="Arial Narrow" w:hAnsi="Arial Narrow"/>
                <w:sz w:val="20"/>
                <w:szCs w:val="20"/>
              </w:rPr>
            </w:pPr>
            <w:r w:rsidRPr="00AD5A27">
              <w:rPr>
                <w:rFonts w:ascii="Arial Narrow" w:hAnsi="Arial Narrow"/>
                <w:sz w:val="20"/>
                <w:szCs w:val="20"/>
              </w:rPr>
              <w:t>Adalimumab</w:t>
            </w:r>
          </w:p>
          <w:p w14:paraId="79081C75" w14:textId="77777777" w:rsidR="002A66BB" w:rsidRPr="00AD5A27" w:rsidRDefault="002A66BB" w:rsidP="00771261">
            <w:pPr>
              <w:jc w:val="left"/>
              <w:rPr>
                <w:rFonts w:ascii="Arial Narrow" w:hAnsi="Arial Narrow"/>
                <w:sz w:val="20"/>
                <w:szCs w:val="20"/>
              </w:rPr>
            </w:pPr>
            <w:r w:rsidRPr="00AD5A27">
              <w:rPr>
                <w:rFonts w:ascii="Arial Narrow" w:hAnsi="Arial Narrow"/>
                <w:sz w:val="20"/>
                <w:szCs w:val="20"/>
              </w:rPr>
              <w:t>Injection, 40mg in 0.4mL pre-filled pen, 2</w:t>
            </w:r>
          </w:p>
        </w:tc>
        <w:tc>
          <w:tcPr>
            <w:tcW w:w="845" w:type="pct"/>
            <w:tcBorders>
              <w:top w:val="single" w:sz="4" w:space="0" w:color="auto"/>
            </w:tcBorders>
            <w:vAlign w:val="center"/>
          </w:tcPr>
          <w:p w14:paraId="4738BDC6"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 xml:space="preserve">$676.79 </w:t>
            </w:r>
          </w:p>
        </w:tc>
        <w:tc>
          <w:tcPr>
            <w:tcW w:w="536" w:type="pct"/>
            <w:tcBorders>
              <w:top w:val="single" w:sz="4" w:space="0" w:color="auto"/>
            </w:tcBorders>
            <w:vAlign w:val="center"/>
          </w:tcPr>
          <w:p w14:paraId="66D525C6"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1</w:t>
            </w:r>
          </w:p>
        </w:tc>
        <w:tc>
          <w:tcPr>
            <w:tcW w:w="504" w:type="pct"/>
            <w:tcBorders>
              <w:top w:val="single" w:sz="4" w:space="0" w:color="auto"/>
            </w:tcBorders>
            <w:vAlign w:val="center"/>
          </w:tcPr>
          <w:p w14:paraId="1A171CC3"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2</w:t>
            </w:r>
          </w:p>
        </w:tc>
        <w:tc>
          <w:tcPr>
            <w:tcW w:w="365" w:type="pct"/>
            <w:tcBorders>
              <w:top w:val="single" w:sz="4" w:space="0" w:color="auto"/>
            </w:tcBorders>
            <w:vAlign w:val="center"/>
          </w:tcPr>
          <w:p w14:paraId="03B713AD"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5</w:t>
            </w:r>
          </w:p>
        </w:tc>
        <w:tc>
          <w:tcPr>
            <w:tcW w:w="793" w:type="pct"/>
            <w:tcBorders>
              <w:top w:val="single" w:sz="4" w:space="0" w:color="auto"/>
              <w:bottom w:val="nil"/>
            </w:tcBorders>
            <w:vAlign w:val="center"/>
          </w:tcPr>
          <w:p w14:paraId="217A751E" w14:textId="77777777" w:rsidR="002A66BB" w:rsidRPr="00AD5A27" w:rsidRDefault="002A66BB" w:rsidP="00771261">
            <w:pPr>
              <w:jc w:val="left"/>
              <w:rPr>
                <w:rFonts w:ascii="Arial Narrow" w:hAnsi="Arial Narrow"/>
                <w:sz w:val="20"/>
                <w:szCs w:val="20"/>
              </w:rPr>
            </w:pPr>
            <w:r w:rsidRPr="00AD5A27">
              <w:rPr>
                <w:rFonts w:ascii="Arial Narrow" w:hAnsi="Arial Narrow" w:cstheme="minorBidi"/>
                <w:sz w:val="20"/>
                <w:szCs w:val="20"/>
              </w:rPr>
              <w:t>Humira,</w:t>
            </w:r>
          </w:p>
          <w:p w14:paraId="71EBCC3F" w14:textId="77777777" w:rsidR="002A66BB" w:rsidRPr="00AD5A27" w:rsidRDefault="002A66BB" w:rsidP="00771261">
            <w:pPr>
              <w:jc w:val="left"/>
              <w:rPr>
                <w:rFonts w:ascii="Arial Narrow" w:hAnsi="Arial Narrow"/>
                <w:sz w:val="20"/>
                <w:szCs w:val="20"/>
              </w:rPr>
            </w:pPr>
            <w:r w:rsidRPr="00AD5A27">
              <w:rPr>
                <w:rFonts w:ascii="Arial Narrow" w:hAnsi="Arial Narrow" w:cstheme="minorBidi"/>
                <w:sz w:val="20"/>
                <w:szCs w:val="20"/>
              </w:rPr>
              <w:t>AbbVie Pty Ltd</w:t>
            </w:r>
          </w:p>
        </w:tc>
      </w:tr>
      <w:tr w:rsidR="002A66BB" w:rsidRPr="00AD5A27" w14:paraId="1797200D" w14:textId="77777777" w:rsidTr="006C24C0">
        <w:trPr>
          <w:cantSplit/>
          <w:trHeight w:val="20"/>
        </w:trPr>
        <w:tc>
          <w:tcPr>
            <w:tcW w:w="1957" w:type="pct"/>
            <w:tcBorders>
              <w:top w:val="single" w:sz="4" w:space="0" w:color="auto"/>
              <w:bottom w:val="single" w:sz="4" w:space="0" w:color="auto"/>
            </w:tcBorders>
          </w:tcPr>
          <w:p w14:paraId="0343971A" w14:textId="77777777" w:rsidR="002A66BB" w:rsidRPr="00AD5A27" w:rsidRDefault="002A66BB" w:rsidP="00771261">
            <w:pPr>
              <w:widowControl w:val="0"/>
              <w:rPr>
                <w:rFonts w:ascii="Arial Narrow" w:hAnsi="Arial Narrow"/>
                <w:sz w:val="20"/>
                <w:szCs w:val="20"/>
              </w:rPr>
            </w:pPr>
            <w:r w:rsidRPr="00AD5A27">
              <w:rPr>
                <w:rFonts w:ascii="Arial Narrow" w:hAnsi="Arial Narrow"/>
                <w:sz w:val="20"/>
                <w:szCs w:val="20"/>
              </w:rPr>
              <w:t>Adalimumab</w:t>
            </w:r>
          </w:p>
          <w:p w14:paraId="53087F9C" w14:textId="77777777" w:rsidR="002A66BB" w:rsidRPr="00AD5A27" w:rsidRDefault="002A66BB" w:rsidP="00771261">
            <w:pPr>
              <w:jc w:val="left"/>
              <w:rPr>
                <w:rFonts w:ascii="Arial Narrow" w:hAnsi="Arial Narrow"/>
                <w:sz w:val="20"/>
                <w:szCs w:val="20"/>
              </w:rPr>
            </w:pPr>
            <w:r w:rsidRPr="00AD5A27">
              <w:rPr>
                <w:rFonts w:ascii="Arial Narrow" w:hAnsi="Arial Narrow"/>
                <w:sz w:val="20"/>
                <w:szCs w:val="20"/>
              </w:rPr>
              <w:t>Injection, 20mg in 0.2mL pre-filled syringe, 2</w:t>
            </w:r>
          </w:p>
        </w:tc>
        <w:tc>
          <w:tcPr>
            <w:tcW w:w="845" w:type="pct"/>
            <w:tcBorders>
              <w:top w:val="single" w:sz="4" w:space="0" w:color="auto"/>
              <w:bottom w:val="single" w:sz="4" w:space="0" w:color="auto"/>
            </w:tcBorders>
            <w:vAlign w:val="center"/>
          </w:tcPr>
          <w:p w14:paraId="0814623D"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 xml:space="preserve">$706.70 </w:t>
            </w:r>
          </w:p>
        </w:tc>
        <w:tc>
          <w:tcPr>
            <w:tcW w:w="536" w:type="pct"/>
            <w:tcBorders>
              <w:top w:val="single" w:sz="4" w:space="0" w:color="auto"/>
              <w:bottom w:val="single" w:sz="4" w:space="0" w:color="auto"/>
            </w:tcBorders>
            <w:vAlign w:val="center"/>
          </w:tcPr>
          <w:p w14:paraId="11096B1F"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1</w:t>
            </w:r>
          </w:p>
        </w:tc>
        <w:tc>
          <w:tcPr>
            <w:tcW w:w="504" w:type="pct"/>
            <w:tcBorders>
              <w:top w:val="single" w:sz="4" w:space="0" w:color="auto"/>
              <w:bottom w:val="single" w:sz="4" w:space="0" w:color="auto"/>
            </w:tcBorders>
            <w:vAlign w:val="center"/>
          </w:tcPr>
          <w:p w14:paraId="315F3724"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2</w:t>
            </w:r>
          </w:p>
        </w:tc>
        <w:tc>
          <w:tcPr>
            <w:tcW w:w="365" w:type="pct"/>
            <w:tcBorders>
              <w:top w:val="single" w:sz="4" w:space="0" w:color="auto"/>
              <w:bottom w:val="single" w:sz="4" w:space="0" w:color="auto"/>
            </w:tcBorders>
            <w:vAlign w:val="center"/>
          </w:tcPr>
          <w:p w14:paraId="2CD3205E" w14:textId="77777777" w:rsidR="002A66BB" w:rsidRPr="00AD5A27" w:rsidRDefault="002A66BB" w:rsidP="00771261">
            <w:pPr>
              <w:jc w:val="center"/>
              <w:rPr>
                <w:rFonts w:ascii="Arial Narrow" w:hAnsi="Arial Narrow"/>
                <w:sz w:val="20"/>
                <w:szCs w:val="20"/>
              </w:rPr>
            </w:pPr>
            <w:r w:rsidRPr="00AD5A27">
              <w:rPr>
                <w:rFonts w:ascii="Arial Narrow" w:hAnsi="Arial Narrow"/>
                <w:sz w:val="20"/>
                <w:szCs w:val="20"/>
              </w:rPr>
              <w:t>5</w:t>
            </w:r>
          </w:p>
        </w:tc>
        <w:tc>
          <w:tcPr>
            <w:tcW w:w="793" w:type="pct"/>
            <w:tcBorders>
              <w:top w:val="single" w:sz="4" w:space="0" w:color="auto"/>
              <w:bottom w:val="single" w:sz="4" w:space="0" w:color="auto"/>
            </w:tcBorders>
            <w:vAlign w:val="center"/>
          </w:tcPr>
          <w:p w14:paraId="3A8D8A25" w14:textId="77777777" w:rsidR="002A66BB" w:rsidRPr="00AD5A27" w:rsidRDefault="002A66BB" w:rsidP="00771261">
            <w:pPr>
              <w:jc w:val="left"/>
              <w:rPr>
                <w:rFonts w:ascii="Arial Narrow" w:hAnsi="Arial Narrow"/>
                <w:sz w:val="20"/>
                <w:szCs w:val="20"/>
              </w:rPr>
            </w:pPr>
            <w:r w:rsidRPr="00AD5A27">
              <w:rPr>
                <w:rFonts w:ascii="Arial Narrow" w:hAnsi="Arial Narrow" w:cstheme="minorBidi"/>
                <w:sz w:val="20"/>
                <w:szCs w:val="20"/>
              </w:rPr>
              <w:t>Humira,</w:t>
            </w:r>
          </w:p>
          <w:p w14:paraId="62F978AB" w14:textId="77777777" w:rsidR="002A66BB" w:rsidRPr="00AD5A27" w:rsidRDefault="002A66BB" w:rsidP="00771261">
            <w:pPr>
              <w:jc w:val="left"/>
              <w:rPr>
                <w:rFonts w:ascii="Arial Narrow" w:hAnsi="Arial Narrow"/>
                <w:sz w:val="20"/>
                <w:szCs w:val="20"/>
              </w:rPr>
            </w:pPr>
            <w:r w:rsidRPr="00AD5A27">
              <w:rPr>
                <w:rFonts w:ascii="Arial Narrow" w:hAnsi="Arial Narrow" w:cstheme="minorBidi"/>
                <w:sz w:val="20"/>
                <w:szCs w:val="20"/>
              </w:rPr>
              <w:t>AbbVie Pty Ltd</w:t>
            </w:r>
          </w:p>
        </w:tc>
      </w:tr>
    </w:tbl>
    <w:p w14:paraId="1BB543BA" w14:textId="77777777" w:rsidR="002A66BB" w:rsidRPr="00AD5A27" w:rsidRDefault="002A66BB" w:rsidP="00771261">
      <w:pPr>
        <w:pStyle w:val="TableFooter"/>
      </w:pPr>
      <w:r w:rsidRPr="00AD5A27">
        <w:t>Source: Table1-7, p45; Table 3-12, p170; pp202-203 of the submission</w:t>
      </w:r>
    </w:p>
    <w:p w14:paraId="13F5AB87" w14:textId="77777777" w:rsidR="002A66BB" w:rsidRPr="00AD5A27" w:rsidRDefault="002A66BB" w:rsidP="00771261">
      <w:pPr>
        <w:pStyle w:val="TableHeader"/>
        <w:rPr>
          <w:rFonts w:ascii="Arial Narrow" w:hAnsi="Arial Narrow"/>
          <w:b w:val="0"/>
          <w:bCs/>
          <w:sz w:val="18"/>
          <w:szCs w:val="18"/>
        </w:rPr>
      </w:pPr>
    </w:p>
    <w:tbl>
      <w:tblPr>
        <w:tblW w:w="5000" w:type="pct"/>
        <w:tblLook w:val="04A0" w:firstRow="1" w:lastRow="0" w:firstColumn="1" w:lastColumn="0" w:noHBand="0" w:noVBand="1"/>
      </w:tblPr>
      <w:tblGrid>
        <w:gridCol w:w="9017"/>
      </w:tblGrid>
      <w:tr w:rsidR="002A66BB" w:rsidRPr="00AD5A27" w14:paraId="7BB56028" w14:textId="77777777">
        <w:trPr>
          <w:trHeight w:val="23"/>
        </w:trPr>
        <w:tc>
          <w:tcPr>
            <w:tcW w:w="5000" w:type="pct"/>
            <w:tcBorders>
              <w:top w:val="single" w:sz="4" w:space="0" w:color="auto"/>
              <w:left w:val="single" w:sz="4" w:space="0" w:color="auto"/>
              <w:bottom w:val="single" w:sz="4" w:space="0" w:color="auto"/>
              <w:right w:val="single" w:sz="4" w:space="0" w:color="auto"/>
            </w:tcBorders>
            <w:hideMark/>
          </w:tcPr>
          <w:p w14:paraId="52C21BE7"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 xml:space="preserve">Category / Program: </w:t>
            </w:r>
            <w:r w:rsidRPr="00AD5A27">
              <w:rPr>
                <w:rFonts w:ascii="Arial Narrow" w:eastAsia="MS Gothic" w:hAnsi="Arial Narrow" w:cs="Times New Roman"/>
                <w:sz w:val="20"/>
                <w:szCs w:val="20"/>
              </w:rPr>
              <w:t>General Schedule</w:t>
            </w:r>
          </w:p>
        </w:tc>
      </w:tr>
      <w:tr w:rsidR="002A66BB" w:rsidRPr="00AD5A27" w14:paraId="68628E34" w14:textId="77777777">
        <w:trPr>
          <w:trHeight w:val="23"/>
        </w:trPr>
        <w:tc>
          <w:tcPr>
            <w:tcW w:w="5000" w:type="pct"/>
            <w:tcBorders>
              <w:top w:val="single" w:sz="4" w:space="0" w:color="auto"/>
              <w:left w:val="single" w:sz="4" w:space="0" w:color="auto"/>
              <w:bottom w:val="single" w:sz="4" w:space="0" w:color="auto"/>
              <w:right w:val="single" w:sz="4" w:space="0" w:color="auto"/>
            </w:tcBorders>
            <w:hideMark/>
          </w:tcPr>
          <w:p w14:paraId="7836C64E"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Prescriber type:</w:t>
            </w:r>
            <w:r w:rsidRPr="00AD5A27">
              <w:rPr>
                <w:rFonts w:ascii="Arial Narrow" w:eastAsia="MS Gothic" w:hAnsi="Arial Narrow" w:cs="Times New Roman"/>
                <w:sz w:val="20"/>
                <w:szCs w:val="20"/>
              </w:rPr>
              <w:t xml:space="preserve"> </w:t>
            </w:r>
            <w:r w:rsidRPr="00AD5A27">
              <w:rPr>
                <w:rFonts w:ascii="Arial Narrow" w:eastAsia="MS Gothic" w:hAnsi="Arial Narrow" w:cs="Times New Roman"/>
                <w:sz w:val="20"/>
                <w:szCs w:val="20"/>
              </w:rPr>
              <w:fldChar w:fldCharType="begin" w:fldLock="1">
                <w:ffData>
                  <w:name w:val=""/>
                  <w:enabled/>
                  <w:calcOnExit w:val="0"/>
                  <w:checkBox>
                    <w:sizeAuto/>
                    <w:default w:val="1"/>
                  </w:checkBox>
                </w:ffData>
              </w:fldChar>
            </w:r>
            <w:r w:rsidRPr="00AD5A27">
              <w:rPr>
                <w:rFonts w:ascii="Arial Narrow" w:eastAsia="MS Gothic" w:hAnsi="Arial Narrow" w:cs="Times New Roman"/>
                <w:sz w:val="20"/>
                <w:szCs w:val="20"/>
              </w:rPr>
              <w:instrText xml:space="preserve"> FORMCHECKBOX </w:instrText>
            </w:r>
            <w:r w:rsidR="004050E4">
              <w:rPr>
                <w:rFonts w:ascii="Arial Narrow" w:eastAsia="MS Gothic" w:hAnsi="Arial Narrow" w:cs="Times New Roman"/>
                <w:sz w:val="20"/>
                <w:szCs w:val="20"/>
              </w:rPr>
            </w:r>
            <w:r w:rsidR="004050E4">
              <w:rPr>
                <w:rFonts w:ascii="Arial Narrow" w:eastAsia="MS Gothic" w:hAnsi="Arial Narrow" w:cs="Times New Roman"/>
                <w:sz w:val="20"/>
                <w:szCs w:val="20"/>
              </w:rPr>
              <w:fldChar w:fldCharType="separate"/>
            </w:r>
            <w:r w:rsidRPr="00AD5A27">
              <w:rPr>
                <w:rFonts w:ascii="Arial Narrow" w:eastAsia="MS Gothic" w:hAnsi="Arial Narrow" w:cs="Times New Roman"/>
                <w:sz w:val="20"/>
                <w:szCs w:val="20"/>
              </w:rPr>
              <w:fldChar w:fldCharType="end"/>
            </w:r>
            <w:r w:rsidRPr="00AD5A27">
              <w:rPr>
                <w:rFonts w:ascii="Arial Narrow" w:eastAsia="MS Gothic" w:hAnsi="Arial Narrow" w:cs="Times New Roman"/>
                <w:sz w:val="20"/>
                <w:szCs w:val="20"/>
              </w:rPr>
              <w:t xml:space="preserve">Medical Practitioners  </w:t>
            </w:r>
          </w:p>
        </w:tc>
      </w:tr>
      <w:tr w:rsidR="002A66BB" w:rsidRPr="00AD5A27" w14:paraId="2D519CEF" w14:textId="77777777">
        <w:trPr>
          <w:trHeight w:val="23"/>
        </w:trPr>
        <w:tc>
          <w:tcPr>
            <w:tcW w:w="5000" w:type="pct"/>
            <w:tcBorders>
              <w:top w:val="single" w:sz="4" w:space="0" w:color="auto"/>
              <w:left w:val="single" w:sz="4" w:space="0" w:color="auto"/>
              <w:bottom w:val="single" w:sz="4" w:space="0" w:color="auto"/>
              <w:right w:val="single" w:sz="4" w:space="0" w:color="auto"/>
            </w:tcBorders>
            <w:hideMark/>
          </w:tcPr>
          <w:p w14:paraId="27F64213"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Restriction Level / Method:</w:t>
            </w:r>
            <w:r w:rsidRPr="00AD5A27">
              <w:rPr>
                <w:rFonts w:ascii="Arial Narrow" w:eastAsia="MS Gothic" w:hAnsi="Arial Narrow" w:cs="Times New Roman"/>
                <w:sz w:val="20"/>
                <w:szCs w:val="20"/>
              </w:rPr>
              <w:t xml:space="preserve"> </w:t>
            </w:r>
            <w:r w:rsidRPr="00AD5A27">
              <w:rPr>
                <w:rFonts w:ascii="Arial Narrow" w:eastAsia="MS Gothic" w:hAnsi="Arial Narrow" w:cs="Times New Roman"/>
                <w:sz w:val="20"/>
                <w:szCs w:val="20"/>
              </w:rPr>
              <w:fldChar w:fldCharType="begin" w:fldLock="1">
                <w:ffData>
                  <w:name w:val=""/>
                  <w:enabled/>
                  <w:calcOnExit w:val="0"/>
                  <w:checkBox>
                    <w:sizeAuto/>
                    <w:default w:val="1"/>
                  </w:checkBox>
                </w:ffData>
              </w:fldChar>
            </w:r>
            <w:r w:rsidRPr="00AD5A27">
              <w:rPr>
                <w:rFonts w:ascii="Arial Narrow" w:eastAsia="MS Gothic" w:hAnsi="Arial Narrow" w:cs="Times New Roman"/>
                <w:sz w:val="20"/>
                <w:szCs w:val="20"/>
              </w:rPr>
              <w:instrText xml:space="preserve"> FORMCHECKBOX </w:instrText>
            </w:r>
            <w:r w:rsidR="004050E4">
              <w:rPr>
                <w:rFonts w:ascii="Arial Narrow" w:eastAsia="MS Gothic" w:hAnsi="Arial Narrow" w:cs="Times New Roman"/>
                <w:sz w:val="20"/>
                <w:szCs w:val="20"/>
              </w:rPr>
            </w:r>
            <w:r w:rsidR="004050E4">
              <w:rPr>
                <w:rFonts w:ascii="Arial Narrow" w:eastAsia="MS Gothic" w:hAnsi="Arial Narrow" w:cs="Times New Roman"/>
                <w:sz w:val="20"/>
                <w:szCs w:val="20"/>
              </w:rPr>
              <w:fldChar w:fldCharType="separate"/>
            </w:r>
            <w:r w:rsidRPr="00AD5A27">
              <w:rPr>
                <w:rFonts w:ascii="Arial Narrow" w:eastAsia="MS Gothic" w:hAnsi="Arial Narrow" w:cs="Times New Roman"/>
                <w:sz w:val="20"/>
                <w:szCs w:val="20"/>
              </w:rPr>
              <w:fldChar w:fldCharType="end"/>
            </w:r>
            <w:r w:rsidRPr="00AD5A27">
              <w:rPr>
                <w:rFonts w:ascii="Arial Narrow" w:eastAsia="MS Gothic" w:hAnsi="Arial Narrow" w:cs="Times New Roman"/>
                <w:sz w:val="20"/>
                <w:szCs w:val="20"/>
              </w:rPr>
              <w:t xml:space="preserve">Authority Required (Telephone), </w:t>
            </w:r>
            <w:r w:rsidRPr="00AD5A27">
              <w:rPr>
                <w:rFonts w:ascii="Arial Narrow" w:eastAsia="MS Gothic" w:hAnsi="Arial Narrow" w:cs="Times New Roman"/>
                <w:sz w:val="20"/>
                <w:szCs w:val="20"/>
              </w:rPr>
              <w:fldChar w:fldCharType="begin" w:fldLock="1">
                <w:ffData>
                  <w:name w:val=""/>
                  <w:enabled/>
                  <w:calcOnExit w:val="0"/>
                  <w:checkBox>
                    <w:sizeAuto/>
                    <w:default w:val="1"/>
                  </w:checkBox>
                </w:ffData>
              </w:fldChar>
            </w:r>
            <w:r w:rsidRPr="00AD5A27">
              <w:rPr>
                <w:rFonts w:ascii="Arial Narrow" w:eastAsia="MS Gothic" w:hAnsi="Arial Narrow" w:cs="Times New Roman"/>
                <w:sz w:val="20"/>
                <w:szCs w:val="20"/>
              </w:rPr>
              <w:instrText xml:space="preserve"> FORMCHECKBOX </w:instrText>
            </w:r>
            <w:r w:rsidR="004050E4">
              <w:rPr>
                <w:rFonts w:ascii="Arial Narrow" w:eastAsia="MS Gothic" w:hAnsi="Arial Narrow" w:cs="Times New Roman"/>
                <w:sz w:val="20"/>
                <w:szCs w:val="20"/>
              </w:rPr>
            </w:r>
            <w:r w:rsidR="004050E4">
              <w:rPr>
                <w:rFonts w:ascii="Arial Narrow" w:eastAsia="MS Gothic" w:hAnsi="Arial Narrow" w:cs="Times New Roman"/>
                <w:sz w:val="20"/>
                <w:szCs w:val="20"/>
              </w:rPr>
              <w:fldChar w:fldCharType="separate"/>
            </w:r>
            <w:r w:rsidRPr="00AD5A27">
              <w:rPr>
                <w:rFonts w:ascii="Arial Narrow" w:eastAsia="MS Gothic" w:hAnsi="Arial Narrow" w:cs="Times New Roman"/>
                <w:sz w:val="20"/>
                <w:szCs w:val="20"/>
              </w:rPr>
              <w:fldChar w:fldCharType="end"/>
            </w:r>
            <w:r w:rsidRPr="00AD5A27">
              <w:rPr>
                <w:rFonts w:ascii="Arial Narrow" w:eastAsia="MS Gothic" w:hAnsi="Arial Narrow" w:cs="Times New Roman"/>
                <w:sz w:val="20"/>
                <w:szCs w:val="20"/>
              </w:rPr>
              <w:t>Authority Required (Electronic)</w:t>
            </w:r>
          </w:p>
        </w:tc>
      </w:tr>
      <w:tr w:rsidR="002A66BB" w:rsidRPr="00AD5A27" w14:paraId="6B362D1F" w14:textId="77777777">
        <w:trPr>
          <w:trHeight w:val="23"/>
        </w:trPr>
        <w:tc>
          <w:tcPr>
            <w:tcW w:w="5000" w:type="pct"/>
            <w:tcBorders>
              <w:top w:val="single" w:sz="4" w:space="0" w:color="auto"/>
              <w:left w:val="single" w:sz="4" w:space="0" w:color="auto"/>
              <w:bottom w:val="single" w:sz="4" w:space="0" w:color="auto"/>
              <w:right w:val="single" w:sz="4" w:space="0" w:color="auto"/>
            </w:tcBorders>
            <w:hideMark/>
          </w:tcPr>
          <w:p w14:paraId="2EFE41FC" w14:textId="20DE8824"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Severity:</w:t>
            </w:r>
            <w:r w:rsidRPr="00AD5A27">
              <w:t xml:space="preserve"> </w:t>
            </w:r>
            <w:r w:rsidRPr="00AD5A27">
              <w:rPr>
                <w:rFonts w:ascii="Arial Narrow" w:eastAsia="MS Gothic" w:hAnsi="Arial Narrow" w:cs="Times New Roman"/>
                <w:sz w:val="20"/>
                <w:szCs w:val="20"/>
              </w:rPr>
              <w:t>Vis</w:t>
            </w:r>
            <w:r w:rsidR="00DE47C2" w:rsidRPr="00AD5A27">
              <w:rPr>
                <w:rFonts w:ascii="Arial Narrow" w:eastAsia="MS Gothic" w:hAnsi="Arial Narrow" w:cs="Times New Roman"/>
                <w:sz w:val="20"/>
                <w:szCs w:val="20"/>
              </w:rPr>
              <w:t>i</w:t>
            </w:r>
            <w:r w:rsidRPr="00AD5A27">
              <w:rPr>
                <w:rFonts w:ascii="Arial Narrow" w:eastAsia="MS Gothic" w:hAnsi="Arial Narrow" w:cs="Times New Roman"/>
                <w:sz w:val="20"/>
                <w:szCs w:val="20"/>
              </w:rPr>
              <w:t>on threatening</w:t>
            </w:r>
            <w:r w:rsidRPr="00AD5A27">
              <w:rPr>
                <w:rFonts w:ascii="Arial Narrow" w:eastAsia="MS Gothic" w:hAnsi="Arial Narrow" w:cs="Times New Roman"/>
                <w:b/>
                <w:sz w:val="20"/>
                <w:szCs w:val="20"/>
              </w:rPr>
              <w:t xml:space="preserve"> </w:t>
            </w:r>
          </w:p>
        </w:tc>
      </w:tr>
      <w:tr w:rsidR="002A66BB" w:rsidRPr="00AD5A27" w14:paraId="4CB14508" w14:textId="77777777">
        <w:trPr>
          <w:trHeight w:val="23"/>
        </w:trPr>
        <w:tc>
          <w:tcPr>
            <w:tcW w:w="5000" w:type="pct"/>
            <w:tcBorders>
              <w:top w:val="single" w:sz="4" w:space="0" w:color="auto"/>
              <w:left w:val="single" w:sz="4" w:space="0" w:color="auto"/>
              <w:bottom w:val="single" w:sz="4" w:space="0" w:color="auto"/>
              <w:right w:val="single" w:sz="4" w:space="0" w:color="auto"/>
            </w:tcBorders>
            <w:hideMark/>
          </w:tcPr>
          <w:p w14:paraId="186DF088"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 xml:space="preserve">Condition: </w:t>
            </w:r>
            <w:r w:rsidRPr="00AD5A27">
              <w:rPr>
                <w:rFonts w:ascii="Arial Narrow" w:eastAsia="MS Gothic" w:hAnsi="Arial Narrow" w:cs="Times New Roman"/>
                <w:sz w:val="20"/>
                <w:szCs w:val="20"/>
              </w:rPr>
              <w:t>Non-infectious uveitis</w:t>
            </w:r>
          </w:p>
        </w:tc>
      </w:tr>
      <w:tr w:rsidR="002A66BB" w:rsidRPr="00AD5A27" w14:paraId="1809501A" w14:textId="77777777">
        <w:trPr>
          <w:trHeight w:val="23"/>
        </w:trPr>
        <w:tc>
          <w:tcPr>
            <w:tcW w:w="5000" w:type="pct"/>
            <w:tcBorders>
              <w:top w:val="single" w:sz="4" w:space="0" w:color="auto"/>
              <w:left w:val="single" w:sz="4" w:space="0" w:color="auto"/>
              <w:bottom w:val="single" w:sz="4" w:space="0" w:color="auto"/>
              <w:right w:val="single" w:sz="4" w:space="0" w:color="auto"/>
            </w:tcBorders>
            <w:hideMark/>
          </w:tcPr>
          <w:p w14:paraId="47B22384"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 xml:space="preserve">Indication: </w:t>
            </w:r>
            <w:r w:rsidRPr="00AD5A27">
              <w:rPr>
                <w:rFonts w:ascii="Arial Narrow" w:eastAsia="MS Gothic" w:hAnsi="Arial Narrow" w:cs="Times New Roman"/>
                <w:sz w:val="20"/>
                <w:szCs w:val="20"/>
              </w:rPr>
              <w:t>Non-infectious uveitis</w:t>
            </w:r>
          </w:p>
        </w:tc>
      </w:tr>
      <w:tr w:rsidR="002A66BB" w:rsidRPr="00AD5A27" w14:paraId="5A4627F1" w14:textId="77777777">
        <w:trPr>
          <w:trHeight w:val="23"/>
        </w:trPr>
        <w:tc>
          <w:tcPr>
            <w:tcW w:w="5000" w:type="pct"/>
            <w:tcBorders>
              <w:top w:val="single" w:sz="4" w:space="0" w:color="auto"/>
              <w:left w:val="single" w:sz="4" w:space="0" w:color="auto"/>
              <w:bottom w:val="single" w:sz="4" w:space="0" w:color="auto"/>
              <w:right w:val="single" w:sz="4" w:space="0" w:color="auto"/>
            </w:tcBorders>
            <w:hideMark/>
          </w:tcPr>
          <w:p w14:paraId="3852C46C"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 xml:space="preserve">Treatment phase: </w:t>
            </w:r>
            <w:r w:rsidRPr="00AD5A27">
              <w:rPr>
                <w:rFonts w:ascii="Arial Narrow" w:eastAsia="MS Gothic" w:hAnsi="Arial Narrow" w:cs="Times New Roman"/>
                <w:sz w:val="20"/>
                <w:szCs w:val="20"/>
              </w:rPr>
              <w:t xml:space="preserve">Initial </w:t>
            </w:r>
          </w:p>
        </w:tc>
      </w:tr>
      <w:tr w:rsidR="002A66BB" w:rsidRPr="00AD5A27" w14:paraId="08ADE2A1" w14:textId="77777777">
        <w:trPr>
          <w:trHeight w:val="23"/>
        </w:trPr>
        <w:tc>
          <w:tcPr>
            <w:tcW w:w="5000" w:type="pct"/>
            <w:tcBorders>
              <w:top w:val="single" w:sz="4" w:space="0" w:color="auto"/>
              <w:left w:val="single" w:sz="4" w:space="0" w:color="auto"/>
              <w:bottom w:val="single" w:sz="4" w:space="0" w:color="auto"/>
              <w:right w:val="single" w:sz="4" w:space="0" w:color="auto"/>
            </w:tcBorders>
            <w:hideMark/>
          </w:tcPr>
          <w:p w14:paraId="5077380B" w14:textId="5C377119"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 xml:space="preserve">Treatment criteria: </w:t>
            </w:r>
            <w:r w:rsidRPr="00AD5A27">
              <w:rPr>
                <w:rFonts w:ascii="Arial Narrow" w:eastAsia="MS Gothic" w:hAnsi="Arial Narrow" w:cs="Times New Roman"/>
                <w:sz w:val="20"/>
                <w:szCs w:val="20"/>
              </w:rPr>
              <w:t>Must be treated by or in consultation with an ophthalmologist, rheumatologist or immunologist with expertise in uveitis</w:t>
            </w:r>
          </w:p>
        </w:tc>
      </w:tr>
      <w:tr w:rsidR="002A66BB" w:rsidRPr="00AD5A27" w14:paraId="3CF19227"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11DBEBCB"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Clinical criteria:</w:t>
            </w:r>
          </w:p>
        </w:tc>
      </w:tr>
      <w:tr w:rsidR="002A66BB" w:rsidRPr="00AD5A27" w14:paraId="5851C38B"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1A80BFFB" w14:textId="77777777" w:rsidR="002A66BB" w:rsidRPr="00AD5A27" w:rsidRDefault="002A66BB" w:rsidP="00771261">
            <w:pPr>
              <w:jc w:val="left"/>
              <w:rPr>
                <w:rFonts w:ascii="Arial Narrow" w:eastAsia="MS Gothic" w:hAnsi="Arial Narrow" w:cs="Times New Roman"/>
                <w:sz w:val="20"/>
                <w:szCs w:val="20"/>
              </w:rPr>
            </w:pPr>
            <w:r w:rsidRPr="00AD5A27">
              <w:rPr>
                <w:rFonts w:ascii="Arial Narrow" w:eastAsia="MS Gothic" w:hAnsi="Arial Narrow" w:cs="Times New Roman"/>
                <w:sz w:val="20"/>
                <w:szCs w:val="20"/>
              </w:rPr>
              <w:t>Patient must have non-infectious uveitis that is vision threatening with the diagnosis confirmed by an ophthalmologist, rheumatologist, or immunologist;</w:t>
            </w:r>
          </w:p>
        </w:tc>
      </w:tr>
      <w:tr w:rsidR="002A66BB" w:rsidRPr="00AD5A27" w14:paraId="2A051263"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53C790A6"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AND</w:t>
            </w:r>
          </w:p>
        </w:tc>
      </w:tr>
      <w:tr w:rsidR="002A66BB" w:rsidRPr="00AD5A27" w14:paraId="392354E6"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1F9F30E4" w14:textId="77777777" w:rsidR="002A66BB" w:rsidRPr="00AD5A27" w:rsidRDefault="002A66BB" w:rsidP="00771261">
            <w:pPr>
              <w:jc w:val="left"/>
              <w:rPr>
                <w:rFonts w:ascii="Arial Narrow" w:eastAsia="Arial Narrow" w:hAnsi="Arial Narrow" w:cs="Arial Narrow"/>
                <w:sz w:val="20"/>
                <w:szCs w:val="20"/>
              </w:rPr>
            </w:pPr>
            <w:r w:rsidRPr="00AD5A27">
              <w:rPr>
                <w:rFonts w:ascii="Arial Narrow" w:eastAsia="Arial Narrow" w:hAnsi="Arial Narrow" w:cs="Arial Narrow"/>
                <w:b/>
                <w:bCs/>
                <w:sz w:val="20"/>
                <w:szCs w:val="20"/>
              </w:rPr>
              <w:t>Clinical criteria:</w:t>
            </w:r>
          </w:p>
        </w:tc>
      </w:tr>
      <w:tr w:rsidR="002A66BB" w:rsidRPr="00AD5A27" w14:paraId="1DC3047F"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1B7CCCA1" w14:textId="77777777" w:rsidR="002A66BB" w:rsidRPr="00AD5A27" w:rsidRDefault="002A66BB" w:rsidP="00771261">
            <w:pPr>
              <w:jc w:val="left"/>
              <w:rPr>
                <w:rFonts w:ascii="Arial Narrow" w:eastAsia="MS Gothic" w:hAnsi="Arial Narrow" w:cs="Times New Roman"/>
                <w:sz w:val="20"/>
                <w:szCs w:val="20"/>
              </w:rPr>
            </w:pPr>
            <w:r w:rsidRPr="00AD5A27">
              <w:rPr>
                <w:rFonts w:ascii="Arial Narrow" w:eastAsia="MS Gothic" w:hAnsi="Arial Narrow" w:cs="Times New Roman"/>
                <w:sz w:val="20"/>
                <w:szCs w:val="20"/>
              </w:rPr>
              <w:t xml:space="preserve">Patient must have failed to achieve an adequate response to corticosteroid therapy in combination with at least 1 immuno-suppressive agent or flared when corticosteroid therapy was tapered to a dose of ≤7.5mg/day while on immunomodulatory therapy; </w:t>
            </w:r>
          </w:p>
        </w:tc>
      </w:tr>
      <w:tr w:rsidR="002A66BB" w:rsidRPr="00AD5A27" w14:paraId="02B2A6DA"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5D9044F7" w14:textId="6023754B"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OR</w:t>
            </w:r>
          </w:p>
        </w:tc>
      </w:tr>
      <w:tr w:rsidR="002A66BB" w:rsidRPr="00AD5A27" w14:paraId="158D1B76"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1AB7BAFC" w14:textId="77777777" w:rsidR="002A66BB" w:rsidRPr="00AD5A27" w:rsidRDefault="002A66BB" w:rsidP="00771261">
            <w:pPr>
              <w:jc w:val="left"/>
              <w:rPr>
                <w:rFonts w:ascii="Arial Narrow" w:eastAsia="Arial Narrow" w:hAnsi="Arial Narrow" w:cs="Arial Narrow"/>
                <w:sz w:val="20"/>
                <w:szCs w:val="20"/>
              </w:rPr>
            </w:pPr>
            <w:r w:rsidRPr="00AD5A27">
              <w:rPr>
                <w:rFonts w:ascii="Arial Narrow" w:eastAsia="Arial Narrow" w:hAnsi="Arial Narrow" w:cs="Arial Narrow"/>
                <w:b/>
                <w:bCs/>
                <w:sz w:val="20"/>
                <w:szCs w:val="20"/>
              </w:rPr>
              <w:t>Clinical criteria:</w:t>
            </w:r>
          </w:p>
        </w:tc>
      </w:tr>
      <w:tr w:rsidR="002A66BB" w:rsidRPr="00AD5A27" w14:paraId="35D049FC"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6163340A" w14:textId="77777777" w:rsidR="002A66BB" w:rsidRPr="00AD5A27" w:rsidRDefault="002A66BB" w:rsidP="00771261">
            <w:pPr>
              <w:jc w:val="left"/>
              <w:rPr>
                <w:rFonts w:ascii="Arial Narrow" w:eastAsia="MS Gothic" w:hAnsi="Arial Narrow" w:cs="Times New Roman"/>
                <w:sz w:val="20"/>
                <w:szCs w:val="20"/>
              </w:rPr>
            </w:pPr>
            <w:r w:rsidRPr="00AD5A27">
              <w:rPr>
                <w:rFonts w:ascii="Arial Narrow" w:eastAsia="MS Gothic" w:hAnsi="Arial Narrow" w:cs="Times New Roman"/>
                <w:sz w:val="20"/>
                <w:szCs w:val="20"/>
              </w:rPr>
              <w:t>Patient must have a documented intolerance of a severity necessitating permanent treatment withdrawal or a contra-indication to corticosteroid and/or immunomodulatory therapy;</w:t>
            </w:r>
          </w:p>
        </w:tc>
      </w:tr>
      <w:tr w:rsidR="002A66BB" w:rsidRPr="00AD5A27" w14:paraId="7DED399D"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12B32709"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AND</w:t>
            </w:r>
          </w:p>
        </w:tc>
      </w:tr>
      <w:tr w:rsidR="002A66BB" w:rsidRPr="00AD5A27" w14:paraId="6E9EAC2D"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10C848D4" w14:textId="77777777" w:rsidR="002A66BB" w:rsidRPr="00AD5A27" w:rsidRDefault="002A66BB" w:rsidP="00771261">
            <w:pPr>
              <w:jc w:val="left"/>
              <w:rPr>
                <w:rFonts w:ascii="Arial Narrow" w:eastAsia="Arial Narrow" w:hAnsi="Arial Narrow" w:cs="Arial Narrow"/>
                <w:sz w:val="20"/>
                <w:szCs w:val="20"/>
              </w:rPr>
            </w:pPr>
            <w:r w:rsidRPr="00AD5A27">
              <w:rPr>
                <w:rFonts w:ascii="Arial Narrow" w:eastAsia="Arial Narrow" w:hAnsi="Arial Narrow" w:cs="Arial Narrow"/>
                <w:b/>
                <w:bCs/>
                <w:sz w:val="20"/>
                <w:szCs w:val="20"/>
              </w:rPr>
              <w:t>Clinical criteria:</w:t>
            </w:r>
          </w:p>
        </w:tc>
      </w:tr>
      <w:tr w:rsidR="002A66BB" w:rsidRPr="00AD5A27" w14:paraId="33C81CE6"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58403F45" w14:textId="77777777" w:rsidR="002A66BB" w:rsidRPr="00AD5A27" w:rsidRDefault="002A66BB" w:rsidP="00771261">
            <w:pPr>
              <w:jc w:val="left"/>
              <w:rPr>
                <w:rFonts w:ascii="Arial Narrow" w:eastAsia="MS Gothic" w:hAnsi="Arial Narrow" w:cs="Times New Roman"/>
                <w:sz w:val="20"/>
                <w:szCs w:val="20"/>
              </w:rPr>
            </w:pPr>
            <w:r w:rsidRPr="00AD5A27">
              <w:rPr>
                <w:rFonts w:ascii="Arial Narrow" w:eastAsia="MS Gothic" w:hAnsi="Arial Narrow" w:cs="Times New Roman"/>
                <w:sz w:val="20"/>
                <w:szCs w:val="20"/>
              </w:rPr>
              <w:t>Treatment must not exceed 24 weeks under this restriction</w:t>
            </w:r>
          </w:p>
        </w:tc>
      </w:tr>
      <w:tr w:rsidR="002A66BB" w:rsidRPr="00AD5A27" w14:paraId="47B818E9" w14:textId="77777777">
        <w:trPr>
          <w:trHeight w:val="23"/>
        </w:trPr>
        <w:tc>
          <w:tcPr>
            <w:tcW w:w="5000" w:type="pct"/>
            <w:tcBorders>
              <w:top w:val="single" w:sz="4" w:space="0" w:color="auto"/>
              <w:left w:val="single" w:sz="4" w:space="0" w:color="auto"/>
              <w:bottom w:val="single" w:sz="4" w:space="0" w:color="auto"/>
              <w:right w:val="single" w:sz="4" w:space="0" w:color="auto"/>
            </w:tcBorders>
            <w:hideMark/>
          </w:tcPr>
          <w:p w14:paraId="1F096D70"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Population criteria:</w:t>
            </w:r>
          </w:p>
        </w:tc>
      </w:tr>
      <w:tr w:rsidR="002A66BB" w:rsidRPr="00AD5A27" w14:paraId="09427D61"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7CA07776" w14:textId="77777777" w:rsidR="002A66BB" w:rsidRPr="00AD5A27" w:rsidRDefault="002A66BB" w:rsidP="00771261">
            <w:pPr>
              <w:jc w:val="left"/>
              <w:rPr>
                <w:rFonts w:ascii="Arial Narrow" w:eastAsia="MS Gothic" w:hAnsi="Arial Narrow" w:cs="Times New Roman"/>
                <w:sz w:val="20"/>
                <w:szCs w:val="20"/>
              </w:rPr>
            </w:pPr>
            <w:r w:rsidRPr="00AD5A27">
              <w:rPr>
                <w:rFonts w:ascii="Arial Narrow" w:eastAsia="MS Gothic" w:hAnsi="Arial Narrow" w:cs="Times New Roman"/>
                <w:sz w:val="20"/>
                <w:szCs w:val="20"/>
              </w:rPr>
              <w:t xml:space="preserve">Vision threatening disease is defined as at least 1 of the following: </w:t>
            </w:r>
          </w:p>
          <w:p w14:paraId="3313DB62" w14:textId="77777777" w:rsidR="002A66BB" w:rsidRPr="00AD5A27" w:rsidRDefault="002A66BB" w:rsidP="00771261">
            <w:pPr>
              <w:pStyle w:val="TableText0"/>
              <w:keepNext w:val="0"/>
              <w:numPr>
                <w:ilvl w:val="0"/>
                <w:numId w:val="9"/>
              </w:numPr>
            </w:pPr>
            <w:r w:rsidRPr="00AD5A27">
              <w:t>A decrease in visual acuity of at least 10 letters using an ETDRS chart or equivalent;</w:t>
            </w:r>
          </w:p>
          <w:p w14:paraId="1BD41FA3" w14:textId="77777777" w:rsidR="002A66BB" w:rsidRPr="00AD5A27" w:rsidRDefault="002A66BB" w:rsidP="00771261">
            <w:pPr>
              <w:pStyle w:val="TableText0"/>
              <w:keepNext w:val="0"/>
              <w:numPr>
                <w:ilvl w:val="0"/>
                <w:numId w:val="9"/>
              </w:numPr>
            </w:pPr>
            <w:r w:rsidRPr="00AD5A27">
              <w:t>A two-step increase in anterior chamber cells or vitreous haze;</w:t>
            </w:r>
          </w:p>
          <w:p w14:paraId="33CE6C4F" w14:textId="77777777" w:rsidR="002A66BB" w:rsidRPr="00AD5A27" w:rsidRDefault="002A66BB" w:rsidP="00771261">
            <w:pPr>
              <w:pStyle w:val="TableText0"/>
              <w:keepNext w:val="0"/>
              <w:numPr>
                <w:ilvl w:val="0"/>
                <w:numId w:val="9"/>
              </w:numPr>
            </w:pPr>
            <w:r w:rsidRPr="00AD5A27">
              <w:t>New retinal vasculitis;</w:t>
            </w:r>
          </w:p>
          <w:p w14:paraId="111DE01A" w14:textId="77777777" w:rsidR="002A66BB" w:rsidRPr="00AD5A27" w:rsidRDefault="002A66BB" w:rsidP="00771261">
            <w:pPr>
              <w:pStyle w:val="TableText0"/>
              <w:keepNext w:val="0"/>
              <w:numPr>
                <w:ilvl w:val="0"/>
                <w:numId w:val="9"/>
              </w:numPr>
            </w:pPr>
            <w:r w:rsidRPr="00AD5A27">
              <w:t>New retinal or choroidal lesions;</w:t>
            </w:r>
          </w:p>
          <w:p w14:paraId="422B1146" w14:textId="77777777" w:rsidR="002A66BB" w:rsidRPr="00AD5A27" w:rsidRDefault="002A66BB" w:rsidP="00771261">
            <w:pPr>
              <w:pStyle w:val="TableText0"/>
              <w:keepNext w:val="0"/>
              <w:numPr>
                <w:ilvl w:val="0"/>
                <w:numId w:val="9"/>
              </w:numPr>
            </w:pPr>
            <w:r w:rsidRPr="00AD5A27">
              <w:t>Other signs of disease progression including visual field changes or electroretinogram changes.</w:t>
            </w:r>
          </w:p>
        </w:tc>
      </w:tr>
    </w:tbl>
    <w:p w14:paraId="3039097E" w14:textId="77777777" w:rsidR="002A66BB" w:rsidRPr="00AD5A27" w:rsidRDefault="002A66BB" w:rsidP="00771261">
      <w:pPr>
        <w:pStyle w:val="TableHeader"/>
        <w:rPr>
          <w:rFonts w:ascii="Arial Narrow" w:hAnsi="Arial Narrow"/>
          <w:b w:val="0"/>
          <w:bCs/>
          <w:sz w:val="18"/>
          <w:szCs w:val="18"/>
        </w:rPr>
      </w:pPr>
    </w:p>
    <w:tbl>
      <w:tblPr>
        <w:tblW w:w="5000" w:type="pct"/>
        <w:tblLook w:val="04A0" w:firstRow="1" w:lastRow="0" w:firstColumn="1" w:lastColumn="0" w:noHBand="0" w:noVBand="1"/>
      </w:tblPr>
      <w:tblGrid>
        <w:gridCol w:w="9017"/>
      </w:tblGrid>
      <w:tr w:rsidR="002A66BB" w:rsidRPr="00AD5A27" w14:paraId="59142D24" w14:textId="77777777">
        <w:trPr>
          <w:trHeight w:val="23"/>
        </w:trPr>
        <w:tc>
          <w:tcPr>
            <w:tcW w:w="5000" w:type="pct"/>
            <w:tcBorders>
              <w:top w:val="single" w:sz="4" w:space="0" w:color="auto"/>
              <w:left w:val="single" w:sz="4" w:space="0" w:color="auto"/>
              <w:bottom w:val="single" w:sz="4" w:space="0" w:color="auto"/>
              <w:right w:val="single" w:sz="4" w:space="0" w:color="auto"/>
            </w:tcBorders>
            <w:hideMark/>
          </w:tcPr>
          <w:p w14:paraId="172DF4C7"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 xml:space="preserve">Category / Program: </w:t>
            </w:r>
            <w:r w:rsidRPr="00AD5A27">
              <w:rPr>
                <w:rFonts w:ascii="Arial Narrow" w:eastAsia="MS Gothic" w:hAnsi="Arial Narrow" w:cs="Times New Roman"/>
                <w:sz w:val="20"/>
                <w:szCs w:val="20"/>
              </w:rPr>
              <w:t>General Schedule</w:t>
            </w:r>
          </w:p>
        </w:tc>
      </w:tr>
      <w:tr w:rsidR="002A66BB" w:rsidRPr="00AD5A27" w14:paraId="0EDB66A2" w14:textId="77777777">
        <w:trPr>
          <w:trHeight w:val="23"/>
        </w:trPr>
        <w:tc>
          <w:tcPr>
            <w:tcW w:w="5000" w:type="pct"/>
            <w:tcBorders>
              <w:top w:val="single" w:sz="4" w:space="0" w:color="auto"/>
              <w:left w:val="single" w:sz="4" w:space="0" w:color="auto"/>
              <w:bottom w:val="single" w:sz="4" w:space="0" w:color="auto"/>
              <w:right w:val="single" w:sz="4" w:space="0" w:color="auto"/>
            </w:tcBorders>
            <w:hideMark/>
          </w:tcPr>
          <w:p w14:paraId="7614966A"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 xml:space="preserve">Prescriber type: </w:t>
            </w:r>
            <w:r w:rsidRPr="00AD5A27">
              <w:rPr>
                <w:rFonts w:ascii="Arial Narrow" w:eastAsia="MS Gothic" w:hAnsi="Arial Narrow" w:cs="Times New Roman"/>
                <w:sz w:val="20"/>
                <w:szCs w:val="20"/>
              </w:rPr>
              <w:fldChar w:fldCharType="begin" w:fldLock="1">
                <w:ffData>
                  <w:name w:val=""/>
                  <w:enabled/>
                  <w:calcOnExit w:val="0"/>
                  <w:checkBox>
                    <w:sizeAuto/>
                    <w:default w:val="1"/>
                  </w:checkBox>
                </w:ffData>
              </w:fldChar>
            </w:r>
            <w:r w:rsidRPr="00AD5A27">
              <w:rPr>
                <w:rFonts w:ascii="Arial Narrow" w:eastAsia="MS Gothic" w:hAnsi="Arial Narrow" w:cs="Times New Roman"/>
                <w:sz w:val="20"/>
                <w:szCs w:val="20"/>
              </w:rPr>
              <w:instrText xml:space="preserve"> FORMCHECKBOX </w:instrText>
            </w:r>
            <w:r w:rsidR="004050E4">
              <w:rPr>
                <w:rFonts w:ascii="Arial Narrow" w:eastAsia="MS Gothic" w:hAnsi="Arial Narrow" w:cs="Times New Roman"/>
                <w:sz w:val="20"/>
                <w:szCs w:val="20"/>
              </w:rPr>
            </w:r>
            <w:r w:rsidR="004050E4">
              <w:rPr>
                <w:rFonts w:ascii="Arial Narrow" w:eastAsia="MS Gothic" w:hAnsi="Arial Narrow" w:cs="Times New Roman"/>
                <w:sz w:val="20"/>
                <w:szCs w:val="20"/>
              </w:rPr>
              <w:fldChar w:fldCharType="separate"/>
            </w:r>
            <w:r w:rsidRPr="00AD5A27">
              <w:rPr>
                <w:rFonts w:ascii="Arial Narrow" w:eastAsia="MS Gothic" w:hAnsi="Arial Narrow" w:cs="Times New Roman"/>
                <w:sz w:val="20"/>
                <w:szCs w:val="20"/>
              </w:rPr>
              <w:fldChar w:fldCharType="end"/>
            </w:r>
            <w:r w:rsidRPr="00AD5A27">
              <w:rPr>
                <w:rFonts w:ascii="Arial Narrow" w:eastAsia="MS Gothic" w:hAnsi="Arial Narrow" w:cs="Times New Roman"/>
                <w:sz w:val="20"/>
                <w:szCs w:val="20"/>
              </w:rPr>
              <w:t>Medical Practitioners</w:t>
            </w:r>
          </w:p>
        </w:tc>
      </w:tr>
      <w:tr w:rsidR="002A66BB" w:rsidRPr="00AD5A27" w14:paraId="340446E1" w14:textId="77777777">
        <w:trPr>
          <w:trHeight w:val="23"/>
        </w:trPr>
        <w:tc>
          <w:tcPr>
            <w:tcW w:w="5000" w:type="pct"/>
            <w:tcBorders>
              <w:top w:val="single" w:sz="4" w:space="0" w:color="auto"/>
              <w:left w:val="single" w:sz="4" w:space="0" w:color="auto"/>
              <w:bottom w:val="single" w:sz="4" w:space="0" w:color="auto"/>
              <w:right w:val="single" w:sz="4" w:space="0" w:color="auto"/>
            </w:tcBorders>
            <w:hideMark/>
          </w:tcPr>
          <w:p w14:paraId="11FD0DBA"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Restriction Level / Method:</w:t>
            </w:r>
            <w:r w:rsidRPr="00AD5A27">
              <w:rPr>
                <w:rFonts w:ascii="Arial Narrow" w:eastAsia="MS Gothic" w:hAnsi="Arial Narrow" w:cs="Times New Roman"/>
                <w:sz w:val="20"/>
                <w:szCs w:val="20"/>
              </w:rPr>
              <w:t xml:space="preserve"> </w:t>
            </w:r>
            <w:r w:rsidRPr="00AD5A27">
              <w:rPr>
                <w:rFonts w:ascii="Arial Narrow" w:eastAsia="MS Gothic" w:hAnsi="Arial Narrow" w:cs="Times New Roman"/>
                <w:sz w:val="20"/>
                <w:szCs w:val="20"/>
              </w:rPr>
              <w:fldChar w:fldCharType="begin" w:fldLock="1">
                <w:ffData>
                  <w:name w:val=""/>
                  <w:enabled/>
                  <w:calcOnExit w:val="0"/>
                  <w:checkBox>
                    <w:sizeAuto/>
                    <w:default w:val="1"/>
                  </w:checkBox>
                </w:ffData>
              </w:fldChar>
            </w:r>
            <w:r w:rsidRPr="00AD5A27">
              <w:rPr>
                <w:rFonts w:ascii="Arial Narrow" w:eastAsia="MS Gothic" w:hAnsi="Arial Narrow" w:cs="Times New Roman"/>
                <w:sz w:val="20"/>
                <w:szCs w:val="20"/>
              </w:rPr>
              <w:instrText xml:space="preserve"> FORMCHECKBOX </w:instrText>
            </w:r>
            <w:r w:rsidR="004050E4">
              <w:rPr>
                <w:rFonts w:ascii="Arial Narrow" w:eastAsia="MS Gothic" w:hAnsi="Arial Narrow" w:cs="Times New Roman"/>
                <w:sz w:val="20"/>
                <w:szCs w:val="20"/>
              </w:rPr>
            </w:r>
            <w:r w:rsidR="004050E4">
              <w:rPr>
                <w:rFonts w:ascii="Arial Narrow" w:eastAsia="MS Gothic" w:hAnsi="Arial Narrow" w:cs="Times New Roman"/>
                <w:sz w:val="20"/>
                <w:szCs w:val="20"/>
              </w:rPr>
              <w:fldChar w:fldCharType="separate"/>
            </w:r>
            <w:r w:rsidRPr="00AD5A27">
              <w:rPr>
                <w:rFonts w:ascii="Arial Narrow" w:eastAsia="MS Gothic" w:hAnsi="Arial Narrow" w:cs="Times New Roman"/>
                <w:sz w:val="20"/>
                <w:szCs w:val="20"/>
              </w:rPr>
              <w:fldChar w:fldCharType="end"/>
            </w:r>
            <w:r w:rsidRPr="00AD5A27">
              <w:rPr>
                <w:rFonts w:ascii="Arial Narrow" w:eastAsia="MS Gothic" w:hAnsi="Arial Narrow" w:cs="Times New Roman"/>
                <w:sz w:val="20"/>
                <w:szCs w:val="20"/>
              </w:rPr>
              <w:t xml:space="preserve">Authority Required (Telephone) </w:t>
            </w:r>
            <w:r w:rsidRPr="00AD5A27">
              <w:rPr>
                <w:rFonts w:ascii="Arial Narrow" w:eastAsia="MS Gothic" w:hAnsi="Arial Narrow" w:cs="Times New Roman"/>
                <w:sz w:val="20"/>
                <w:szCs w:val="20"/>
              </w:rPr>
              <w:fldChar w:fldCharType="begin" w:fldLock="1">
                <w:ffData>
                  <w:name w:val=""/>
                  <w:enabled/>
                  <w:calcOnExit w:val="0"/>
                  <w:checkBox>
                    <w:sizeAuto/>
                    <w:default w:val="1"/>
                  </w:checkBox>
                </w:ffData>
              </w:fldChar>
            </w:r>
            <w:r w:rsidRPr="00AD5A27">
              <w:rPr>
                <w:rFonts w:ascii="Arial Narrow" w:eastAsia="MS Gothic" w:hAnsi="Arial Narrow" w:cs="Times New Roman"/>
                <w:sz w:val="20"/>
                <w:szCs w:val="20"/>
              </w:rPr>
              <w:instrText xml:space="preserve"> FORMCHECKBOX </w:instrText>
            </w:r>
            <w:r w:rsidR="004050E4">
              <w:rPr>
                <w:rFonts w:ascii="Arial Narrow" w:eastAsia="MS Gothic" w:hAnsi="Arial Narrow" w:cs="Times New Roman"/>
                <w:sz w:val="20"/>
                <w:szCs w:val="20"/>
              </w:rPr>
            </w:r>
            <w:r w:rsidR="004050E4">
              <w:rPr>
                <w:rFonts w:ascii="Arial Narrow" w:eastAsia="MS Gothic" w:hAnsi="Arial Narrow" w:cs="Times New Roman"/>
                <w:sz w:val="20"/>
                <w:szCs w:val="20"/>
              </w:rPr>
              <w:fldChar w:fldCharType="separate"/>
            </w:r>
            <w:r w:rsidRPr="00AD5A27">
              <w:rPr>
                <w:rFonts w:ascii="Arial Narrow" w:eastAsia="MS Gothic" w:hAnsi="Arial Narrow" w:cs="Times New Roman"/>
                <w:sz w:val="20"/>
                <w:szCs w:val="20"/>
              </w:rPr>
              <w:fldChar w:fldCharType="end"/>
            </w:r>
            <w:r w:rsidRPr="00AD5A27">
              <w:rPr>
                <w:rFonts w:ascii="Arial Narrow" w:eastAsia="MS Gothic" w:hAnsi="Arial Narrow" w:cs="Times New Roman"/>
                <w:sz w:val="20"/>
                <w:szCs w:val="20"/>
              </w:rPr>
              <w:t>Authority Required (Electronic)</w:t>
            </w:r>
          </w:p>
        </w:tc>
      </w:tr>
      <w:tr w:rsidR="002A66BB" w:rsidRPr="00AD5A27" w14:paraId="195293D8" w14:textId="77777777">
        <w:trPr>
          <w:trHeight w:val="255"/>
        </w:trPr>
        <w:tc>
          <w:tcPr>
            <w:tcW w:w="5000" w:type="pct"/>
            <w:tcBorders>
              <w:top w:val="single" w:sz="4" w:space="0" w:color="auto"/>
              <w:left w:val="single" w:sz="4" w:space="0" w:color="auto"/>
              <w:bottom w:val="single" w:sz="4" w:space="0" w:color="auto"/>
              <w:right w:val="single" w:sz="4" w:space="0" w:color="auto"/>
            </w:tcBorders>
            <w:hideMark/>
          </w:tcPr>
          <w:p w14:paraId="231FE2F5"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Severity:</w:t>
            </w:r>
            <w:r w:rsidRPr="00AD5A27">
              <w:t xml:space="preserve"> </w:t>
            </w:r>
            <w:r w:rsidRPr="00AD5A27">
              <w:rPr>
                <w:rFonts w:ascii="Arial Narrow" w:eastAsia="MS Gothic" w:hAnsi="Arial Narrow" w:cs="Times New Roman"/>
                <w:sz w:val="20"/>
                <w:szCs w:val="20"/>
              </w:rPr>
              <w:t>Vison threatening</w:t>
            </w:r>
            <w:r w:rsidRPr="00AD5A27">
              <w:rPr>
                <w:rFonts w:ascii="Arial Narrow" w:eastAsia="MS Gothic" w:hAnsi="Arial Narrow" w:cs="Times New Roman"/>
                <w:b/>
                <w:sz w:val="20"/>
                <w:szCs w:val="20"/>
              </w:rPr>
              <w:t xml:space="preserve"> </w:t>
            </w:r>
          </w:p>
        </w:tc>
      </w:tr>
      <w:tr w:rsidR="002A66BB" w:rsidRPr="00AD5A27" w14:paraId="30952C09" w14:textId="77777777">
        <w:trPr>
          <w:trHeight w:val="23"/>
        </w:trPr>
        <w:tc>
          <w:tcPr>
            <w:tcW w:w="5000" w:type="pct"/>
            <w:tcBorders>
              <w:top w:val="single" w:sz="4" w:space="0" w:color="auto"/>
              <w:left w:val="single" w:sz="4" w:space="0" w:color="auto"/>
              <w:bottom w:val="single" w:sz="4" w:space="0" w:color="auto"/>
              <w:right w:val="single" w:sz="4" w:space="0" w:color="auto"/>
            </w:tcBorders>
            <w:hideMark/>
          </w:tcPr>
          <w:p w14:paraId="0FFE79D9"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 xml:space="preserve">Condition: </w:t>
            </w:r>
            <w:r w:rsidRPr="00AD5A27">
              <w:rPr>
                <w:rFonts w:ascii="Arial Narrow" w:eastAsia="MS Gothic" w:hAnsi="Arial Narrow" w:cs="Times New Roman"/>
                <w:sz w:val="20"/>
                <w:szCs w:val="20"/>
              </w:rPr>
              <w:t>Non-infectious uveitis</w:t>
            </w:r>
          </w:p>
        </w:tc>
      </w:tr>
      <w:tr w:rsidR="002A66BB" w:rsidRPr="00AD5A27" w14:paraId="23AC6AC3" w14:textId="77777777">
        <w:trPr>
          <w:trHeight w:val="23"/>
        </w:trPr>
        <w:tc>
          <w:tcPr>
            <w:tcW w:w="5000" w:type="pct"/>
            <w:tcBorders>
              <w:top w:val="single" w:sz="4" w:space="0" w:color="auto"/>
              <w:left w:val="single" w:sz="4" w:space="0" w:color="auto"/>
              <w:bottom w:val="single" w:sz="4" w:space="0" w:color="auto"/>
              <w:right w:val="single" w:sz="4" w:space="0" w:color="auto"/>
            </w:tcBorders>
            <w:hideMark/>
          </w:tcPr>
          <w:p w14:paraId="65C72391"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 xml:space="preserve">Indication: </w:t>
            </w:r>
            <w:r w:rsidRPr="00AD5A27">
              <w:rPr>
                <w:rFonts w:ascii="Arial Narrow" w:eastAsia="MS Gothic" w:hAnsi="Arial Narrow" w:cs="Times New Roman"/>
                <w:sz w:val="20"/>
                <w:szCs w:val="20"/>
              </w:rPr>
              <w:t>Non-infectious uveitis</w:t>
            </w:r>
          </w:p>
        </w:tc>
      </w:tr>
      <w:tr w:rsidR="002A66BB" w:rsidRPr="00AD5A27" w14:paraId="180AC7EC" w14:textId="77777777">
        <w:trPr>
          <w:trHeight w:val="23"/>
        </w:trPr>
        <w:tc>
          <w:tcPr>
            <w:tcW w:w="5000" w:type="pct"/>
            <w:tcBorders>
              <w:top w:val="single" w:sz="4" w:space="0" w:color="auto"/>
              <w:left w:val="single" w:sz="4" w:space="0" w:color="auto"/>
              <w:bottom w:val="single" w:sz="4" w:space="0" w:color="auto"/>
              <w:right w:val="single" w:sz="4" w:space="0" w:color="auto"/>
            </w:tcBorders>
            <w:hideMark/>
          </w:tcPr>
          <w:p w14:paraId="288882B3"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 xml:space="preserve">Treatment phase: </w:t>
            </w:r>
            <w:r w:rsidRPr="00AD5A27">
              <w:rPr>
                <w:rFonts w:ascii="Arial Narrow" w:eastAsia="MS Gothic" w:hAnsi="Arial Narrow" w:cs="Times New Roman"/>
                <w:sz w:val="20"/>
                <w:szCs w:val="20"/>
              </w:rPr>
              <w:t>Continuing treatment</w:t>
            </w:r>
          </w:p>
        </w:tc>
      </w:tr>
      <w:tr w:rsidR="002A66BB" w:rsidRPr="00AD5A27" w14:paraId="70DEE255" w14:textId="77777777">
        <w:trPr>
          <w:trHeight w:val="23"/>
        </w:trPr>
        <w:tc>
          <w:tcPr>
            <w:tcW w:w="5000" w:type="pct"/>
            <w:tcBorders>
              <w:top w:val="single" w:sz="4" w:space="0" w:color="auto"/>
              <w:left w:val="single" w:sz="4" w:space="0" w:color="auto"/>
              <w:bottom w:val="single" w:sz="4" w:space="0" w:color="auto"/>
              <w:right w:val="single" w:sz="4" w:space="0" w:color="auto"/>
            </w:tcBorders>
            <w:hideMark/>
          </w:tcPr>
          <w:p w14:paraId="70A479BB"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 xml:space="preserve">Treatment criteria: </w:t>
            </w:r>
            <w:r w:rsidRPr="00AD5A27">
              <w:rPr>
                <w:rFonts w:ascii="Arial Narrow" w:eastAsia="MS Gothic" w:hAnsi="Arial Narrow" w:cs="Times New Roman"/>
                <w:sz w:val="20"/>
                <w:szCs w:val="20"/>
              </w:rPr>
              <w:t>Must be treated by or in consultation with an ophthalmologist, rheumatologist or immunologist with expertise in uveitis</w:t>
            </w:r>
          </w:p>
        </w:tc>
      </w:tr>
      <w:tr w:rsidR="002A66BB" w:rsidRPr="00AD5A27" w14:paraId="0D62A8A0"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319DCA32"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Clinical criteria:</w:t>
            </w:r>
          </w:p>
        </w:tc>
      </w:tr>
      <w:tr w:rsidR="002A66BB" w:rsidRPr="00AD5A27" w14:paraId="179A5E07"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1CEBA80B" w14:textId="77777777" w:rsidR="002A66BB" w:rsidRPr="00AD5A27" w:rsidRDefault="002A66BB" w:rsidP="00771261">
            <w:pPr>
              <w:jc w:val="left"/>
              <w:rPr>
                <w:rFonts w:ascii="Arial Narrow" w:eastAsia="MS Gothic" w:hAnsi="Arial Narrow" w:cs="Times New Roman"/>
                <w:sz w:val="20"/>
                <w:szCs w:val="20"/>
              </w:rPr>
            </w:pPr>
            <w:r w:rsidRPr="00AD5A27">
              <w:rPr>
                <w:rFonts w:ascii="Arial Narrow" w:eastAsia="MS Gothic" w:hAnsi="Arial Narrow" w:cs="Times New Roman"/>
                <w:sz w:val="20"/>
                <w:szCs w:val="20"/>
              </w:rPr>
              <w:t>Patient must have a documented history of non-infectious that is vision threatening;</w:t>
            </w:r>
          </w:p>
        </w:tc>
      </w:tr>
      <w:tr w:rsidR="002A66BB" w:rsidRPr="00AD5A27" w14:paraId="1DA162E9"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1815F695"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AND</w:t>
            </w:r>
          </w:p>
        </w:tc>
      </w:tr>
      <w:tr w:rsidR="002A66BB" w:rsidRPr="00AD5A27" w14:paraId="154EDE83" w14:textId="77777777">
        <w:trPr>
          <w:trHeight w:val="23"/>
        </w:trPr>
        <w:tc>
          <w:tcPr>
            <w:tcW w:w="9017" w:type="dxa"/>
            <w:tcBorders>
              <w:top w:val="single" w:sz="4" w:space="0" w:color="auto"/>
              <w:left w:val="single" w:sz="4" w:space="0" w:color="auto"/>
              <w:bottom w:val="single" w:sz="4" w:space="0" w:color="auto"/>
              <w:right w:val="single" w:sz="4" w:space="0" w:color="auto"/>
            </w:tcBorders>
          </w:tcPr>
          <w:p w14:paraId="535C41A3" w14:textId="77777777" w:rsidR="002A66BB" w:rsidRPr="00AD5A27" w:rsidRDefault="002A66BB" w:rsidP="00771261">
            <w:pPr>
              <w:jc w:val="left"/>
              <w:rPr>
                <w:rFonts w:ascii="Arial Narrow" w:eastAsia="Arial Narrow" w:hAnsi="Arial Narrow" w:cs="Arial Narrow"/>
                <w:sz w:val="20"/>
                <w:szCs w:val="20"/>
              </w:rPr>
            </w:pPr>
            <w:r w:rsidRPr="00AD5A27">
              <w:rPr>
                <w:rFonts w:ascii="Arial Narrow" w:eastAsia="Arial Narrow" w:hAnsi="Arial Narrow" w:cs="Arial Narrow"/>
                <w:b/>
                <w:bCs/>
                <w:sz w:val="20"/>
                <w:szCs w:val="20"/>
              </w:rPr>
              <w:t>Clinical criteria:</w:t>
            </w:r>
          </w:p>
        </w:tc>
      </w:tr>
      <w:tr w:rsidR="002A66BB" w:rsidRPr="00AD5A27" w14:paraId="5B3B55F5"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0DBB0855" w14:textId="77777777" w:rsidR="002A66BB" w:rsidRPr="00AD5A27" w:rsidRDefault="002A66BB" w:rsidP="00771261">
            <w:pPr>
              <w:jc w:val="left"/>
              <w:rPr>
                <w:rFonts w:ascii="Arial Narrow" w:eastAsia="MS Gothic" w:hAnsi="Arial Narrow" w:cs="Times New Roman"/>
                <w:sz w:val="20"/>
                <w:szCs w:val="20"/>
              </w:rPr>
            </w:pPr>
            <w:r w:rsidRPr="00AD5A27">
              <w:rPr>
                <w:rFonts w:ascii="Arial Narrow" w:eastAsia="MS Gothic" w:hAnsi="Arial Narrow" w:cs="Times New Roman"/>
                <w:sz w:val="20"/>
                <w:szCs w:val="20"/>
              </w:rPr>
              <w:lastRenderedPageBreak/>
              <w:t>Patient must have previously been issued with a prescription for this drug for this condition;</w:t>
            </w:r>
          </w:p>
        </w:tc>
      </w:tr>
      <w:tr w:rsidR="002A66BB" w:rsidRPr="00AD5A27" w14:paraId="31BFDED3"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0E5D70DF"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AND</w:t>
            </w:r>
          </w:p>
        </w:tc>
      </w:tr>
      <w:tr w:rsidR="002A66BB" w:rsidRPr="00AD5A27" w14:paraId="6919222E" w14:textId="77777777">
        <w:trPr>
          <w:trHeight w:val="23"/>
        </w:trPr>
        <w:tc>
          <w:tcPr>
            <w:tcW w:w="9017" w:type="dxa"/>
            <w:tcBorders>
              <w:top w:val="single" w:sz="4" w:space="0" w:color="auto"/>
              <w:left w:val="single" w:sz="4" w:space="0" w:color="auto"/>
              <w:bottom w:val="single" w:sz="4" w:space="0" w:color="auto"/>
              <w:right w:val="single" w:sz="4" w:space="0" w:color="auto"/>
            </w:tcBorders>
          </w:tcPr>
          <w:p w14:paraId="28D406E4" w14:textId="77777777" w:rsidR="002A66BB" w:rsidRPr="00AD5A27" w:rsidRDefault="002A66BB" w:rsidP="00771261">
            <w:pPr>
              <w:jc w:val="left"/>
              <w:rPr>
                <w:rFonts w:ascii="Arial Narrow" w:eastAsia="Arial Narrow" w:hAnsi="Arial Narrow" w:cs="Arial Narrow"/>
                <w:sz w:val="20"/>
                <w:szCs w:val="20"/>
              </w:rPr>
            </w:pPr>
            <w:r w:rsidRPr="00AD5A27">
              <w:rPr>
                <w:rFonts w:ascii="Arial Narrow" w:eastAsia="Arial Narrow" w:hAnsi="Arial Narrow" w:cs="Arial Narrow"/>
                <w:b/>
                <w:bCs/>
                <w:sz w:val="20"/>
                <w:szCs w:val="20"/>
              </w:rPr>
              <w:t>Clinical criteria:</w:t>
            </w:r>
          </w:p>
        </w:tc>
      </w:tr>
      <w:tr w:rsidR="002A66BB" w:rsidRPr="00AD5A27" w14:paraId="55179430"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04413840" w14:textId="77777777" w:rsidR="002A66BB" w:rsidRPr="00AD5A27" w:rsidRDefault="002A66BB" w:rsidP="00771261">
            <w:pPr>
              <w:jc w:val="left"/>
              <w:rPr>
                <w:rFonts w:ascii="Arial Narrow" w:eastAsia="MS Gothic" w:hAnsi="Arial Narrow" w:cs="Times New Roman"/>
                <w:sz w:val="20"/>
                <w:szCs w:val="20"/>
              </w:rPr>
            </w:pPr>
            <w:r w:rsidRPr="00AD5A27">
              <w:rPr>
                <w:rFonts w:ascii="Arial Narrow" w:eastAsia="MS Gothic" w:hAnsi="Arial Narrow" w:cs="Times New Roman"/>
                <w:sz w:val="20"/>
                <w:szCs w:val="20"/>
              </w:rPr>
              <w:t>Patient has demonstrated a clinical response as defined by:</w:t>
            </w:r>
          </w:p>
        </w:tc>
      </w:tr>
      <w:tr w:rsidR="002A66BB" w:rsidRPr="00AD5A27" w14:paraId="76AB7F59"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049CE456" w14:textId="77777777" w:rsidR="002A66BB" w:rsidRPr="00AD5A27" w:rsidRDefault="002A66BB" w:rsidP="00771261">
            <w:pPr>
              <w:pStyle w:val="In-tableHeading"/>
              <w:keepNext w:val="0"/>
              <w:numPr>
                <w:ilvl w:val="0"/>
                <w:numId w:val="10"/>
              </w:numPr>
              <w:rPr>
                <w:b w:val="0"/>
                <w:bCs/>
                <w:lang w:val="en-AU"/>
              </w:rPr>
            </w:pPr>
            <w:r w:rsidRPr="00AD5A27">
              <w:rPr>
                <w:b w:val="0"/>
                <w:bCs/>
                <w:lang w:val="en-AU"/>
              </w:rPr>
              <w:t>Sustained reduction in inflammation defined as a 2 step decrease from baseline in Standardisation of Uveitis Nomenclature (SUN) criteria for anterior chamber or vitreous haze; or</w:t>
            </w:r>
          </w:p>
          <w:p w14:paraId="11F06421" w14:textId="77777777" w:rsidR="002A66BB" w:rsidRPr="00AD5A27" w:rsidRDefault="002A66BB" w:rsidP="00771261">
            <w:pPr>
              <w:pStyle w:val="In-tableHeading"/>
              <w:keepNext w:val="0"/>
              <w:numPr>
                <w:ilvl w:val="0"/>
                <w:numId w:val="10"/>
              </w:numPr>
              <w:rPr>
                <w:b w:val="0"/>
                <w:bCs/>
                <w:lang w:val="en-AU"/>
              </w:rPr>
            </w:pPr>
            <w:r w:rsidRPr="00AD5A27">
              <w:rPr>
                <w:b w:val="0"/>
                <w:bCs/>
                <w:lang w:val="en-AU"/>
              </w:rPr>
              <w:t>Sustained quiescence of inflammation defined as Standardisation of Uveitis Nomenclature (SUN) criteria ≤0.5+ anterior chamber or vitreous haze, absence of active vitreous or retinal lesions or vitreous cells; or</w:t>
            </w:r>
          </w:p>
          <w:p w14:paraId="4E3DF1E5" w14:textId="77777777" w:rsidR="002A66BB" w:rsidRPr="00AD5A27" w:rsidRDefault="002A66BB" w:rsidP="00771261">
            <w:pPr>
              <w:pStyle w:val="In-tableHeading"/>
              <w:keepNext w:val="0"/>
              <w:numPr>
                <w:ilvl w:val="0"/>
                <w:numId w:val="10"/>
              </w:numPr>
              <w:rPr>
                <w:b w:val="0"/>
                <w:bCs/>
                <w:lang w:val="en-AU"/>
              </w:rPr>
            </w:pPr>
            <w:r w:rsidRPr="00AD5A27">
              <w:rPr>
                <w:b w:val="0"/>
                <w:bCs/>
                <w:lang w:val="en-AU"/>
              </w:rPr>
              <w:t>Sustained corticosteroid sparing effect, allowing reduction in prednisone to &lt;7.5mg daily; or</w:t>
            </w:r>
          </w:p>
          <w:p w14:paraId="3975C8F7" w14:textId="77777777" w:rsidR="002A66BB" w:rsidRPr="00AD5A27" w:rsidRDefault="002A66BB" w:rsidP="00771261">
            <w:pPr>
              <w:pStyle w:val="In-tableHeading"/>
              <w:keepNext w:val="0"/>
              <w:numPr>
                <w:ilvl w:val="0"/>
                <w:numId w:val="10"/>
              </w:numPr>
              <w:rPr>
                <w:b w:val="0"/>
                <w:bCs/>
                <w:lang w:val="en-AU"/>
              </w:rPr>
            </w:pPr>
            <w:r w:rsidRPr="00AD5A27">
              <w:rPr>
                <w:b w:val="0"/>
                <w:bCs/>
                <w:lang w:val="en-AU"/>
              </w:rPr>
              <w:t>Reduction in frequency of ocular attacks to ≤1/year (patients with Behcet’s disease only)</w:t>
            </w:r>
          </w:p>
        </w:tc>
      </w:tr>
      <w:tr w:rsidR="002A66BB" w:rsidRPr="00AD5A27" w14:paraId="6536E1A8"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2C416E72"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AND</w:t>
            </w:r>
          </w:p>
        </w:tc>
      </w:tr>
      <w:tr w:rsidR="002A66BB" w:rsidRPr="00AD5A27" w14:paraId="787AAF27" w14:textId="77777777">
        <w:trPr>
          <w:trHeight w:val="23"/>
        </w:trPr>
        <w:tc>
          <w:tcPr>
            <w:tcW w:w="9017" w:type="dxa"/>
            <w:tcBorders>
              <w:top w:val="single" w:sz="4" w:space="0" w:color="auto"/>
              <w:left w:val="single" w:sz="4" w:space="0" w:color="auto"/>
              <w:bottom w:val="single" w:sz="4" w:space="0" w:color="auto"/>
              <w:right w:val="single" w:sz="4" w:space="0" w:color="auto"/>
            </w:tcBorders>
          </w:tcPr>
          <w:p w14:paraId="057BC67F" w14:textId="77777777" w:rsidR="002A66BB" w:rsidRPr="00AD5A27" w:rsidRDefault="002A66BB" w:rsidP="00771261">
            <w:pPr>
              <w:jc w:val="left"/>
              <w:rPr>
                <w:rFonts w:ascii="Arial Narrow" w:eastAsia="Arial Narrow" w:hAnsi="Arial Narrow" w:cs="Arial Narrow"/>
                <w:sz w:val="20"/>
                <w:szCs w:val="20"/>
              </w:rPr>
            </w:pPr>
            <w:r w:rsidRPr="00AD5A27">
              <w:rPr>
                <w:rFonts w:ascii="Arial Narrow" w:eastAsia="Arial Narrow" w:hAnsi="Arial Narrow" w:cs="Arial Narrow"/>
                <w:b/>
                <w:bCs/>
                <w:sz w:val="20"/>
                <w:szCs w:val="20"/>
              </w:rPr>
              <w:t>Clinical criteria:</w:t>
            </w:r>
          </w:p>
        </w:tc>
      </w:tr>
      <w:tr w:rsidR="002A66BB" w:rsidRPr="00AD5A27" w14:paraId="7ADA3E0D"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159E7424" w14:textId="77777777" w:rsidR="002A66BB" w:rsidRPr="00AD5A27" w:rsidRDefault="002A66BB" w:rsidP="00771261">
            <w:pPr>
              <w:jc w:val="left"/>
              <w:rPr>
                <w:rFonts w:ascii="Arial Narrow" w:eastAsia="MS Gothic" w:hAnsi="Arial Narrow" w:cs="Times New Roman"/>
                <w:sz w:val="20"/>
                <w:szCs w:val="20"/>
              </w:rPr>
            </w:pPr>
            <w:r w:rsidRPr="00AD5A27">
              <w:rPr>
                <w:rFonts w:ascii="Arial Narrow" w:eastAsia="MS Gothic" w:hAnsi="Arial Narrow" w:cs="Times New Roman"/>
                <w:sz w:val="20"/>
                <w:szCs w:val="20"/>
              </w:rPr>
              <w:t>Treatment must not exceed 24 weeks under this restriction</w:t>
            </w:r>
          </w:p>
        </w:tc>
      </w:tr>
      <w:tr w:rsidR="002A66BB" w:rsidRPr="00AD5A27" w14:paraId="7B553453"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218B62AC" w14:textId="77777777" w:rsidR="002A66BB" w:rsidRPr="00AD5A27" w:rsidRDefault="002A66BB" w:rsidP="00771261">
            <w:pPr>
              <w:jc w:val="left"/>
              <w:rPr>
                <w:rFonts w:ascii="Arial Narrow" w:eastAsia="MS Gothic" w:hAnsi="Arial Narrow" w:cs="Times New Roman"/>
                <w:b/>
                <w:sz w:val="20"/>
                <w:szCs w:val="20"/>
              </w:rPr>
            </w:pPr>
            <w:r w:rsidRPr="00AD5A27">
              <w:rPr>
                <w:rFonts w:ascii="Arial Narrow" w:eastAsia="MS Gothic" w:hAnsi="Arial Narrow" w:cs="Times New Roman"/>
                <w:b/>
                <w:sz w:val="20"/>
                <w:szCs w:val="20"/>
              </w:rPr>
              <w:t>Population criteria:</w:t>
            </w:r>
          </w:p>
        </w:tc>
      </w:tr>
      <w:tr w:rsidR="002A66BB" w:rsidRPr="00AD5A27" w14:paraId="55540F2E" w14:textId="77777777">
        <w:trPr>
          <w:trHeight w:val="23"/>
        </w:trPr>
        <w:tc>
          <w:tcPr>
            <w:tcW w:w="5000" w:type="pct"/>
            <w:tcBorders>
              <w:top w:val="single" w:sz="4" w:space="0" w:color="auto"/>
              <w:left w:val="single" w:sz="4" w:space="0" w:color="auto"/>
              <w:bottom w:val="single" w:sz="4" w:space="0" w:color="auto"/>
              <w:right w:val="single" w:sz="4" w:space="0" w:color="auto"/>
            </w:tcBorders>
            <w:hideMark/>
          </w:tcPr>
          <w:p w14:paraId="0EC55E2C" w14:textId="77777777" w:rsidR="002A66BB" w:rsidRPr="00AD5A27" w:rsidRDefault="002A66BB" w:rsidP="00771261">
            <w:pPr>
              <w:jc w:val="left"/>
              <w:rPr>
                <w:rFonts w:ascii="Arial Narrow" w:eastAsia="MS Gothic" w:hAnsi="Arial Narrow" w:cs="Times New Roman"/>
                <w:sz w:val="20"/>
                <w:szCs w:val="20"/>
              </w:rPr>
            </w:pPr>
            <w:r w:rsidRPr="00AD5A27">
              <w:rPr>
                <w:rFonts w:ascii="Arial Narrow" w:eastAsia="MS Gothic" w:hAnsi="Arial Narrow" w:cs="Times New Roman"/>
                <w:sz w:val="20"/>
                <w:szCs w:val="20"/>
              </w:rPr>
              <w:t xml:space="preserve">Vision threatening disease is defined as at least 1 of the following: </w:t>
            </w:r>
          </w:p>
          <w:p w14:paraId="44BA87F0" w14:textId="77777777" w:rsidR="002A66BB" w:rsidRPr="00AD5A27" w:rsidRDefault="002A66BB" w:rsidP="00771261">
            <w:pPr>
              <w:pStyle w:val="TableText0"/>
              <w:keepNext w:val="0"/>
              <w:numPr>
                <w:ilvl w:val="0"/>
                <w:numId w:val="11"/>
              </w:numPr>
            </w:pPr>
            <w:r w:rsidRPr="00AD5A27">
              <w:t>A decrease in visual acuity of at least 10 letters using an ETDRS chart or equivalent;</w:t>
            </w:r>
          </w:p>
          <w:p w14:paraId="42FDE6BE" w14:textId="77777777" w:rsidR="002A66BB" w:rsidRPr="00AD5A27" w:rsidRDefault="002A66BB" w:rsidP="00771261">
            <w:pPr>
              <w:pStyle w:val="TableText0"/>
              <w:keepNext w:val="0"/>
              <w:numPr>
                <w:ilvl w:val="0"/>
                <w:numId w:val="11"/>
              </w:numPr>
            </w:pPr>
            <w:r w:rsidRPr="00AD5A27">
              <w:t>A two-step increase in anterior chamber cells or vitreous haze;</w:t>
            </w:r>
          </w:p>
          <w:p w14:paraId="2189D7B9" w14:textId="77777777" w:rsidR="002A66BB" w:rsidRPr="00AD5A27" w:rsidRDefault="002A66BB" w:rsidP="00771261">
            <w:pPr>
              <w:pStyle w:val="TableText0"/>
              <w:keepNext w:val="0"/>
              <w:numPr>
                <w:ilvl w:val="0"/>
                <w:numId w:val="11"/>
              </w:numPr>
            </w:pPr>
            <w:r w:rsidRPr="00AD5A27">
              <w:t>New retinal vasculitis;</w:t>
            </w:r>
          </w:p>
          <w:p w14:paraId="40259FBC" w14:textId="77777777" w:rsidR="002A66BB" w:rsidRPr="00AD5A27" w:rsidRDefault="002A66BB" w:rsidP="00771261">
            <w:pPr>
              <w:pStyle w:val="TableText0"/>
              <w:keepNext w:val="0"/>
              <w:numPr>
                <w:ilvl w:val="0"/>
                <w:numId w:val="11"/>
              </w:numPr>
            </w:pPr>
            <w:r w:rsidRPr="00AD5A27">
              <w:t>New retinal or choroidal lesions;</w:t>
            </w:r>
          </w:p>
          <w:p w14:paraId="7E6DCCBB" w14:textId="77777777" w:rsidR="002A66BB" w:rsidRPr="00AD5A27" w:rsidRDefault="002A66BB" w:rsidP="00771261">
            <w:pPr>
              <w:pStyle w:val="TableText0"/>
              <w:keepNext w:val="0"/>
              <w:numPr>
                <w:ilvl w:val="0"/>
                <w:numId w:val="11"/>
              </w:numPr>
              <w:rPr>
                <w:b/>
              </w:rPr>
            </w:pPr>
            <w:r w:rsidRPr="00AD5A27">
              <w:t>Other signs of disease progression including visual field changes or electroretinogram changes.</w:t>
            </w:r>
          </w:p>
        </w:tc>
      </w:tr>
      <w:tr w:rsidR="002A66BB" w:rsidRPr="00AD5A27" w14:paraId="1DA34AC3" w14:textId="77777777">
        <w:trPr>
          <w:trHeight w:val="23"/>
        </w:trPr>
        <w:tc>
          <w:tcPr>
            <w:tcW w:w="5000" w:type="pct"/>
            <w:tcBorders>
              <w:top w:val="single" w:sz="4" w:space="0" w:color="auto"/>
              <w:left w:val="single" w:sz="4" w:space="0" w:color="auto"/>
              <w:bottom w:val="single" w:sz="4" w:space="0" w:color="auto"/>
              <w:right w:val="single" w:sz="4" w:space="0" w:color="auto"/>
            </w:tcBorders>
            <w:hideMark/>
          </w:tcPr>
          <w:p w14:paraId="14D72B42" w14:textId="77777777" w:rsidR="002A66BB" w:rsidRPr="00AD5A27" w:rsidRDefault="002A66BB" w:rsidP="00771261">
            <w:pPr>
              <w:jc w:val="left"/>
              <w:rPr>
                <w:rFonts w:ascii="Arial Narrow" w:eastAsia="MS Gothic" w:hAnsi="Arial Narrow" w:cs="Times New Roman"/>
                <w:sz w:val="20"/>
                <w:szCs w:val="20"/>
              </w:rPr>
            </w:pPr>
            <w:r w:rsidRPr="00AD5A27">
              <w:rPr>
                <w:rFonts w:ascii="Arial Narrow" w:eastAsia="MS Gothic" w:hAnsi="Arial Narrow" w:cs="Times New Roman"/>
                <w:sz w:val="20"/>
                <w:szCs w:val="20"/>
              </w:rPr>
              <w:t>Patients are eligible to receive an additional 24 weeks of treatment with this drug providing they demonstrate a response as described above.</w:t>
            </w:r>
          </w:p>
        </w:tc>
      </w:tr>
    </w:tbl>
    <w:p w14:paraId="31B629F2" w14:textId="28C153B1" w:rsidR="002A66BB" w:rsidRPr="00AD5A27" w:rsidRDefault="002A66BB" w:rsidP="00ED34B8">
      <w:pPr>
        <w:pStyle w:val="3-BodyText"/>
        <w:spacing w:before="120"/>
      </w:pPr>
      <w:r w:rsidRPr="00AD5A27">
        <w:t>The resubmission proposed a dispensed price for maximum quantity (DPMQ) of $</w:t>
      </w:r>
      <w:r w:rsidRPr="00DC6641">
        <w:t>676.79</w:t>
      </w:r>
      <w:r w:rsidRPr="00AD5A27">
        <w:t xml:space="preserve"> for initial treatment 1 x 80 mg or initial and continuing treatment 2 x 40 mg; and $</w:t>
      </w:r>
      <w:r w:rsidRPr="00A21E4E">
        <w:t>706.70</w:t>
      </w:r>
      <w:r w:rsidRPr="00AD5A27">
        <w:t xml:space="preserve"> initial and continuing treatment 2 x 20 mg. This differed from the DPMQ applied in the economic model </w:t>
      </w:r>
      <w:r w:rsidR="003C4507" w:rsidRPr="00AD5A27">
        <w:t xml:space="preserve">and financial </w:t>
      </w:r>
      <w:r w:rsidR="003C4507" w:rsidRPr="00C65B38">
        <w:t xml:space="preserve">estimates </w:t>
      </w:r>
      <w:r w:rsidRPr="00C65B38">
        <w:t>($</w:t>
      </w:r>
      <w:r w:rsidR="00860BB2" w:rsidRPr="004050E4">
        <w:rPr>
          <w:color w:val="000000"/>
          <w:w w:val="15"/>
          <w:shd w:val="solid" w:color="000000" w:fill="000000"/>
          <w:fitText w:val="-20" w:id="-961901312"/>
          <w14:textFill>
            <w14:solidFill>
              <w14:srgbClr w14:val="000000">
                <w14:alpha w14:val="100000"/>
              </w14:srgbClr>
            </w14:solidFill>
          </w14:textFill>
        </w:rPr>
        <w:t xml:space="preserve">|  </w:t>
      </w:r>
      <w:r w:rsidR="00860BB2" w:rsidRPr="004050E4">
        <w:rPr>
          <w:color w:val="000000"/>
          <w:spacing w:val="-69"/>
          <w:w w:val="15"/>
          <w:shd w:val="solid" w:color="000000" w:fill="000000"/>
          <w:fitText w:val="-20" w:id="-961901312"/>
          <w14:textFill>
            <w14:solidFill>
              <w14:srgbClr w14:val="000000">
                <w14:alpha w14:val="100000"/>
              </w14:srgbClr>
            </w14:solidFill>
          </w14:textFill>
        </w:rPr>
        <w:t>|</w:t>
      </w:r>
      <w:r w:rsidRPr="00C65B38">
        <w:t>),</w:t>
      </w:r>
      <w:r w:rsidRPr="00AD5A27">
        <w:t xml:space="preserve"> which the resubmission calculated based on a proposed flat ex-manufacturer price of $</w:t>
      </w:r>
      <w:r w:rsidR="00860BB2" w:rsidRPr="004050E4">
        <w:rPr>
          <w:color w:val="000000"/>
          <w:w w:val="15"/>
          <w:shd w:val="solid" w:color="000000" w:fill="000000"/>
          <w:fitText w:val="-20" w:id="-961901311"/>
          <w14:textFill>
            <w14:solidFill>
              <w14:srgbClr w14:val="000000">
                <w14:alpha w14:val="100000"/>
              </w14:srgbClr>
            </w14:solidFill>
          </w14:textFill>
        </w:rPr>
        <w:t xml:space="preserve">|  </w:t>
      </w:r>
      <w:r w:rsidR="00860BB2" w:rsidRPr="004050E4">
        <w:rPr>
          <w:color w:val="000000"/>
          <w:spacing w:val="-69"/>
          <w:w w:val="15"/>
          <w:shd w:val="solid" w:color="000000" w:fill="000000"/>
          <w:fitText w:val="-20" w:id="-961901311"/>
          <w14:textFill>
            <w14:solidFill>
              <w14:srgbClr w14:val="000000">
                <w14:alpha w14:val="100000"/>
              </w14:srgbClr>
            </w14:solidFill>
          </w14:textFill>
        </w:rPr>
        <w:t>|</w:t>
      </w:r>
      <w:r w:rsidRPr="00AD5A27">
        <w:t xml:space="preserve"> per script for the 20 mg, 40 mg and 80 mg strengths, plus </w:t>
      </w:r>
      <w:r w:rsidR="0031754E" w:rsidRPr="00AD5A27">
        <w:t xml:space="preserve">an </w:t>
      </w:r>
      <w:r w:rsidRPr="00AD5A27">
        <w:t xml:space="preserve">assumed </w:t>
      </w:r>
      <w:r w:rsidR="00860BB2" w:rsidRPr="004050E4">
        <w:rPr>
          <w:color w:val="000000"/>
          <w:w w:val="15"/>
          <w:shd w:val="solid" w:color="000000" w:fill="000000"/>
          <w:fitText w:val="-20" w:id="-961901310"/>
          <w14:textFill>
            <w14:solidFill>
              <w14:srgbClr w14:val="000000">
                <w14:alpha w14:val="100000"/>
              </w14:srgbClr>
            </w14:solidFill>
          </w14:textFill>
        </w:rPr>
        <w:t xml:space="preserve">|  </w:t>
      </w:r>
      <w:r w:rsidR="00860BB2" w:rsidRPr="004050E4">
        <w:rPr>
          <w:color w:val="000000"/>
          <w:spacing w:val="-69"/>
          <w:w w:val="15"/>
          <w:shd w:val="solid" w:color="000000" w:fill="000000"/>
          <w:fitText w:val="-20" w:id="-961901310"/>
          <w14:textFill>
            <w14:solidFill>
              <w14:srgbClr w14:val="000000">
                <w14:alpha w14:val="100000"/>
              </w14:srgbClr>
            </w14:solidFill>
          </w14:textFill>
        </w:rPr>
        <w:t>|</w:t>
      </w:r>
      <w:r w:rsidRPr="00AD5A27">
        <w:t>% future price reduction from price disclosure and a lower wholesale margin of $</w:t>
      </w:r>
      <w:r w:rsidR="00860BB2" w:rsidRPr="004050E4">
        <w:rPr>
          <w:color w:val="000000"/>
          <w:w w:val="15"/>
          <w:shd w:val="solid" w:color="000000" w:fill="000000"/>
          <w:fitText w:val="-20" w:id="-961901309"/>
          <w14:textFill>
            <w14:solidFill>
              <w14:srgbClr w14:val="000000">
                <w14:alpha w14:val="100000"/>
              </w14:srgbClr>
            </w14:solidFill>
          </w14:textFill>
        </w:rPr>
        <w:t xml:space="preserve">|  </w:t>
      </w:r>
      <w:r w:rsidR="00860BB2" w:rsidRPr="004050E4">
        <w:rPr>
          <w:color w:val="000000"/>
          <w:spacing w:val="-69"/>
          <w:w w:val="15"/>
          <w:shd w:val="solid" w:color="000000" w:fill="000000"/>
          <w:fitText w:val="-20" w:id="-961901309"/>
          <w14:textFill>
            <w14:solidFill>
              <w14:srgbClr w14:val="000000">
                <w14:alpha w14:val="100000"/>
              </w14:srgbClr>
            </w14:solidFill>
          </w14:textFill>
        </w:rPr>
        <w:t>|</w:t>
      </w:r>
      <w:r w:rsidRPr="00AD5A27">
        <w:t xml:space="preserve"> for the 40 mg and 80 mg scripts.</w:t>
      </w:r>
      <w:r w:rsidR="00F71136" w:rsidRPr="00AD5A27">
        <w:t xml:space="preserve"> </w:t>
      </w:r>
      <w:r w:rsidR="00E13F81" w:rsidRPr="00AD5A27">
        <w:t>The</w:t>
      </w:r>
      <w:r w:rsidR="00F71136" w:rsidRPr="00AD5A27">
        <w:t xml:space="preserve"> price disclosure-related assumptions </w:t>
      </w:r>
      <w:r w:rsidR="00E13F81" w:rsidRPr="00AD5A27">
        <w:t>were</w:t>
      </w:r>
      <w:r w:rsidR="00F71136" w:rsidRPr="00AD5A27">
        <w:t xml:space="preserve"> speculative</w:t>
      </w:r>
      <w:r w:rsidR="00876D11" w:rsidRPr="00AD5A27">
        <w:t xml:space="preserve"> at time of submission</w:t>
      </w:r>
      <w:r w:rsidR="00F71136" w:rsidRPr="00AD5A27">
        <w:t xml:space="preserve"> </w:t>
      </w:r>
      <w:r w:rsidR="00876D11" w:rsidRPr="00AD5A27">
        <w:t xml:space="preserve">as </w:t>
      </w:r>
      <w:r w:rsidR="00F71136" w:rsidRPr="00AD5A27">
        <w:t>price reductions through this policy cannot be prospectively determined.</w:t>
      </w:r>
      <w:r w:rsidR="00386F8E" w:rsidRPr="00AD5A27">
        <w:t xml:space="preserve"> The resubmission stated that a lower indication</w:t>
      </w:r>
      <w:r w:rsidR="005707A1" w:rsidRPr="00AD5A27">
        <w:t xml:space="preserve">-specific </w:t>
      </w:r>
      <w:r w:rsidR="00386F8E" w:rsidRPr="00AD5A27">
        <w:t>price will be incorporated into a weighted price, using the previously agreed method, if the</w:t>
      </w:r>
      <w:r w:rsidR="006046B0" w:rsidRPr="00AD5A27">
        <w:t xml:space="preserve"> approved ex-manufacturer price</w:t>
      </w:r>
      <w:r w:rsidR="00386F8E" w:rsidRPr="00AD5A27">
        <w:t xml:space="preserve"> </w:t>
      </w:r>
      <w:r w:rsidR="006046B0" w:rsidRPr="00AD5A27">
        <w:t>(</w:t>
      </w:r>
      <w:r w:rsidR="00386F8E" w:rsidRPr="00AD5A27">
        <w:t>AEMP</w:t>
      </w:r>
      <w:r w:rsidR="006046B0" w:rsidRPr="00AD5A27">
        <w:t>)</w:t>
      </w:r>
      <w:r w:rsidR="00386F8E" w:rsidRPr="00AD5A27">
        <w:t xml:space="preserve"> is higher than the indication price at the time of listing.</w:t>
      </w:r>
      <w:r w:rsidR="00876D11" w:rsidRPr="00AD5A27">
        <w:t xml:space="preserve"> Price disclosure related reductions were finalised prior to PBAC consideration, with a final AEMP of $</w:t>
      </w:r>
      <w:r w:rsidR="00876D11" w:rsidRPr="004113CC">
        <w:t>505.95</w:t>
      </w:r>
      <w:r w:rsidR="00876D11" w:rsidRPr="00AD5A27">
        <w:t xml:space="preserve"> for the 2 x 40 mg form of adalimumab.</w:t>
      </w:r>
    </w:p>
    <w:p w14:paraId="3F4D11D7" w14:textId="67D080C4" w:rsidR="00160CDB" w:rsidRPr="00AD5A27" w:rsidRDefault="002A66BB" w:rsidP="00C96008">
      <w:pPr>
        <w:pStyle w:val="3-BodyText"/>
      </w:pPr>
      <w:r w:rsidRPr="00AD5A27" w:rsidDel="001040F9">
        <w:t xml:space="preserve">The </w:t>
      </w:r>
      <w:r w:rsidRPr="00AD5A27">
        <w:t xml:space="preserve">proposed PBS restriction </w:t>
      </w:r>
      <w:r w:rsidR="0052015F" w:rsidRPr="00AD5A27">
        <w:t>included</w:t>
      </w:r>
      <w:r w:rsidRPr="00AD5A27">
        <w:t xml:space="preserve"> an </w:t>
      </w:r>
      <w:r w:rsidR="003018AF" w:rsidRPr="00AD5A27">
        <w:t>additional</w:t>
      </w:r>
      <w:r w:rsidRPr="00AD5A27">
        <w:t xml:space="preserve"> population </w:t>
      </w:r>
      <w:r w:rsidR="003018AF" w:rsidRPr="00AD5A27">
        <w:t>compared to the March 2017 submission</w:t>
      </w:r>
      <w:r w:rsidR="0031754E" w:rsidRPr="00AD5A27">
        <w:t xml:space="preserve">: children aged </w:t>
      </w:r>
      <w:r w:rsidR="0031754E" w:rsidRPr="00AD5A27">
        <w:rPr>
          <w:rFonts w:cstheme="minorHAnsi"/>
        </w:rPr>
        <w:t xml:space="preserve">≥ </w:t>
      </w:r>
      <w:r w:rsidRPr="00AD5A27">
        <w:t>2 years</w:t>
      </w:r>
      <w:r w:rsidR="0031754E" w:rsidRPr="00AD5A27">
        <w:t xml:space="preserve"> old</w:t>
      </w:r>
      <w:r w:rsidRPr="00AD5A27">
        <w:t>.</w:t>
      </w:r>
      <w:r w:rsidR="00A41B51" w:rsidRPr="00AD5A27">
        <w:t xml:space="preserve"> </w:t>
      </w:r>
      <w:r w:rsidR="0031754E" w:rsidRPr="00AD5A27">
        <w:t>However, t</w:t>
      </w:r>
      <w:r w:rsidR="00A41B51" w:rsidRPr="00AD5A27">
        <w:t>he Delegate’s Overview for the paediatric indication is not anticipated until September 2024, with registration expected around 31 December 2024 (6 months after PBAC consideration).</w:t>
      </w:r>
      <w:r w:rsidRPr="00AD5A27">
        <w:t xml:space="preserve"> Advice from the Royal Children’s Hospital Melbourne (</w:t>
      </w:r>
      <w:r w:rsidR="00445500" w:rsidRPr="00AD5A27">
        <w:t>p</w:t>
      </w:r>
      <w:r w:rsidR="00A36474" w:rsidRPr="00AD5A27">
        <w:t xml:space="preserve">aragraph </w:t>
      </w:r>
      <w:r w:rsidR="00445500" w:rsidRPr="00AD5A27">
        <w:t>[</w:t>
      </w:r>
      <w:r w:rsidRPr="00AD5A27">
        <w:t>para.</w:t>
      </w:r>
      <w:r w:rsidR="00445500" w:rsidRPr="00AD5A27">
        <w:t>]</w:t>
      </w:r>
      <w:r w:rsidRPr="00AD5A27">
        <w:t xml:space="preserve"> 7.3, adalimumab, </w:t>
      </w:r>
      <w:r w:rsidR="00A6396F" w:rsidRPr="00AD5A27">
        <w:t xml:space="preserve">Public Summary Document </w:t>
      </w:r>
      <w:r w:rsidR="00445500" w:rsidRPr="00AD5A27">
        <w:t>[</w:t>
      </w:r>
      <w:r w:rsidRPr="00AD5A27">
        <w:t>PSD</w:t>
      </w:r>
      <w:r w:rsidR="00445500" w:rsidRPr="00AD5A27">
        <w:t>]</w:t>
      </w:r>
      <w:r w:rsidRPr="00AD5A27">
        <w:t xml:space="preserve">, March 2017 PBAC meeting) recommended that due to different dosing requirements, a separate PBS restriction would be required if a paediatric listing was pursued. </w:t>
      </w:r>
      <w:r w:rsidR="0052015F" w:rsidRPr="00AD5A27">
        <w:t>A</w:t>
      </w:r>
      <w:r w:rsidRPr="00AD5A27">
        <w:t xml:space="preserve"> separate PBS </w:t>
      </w:r>
      <w:r w:rsidR="00A76109" w:rsidRPr="00AD5A27">
        <w:t xml:space="preserve">listing </w:t>
      </w:r>
      <w:r w:rsidR="0052015F" w:rsidRPr="00AD5A27">
        <w:t>for</w:t>
      </w:r>
      <w:r w:rsidRPr="00AD5A27">
        <w:t xml:space="preserve"> the paediatric population was </w:t>
      </w:r>
      <w:r w:rsidR="0052015F" w:rsidRPr="00AD5A27">
        <w:t xml:space="preserve">not </w:t>
      </w:r>
      <w:r w:rsidRPr="00AD5A27">
        <w:t>proposed</w:t>
      </w:r>
      <w:r w:rsidR="00C82735">
        <w:t>.</w:t>
      </w:r>
      <w:r w:rsidR="00B37A42" w:rsidRPr="00AD5A27">
        <w:t xml:space="preserve"> </w:t>
      </w:r>
      <w:r w:rsidR="00C82735">
        <w:t xml:space="preserve">The PBAC noted </w:t>
      </w:r>
      <w:r w:rsidR="004702D5" w:rsidRPr="00AD5A27">
        <w:t>a restriction that can appropriately define the criteria for both populations requires consideration</w:t>
      </w:r>
      <w:r w:rsidR="00C82735">
        <w:t xml:space="preserve"> when finalising the restriction criteria</w:t>
      </w:r>
      <w:r w:rsidR="00BC08F1" w:rsidRPr="00AD5A27">
        <w:t xml:space="preserve">. </w:t>
      </w:r>
    </w:p>
    <w:p w14:paraId="7E80DDF8" w14:textId="5313A589" w:rsidR="003C3DB8" w:rsidRPr="00AD5A27" w:rsidRDefault="001029D9" w:rsidP="002A66BB">
      <w:pPr>
        <w:pStyle w:val="3-BodyText"/>
      </w:pPr>
      <w:bookmarkStart w:id="11" w:name="_Hlk156298885"/>
      <w:r w:rsidRPr="00AD5A27">
        <w:lastRenderedPageBreak/>
        <w:t>The resubmission proposed “Vision threatening” severity</w:t>
      </w:r>
      <w:r w:rsidR="00896FC8" w:rsidRPr="00AD5A27">
        <w:t xml:space="preserve"> and not “Ocular inflammation of a severity that is vision threatening”</w:t>
      </w:r>
      <w:r w:rsidRPr="00AD5A27">
        <w:t xml:space="preserve">. This is aligned with the suggestions and additions proposed by the Secretariat to the requested listing restrictions accepted by the PBAC </w:t>
      </w:r>
      <w:r w:rsidR="00BD326B" w:rsidRPr="00AD5A27">
        <w:t>(</w:t>
      </w:r>
      <w:r w:rsidR="00600444" w:rsidRPr="00AD5A27">
        <w:t>para</w:t>
      </w:r>
      <w:r w:rsidR="005F075B" w:rsidRPr="00AD5A27">
        <w:t xml:space="preserve">. </w:t>
      </w:r>
      <w:r w:rsidR="004C43D4" w:rsidRPr="00AD5A27">
        <w:t xml:space="preserve">2.1 </w:t>
      </w:r>
      <w:r w:rsidR="00974A24" w:rsidRPr="00AD5A27">
        <w:t>adalimumab, PSD,</w:t>
      </w:r>
      <w:r w:rsidR="00086423" w:rsidRPr="00AD5A27">
        <w:t xml:space="preserve"> </w:t>
      </w:r>
      <w:r w:rsidRPr="00AD5A27">
        <w:t xml:space="preserve">March 2017 </w:t>
      </w:r>
      <w:r w:rsidR="00974A24" w:rsidRPr="00AD5A27">
        <w:t>PBAC meeting)</w:t>
      </w:r>
      <w:r w:rsidRPr="00AD5A27">
        <w:t xml:space="preserve">. </w:t>
      </w:r>
    </w:p>
    <w:p w14:paraId="473E9EFE" w14:textId="77777777" w:rsidR="0072542F" w:rsidRPr="00AD5A27" w:rsidRDefault="001F0C0A" w:rsidP="0072542F">
      <w:pPr>
        <w:pStyle w:val="3-BodyText"/>
      </w:pPr>
      <w:r w:rsidRPr="00AD5A27">
        <w:t>The</w:t>
      </w:r>
      <w:r w:rsidR="001B289A" w:rsidRPr="00AD5A27">
        <w:t xml:space="preserve"> evaluation noted that the</w:t>
      </w:r>
      <w:r w:rsidRPr="00AD5A27">
        <w:t xml:space="preserve"> resubmission removed </w:t>
      </w:r>
      <w:r w:rsidR="00523505" w:rsidRPr="00AD5A27">
        <w:t>“</w:t>
      </w:r>
      <w:r w:rsidR="00C469D8" w:rsidRPr="00AD5A27">
        <w:t xml:space="preserve">Patient has severe, vision-threatening ocular inflammation requiring rapid control” from the clinical criteria. </w:t>
      </w:r>
    </w:p>
    <w:p w14:paraId="3445042F" w14:textId="74738813" w:rsidR="0072542F" w:rsidRPr="00AD5A27" w:rsidRDefault="0072542F" w:rsidP="0072542F">
      <w:pPr>
        <w:pStyle w:val="3-BodyText"/>
      </w:pPr>
      <w:r w:rsidRPr="00AD5A27">
        <w:rPr>
          <w:lang w:eastAsia="en-US"/>
        </w:rPr>
        <w:t xml:space="preserve">The proposed PBS indication is ‘Vision threatening non-infectious uveitis’. As ‘vision threatening’ is potentially open to interpretation, the ESC considered that it may be appropriate to amend the PBS indication to ‘Non-infectious uveitis’. The severity of the condition and requirement for it to be vision threatening is outlined through the criteria in the restriction. </w:t>
      </w:r>
    </w:p>
    <w:bookmarkEnd w:id="11"/>
    <w:p w14:paraId="2DE6BDF9" w14:textId="58C385D6" w:rsidR="002A66BB" w:rsidRPr="00AD5A27" w:rsidRDefault="002A66BB" w:rsidP="00AB29B3">
      <w:pPr>
        <w:pStyle w:val="3-BodyText"/>
        <w:rPr>
          <w:color w:val="00B050"/>
        </w:rPr>
      </w:pPr>
      <w:r w:rsidRPr="00AD5A27">
        <w:t>The proposed PBS restriction requested a</w:t>
      </w:r>
      <w:r w:rsidR="002B671D" w:rsidRPr="00AD5A27">
        <w:t xml:space="preserve"> slightly</w:t>
      </w:r>
      <w:r w:rsidRPr="00AD5A27">
        <w:t xml:space="preserve"> expanded population</w:t>
      </w:r>
      <w:r w:rsidR="002B671D" w:rsidRPr="00AD5A27">
        <w:t xml:space="preserve"> compared to that requested in the March 2017 submission, the clinical trial evidence, and the TGA indication</w:t>
      </w:r>
      <w:r w:rsidRPr="00AD5A27">
        <w:t xml:space="preserve"> that included uveitis of no specific anatomical location. </w:t>
      </w:r>
      <w:r w:rsidR="00761F4E" w:rsidRPr="00AD5A27">
        <w:t xml:space="preserve">The key clinical trials (VISUAL I and II) excluded ‘isolated anterior non-infectious uveitis’ in adults. </w:t>
      </w:r>
      <w:r w:rsidRPr="00AD5A27">
        <w:t xml:space="preserve">The TGA indication included ‘pan-uveitis’ but did not explicitly mention ‘anterior uveitis’ in adults. Adults with anterior uveitis typically achieve disease quiescence with a short-burst corticosteroid. Biologic agents may not be clinically </w:t>
      </w:r>
      <w:r w:rsidR="00A76109" w:rsidRPr="00AD5A27">
        <w:t xml:space="preserve">necessary </w:t>
      </w:r>
      <w:r w:rsidRPr="00AD5A27">
        <w:t>or used for adults with anterior uveitis only. The resubmission removed the reference to the anatomical location from the patient definition</w:t>
      </w:r>
      <w:r w:rsidR="00AB29B3" w:rsidRPr="00AD5A27">
        <w:t xml:space="preserve">. </w:t>
      </w:r>
      <w:r w:rsidR="00161957" w:rsidRPr="00AD5A27">
        <w:rPr>
          <w:lang w:eastAsia="en-US"/>
        </w:rPr>
        <w:t xml:space="preserve">The ESC considered anatomical location of disease was </w:t>
      </w:r>
      <w:r w:rsidR="00164D37" w:rsidRPr="00AD5A27">
        <w:rPr>
          <w:lang w:eastAsia="en-US"/>
        </w:rPr>
        <w:t>a relevant clinical</w:t>
      </w:r>
      <w:r w:rsidR="00161957" w:rsidRPr="00AD5A27">
        <w:rPr>
          <w:lang w:eastAsia="en-US"/>
        </w:rPr>
        <w:t xml:space="preserve"> consideration because of the relationship between location and clinical manifestations of non-infectious uveitis, including severity of symptoms, duration of flare and predictors of response to corticosteroids and conventional therapies</w:t>
      </w:r>
      <w:r w:rsidR="00164D37" w:rsidRPr="00AD5A27">
        <w:rPr>
          <w:lang w:eastAsia="en-US"/>
        </w:rPr>
        <w:t xml:space="preserve">, however noted the manifestations of disease </w:t>
      </w:r>
      <w:r w:rsidR="004702D5" w:rsidRPr="00AD5A27">
        <w:rPr>
          <w:lang w:eastAsia="en-US"/>
        </w:rPr>
        <w:t>often</w:t>
      </w:r>
      <w:r w:rsidR="00164D37" w:rsidRPr="00AD5A27">
        <w:rPr>
          <w:lang w:eastAsia="en-US"/>
        </w:rPr>
        <w:t xml:space="preserve"> </w:t>
      </w:r>
      <w:r w:rsidR="004702D5" w:rsidRPr="00AD5A27">
        <w:rPr>
          <w:lang w:eastAsia="en-US"/>
        </w:rPr>
        <w:t>differed</w:t>
      </w:r>
      <w:r w:rsidR="00164D37" w:rsidRPr="00AD5A27">
        <w:rPr>
          <w:lang w:eastAsia="en-US"/>
        </w:rPr>
        <w:t xml:space="preserve"> between adult and paediatric patients</w:t>
      </w:r>
      <w:r w:rsidR="00161957" w:rsidRPr="00AD5A27">
        <w:rPr>
          <w:lang w:eastAsia="en-US"/>
        </w:rPr>
        <w:t>.</w:t>
      </w:r>
    </w:p>
    <w:p w14:paraId="0812D626" w14:textId="1529EF30" w:rsidR="002A66BB" w:rsidRPr="00AD5A27" w:rsidRDefault="002A66BB" w:rsidP="002A66BB">
      <w:pPr>
        <w:pStyle w:val="3-BodyText"/>
      </w:pPr>
      <w:r w:rsidRPr="00AD5A27">
        <w:t>The proposed PBS restriction redefined vision-threatening disease as a decrease in visual acuity of 10 (not 15) letters on Early Treatment of Diabetic Retinopathy Study (ETDRS) (in addition to other criteria). This was based on clinical advice that a decrease of 15 letters is catastrophic, rarely seen in practice, and no longer accepted as clinically appropriate</w:t>
      </w:r>
      <w:r w:rsidR="00161957" w:rsidRPr="00AD5A27">
        <w:t>. The ESC</w:t>
      </w:r>
      <w:r w:rsidR="00097513" w:rsidRPr="00AD5A27">
        <w:t xml:space="preserve"> and PBAC</w:t>
      </w:r>
      <w:r w:rsidR="00161957" w:rsidRPr="00AD5A27">
        <w:t xml:space="preserve"> considered this was appropriate.</w:t>
      </w:r>
      <w:r w:rsidR="009C4D3F" w:rsidRPr="00AD5A27">
        <w:t xml:space="preserve"> </w:t>
      </w:r>
    </w:p>
    <w:p w14:paraId="3166CAF8" w14:textId="70FE148B" w:rsidR="00116B08" w:rsidRPr="00AD5A27" w:rsidRDefault="002A66BB" w:rsidP="002A66BB">
      <w:pPr>
        <w:pStyle w:val="3-BodyText"/>
      </w:pPr>
      <w:r w:rsidRPr="00AD5A27">
        <w:t>The resubmission suggested that once uveitis had been held in corticosteroid-free quiescence for at least 2 years, adalimumab and other immunomodulatory therapy may be withdrawn.</w:t>
      </w:r>
      <w:r w:rsidR="000A4089" w:rsidRPr="00AD5A27">
        <w:t xml:space="preserve"> </w:t>
      </w:r>
      <w:r w:rsidR="00970319" w:rsidRPr="00AD5A27">
        <w:t>No maximum treatment duration was applied in the economic model</w:t>
      </w:r>
      <w:r w:rsidR="00AD5A27">
        <w:t xml:space="preserve">. </w:t>
      </w:r>
      <w:r w:rsidR="00021AD7" w:rsidRPr="00AD5A27">
        <w:t>The ESC considered it may be reasonable to include criteria for the withdrawal of treatment after a period of corticosteroid-free quiescence after 1</w:t>
      </w:r>
      <w:r w:rsidR="00021AD7" w:rsidRPr="00AD5A27">
        <w:rPr>
          <w:rFonts w:cstheme="minorHAnsi"/>
        </w:rPr>
        <w:t>−</w:t>
      </w:r>
      <w:r w:rsidR="00021AD7" w:rsidRPr="00AD5A27">
        <w:t>2 years or another mechanism to attempt withdrawal of adalimumab, with the ability to recommence treatment if the condition recurs.</w:t>
      </w:r>
      <w:r w:rsidR="00097513" w:rsidRPr="00AD5A27">
        <w:t xml:space="preserve"> The Pre-PBAC Response argued that due to the rare and often aggressive nature of disease, appropriate timing for tapered dosing is an individualised clinical decision and therefore restrictions which mandate withdrawal at a certain timepoint are clinically inappropriate, may decrease the </w:t>
      </w:r>
      <w:r w:rsidR="00097513" w:rsidRPr="00AD5A27">
        <w:lastRenderedPageBreak/>
        <w:t xml:space="preserve">success of treatment and create additional stress and anxiety for patients. The PBAC agreed it was appropriate for the timing of attempting to withdraw adalimumab to be a decision for clinicians. </w:t>
      </w:r>
    </w:p>
    <w:p w14:paraId="55AE175E" w14:textId="5FD02F9B" w:rsidR="002A66BB" w:rsidRPr="00AD5A27" w:rsidRDefault="00522B40" w:rsidP="00116B08">
      <w:pPr>
        <w:pStyle w:val="ExecSumBodyText"/>
        <w:numPr>
          <w:ilvl w:val="1"/>
          <w:numId w:val="4"/>
        </w:numPr>
        <w:spacing w:before="120"/>
      </w:pPr>
      <w:r w:rsidRPr="00AD5A27">
        <w:t>For the diagnosis and treatment (directly or in consultation) of non-infectious uveitis that is vision threatening, t</w:t>
      </w:r>
      <w:r w:rsidR="00116B08" w:rsidRPr="00AD5A27">
        <w:t xml:space="preserve">he resubmission proposed including </w:t>
      </w:r>
      <w:r w:rsidRPr="00AD5A27">
        <w:t>a</w:t>
      </w:r>
      <w:r w:rsidR="00116B08" w:rsidRPr="00AD5A27">
        <w:t xml:space="preserve"> rheumatologist or immunologist </w:t>
      </w:r>
      <w:r w:rsidRPr="00AD5A27">
        <w:t>(in addition to an ophthalmologist) to the proposed restriction.</w:t>
      </w:r>
      <w:r w:rsidR="000F00AC" w:rsidRPr="00AD5A27">
        <w:t xml:space="preserve"> </w:t>
      </w:r>
      <w:r w:rsidR="000371F3" w:rsidRPr="00AD5A27">
        <w:rPr>
          <w:lang w:eastAsia="en-US"/>
        </w:rPr>
        <w:t xml:space="preserve">The ESC </w:t>
      </w:r>
      <w:r w:rsidR="00001E1C" w:rsidRPr="00AD5A27">
        <w:rPr>
          <w:lang w:eastAsia="en-US"/>
        </w:rPr>
        <w:t>considered</w:t>
      </w:r>
      <w:r w:rsidR="000371F3" w:rsidRPr="00AD5A27">
        <w:rPr>
          <w:lang w:eastAsia="en-US"/>
        </w:rPr>
        <w:t xml:space="preserve"> that all patients</w:t>
      </w:r>
      <w:r w:rsidR="00F62AAD" w:rsidRPr="00AD5A27">
        <w:rPr>
          <w:lang w:eastAsia="en-US"/>
        </w:rPr>
        <w:t xml:space="preserve"> with non-infectious uveitis</w:t>
      </w:r>
      <w:r w:rsidR="000371F3" w:rsidRPr="00AD5A27">
        <w:rPr>
          <w:lang w:eastAsia="en-US"/>
        </w:rPr>
        <w:t xml:space="preserve"> would be likely to have seen an ophthalmologist</w:t>
      </w:r>
      <w:r w:rsidR="00077F4E" w:rsidRPr="00AD5A27">
        <w:rPr>
          <w:lang w:eastAsia="en-US"/>
        </w:rPr>
        <w:t>, and the role of rheumatologists and immunologists in management of non-infectious uveitis was unclear</w:t>
      </w:r>
      <w:r w:rsidR="000371F3" w:rsidRPr="00AD5A27">
        <w:rPr>
          <w:lang w:eastAsia="en-US"/>
        </w:rPr>
        <w:t>.</w:t>
      </w:r>
    </w:p>
    <w:p w14:paraId="12C34765" w14:textId="080FCBEB" w:rsidR="002A66BB" w:rsidRPr="00AD5A27" w:rsidRDefault="002A66BB" w:rsidP="002A66BB">
      <w:pPr>
        <w:pStyle w:val="3-BodyText"/>
      </w:pPr>
      <w:r w:rsidRPr="00AD5A27">
        <w:t xml:space="preserve">The proposed PBS restriction population in the resubmission was adalimumab for the treatment of non-infectious uveitis after the failure of oral corticosteroids (OCS) with or without an immunomodulatory agent. These patients would become PBS eligible for biologic therapy potentially earlier than currently required under the PBS restrictions for other systemic immune diseases (e.g. the restriction of rheumatoid arthritis includes the failure of at least 2 disease-modifying anti-rheumatic drugs </w:t>
      </w:r>
      <w:r w:rsidR="0092131F" w:rsidRPr="00AD5A27">
        <w:t>[</w:t>
      </w:r>
      <w:r w:rsidRPr="00AD5A27">
        <w:t>DMARDs</w:t>
      </w:r>
      <w:r w:rsidR="0092131F" w:rsidRPr="00AD5A27">
        <w:t>]</w:t>
      </w:r>
      <w:r w:rsidRPr="00AD5A27">
        <w:t>). The use in patients with uveitis and systemic disease is clinically appropriate but may represent an avenue for leakage around existing restrictions (para. 2.4, adalimumab, PSD, March 2017 PBAC meeting)</w:t>
      </w:r>
      <w:r w:rsidR="00E0524F" w:rsidRPr="00AD5A27">
        <w:t xml:space="preserve">. The ESC </w:t>
      </w:r>
      <w:r w:rsidR="000371F3" w:rsidRPr="00AD5A27">
        <w:t xml:space="preserve">noted this, but </w:t>
      </w:r>
      <w:r w:rsidR="00E0524F" w:rsidRPr="00AD5A27">
        <w:t>considered the risk of leakage to other indications was low.</w:t>
      </w:r>
    </w:p>
    <w:p w14:paraId="6896A3CA" w14:textId="07BD3F03" w:rsidR="002A66BB" w:rsidRPr="00AD5A27" w:rsidRDefault="002A66BB" w:rsidP="002A66BB">
      <w:pPr>
        <w:pStyle w:val="3-BodyText"/>
      </w:pPr>
      <w:r w:rsidRPr="00AD5A27">
        <w:t>The PBS restriction was not consistent with the clinical trial evidence</w:t>
      </w:r>
      <w:r w:rsidR="0031754E" w:rsidRPr="00AD5A27">
        <w:t>:</w:t>
      </w:r>
    </w:p>
    <w:p w14:paraId="76165BC3" w14:textId="3E5D8C7A" w:rsidR="002A66BB" w:rsidRPr="00AD5A27" w:rsidRDefault="002A66BB" w:rsidP="005B3215">
      <w:pPr>
        <w:pStyle w:val="3-BodyText"/>
        <w:numPr>
          <w:ilvl w:val="2"/>
          <w:numId w:val="19"/>
        </w:numPr>
        <w:ind w:left="1094" w:hanging="357"/>
      </w:pPr>
      <w:r w:rsidRPr="00AD5A27">
        <w:t xml:space="preserve">The resubmission requested a </w:t>
      </w:r>
      <w:r w:rsidR="002B671D" w:rsidRPr="00AD5A27">
        <w:t xml:space="preserve">slightly </w:t>
      </w:r>
      <w:r w:rsidRPr="00AD5A27">
        <w:t xml:space="preserve">expanded population </w:t>
      </w:r>
      <w:r w:rsidR="002B671D" w:rsidRPr="00AD5A27">
        <w:t xml:space="preserve">compared to that requested in the March 2017 submission, the clinical trial evidence, and the TGA indication </w:t>
      </w:r>
      <w:r w:rsidRPr="00AD5A27">
        <w:t xml:space="preserve">by removing the reference to specific anatomical locations. </w:t>
      </w:r>
      <w:r w:rsidR="002B671D" w:rsidRPr="00AD5A27">
        <w:t>T</w:t>
      </w:r>
      <w:r w:rsidRPr="00AD5A27">
        <w:t xml:space="preserve">he key clinical trials (VISUAL I and II) excluded ‘isolated anterior non-infectious uveitis’ in adults. </w:t>
      </w:r>
    </w:p>
    <w:p w14:paraId="52CB50CF" w14:textId="38CF8373" w:rsidR="002A66BB" w:rsidRPr="00AD5A27" w:rsidRDefault="002A66BB" w:rsidP="005B3215">
      <w:pPr>
        <w:pStyle w:val="3-BodyText"/>
        <w:numPr>
          <w:ilvl w:val="2"/>
          <w:numId w:val="19"/>
        </w:numPr>
        <w:ind w:left="1094" w:hanging="357"/>
      </w:pPr>
      <w:r w:rsidRPr="00AD5A27">
        <w:t xml:space="preserve">The key paediatric trials (ADJUVITE and SYCAMORE) were conducted in patients with </w:t>
      </w:r>
      <w:r w:rsidR="00D016B3" w:rsidRPr="00AD5A27">
        <w:t>juvenile idiopathic arthritis (</w:t>
      </w:r>
      <w:r w:rsidRPr="00AD5A27">
        <w:t>JIA</w:t>
      </w:r>
      <w:r w:rsidR="00D016B3" w:rsidRPr="00AD5A27">
        <w:t>)</w:t>
      </w:r>
      <w:r w:rsidRPr="00AD5A27">
        <w:t xml:space="preserve"> with ADJUVITE also including idiopathic uveitis patients. Clinical evidence was not presented for patients with other systemic immune diseases. Furthermore, </w:t>
      </w:r>
      <w:r w:rsidRPr="00AD5A27">
        <w:rPr>
          <w:rStyle w:val="normaltextrun"/>
          <w:rFonts w:ascii="Calibri" w:hAnsi="Calibri" w:cs="Calibri"/>
          <w:color w:val="000000" w:themeColor="text1"/>
        </w:rPr>
        <w:t xml:space="preserve">both SYCAMORE and ADJUVITE trials required patients to have failed methotrexate therapy, and </w:t>
      </w:r>
      <w:r w:rsidRPr="00AD5A27">
        <w:t>in the ADJUVITE trial the median daily dose of corticosteroids was 5 mg and under the comparator threshold of &gt;7.5mg of corticosteroid.</w:t>
      </w:r>
      <w:r w:rsidRPr="00AD5A27">
        <w:rPr>
          <w:rStyle w:val="FootnoteReference"/>
        </w:rPr>
        <w:footnoteReference w:id="2"/>
      </w:r>
      <w:r w:rsidRPr="00AD5A27">
        <w:t xml:space="preserve"> </w:t>
      </w:r>
      <w:r w:rsidR="00C63EEE" w:rsidRPr="00AD5A27">
        <w:t xml:space="preserve"> </w:t>
      </w:r>
      <w:r w:rsidR="000F00AC" w:rsidRPr="00AD5A27">
        <w:t>The ESC considered that</w:t>
      </w:r>
      <w:r w:rsidR="0088710A" w:rsidRPr="00AD5A27">
        <w:t xml:space="preserve"> </w:t>
      </w:r>
      <w:r w:rsidR="00AE13D2" w:rsidRPr="00AD5A27">
        <w:t xml:space="preserve">the proposed restriction </w:t>
      </w:r>
      <w:r w:rsidR="001306C0" w:rsidRPr="00AD5A27">
        <w:t xml:space="preserve">for adults regarding OCS use </w:t>
      </w:r>
      <w:r w:rsidR="000F00AC" w:rsidRPr="00AD5A27">
        <w:t xml:space="preserve">was likely </w:t>
      </w:r>
      <w:r w:rsidR="001306C0" w:rsidRPr="00AD5A27">
        <w:t>not</w:t>
      </w:r>
      <w:r w:rsidR="0088710A" w:rsidRPr="00AD5A27">
        <w:t xml:space="preserve"> </w:t>
      </w:r>
      <w:r w:rsidR="001306C0" w:rsidRPr="00AD5A27">
        <w:t xml:space="preserve">appropriate for </w:t>
      </w:r>
      <w:r w:rsidR="00AE2A6B" w:rsidRPr="00AD5A27">
        <w:t>paediatric</w:t>
      </w:r>
      <w:r w:rsidR="004B50F3" w:rsidRPr="00AD5A27">
        <w:t xml:space="preserve"> patients.</w:t>
      </w:r>
    </w:p>
    <w:p w14:paraId="0D6A6A76" w14:textId="77777777" w:rsidR="00DC645D" w:rsidRPr="00AD5A27" w:rsidRDefault="00DC645D" w:rsidP="00DC645D">
      <w:pPr>
        <w:ind w:firstLine="709"/>
        <w:rPr>
          <w:rFonts w:asciiTheme="minorHAnsi" w:hAnsiTheme="minorHAnsi"/>
          <w:i/>
        </w:rPr>
      </w:pPr>
      <w:bookmarkStart w:id="12" w:name="_Hlk76375324"/>
      <w:r w:rsidRPr="00AD5A27">
        <w:rPr>
          <w:rFonts w:asciiTheme="minorHAnsi" w:hAnsiTheme="minorHAnsi"/>
          <w:i/>
        </w:rPr>
        <w:t>For more detail on PBAC’s view, see section 7 PBAC outcome.</w:t>
      </w:r>
    </w:p>
    <w:p w14:paraId="4903A1B8" w14:textId="77777777" w:rsidR="002A66BB" w:rsidRPr="00AD5A27" w:rsidDel="00195452" w:rsidRDefault="002A66BB">
      <w:pPr>
        <w:pStyle w:val="2-SectionHeading"/>
      </w:pPr>
      <w:bookmarkStart w:id="13" w:name="_Toc156988901"/>
      <w:bookmarkEnd w:id="12"/>
      <w:r w:rsidRPr="00AD5A27" w:rsidDel="00195452">
        <w:lastRenderedPageBreak/>
        <w:t>Population and disease</w:t>
      </w:r>
      <w:bookmarkEnd w:id="13"/>
    </w:p>
    <w:p w14:paraId="2B5FE38A" w14:textId="77777777" w:rsidR="002A66BB" w:rsidRPr="00AD5A27" w:rsidRDefault="002A66BB" w:rsidP="002A66BB">
      <w:pPr>
        <w:pStyle w:val="3-BodyText"/>
        <w:rPr>
          <w:rFonts w:ascii="Calibri" w:eastAsia="Calibri" w:hAnsi="Calibri" w:cs="Calibri"/>
        </w:rPr>
      </w:pPr>
      <w:r w:rsidRPr="00AD5A27">
        <w:t xml:space="preserve">Non-infectious uveitis is a rare but serious inflammatory eye disease that is one of the leading causes of vision loss in adults and children. </w:t>
      </w:r>
      <w:r w:rsidRPr="00AD5A27">
        <w:rPr>
          <w:rFonts w:ascii="Calibri" w:eastAsia="Calibri" w:hAnsi="Calibri" w:cs="Calibri"/>
        </w:rPr>
        <w:t>Non-infectious uveitis goes through phases of active inflammation or flare where patients are aware of ocular discomfort, pain, redness, or blurred/decreased vision. Disease flare is separated by periods of variable length when the inflammation has settled, and the patient is asymptomatic.</w:t>
      </w:r>
      <w:r w:rsidRPr="00AD5A27">
        <w:t xml:space="preserve"> Affected patients are at high risk of ocular complications including cataracts, glaucoma, cystoid macular oedema (CMO), retinal detachment, macular scaring, optic neuropathy, macular ischaemia, and permanent vision loss. </w:t>
      </w:r>
      <w:r w:rsidRPr="00AD5A27">
        <w:rPr>
          <w:rFonts w:ascii="Calibri" w:eastAsia="Calibri" w:hAnsi="Calibri" w:cs="Calibri"/>
        </w:rPr>
        <w:t xml:space="preserve">In most cases of uveitis, visual morbidity usually does not occur from a single inflammatory flare; rather, recurrent episodes of inflammation cause cumulative eye damage. </w:t>
      </w:r>
      <w:r w:rsidRPr="00AD5A27">
        <w:t xml:space="preserve">Vision loss associated with non-infectious uveitis has a negative impact on quality of life and activities of daily living. </w:t>
      </w:r>
      <w:r w:rsidRPr="00AD5A27">
        <w:rPr>
          <w:rFonts w:ascii="Calibri" w:eastAsia="Calibri" w:hAnsi="Calibri" w:cs="Calibri"/>
        </w:rPr>
        <w:t>In Australia, the prevalence of adult uveitis was estimated to be 36.27 cases/100,000 persons, and the prevalence of paediatric uveitis was estimated to be 30/100,000 children.</w:t>
      </w:r>
      <w:r w:rsidRPr="00AD5A27">
        <w:rPr>
          <w:rStyle w:val="FootnoteReference"/>
          <w:rFonts w:ascii="Calibri" w:eastAsia="Calibri" w:hAnsi="Calibri" w:cs="Calibri"/>
        </w:rPr>
        <w:footnoteReference w:id="3"/>
      </w:r>
    </w:p>
    <w:p w14:paraId="18A8FADA" w14:textId="77777777" w:rsidR="002A66BB" w:rsidRPr="00AD5A27" w:rsidRDefault="002A66BB">
      <w:pPr>
        <w:pStyle w:val="3-BodyText"/>
        <w:rPr>
          <w:rFonts w:eastAsia="Calibri"/>
        </w:rPr>
      </w:pPr>
      <w:r w:rsidRPr="00AD5A27">
        <w:rPr>
          <w:rFonts w:eastAsia="Calibri"/>
        </w:rPr>
        <w:t>First-line treatment of vision-threatening non-infectious uveitis is high-dose (oral or intravenous) systemic corticosteroids. The corticosteroid dose will then be decreased or tapered. The goal of treatment is the induction of durable, corticosteroid-free quiescence and preservation of vision. I</w:t>
      </w:r>
      <w:r w:rsidRPr="00AD5A27">
        <w:t>mmunomodulatory therapy</w:t>
      </w:r>
      <w:r w:rsidRPr="00AD5A27">
        <w:rPr>
          <w:rFonts w:eastAsia="Calibri"/>
        </w:rPr>
        <w:t xml:space="preserve"> may then be introduced to control inflammation and prevent the patient from flaring.</w:t>
      </w:r>
    </w:p>
    <w:p w14:paraId="25AC4F3E" w14:textId="77777777" w:rsidR="002A66BB" w:rsidRPr="00AD5A27" w:rsidRDefault="002A66BB" w:rsidP="002A66BB">
      <w:pPr>
        <w:pStyle w:val="3-BodyText"/>
      </w:pPr>
      <w:r w:rsidRPr="00AD5A27">
        <w:t>The resubmission</w:t>
      </w:r>
      <w:r w:rsidRPr="00AD5A27" w:rsidDel="00222D8C">
        <w:t xml:space="preserve"> </w:t>
      </w:r>
      <w:r w:rsidRPr="00AD5A27">
        <w:t xml:space="preserve">clinical management algorithm positioned adalimumab as an alternative treatment for patients who have failed, or who are intolerant or contraindicated to treatment with a corticosteroid and an immunomodulatory therapy. This was unchanged from the March 2017 submission (para. 4.2, adalimumab, PSD, March 2017 PBAC meeting). </w:t>
      </w:r>
    </w:p>
    <w:p w14:paraId="5E68D364" w14:textId="5E6712B4" w:rsidR="002A66BB" w:rsidRPr="00AD5A27" w:rsidDel="00195452" w:rsidRDefault="002A66BB" w:rsidP="002A66BB">
      <w:pPr>
        <w:pStyle w:val="3-BodyText"/>
      </w:pPr>
      <w:r w:rsidRPr="00AD5A27">
        <w:t>The clinical management algorithm for adults included the withdrawal of immunotherapy if corticosteroid-free quiescence was achieved for at least 2 years. However, the TGA product information (PI) stated that “It is recommended that the benefit and risk of continued long-term treatment should be evaluated on a yearly basis” (TGA draft PI, adalimumab 27 September 2023). The open label extension study in adults, VISUAL III, followed patients up to week 150, when approximately 50% of patients remained in the study.</w:t>
      </w:r>
      <w:r w:rsidRPr="00AD5A27">
        <w:rPr>
          <w:rStyle w:val="FootnoteReference"/>
        </w:rPr>
        <w:footnoteReference w:id="4"/>
      </w:r>
      <w:r w:rsidRPr="00AD5A27">
        <w:t xml:space="preserve"> Furthermore, Eurelings et al. (2022) reported the median treatment duration until discontinuation was 3.2 years and the median time </w:t>
      </w:r>
      <w:r w:rsidRPr="00AD5A27">
        <w:lastRenderedPageBreak/>
        <w:t>to the first relapse was 3.4 years (range, 0-13 years).</w:t>
      </w:r>
      <w:r w:rsidRPr="00AD5A27">
        <w:rPr>
          <w:rStyle w:val="FootnoteReference"/>
        </w:rPr>
        <w:footnoteReference w:id="5"/>
      </w:r>
      <w:r w:rsidRPr="00AD5A27">
        <w:t xml:space="preserve"> This would suggest that a significant proportion of patients would be treated for more than 2 years. </w:t>
      </w:r>
    </w:p>
    <w:p w14:paraId="7682834F" w14:textId="77777777" w:rsidR="002A66BB" w:rsidRPr="00AD5A27" w:rsidRDefault="002A66BB" w:rsidP="002A66BB">
      <w:pPr>
        <w:pStyle w:val="3-BodyText"/>
        <w:rPr>
          <w:rFonts w:ascii="Calibri" w:eastAsia="Calibri" w:hAnsi="Calibri" w:cs="Calibri"/>
        </w:rPr>
      </w:pPr>
      <w:r w:rsidRPr="00AD5A27">
        <w:rPr>
          <w:rFonts w:ascii="Calibri" w:eastAsia="Calibri" w:hAnsi="Calibri" w:cs="Calibri"/>
        </w:rPr>
        <w:t>There was no specific clinical management algorithm presented for paediatric patients.</w:t>
      </w:r>
    </w:p>
    <w:p w14:paraId="07F461B1" w14:textId="3C0863B8" w:rsidR="002A66BB" w:rsidRPr="00AD5A27" w:rsidRDefault="002A66BB" w:rsidP="002A66BB">
      <w:pPr>
        <w:pStyle w:val="3-BodyText"/>
      </w:pPr>
      <w:r w:rsidRPr="00AD5A27">
        <w:t>Adalimumab is a</w:t>
      </w:r>
      <w:r w:rsidR="005D1BF6" w:rsidRPr="00AD5A27">
        <w:t xml:space="preserve"> tumour necrosis factor alfa</w:t>
      </w:r>
      <w:r w:rsidRPr="00AD5A27">
        <w:t xml:space="preserve"> </w:t>
      </w:r>
      <w:r w:rsidR="005D1BF6" w:rsidRPr="00AD5A27">
        <w:t>(</w:t>
      </w:r>
      <w:r w:rsidRPr="00AD5A27">
        <w:t>TNF-α</w:t>
      </w:r>
      <w:r w:rsidR="005D1BF6" w:rsidRPr="00AD5A27">
        <w:t>)</w:t>
      </w:r>
      <w:r w:rsidRPr="00AD5A27">
        <w:t xml:space="preserve"> inhibitor that binds to TNF-α and neutralises its biological function by blocking its interaction with the p55 and p75 cell surface TNF-α receptors. TNF-α is a naturally occurring cytokine that is involved in normal inflammatory and immune responses. Adalimumab also modulates biological responses that are induced or regulated by TNF-α, including changes in the levels of adhesion molecules responsible for leukocyte migration. TNF-α has been shown to play a role in the perpetuation of inflammation in uveitis by facilitating further leukocyte infiltration via adhesion molecule upregulation, macrophage activation, and dendritic cell maturation/survival. </w:t>
      </w:r>
    </w:p>
    <w:p w14:paraId="45547DAC" w14:textId="4C54EBC4" w:rsidR="002A66BB" w:rsidRPr="00AD5A27" w:rsidRDefault="002A66BB" w:rsidP="002A66BB">
      <w:pPr>
        <w:pStyle w:val="3-BodyText"/>
      </w:pPr>
      <w:r w:rsidRPr="00AD5A27">
        <w:t>Adalimumab co-administered therapies consist of high-dose OCS (&gt;7.5 mg/day) with or without an immunomodulatory agent.</w:t>
      </w:r>
      <w:r w:rsidR="00DC645D" w:rsidRPr="00AD5A27">
        <w:t xml:space="preserve"> </w:t>
      </w:r>
    </w:p>
    <w:p w14:paraId="0C4EE4E8" w14:textId="77777777" w:rsidR="00DC645D" w:rsidRPr="00AD5A27" w:rsidRDefault="00DC645D" w:rsidP="00DC645D">
      <w:pPr>
        <w:ind w:firstLine="709"/>
        <w:rPr>
          <w:rFonts w:asciiTheme="minorHAnsi" w:hAnsiTheme="minorHAnsi"/>
          <w:i/>
        </w:rPr>
      </w:pPr>
      <w:r w:rsidRPr="00AD5A27">
        <w:rPr>
          <w:rFonts w:asciiTheme="minorHAnsi" w:hAnsiTheme="minorHAnsi"/>
          <w:i/>
        </w:rPr>
        <w:t>For more detail on PBAC’s view, see section 7 PBAC outcome.</w:t>
      </w:r>
    </w:p>
    <w:p w14:paraId="5565F611" w14:textId="77777777" w:rsidR="002A66BB" w:rsidRPr="00AD5A27" w:rsidRDefault="002A66BB">
      <w:pPr>
        <w:pStyle w:val="2-SectionHeading"/>
      </w:pPr>
      <w:bookmarkStart w:id="14" w:name="_Toc156988902"/>
      <w:r w:rsidRPr="00AD5A27">
        <w:t>Comparator</w:t>
      </w:r>
      <w:bookmarkEnd w:id="14"/>
    </w:p>
    <w:p w14:paraId="439DC810" w14:textId="161FFF25" w:rsidR="002A66BB" w:rsidRPr="00AD5A27" w:rsidRDefault="002A66BB" w:rsidP="002A66BB">
      <w:pPr>
        <w:pStyle w:val="3-BodyText"/>
        <w:rPr>
          <w:snapToGrid/>
        </w:rPr>
      </w:pPr>
      <w:bookmarkStart w:id="15" w:name="_Ref163047133"/>
      <w:r w:rsidRPr="00AD5A27">
        <w:rPr>
          <w:snapToGrid/>
        </w:rPr>
        <w:t>The resubmission nominated best supportive care (BSC) as the</w:t>
      </w:r>
      <w:r w:rsidR="0011146C" w:rsidRPr="00AD5A27">
        <w:rPr>
          <w:snapToGrid/>
        </w:rPr>
        <w:t xml:space="preserve"> </w:t>
      </w:r>
      <w:r w:rsidRPr="00AD5A27">
        <w:rPr>
          <w:snapToGrid/>
        </w:rPr>
        <w:t>comparator. The proposed comparator consisted of high-dose OCS (&gt;</w:t>
      </w:r>
      <w:r w:rsidR="005D13D9" w:rsidRPr="00AD5A27">
        <w:rPr>
          <w:snapToGrid/>
        </w:rPr>
        <w:t xml:space="preserve"> </w:t>
      </w:r>
      <w:r w:rsidRPr="00AD5A27">
        <w:rPr>
          <w:snapToGrid/>
        </w:rPr>
        <w:t>7.5 mg/day) with or without an immunomodulatory agent</w:t>
      </w:r>
      <w:r w:rsidRPr="00AD5A27">
        <w:t>,</w:t>
      </w:r>
      <w:r w:rsidRPr="00AD5A27">
        <w:rPr>
          <w:snapToGrid/>
        </w:rPr>
        <w:t xml:space="preserve"> such as methotrexate, mycophenolate mofetil or cyclosporine. The main argument provided in support of this nomination was that there are no currently reimbursed treatments on the PBS for the proposed population. The comparator was accepted by the PBAC in the March 2017 submission (para</w:t>
      </w:r>
      <w:r w:rsidR="00D016B3" w:rsidRPr="00AD5A27">
        <w:rPr>
          <w:snapToGrid/>
        </w:rPr>
        <w:t>.</w:t>
      </w:r>
      <w:r w:rsidR="00EC05A6" w:rsidRPr="00AD5A27">
        <w:rPr>
          <w:snapToGrid/>
        </w:rPr>
        <w:t xml:space="preserve"> 7.4</w:t>
      </w:r>
      <w:r w:rsidRPr="00AD5A27">
        <w:rPr>
          <w:snapToGrid/>
        </w:rPr>
        <w:t>, adalimumab, PSD, March 2017 PBAC meeting)</w:t>
      </w:r>
      <w:r w:rsidR="00BD6E0F" w:rsidRPr="00AD5A27">
        <w:rPr>
          <w:snapToGrid/>
        </w:rPr>
        <w:t>.</w:t>
      </w:r>
      <w:bookmarkEnd w:id="15"/>
    </w:p>
    <w:p w14:paraId="1710D825" w14:textId="3345671F" w:rsidR="002A66BB" w:rsidRPr="00AD5A27" w:rsidRDefault="002A66BB" w:rsidP="002A66BB">
      <w:pPr>
        <w:pStyle w:val="3-BodyText"/>
        <w:rPr>
          <w:snapToGrid/>
        </w:rPr>
      </w:pPr>
      <w:r w:rsidRPr="00AD5A27">
        <w:t>Intravitreal dexamethasone was PBS-listed for the treatment of non-infectious posterior segment uveitis in April 2018. Adalimumab was nominated as a secondary near-market comparator in the submission. However, the PBAC determined that dexamethasone implant and adalimumab are likely to be used in different populations (submission) (para. 5.3, dexamethasone, PSD, November 2017 PBAC meeting).</w:t>
      </w:r>
    </w:p>
    <w:p w14:paraId="7C40BE1B" w14:textId="67CD34A8" w:rsidR="002A66BB" w:rsidRPr="00AD5A27" w:rsidRDefault="002A66BB" w:rsidP="002A66BB">
      <w:pPr>
        <w:pStyle w:val="3-BodyText"/>
        <w:rPr>
          <w:snapToGrid/>
        </w:rPr>
      </w:pPr>
      <w:r w:rsidRPr="00AD5A27">
        <w:t xml:space="preserve">There are currently no other biologic agents PBS listed for the treatment of non-infectious uveitis. </w:t>
      </w:r>
    </w:p>
    <w:p w14:paraId="5ACA1AA0" w14:textId="0891E10A" w:rsidR="002A66BB" w:rsidRPr="00AD5A27" w:rsidRDefault="002A66BB" w:rsidP="002A66BB">
      <w:pPr>
        <w:pStyle w:val="3-BodyText"/>
      </w:pPr>
      <w:r w:rsidRPr="00AD5A27">
        <w:t xml:space="preserve">The proposed PBS comparator in terms of the dose of corticosteroids may not be applicable to the paediatric population due to the risk of adverse events (AEs). There </w:t>
      </w:r>
      <w:r w:rsidRPr="00AD5A27">
        <w:lastRenderedPageBreak/>
        <w:t xml:space="preserve">was </w:t>
      </w:r>
      <w:r w:rsidR="003F524D" w:rsidRPr="00AD5A27">
        <w:t>essentially</w:t>
      </w:r>
      <w:r w:rsidR="00D016B3" w:rsidRPr="00AD5A27">
        <w:t xml:space="preserve"> </w:t>
      </w:r>
      <w:r w:rsidRPr="00AD5A27">
        <w:t>no corticosteroid use in the SYCAMORE trial</w:t>
      </w:r>
      <w:r w:rsidR="00D016B3" w:rsidRPr="00AD5A27">
        <w:rPr>
          <w:rStyle w:val="FootnoteReference"/>
        </w:rPr>
        <w:footnoteReference w:id="6"/>
      </w:r>
      <w:r w:rsidRPr="00AD5A27">
        <w:t xml:space="preserve"> (instead the trial used methotrexate) and a 5 mg median dose of corticosteroids was used in the ADJUVITE trial. The SYCAMORE trial population was also refractory to methotrexate.</w:t>
      </w:r>
      <w:r w:rsidR="0005181A" w:rsidRPr="00AD5A27">
        <w:t xml:space="preserve"> </w:t>
      </w:r>
      <w:r w:rsidR="0032221A" w:rsidRPr="00AD5A27">
        <w:t>The Australian Living Guideline for the Management of Juvenile Idiopathic Arthritis - Australia &amp; New Zealand Musculoskeletal Clinical Trials Network</w:t>
      </w:r>
      <w:r w:rsidR="00344CB9" w:rsidRPr="00AD5A27">
        <w:t xml:space="preserve">, </w:t>
      </w:r>
      <w:r w:rsidR="00A620E2" w:rsidRPr="00AD5A27">
        <w:t xml:space="preserve">recommend </w:t>
      </w:r>
      <w:r w:rsidR="00344CB9" w:rsidRPr="00AD5A27">
        <w:t>in</w:t>
      </w:r>
      <w:r w:rsidR="009E0581" w:rsidRPr="00AD5A27">
        <w:t xml:space="preserve"> </w:t>
      </w:r>
      <w:r w:rsidR="00C85BAC" w:rsidRPr="00AD5A27">
        <w:t>JIA</w:t>
      </w:r>
      <w:r w:rsidR="009E0581" w:rsidRPr="00AD5A27">
        <w:t xml:space="preserve"> associated uveitis</w:t>
      </w:r>
      <w:r w:rsidR="00DE61F2" w:rsidRPr="00AD5A27">
        <w:t>,</w:t>
      </w:r>
      <w:r w:rsidR="00BB6F79" w:rsidRPr="00AD5A27">
        <w:t xml:space="preserve"> </w:t>
      </w:r>
      <w:r w:rsidR="0005181A" w:rsidRPr="00AD5A27">
        <w:t xml:space="preserve">OCS </w:t>
      </w:r>
      <w:r w:rsidR="000743E9" w:rsidRPr="00AD5A27">
        <w:t>(topical or systemic)</w:t>
      </w:r>
      <w:r w:rsidR="0005181A" w:rsidRPr="00AD5A27">
        <w:t xml:space="preserve"> </w:t>
      </w:r>
      <w:r w:rsidR="0098016E" w:rsidRPr="00AD5A27">
        <w:t>use is limited by dose dependent complications such as cataract</w:t>
      </w:r>
      <w:r w:rsidR="00A459E5" w:rsidRPr="00AD5A27">
        <w:t>s</w:t>
      </w:r>
      <w:r w:rsidR="0098016E" w:rsidRPr="00AD5A27">
        <w:t xml:space="preserve"> and glaucoma.</w:t>
      </w:r>
      <w:r w:rsidR="007C28C1" w:rsidRPr="00AD5A27">
        <w:t xml:space="preserve"> </w:t>
      </w:r>
      <w:r w:rsidR="00541534" w:rsidRPr="00AD5A27">
        <w:t>While i</w:t>
      </w:r>
      <w:r w:rsidR="00C85BAC" w:rsidRPr="00AD5A27">
        <w:t xml:space="preserve">n </w:t>
      </w:r>
      <w:r w:rsidR="00D016B3" w:rsidRPr="00AD5A27">
        <w:t xml:space="preserve">patients with </w:t>
      </w:r>
      <w:r w:rsidR="00C85BAC" w:rsidRPr="00AD5A27">
        <w:t>JIA only</w:t>
      </w:r>
      <w:r w:rsidR="00966BDB" w:rsidRPr="00AD5A27">
        <w:t>,</w:t>
      </w:r>
      <w:r w:rsidR="00C85BAC" w:rsidRPr="00AD5A27">
        <w:t xml:space="preserve"> the</w:t>
      </w:r>
      <w:r w:rsidR="007C28C1" w:rsidRPr="00AD5A27">
        <w:t xml:space="preserve"> role of </w:t>
      </w:r>
      <w:r w:rsidR="00D63E83" w:rsidRPr="00AD5A27">
        <w:t xml:space="preserve">glucocorticoids </w:t>
      </w:r>
      <w:r w:rsidR="00B377FB" w:rsidRPr="00AD5A27">
        <w:t xml:space="preserve">is unclear. </w:t>
      </w:r>
      <w:r w:rsidR="005E337D" w:rsidRPr="00AD5A27">
        <w:t xml:space="preserve">Given the side-effects relating to long-term glucocorticoid use, it is generally accepted that they are not </w:t>
      </w:r>
      <w:r w:rsidR="003E5305" w:rsidRPr="00AD5A27">
        <w:t>a</w:t>
      </w:r>
      <w:r w:rsidR="005E337D" w:rsidRPr="00AD5A27">
        <w:t xml:space="preserve"> long-term treatment option.</w:t>
      </w:r>
      <w:r w:rsidR="004F107B" w:rsidRPr="00AD5A27">
        <w:rPr>
          <w:rStyle w:val="FootnoteReference"/>
        </w:rPr>
        <w:footnoteReference w:id="7"/>
      </w:r>
      <w:r w:rsidR="0098016E" w:rsidRPr="00AD5A27">
        <w:t xml:space="preserve"> </w:t>
      </w:r>
      <w:r w:rsidR="002F7175" w:rsidRPr="00AD5A27">
        <w:t xml:space="preserve">The </w:t>
      </w:r>
      <w:r w:rsidR="009B4CFA" w:rsidRPr="00F96B3C">
        <w:rPr>
          <w:bCs/>
        </w:rPr>
        <w:t>Pre-Sub-Committee Response</w:t>
      </w:r>
      <w:r w:rsidR="009B4CFA" w:rsidRPr="00AD5A27">
        <w:t xml:space="preserve"> </w:t>
      </w:r>
      <w:r w:rsidR="009B4CFA">
        <w:t>(</w:t>
      </w:r>
      <w:r w:rsidR="002F7175" w:rsidRPr="00AD5A27">
        <w:t>PSCR</w:t>
      </w:r>
      <w:r w:rsidR="009B4CFA">
        <w:t>)</w:t>
      </w:r>
      <w:r w:rsidR="002F7175" w:rsidRPr="00AD5A27">
        <w:t xml:space="preserve"> agreed with the evaluation that long-term use of high dose corticosteroids is clinically unacceptable due to the risk of AEs, particularly in children</w:t>
      </w:r>
      <w:r w:rsidR="00AD5A27">
        <w:t xml:space="preserve">. </w:t>
      </w:r>
      <w:r w:rsidR="002F7175" w:rsidRPr="00AD5A27">
        <w:t>The PSCR stated that while the variation in use of corticosteroids by age potentially impacts comparator selection, corticosteroids remain the only PBS funded treatment option in both populations, therefore a pragmatic approach has been taken in nominating a common comparator.</w:t>
      </w:r>
    </w:p>
    <w:p w14:paraId="166C600B" w14:textId="1740C2D3" w:rsidR="002A66BB" w:rsidRPr="00AD5A27" w:rsidRDefault="002A66BB" w:rsidP="002A66BB">
      <w:pPr>
        <w:pStyle w:val="3-BodyText"/>
        <w:rPr>
          <w:snapToGrid/>
        </w:rPr>
      </w:pPr>
      <w:r w:rsidRPr="00AD5A27">
        <w:t>The comparator in the economic model of the March 2017 submission was “standard of care (</w:t>
      </w:r>
      <w:r w:rsidRPr="00AD5A27">
        <w:rPr>
          <w:rFonts w:cs="Calibri"/>
        </w:rPr>
        <w:t>±</w:t>
      </w:r>
      <w:r w:rsidRPr="00AD5A27">
        <w:t xml:space="preserve"> oral corticosteroid or OCS)”, which hereafter will be referred to as BSC (</w:t>
      </w:r>
      <w:r w:rsidRPr="00AD5A27">
        <w:rPr>
          <w:rFonts w:cs="Calibri"/>
        </w:rPr>
        <w:t>±</w:t>
      </w:r>
      <w:r w:rsidR="00567ECB" w:rsidRPr="00AD5A27">
        <w:rPr>
          <w:rFonts w:cs="Calibri"/>
        </w:rPr>
        <w:t xml:space="preserve"> </w:t>
      </w:r>
      <w:r w:rsidRPr="00AD5A27">
        <w:t>OCS)</w:t>
      </w:r>
      <w:r w:rsidR="009C5EEA" w:rsidRPr="00AD5A27">
        <w:t>.</w:t>
      </w:r>
      <w:r w:rsidR="00DC645D" w:rsidRPr="00AD5A27">
        <w:t xml:space="preserve"> </w:t>
      </w:r>
    </w:p>
    <w:p w14:paraId="621F26BE" w14:textId="7BDF98E1" w:rsidR="00DC645D" w:rsidRPr="00AD5A27" w:rsidRDefault="00DC645D" w:rsidP="005333FF">
      <w:pPr>
        <w:ind w:firstLine="709"/>
        <w:rPr>
          <w:rFonts w:asciiTheme="minorHAnsi" w:hAnsiTheme="minorHAnsi"/>
          <w:i/>
        </w:rPr>
      </w:pPr>
      <w:r w:rsidRPr="00AD5A27">
        <w:rPr>
          <w:rFonts w:asciiTheme="minorHAnsi" w:hAnsiTheme="minorHAnsi"/>
          <w:i/>
        </w:rPr>
        <w:t>For more detail on PBAC’s view, see section 7 PBAC outcome.</w:t>
      </w:r>
    </w:p>
    <w:p w14:paraId="56AD3965" w14:textId="77777777" w:rsidR="002A66BB" w:rsidRPr="00AD5A27" w:rsidRDefault="002A66BB">
      <w:pPr>
        <w:pStyle w:val="2-SectionHeading"/>
      </w:pPr>
      <w:bookmarkStart w:id="16" w:name="_Toc156988903"/>
      <w:bookmarkStart w:id="17" w:name="_Toc22897640"/>
      <w:bookmarkEnd w:id="6"/>
      <w:r w:rsidRPr="00AD5A27">
        <w:t>Consideration of the evidence</w:t>
      </w:r>
      <w:bookmarkEnd w:id="16"/>
    </w:p>
    <w:p w14:paraId="2A9A10CC" w14:textId="77777777" w:rsidR="00DC645D" w:rsidRPr="00AD5A27" w:rsidRDefault="00DC645D" w:rsidP="00DB4FFB">
      <w:pPr>
        <w:pStyle w:val="3-SubsectionHeading"/>
        <w:outlineLvl w:val="1"/>
        <w:rPr>
          <w:lang w:eastAsia="en-AU"/>
        </w:rPr>
      </w:pPr>
      <w:bookmarkStart w:id="18" w:name="_Hlk76375935"/>
      <w:bookmarkStart w:id="19" w:name="_Toc156988904"/>
      <w:r w:rsidRPr="00AD5A27">
        <w:rPr>
          <w:lang w:eastAsia="en-AU"/>
        </w:rPr>
        <w:t>Sponsor hearing</w:t>
      </w:r>
    </w:p>
    <w:p w14:paraId="2E22C78D" w14:textId="0B93A126" w:rsidR="00016B40" w:rsidRPr="00AD5A27" w:rsidRDefault="00016B40" w:rsidP="00016B40">
      <w:pPr>
        <w:widowControl w:val="0"/>
        <w:numPr>
          <w:ilvl w:val="1"/>
          <w:numId w:val="4"/>
        </w:numPr>
        <w:spacing w:after="120"/>
        <w:rPr>
          <w:rFonts w:asciiTheme="minorHAnsi" w:hAnsiTheme="minorHAnsi"/>
          <w:bCs/>
          <w:snapToGrid w:val="0"/>
        </w:rPr>
      </w:pPr>
      <w:bookmarkStart w:id="20" w:name="_Hlk76382586"/>
      <w:r w:rsidRPr="00AD5A27">
        <w:rPr>
          <w:rFonts w:asciiTheme="minorHAnsi" w:hAnsiTheme="minorHAnsi"/>
          <w:bCs/>
          <w:snapToGrid w:val="0"/>
        </w:rPr>
        <w:t>The sponsor requested a hearing for this item</w:t>
      </w:r>
      <w:r w:rsidR="00AD5A27">
        <w:rPr>
          <w:rFonts w:asciiTheme="minorHAnsi" w:hAnsiTheme="minorHAnsi"/>
          <w:bCs/>
          <w:snapToGrid w:val="0"/>
        </w:rPr>
        <w:t xml:space="preserve">. </w:t>
      </w:r>
      <w:r w:rsidRPr="00AD5A27">
        <w:rPr>
          <w:rFonts w:asciiTheme="minorHAnsi" w:hAnsiTheme="minorHAnsi"/>
          <w:bCs/>
          <w:snapToGrid w:val="0"/>
        </w:rPr>
        <w:t>The clinician discussed the treatment algorithm and how non-infectious uveitis is managed before adalimumab</w:t>
      </w:r>
      <w:r w:rsidR="00C16B26" w:rsidRPr="00AD5A27">
        <w:rPr>
          <w:rFonts w:asciiTheme="minorHAnsi" w:hAnsiTheme="minorHAnsi"/>
          <w:bCs/>
          <w:snapToGrid w:val="0"/>
        </w:rPr>
        <w:t xml:space="preserve"> is considered</w:t>
      </w:r>
      <w:r w:rsidRPr="00AD5A27">
        <w:rPr>
          <w:rFonts w:asciiTheme="minorHAnsi" w:hAnsiTheme="minorHAnsi"/>
          <w:bCs/>
          <w:snapToGrid w:val="0"/>
        </w:rPr>
        <w:t xml:space="preserve">, and emphasised the ‘transformative’ benefits to patients. The clinician highlighted that many patients find OCS and immunomodulator therapy ineffective, and those treatments often at best delay ocular complications and are associated with a significant treatment burden. </w:t>
      </w:r>
      <w:r w:rsidR="00567ECB" w:rsidRPr="00AD5A27">
        <w:rPr>
          <w:rFonts w:asciiTheme="minorHAnsi" w:hAnsiTheme="minorHAnsi"/>
          <w:bCs/>
          <w:snapToGrid w:val="0"/>
        </w:rPr>
        <w:t>T</w:t>
      </w:r>
      <w:r w:rsidRPr="00AD5A27">
        <w:rPr>
          <w:rFonts w:asciiTheme="minorHAnsi" w:hAnsiTheme="minorHAnsi"/>
          <w:bCs/>
          <w:snapToGrid w:val="0"/>
        </w:rPr>
        <w:t xml:space="preserve">he clinician </w:t>
      </w:r>
      <w:r w:rsidR="00567ECB" w:rsidRPr="00AD5A27">
        <w:rPr>
          <w:rFonts w:asciiTheme="minorHAnsi" w:hAnsiTheme="minorHAnsi"/>
          <w:bCs/>
          <w:snapToGrid w:val="0"/>
        </w:rPr>
        <w:t>noted</w:t>
      </w:r>
      <w:r w:rsidRPr="00AD5A27">
        <w:rPr>
          <w:rFonts w:asciiTheme="minorHAnsi" w:hAnsiTheme="minorHAnsi"/>
          <w:bCs/>
          <w:snapToGrid w:val="0"/>
        </w:rPr>
        <w:t xml:space="preserve"> that adalimumab is highly effective at reducing flares and </w:t>
      </w:r>
      <w:r w:rsidR="00567ECB" w:rsidRPr="00AD5A27">
        <w:rPr>
          <w:rFonts w:asciiTheme="minorHAnsi" w:hAnsiTheme="minorHAnsi"/>
          <w:bCs/>
          <w:snapToGrid w:val="0"/>
        </w:rPr>
        <w:t>emphasised</w:t>
      </w:r>
      <w:r w:rsidRPr="00AD5A27">
        <w:rPr>
          <w:rFonts w:asciiTheme="minorHAnsi" w:hAnsiTheme="minorHAnsi"/>
          <w:bCs/>
          <w:snapToGrid w:val="0"/>
        </w:rPr>
        <w:t xml:space="preserve"> that there is a relationship between flares and later ocular complications which can include cataract and glaucoma surgery</w:t>
      </w:r>
      <w:r w:rsidR="00567ECB" w:rsidRPr="00AD5A27">
        <w:rPr>
          <w:rFonts w:asciiTheme="minorHAnsi" w:hAnsiTheme="minorHAnsi"/>
          <w:bCs/>
          <w:snapToGrid w:val="0"/>
        </w:rPr>
        <w:t xml:space="preserve">. The clinician considered that </w:t>
      </w:r>
      <w:r w:rsidRPr="00AD5A27">
        <w:rPr>
          <w:rFonts w:asciiTheme="minorHAnsi" w:hAnsiTheme="minorHAnsi"/>
          <w:bCs/>
          <w:snapToGrid w:val="0"/>
        </w:rPr>
        <w:t>treatment</w:t>
      </w:r>
      <w:r w:rsidR="00567ECB" w:rsidRPr="00AD5A27">
        <w:rPr>
          <w:rFonts w:asciiTheme="minorHAnsi" w:hAnsiTheme="minorHAnsi"/>
          <w:bCs/>
          <w:snapToGrid w:val="0"/>
        </w:rPr>
        <w:t xml:space="preserve"> with adalimumab</w:t>
      </w:r>
      <w:r w:rsidRPr="00AD5A27">
        <w:rPr>
          <w:rFonts w:asciiTheme="minorHAnsi" w:hAnsiTheme="minorHAnsi"/>
          <w:bCs/>
          <w:snapToGrid w:val="0"/>
        </w:rPr>
        <w:t xml:space="preserve"> </w:t>
      </w:r>
      <w:r w:rsidR="00567ECB" w:rsidRPr="00AD5A27">
        <w:rPr>
          <w:rFonts w:asciiTheme="minorHAnsi" w:hAnsiTheme="minorHAnsi"/>
          <w:bCs/>
          <w:snapToGrid w:val="0"/>
        </w:rPr>
        <w:t>would lead</w:t>
      </w:r>
      <w:r w:rsidRPr="00AD5A27">
        <w:rPr>
          <w:rFonts w:asciiTheme="minorHAnsi" w:hAnsiTheme="minorHAnsi"/>
          <w:bCs/>
          <w:snapToGrid w:val="0"/>
        </w:rPr>
        <w:t xml:space="preserve"> to important improvements in quality of life, and the OCS-sparing advantages of adalimumab for many patients </w:t>
      </w:r>
      <w:r w:rsidR="00C06619" w:rsidRPr="00AD5A27">
        <w:rPr>
          <w:rFonts w:asciiTheme="minorHAnsi" w:hAnsiTheme="minorHAnsi"/>
          <w:bCs/>
          <w:snapToGrid w:val="0"/>
        </w:rPr>
        <w:t xml:space="preserve">would </w:t>
      </w:r>
      <w:r w:rsidRPr="00AD5A27">
        <w:rPr>
          <w:rFonts w:asciiTheme="minorHAnsi" w:hAnsiTheme="minorHAnsi"/>
          <w:bCs/>
          <w:snapToGrid w:val="0"/>
        </w:rPr>
        <w:t>further add to these benefits.</w:t>
      </w:r>
    </w:p>
    <w:bookmarkEnd w:id="20"/>
    <w:p w14:paraId="37BA53E2" w14:textId="77777777" w:rsidR="00DC645D" w:rsidRPr="00AD5A27" w:rsidRDefault="00DC645D" w:rsidP="00DB4FFB">
      <w:pPr>
        <w:pStyle w:val="3-SubsectionHeading"/>
        <w:outlineLvl w:val="1"/>
        <w:rPr>
          <w:lang w:eastAsia="en-AU"/>
        </w:rPr>
      </w:pPr>
      <w:r w:rsidRPr="00AD5A27">
        <w:rPr>
          <w:lang w:eastAsia="en-AU"/>
        </w:rPr>
        <w:t>Consumer comments</w:t>
      </w:r>
    </w:p>
    <w:p w14:paraId="50831310" w14:textId="3999D731" w:rsidR="00016B40" w:rsidRPr="00AD5A27" w:rsidRDefault="00016B40" w:rsidP="00016B40">
      <w:pPr>
        <w:widowControl w:val="0"/>
        <w:numPr>
          <w:ilvl w:val="1"/>
          <w:numId w:val="4"/>
        </w:numPr>
        <w:spacing w:after="120"/>
        <w:rPr>
          <w:rFonts w:asciiTheme="minorHAnsi" w:hAnsiTheme="minorHAnsi"/>
          <w:bCs/>
          <w:snapToGrid w:val="0"/>
        </w:rPr>
      </w:pPr>
      <w:bookmarkStart w:id="21" w:name="_Hlk76382618"/>
      <w:r w:rsidRPr="00AD5A27">
        <w:rPr>
          <w:rFonts w:asciiTheme="minorHAnsi" w:hAnsiTheme="minorHAnsi"/>
          <w:bCs/>
          <w:snapToGrid w:val="0"/>
        </w:rPr>
        <w:t xml:space="preserve">The PBAC noted and welcomed the input from individuals (35), health care professionals (11) and organisations (4) via the Consumer Comments facility on the </w:t>
      </w:r>
      <w:r w:rsidRPr="00AD5A27">
        <w:rPr>
          <w:rFonts w:asciiTheme="minorHAnsi" w:hAnsiTheme="minorHAnsi"/>
          <w:bCs/>
          <w:snapToGrid w:val="0"/>
        </w:rPr>
        <w:lastRenderedPageBreak/>
        <w:t>PBS website</w:t>
      </w:r>
      <w:r w:rsidR="00AD5A27">
        <w:rPr>
          <w:rFonts w:asciiTheme="minorHAnsi" w:hAnsiTheme="minorHAnsi"/>
          <w:bCs/>
          <w:snapToGrid w:val="0"/>
        </w:rPr>
        <w:t xml:space="preserve">. </w:t>
      </w:r>
      <w:r w:rsidRPr="00AD5A27">
        <w:rPr>
          <w:rFonts w:asciiTheme="minorHAnsi" w:hAnsiTheme="minorHAnsi"/>
          <w:bCs/>
          <w:snapToGrid w:val="0"/>
        </w:rPr>
        <w:t>The PBAC noted the comments from individuals included a number of people who have direct experience using adalimumab for non-infectious uveitis (typically through one of the existing access programs) and the family members of those who use or have used it</w:t>
      </w:r>
      <w:r w:rsidR="00944A95" w:rsidRPr="00AD5A27">
        <w:rPr>
          <w:rFonts w:asciiTheme="minorHAnsi" w:hAnsiTheme="minorHAnsi"/>
          <w:bCs/>
          <w:snapToGrid w:val="0"/>
        </w:rPr>
        <w:t xml:space="preserve">. These comments </w:t>
      </w:r>
      <w:r w:rsidRPr="00AD5A27">
        <w:rPr>
          <w:rFonts w:asciiTheme="minorHAnsi" w:hAnsiTheme="minorHAnsi"/>
          <w:bCs/>
          <w:snapToGrid w:val="0"/>
        </w:rPr>
        <w:t>discuss</w:t>
      </w:r>
      <w:r w:rsidR="00944A95" w:rsidRPr="00AD5A27">
        <w:rPr>
          <w:rFonts w:asciiTheme="minorHAnsi" w:hAnsiTheme="minorHAnsi"/>
          <w:bCs/>
          <w:snapToGrid w:val="0"/>
        </w:rPr>
        <w:t>ed</w:t>
      </w:r>
      <w:r w:rsidRPr="00AD5A27">
        <w:rPr>
          <w:rFonts w:asciiTheme="minorHAnsi" w:hAnsiTheme="minorHAnsi"/>
          <w:bCs/>
          <w:snapToGrid w:val="0"/>
        </w:rPr>
        <w:t xml:space="preserve"> how adalimumab was tolerable</w:t>
      </w:r>
      <w:r w:rsidR="00C16B26" w:rsidRPr="00AD5A27">
        <w:rPr>
          <w:rFonts w:asciiTheme="minorHAnsi" w:hAnsiTheme="minorHAnsi"/>
          <w:bCs/>
          <w:snapToGrid w:val="0"/>
        </w:rPr>
        <w:t>,</w:t>
      </w:r>
      <w:r w:rsidRPr="00AD5A27">
        <w:rPr>
          <w:rFonts w:asciiTheme="minorHAnsi" w:hAnsiTheme="minorHAnsi"/>
          <w:bCs/>
          <w:snapToGrid w:val="0"/>
        </w:rPr>
        <w:t xml:space="preserve"> easy to use and had reduced their flares and allowed them to resume daily activities and live normal lives. Other comments from individuals discussed how adalimumab had turned an otherwise blinding disease into a treatable one with fewer complications, and highlighted the benefits of being able to reduce or discontinue corticosteroids and avoid </w:t>
      </w:r>
      <w:r w:rsidR="00C658B8" w:rsidRPr="00AD5A27">
        <w:rPr>
          <w:rFonts w:asciiTheme="minorHAnsi" w:hAnsiTheme="minorHAnsi"/>
          <w:bCs/>
          <w:snapToGrid w:val="0"/>
        </w:rPr>
        <w:t xml:space="preserve">the </w:t>
      </w:r>
      <w:r w:rsidRPr="00AD5A27">
        <w:rPr>
          <w:rFonts w:asciiTheme="minorHAnsi" w:hAnsiTheme="minorHAnsi"/>
          <w:bCs/>
          <w:snapToGrid w:val="0"/>
        </w:rPr>
        <w:t xml:space="preserve">associated side effects. The PBAC also noted the comments from parents and families of children with uveitis highlighted how treatment with adalimumab was highly effective for </w:t>
      </w:r>
      <w:r w:rsidR="00C658B8" w:rsidRPr="00AD5A27">
        <w:rPr>
          <w:rFonts w:asciiTheme="minorHAnsi" w:hAnsiTheme="minorHAnsi"/>
          <w:bCs/>
          <w:snapToGrid w:val="0"/>
        </w:rPr>
        <w:t xml:space="preserve">reducing </w:t>
      </w:r>
      <w:r w:rsidRPr="00AD5A27">
        <w:rPr>
          <w:rFonts w:asciiTheme="minorHAnsi" w:hAnsiTheme="minorHAnsi"/>
          <w:bCs/>
          <w:snapToGrid w:val="0"/>
        </w:rPr>
        <w:t>symptoms and allowed them to participate in all school activities, had additional flow-on benefits where there was co-existent joint and systemic symptoms, and allowed them to be taken off corticosteroids, which ha</w:t>
      </w:r>
      <w:r w:rsidR="00C16B26" w:rsidRPr="00AD5A27">
        <w:rPr>
          <w:rFonts w:asciiTheme="minorHAnsi" w:hAnsiTheme="minorHAnsi"/>
          <w:bCs/>
          <w:snapToGrid w:val="0"/>
        </w:rPr>
        <w:t>d</w:t>
      </w:r>
      <w:r w:rsidRPr="00AD5A27">
        <w:rPr>
          <w:rFonts w:asciiTheme="minorHAnsi" w:hAnsiTheme="minorHAnsi"/>
          <w:bCs/>
          <w:snapToGrid w:val="0"/>
        </w:rPr>
        <w:t xml:space="preserve"> additional </w:t>
      </w:r>
      <w:r w:rsidR="00C16B26" w:rsidRPr="00AD5A27">
        <w:rPr>
          <w:rFonts w:asciiTheme="minorHAnsi" w:hAnsiTheme="minorHAnsi"/>
          <w:bCs/>
          <w:snapToGrid w:val="0"/>
        </w:rPr>
        <w:t>benefits</w:t>
      </w:r>
      <w:r w:rsidRPr="00AD5A27">
        <w:rPr>
          <w:rFonts w:asciiTheme="minorHAnsi" w:hAnsiTheme="minorHAnsi"/>
          <w:bCs/>
          <w:snapToGrid w:val="0"/>
        </w:rPr>
        <w:t xml:space="preserve"> </w:t>
      </w:r>
      <w:r w:rsidR="00C16B26" w:rsidRPr="00AD5A27">
        <w:rPr>
          <w:rFonts w:asciiTheme="minorHAnsi" w:hAnsiTheme="minorHAnsi"/>
          <w:bCs/>
          <w:snapToGrid w:val="0"/>
        </w:rPr>
        <w:t>beyond the effectiveness of adalimumab</w:t>
      </w:r>
      <w:r w:rsidRPr="00AD5A27">
        <w:rPr>
          <w:rFonts w:asciiTheme="minorHAnsi" w:hAnsiTheme="minorHAnsi"/>
          <w:bCs/>
          <w:snapToGrid w:val="0"/>
        </w:rPr>
        <w:t xml:space="preserve">. </w:t>
      </w:r>
    </w:p>
    <w:p w14:paraId="5D5676B1" w14:textId="16B970C8" w:rsidR="00016B40" w:rsidRPr="00AD5A27" w:rsidRDefault="00016B40" w:rsidP="00016B40">
      <w:pPr>
        <w:widowControl w:val="0"/>
        <w:numPr>
          <w:ilvl w:val="1"/>
          <w:numId w:val="4"/>
        </w:numPr>
        <w:spacing w:after="120"/>
        <w:rPr>
          <w:rFonts w:asciiTheme="minorHAnsi" w:hAnsiTheme="minorHAnsi"/>
          <w:bCs/>
          <w:snapToGrid w:val="0"/>
        </w:rPr>
      </w:pPr>
      <w:r w:rsidRPr="00AD5A27">
        <w:rPr>
          <w:rFonts w:asciiTheme="minorHAnsi" w:hAnsiTheme="minorHAnsi"/>
          <w:bCs/>
          <w:snapToGrid w:val="0"/>
        </w:rPr>
        <w:t>The PBAC noted the input from health professionals describ</w:t>
      </w:r>
      <w:r w:rsidR="00CF4987" w:rsidRPr="00AD5A27">
        <w:rPr>
          <w:rFonts w:asciiTheme="minorHAnsi" w:hAnsiTheme="minorHAnsi"/>
          <w:bCs/>
          <w:snapToGrid w:val="0"/>
        </w:rPr>
        <w:t>ing the</w:t>
      </w:r>
      <w:r w:rsidRPr="00AD5A27">
        <w:rPr>
          <w:rFonts w:asciiTheme="minorHAnsi" w:hAnsiTheme="minorHAnsi"/>
          <w:bCs/>
          <w:snapToGrid w:val="0"/>
        </w:rPr>
        <w:t xml:space="preserve"> evidence of efficacy </w:t>
      </w:r>
      <w:r w:rsidR="00CF4987" w:rsidRPr="00AD5A27">
        <w:rPr>
          <w:rFonts w:asciiTheme="minorHAnsi" w:hAnsiTheme="minorHAnsi"/>
          <w:bCs/>
          <w:snapToGrid w:val="0"/>
        </w:rPr>
        <w:t>associated with</w:t>
      </w:r>
      <w:r w:rsidRPr="00AD5A27">
        <w:rPr>
          <w:rFonts w:asciiTheme="minorHAnsi" w:hAnsiTheme="minorHAnsi"/>
          <w:bCs/>
          <w:snapToGrid w:val="0"/>
        </w:rPr>
        <w:t xml:space="preserve"> adalimumab in non-infectious uveitis for those whose condition is not adequately controlled by first line therapies and for those in whom high and sustained doses of corticosteroids are required. The PBAC noted the input from health professionals also commented on the need for early intervention to limit irreversible ocular damage and highlighted the evidence of effectiveness in paediatric patients as well as adults.</w:t>
      </w:r>
    </w:p>
    <w:p w14:paraId="59143DC4" w14:textId="3BA8DF29" w:rsidR="00016B40" w:rsidRPr="00AD5A27" w:rsidRDefault="00016B40" w:rsidP="00016B40">
      <w:pPr>
        <w:widowControl w:val="0"/>
        <w:numPr>
          <w:ilvl w:val="1"/>
          <w:numId w:val="4"/>
        </w:numPr>
        <w:spacing w:after="120"/>
        <w:rPr>
          <w:rFonts w:asciiTheme="minorHAnsi" w:hAnsiTheme="minorHAnsi"/>
          <w:bCs/>
          <w:snapToGrid w:val="0"/>
        </w:rPr>
      </w:pPr>
      <w:bookmarkStart w:id="22" w:name="_Hlk97141415"/>
      <w:r w:rsidRPr="00AD5A27">
        <w:rPr>
          <w:rFonts w:asciiTheme="minorHAnsi" w:hAnsiTheme="minorHAnsi"/>
          <w:bCs/>
          <w:snapToGrid w:val="0"/>
        </w:rPr>
        <w:t>The PBAC noted the input from specialist medical</w:t>
      </w:r>
      <w:r w:rsidR="00C653CC">
        <w:rPr>
          <w:rFonts w:asciiTheme="minorHAnsi" w:hAnsiTheme="minorHAnsi"/>
          <w:bCs/>
          <w:snapToGrid w:val="0"/>
        </w:rPr>
        <w:t xml:space="preserve"> and health consumer</w:t>
      </w:r>
      <w:r w:rsidRPr="00AD5A27">
        <w:rPr>
          <w:rFonts w:asciiTheme="minorHAnsi" w:hAnsiTheme="minorHAnsi"/>
          <w:bCs/>
          <w:snapToGrid w:val="0"/>
        </w:rPr>
        <w:t xml:space="preserve"> organisations, including:</w:t>
      </w:r>
    </w:p>
    <w:p w14:paraId="78925D65" w14:textId="20F7A111" w:rsidR="00016B40" w:rsidRPr="00AD5A27" w:rsidRDefault="00016B40" w:rsidP="00B35B03">
      <w:pPr>
        <w:pStyle w:val="ListParagraph"/>
        <w:widowControl w:val="0"/>
        <w:numPr>
          <w:ilvl w:val="0"/>
          <w:numId w:val="23"/>
        </w:numPr>
        <w:ind w:left="1134"/>
        <w:rPr>
          <w:bCs/>
        </w:rPr>
      </w:pPr>
      <w:r w:rsidRPr="00AD5A27">
        <w:rPr>
          <w:bCs/>
        </w:rPr>
        <w:t>The comments from the Australian Rheumatology Association (ARA) describ</w:t>
      </w:r>
      <w:r w:rsidR="00CF4987" w:rsidRPr="00AD5A27">
        <w:rPr>
          <w:bCs/>
        </w:rPr>
        <w:t>ing</w:t>
      </w:r>
      <w:r w:rsidRPr="00AD5A27">
        <w:rPr>
          <w:bCs/>
        </w:rPr>
        <w:t xml:space="preserve"> the role rheumatologists play in co-managing autoimmune conditions including non-infectious uveitis, and discussed the clinical place of adalimumab as an effective therapy in adults and children with severe or treatment-resistant disease. The input also commented that secure access to therapies like adalimumab through the PBS is critical to provide appropriate care to patients with non-infectious uveitis. </w:t>
      </w:r>
    </w:p>
    <w:p w14:paraId="2215D9B0" w14:textId="404B9E27" w:rsidR="00016B40" w:rsidRPr="00AD5A27" w:rsidRDefault="00016B40" w:rsidP="00B35B03">
      <w:pPr>
        <w:pStyle w:val="ListParagraph"/>
        <w:widowControl w:val="0"/>
        <w:numPr>
          <w:ilvl w:val="0"/>
          <w:numId w:val="23"/>
        </w:numPr>
        <w:ind w:left="1134"/>
        <w:rPr>
          <w:bCs/>
        </w:rPr>
      </w:pPr>
      <w:r w:rsidRPr="00AD5A27">
        <w:rPr>
          <w:bCs/>
        </w:rPr>
        <w:t xml:space="preserve">The comments from the Juvenile Arthritis Foundation Australia (JAFA) discussed </w:t>
      </w:r>
      <w:r w:rsidR="00166564">
        <w:rPr>
          <w:bCs/>
        </w:rPr>
        <w:t>that</w:t>
      </w:r>
      <w:r w:rsidRPr="00AD5A27">
        <w:rPr>
          <w:bCs/>
        </w:rPr>
        <w:t xml:space="preserve"> children with juvenile idiopathic arthritis have </w:t>
      </w:r>
      <w:r w:rsidR="00306903">
        <w:rPr>
          <w:bCs/>
        </w:rPr>
        <w:t xml:space="preserve">a </w:t>
      </w:r>
      <w:r w:rsidRPr="00AD5A27">
        <w:rPr>
          <w:bCs/>
        </w:rPr>
        <w:t xml:space="preserve">high risk of co-existent uveitis, and highlighted the established benefits of adalimumab, which has changed a blinding disease in children and adolescents with JIA into a controllable condition, and argued the current treatment paradigm of using adalimumab after the failure of corticosteroids and immunomodulator therapies </w:t>
      </w:r>
      <w:r w:rsidR="00CF4987" w:rsidRPr="00AD5A27">
        <w:rPr>
          <w:bCs/>
        </w:rPr>
        <w:t>was not aligned with current clinical evidence</w:t>
      </w:r>
      <w:r w:rsidRPr="00AD5A27">
        <w:rPr>
          <w:bCs/>
        </w:rPr>
        <w:t>.</w:t>
      </w:r>
    </w:p>
    <w:p w14:paraId="3B4D014A" w14:textId="11C44A13" w:rsidR="00016B40" w:rsidRPr="00AD5A27" w:rsidRDefault="00016B40" w:rsidP="00B35B03">
      <w:pPr>
        <w:pStyle w:val="ListParagraph"/>
        <w:widowControl w:val="0"/>
        <w:numPr>
          <w:ilvl w:val="0"/>
          <w:numId w:val="23"/>
        </w:numPr>
        <w:ind w:left="1134"/>
        <w:rPr>
          <w:bCs/>
        </w:rPr>
      </w:pPr>
      <w:r w:rsidRPr="00AD5A27">
        <w:rPr>
          <w:bCs/>
        </w:rPr>
        <w:t xml:space="preserve">The comments from The Royal Victorian Eye and Ear Hospital (RVEEH) described the organisation’s strong support for the PBS listing of adalimumab for non-infectious uveitis, and discussed the clinic’s experience with it for this indication, </w:t>
      </w:r>
      <w:r w:rsidRPr="00AD5A27">
        <w:rPr>
          <w:bCs/>
        </w:rPr>
        <w:lastRenderedPageBreak/>
        <w:t>with high response rates to treatment observed, along with a significant steroid-sparing effect and</w:t>
      </w:r>
      <w:r w:rsidR="00C16B26" w:rsidRPr="00AD5A27">
        <w:rPr>
          <w:bCs/>
        </w:rPr>
        <w:t xml:space="preserve"> associated</w:t>
      </w:r>
      <w:r w:rsidRPr="00AD5A27">
        <w:rPr>
          <w:bCs/>
        </w:rPr>
        <w:t xml:space="preserve"> benefits to patients. The comments also discussed that while corticosteroids continue to be prescribed for severe and acute uveitis, their clinical experience indicates that prolonged use of these agents are associated with significant morbidity and </w:t>
      </w:r>
      <w:r w:rsidR="00B531B4" w:rsidRPr="00AD5A27">
        <w:rPr>
          <w:bCs/>
        </w:rPr>
        <w:t xml:space="preserve">a </w:t>
      </w:r>
      <w:r w:rsidRPr="00AD5A27">
        <w:rPr>
          <w:bCs/>
        </w:rPr>
        <w:t xml:space="preserve">reduction in steroid </w:t>
      </w:r>
      <w:r w:rsidR="00B531B4" w:rsidRPr="00AD5A27">
        <w:rPr>
          <w:bCs/>
        </w:rPr>
        <w:t>use</w:t>
      </w:r>
      <w:r w:rsidRPr="00AD5A27">
        <w:rPr>
          <w:bCs/>
        </w:rPr>
        <w:t xml:space="preserve"> is a critical issue for </w:t>
      </w:r>
      <w:r w:rsidR="00B531B4" w:rsidRPr="00AD5A27">
        <w:rPr>
          <w:bCs/>
        </w:rPr>
        <w:t xml:space="preserve">these </w:t>
      </w:r>
      <w:r w:rsidRPr="00AD5A27">
        <w:rPr>
          <w:bCs/>
        </w:rPr>
        <w:t>patients</w:t>
      </w:r>
      <w:r w:rsidR="00C16B26" w:rsidRPr="00AD5A27">
        <w:rPr>
          <w:bCs/>
        </w:rPr>
        <w:t xml:space="preserve">. The comments also </w:t>
      </w:r>
      <w:r w:rsidRPr="00AD5A27">
        <w:rPr>
          <w:bCs/>
        </w:rPr>
        <w:t>highlighted the importan</w:t>
      </w:r>
      <w:r w:rsidR="00C16B26" w:rsidRPr="00AD5A27">
        <w:rPr>
          <w:bCs/>
        </w:rPr>
        <w:t>ce</w:t>
      </w:r>
      <w:r w:rsidRPr="00AD5A27">
        <w:rPr>
          <w:bCs/>
        </w:rPr>
        <w:t xml:space="preserve"> of effective agents which are steroid-sparing, and described adalimumab as a vital, vision saving therapy that reverses the disability associated with visual impairment, which enables patients to return to work and other meaningful roles in their lives.</w:t>
      </w:r>
    </w:p>
    <w:p w14:paraId="1437513F" w14:textId="6D82BD73" w:rsidR="00016B40" w:rsidRPr="00AD5A27" w:rsidRDefault="00016B40" w:rsidP="00B35B03">
      <w:pPr>
        <w:pStyle w:val="ListParagraph"/>
        <w:widowControl w:val="0"/>
        <w:numPr>
          <w:ilvl w:val="0"/>
          <w:numId w:val="23"/>
        </w:numPr>
        <w:ind w:left="1134"/>
        <w:rPr>
          <w:bCs/>
        </w:rPr>
      </w:pPr>
      <w:r w:rsidRPr="00AD5A27">
        <w:rPr>
          <w:bCs/>
        </w:rPr>
        <w:t>The comments from the Royal Australian and New Zealand College of Ophthalmologists (RANZ</w:t>
      </w:r>
      <w:r w:rsidR="00DB4FFB" w:rsidRPr="00AD5A27">
        <w:rPr>
          <w:bCs/>
        </w:rPr>
        <w:t>C</w:t>
      </w:r>
      <w:r w:rsidRPr="00AD5A27">
        <w:rPr>
          <w:bCs/>
        </w:rPr>
        <w:t xml:space="preserve">O) described it as essential that adalimumab be available on the PBS for patients with uveitis, and described the vision-threatening consequences of the condition, including cataracts, glaucoma, vitreous opacification, cystoid macula oedema, band keratopathy, hypotony and retinal detachment as some of the consequences that can occur due to under-treated uveitis. The comments also described the severe side effects of sustained corticosteroids and highlighted the need to limit systemic steroid exposure, and the clear evidence of effectiveness of adalimumab both for treating uveitis and as a steroid-sparing treatment option. The input stated it is likely that the enrolment in current access programs likely represents the majority of patients who would benefit from treatment with adalimumab. </w:t>
      </w:r>
    </w:p>
    <w:bookmarkEnd w:id="22"/>
    <w:p w14:paraId="076150EB" w14:textId="3043D3E2" w:rsidR="00443645" w:rsidRPr="00AD5A27" w:rsidRDefault="00016B40" w:rsidP="00443645">
      <w:pPr>
        <w:widowControl w:val="0"/>
        <w:numPr>
          <w:ilvl w:val="1"/>
          <w:numId w:val="4"/>
        </w:numPr>
        <w:spacing w:after="120"/>
        <w:rPr>
          <w:rFonts w:asciiTheme="minorHAnsi" w:hAnsiTheme="minorHAnsi"/>
          <w:bCs/>
          <w:snapToGrid w:val="0"/>
        </w:rPr>
      </w:pPr>
      <w:r w:rsidRPr="00AD5A27">
        <w:rPr>
          <w:rFonts w:asciiTheme="minorHAnsi" w:hAnsiTheme="minorHAnsi"/>
          <w:bCs/>
          <w:snapToGrid w:val="0"/>
        </w:rPr>
        <w:t>The PBAC considered the comments from organisations, patients, family members and health professionals were informative and highlighted the significant impacts of non-infectious uveitis,</w:t>
      </w:r>
      <w:r w:rsidR="00DB4FFB" w:rsidRPr="00AD5A27">
        <w:rPr>
          <w:rFonts w:asciiTheme="minorHAnsi" w:hAnsiTheme="minorHAnsi"/>
          <w:bCs/>
          <w:snapToGrid w:val="0"/>
        </w:rPr>
        <w:t xml:space="preserve"> the benefits of having adalimumab available as a treatment option for this condition,</w:t>
      </w:r>
      <w:r w:rsidRPr="00AD5A27">
        <w:rPr>
          <w:rFonts w:asciiTheme="minorHAnsi" w:hAnsiTheme="minorHAnsi"/>
          <w:bCs/>
          <w:snapToGrid w:val="0"/>
        </w:rPr>
        <w:t xml:space="preserve"> the drawbacks of current PBS-subsidised options</w:t>
      </w:r>
      <w:r w:rsidR="00DB4FFB" w:rsidRPr="00AD5A27">
        <w:rPr>
          <w:rFonts w:asciiTheme="minorHAnsi" w:hAnsiTheme="minorHAnsi"/>
          <w:bCs/>
          <w:snapToGrid w:val="0"/>
        </w:rPr>
        <w:t xml:space="preserve"> and </w:t>
      </w:r>
      <w:r w:rsidRPr="00AD5A27">
        <w:rPr>
          <w:rFonts w:asciiTheme="minorHAnsi" w:hAnsiTheme="minorHAnsi"/>
          <w:bCs/>
          <w:snapToGrid w:val="0"/>
        </w:rPr>
        <w:t xml:space="preserve">the need for a universally equitable access and funding mechanism. The Committee expressed its thanks to all those who provided comments for sharing their views and experiences. </w:t>
      </w:r>
      <w:bookmarkEnd w:id="18"/>
      <w:bookmarkEnd w:id="21"/>
    </w:p>
    <w:p w14:paraId="4E7FC8C2" w14:textId="625C3B71" w:rsidR="002A66BB" w:rsidRPr="00AD5A27" w:rsidRDefault="002A66BB">
      <w:pPr>
        <w:pStyle w:val="4-SubsectionHeading"/>
      </w:pPr>
      <w:r w:rsidRPr="00AD5A27">
        <w:t>Clinical trials and studies</w:t>
      </w:r>
      <w:bookmarkEnd w:id="19"/>
    </w:p>
    <w:p w14:paraId="174597FD" w14:textId="77777777" w:rsidR="002A66BB" w:rsidRPr="00AD5A27" w:rsidRDefault="002A66BB">
      <w:pPr>
        <w:pStyle w:val="3-BodyText"/>
      </w:pPr>
      <w:r w:rsidRPr="00AD5A27">
        <w:t>The resubmission was based on the following adalimumab trials previously seen by the PBAC (para. 6.6, adalimumab, PSD, March 2017 PBAC meeting):</w:t>
      </w:r>
    </w:p>
    <w:p w14:paraId="63E492C2" w14:textId="77777777" w:rsidR="002A66BB" w:rsidRPr="00AD5A27" w:rsidRDefault="002A66BB">
      <w:pPr>
        <w:pStyle w:val="ListParagraph"/>
        <w:ind w:left="1151" w:hanging="357"/>
      </w:pPr>
      <w:r w:rsidRPr="00AD5A27">
        <w:t xml:space="preserve">One randomised trial comparing adalimumab (80 mg starting, subsequent 40 mg then fortnightly) with placebo in patients with flaring non-infectious intermediate, posterior or panuveitis: VISUAL I (N = 217). </w:t>
      </w:r>
    </w:p>
    <w:p w14:paraId="52DF121D" w14:textId="77777777" w:rsidR="002A66BB" w:rsidRPr="00AD5A27" w:rsidRDefault="002A66BB">
      <w:pPr>
        <w:pStyle w:val="ListParagraph"/>
        <w:ind w:left="1151" w:hanging="357"/>
      </w:pPr>
      <w:r w:rsidRPr="00AD5A27">
        <w:t xml:space="preserve">One randomised trial comparing adalimumab (80 mg starting, subsequent 40 mg then fortnightly) with placebo in patients with controlled non-infectious intermediate, posterior or panuveitis: VISUAL II (N = 226). </w:t>
      </w:r>
    </w:p>
    <w:p w14:paraId="52C6C31E" w14:textId="77777777" w:rsidR="002A66BB" w:rsidRPr="00AD5A27" w:rsidRDefault="002A66BB">
      <w:pPr>
        <w:pStyle w:val="3-BodyText"/>
      </w:pPr>
      <w:r w:rsidRPr="00AD5A27">
        <w:t>The resubmission was based on the following adalimumab trials previously not seen by the PBAC:</w:t>
      </w:r>
    </w:p>
    <w:p w14:paraId="2E3834E9" w14:textId="0B89FCC2" w:rsidR="002A66BB" w:rsidRPr="00AD5A27" w:rsidRDefault="002A66BB">
      <w:pPr>
        <w:pStyle w:val="ListParagraph"/>
        <w:ind w:left="1151" w:hanging="357"/>
      </w:pPr>
      <w:r w:rsidRPr="00AD5A27">
        <w:lastRenderedPageBreak/>
        <w:t xml:space="preserve">One open label extension study (40 mg) in patients with non-infectious intermediate, posterior or panuveitis: VISUAL III (N = 424). Only the interim analysis of the VISUAL III study </w:t>
      </w:r>
      <w:r w:rsidR="00AC5E17" w:rsidRPr="00AD5A27">
        <w:t>(</w:t>
      </w:r>
      <w:r w:rsidRPr="00AD5A27">
        <w:t>a conference abstract</w:t>
      </w:r>
      <w:r w:rsidR="00AC5E17" w:rsidRPr="00AD5A27">
        <w:t>)</w:t>
      </w:r>
      <w:r w:rsidRPr="00AD5A27">
        <w:t xml:space="preserve"> was previously considered by the PBAC. </w:t>
      </w:r>
    </w:p>
    <w:p w14:paraId="3D528E69" w14:textId="7274DE18" w:rsidR="002A66BB" w:rsidRPr="00AD5A27" w:rsidRDefault="002A66BB">
      <w:pPr>
        <w:pStyle w:val="ListParagraph"/>
        <w:ind w:left="1151" w:hanging="357"/>
      </w:pPr>
      <w:r w:rsidRPr="00AD5A27">
        <w:t>One randomised trial comparing adalimumab (24 mg/m</w:t>
      </w:r>
      <w:r w:rsidRPr="00AD5A27">
        <w:rPr>
          <w:vertAlign w:val="superscript"/>
        </w:rPr>
        <w:t>2</w:t>
      </w:r>
      <w:r w:rsidRPr="00AD5A27">
        <w:t xml:space="preserve"> in patients aged &lt;</w:t>
      </w:r>
      <w:r w:rsidR="00B714C8" w:rsidRPr="00AD5A27">
        <w:t xml:space="preserve"> </w:t>
      </w:r>
      <w:r w:rsidRPr="00AD5A27">
        <w:t>13 years, 40 mg in the others, fortnightly) + methotrexate with placebo + methotrexate in patients ≥</w:t>
      </w:r>
      <w:r w:rsidR="001E1331" w:rsidRPr="00AD5A27">
        <w:t xml:space="preserve"> </w:t>
      </w:r>
      <w:r w:rsidRPr="00AD5A27">
        <w:t xml:space="preserve">2 to 18 years with active JIA-associated uveitis refractory to methotrexate: SYCAMORE (N = 90). </w:t>
      </w:r>
    </w:p>
    <w:p w14:paraId="232E1BBA" w14:textId="279AA873" w:rsidR="002A66BB" w:rsidRPr="00AD5A27" w:rsidRDefault="002A66BB">
      <w:pPr>
        <w:pStyle w:val="ListParagraph"/>
        <w:ind w:left="1151" w:hanging="357"/>
      </w:pPr>
      <w:r w:rsidRPr="00AD5A27">
        <w:t xml:space="preserve">One randomised trial comparing adalimumab (20 mg or 40 mg, according to body weight) +/- methotrexate with placebo +/- methotrexate in patients </w:t>
      </w:r>
      <w:r w:rsidRPr="00AD5A27">
        <w:rPr>
          <w:rFonts w:cstheme="minorBidi"/>
        </w:rPr>
        <w:t>≥</w:t>
      </w:r>
      <w:r w:rsidR="00B714C8" w:rsidRPr="00AD5A27">
        <w:rPr>
          <w:rFonts w:cstheme="minorBidi"/>
        </w:rPr>
        <w:t xml:space="preserve"> </w:t>
      </w:r>
      <w:r w:rsidRPr="00AD5A27">
        <w:t xml:space="preserve">4 years old with chronic, active anterior uveitis associated with JIA or idiopathic, refractory to methotrexate and steroid therapy: ADJUVITE (N = 32). </w:t>
      </w:r>
    </w:p>
    <w:p w14:paraId="3AEA7048" w14:textId="77777777" w:rsidR="002A66BB" w:rsidRPr="00AD5A27" w:rsidRDefault="002A66BB">
      <w:pPr>
        <w:pStyle w:val="ListParagraph"/>
        <w:ind w:left="1151" w:hanging="357"/>
      </w:pPr>
      <w:r w:rsidRPr="00AD5A27">
        <w:t xml:space="preserve">18 supplementary non-randomised observational studies (13 relating to adult and 5 relating to paediatric uveitis patients) investigating adalimumab longer-term efficacy and safety including: </w:t>
      </w:r>
    </w:p>
    <w:p w14:paraId="4EE25F75" w14:textId="77777777" w:rsidR="002A66BB" w:rsidRPr="00AD5A27" w:rsidRDefault="002A66BB" w:rsidP="002A66BB">
      <w:pPr>
        <w:pStyle w:val="ListParagraph"/>
        <w:numPr>
          <w:ilvl w:val="1"/>
          <w:numId w:val="2"/>
        </w:numPr>
      </w:pPr>
      <w:r w:rsidRPr="00AD5A27">
        <w:t>Eurelings et al. (2022), a retrospective cohort study investigating the response rates and reasons for discontinuation of adalimumab. Results from this study were used in the economic model.</w:t>
      </w:r>
    </w:p>
    <w:p w14:paraId="3C5F5A0E" w14:textId="09A5FDC8" w:rsidR="00557108" w:rsidRPr="00AD5A27" w:rsidRDefault="002A66BB" w:rsidP="00773380">
      <w:pPr>
        <w:pStyle w:val="3-BodyText"/>
        <w:widowControl w:val="0"/>
      </w:pPr>
      <w:r w:rsidRPr="00AD5A27">
        <w:t xml:space="preserve">Details of the trials and observational studies presented in the submission are provided in Table 3. </w:t>
      </w:r>
    </w:p>
    <w:p w14:paraId="6BE20C5C" w14:textId="77941A70" w:rsidR="002A66BB" w:rsidRPr="00AD5A27" w:rsidRDefault="002A66BB" w:rsidP="00557108">
      <w:pPr>
        <w:pStyle w:val="TableFigureHeading"/>
        <w:widowControl w:val="0"/>
        <w:rPr>
          <w:rStyle w:val="CommentReference"/>
          <w:rFonts w:cs="Arial"/>
          <w:b/>
          <w:snapToGrid w:val="0"/>
        </w:rPr>
      </w:pPr>
      <w:r w:rsidRPr="00AD5A27">
        <w:t xml:space="preserve">Table </w:t>
      </w:r>
      <w:r w:rsidR="004050E4">
        <w:fldChar w:fldCharType="begin" w:fldLock="1"/>
      </w:r>
      <w:r w:rsidR="004050E4">
        <w:instrText xml:space="preserve"> SEQ Table \* ARABIC </w:instrText>
      </w:r>
      <w:r w:rsidR="004050E4">
        <w:fldChar w:fldCharType="separate"/>
      </w:r>
      <w:r w:rsidR="00B510E9" w:rsidRPr="00AD5A27">
        <w:t>3</w:t>
      </w:r>
      <w:r w:rsidR="004050E4">
        <w:fldChar w:fldCharType="end"/>
      </w:r>
      <w:r w:rsidRPr="00AD5A27">
        <w:t>:</w:t>
      </w:r>
      <w:r w:rsidRPr="00AD5A27">
        <w:rPr>
          <w:rStyle w:val="CommentReference"/>
          <w:b/>
        </w:rPr>
        <w:t xml:space="preserve"> Trials and associated reports presented in the submission</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C0" w:firstRow="0" w:lastRow="1" w:firstColumn="1" w:lastColumn="1" w:noHBand="0" w:noVBand="0"/>
        <w:tblCaption w:val="Table 3: Trials and associated reports presented in the submission"/>
      </w:tblPr>
      <w:tblGrid>
        <w:gridCol w:w="1124"/>
        <w:gridCol w:w="5675"/>
        <w:gridCol w:w="2218"/>
      </w:tblGrid>
      <w:tr w:rsidR="002A66BB" w:rsidRPr="00AD5A27" w14:paraId="1954ADAC" w14:textId="77777777">
        <w:trPr>
          <w:cantSplit/>
          <w:trHeight w:val="300"/>
          <w:tblHeader/>
        </w:trPr>
        <w:tc>
          <w:tcPr>
            <w:tcW w:w="623" w:type="pct"/>
            <w:vAlign w:val="center"/>
          </w:tcPr>
          <w:p w14:paraId="5A01069A" w14:textId="77777777" w:rsidR="002A66BB" w:rsidRPr="00AD5A27" w:rsidRDefault="002A66BB" w:rsidP="00557108">
            <w:pPr>
              <w:pStyle w:val="In-tableHeading"/>
              <w:widowControl w:val="0"/>
              <w:rPr>
                <w:lang w:val="en-AU"/>
              </w:rPr>
            </w:pPr>
            <w:r w:rsidRPr="00AD5A27">
              <w:rPr>
                <w:lang w:val="en-AU"/>
              </w:rPr>
              <w:t>Trial ID</w:t>
            </w:r>
          </w:p>
        </w:tc>
        <w:tc>
          <w:tcPr>
            <w:tcW w:w="3147" w:type="pct"/>
            <w:tcBorders>
              <w:bottom w:val="single" w:sz="4" w:space="0" w:color="auto"/>
            </w:tcBorders>
            <w:vAlign w:val="center"/>
          </w:tcPr>
          <w:p w14:paraId="74673269" w14:textId="77777777" w:rsidR="002A66BB" w:rsidRPr="00AD5A27" w:rsidRDefault="002A66BB" w:rsidP="00557108">
            <w:pPr>
              <w:pStyle w:val="In-tableHeading"/>
              <w:widowControl w:val="0"/>
              <w:jc w:val="center"/>
              <w:rPr>
                <w:lang w:val="en-AU"/>
              </w:rPr>
            </w:pPr>
            <w:r w:rsidRPr="00AD5A27">
              <w:rPr>
                <w:lang w:val="en-AU"/>
              </w:rPr>
              <w:t>Protocol title/ Publication title</w:t>
            </w:r>
          </w:p>
        </w:tc>
        <w:tc>
          <w:tcPr>
            <w:tcW w:w="1230" w:type="pct"/>
            <w:tcBorders>
              <w:bottom w:val="single" w:sz="4" w:space="0" w:color="auto"/>
            </w:tcBorders>
            <w:vAlign w:val="center"/>
          </w:tcPr>
          <w:p w14:paraId="3605D8A3" w14:textId="77777777" w:rsidR="002A66BB" w:rsidRPr="00AD5A27" w:rsidRDefault="002A66BB" w:rsidP="00557108">
            <w:pPr>
              <w:pStyle w:val="In-tableHeading"/>
              <w:widowControl w:val="0"/>
              <w:jc w:val="center"/>
              <w:rPr>
                <w:lang w:val="en-AU"/>
              </w:rPr>
            </w:pPr>
            <w:r w:rsidRPr="00AD5A27">
              <w:rPr>
                <w:lang w:val="en-AU"/>
              </w:rPr>
              <w:t>Publication citation</w:t>
            </w:r>
          </w:p>
        </w:tc>
      </w:tr>
      <w:tr w:rsidR="00B714C8" w:rsidRPr="00AD5A27" w14:paraId="5BF3C6B9" w14:textId="77777777" w:rsidTr="00B714C8">
        <w:trPr>
          <w:cantSplit/>
          <w:trHeight w:val="300"/>
        </w:trPr>
        <w:tc>
          <w:tcPr>
            <w:tcW w:w="5000" w:type="pct"/>
            <w:gridSpan w:val="3"/>
            <w:tcBorders>
              <w:right w:val="single" w:sz="4" w:space="0" w:color="auto"/>
            </w:tcBorders>
            <w:shd w:val="clear" w:color="auto" w:fill="B8CCE4" w:themeFill="accent1" w:themeFillTint="66"/>
            <w:vAlign w:val="center"/>
          </w:tcPr>
          <w:p w14:paraId="3A57F8E2" w14:textId="2764E189" w:rsidR="00B714C8" w:rsidRPr="00AD5A27" w:rsidRDefault="00B714C8" w:rsidP="00557108">
            <w:pPr>
              <w:pStyle w:val="In-tableHeading"/>
              <w:rPr>
                <w:b w:val="0"/>
                <w:lang w:val="en-AU"/>
              </w:rPr>
            </w:pPr>
            <w:r w:rsidRPr="00AD5A27">
              <w:rPr>
                <w:lang w:val="en-AU"/>
              </w:rPr>
              <w:t xml:space="preserve">Randomised controlled studies </w:t>
            </w:r>
          </w:p>
        </w:tc>
      </w:tr>
      <w:tr w:rsidR="00B714C8" w:rsidRPr="00AD5A27" w14:paraId="4C826DC6" w14:textId="77777777" w:rsidTr="00B714C8">
        <w:trPr>
          <w:cantSplit/>
          <w:trHeight w:val="300"/>
        </w:trPr>
        <w:tc>
          <w:tcPr>
            <w:tcW w:w="5000" w:type="pct"/>
            <w:gridSpan w:val="3"/>
            <w:tcBorders>
              <w:right w:val="single" w:sz="4" w:space="0" w:color="auto"/>
            </w:tcBorders>
            <w:shd w:val="clear" w:color="auto" w:fill="B8CCE4" w:themeFill="accent1" w:themeFillTint="66"/>
            <w:vAlign w:val="center"/>
          </w:tcPr>
          <w:p w14:paraId="7F85D67D" w14:textId="39347021" w:rsidR="00B714C8" w:rsidRPr="00AD5A27" w:rsidRDefault="00B714C8" w:rsidP="00557108">
            <w:pPr>
              <w:pStyle w:val="In-tableHeading"/>
              <w:rPr>
                <w:bCs/>
                <w:lang w:val="en-AU"/>
              </w:rPr>
            </w:pPr>
            <w:r w:rsidRPr="00AD5A27">
              <w:rPr>
                <w:bCs/>
                <w:lang w:val="en-AU"/>
              </w:rPr>
              <w:t>Adult</w:t>
            </w:r>
          </w:p>
        </w:tc>
      </w:tr>
      <w:tr w:rsidR="002A66BB" w:rsidRPr="00AD5A27" w14:paraId="59F67AAC" w14:textId="77777777">
        <w:trPr>
          <w:cantSplit/>
          <w:trHeight w:val="300"/>
        </w:trPr>
        <w:tc>
          <w:tcPr>
            <w:tcW w:w="623" w:type="pct"/>
            <w:vMerge w:val="restart"/>
            <w:tcBorders>
              <w:right w:val="single" w:sz="4" w:space="0" w:color="auto"/>
            </w:tcBorders>
            <w:shd w:val="clear" w:color="auto" w:fill="B8CCE4" w:themeFill="accent1" w:themeFillTint="66"/>
            <w:vAlign w:val="center"/>
          </w:tcPr>
          <w:p w14:paraId="60976BC2" w14:textId="77777777" w:rsidR="002A66BB" w:rsidRPr="00AD5A27" w:rsidRDefault="002A66BB" w:rsidP="00557108">
            <w:pPr>
              <w:pStyle w:val="In-tableHeading"/>
              <w:rPr>
                <w:b w:val="0"/>
                <w:bCs/>
                <w:lang w:val="en-AU"/>
              </w:rPr>
            </w:pPr>
            <w:r w:rsidRPr="00AD5A27">
              <w:rPr>
                <w:b w:val="0"/>
                <w:bCs/>
                <w:lang w:val="en-AU"/>
              </w:rPr>
              <w:t>VISUAL I</w:t>
            </w:r>
          </w:p>
          <w:p w14:paraId="2C0DEE3C" w14:textId="77777777" w:rsidR="002A66BB" w:rsidRPr="00AD5A27" w:rsidRDefault="002A66BB" w:rsidP="00557108">
            <w:pPr>
              <w:pStyle w:val="In-tableHeading"/>
              <w:rPr>
                <w:b w:val="0"/>
                <w:lang w:val="en-AU"/>
              </w:rPr>
            </w:pPr>
            <w:r w:rsidRPr="00AD5A27">
              <w:rPr>
                <w:b w:val="0"/>
                <w:bCs/>
                <w:lang w:val="en-AU"/>
              </w:rPr>
              <w:t>(M10-877) NCT01138657</w:t>
            </w:r>
          </w:p>
        </w:tc>
        <w:tc>
          <w:tcPr>
            <w:tcW w:w="3147" w:type="pct"/>
            <w:tcBorders>
              <w:top w:val="single" w:sz="4" w:space="0" w:color="auto"/>
              <w:left w:val="single" w:sz="4" w:space="0" w:color="auto"/>
              <w:bottom w:val="nil"/>
              <w:right w:val="single" w:sz="4" w:space="0" w:color="auto"/>
            </w:tcBorders>
            <w:shd w:val="clear" w:color="auto" w:fill="B8CCE4" w:themeFill="accent1" w:themeFillTint="66"/>
          </w:tcPr>
          <w:p w14:paraId="2D7937D5" w14:textId="77777777" w:rsidR="002A66BB" w:rsidRPr="00AD5A27" w:rsidRDefault="002A66BB" w:rsidP="00557108">
            <w:pPr>
              <w:pStyle w:val="TableText0"/>
              <w:shd w:val="clear" w:color="auto" w:fill="B8CCE4" w:themeFill="accent1" w:themeFillTint="66"/>
              <w:rPr>
                <w:rFonts w:cstheme="minorHAnsi"/>
                <w:bCs w:val="0"/>
                <w:szCs w:val="20"/>
              </w:rPr>
            </w:pPr>
            <w:r w:rsidRPr="00AD5A27">
              <w:rPr>
                <w:rFonts w:cstheme="minorHAnsi"/>
                <w:bCs w:val="0"/>
                <w:szCs w:val="20"/>
              </w:rPr>
              <w:t>A Multicenter Study of the Efficacy and Safety of the Human Anti-TNF Monoclonal Antibody Adalimumab as Maintenance Therapy in Subjects Requiring High Dose Corticosteroids for Active Non-infectious Intermediate Uveitis, Posterior Uveitis, or Panuveitis - Including a Sub-study in Japanese Patients.</w:t>
            </w:r>
          </w:p>
        </w:tc>
        <w:tc>
          <w:tcPr>
            <w:tcW w:w="1230" w:type="pct"/>
            <w:tcBorders>
              <w:top w:val="single" w:sz="4" w:space="0" w:color="auto"/>
              <w:left w:val="single" w:sz="4" w:space="0" w:color="auto"/>
              <w:bottom w:val="nil"/>
              <w:right w:val="single" w:sz="4" w:space="0" w:color="auto"/>
            </w:tcBorders>
            <w:shd w:val="clear" w:color="auto" w:fill="B8CCE4" w:themeFill="accent1" w:themeFillTint="66"/>
          </w:tcPr>
          <w:p w14:paraId="1E5FBD86" w14:textId="77777777" w:rsidR="002A66BB" w:rsidRPr="00AD5A27" w:rsidRDefault="002A66BB" w:rsidP="00557108">
            <w:pPr>
              <w:pStyle w:val="In-tableHeading"/>
              <w:rPr>
                <w:b w:val="0"/>
                <w:lang w:val="en-AU"/>
              </w:rPr>
            </w:pPr>
            <w:r w:rsidRPr="00AD5A27">
              <w:rPr>
                <w:b w:val="0"/>
                <w:lang w:val="en-AU"/>
              </w:rPr>
              <w:t>23 July 2015</w:t>
            </w:r>
          </w:p>
        </w:tc>
      </w:tr>
      <w:tr w:rsidR="002A66BB" w:rsidRPr="00AD5A27" w14:paraId="7CD8A037" w14:textId="77777777">
        <w:trPr>
          <w:cantSplit/>
          <w:trHeight w:val="300"/>
        </w:trPr>
        <w:tc>
          <w:tcPr>
            <w:tcW w:w="623" w:type="pct"/>
            <w:vMerge/>
          </w:tcPr>
          <w:p w14:paraId="5FCCECC7" w14:textId="77777777" w:rsidR="002A66BB" w:rsidRPr="00AD5A27" w:rsidRDefault="002A66BB" w:rsidP="00557108">
            <w:pPr>
              <w:pStyle w:val="In-tableHeading"/>
              <w:rPr>
                <w:b w:val="0"/>
                <w:bCs/>
                <w:lang w:val="en-AU"/>
              </w:rPr>
            </w:pPr>
          </w:p>
        </w:tc>
        <w:tc>
          <w:tcPr>
            <w:tcW w:w="3147" w:type="pct"/>
            <w:tcBorders>
              <w:top w:val="nil"/>
              <w:left w:val="single" w:sz="4" w:space="0" w:color="auto"/>
              <w:bottom w:val="nil"/>
              <w:right w:val="single" w:sz="4" w:space="0" w:color="auto"/>
            </w:tcBorders>
            <w:shd w:val="clear" w:color="auto" w:fill="B8CCE4" w:themeFill="accent1" w:themeFillTint="66"/>
          </w:tcPr>
          <w:p w14:paraId="53A47565" w14:textId="77777777" w:rsidR="002A66BB" w:rsidRPr="00AD5A27" w:rsidRDefault="002A66BB" w:rsidP="00557108">
            <w:pPr>
              <w:pStyle w:val="In-tableHeading"/>
              <w:rPr>
                <w:b w:val="0"/>
                <w:bCs/>
                <w:lang w:val="en-AU"/>
              </w:rPr>
            </w:pPr>
            <w:r w:rsidRPr="00AD5A27">
              <w:rPr>
                <w:b w:val="0"/>
                <w:bCs/>
                <w:lang w:val="en-AU"/>
              </w:rPr>
              <w:t>Jaffe GJ; Dick AD; Brézin AP; Nguyen QD; Thorne JE; Kestelyn P; Barisani-Asenbauer T; Franco P; Heiligenhaus A; Scales D and Chu DS. Adalimumab in Patients with Active Noninfectious Uveitis.</w:t>
            </w:r>
          </w:p>
        </w:tc>
        <w:tc>
          <w:tcPr>
            <w:tcW w:w="1230" w:type="pct"/>
            <w:tcBorders>
              <w:top w:val="nil"/>
              <w:left w:val="single" w:sz="4" w:space="0" w:color="auto"/>
              <w:bottom w:val="nil"/>
              <w:right w:val="single" w:sz="4" w:space="0" w:color="auto"/>
            </w:tcBorders>
            <w:shd w:val="clear" w:color="auto" w:fill="B8CCE4" w:themeFill="accent1" w:themeFillTint="66"/>
          </w:tcPr>
          <w:p w14:paraId="67387B21" w14:textId="77777777" w:rsidR="002A66BB" w:rsidRPr="00AD5A27" w:rsidRDefault="002A66BB" w:rsidP="00557108">
            <w:pPr>
              <w:pStyle w:val="In-tableHeading"/>
              <w:rPr>
                <w:b w:val="0"/>
                <w:bCs/>
                <w:lang w:val="en-AU"/>
              </w:rPr>
            </w:pPr>
            <w:r w:rsidRPr="00AD5A27">
              <w:rPr>
                <w:b w:val="0"/>
                <w:bCs/>
                <w:i/>
                <w:iCs/>
                <w:lang w:val="en-AU"/>
              </w:rPr>
              <w:t>New England Journal of Medicine</w:t>
            </w:r>
            <w:r w:rsidRPr="00AD5A27">
              <w:rPr>
                <w:b w:val="0"/>
                <w:bCs/>
                <w:lang w:val="en-AU"/>
              </w:rPr>
              <w:t xml:space="preserve"> 2016; 375(10):932-943</w:t>
            </w:r>
          </w:p>
        </w:tc>
      </w:tr>
      <w:tr w:rsidR="002A66BB" w:rsidRPr="00AD5A27" w14:paraId="24C618CC" w14:textId="77777777">
        <w:trPr>
          <w:cantSplit/>
          <w:trHeight w:val="300"/>
        </w:trPr>
        <w:tc>
          <w:tcPr>
            <w:tcW w:w="623" w:type="pct"/>
            <w:vMerge/>
          </w:tcPr>
          <w:p w14:paraId="1D874828" w14:textId="77777777" w:rsidR="002A66BB" w:rsidRPr="00AD5A27" w:rsidRDefault="002A66BB" w:rsidP="00557108">
            <w:pPr>
              <w:pStyle w:val="In-tableHeading"/>
              <w:rPr>
                <w:b w:val="0"/>
                <w:bCs/>
                <w:lang w:val="en-AU"/>
              </w:rPr>
            </w:pPr>
          </w:p>
        </w:tc>
        <w:tc>
          <w:tcPr>
            <w:tcW w:w="3147" w:type="pct"/>
            <w:tcBorders>
              <w:top w:val="nil"/>
              <w:left w:val="single" w:sz="4" w:space="0" w:color="auto"/>
              <w:bottom w:val="nil"/>
              <w:right w:val="single" w:sz="4" w:space="0" w:color="auto"/>
            </w:tcBorders>
            <w:shd w:val="clear" w:color="auto" w:fill="B8CCE4" w:themeFill="accent1" w:themeFillTint="66"/>
          </w:tcPr>
          <w:p w14:paraId="69E7E8D7" w14:textId="1DE23C1E" w:rsidR="002A66BB" w:rsidRPr="00AD5A27" w:rsidRDefault="002A66BB" w:rsidP="00557108">
            <w:pPr>
              <w:pStyle w:val="In-tableHeading"/>
              <w:rPr>
                <w:b w:val="0"/>
                <w:bCs/>
                <w:lang w:val="en-AU"/>
              </w:rPr>
            </w:pPr>
            <w:r w:rsidRPr="00AD5A27">
              <w:rPr>
                <w:b w:val="0"/>
                <w:bCs/>
                <w:lang w:val="en-AU"/>
              </w:rPr>
              <w:t>Jaffe GJ, Thorne JE, Scales D, Franco PJ, Tari S, Camez A, Song AP, Kron M, Barisani-Asenbauer T, &amp; Dick AD</w:t>
            </w:r>
            <w:r w:rsidR="00AD5A27">
              <w:rPr>
                <w:b w:val="0"/>
                <w:bCs/>
                <w:lang w:val="en-AU"/>
              </w:rPr>
              <w:t xml:space="preserve">. </w:t>
            </w:r>
            <w:r w:rsidRPr="00AD5A27">
              <w:rPr>
                <w:b w:val="0"/>
                <w:bCs/>
                <w:lang w:val="en-AU"/>
              </w:rPr>
              <w:t>SAT0523 Adalimumab in Patients with Active, Non-Infectious Uveitis Requiring High-Dose Corticosteroids: the Visual-1 Trial.</w:t>
            </w:r>
          </w:p>
        </w:tc>
        <w:tc>
          <w:tcPr>
            <w:tcW w:w="1230" w:type="pct"/>
            <w:tcBorders>
              <w:top w:val="nil"/>
              <w:left w:val="single" w:sz="4" w:space="0" w:color="auto"/>
              <w:bottom w:val="nil"/>
              <w:right w:val="single" w:sz="4" w:space="0" w:color="auto"/>
            </w:tcBorders>
            <w:shd w:val="clear" w:color="auto" w:fill="B8CCE4" w:themeFill="accent1" w:themeFillTint="66"/>
          </w:tcPr>
          <w:p w14:paraId="00DC76CC" w14:textId="77777777" w:rsidR="002A66BB" w:rsidRPr="00AD5A27" w:rsidRDefault="002A66BB" w:rsidP="00557108">
            <w:pPr>
              <w:pStyle w:val="In-tableHeading"/>
              <w:rPr>
                <w:rFonts w:cstheme="minorHAnsi"/>
                <w:b w:val="0"/>
                <w:bCs/>
                <w:i/>
                <w:iCs/>
                <w:szCs w:val="20"/>
                <w:lang w:val="en-AU"/>
              </w:rPr>
            </w:pPr>
            <w:r w:rsidRPr="00AD5A27">
              <w:rPr>
                <w:rFonts w:cstheme="minorHAnsi"/>
                <w:b w:val="0"/>
                <w:bCs/>
                <w:i/>
                <w:iCs/>
                <w:szCs w:val="20"/>
                <w:lang w:val="en-AU"/>
              </w:rPr>
              <w:t>Annals of the Rheumatic Diseases</w:t>
            </w:r>
            <w:r w:rsidRPr="00AD5A27">
              <w:rPr>
                <w:rFonts w:cstheme="minorHAnsi"/>
                <w:b w:val="0"/>
                <w:bCs/>
                <w:szCs w:val="20"/>
                <w:lang w:val="en-AU"/>
              </w:rPr>
              <w:t xml:space="preserve"> 2015;74(Suppl 2):849-850.</w:t>
            </w:r>
          </w:p>
        </w:tc>
      </w:tr>
      <w:tr w:rsidR="002A66BB" w:rsidRPr="00AD5A27" w14:paraId="10E97F2E" w14:textId="77777777">
        <w:trPr>
          <w:cantSplit/>
          <w:trHeight w:val="300"/>
        </w:trPr>
        <w:tc>
          <w:tcPr>
            <w:tcW w:w="623" w:type="pct"/>
            <w:vMerge/>
          </w:tcPr>
          <w:p w14:paraId="5EB215C9" w14:textId="77777777" w:rsidR="002A66BB" w:rsidRPr="00AD5A27" w:rsidRDefault="002A66BB" w:rsidP="00557108">
            <w:pPr>
              <w:pStyle w:val="In-tableHeading"/>
              <w:rPr>
                <w:b w:val="0"/>
                <w:bCs/>
                <w:lang w:val="en-AU"/>
              </w:rPr>
            </w:pPr>
          </w:p>
        </w:tc>
        <w:tc>
          <w:tcPr>
            <w:tcW w:w="3147" w:type="pct"/>
            <w:tcBorders>
              <w:top w:val="nil"/>
              <w:left w:val="single" w:sz="4" w:space="0" w:color="auto"/>
              <w:bottom w:val="nil"/>
              <w:right w:val="single" w:sz="4" w:space="0" w:color="auto"/>
            </w:tcBorders>
            <w:shd w:val="clear" w:color="auto" w:fill="B8CCE4" w:themeFill="accent1" w:themeFillTint="66"/>
          </w:tcPr>
          <w:p w14:paraId="70FAB6E4" w14:textId="77777777" w:rsidR="002A66BB" w:rsidRPr="00AD5A27" w:rsidRDefault="002A66BB" w:rsidP="00557108">
            <w:pPr>
              <w:pStyle w:val="In-tableHeading"/>
              <w:rPr>
                <w:b w:val="0"/>
                <w:bCs/>
                <w:lang w:val="en-AU"/>
              </w:rPr>
            </w:pPr>
            <w:r w:rsidRPr="00AD5A27">
              <w:rPr>
                <w:b w:val="0"/>
                <w:bCs/>
                <w:lang w:val="en-AU"/>
              </w:rPr>
              <w:t>Brezin A, Chen N, Tari S, Skup M, &amp; Joshi A.</w:t>
            </w:r>
            <w:r w:rsidRPr="00AD5A27">
              <w:rPr>
                <w:lang w:val="en-AU"/>
              </w:rPr>
              <w:t xml:space="preserve"> </w:t>
            </w:r>
            <w:r w:rsidRPr="00AD5A27">
              <w:rPr>
                <w:b w:val="0"/>
                <w:bCs/>
                <w:lang w:val="en-AU"/>
              </w:rPr>
              <w:t>THU0565 Clinical Relevance of Treatment Failure as Assessed by the 25-Item Visual Functioning Questionnaire in Patients with Intermediate-, Posterior-, and Pan-Uveitis: Results from The Visual-1 Trial.</w:t>
            </w:r>
          </w:p>
        </w:tc>
        <w:tc>
          <w:tcPr>
            <w:tcW w:w="1230" w:type="pct"/>
            <w:tcBorders>
              <w:top w:val="nil"/>
              <w:left w:val="single" w:sz="4" w:space="0" w:color="auto"/>
              <w:bottom w:val="nil"/>
              <w:right w:val="single" w:sz="4" w:space="0" w:color="auto"/>
            </w:tcBorders>
            <w:shd w:val="clear" w:color="auto" w:fill="B8CCE4" w:themeFill="accent1" w:themeFillTint="66"/>
          </w:tcPr>
          <w:p w14:paraId="5D473C84" w14:textId="77777777" w:rsidR="002A66BB" w:rsidRPr="00AD5A27" w:rsidRDefault="002A66BB" w:rsidP="00557108">
            <w:pPr>
              <w:pStyle w:val="In-tableHeading"/>
              <w:rPr>
                <w:b w:val="0"/>
                <w:bCs/>
                <w:lang w:val="en-AU"/>
              </w:rPr>
            </w:pPr>
            <w:r w:rsidRPr="00AD5A27">
              <w:rPr>
                <w:b w:val="0"/>
                <w:bCs/>
                <w:i/>
                <w:iCs/>
                <w:lang w:val="en-AU"/>
              </w:rPr>
              <w:t>Annals of the Rheumatic Diseases</w:t>
            </w:r>
            <w:r w:rsidRPr="00AD5A27">
              <w:rPr>
                <w:b w:val="0"/>
                <w:bCs/>
                <w:lang w:val="en-AU"/>
              </w:rPr>
              <w:t xml:space="preserve"> 2016; 75:396.</w:t>
            </w:r>
          </w:p>
        </w:tc>
      </w:tr>
      <w:tr w:rsidR="002A66BB" w:rsidRPr="00AD5A27" w14:paraId="02B6CC0A" w14:textId="77777777">
        <w:trPr>
          <w:cantSplit/>
          <w:trHeight w:val="300"/>
        </w:trPr>
        <w:tc>
          <w:tcPr>
            <w:tcW w:w="623" w:type="pct"/>
            <w:vMerge/>
          </w:tcPr>
          <w:p w14:paraId="68C0B86A" w14:textId="77777777" w:rsidR="002A66BB" w:rsidRPr="00AD5A27" w:rsidRDefault="002A66BB" w:rsidP="00557108">
            <w:pPr>
              <w:pStyle w:val="In-tableHeading"/>
              <w:rPr>
                <w:b w:val="0"/>
                <w:bCs/>
                <w:lang w:val="en-AU"/>
              </w:rPr>
            </w:pPr>
          </w:p>
        </w:tc>
        <w:tc>
          <w:tcPr>
            <w:tcW w:w="3147" w:type="pct"/>
            <w:tcBorders>
              <w:top w:val="nil"/>
              <w:left w:val="single" w:sz="4" w:space="0" w:color="auto"/>
              <w:bottom w:val="nil"/>
              <w:right w:val="single" w:sz="4" w:space="0" w:color="auto"/>
            </w:tcBorders>
            <w:shd w:val="clear" w:color="auto" w:fill="B8CCE4" w:themeFill="accent1" w:themeFillTint="66"/>
          </w:tcPr>
          <w:p w14:paraId="446F96E5" w14:textId="77777777" w:rsidR="002A66BB" w:rsidRPr="00AD5A27" w:rsidRDefault="002A66BB" w:rsidP="00557108">
            <w:pPr>
              <w:pStyle w:val="In-tableHeading"/>
              <w:rPr>
                <w:b w:val="0"/>
                <w:bCs/>
                <w:lang w:val="en-AU"/>
              </w:rPr>
            </w:pPr>
            <w:r w:rsidRPr="00AD5A27">
              <w:rPr>
                <w:b w:val="0"/>
                <w:bCs/>
                <w:lang w:val="en-AU"/>
              </w:rPr>
              <w:t>Brezin AP, Dick AD, Jaffe GJ, Ohno S, Namba K, Goto H, Inomata N, Song AP, Kron M, Camez A, Tari S.</w:t>
            </w:r>
            <w:r w:rsidRPr="00AD5A27">
              <w:rPr>
                <w:lang w:val="en-AU"/>
              </w:rPr>
              <w:t xml:space="preserve"> </w:t>
            </w:r>
            <w:r w:rsidRPr="00AD5A27">
              <w:rPr>
                <w:b w:val="0"/>
                <w:bCs/>
                <w:lang w:val="en-AU"/>
              </w:rPr>
              <w:t xml:space="preserve">THU0561 Adalimumab in Patients with Active and Inactive, Non-Infectious Uveitis: Visual I and Visual II Trials. </w:t>
            </w:r>
          </w:p>
        </w:tc>
        <w:tc>
          <w:tcPr>
            <w:tcW w:w="1230" w:type="pct"/>
            <w:tcBorders>
              <w:top w:val="nil"/>
              <w:left w:val="single" w:sz="4" w:space="0" w:color="auto"/>
              <w:bottom w:val="nil"/>
              <w:right w:val="single" w:sz="4" w:space="0" w:color="auto"/>
            </w:tcBorders>
            <w:shd w:val="clear" w:color="auto" w:fill="B8CCE4" w:themeFill="accent1" w:themeFillTint="66"/>
          </w:tcPr>
          <w:p w14:paraId="07FCA79C" w14:textId="77777777" w:rsidR="002A66BB" w:rsidRPr="00AD5A27" w:rsidRDefault="002A66BB" w:rsidP="00557108">
            <w:pPr>
              <w:pStyle w:val="In-tableHeading"/>
              <w:rPr>
                <w:b w:val="0"/>
                <w:bCs/>
                <w:lang w:val="en-AU"/>
              </w:rPr>
            </w:pPr>
            <w:r w:rsidRPr="00AD5A27">
              <w:rPr>
                <w:b w:val="0"/>
                <w:bCs/>
                <w:i/>
                <w:iCs/>
                <w:lang w:val="en-AU"/>
              </w:rPr>
              <w:t>Annals of the Rheumatic Diseases</w:t>
            </w:r>
            <w:r w:rsidRPr="00AD5A27">
              <w:rPr>
                <w:b w:val="0"/>
                <w:bCs/>
                <w:lang w:val="en-AU"/>
              </w:rPr>
              <w:t xml:space="preserve"> 2016; 75:394-395.</w:t>
            </w:r>
          </w:p>
        </w:tc>
      </w:tr>
      <w:tr w:rsidR="002A66BB" w:rsidRPr="00AD5A27" w14:paraId="5DB1D27C" w14:textId="77777777">
        <w:trPr>
          <w:cantSplit/>
          <w:trHeight w:val="300"/>
        </w:trPr>
        <w:tc>
          <w:tcPr>
            <w:tcW w:w="623" w:type="pct"/>
            <w:vMerge/>
          </w:tcPr>
          <w:p w14:paraId="39BE503C" w14:textId="77777777" w:rsidR="002A66BB" w:rsidRPr="00AD5A27" w:rsidRDefault="002A66BB" w:rsidP="00557108">
            <w:pPr>
              <w:pStyle w:val="In-tableHeading"/>
              <w:rPr>
                <w:b w:val="0"/>
                <w:bCs/>
                <w:lang w:val="en-AU"/>
              </w:rPr>
            </w:pPr>
          </w:p>
        </w:tc>
        <w:tc>
          <w:tcPr>
            <w:tcW w:w="3147" w:type="pct"/>
            <w:tcBorders>
              <w:top w:val="nil"/>
              <w:left w:val="single" w:sz="4" w:space="0" w:color="auto"/>
              <w:bottom w:val="nil"/>
              <w:right w:val="single" w:sz="4" w:space="0" w:color="auto"/>
            </w:tcBorders>
            <w:shd w:val="clear" w:color="auto" w:fill="B8CCE4" w:themeFill="accent1" w:themeFillTint="66"/>
          </w:tcPr>
          <w:p w14:paraId="5518D4E8" w14:textId="77777777" w:rsidR="002A66BB" w:rsidRPr="00AD5A27" w:rsidRDefault="002A66BB" w:rsidP="00557108">
            <w:pPr>
              <w:pStyle w:val="In-tableHeading"/>
              <w:rPr>
                <w:b w:val="0"/>
                <w:bCs/>
                <w:lang w:val="en-AU"/>
              </w:rPr>
            </w:pPr>
            <w:r w:rsidRPr="00AD5A27">
              <w:rPr>
                <w:b w:val="0"/>
                <w:bCs/>
                <w:lang w:val="en-AU"/>
              </w:rPr>
              <w:t>Rosenbaum JT, Fortin E, Lim LL, Goto H, Hashida N, Kron M, Song AP, Douglas K, Landewe R, Pathai S. 437 Long-term efficacy and safety of adalimumab in the ongoing noninfectious open-label VISUAL-III study in patients treated with placebo/adalimumab in VISUAL-I/II trials.</w:t>
            </w:r>
          </w:p>
        </w:tc>
        <w:tc>
          <w:tcPr>
            <w:tcW w:w="1230" w:type="pct"/>
            <w:tcBorders>
              <w:top w:val="nil"/>
              <w:left w:val="single" w:sz="4" w:space="0" w:color="auto"/>
              <w:bottom w:val="nil"/>
              <w:right w:val="single" w:sz="4" w:space="0" w:color="auto"/>
            </w:tcBorders>
            <w:shd w:val="clear" w:color="auto" w:fill="B8CCE4" w:themeFill="accent1" w:themeFillTint="66"/>
          </w:tcPr>
          <w:p w14:paraId="34ACA139" w14:textId="77777777" w:rsidR="002A66BB" w:rsidRPr="00AD5A27" w:rsidRDefault="002A66BB" w:rsidP="00557108">
            <w:pPr>
              <w:pStyle w:val="In-tableHeading"/>
              <w:rPr>
                <w:b w:val="0"/>
                <w:bCs/>
                <w:lang w:val="en-AU"/>
              </w:rPr>
            </w:pPr>
            <w:r w:rsidRPr="00AD5A27">
              <w:rPr>
                <w:b w:val="0"/>
                <w:bCs/>
                <w:i/>
                <w:iCs/>
                <w:lang w:val="en-AU"/>
              </w:rPr>
              <w:t>International Journal of Rheumatic Diseases</w:t>
            </w:r>
            <w:r w:rsidRPr="00AD5A27">
              <w:rPr>
                <w:b w:val="0"/>
                <w:bCs/>
                <w:lang w:val="en-AU"/>
              </w:rPr>
              <w:t xml:space="preserve"> 2017;20(S1):17–131</w:t>
            </w:r>
          </w:p>
        </w:tc>
      </w:tr>
      <w:tr w:rsidR="002A66BB" w:rsidRPr="00AD5A27" w14:paraId="1383ACD4" w14:textId="77777777">
        <w:trPr>
          <w:cantSplit/>
          <w:trHeight w:val="300"/>
        </w:trPr>
        <w:tc>
          <w:tcPr>
            <w:tcW w:w="623" w:type="pct"/>
            <w:vMerge/>
          </w:tcPr>
          <w:p w14:paraId="09E4C388" w14:textId="77777777" w:rsidR="002A66BB" w:rsidRPr="00AD5A27" w:rsidRDefault="002A66BB" w:rsidP="00557108">
            <w:pPr>
              <w:pStyle w:val="In-tableHeading"/>
              <w:rPr>
                <w:b w:val="0"/>
                <w:bCs/>
                <w:lang w:val="en-AU"/>
              </w:rPr>
            </w:pPr>
          </w:p>
        </w:tc>
        <w:tc>
          <w:tcPr>
            <w:tcW w:w="3147" w:type="pct"/>
            <w:tcBorders>
              <w:top w:val="nil"/>
              <w:left w:val="single" w:sz="4" w:space="0" w:color="auto"/>
              <w:bottom w:val="single" w:sz="4" w:space="0" w:color="auto"/>
              <w:right w:val="single" w:sz="4" w:space="0" w:color="auto"/>
            </w:tcBorders>
            <w:shd w:val="clear" w:color="auto" w:fill="B8CCE4" w:themeFill="accent1" w:themeFillTint="66"/>
          </w:tcPr>
          <w:p w14:paraId="282DDBC6" w14:textId="77777777" w:rsidR="002A66BB" w:rsidRPr="00AD5A27" w:rsidRDefault="002A66BB" w:rsidP="00557108">
            <w:pPr>
              <w:pStyle w:val="In-tableHeading"/>
              <w:rPr>
                <w:b w:val="0"/>
                <w:bCs/>
                <w:lang w:val="en-AU"/>
              </w:rPr>
            </w:pPr>
            <w:r w:rsidRPr="00AD5A27">
              <w:rPr>
                <w:b w:val="0"/>
                <w:bCs/>
                <w:lang w:val="en-AU"/>
              </w:rPr>
              <w:t xml:space="preserve">Goto H, Zako M, Namba K, Hashida N, Kaburaki T, Miyazaki M, Sonoda KH, Abe T, Mizuki N, Kamoi K, Brézin AP. Adalimumab in active and inactive, non-infectious uveitis: global results from the VISUAL I and VISUAL II trials. </w:t>
            </w:r>
          </w:p>
        </w:tc>
        <w:tc>
          <w:tcPr>
            <w:tcW w:w="1230" w:type="pct"/>
            <w:tcBorders>
              <w:top w:val="nil"/>
              <w:left w:val="single" w:sz="4" w:space="0" w:color="auto"/>
              <w:bottom w:val="single" w:sz="4" w:space="0" w:color="auto"/>
              <w:right w:val="single" w:sz="4" w:space="0" w:color="auto"/>
            </w:tcBorders>
            <w:shd w:val="clear" w:color="auto" w:fill="B8CCE4" w:themeFill="accent1" w:themeFillTint="66"/>
          </w:tcPr>
          <w:p w14:paraId="02550A95" w14:textId="77777777" w:rsidR="002A66BB" w:rsidRPr="00AD5A27" w:rsidRDefault="002A66BB" w:rsidP="00557108">
            <w:pPr>
              <w:pStyle w:val="In-tableHeading"/>
              <w:rPr>
                <w:b w:val="0"/>
                <w:bCs/>
                <w:lang w:val="en-AU"/>
              </w:rPr>
            </w:pPr>
            <w:r w:rsidRPr="00AD5A27">
              <w:rPr>
                <w:b w:val="0"/>
                <w:bCs/>
                <w:i/>
                <w:iCs/>
                <w:lang w:val="en-AU"/>
              </w:rPr>
              <w:t>Ocular Immunology and Inflammation</w:t>
            </w:r>
            <w:r w:rsidRPr="00AD5A27">
              <w:rPr>
                <w:b w:val="0"/>
                <w:bCs/>
                <w:lang w:val="en-AU"/>
              </w:rPr>
              <w:t xml:space="preserve"> 2019;27(1):40-50.</w:t>
            </w:r>
          </w:p>
        </w:tc>
      </w:tr>
      <w:tr w:rsidR="002A66BB" w:rsidRPr="00AD5A27" w14:paraId="6C644CB0" w14:textId="77777777">
        <w:trPr>
          <w:cantSplit/>
          <w:trHeight w:val="300"/>
        </w:trPr>
        <w:tc>
          <w:tcPr>
            <w:tcW w:w="623" w:type="pct"/>
            <w:vMerge/>
          </w:tcPr>
          <w:p w14:paraId="3D8A0B6C" w14:textId="77777777" w:rsidR="002A66BB" w:rsidRPr="00AD5A27" w:rsidRDefault="002A66BB">
            <w:pPr>
              <w:pStyle w:val="In-tableHeading"/>
              <w:rPr>
                <w:b w:val="0"/>
                <w:bCs/>
                <w:lang w:val="en-AU"/>
              </w:rPr>
            </w:pPr>
          </w:p>
        </w:tc>
        <w:tc>
          <w:tcPr>
            <w:tcW w:w="3147" w:type="pct"/>
            <w:tcBorders>
              <w:top w:val="single" w:sz="4" w:space="0" w:color="auto"/>
              <w:left w:val="single" w:sz="4" w:space="0" w:color="auto"/>
              <w:bottom w:val="nil"/>
              <w:right w:val="single" w:sz="4" w:space="0" w:color="auto"/>
            </w:tcBorders>
            <w:shd w:val="clear" w:color="auto" w:fill="B8CCE4" w:themeFill="accent1" w:themeFillTint="66"/>
          </w:tcPr>
          <w:p w14:paraId="73E506DF" w14:textId="4248714B" w:rsidR="002A66BB" w:rsidRPr="00AD5A27" w:rsidRDefault="002A66BB">
            <w:pPr>
              <w:pStyle w:val="In-tableHeading"/>
              <w:rPr>
                <w:b w:val="0"/>
                <w:bCs/>
                <w:lang w:val="en-AU"/>
              </w:rPr>
            </w:pPr>
            <w:r w:rsidRPr="00AD5A27">
              <w:rPr>
                <w:b w:val="0"/>
                <w:bCs/>
                <w:lang w:val="en-AU"/>
              </w:rPr>
              <w:t>Landewe R, van der Horst-Bruinsma I, Tari S, Florentinus S, Song A, Kron M, Pathai S, Rosenbaum J</w:t>
            </w:r>
            <w:r w:rsidR="00AD5A27">
              <w:rPr>
                <w:b w:val="0"/>
                <w:bCs/>
                <w:lang w:val="en-AU"/>
              </w:rPr>
              <w:t xml:space="preserve">. </w:t>
            </w:r>
            <w:r w:rsidRPr="00AD5A27">
              <w:rPr>
                <w:b w:val="0"/>
                <w:bCs/>
                <w:lang w:val="en-AU"/>
              </w:rPr>
              <w:t>THU0583 Quiescence in active and inactive non-infectious, intermediate, posterior, or panuveitis in patients treated with adalimumab: VISUAL I and VISUAL II trials.</w:t>
            </w:r>
          </w:p>
        </w:tc>
        <w:tc>
          <w:tcPr>
            <w:tcW w:w="1230" w:type="pct"/>
            <w:tcBorders>
              <w:top w:val="single" w:sz="4" w:space="0" w:color="auto"/>
              <w:left w:val="single" w:sz="4" w:space="0" w:color="auto"/>
              <w:bottom w:val="nil"/>
              <w:right w:val="single" w:sz="4" w:space="0" w:color="auto"/>
            </w:tcBorders>
            <w:shd w:val="clear" w:color="auto" w:fill="B8CCE4" w:themeFill="accent1" w:themeFillTint="66"/>
          </w:tcPr>
          <w:p w14:paraId="344594A5" w14:textId="77777777" w:rsidR="002A66BB" w:rsidRPr="00AD5A27" w:rsidRDefault="002A66BB">
            <w:pPr>
              <w:pStyle w:val="In-tableHeading"/>
              <w:rPr>
                <w:b w:val="0"/>
                <w:bCs/>
                <w:lang w:val="en-AU"/>
              </w:rPr>
            </w:pPr>
            <w:r w:rsidRPr="00AD5A27">
              <w:rPr>
                <w:b w:val="0"/>
                <w:bCs/>
                <w:i/>
                <w:iCs/>
                <w:lang w:val="en-AU"/>
              </w:rPr>
              <w:t xml:space="preserve">Annals of the Rheumatic Diseases </w:t>
            </w:r>
            <w:r w:rsidRPr="00AD5A27">
              <w:rPr>
                <w:b w:val="0"/>
                <w:bCs/>
                <w:lang w:val="en-AU"/>
              </w:rPr>
              <w:t>2016;75(S2):403.</w:t>
            </w:r>
          </w:p>
        </w:tc>
      </w:tr>
      <w:tr w:rsidR="002A66BB" w:rsidRPr="00AD5A27" w14:paraId="2221C227" w14:textId="77777777">
        <w:trPr>
          <w:cantSplit/>
          <w:trHeight w:val="300"/>
        </w:trPr>
        <w:tc>
          <w:tcPr>
            <w:tcW w:w="623" w:type="pct"/>
            <w:vMerge/>
          </w:tcPr>
          <w:p w14:paraId="5EDEF877" w14:textId="77777777" w:rsidR="002A66BB" w:rsidRPr="00AD5A27" w:rsidRDefault="002A66BB">
            <w:pPr>
              <w:pStyle w:val="In-tableHeading"/>
              <w:rPr>
                <w:b w:val="0"/>
                <w:bCs/>
                <w:lang w:val="en-AU"/>
              </w:rPr>
            </w:pPr>
          </w:p>
        </w:tc>
        <w:tc>
          <w:tcPr>
            <w:tcW w:w="3147" w:type="pct"/>
            <w:tcBorders>
              <w:top w:val="nil"/>
              <w:left w:val="single" w:sz="4" w:space="0" w:color="auto"/>
              <w:bottom w:val="nil"/>
              <w:right w:val="single" w:sz="4" w:space="0" w:color="auto"/>
            </w:tcBorders>
            <w:shd w:val="clear" w:color="auto" w:fill="B8CCE4" w:themeFill="accent1" w:themeFillTint="66"/>
          </w:tcPr>
          <w:p w14:paraId="2AEEE93D" w14:textId="77777777" w:rsidR="002A66BB" w:rsidRPr="00AD5A27" w:rsidRDefault="002A66BB">
            <w:pPr>
              <w:pStyle w:val="In-tableHeading"/>
              <w:rPr>
                <w:b w:val="0"/>
                <w:bCs/>
                <w:lang w:val="en-AU"/>
              </w:rPr>
            </w:pPr>
            <w:r w:rsidRPr="00AD5A27">
              <w:rPr>
                <w:b w:val="0"/>
                <w:bCs/>
                <w:lang w:val="en-AU"/>
              </w:rPr>
              <w:t xml:space="preserve">Suhler EB, Thorne JE, Mittal M, Betts KA, Tari S, Camez A, Bao Y, Joshi A. Corticosteroid-related adverse events systematically increase with corticosteroid dose in noninfectious intermediate, posterior, or panuveitis: post hoc analyses from the VISUAL-1 and VISUAL-2 trials. </w:t>
            </w:r>
          </w:p>
        </w:tc>
        <w:tc>
          <w:tcPr>
            <w:tcW w:w="1230" w:type="pct"/>
            <w:tcBorders>
              <w:top w:val="nil"/>
              <w:left w:val="single" w:sz="4" w:space="0" w:color="auto"/>
              <w:bottom w:val="nil"/>
              <w:right w:val="single" w:sz="4" w:space="0" w:color="auto"/>
            </w:tcBorders>
            <w:shd w:val="clear" w:color="auto" w:fill="B8CCE4" w:themeFill="accent1" w:themeFillTint="66"/>
          </w:tcPr>
          <w:p w14:paraId="2A76943D" w14:textId="77777777" w:rsidR="002A66BB" w:rsidRPr="00AD5A27" w:rsidRDefault="002A66BB">
            <w:pPr>
              <w:pStyle w:val="In-tableHeading"/>
              <w:rPr>
                <w:b w:val="0"/>
                <w:bCs/>
                <w:lang w:val="en-AU"/>
              </w:rPr>
            </w:pPr>
            <w:r w:rsidRPr="00AD5A27">
              <w:rPr>
                <w:b w:val="0"/>
                <w:bCs/>
                <w:i/>
                <w:iCs/>
                <w:lang w:val="en-AU"/>
              </w:rPr>
              <w:t>Ophthalmology</w:t>
            </w:r>
            <w:r w:rsidRPr="00AD5A27">
              <w:rPr>
                <w:b w:val="0"/>
                <w:bCs/>
                <w:lang w:val="en-AU"/>
              </w:rPr>
              <w:t xml:space="preserve"> 2017;124(12):1799-1807.</w:t>
            </w:r>
          </w:p>
        </w:tc>
      </w:tr>
      <w:tr w:rsidR="002A66BB" w:rsidRPr="00AD5A27" w14:paraId="60335F6F" w14:textId="77777777">
        <w:trPr>
          <w:cantSplit/>
          <w:trHeight w:val="158"/>
        </w:trPr>
        <w:tc>
          <w:tcPr>
            <w:tcW w:w="623" w:type="pct"/>
            <w:vMerge/>
          </w:tcPr>
          <w:p w14:paraId="04220B6B" w14:textId="77777777" w:rsidR="002A66BB" w:rsidRPr="00AD5A27" w:rsidRDefault="002A66BB">
            <w:pPr>
              <w:pStyle w:val="In-tableHeading"/>
              <w:rPr>
                <w:b w:val="0"/>
                <w:bCs/>
                <w:lang w:val="en-AU"/>
              </w:rPr>
            </w:pPr>
          </w:p>
        </w:tc>
        <w:tc>
          <w:tcPr>
            <w:tcW w:w="3147" w:type="pct"/>
            <w:tcBorders>
              <w:top w:val="nil"/>
              <w:left w:val="single" w:sz="4" w:space="0" w:color="auto"/>
              <w:bottom w:val="nil"/>
              <w:right w:val="single" w:sz="4" w:space="0" w:color="auto"/>
            </w:tcBorders>
            <w:shd w:val="clear" w:color="auto" w:fill="B8CCE4" w:themeFill="accent1" w:themeFillTint="66"/>
          </w:tcPr>
          <w:p w14:paraId="291CB2A8" w14:textId="77777777" w:rsidR="002A66BB" w:rsidRPr="00AD5A27" w:rsidRDefault="002A66BB">
            <w:pPr>
              <w:pStyle w:val="In-tableHeading"/>
              <w:rPr>
                <w:b w:val="0"/>
                <w:bCs/>
                <w:lang w:val="en-AU"/>
              </w:rPr>
            </w:pPr>
            <w:r w:rsidRPr="00AD5A27">
              <w:rPr>
                <w:b w:val="0"/>
                <w:bCs/>
                <w:lang w:val="en-AU"/>
              </w:rPr>
              <w:t xml:space="preserve">Sheppard J, Joshi A, Betts KA, Hudgens S, Tari S, Chen N, Skup M, Dick AD. Effect of adalimumab on visual functioning in patients with noninfectious intermediate uveitis, posterior uveitis, and panuveitis in the VISUAL-1 and VISUAL-2 trials. </w:t>
            </w:r>
          </w:p>
        </w:tc>
        <w:tc>
          <w:tcPr>
            <w:tcW w:w="1230" w:type="pct"/>
            <w:tcBorders>
              <w:top w:val="nil"/>
              <w:left w:val="single" w:sz="4" w:space="0" w:color="auto"/>
              <w:bottom w:val="nil"/>
              <w:right w:val="single" w:sz="4" w:space="0" w:color="auto"/>
            </w:tcBorders>
            <w:shd w:val="clear" w:color="auto" w:fill="B8CCE4" w:themeFill="accent1" w:themeFillTint="66"/>
          </w:tcPr>
          <w:p w14:paraId="4CFEA601" w14:textId="77777777" w:rsidR="002A66BB" w:rsidRPr="00AD5A27" w:rsidRDefault="002A66BB">
            <w:pPr>
              <w:pStyle w:val="In-tableHeading"/>
              <w:rPr>
                <w:b w:val="0"/>
                <w:bCs/>
                <w:lang w:val="en-AU"/>
              </w:rPr>
            </w:pPr>
            <w:r w:rsidRPr="00AD5A27">
              <w:rPr>
                <w:b w:val="0"/>
                <w:bCs/>
                <w:i/>
                <w:iCs/>
                <w:lang w:val="en-AU"/>
              </w:rPr>
              <w:t>JAMA Ophthalmology</w:t>
            </w:r>
            <w:r w:rsidRPr="00AD5A27">
              <w:rPr>
                <w:b w:val="0"/>
                <w:bCs/>
                <w:lang w:val="en-AU"/>
              </w:rPr>
              <w:t xml:space="preserve"> 2017;135(6):511-518.</w:t>
            </w:r>
          </w:p>
        </w:tc>
      </w:tr>
      <w:tr w:rsidR="002A66BB" w:rsidRPr="00AD5A27" w14:paraId="03AF9206" w14:textId="77777777">
        <w:trPr>
          <w:cantSplit/>
          <w:trHeight w:val="300"/>
        </w:trPr>
        <w:tc>
          <w:tcPr>
            <w:tcW w:w="623" w:type="pct"/>
            <w:vMerge/>
          </w:tcPr>
          <w:p w14:paraId="2DE114D2" w14:textId="77777777" w:rsidR="002A66BB" w:rsidRPr="00AD5A27" w:rsidRDefault="002A66BB">
            <w:pPr>
              <w:pStyle w:val="In-tableHeading"/>
              <w:rPr>
                <w:b w:val="0"/>
                <w:bCs/>
                <w:lang w:val="en-AU"/>
              </w:rPr>
            </w:pPr>
          </w:p>
        </w:tc>
        <w:tc>
          <w:tcPr>
            <w:tcW w:w="3147" w:type="pct"/>
            <w:tcBorders>
              <w:top w:val="nil"/>
              <w:left w:val="single" w:sz="4" w:space="0" w:color="auto"/>
              <w:bottom w:val="single" w:sz="4" w:space="0" w:color="auto"/>
              <w:right w:val="single" w:sz="4" w:space="0" w:color="auto"/>
            </w:tcBorders>
            <w:shd w:val="clear" w:color="auto" w:fill="B8CCE4" w:themeFill="accent1" w:themeFillTint="66"/>
          </w:tcPr>
          <w:p w14:paraId="2EE87A8E" w14:textId="77777777" w:rsidR="002A66BB" w:rsidRPr="00AD5A27" w:rsidRDefault="002A66BB">
            <w:pPr>
              <w:pStyle w:val="In-tableHeading"/>
              <w:rPr>
                <w:b w:val="0"/>
                <w:bCs/>
                <w:lang w:val="en-AU"/>
              </w:rPr>
            </w:pPr>
            <w:r w:rsidRPr="00AD5A27">
              <w:rPr>
                <w:b w:val="0"/>
                <w:bCs/>
                <w:lang w:val="en-AU"/>
              </w:rPr>
              <w:t xml:space="preserve">Merrill PT, Vitale A, Zierhut M, Goto H, Kron M, Song AP, Pathai S, Fortin E. Efficacy of adalimumab in non-infectious uveitis across different etiologies: a post hoc analysis of the VISUAL I and VISUAL II Trials. </w:t>
            </w:r>
          </w:p>
        </w:tc>
        <w:tc>
          <w:tcPr>
            <w:tcW w:w="1230" w:type="pct"/>
            <w:tcBorders>
              <w:top w:val="nil"/>
              <w:left w:val="single" w:sz="4" w:space="0" w:color="auto"/>
              <w:bottom w:val="single" w:sz="4" w:space="0" w:color="auto"/>
              <w:right w:val="single" w:sz="4" w:space="0" w:color="auto"/>
            </w:tcBorders>
            <w:shd w:val="clear" w:color="auto" w:fill="B8CCE4" w:themeFill="accent1" w:themeFillTint="66"/>
          </w:tcPr>
          <w:p w14:paraId="27B27141" w14:textId="77777777" w:rsidR="002A66BB" w:rsidRPr="00AD5A27" w:rsidRDefault="002A66BB">
            <w:pPr>
              <w:pStyle w:val="In-tableHeading"/>
              <w:rPr>
                <w:b w:val="0"/>
                <w:bCs/>
                <w:lang w:val="en-AU"/>
              </w:rPr>
            </w:pPr>
            <w:r w:rsidRPr="00AD5A27">
              <w:rPr>
                <w:b w:val="0"/>
                <w:bCs/>
                <w:i/>
                <w:iCs/>
                <w:lang w:val="en-AU"/>
              </w:rPr>
              <w:t>Ocular Immunology and Inflammation</w:t>
            </w:r>
            <w:r w:rsidRPr="00AD5A27">
              <w:rPr>
                <w:b w:val="0"/>
                <w:bCs/>
                <w:lang w:val="en-AU"/>
              </w:rPr>
              <w:t xml:space="preserve"> 2021;29(7-8):1569-1575.</w:t>
            </w:r>
          </w:p>
        </w:tc>
      </w:tr>
      <w:tr w:rsidR="002A66BB" w:rsidRPr="00AD5A27" w14:paraId="4006BA97" w14:textId="77777777">
        <w:trPr>
          <w:cantSplit/>
          <w:trHeight w:val="300"/>
        </w:trPr>
        <w:tc>
          <w:tcPr>
            <w:tcW w:w="623" w:type="pct"/>
            <w:vMerge w:val="restart"/>
            <w:tcBorders>
              <w:top w:val="single" w:sz="4" w:space="0" w:color="auto"/>
              <w:left w:val="single" w:sz="4" w:space="0" w:color="auto"/>
              <w:right w:val="single" w:sz="4" w:space="0" w:color="auto"/>
            </w:tcBorders>
            <w:shd w:val="clear" w:color="auto" w:fill="B8CCE4" w:themeFill="accent1" w:themeFillTint="66"/>
            <w:vAlign w:val="center"/>
          </w:tcPr>
          <w:p w14:paraId="0181A7A1" w14:textId="77777777" w:rsidR="002A66BB" w:rsidRPr="00AD5A27" w:rsidRDefault="002A66BB">
            <w:pPr>
              <w:pStyle w:val="In-tableHeading"/>
              <w:rPr>
                <w:b w:val="0"/>
                <w:bCs/>
                <w:lang w:val="en-AU"/>
              </w:rPr>
            </w:pPr>
            <w:r w:rsidRPr="00AD5A27">
              <w:rPr>
                <w:b w:val="0"/>
                <w:bCs/>
                <w:lang w:val="en-AU"/>
              </w:rPr>
              <w:t>VISUAL II</w:t>
            </w:r>
          </w:p>
          <w:p w14:paraId="66088ED9" w14:textId="77777777" w:rsidR="002A66BB" w:rsidRPr="00AD5A27" w:rsidRDefault="002A66BB">
            <w:pPr>
              <w:pStyle w:val="In-tableHeading"/>
              <w:rPr>
                <w:b w:val="0"/>
                <w:bCs/>
                <w:lang w:val="en-AU"/>
              </w:rPr>
            </w:pPr>
            <w:r w:rsidRPr="00AD5A27">
              <w:rPr>
                <w:b w:val="0"/>
                <w:bCs/>
                <w:lang w:val="en-AU"/>
              </w:rPr>
              <w:t xml:space="preserve">M10-880 </w:t>
            </w:r>
          </w:p>
          <w:p w14:paraId="715CFFFC" w14:textId="77777777" w:rsidR="002A66BB" w:rsidRPr="00AD5A27" w:rsidRDefault="002A66BB">
            <w:pPr>
              <w:pStyle w:val="In-tableHeading"/>
              <w:rPr>
                <w:b w:val="0"/>
                <w:bCs/>
                <w:lang w:val="en-AU"/>
              </w:rPr>
            </w:pPr>
            <w:r w:rsidRPr="00AD5A27">
              <w:rPr>
                <w:b w:val="0"/>
                <w:bCs/>
                <w:lang w:val="en-AU"/>
              </w:rPr>
              <w:t>NCT01124838</w:t>
            </w:r>
          </w:p>
        </w:tc>
        <w:tc>
          <w:tcPr>
            <w:tcW w:w="3147" w:type="pct"/>
            <w:tcBorders>
              <w:top w:val="single" w:sz="4" w:space="0" w:color="auto"/>
              <w:left w:val="single" w:sz="4" w:space="0" w:color="auto"/>
              <w:bottom w:val="nil"/>
              <w:right w:val="single" w:sz="4" w:space="0" w:color="auto"/>
            </w:tcBorders>
            <w:shd w:val="clear" w:color="auto" w:fill="B8CCE4" w:themeFill="accent1" w:themeFillTint="66"/>
          </w:tcPr>
          <w:p w14:paraId="17D55418" w14:textId="77777777" w:rsidR="002A66BB" w:rsidRPr="00AD5A27" w:rsidRDefault="002A66BB">
            <w:pPr>
              <w:pStyle w:val="In-tableHeading"/>
              <w:rPr>
                <w:b w:val="0"/>
                <w:bCs/>
                <w:lang w:val="en-AU"/>
              </w:rPr>
            </w:pPr>
            <w:r w:rsidRPr="00AD5A27">
              <w:rPr>
                <w:b w:val="0"/>
                <w:bCs/>
                <w:lang w:val="en-AU"/>
              </w:rPr>
              <w:t>A Multicenter Study of the Efficacy and Safety of the Human Anti-TNF Monoclonal Antibody Adalimumab in Subjects with Inactive Non-infectious Intermediate Uveitis, Posterior Uveitis, or Panuveitis - Including a Sub-study in Japanese Patients</w:t>
            </w:r>
          </w:p>
        </w:tc>
        <w:tc>
          <w:tcPr>
            <w:tcW w:w="1230" w:type="pct"/>
            <w:tcBorders>
              <w:top w:val="single" w:sz="4" w:space="0" w:color="auto"/>
              <w:left w:val="single" w:sz="4" w:space="0" w:color="auto"/>
              <w:bottom w:val="nil"/>
              <w:right w:val="single" w:sz="4" w:space="0" w:color="auto"/>
            </w:tcBorders>
            <w:shd w:val="clear" w:color="auto" w:fill="B8CCE4" w:themeFill="accent1" w:themeFillTint="66"/>
          </w:tcPr>
          <w:p w14:paraId="6E07E5C5" w14:textId="77777777" w:rsidR="002A66BB" w:rsidRPr="00AD5A27" w:rsidRDefault="002A66BB">
            <w:pPr>
              <w:pStyle w:val="In-tableHeading"/>
              <w:rPr>
                <w:b w:val="0"/>
                <w:bCs/>
                <w:lang w:val="en-AU"/>
              </w:rPr>
            </w:pPr>
            <w:r w:rsidRPr="00AD5A27">
              <w:rPr>
                <w:b w:val="0"/>
                <w:bCs/>
                <w:lang w:val="en-AU"/>
              </w:rPr>
              <w:t>3 August 2015</w:t>
            </w:r>
          </w:p>
        </w:tc>
      </w:tr>
      <w:tr w:rsidR="002A66BB" w:rsidRPr="00AD5A27" w14:paraId="251C50C2" w14:textId="77777777">
        <w:trPr>
          <w:cantSplit/>
          <w:trHeight w:val="300"/>
        </w:trPr>
        <w:tc>
          <w:tcPr>
            <w:tcW w:w="623" w:type="pct"/>
            <w:vMerge/>
            <w:vAlign w:val="center"/>
          </w:tcPr>
          <w:p w14:paraId="5D310ECB" w14:textId="77777777" w:rsidR="002A66BB" w:rsidRPr="00AD5A27" w:rsidRDefault="002A66BB">
            <w:pPr>
              <w:pStyle w:val="In-tableHeading"/>
              <w:rPr>
                <w:b w:val="0"/>
                <w:bCs/>
                <w:lang w:val="en-AU"/>
              </w:rPr>
            </w:pPr>
          </w:p>
        </w:tc>
        <w:tc>
          <w:tcPr>
            <w:tcW w:w="3147" w:type="pct"/>
            <w:tcBorders>
              <w:top w:val="nil"/>
              <w:left w:val="single" w:sz="4" w:space="0" w:color="auto"/>
              <w:bottom w:val="nil"/>
              <w:right w:val="single" w:sz="4" w:space="0" w:color="auto"/>
            </w:tcBorders>
            <w:shd w:val="clear" w:color="auto" w:fill="B8CCE4" w:themeFill="accent1" w:themeFillTint="66"/>
          </w:tcPr>
          <w:p w14:paraId="3E1156B7" w14:textId="77777777" w:rsidR="002A66BB" w:rsidRPr="00AD5A27" w:rsidRDefault="002A66BB">
            <w:pPr>
              <w:pStyle w:val="In-tableHeading"/>
              <w:rPr>
                <w:b w:val="0"/>
                <w:bCs/>
                <w:i/>
                <w:iCs/>
                <w:lang w:val="en-AU"/>
              </w:rPr>
            </w:pPr>
            <w:r w:rsidRPr="00AD5A27">
              <w:rPr>
                <w:b w:val="0"/>
                <w:bCs/>
                <w:i/>
                <w:iCs/>
                <w:snapToGrid w:val="0"/>
                <w:szCs w:val="20"/>
                <w:lang w:val="en-AU" w:eastAsia="en-US"/>
              </w:rPr>
              <w:t>Nguyen QD, Merrill PT, Jaffe GJ, Dick AD, Kurup SK, Sheppard J, Schlaen A et al. Adalimumab for prevention of uveitic flare in patients with controlled non-infectious uveitis controlled by corticosteroids (VISUAL II): a multicentre, double-masked, randomised, placebo-controlled phase 3 trial.</w:t>
            </w:r>
          </w:p>
        </w:tc>
        <w:tc>
          <w:tcPr>
            <w:tcW w:w="1230" w:type="pct"/>
            <w:tcBorders>
              <w:top w:val="nil"/>
              <w:left w:val="single" w:sz="4" w:space="0" w:color="auto"/>
              <w:bottom w:val="nil"/>
              <w:right w:val="single" w:sz="4" w:space="0" w:color="auto"/>
            </w:tcBorders>
            <w:shd w:val="clear" w:color="auto" w:fill="B8CCE4" w:themeFill="accent1" w:themeFillTint="66"/>
          </w:tcPr>
          <w:p w14:paraId="3A388392" w14:textId="77777777" w:rsidR="002A66BB" w:rsidRPr="00AD5A27" w:rsidRDefault="002A66BB">
            <w:pPr>
              <w:pStyle w:val="In-tableHeading"/>
              <w:rPr>
                <w:b w:val="0"/>
                <w:bCs/>
                <w:i/>
                <w:iCs/>
                <w:lang w:val="en-AU"/>
              </w:rPr>
            </w:pPr>
            <w:r w:rsidRPr="00AD5A27">
              <w:rPr>
                <w:b w:val="0"/>
                <w:bCs/>
                <w:i/>
                <w:iCs/>
                <w:snapToGrid w:val="0"/>
                <w:szCs w:val="20"/>
                <w:lang w:val="en-AU" w:eastAsia="en-US"/>
              </w:rPr>
              <w:t>The Lancet 2016;388(10050):1183-1192</w:t>
            </w:r>
          </w:p>
        </w:tc>
      </w:tr>
      <w:tr w:rsidR="002A66BB" w:rsidRPr="00AD5A27" w14:paraId="32980FDB" w14:textId="77777777">
        <w:trPr>
          <w:cantSplit/>
          <w:trHeight w:val="300"/>
        </w:trPr>
        <w:tc>
          <w:tcPr>
            <w:tcW w:w="623" w:type="pct"/>
            <w:vMerge/>
            <w:vAlign w:val="center"/>
          </w:tcPr>
          <w:p w14:paraId="4A52D85A" w14:textId="77777777" w:rsidR="002A66BB" w:rsidRPr="00AD5A27" w:rsidRDefault="002A66BB">
            <w:pPr>
              <w:pStyle w:val="In-tableHeading"/>
              <w:rPr>
                <w:b w:val="0"/>
                <w:bCs/>
                <w:lang w:val="en-AU"/>
              </w:rPr>
            </w:pPr>
          </w:p>
        </w:tc>
        <w:tc>
          <w:tcPr>
            <w:tcW w:w="3147" w:type="pct"/>
            <w:tcBorders>
              <w:top w:val="nil"/>
              <w:left w:val="single" w:sz="4" w:space="0" w:color="auto"/>
              <w:bottom w:val="single" w:sz="4" w:space="0" w:color="auto"/>
              <w:right w:val="single" w:sz="4" w:space="0" w:color="auto"/>
            </w:tcBorders>
            <w:shd w:val="clear" w:color="auto" w:fill="B8CCE4" w:themeFill="accent1" w:themeFillTint="66"/>
          </w:tcPr>
          <w:p w14:paraId="6742BF2C" w14:textId="77777777" w:rsidR="002A66BB" w:rsidRPr="00AD5A27" w:rsidRDefault="002A66BB">
            <w:pPr>
              <w:pStyle w:val="In-tableHeading"/>
              <w:rPr>
                <w:b w:val="0"/>
                <w:bCs/>
                <w:lang w:val="en-AU"/>
              </w:rPr>
            </w:pPr>
            <w:r w:rsidRPr="00AD5A27">
              <w:rPr>
                <w:b w:val="0"/>
                <w:bCs/>
                <w:lang w:val="en-AU"/>
              </w:rPr>
              <w:t xml:space="preserve">Quan DN, Kurup SK, Merrill P, Sheppard J, Van Calster J, Dick AD, Jaffe G, Mackensen F, Rosenbaum JT, Schlaen A, Camez A. 1388 Adalimumab in patients with inactive, non-infectious uveitis requiring systemic treatment. </w:t>
            </w:r>
          </w:p>
        </w:tc>
        <w:tc>
          <w:tcPr>
            <w:tcW w:w="1230" w:type="pct"/>
            <w:tcBorders>
              <w:top w:val="nil"/>
              <w:left w:val="single" w:sz="4" w:space="0" w:color="auto"/>
              <w:bottom w:val="single" w:sz="4" w:space="0" w:color="auto"/>
              <w:right w:val="single" w:sz="4" w:space="0" w:color="auto"/>
            </w:tcBorders>
            <w:shd w:val="clear" w:color="auto" w:fill="B8CCE4" w:themeFill="accent1" w:themeFillTint="66"/>
          </w:tcPr>
          <w:p w14:paraId="06ACE9F5" w14:textId="702F195E" w:rsidR="002A66BB" w:rsidRPr="00AD5A27" w:rsidRDefault="002A66BB">
            <w:pPr>
              <w:pStyle w:val="In-tableHeading"/>
              <w:rPr>
                <w:b w:val="0"/>
                <w:bCs/>
                <w:lang w:val="en-AU"/>
              </w:rPr>
            </w:pPr>
            <w:r w:rsidRPr="00AD5A27">
              <w:rPr>
                <w:b w:val="0"/>
                <w:bCs/>
                <w:i/>
                <w:iCs/>
                <w:lang w:val="en-AU"/>
              </w:rPr>
              <w:t>Arthritis &amp; Rheumatology</w:t>
            </w:r>
            <w:r w:rsidRPr="00AD5A27">
              <w:rPr>
                <w:b w:val="0"/>
                <w:bCs/>
                <w:lang w:val="en-AU"/>
              </w:rPr>
              <w:t xml:space="preserve"> 2015;67(S10)</w:t>
            </w:r>
            <w:r w:rsidR="00AD5A27">
              <w:rPr>
                <w:b w:val="0"/>
                <w:bCs/>
                <w:lang w:val="en-AU"/>
              </w:rPr>
              <w:t xml:space="preserve">. </w:t>
            </w:r>
          </w:p>
        </w:tc>
      </w:tr>
      <w:tr w:rsidR="00B714C8" w:rsidRPr="00AD5A27" w14:paraId="0C7D8376" w14:textId="77777777" w:rsidTr="00B714C8">
        <w:trPr>
          <w:cantSplit/>
          <w:trHeight w:val="300"/>
        </w:trPr>
        <w:tc>
          <w:tcPr>
            <w:tcW w:w="5000" w:type="pct"/>
            <w:gridSpan w:val="3"/>
            <w:tcBorders>
              <w:right w:val="single" w:sz="4" w:space="0" w:color="auto"/>
            </w:tcBorders>
            <w:shd w:val="clear" w:color="auto" w:fill="auto"/>
            <w:vAlign w:val="center"/>
          </w:tcPr>
          <w:p w14:paraId="20C04E03" w14:textId="21E06195" w:rsidR="00B714C8" w:rsidRPr="00AD5A27" w:rsidRDefault="00B714C8">
            <w:pPr>
              <w:pStyle w:val="In-tableHeading"/>
              <w:rPr>
                <w:b w:val="0"/>
                <w:bCs/>
                <w:lang w:val="en-AU"/>
              </w:rPr>
            </w:pPr>
            <w:r w:rsidRPr="00AD5A27">
              <w:rPr>
                <w:lang w:val="en-AU"/>
              </w:rPr>
              <w:t>Paediatric</w:t>
            </w:r>
          </w:p>
        </w:tc>
      </w:tr>
      <w:tr w:rsidR="002A66BB" w:rsidRPr="00AD5A27" w14:paraId="6AE3E8B2" w14:textId="77777777">
        <w:trPr>
          <w:cantSplit/>
          <w:trHeight w:val="300"/>
        </w:trPr>
        <w:tc>
          <w:tcPr>
            <w:tcW w:w="623" w:type="pct"/>
            <w:vMerge w:val="restart"/>
            <w:tcBorders>
              <w:right w:val="single" w:sz="4" w:space="0" w:color="auto"/>
            </w:tcBorders>
            <w:shd w:val="clear" w:color="auto" w:fill="auto"/>
            <w:vAlign w:val="center"/>
          </w:tcPr>
          <w:p w14:paraId="0F2DF0A3" w14:textId="77777777" w:rsidR="002A66BB" w:rsidRPr="00AD5A27" w:rsidRDefault="002A66BB">
            <w:pPr>
              <w:pStyle w:val="In-tableHeading"/>
              <w:rPr>
                <w:b w:val="0"/>
                <w:bCs/>
                <w:lang w:val="en-AU"/>
              </w:rPr>
            </w:pPr>
            <w:r w:rsidRPr="00AD5A27">
              <w:rPr>
                <w:b w:val="0"/>
                <w:bCs/>
                <w:lang w:val="en-AU"/>
              </w:rPr>
              <w:t>SYCAMORE</w:t>
            </w:r>
          </w:p>
        </w:tc>
        <w:tc>
          <w:tcPr>
            <w:tcW w:w="3147" w:type="pct"/>
            <w:tcBorders>
              <w:top w:val="single" w:sz="4" w:space="0" w:color="auto"/>
              <w:left w:val="single" w:sz="4" w:space="0" w:color="auto"/>
              <w:bottom w:val="nil"/>
              <w:right w:val="single" w:sz="4" w:space="0" w:color="auto"/>
            </w:tcBorders>
          </w:tcPr>
          <w:p w14:paraId="70756990" w14:textId="77777777" w:rsidR="002A66BB" w:rsidRPr="00AD5A27" w:rsidRDefault="002A66BB">
            <w:pPr>
              <w:pStyle w:val="In-tableHeading"/>
              <w:rPr>
                <w:b w:val="0"/>
                <w:bCs/>
                <w:lang w:val="en-AU"/>
              </w:rPr>
            </w:pPr>
            <w:r w:rsidRPr="00AD5A27">
              <w:rPr>
                <w:b w:val="0"/>
                <w:bCs/>
                <w:lang w:val="en-AU"/>
              </w:rPr>
              <w:t>A randomised controlled trial of the clinical effectiveness, safety and cost-effectiveness of adalimumab in combination with methotrexate for the treatment of juvenile idiopathic arthritis associated uveitis (SYCAMORE Trial) Final Report</w:t>
            </w:r>
          </w:p>
        </w:tc>
        <w:tc>
          <w:tcPr>
            <w:tcW w:w="1230" w:type="pct"/>
            <w:tcBorders>
              <w:top w:val="single" w:sz="4" w:space="0" w:color="auto"/>
              <w:left w:val="single" w:sz="4" w:space="0" w:color="auto"/>
              <w:bottom w:val="nil"/>
              <w:right w:val="single" w:sz="4" w:space="0" w:color="auto"/>
            </w:tcBorders>
          </w:tcPr>
          <w:p w14:paraId="635FBD09" w14:textId="77777777" w:rsidR="002A66BB" w:rsidRPr="00AD5A27" w:rsidRDefault="002A66BB">
            <w:pPr>
              <w:pStyle w:val="In-tableHeading"/>
              <w:rPr>
                <w:b w:val="0"/>
                <w:bCs/>
                <w:i/>
                <w:iCs/>
                <w:lang w:val="en-AU"/>
              </w:rPr>
            </w:pPr>
            <w:r w:rsidRPr="00AD5A27">
              <w:rPr>
                <w:b w:val="0"/>
                <w:bCs/>
                <w:lang w:val="en-AU"/>
              </w:rPr>
              <w:t>27 February 2018</w:t>
            </w:r>
          </w:p>
        </w:tc>
      </w:tr>
      <w:tr w:rsidR="002A66BB" w:rsidRPr="00AD5A27" w14:paraId="79846F54" w14:textId="77777777">
        <w:trPr>
          <w:cantSplit/>
          <w:trHeight w:val="300"/>
        </w:trPr>
        <w:tc>
          <w:tcPr>
            <w:tcW w:w="623" w:type="pct"/>
            <w:vMerge/>
            <w:vAlign w:val="center"/>
          </w:tcPr>
          <w:p w14:paraId="4462DA1E" w14:textId="77777777" w:rsidR="002A66BB" w:rsidRPr="00AD5A27" w:rsidRDefault="002A66BB">
            <w:pPr>
              <w:pStyle w:val="In-tableHeading"/>
              <w:rPr>
                <w:b w:val="0"/>
                <w:bCs/>
                <w:lang w:val="en-AU"/>
              </w:rPr>
            </w:pPr>
          </w:p>
        </w:tc>
        <w:tc>
          <w:tcPr>
            <w:tcW w:w="3147" w:type="pct"/>
            <w:tcBorders>
              <w:top w:val="nil"/>
              <w:left w:val="single" w:sz="4" w:space="0" w:color="auto"/>
              <w:bottom w:val="nil"/>
              <w:right w:val="single" w:sz="4" w:space="0" w:color="auto"/>
            </w:tcBorders>
          </w:tcPr>
          <w:p w14:paraId="1F5688A4" w14:textId="77777777" w:rsidR="002A66BB" w:rsidRPr="00AD5A27" w:rsidRDefault="002A66BB">
            <w:pPr>
              <w:pStyle w:val="In-tableHeading"/>
              <w:rPr>
                <w:b w:val="0"/>
                <w:bCs/>
                <w:lang w:val="en-AU"/>
              </w:rPr>
            </w:pPr>
            <w:r w:rsidRPr="00AD5A27">
              <w:rPr>
                <w:b w:val="0"/>
                <w:bCs/>
                <w:lang w:val="en-AU"/>
              </w:rPr>
              <w:t>A randomised controlled trial of the clinical effectiveness, safety and cost-effectiveness of adalimumab in combination with methotrexate for the treatment of juvenile idiopathic arthritis associated uveitis (SYCAMORE Trial) Interim Report</w:t>
            </w:r>
          </w:p>
        </w:tc>
        <w:tc>
          <w:tcPr>
            <w:tcW w:w="1230" w:type="pct"/>
            <w:tcBorders>
              <w:top w:val="nil"/>
              <w:left w:val="single" w:sz="4" w:space="0" w:color="auto"/>
              <w:bottom w:val="nil"/>
              <w:right w:val="single" w:sz="4" w:space="0" w:color="auto"/>
            </w:tcBorders>
          </w:tcPr>
          <w:p w14:paraId="55C4C9F4" w14:textId="77777777" w:rsidR="002A66BB" w:rsidRPr="00AD5A27" w:rsidRDefault="002A66BB">
            <w:pPr>
              <w:pStyle w:val="In-tableHeading"/>
              <w:rPr>
                <w:b w:val="0"/>
                <w:bCs/>
                <w:i/>
                <w:iCs/>
                <w:lang w:val="en-AU"/>
              </w:rPr>
            </w:pPr>
            <w:r w:rsidRPr="00AD5A27">
              <w:rPr>
                <w:b w:val="0"/>
                <w:bCs/>
                <w:lang w:val="en-AU"/>
              </w:rPr>
              <w:t>2 August 2017</w:t>
            </w:r>
          </w:p>
        </w:tc>
      </w:tr>
      <w:tr w:rsidR="002A66BB" w:rsidRPr="00AD5A27" w14:paraId="45EC2061" w14:textId="77777777">
        <w:trPr>
          <w:cantSplit/>
          <w:trHeight w:val="300"/>
        </w:trPr>
        <w:tc>
          <w:tcPr>
            <w:tcW w:w="623" w:type="pct"/>
            <w:vMerge/>
            <w:vAlign w:val="center"/>
          </w:tcPr>
          <w:p w14:paraId="68AFD39D" w14:textId="77777777" w:rsidR="002A66BB" w:rsidRPr="00AD5A27" w:rsidRDefault="002A66BB">
            <w:pPr>
              <w:pStyle w:val="In-tableHeading"/>
              <w:rPr>
                <w:b w:val="0"/>
                <w:bCs/>
                <w:lang w:val="en-AU"/>
              </w:rPr>
            </w:pPr>
          </w:p>
        </w:tc>
        <w:tc>
          <w:tcPr>
            <w:tcW w:w="3147" w:type="pct"/>
            <w:tcBorders>
              <w:top w:val="nil"/>
              <w:left w:val="single" w:sz="4" w:space="0" w:color="auto"/>
              <w:bottom w:val="nil"/>
              <w:right w:val="single" w:sz="4" w:space="0" w:color="auto"/>
            </w:tcBorders>
          </w:tcPr>
          <w:p w14:paraId="3C560FAB" w14:textId="77777777" w:rsidR="002A66BB" w:rsidRPr="00AD5A27" w:rsidRDefault="002A66BB">
            <w:pPr>
              <w:pStyle w:val="In-tableHeading"/>
              <w:rPr>
                <w:b w:val="0"/>
                <w:bCs/>
                <w:lang w:val="en-AU"/>
              </w:rPr>
            </w:pPr>
            <w:r w:rsidRPr="00AD5A27">
              <w:rPr>
                <w:b w:val="0"/>
                <w:bCs/>
                <w:lang w:val="en-AU"/>
              </w:rPr>
              <w:t>Ramanan AV, Dick AD, Jones AP, McKay A, Williamson PR, Compeyrot-Lacassagne S, Hardwick B, Hickey H, Hughes D, Woo P, Benton D. Adalimumab plus methotrexate for uveitis in juvenile idiopathic arthritis.</w:t>
            </w:r>
          </w:p>
        </w:tc>
        <w:tc>
          <w:tcPr>
            <w:tcW w:w="1230" w:type="pct"/>
            <w:tcBorders>
              <w:top w:val="nil"/>
              <w:left w:val="single" w:sz="4" w:space="0" w:color="auto"/>
              <w:bottom w:val="nil"/>
              <w:right w:val="single" w:sz="4" w:space="0" w:color="auto"/>
            </w:tcBorders>
          </w:tcPr>
          <w:p w14:paraId="4CA3E099" w14:textId="77777777" w:rsidR="002A66BB" w:rsidRPr="00AD5A27" w:rsidRDefault="002A66BB">
            <w:pPr>
              <w:pStyle w:val="In-tableHeading"/>
              <w:rPr>
                <w:b w:val="0"/>
                <w:bCs/>
                <w:i/>
                <w:iCs/>
                <w:lang w:val="en-AU"/>
              </w:rPr>
            </w:pPr>
            <w:r w:rsidRPr="00AD5A27">
              <w:rPr>
                <w:b w:val="0"/>
                <w:bCs/>
                <w:i/>
                <w:iCs/>
                <w:lang w:val="en-AU"/>
              </w:rPr>
              <w:t>New England Journal of Medicine</w:t>
            </w:r>
            <w:r w:rsidRPr="00AD5A27">
              <w:rPr>
                <w:b w:val="0"/>
                <w:bCs/>
                <w:lang w:val="en-AU"/>
              </w:rPr>
              <w:t xml:space="preserve"> 2017; 376(17):1637-1646.</w:t>
            </w:r>
          </w:p>
        </w:tc>
      </w:tr>
      <w:tr w:rsidR="002A66BB" w:rsidRPr="00AD5A27" w14:paraId="0E6DDD30" w14:textId="77777777">
        <w:trPr>
          <w:cantSplit/>
          <w:trHeight w:val="300"/>
        </w:trPr>
        <w:tc>
          <w:tcPr>
            <w:tcW w:w="623" w:type="pct"/>
            <w:vMerge/>
            <w:vAlign w:val="center"/>
          </w:tcPr>
          <w:p w14:paraId="0EA2F811" w14:textId="77777777" w:rsidR="002A66BB" w:rsidRPr="00AD5A27" w:rsidRDefault="002A66BB">
            <w:pPr>
              <w:pStyle w:val="In-tableHeading"/>
              <w:rPr>
                <w:b w:val="0"/>
                <w:bCs/>
                <w:lang w:val="en-AU"/>
              </w:rPr>
            </w:pPr>
          </w:p>
        </w:tc>
        <w:tc>
          <w:tcPr>
            <w:tcW w:w="3147" w:type="pct"/>
            <w:tcBorders>
              <w:top w:val="nil"/>
              <w:left w:val="single" w:sz="4" w:space="0" w:color="auto"/>
              <w:bottom w:val="single" w:sz="4" w:space="0" w:color="auto"/>
              <w:right w:val="single" w:sz="4" w:space="0" w:color="auto"/>
            </w:tcBorders>
          </w:tcPr>
          <w:p w14:paraId="1D135AF3" w14:textId="77777777" w:rsidR="002A66BB" w:rsidRPr="00AD5A27" w:rsidRDefault="002A66BB">
            <w:pPr>
              <w:pStyle w:val="In-tableHeading"/>
              <w:rPr>
                <w:b w:val="0"/>
                <w:bCs/>
                <w:lang w:val="en-AU"/>
              </w:rPr>
            </w:pPr>
            <w:r w:rsidRPr="00AD5A27">
              <w:rPr>
                <w:b w:val="0"/>
                <w:bCs/>
                <w:lang w:val="en-AU"/>
              </w:rPr>
              <w:t xml:space="preserve">Horton S, Jones AP, Guly CM, Hardwick B, Beresford MW, Lee RW, Dick AD, Ramanan AV. Adalimumab in Juvenile Idiopathic Arthritis–Associated Uveitis: 5-Year Follow-up of the Bristol Participants of the SYCAMORE Trial. </w:t>
            </w:r>
          </w:p>
        </w:tc>
        <w:tc>
          <w:tcPr>
            <w:tcW w:w="1230" w:type="pct"/>
            <w:tcBorders>
              <w:top w:val="nil"/>
              <w:left w:val="single" w:sz="4" w:space="0" w:color="auto"/>
              <w:bottom w:val="single" w:sz="4" w:space="0" w:color="auto"/>
              <w:right w:val="single" w:sz="4" w:space="0" w:color="auto"/>
            </w:tcBorders>
          </w:tcPr>
          <w:p w14:paraId="0A94EDA7" w14:textId="77777777" w:rsidR="002A66BB" w:rsidRPr="00AD5A27" w:rsidRDefault="002A66BB">
            <w:pPr>
              <w:pStyle w:val="In-tableHeading"/>
              <w:rPr>
                <w:b w:val="0"/>
                <w:bCs/>
                <w:i/>
                <w:iCs/>
                <w:lang w:val="en-AU"/>
              </w:rPr>
            </w:pPr>
            <w:r w:rsidRPr="00AD5A27">
              <w:rPr>
                <w:b w:val="0"/>
                <w:bCs/>
                <w:i/>
                <w:iCs/>
                <w:lang w:val="en-AU"/>
              </w:rPr>
              <w:t xml:space="preserve">American journal of ophthalmology </w:t>
            </w:r>
            <w:r w:rsidRPr="00AD5A27">
              <w:rPr>
                <w:b w:val="0"/>
                <w:bCs/>
                <w:lang w:val="en-AU"/>
              </w:rPr>
              <w:t>2019; 207:170-174.</w:t>
            </w:r>
          </w:p>
        </w:tc>
      </w:tr>
      <w:tr w:rsidR="002A66BB" w:rsidRPr="00AD5A27" w14:paraId="6B304B8E" w14:textId="77777777">
        <w:trPr>
          <w:cantSplit/>
          <w:trHeight w:val="300"/>
        </w:trPr>
        <w:tc>
          <w:tcPr>
            <w:tcW w:w="623" w:type="pct"/>
            <w:vMerge w:val="restart"/>
            <w:tcBorders>
              <w:right w:val="single" w:sz="4" w:space="0" w:color="auto"/>
            </w:tcBorders>
            <w:shd w:val="clear" w:color="auto" w:fill="auto"/>
            <w:vAlign w:val="center"/>
          </w:tcPr>
          <w:p w14:paraId="27CB32C9" w14:textId="77777777" w:rsidR="002A66BB" w:rsidRPr="00AD5A27" w:rsidRDefault="002A66BB">
            <w:pPr>
              <w:pStyle w:val="In-tableHeading"/>
              <w:rPr>
                <w:b w:val="0"/>
                <w:bCs/>
                <w:lang w:val="en-AU"/>
              </w:rPr>
            </w:pPr>
            <w:r w:rsidRPr="00AD5A27">
              <w:rPr>
                <w:b w:val="0"/>
                <w:bCs/>
                <w:lang w:val="en-AU"/>
              </w:rPr>
              <w:t>ADJUVITE</w:t>
            </w:r>
          </w:p>
          <w:p w14:paraId="39681346" w14:textId="77777777" w:rsidR="002A66BB" w:rsidRPr="00AD5A27" w:rsidRDefault="002A66BB">
            <w:pPr>
              <w:pStyle w:val="In-tableHeading"/>
              <w:rPr>
                <w:b w:val="0"/>
                <w:bCs/>
                <w:lang w:val="en-AU"/>
              </w:rPr>
            </w:pPr>
            <w:r w:rsidRPr="00AD5A27">
              <w:rPr>
                <w:b w:val="0"/>
                <w:bCs/>
                <w:lang w:val="en-AU"/>
              </w:rPr>
              <w:t>NCT01385826</w:t>
            </w:r>
          </w:p>
        </w:tc>
        <w:tc>
          <w:tcPr>
            <w:tcW w:w="3147" w:type="pct"/>
            <w:tcBorders>
              <w:top w:val="single" w:sz="4" w:space="0" w:color="auto"/>
              <w:left w:val="single" w:sz="4" w:space="0" w:color="auto"/>
              <w:bottom w:val="nil"/>
              <w:right w:val="single" w:sz="4" w:space="0" w:color="auto"/>
            </w:tcBorders>
          </w:tcPr>
          <w:p w14:paraId="68B83E7E" w14:textId="77777777" w:rsidR="002A66BB" w:rsidRPr="00AD5A27" w:rsidRDefault="002A66BB">
            <w:pPr>
              <w:pStyle w:val="In-tableHeading"/>
              <w:rPr>
                <w:b w:val="0"/>
                <w:bCs/>
                <w:lang w:val="en-AU"/>
              </w:rPr>
            </w:pPr>
            <w:r w:rsidRPr="00AD5A27">
              <w:rPr>
                <w:b w:val="0"/>
                <w:bCs/>
                <w:lang w:val="en-AU"/>
              </w:rPr>
              <w:t>Quartier P, Despert V, Poignant S, Elie C, Kone-Paut I, Belot A, Kodjikian L, Monnet D, Weber M, Bodaghi B, Baptiste A.</w:t>
            </w:r>
          </w:p>
          <w:p w14:paraId="7F424E59" w14:textId="77777777" w:rsidR="002A66BB" w:rsidRPr="00AD5A27" w:rsidRDefault="002A66BB">
            <w:pPr>
              <w:pStyle w:val="In-tableHeading"/>
              <w:rPr>
                <w:b w:val="0"/>
                <w:bCs/>
                <w:lang w:val="en-AU"/>
              </w:rPr>
            </w:pPr>
            <w:r w:rsidRPr="00AD5A27">
              <w:rPr>
                <w:b w:val="0"/>
                <w:bCs/>
                <w:lang w:val="en-AU"/>
              </w:rPr>
              <w:t>THU0235 Adjuvite: A double-blind, randomized, placebo-controlled trial of adalimumab in juvenile idiopathic arthritis associated uveitis.</w:t>
            </w:r>
          </w:p>
        </w:tc>
        <w:tc>
          <w:tcPr>
            <w:tcW w:w="1230" w:type="pct"/>
            <w:tcBorders>
              <w:top w:val="single" w:sz="4" w:space="0" w:color="auto"/>
              <w:left w:val="single" w:sz="4" w:space="0" w:color="auto"/>
              <w:bottom w:val="nil"/>
              <w:right w:val="single" w:sz="4" w:space="0" w:color="auto"/>
            </w:tcBorders>
          </w:tcPr>
          <w:p w14:paraId="2DC49FB9" w14:textId="77777777" w:rsidR="002A66BB" w:rsidRPr="00AD5A27" w:rsidRDefault="002A66BB">
            <w:pPr>
              <w:pStyle w:val="In-tableHeading"/>
              <w:rPr>
                <w:b w:val="0"/>
                <w:bCs/>
                <w:i/>
                <w:iCs/>
                <w:lang w:val="en-AU"/>
              </w:rPr>
            </w:pPr>
            <w:r w:rsidRPr="00AD5A27">
              <w:rPr>
                <w:b w:val="0"/>
                <w:bCs/>
                <w:i/>
                <w:iCs/>
                <w:lang w:val="en-AU"/>
              </w:rPr>
              <w:t xml:space="preserve">Annals of the Rheumatic Diseases </w:t>
            </w:r>
            <w:r w:rsidRPr="00AD5A27">
              <w:rPr>
                <w:b w:val="0"/>
                <w:bCs/>
                <w:lang w:val="en-AU"/>
              </w:rPr>
              <w:t>2016; 75:273.</w:t>
            </w:r>
          </w:p>
        </w:tc>
      </w:tr>
      <w:tr w:rsidR="002A66BB" w:rsidRPr="00AD5A27" w14:paraId="39806E9E" w14:textId="77777777">
        <w:trPr>
          <w:cantSplit/>
          <w:trHeight w:val="300"/>
        </w:trPr>
        <w:tc>
          <w:tcPr>
            <w:tcW w:w="623" w:type="pct"/>
            <w:vMerge/>
            <w:vAlign w:val="center"/>
          </w:tcPr>
          <w:p w14:paraId="36CF6E23" w14:textId="77777777" w:rsidR="002A66BB" w:rsidRPr="00AD5A27" w:rsidRDefault="002A66BB">
            <w:pPr>
              <w:pStyle w:val="In-tableHeading"/>
              <w:rPr>
                <w:b w:val="0"/>
                <w:bCs/>
                <w:lang w:val="en-AU"/>
              </w:rPr>
            </w:pPr>
          </w:p>
        </w:tc>
        <w:tc>
          <w:tcPr>
            <w:tcW w:w="3147" w:type="pct"/>
            <w:tcBorders>
              <w:top w:val="nil"/>
              <w:left w:val="single" w:sz="4" w:space="0" w:color="auto"/>
              <w:bottom w:val="nil"/>
              <w:right w:val="single" w:sz="4" w:space="0" w:color="auto"/>
            </w:tcBorders>
          </w:tcPr>
          <w:p w14:paraId="4EC10FC1" w14:textId="77777777" w:rsidR="002A66BB" w:rsidRPr="00AD5A27" w:rsidRDefault="002A66BB">
            <w:pPr>
              <w:pStyle w:val="In-tableHeading"/>
              <w:rPr>
                <w:b w:val="0"/>
                <w:bCs/>
                <w:lang w:val="en-AU"/>
              </w:rPr>
            </w:pPr>
            <w:r w:rsidRPr="00AD5A27">
              <w:rPr>
                <w:b w:val="0"/>
                <w:bCs/>
                <w:i/>
                <w:iCs/>
                <w:snapToGrid w:val="0"/>
                <w:szCs w:val="20"/>
                <w:lang w:val="en-AU" w:eastAsia="en-US"/>
              </w:rPr>
              <w:t xml:space="preserve">Quartier P, Baptiste A, Despert V, Allain-Launay E, Koné-Paut I, Belot A, Kodjikian L, Monnet D, Weber M, Elie C, Bodaghi B; ADJUVITE Study Group. ADJUVITE: a double-blind, randomised, placebo-controlled trial of adalimumab in early onset, chronic, juvenile idiopathic arthritis-associated anterior uveitis. </w:t>
            </w:r>
          </w:p>
        </w:tc>
        <w:tc>
          <w:tcPr>
            <w:tcW w:w="1230" w:type="pct"/>
            <w:tcBorders>
              <w:top w:val="nil"/>
              <w:left w:val="single" w:sz="4" w:space="0" w:color="auto"/>
              <w:bottom w:val="nil"/>
              <w:right w:val="single" w:sz="4" w:space="0" w:color="auto"/>
            </w:tcBorders>
          </w:tcPr>
          <w:p w14:paraId="5F862D30" w14:textId="77777777" w:rsidR="002A66BB" w:rsidRPr="00AD5A27" w:rsidRDefault="002A66BB">
            <w:pPr>
              <w:pStyle w:val="In-tableHeading"/>
              <w:rPr>
                <w:b w:val="0"/>
                <w:bCs/>
                <w:i/>
                <w:iCs/>
                <w:lang w:val="en-AU"/>
              </w:rPr>
            </w:pPr>
            <w:r w:rsidRPr="00AD5A27">
              <w:rPr>
                <w:b w:val="0"/>
                <w:bCs/>
                <w:i/>
                <w:iCs/>
                <w:snapToGrid w:val="0"/>
                <w:szCs w:val="20"/>
                <w:lang w:val="en-AU" w:eastAsia="en-US"/>
              </w:rPr>
              <w:t>Ann Rheum Dis. 2018;77(7):1003-1011.</w:t>
            </w:r>
          </w:p>
        </w:tc>
      </w:tr>
      <w:tr w:rsidR="002A66BB" w:rsidRPr="00AD5A27" w14:paraId="6B99C887" w14:textId="77777777">
        <w:trPr>
          <w:cantSplit/>
          <w:trHeight w:val="300"/>
        </w:trPr>
        <w:tc>
          <w:tcPr>
            <w:tcW w:w="5000" w:type="pct"/>
            <w:gridSpan w:val="3"/>
            <w:tcBorders>
              <w:right w:val="single" w:sz="4" w:space="0" w:color="auto"/>
            </w:tcBorders>
            <w:vAlign w:val="center"/>
          </w:tcPr>
          <w:p w14:paraId="0F20779F" w14:textId="77777777" w:rsidR="002A66BB" w:rsidRPr="00AD5A27" w:rsidRDefault="002A66BB">
            <w:pPr>
              <w:pStyle w:val="In-tableHeading"/>
              <w:rPr>
                <w:b w:val="0"/>
                <w:snapToGrid w:val="0"/>
                <w:szCs w:val="20"/>
                <w:lang w:val="en-AU" w:eastAsia="en-US"/>
              </w:rPr>
            </w:pPr>
            <w:r w:rsidRPr="00AD5A27">
              <w:rPr>
                <w:lang w:val="en-AU"/>
              </w:rPr>
              <w:t xml:space="preserve">Non-randomised studies </w:t>
            </w:r>
          </w:p>
        </w:tc>
      </w:tr>
      <w:tr w:rsidR="002A66BB" w:rsidRPr="00AD5A27" w14:paraId="2192D6BC" w14:textId="77777777">
        <w:trPr>
          <w:cantSplit/>
          <w:trHeight w:val="300"/>
        </w:trPr>
        <w:tc>
          <w:tcPr>
            <w:tcW w:w="5000" w:type="pct"/>
            <w:gridSpan w:val="3"/>
            <w:tcBorders>
              <w:right w:val="single" w:sz="4" w:space="0" w:color="auto"/>
            </w:tcBorders>
            <w:vAlign w:val="center"/>
          </w:tcPr>
          <w:p w14:paraId="05AEE4F9" w14:textId="77777777" w:rsidR="002A66BB" w:rsidRPr="00AD5A27" w:rsidRDefault="002A66BB">
            <w:pPr>
              <w:pStyle w:val="In-tableHeading"/>
              <w:rPr>
                <w:b w:val="0"/>
                <w:snapToGrid w:val="0"/>
                <w:szCs w:val="20"/>
                <w:lang w:val="en-AU" w:eastAsia="en-US"/>
              </w:rPr>
            </w:pPr>
            <w:r w:rsidRPr="00AD5A27">
              <w:rPr>
                <w:lang w:val="en-AU"/>
              </w:rPr>
              <w:t>Adult</w:t>
            </w:r>
          </w:p>
        </w:tc>
      </w:tr>
      <w:tr w:rsidR="00762445" w:rsidRPr="00AD5A27" w14:paraId="61337B2D" w14:textId="77777777" w:rsidTr="007360EF">
        <w:trPr>
          <w:cantSplit/>
          <w:trHeight w:val="300"/>
        </w:trPr>
        <w:tc>
          <w:tcPr>
            <w:tcW w:w="623" w:type="pct"/>
            <w:vMerge w:val="restart"/>
            <w:tcBorders>
              <w:right w:val="single" w:sz="4" w:space="0" w:color="auto"/>
            </w:tcBorders>
            <w:shd w:val="clear" w:color="auto" w:fill="B8CCE4" w:themeFill="accent1" w:themeFillTint="66"/>
            <w:vAlign w:val="center"/>
          </w:tcPr>
          <w:p w14:paraId="613EBDA0" w14:textId="77777777" w:rsidR="00762445" w:rsidRPr="00AD5A27" w:rsidRDefault="00762445" w:rsidP="00762445">
            <w:pPr>
              <w:pStyle w:val="In-tableHeading"/>
              <w:rPr>
                <w:b w:val="0"/>
                <w:bCs/>
                <w:lang w:val="en-AU"/>
              </w:rPr>
            </w:pPr>
            <w:r w:rsidRPr="00AD5A27">
              <w:rPr>
                <w:b w:val="0"/>
                <w:bCs/>
                <w:lang w:val="en-AU"/>
              </w:rPr>
              <w:t>VISUAL III</w:t>
            </w:r>
          </w:p>
          <w:p w14:paraId="3EFD7B9E" w14:textId="77777777" w:rsidR="00762445" w:rsidRPr="00AD5A27" w:rsidRDefault="00762445" w:rsidP="00762445">
            <w:pPr>
              <w:pStyle w:val="In-tableHeading"/>
              <w:rPr>
                <w:b w:val="0"/>
                <w:bCs/>
                <w:lang w:val="en-AU"/>
              </w:rPr>
            </w:pPr>
            <w:r w:rsidRPr="00AD5A27">
              <w:rPr>
                <w:b w:val="0"/>
                <w:bCs/>
                <w:lang w:val="en-AU"/>
              </w:rPr>
              <w:t xml:space="preserve">M11-327 </w:t>
            </w:r>
          </w:p>
          <w:p w14:paraId="06890E74" w14:textId="77777777" w:rsidR="00762445" w:rsidRPr="00AD5A27" w:rsidRDefault="00762445" w:rsidP="00762445">
            <w:pPr>
              <w:pStyle w:val="In-tableHeading"/>
              <w:rPr>
                <w:b w:val="0"/>
                <w:lang w:val="en-AU"/>
              </w:rPr>
            </w:pPr>
            <w:r w:rsidRPr="00AD5A27">
              <w:rPr>
                <w:b w:val="0"/>
                <w:bCs/>
                <w:lang w:val="en-AU"/>
              </w:rPr>
              <w:t>NCT01148225</w:t>
            </w:r>
          </w:p>
          <w:p w14:paraId="52FC3E46" w14:textId="77777777" w:rsidR="00762445" w:rsidRPr="00AD5A27" w:rsidRDefault="00762445" w:rsidP="00762445">
            <w:pPr>
              <w:pStyle w:val="In-tableHeading"/>
              <w:rPr>
                <w:b w:val="0"/>
                <w:bCs/>
                <w:lang w:val="en-AU"/>
              </w:rPr>
            </w:pPr>
            <w:r w:rsidRPr="00AD5A27">
              <w:rPr>
                <w:b w:val="0"/>
                <w:lang w:val="en-AU"/>
              </w:rPr>
              <w:t>Eurelings et al. (2022)</w:t>
            </w:r>
          </w:p>
          <w:p w14:paraId="49EEAA51" w14:textId="31EDDDDF" w:rsidR="00762445" w:rsidRPr="00AD5A27" w:rsidRDefault="00762445" w:rsidP="007360EF">
            <w:pPr>
              <w:pStyle w:val="In-tableHeading"/>
              <w:rPr>
                <w:b w:val="0"/>
                <w:lang w:val="en-AU"/>
              </w:rPr>
            </w:pPr>
            <w:r w:rsidRPr="00AD5A27">
              <w:rPr>
                <w:b w:val="0"/>
                <w:lang w:val="en-AU"/>
              </w:rPr>
              <w:t>Fabiani et al. (2018)</w:t>
            </w:r>
          </w:p>
        </w:tc>
        <w:tc>
          <w:tcPr>
            <w:tcW w:w="3147" w:type="pct"/>
            <w:tcBorders>
              <w:top w:val="single" w:sz="4" w:space="0" w:color="auto"/>
              <w:left w:val="single" w:sz="4" w:space="0" w:color="auto"/>
              <w:bottom w:val="nil"/>
              <w:right w:val="single" w:sz="4" w:space="0" w:color="auto"/>
            </w:tcBorders>
            <w:shd w:val="clear" w:color="auto" w:fill="B8CCE4" w:themeFill="accent1" w:themeFillTint="66"/>
          </w:tcPr>
          <w:p w14:paraId="6408CE66" w14:textId="3E7393C7" w:rsidR="00762445" w:rsidRPr="00AD5A27" w:rsidRDefault="00762445" w:rsidP="00762445">
            <w:pPr>
              <w:pStyle w:val="In-tableHeading"/>
              <w:rPr>
                <w:b w:val="0"/>
                <w:lang w:val="en-AU"/>
              </w:rPr>
            </w:pPr>
            <w:r w:rsidRPr="00AD5A27">
              <w:rPr>
                <w:b w:val="0"/>
                <w:bCs/>
                <w:lang w:val="en-AU"/>
              </w:rPr>
              <w:t>A Multicenter Open-Label Study of the Long-term Safety and Efficacy of the Human Anti-TNF Monoclonal Antibody Adalimumab in Subjects with Non-infectious Intermediate Uveitis, Posterior Uveitis, or Panuveitis</w:t>
            </w:r>
          </w:p>
        </w:tc>
        <w:tc>
          <w:tcPr>
            <w:tcW w:w="1230" w:type="pct"/>
            <w:tcBorders>
              <w:top w:val="single" w:sz="4" w:space="0" w:color="auto"/>
              <w:left w:val="single" w:sz="4" w:space="0" w:color="auto"/>
              <w:bottom w:val="nil"/>
              <w:right w:val="single" w:sz="4" w:space="0" w:color="auto"/>
            </w:tcBorders>
            <w:shd w:val="clear" w:color="auto" w:fill="B8CCE4" w:themeFill="accent1" w:themeFillTint="66"/>
          </w:tcPr>
          <w:p w14:paraId="40E30B40" w14:textId="72F900C6" w:rsidR="00762445" w:rsidRPr="00AD5A27" w:rsidRDefault="00762445" w:rsidP="00762445">
            <w:pPr>
              <w:pStyle w:val="In-tableHeading"/>
              <w:rPr>
                <w:b w:val="0"/>
                <w:bCs/>
                <w:i/>
                <w:iCs/>
                <w:lang w:val="en-AU"/>
              </w:rPr>
            </w:pPr>
            <w:r w:rsidRPr="00AD5A27">
              <w:rPr>
                <w:b w:val="0"/>
                <w:bCs/>
                <w:lang w:val="en-AU"/>
              </w:rPr>
              <w:t>20 September 2018</w:t>
            </w:r>
          </w:p>
        </w:tc>
      </w:tr>
      <w:tr w:rsidR="00762445" w:rsidRPr="00AD5A27" w14:paraId="116A4BEB" w14:textId="77777777" w:rsidTr="007360EF">
        <w:trPr>
          <w:cantSplit/>
          <w:trHeight w:val="300"/>
        </w:trPr>
        <w:tc>
          <w:tcPr>
            <w:tcW w:w="623" w:type="pct"/>
            <w:vMerge/>
            <w:tcBorders>
              <w:right w:val="single" w:sz="4" w:space="0" w:color="auto"/>
            </w:tcBorders>
            <w:vAlign w:val="center"/>
          </w:tcPr>
          <w:p w14:paraId="1944BF91" w14:textId="150BF37F" w:rsidR="00762445" w:rsidRPr="00AD5A27" w:rsidRDefault="00762445" w:rsidP="007360EF">
            <w:pPr>
              <w:pStyle w:val="In-tableHeading"/>
              <w:rPr>
                <w:b w:val="0"/>
                <w:bCs/>
                <w:lang w:val="en-AU"/>
              </w:rPr>
            </w:pPr>
          </w:p>
        </w:tc>
        <w:tc>
          <w:tcPr>
            <w:tcW w:w="3147" w:type="pct"/>
            <w:tcBorders>
              <w:top w:val="nil"/>
              <w:left w:val="single" w:sz="4" w:space="0" w:color="auto"/>
              <w:bottom w:val="nil"/>
              <w:right w:val="single" w:sz="4" w:space="0" w:color="auto"/>
            </w:tcBorders>
            <w:shd w:val="clear" w:color="auto" w:fill="B8CCE4" w:themeFill="accent1" w:themeFillTint="66"/>
          </w:tcPr>
          <w:p w14:paraId="7D75EC46" w14:textId="657F556E" w:rsidR="00762445" w:rsidRPr="00AD5A27" w:rsidRDefault="00762445" w:rsidP="00762445">
            <w:pPr>
              <w:pStyle w:val="In-tableHeading"/>
              <w:rPr>
                <w:b w:val="0"/>
                <w:snapToGrid w:val="0"/>
                <w:szCs w:val="20"/>
                <w:lang w:val="en-AU" w:eastAsia="en-US"/>
              </w:rPr>
            </w:pPr>
            <w:r w:rsidRPr="00AD5A27">
              <w:rPr>
                <w:b w:val="0"/>
                <w:bCs/>
                <w:lang w:val="en-AU"/>
              </w:rPr>
              <w:t xml:space="preserve">Suhler EB, Adán A, Brézin AP, Fortin E, Goto H, Jaffe GJ, Kaburaki T, Kramer M, Lim LL, Muccioli C, Nguyen QD. Safety and efficacy of adalimumab in patients with noninfectious uveitis in an ongoing open-label study: VISUAL III. </w:t>
            </w:r>
          </w:p>
        </w:tc>
        <w:tc>
          <w:tcPr>
            <w:tcW w:w="1230" w:type="pct"/>
            <w:tcBorders>
              <w:top w:val="nil"/>
              <w:left w:val="single" w:sz="4" w:space="0" w:color="auto"/>
              <w:bottom w:val="nil"/>
              <w:right w:val="single" w:sz="4" w:space="0" w:color="auto"/>
            </w:tcBorders>
            <w:shd w:val="clear" w:color="auto" w:fill="B8CCE4" w:themeFill="accent1" w:themeFillTint="66"/>
          </w:tcPr>
          <w:p w14:paraId="2FF62806" w14:textId="6FF7E7F1" w:rsidR="00762445" w:rsidRPr="00AD5A27" w:rsidRDefault="00762445" w:rsidP="00762445">
            <w:pPr>
              <w:pStyle w:val="In-tableHeading"/>
              <w:rPr>
                <w:b w:val="0"/>
                <w:bCs/>
                <w:i/>
                <w:iCs/>
                <w:snapToGrid w:val="0"/>
                <w:szCs w:val="20"/>
                <w:lang w:val="en-AU" w:eastAsia="en-US"/>
              </w:rPr>
            </w:pPr>
            <w:r w:rsidRPr="00AD5A27">
              <w:rPr>
                <w:b w:val="0"/>
                <w:bCs/>
                <w:i/>
                <w:iCs/>
                <w:lang w:val="en-AU"/>
              </w:rPr>
              <w:t xml:space="preserve">Ophthalmology </w:t>
            </w:r>
            <w:r w:rsidRPr="00AD5A27">
              <w:rPr>
                <w:b w:val="0"/>
                <w:bCs/>
                <w:lang w:val="en-AU"/>
              </w:rPr>
              <w:t>2018;125(7):1075-1087.</w:t>
            </w:r>
          </w:p>
        </w:tc>
      </w:tr>
      <w:tr w:rsidR="00762445" w:rsidRPr="00AD5A27" w14:paraId="6EDEDCF7" w14:textId="77777777" w:rsidTr="007360EF">
        <w:trPr>
          <w:cantSplit/>
          <w:trHeight w:val="300"/>
        </w:trPr>
        <w:tc>
          <w:tcPr>
            <w:tcW w:w="623" w:type="pct"/>
            <w:vMerge/>
            <w:tcBorders>
              <w:right w:val="single" w:sz="4" w:space="0" w:color="auto"/>
            </w:tcBorders>
            <w:vAlign w:val="center"/>
          </w:tcPr>
          <w:p w14:paraId="35EF32C4" w14:textId="4BCA99C7" w:rsidR="00762445" w:rsidRPr="00AD5A27" w:rsidRDefault="00762445" w:rsidP="00762445">
            <w:pPr>
              <w:pStyle w:val="In-tableHeading"/>
              <w:rPr>
                <w:b w:val="0"/>
                <w:bCs/>
                <w:lang w:val="en-AU"/>
              </w:rPr>
            </w:pPr>
          </w:p>
        </w:tc>
        <w:tc>
          <w:tcPr>
            <w:tcW w:w="3147" w:type="pct"/>
            <w:tcBorders>
              <w:top w:val="nil"/>
              <w:left w:val="single" w:sz="4" w:space="0" w:color="auto"/>
              <w:bottom w:val="single" w:sz="4" w:space="0" w:color="auto"/>
              <w:right w:val="single" w:sz="4" w:space="0" w:color="auto"/>
            </w:tcBorders>
            <w:shd w:val="clear" w:color="auto" w:fill="B8CCE4" w:themeFill="accent1" w:themeFillTint="66"/>
          </w:tcPr>
          <w:p w14:paraId="347B4C1D" w14:textId="0A20783F" w:rsidR="00762445" w:rsidRPr="00AD5A27" w:rsidRDefault="00762445" w:rsidP="00762445">
            <w:pPr>
              <w:pStyle w:val="In-tableHeading"/>
              <w:rPr>
                <w:b w:val="0"/>
                <w:snapToGrid w:val="0"/>
                <w:szCs w:val="20"/>
                <w:lang w:val="en-AU" w:eastAsia="en-US"/>
              </w:rPr>
            </w:pPr>
            <w:r w:rsidRPr="00AD5A27">
              <w:rPr>
                <w:b w:val="0"/>
                <w:bCs/>
                <w:lang w:val="en-AU"/>
              </w:rPr>
              <w:t xml:space="preserve">Suhler EB, Jaffe GJ, Fortin E, Lim LL, Merrill PT, Dick AD, Brezin AP, Nguyen QD, Thorne JE, Van Calster J, Cimino L. Long-term safety and efficacy of adalimumab in patients with noninfectious intermediate uveitis, posterior uveitis, or panuveitis. </w:t>
            </w:r>
          </w:p>
        </w:tc>
        <w:tc>
          <w:tcPr>
            <w:tcW w:w="1230" w:type="pct"/>
            <w:tcBorders>
              <w:top w:val="nil"/>
              <w:left w:val="single" w:sz="4" w:space="0" w:color="auto"/>
              <w:bottom w:val="single" w:sz="4" w:space="0" w:color="auto"/>
              <w:right w:val="single" w:sz="4" w:space="0" w:color="auto"/>
            </w:tcBorders>
            <w:shd w:val="clear" w:color="auto" w:fill="B8CCE4" w:themeFill="accent1" w:themeFillTint="66"/>
          </w:tcPr>
          <w:p w14:paraId="7923D63D" w14:textId="30602447" w:rsidR="00762445" w:rsidRPr="00AD5A27" w:rsidRDefault="00762445" w:rsidP="00762445">
            <w:pPr>
              <w:pStyle w:val="In-tableHeading"/>
              <w:rPr>
                <w:b w:val="0"/>
                <w:bCs/>
                <w:i/>
                <w:iCs/>
                <w:snapToGrid w:val="0"/>
                <w:szCs w:val="20"/>
                <w:lang w:val="en-AU" w:eastAsia="en-US"/>
              </w:rPr>
            </w:pPr>
            <w:r w:rsidRPr="00AD5A27">
              <w:rPr>
                <w:b w:val="0"/>
                <w:bCs/>
                <w:i/>
                <w:iCs/>
                <w:lang w:val="en-AU"/>
              </w:rPr>
              <w:t>Ophthalmology</w:t>
            </w:r>
            <w:r w:rsidRPr="00AD5A27">
              <w:rPr>
                <w:b w:val="0"/>
                <w:bCs/>
                <w:lang w:val="en-AU"/>
              </w:rPr>
              <w:t xml:space="preserve"> 2021;128(6):899-909.</w:t>
            </w:r>
          </w:p>
        </w:tc>
      </w:tr>
      <w:tr w:rsidR="00762445" w:rsidRPr="00AD5A27" w14:paraId="17D78F06" w14:textId="77777777">
        <w:trPr>
          <w:cantSplit/>
          <w:trHeight w:val="300"/>
        </w:trPr>
        <w:tc>
          <w:tcPr>
            <w:tcW w:w="623" w:type="pct"/>
            <w:shd w:val="clear" w:color="auto" w:fill="auto"/>
            <w:vAlign w:val="center"/>
          </w:tcPr>
          <w:p w14:paraId="76CFE4D7" w14:textId="77777777" w:rsidR="00762445" w:rsidRPr="00AD5A27" w:rsidRDefault="00762445" w:rsidP="00762445">
            <w:pPr>
              <w:pStyle w:val="In-tableHeading"/>
              <w:rPr>
                <w:b w:val="0"/>
                <w:bCs/>
                <w:lang w:val="en-AU"/>
              </w:rPr>
            </w:pPr>
            <w:r w:rsidRPr="00AD5A27">
              <w:rPr>
                <w:b w:val="0"/>
                <w:lang w:val="en-AU"/>
              </w:rPr>
              <w:t>Lee et al. (2018)</w:t>
            </w:r>
          </w:p>
        </w:tc>
        <w:tc>
          <w:tcPr>
            <w:tcW w:w="3147" w:type="pct"/>
          </w:tcPr>
          <w:p w14:paraId="208B08B7" w14:textId="77777777" w:rsidR="00762445" w:rsidRPr="00AD5A27" w:rsidRDefault="00762445" w:rsidP="00762445">
            <w:pPr>
              <w:pStyle w:val="In-tableHeading"/>
              <w:rPr>
                <w:b w:val="0"/>
                <w:snapToGrid w:val="0"/>
                <w:szCs w:val="20"/>
                <w:lang w:val="en-AU" w:eastAsia="en-US"/>
              </w:rPr>
            </w:pPr>
            <w:r w:rsidRPr="00AD5A27">
              <w:rPr>
                <w:b w:val="0"/>
                <w:lang w:val="en-AU"/>
              </w:rPr>
              <w:t xml:space="preserve">Lee JT, Yates WB, Rogers S, Wakefield D, McCluskey P, Lim LL. Adalimumab for the treatment of refractory active and inactive non-infectious uveitis. </w:t>
            </w:r>
          </w:p>
        </w:tc>
        <w:tc>
          <w:tcPr>
            <w:tcW w:w="1230" w:type="pct"/>
          </w:tcPr>
          <w:p w14:paraId="10DA0AA8" w14:textId="43631E3A" w:rsidR="00762445" w:rsidRPr="00AD5A27" w:rsidRDefault="00762445" w:rsidP="00762445">
            <w:pPr>
              <w:pStyle w:val="In-tableHeading"/>
              <w:rPr>
                <w:b w:val="0"/>
                <w:bCs/>
                <w:i/>
                <w:iCs/>
                <w:snapToGrid w:val="0"/>
                <w:szCs w:val="20"/>
                <w:lang w:val="en-AU" w:eastAsia="en-US"/>
              </w:rPr>
            </w:pPr>
            <w:r w:rsidRPr="00AD5A27">
              <w:rPr>
                <w:b w:val="0"/>
                <w:bCs/>
                <w:i/>
                <w:iCs/>
                <w:lang w:val="en-AU"/>
              </w:rPr>
              <w:t xml:space="preserve">Br J Ophthalmol. </w:t>
            </w:r>
            <w:r w:rsidRPr="00AD5A27">
              <w:rPr>
                <w:b w:val="0"/>
                <w:lang w:val="en-AU"/>
              </w:rPr>
              <w:t>2018;102(12):1672-1678</w:t>
            </w:r>
          </w:p>
        </w:tc>
      </w:tr>
      <w:tr w:rsidR="00762445" w:rsidRPr="00AD5A27" w14:paraId="60F4A774" w14:textId="77777777">
        <w:trPr>
          <w:cantSplit/>
          <w:trHeight w:val="300"/>
        </w:trPr>
        <w:tc>
          <w:tcPr>
            <w:tcW w:w="623" w:type="pct"/>
            <w:shd w:val="clear" w:color="auto" w:fill="auto"/>
            <w:vAlign w:val="center"/>
          </w:tcPr>
          <w:p w14:paraId="4396914D" w14:textId="77777777" w:rsidR="00762445" w:rsidRPr="00AD5A27" w:rsidRDefault="00762445" w:rsidP="00762445">
            <w:pPr>
              <w:pStyle w:val="In-tableHeading"/>
              <w:rPr>
                <w:b w:val="0"/>
                <w:bCs/>
                <w:lang w:val="en-AU"/>
              </w:rPr>
            </w:pPr>
            <w:r w:rsidRPr="00AD5A27">
              <w:rPr>
                <w:b w:val="0"/>
                <w:lang w:val="en-AU"/>
              </w:rPr>
              <w:t>Llorenc et al. (2019)</w:t>
            </w:r>
          </w:p>
        </w:tc>
        <w:tc>
          <w:tcPr>
            <w:tcW w:w="3147" w:type="pct"/>
          </w:tcPr>
          <w:p w14:paraId="025112B0" w14:textId="77777777" w:rsidR="00762445" w:rsidRPr="00AD5A27" w:rsidRDefault="00762445" w:rsidP="00762445">
            <w:pPr>
              <w:pStyle w:val="In-tableHeading"/>
              <w:rPr>
                <w:b w:val="0"/>
                <w:snapToGrid w:val="0"/>
                <w:szCs w:val="20"/>
                <w:lang w:val="en-AU" w:eastAsia="en-US"/>
              </w:rPr>
            </w:pPr>
            <w:r w:rsidRPr="00AD5A27">
              <w:rPr>
                <w:b w:val="0"/>
                <w:lang w:val="en-AU"/>
              </w:rPr>
              <w:t xml:space="preserve">Llorenç V, Cordero-Coma M, Blanco-Esteban A, Heras-Mulero H, Losada-Castillo MJ, Jovani-Casano V, Valls-Pascual E, Jodar-Marquez M, García-Aparicio Á, Fonollosa A, González-Guijarro JJ, Rodriguez-Melian L, Fernández-Prada M, Jerez-Fidalgo M, Hernandez-Garfella M, Esquinas C, Sainz-de-la-Maza M, Adán A; Biotherapies in Uveitis (BioÚvea) Study Group. Drug Retention Rate and Causes of Discontinuation of Adalimumab in Uveitis: Real-World Data from the Biotherapies in Uveitis (BioÚvea) Study Group. </w:t>
            </w:r>
          </w:p>
        </w:tc>
        <w:tc>
          <w:tcPr>
            <w:tcW w:w="1230" w:type="pct"/>
          </w:tcPr>
          <w:p w14:paraId="7B46A9FF" w14:textId="2A4D712D" w:rsidR="00762445" w:rsidRPr="00AD5A27" w:rsidRDefault="00762445" w:rsidP="00762445">
            <w:pPr>
              <w:pStyle w:val="In-tableHeading"/>
              <w:rPr>
                <w:b w:val="0"/>
                <w:bCs/>
                <w:i/>
                <w:iCs/>
                <w:snapToGrid w:val="0"/>
                <w:szCs w:val="20"/>
                <w:lang w:val="en-AU" w:eastAsia="en-US"/>
              </w:rPr>
            </w:pPr>
            <w:r w:rsidRPr="00AD5A27">
              <w:rPr>
                <w:b w:val="0"/>
                <w:bCs/>
                <w:i/>
                <w:iCs/>
                <w:lang w:val="en-AU"/>
              </w:rPr>
              <w:t xml:space="preserve">Ophthalmology. </w:t>
            </w:r>
            <w:r w:rsidRPr="00AD5A27">
              <w:rPr>
                <w:b w:val="0"/>
                <w:lang w:val="en-AU"/>
              </w:rPr>
              <w:t>2020;127(6):814-825.</w:t>
            </w:r>
          </w:p>
        </w:tc>
      </w:tr>
      <w:tr w:rsidR="00762445" w:rsidRPr="00AD5A27" w14:paraId="3C4DEEDF" w14:textId="77777777">
        <w:trPr>
          <w:cantSplit/>
          <w:trHeight w:val="300"/>
        </w:trPr>
        <w:tc>
          <w:tcPr>
            <w:tcW w:w="623" w:type="pct"/>
            <w:shd w:val="clear" w:color="auto" w:fill="auto"/>
            <w:vAlign w:val="center"/>
          </w:tcPr>
          <w:p w14:paraId="24C8FBD0" w14:textId="77777777" w:rsidR="00762445" w:rsidRPr="00AD5A27" w:rsidRDefault="00762445" w:rsidP="00762445">
            <w:pPr>
              <w:pStyle w:val="In-tableHeading"/>
              <w:rPr>
                <w:b w:val="0"/>
                <w:bCs/>
                <w:lang w:val="en-AU"/>
              </w:rPr>
            </w:pPr>
            <w:r w:rsidRPr="00AD5A27">
              <w:rPr>
                <w:b w:val="0"/>
                <w:lang w:val="en-AU"/>
              </w:rPr>
              <w:t>Maalouf et al. (2022)</w:t>
            </w:r>
          </w:p>
        </w:tc>
        <w:tc>
          <w:tcPr>
            <w:tcW w:w="3147" w:type="pct"/>
          </w:tcPr>
          <w:p w14:paraId="4D7118E7" w14:textId="77777777" w:rsidR="00762445" w:rsidRPr="00AD5A27" w:rsidRDefault="00762445" w:rsidP="00762445">
            <w:pPr>
              <w:pStyle w:val="In-tableHeading"/>
              <w:rPr>
                <w:b w:val="0"/>
                <w:snapToGrid w:val="0"/>
                <w:szCs w:val="20"/>
                <w:lang w:val="en-AU" w:eastAsia="en-US"/>
              </w:rPr>
            </w:pPr>
            <w:r w:rsidRPr="00AD5A27">
              <w:rPr>
                <w:b w:val="0"/>
                <w:lang w:val="en-AU"/>
              </w:rPr>
              <w:t>Maalouf G, Andrillon A, Leclercq M, Sève P, Bielefeld P, Gueudry J, Sené T, Titah C, Moulinet T, Rouvière B, Sène D, Desbois AC, Domont F, Touhami S, Thibault T, El Chamieh C, Cacoub P, Kodjikian L, Biard L, Bodaghi B, Saadoun D.</w:t>
            </w:r>
            <w:r w:rsidRPr="00AD5A27">
              <w:rPr>
                <w:lang w:val="en-AU"/>
              </w:rPr>
              <w:t xml:space="preserve"> </w:t>
            </w:r>
            <w:r w:rsidRPr="00AD5A27">
              <w:rPr>
                <w:b w:val="0"/>
                <w:lang w:val="en-AU"/>
              </w:rPr>
              <w:t>Lower Relapses Rate With Infliximab Versus Adalimumab in Sight-Threatening Uveitis: A Multicenter Study of 330 Patients.</w:t>
            </w:r>
          </w:p>
        </w:tc>
        <w:tc>
          <w:tcPr>
            <w:tcW w:w="1230" w:type="pct"/>
          </w:tcPr>
          <w:p w14:paraId="06D5348E" w14:textId="2EB12681" w:rsidR="00762445" w:rsidRPr="00AD5A27" w:rsidRDefault="00762445" w:rsidP="00762445">
            <w:pPr>
              <w:pStyle w:val="In-tableHeading"/>
              <w:rPr>
                <w:b w:val="0"/>
                <w:bCs/>
                <w:i/>
                <w:iCs/>
                <w:snapToGrid w:val="0"/>
                <w:szCs w:val="20"/>
                <w:lang w:val="en-AU" w:eastAsia="en-US"/>
              </w:rPr>
            </w:pPr>
            <w:r w:rsidRPr="00AD5A27">
              <w:rPr>
                <w:b w:val="0"/>
                <w:bCs/>
                <w:i/>
                <w:iCs/>
                <w:lang w:val="en-AU"/>
              </w:rPr>
              <w:t xml:space="preserve">American Journal of Ophthalmology </w:t>
            </w:r>
            <w:r w:rsidRPr="00AD5A27">
              <w:rPr>
                <w:b w:val="0"/>
                <w:lang w:val="en-AU"/>
              </w:rPr>
              <w:t>2022; 238:173-180</w:t>
            </w:r>
            <w:r w:rsidRPr="00AD5A27">
              <w:rPr>
                <w:b w:val="0"/>
                <w:bCs/>
                <w:lang w:val="en-AU"/>
              </w:rPr>
              <w:t>.</w:t>
            </w:r>
          </w:p>
        </w:tc>
      </w:tr>
      <w:tr w:rsidR="00762445" w:rsidRPr="00AD5A27" w14:paraId="6A153165" w14:textId="77777777">
        <w:trPr>
          <w:cantSplit/>
          <w:trHeight w:val="300"/>
        </w:trPr>
        <w:tc>
          <w:tcPr>
            <w:tcW w:w="623" w:type="pct"/>
            <w:shd w:val="clear" w:color="auto" w:fill="auto"/>
            <w:vAlign w:val="center"/>
          </w:tcPr>
          <w:p w14:paraId="14D1BF33" w14:textId="77777777" w:rsidR="00762445" w:rsidRPr="00AD5A27" w:rsidRDefault="00762445" w:rsidP="00762445">
            <w:pPr>
              <w:pStyle w:val="In-tableHeading"/>
              <w:rPr>
                <w:b w:val="0"/>
                <w:bCs/>
                <w:lang w:val="en-AU"/>
              </w:rPr>
            </w:pPr>
            <w:r w:rsidRPr="00AD5A27">
              <w:rPr>
                <w:b w:val="0"/>
                <w:lang w:val="en-AU"/>
              </w:rPr>
              <w:t>Moll-Udina et al. (2020)</w:t>
            </w:r>
          </w:p>
        </w:tc>
        <w:tc>
          <w:tcPr>
            <w:tcW w:w="3147" w:type="pct"/>
          </w:tcPr>
          <w:p w14:paraId="4DA0C75E" w14:textId="3C31C628" w:rsidR="00762445" w:rsidRPr="00AD5A27" w:rsidRDefault="00762445" w:rsidP="00762445">
            <w:pPr>
              <w:pStyle w:val="In-tableHeading"/>
              <w:rPr>
                <w:b w:val="0"/>
                <w:lang w:val="en-AU"/>
              </w:rPr>
            </w:pPr>
            <w:r w:rsidRPr="00AD5A27">
              <w:rPr>
                <w:b w:val="0"/>
                <w:lang w:val="en-AU"/>
              </w:rPr>
              <w:t>Moll-Udina AM, Miguel Escuder L, Hernanz I, Llorenç V, Fonollosa A, Cordero Coma M, Sainz de la Maza M, Espinosa G, González Guijarro JJ, Lopez Lopez F, Alba-Linero C, Hernández M, Martínez Costa L, Celdrán Vivancos D, Giralt L, Artaraz J, Soler Bartrina P, Jódar Márquez M, García de Vicuña R, Esquinas C, Adán A</w:t>
            </w:r>
            <w:r>
              <w:rPr>
                <w:b w:val="0"/>
                <w:lang w:val="en-AU"/>
              </w:rPr>
              <w:t xml:space="preserve">. </w:t>
            </w:r>
            <w:r w:rsidRPr="00AD5A27">
              <w:rPr>
                <w:b w:val="0"/>
                <w:lang w:val="en-AU"/>
              </w:rPr>
              <w:t>Adalimumab</w:t>
            </w:r>
          </w:p>
          <w:p w14:paraId="2C0D31B3" w14:textId="77777777" w:rsidR="00762445" w:rsidRPr="00AD5A27" w:rsidRDefault="00762445" w:rsidP="00762445">
            <w:pPr>
              <w:pStyle w:val="In-tableHeading"/>
              <w:rPr>
                <w:b w:val="0"/>
                <w:snapToGrid w:val="0"/>
                <w:szCs w:val="20"/>
                <w:lang w:val="en-AU" w:eastAsia="en-US"/>
              </w:rPr>
            </w:pPr>
            <w:r w:rsidRPr="00AD5A27">
              <w:rPr>
                <w:b w:val="0"/>
                <w:lang w:val="en-AU"/>
              </w:rPr>
              <w:t>in Elderly Patients with Non-Infectious Uveitis. Safety and Efficacy.</w:t>
            </w:r>
          </w:p>
        </w:tc>
        <w:tc>
          <w:tcPr>
            <w:tcW w:w="1230" w:type="pct"/>
          </w:tcPr>
          <w:p w14:paraId="11385D9F" w14:textId="77777777" w:rsidR="00762445" w:rsidRPr="00AD5A27" w:rsidRDefault="00762445" w:rsidP="00762445">
            <w:pPr>
              <w:pStyle w:val="In-tableHeading"/>
              <w:rPr>
                <w:b w:val="0"/>
                <w:bCs/>
                <w:i/>
                <w:iCs/>
                <w:lang w:val="en-AU"/>
              </w:rPr>
            </w:pPr>
            <w:r w:rsidRPr="00AD5A27">
              <w:rPr>
                <w:b w:val="0"/>
                <w:bCs/>
                <w:i/>
                <w:iCs/>
                <w:lang w:val="en-AU"/>
              </w:rPr>
              <w:t>Ocular Immunology and</w:t>
            </w:r>
          </w:p>
          <w:p w14:paraId="3A6C5C14" w14:textId="5D1EEEC4" w:rsidR="00762445" w:rsidRPr="00AD5A27" w:rsidRDefault="00762445" w:rsidP="00762445">
            <w:pPr>
              <w:pStyle w:val="In-tableHeading"/>
              <w:rPr>
                <w:b w:val="0"/>
                <w:bCs/>
                <w:i/>
                <w:iCs/>
                <w:snapToGrid w:val="0"/>
                <w:szCs w:val="20"/>
                <w:lang w:val="en-AU" w:eastAsia="en-US"/>
              </w:rPr>
            </w:pPr>
            <w:r w:rsidRPr="00AD5A27">
              <w:rPr>
                <w:b w:val="0"/>
                <w:bCs/>
                <w:i/>
                <w:iCs/>
                <w:lang w:val="en-AU"/>
              </w:rPr>
              <w:t xml:space="preserve">Inflammation </w:t>
            </w:r>
            <w:r w:rsidRPr="00AD5A27">
              <w:rPr>
                <w:b w:val="0"/>
                <w:lang w:val="en-AU"/>
              </w:rPr>
              <w:t>2021;29(7-8):1591-1598</w:t>
            </w:r>
            <w:r w:rsidRPr="00AD5A27">
              <w:rPr>
                <w:b w:val="0"/>
                <w:bCs/>
                <w:lang w:val="en-AU"/>
              </w:rPr>
              <w:t>.</w:t>
            </w:r>
          </w:p>
        </w:tc>
      </w:tr>
      <w:tr w:rsidR="00762445" w:rsidRPr="00AD5A27" w14:paraId="342254B2" w14:textId="77777777">
        <w:trPr>
          <w:cantSplit/>
          <w:trHeight w:val="300"/>
        </w:trPr>
        <w:tc>
          <w:tcPr>
            <w:tcW w:w="623" w:type="pct"/>
            <w:shd w:val="clear" w:color="auto" w:fill="auto"/>
            <w:vAlign w:val="center"/>
          </w:tcPr>
          <w:p w14:paraId="4A14F07E" w14:textId="77777777" w:rsidR="00762445" w:rsidRPr="00AD5A27" w:rsidRDefault="00762445" w:rsidP="00762445">
            <w:pPr>
              <w:pStyle w:val="In-tableHeading"/>
              <w:rPr>
                <w:b w:val="0"/>
                <w:bCs/>
                <w:lang w:val="en-AU"/>
              </w:rPr>
            </w:pPr>
            <w:r w:rsidRPr="00AD5A27">
              <w:rPr>
                <w:b w:val="0"/>
                <w:lang w:val="en-AU"/>
              </w:rPr>
              <w:t>Park et al. (2020)</w:t>
            </w:r>
          </w:p>
        </w:tc>
        <w:tc>
          <w:tcPr>
            <w:tcW w:w="3147" w:type="pct"/>
          </w:tcPr>
          <w:p w14:paraId="205AF4D5" w14:textId="77777777" w:rsidR="00762445" w:rsidRPr="00AD5A27" w:rsidRDefault="00762445" w:rsidP="00762445">
            <w:pPr>
              <w:pStyle w:val="In-tableHeading"/>
              <w:rPr>
                <w:b w:val="0"/>
                <w:snapToGrid w:val="0"/>
                <w:szCs w:val="20"/>
                <w:lang w:val="en-AU" w:eastAsia="en-US"/>
              </w:rPr>
            </w:pPr>
            <w:r w:rsidRPr="00AD5A27">
              <w:rPr>
                <w:b w:val="0"/>
                <w:lang w:val="en-AU"/>
              </w:rPr>
              <w:t xml:space="preserve">Park SE, Jun JW, Lee DH, Lee SC, Kim M. The Effect of Adalimumab in Korean Patients with Refractory Noninfectious Uveitis. </w:t>
            </w:r>
          </w:p>
        </w:tc>
        <w:tc>
          <w:tcPr>
            <w:tcW w:w="1230" w:type="pct"/>
          </w:tcPr>
          <w:p w14:paraId="5C6F47CC" w14:textId="77777777" w:rsidR="00762445" w:rsidRPr="00AD5A27" w:rsidRDefault="00762445" w:rsidP="00762445">
            <w:pPr>
              <w:pStyle w:val="In-tableHeading"/>
              <w:rPr>
                <w:b w:val="0"/>
                <w:bCs/>
                <w:i/>
                <w:iCs/>
                <w:snapToGrid w:val="0"/>
                <w:szCs w:val="20"/>
                <w:lang w:val="en-AU" w:eastAsia="en-US"/>
              </w:rPr>
            </w:pPr>
            <w:r w:rsidRPr="00AD5A27">
              <w:rPr>
                <w:b w:val="0"/>
                <w:bCs/>
                <w:i/>
                <w:iCs/>
                <w:lang w:val="en-AU"/>
              </w:rPr>
              <w:t xml:space="preserve">Yonsei Med J. </w:t>
            </w:r>
            <w:r w:rsidRPr="00AD5A27">
              <w:rPr>
                <w:b w:val="0"/>
                <w:lang w:val="en-AU"/>
              </w:rPr>
              <w:t>2021;62(2):177-181.</w:t>
            </w:r>
          </w:p>
        </w:tc>
      </w:tr>
      <w:tr w:rsidR="00762445" w:rsidRPr="00AD5A27" w14:paraId="5BACED93" w14:textId="77777777">
        <w:trPr>
          <w:cantSplit/>
          <w:trHeight w:val="300"/>
        </w:trPr>
        <w:tc>
          <w:tcPr>
            <w:tcW w:w="623" w:type="pct"/>
            <w:shd w:val="clear" w:color="auto" w:fill="auto"/>
            <w:vAlign w:val="center"/>
          </w:tcPr>
          <w:p w14:paraId="2418069C" w14:textId="77777777" w:rsidR="00762445" w:rsidRPr="00AD5A27" w:rsidRDefault="00762445" w:rsidP="00762445">
            <w:pPr>
              <w:pStyle w:val="In-tableHeading"/>
              <w:rPr>
                <w:b w:val="0"/>
                <w:bCs/>
                <w:lang w:val="en-AU"/>
              </w:rPr>
            </w:pPr>
            <w:r w:rsidRPr="00AD5A27">
              <w:rPr>
                <w:b w:val="0"/>
                <w:lang w:val="en-AU"/>
              </w:rPr>
              <w:t>Pirani et al. (2020)</w:t>
            </w:r>
          </w:p>
        </w:tc>
        <w:tc>
          <w:tcPr>
            <w:tcW w:w="3147" w:type="pct"/>
          </w:tcPr>
          <w:p w14:paraId="48C24F43" w14:textId="77777777" w:rsidR="00762445" w:rsidRPr="00AD5A27" w:rsidRDefault="00762445" w:rsidP="00762445">
            <w:pPr>
              <w:pStyle w:val="In-tableHeading"/>
              <w:rPr>
                <w:b w:val="0"/>
                <w:snapToGrid w:val="0"/>
                <w:szCs w:val="20"/>
                <w:lang w:val="en-AU" w:eastAsia="en-US"/>
              </w:rPr>
            </w:pPr>
            <w:r w:rsidRPr="00AD5A27">
              <w:rPr>
                <w:b w:val="0"/>
                <w:lang w:val="en-AU"/>
              </w:rPr>
              <w:t xml:space="preserve">Pirani V, Pelliccioni P, De Turris S, Rosati A, Franceschi A, Pasanisi P, Gesuita R, Nicolai M, Mariotti C. Intraocular Inflammation Control and Changes in Retinal and Choroidal Architecture in Refractory Non-Infectious Uveitis Patients after Adalimumab Therapy. </w:t>
            </w:r>
          </w:p>
        </w:tc>
        <w:tc>
          <w:tcPr>
            <w:tcW w:w="1230" w:type="pct"/>
          </w:tcPr>
          <w:p w14:paraId="616786D8" w14:textId="37A7B7E3" w:rsidR="00762445" w:rsidRPr="00AD5A27" w:rsidRDefault="00762445" w:rsidP="00762445">
            <w:pPr>
              <w:pStyle w:val="In-tableHeading"/>
              <w:rPr>
                <w:b w:val="0"/>
                <w:bCs/>
                <w:i/>
                <w:iCs/>
                <w:snapToGrid w:val="0"/>
                <w:szCs w:val="20"/>
                <w:lang w:val="en-AU" w:eastAsia="en-US"/>
              </w:rPr>
            </w:pPr>
            <w:r w:rsidRPr="00AD5A27">
              <w:rPr>
                <w:b w:val="0"/>
                <w:bCs/>
                <w:i/>
                <w:iCs/>
                <w:lang w:val="en-AU"/>
              </w:rPr>
              <w:t xml:space="preserve">J Clin Med. </w:t>
            </w:r>
            <w:r w:rsidRPr="00AD5A27">
              <w:rPr>
                <w:b w:val="0"/>
                <w:lang w:val="en-AU"/>
              </w:rPr>
              <w:t>2020</w:t>
            </w:r>
            <w:r w:rsidRPr="00AD5A27">
              <w:rPr>
                <w:b w:val="0"/>
                <w:bCs/>
                <w:lang w:val="en-AU"/>
              </w:rPr>
              <w:t>;</w:t>
            </w:r>
            <w:r w:rsidRPr="00AD5A27">
              <w:rPr>
                <w:b w:val="0"/>
                <w:lang w:val="en-AU"/>
              </w:rPr>
              <w:t>13;9(2):510.</w:t>
            </w:r>
          </w:p>
        </w:tc>
      </w:tr>
      <w:tr w:rsidR="00762445" w:rsidRPr="00AD5A27" w14:paraId="6577B8FC" w14:textId="77777777">
        <w:trPr>
          <w:cantSplit/>
          <w:trHeight w:val="300"/>
        </w:trPr>
        <w:tc>
          <w:tcPr>
            <w:tcW w:w="623" w:type="pct"/>
            <w:shd w:val="clear" w:color="auto" w:fill="auto"/>
            <w:vAlign w:val="center"/>
          </w:tcPr>
          <w:p w14:paraId="142309D4" w14:textId="77777777" w:rsidR="00762445" w:rsidRPr="00AD5A27" w:rsidRDefault="00762445" w:rsidP="00762445">
            <w:pPr>
              <w:pStyle w:val="In-tableHeading"/>
              <w:rPr>
                <w:b w:val="0"/>
                <w:bCs/>
                <w:lang w:val="en-AU"/>
              </w:rPr>
            </w:pPr>
            <w:r w:rsidRPr="00AD5A27">
              <w:rPr>
                <w:b w:val="0"/>
                <w:lang w:val="en-AU"/>
              </w:rPr>
              <w:t>Pleyer et al. (2023)</w:t>
            </w:r>
          </w:p>
        </w:tc>
        <w:tc>
          <w:tcPr>
            <w:tcW w:w="3147" w:type="pct"/>
          </w:tcPr>
          <w:p w14:paraId="1F3CD34C" w14:textId="77777777" w:rsidR="00762445" w:rsidRPr="00AD5A27" w:rsidRDefault="00762445" w:rsidP="00762445">
            <w:pPr>
              <w:pStyle w:val="In-tableHeading"/>
              <w:rPr>
                <w:b w:val="0"/>
                <w:snapToGrid w:val="0"/>
                <w:szCs w:val="20"/>
                <w:lang w:val="en-AU" w:eastAsia="en-US"/>
              </w:rPr>
            </w:pPr>
            <w:r w:rsidRPr="00AD5A27">
              <w:rPr>
                <w:b w:val="0"/>
                <w:lang w:val="en-AU"/>
              </w:rPr>
              <w:t xml:space="preserve">Pleyer U, Al-Mutairi S, Murphy CC, Hamam R, Hammad S, Nagy O, Szepessy Z, Guex-Crosier Y, Julian K, Habot-Wilner Z, Androudi S. Impact of adalimumab in patients with active non-infectious intermediate, posterior, and panuveitis in real-life clinical practice: HOPE study. </w:t>
            </w:r>
          </w:p>
        </w:tc>
        <w:tc>
          <w:tcPr>
            <w:tcW w:w="1230" w:type="pct"/>
          </w:tcPr>
          <w:p w14:paraId="7B82D6CF" w14:textId="77777777" w:rsidR="00762445" w:rsidRPr="00AD5A27" w:rsidRDefault="00762445" w:rsidP="00762445">
            <w:pPr>
              <w:pStyle w:val="In-tableHeading"/>
              <w:rPr>
                <w:b w:val="0"/>
                <w:bCs/>
                <w:i/>
                <w:iCs/>
                <w:snapToGrid w:val="0"/>
                <w:szCs w:val="20"/>
                <w:lang w:val="en-AU" w:eastAsia="en-US"/>
              </w:rPr>
            </w:pPr>
            <w:r w:rsidRPr="00AD5A27">
              <w:rPr>
                <w:b w:val="0"/>
                <w:bCs/>
                <w:i/>
                <w:iCs/>
                <w:lang w:val="en-AU"/>
              </w:rPr>
              <w:t xml:space="preserve">Br J Ophthalmol. </w:t>
            </w:r>
            <w:r w:rsidRPr="00AD5A27">
              <w:rPr>
                <w:b w:val="0"/>
                <w:lang w:val="en-AU"/>
              </w:rPr>
              <w:t>2023;107(12):1892-1899.</w:t>
            </w:r>
          </w:p>
        </w:tc>
      </w:tr>
      <w:tr w:rsidR="00762445" w:rsidRPr="00AD5A27" w14:paraId="55C4567F" w14:textId="77777777">
        <w:trPr>
          <w:cantSplit/>
          <w:trHeight w:val="300"/>
        </w:trPr>
        <w:tc>
          <w:tcPr>
            <w:tcW w:w="623" w:type="pct"/>
            <w:shd w:val="clear" w:color="auto" w:fill="auto"/>
            <w:vAlign w:val="center"/>
          </w:tcPr>
          <w:p w14:paraId="3D008A11" w14:textId="77777777" w:rsidR="00762445" w:rsidRPr="00AD5A27" w:rsidRDefault="00762445" w:rsidP="00762445">
            <w:pPr>
              <w:pStyle w:val="In-tableHeading"/>
              <w:rPr>
                <w:b w:val="0"/>
                <w:bCs/>
                <w:lang w:val="en-AU"/>
              </w:rPr>
            </w:pPr>
            <w:r w:rsidRPr="00AD5A27">
              <w:rPr>
                <w:b w:val="0"/>
                <w:lang w:val="en-AU"/>
              </w:rPr>
              <w:t>Vallet et al. (2016)</w:t>
            </w:r>
          </w:p>
        </w:tc>
        <w:tc>
          <w:tcPr>
            <w:tcW w:w="3147" w:type="pct"/>
          </w:tcPr>
          <w:p w14:paraId="58BD84F1" w14:textId="77777777" w:rsidR="00762445" w:rsidRPr="00AD5A27" w:rsidRDefault="00762445" w:rsidP="00762445">
            <w:pPr>
              <w:pStyle w:val="In-tableHeading"/>
              <w:rPr>
                <w:b w:val="0"/>
                <w:snapToGrid w:val="0"/>
                <w:szCs w:val="20"/>
                <w:lang w:val="en-AU" w:eastAsia="en-US"/>
              </w:rPr>
            </w:pPr>
            <w:r w:rsidRPr="00AD5A27">
              <w:rPr>
                <w:b w:val="0"/>
                <w:lang w:val="en-AU"/>
              </w:rPr>
              <w:t xml:space="preserve">Vallet H, Seve P, Biard L, Fraison JB, Bielefeld P, Perard L, Bienvenu B, Abad S, Rigolet A, Deroux A, Sene D, Perlat A, Marie I, Feurer E, Hachulla E, Fain O, Clavel G, Riviere S, Bouche A, Saadoun D. Infliximab Versus </w:t>
            </w:r>
            <w:r w:rsidRPr="00AD5A27">
              <w:rPr>
                <w:b w:val="0"/>
                <w:lang w:val="en-AU"/>
              </w:rPr>
              <w:lastRenderedPageBreak/>
              <w:t>Adalimumab in the Treatment of Refractory Inflammatory Uveitis: A Multicenter Study from the French Uveitis Network.</w:t>
            </w:r>
          </w:p>
        </w:tc>
        <w:tc>
          <w:tcPr>
            <w:tcW w:w="1230" w:type="pct"/>
          </w:tcPr>
          <w:p w14:paraId="79A1F86D" w14:textId="77777777" w:rsidR="00762445" w:rsidRPr="00AD5A27" w:rsidRDefault="00762445" w:rsidP="00762445">
            <w:pPr>
              <w:pStyle w:val="In-tableHeading"/>
              <w:rPr>
                <w:b w:val="0"/>
                <w:bCs/>
                <w:i/>
                <w:iCs/>
                <w:snapToGrid w:val="0"/>
                <w:szCs w:val="20"/>
                <w:lang w:val="en-AU" w:eastAsia="en-US"/>
              </w:rPr>
            </w:pPr>
            <w:r w:rsidRPr="00AD5A27">
              <w:rPr>
                <w:b w:val="0"/>
                <w:bCs/>
                <w:i/>
                <w:iCs/>
                <w:lang w:val="en-AU"/>
              </w:rPr>
              <w:lastRenderedPageBreak/>
              <w:t xml:space="preserve">Arthritis &amp; Rheumatology </w:t>
            </w:r>
            <w:r w:rsidRPr="00AD5A27">
              <w:rPr>
                <w:b w:val="0"/>
                <w:lang w:val="en-AU"/>
              </w:rPr>
              <w:t>2016;68(6):1522-1530.</w:t>
            </w:r>
          </w:p>
        </w:tc>
      </w:tr>
      <w:tr w:rsidR="00762445" w:rsidRPr="00AD5A27" w14:paraId="7899CA4D" w14:textId="77777777">
        <w:trPr>
          <w:cantSplit/>
          <w:trHeight w:val="300"/>
        </w:trPr>
        <w:tc>
          <w:tcPr>
            <w:tcW w:w="623" w:type="pct"/>
            <w:shd w:val="clear" w:color="auto" w:fill="auto"/>
          </w:tcPr>
          <w:p w14:paraId="68372B5D" w14:textId="77777777" w:rsidR="00762445" w:rsidRPr="00AD5A27" w:rsidRDefault="00762445" w:rsidP="00762445">
            <w:pPr>
              <w:pStyle w:val="In-tableHeading"/>
              <w:rPr>
                <w:b w:val="0"/>
                <w:bCs/>
                <w:lang w:val="en-AU"/>
              </w:rPr>
            </w:pPr>
            <w:r w:rsidRPr="00AD5A27">
              <w:rPr>
                <w:b w:val="0"/>
                <w:bCs/>
                <w:lang w:val="en-AU"/>
              </w:rPr>
              <w:t>NCT02916017</w:t>
            </w:r>
          </w:p>
        </w:tc>
        <w:tc>
          <w:tcPr>
            <w:tcW w:w="3147" w:type="pct"/>
          </w:tcPr>
          <w:p w14:paraId="278777D6" w14:textId="77777777" w:rsidR="00762445" w:rsidRPr="00AD5A27" w:rsidRDefault="00762445" w:rsidP="00762445">
            <w:pPr>
              <w:pStyle w:val="In-tableHeading"/>
              <w:rPr>
                <w:b w:val="0"/>
                <w:snapToGrid w:val="0"/>
                <w:szCs w:val="20"/>
                <w:lang w:val="en-AU" w:eastAsia="en-US"/>
              </w:rPr>
            </w:pPr>
            <w:r w:rsidRPr="00AD5A27">
              <w:rPr>
                <w:b w:val="0"/>
                <w:lang w:val="en-AU"/>
              </w:rPr>
              <w:t>HUMIRA Special Investigation (Long-term Treatment in Patients with Non-infectious Intermediate-, Posterior-, or Pan-uveitis)</w:t>
            </w:r>
          </w:p>
        </w:tc>
        <w:tc>
          <w:tcPr>
            <w:tcW w:w="1230" w:type="pct"/>
          </w:tcPr>
          <w:p w14:paraId="130D198C" w14:textId="77777777" w:rsidR="00762445" w:rsidRPr="00AD5A27" w:rsidRDefault="00762445" w:rsidP="00762445">
            <w:pPr>
              <w:pStyle w:val="In-tableHeading"/>
              <w:rPr>
                <w:b w:val="0"/>
                <w:snapToGrid w:val="0"/>
                <w:szCs w:val="20"/>
                <w:lang w:val="en-AU" w:eastAsia="en-US"/>
              </w:rPr>
            </w:pPr>
            <w:r w:rsidRPr="00AD5A27">
              <w:rPr>
                <w:b w:val="0"/>
                <w:lang w:val="en-AU"/>
              </w:rPr>
              <w:t>2020</w:t>
            </w:r>
          </w:p>
        </w:tc>
      </w:tr>
      <w:tr w:rsidR="00762445" w:rsidRPr="00AD5A27" w14:paraId="6FE9091D" w14:textId="77777777">
        <w:trPr>
          <w:cantSplit/>
          <w:trHeight w:val="300"/>
        </w:trPr>
        <w:tc>
          <w:tcPr>
            <w:tcW w:w="623" w:type="pct"/>
            <w:shd w:val="clear" w:color="auto" w:fill="auto"/>
          </w:tcPr>
          <w:p w14:paraId="3EF2DFE3" w14:textId="77777777" w:rsidR="00762445" w:rsidRPr="00AD5A27" w:rsidRDefault="00762445" w:rsidP="00762445">
            <w:pPr>
              <w:pStyle w:val="In-tableHeading"/>
              <w:rPr>
                <w:b w:val="0"/>
                <w:bCs/>
                <w:lang w:val="en-AU"/>
              </w:rPr>
            </w:pPr>
            <w:r w:rsidRPr="00AD5A27">
              <w:rPr>
                <w:b w:val="0"/>
                <w:bCs/>
                <w:lang w:val="en-AU"/>
              </w:rPr>
              <w:t>NCT03339102</w:t>
            </w:r>
          </w:p>
        </w:tc>
        <w:tc>
          <w:tcPr>
            <w:tcW w:w="3147" w:type="pct"/>
          </w:tcPr>
          <w:p w14:paraId="0683E14F" w14:textId="77777777" w:rsidR="00762445" w:rsidRPr="00AD5A27" w:rsidRDefault="00762445" w:rsidP="00762445">
            <w:pPr>
              <w:pStyle w:val="In-tableHeading"/>
              <w:rPr>
                <w:b w:val="0"/>
                <w:snapToGrid w:val="0"/>
                <w:szCs w:val="20"/>
                <w:lang w:val="en-AU" w:eastAsia="en-US"/>
              </w:rPr>
            </w:pPr>
            <w:r w:rsidRPr="00AD5A27">
              <w:rPr>
                <w:b w:val="0"/>
                <w:lang w:val="en-AU"/>
              </w:rPr>
              <w:t>Re-examination report for post-marketing surveillance (PMS) study of adalimumab (Humira®) for non-infectious intermediate, posterior, or panuveitis patients</w:t>
            </w:r>
          </w:p>
        </w:tc>
        <w:tc>
          <w:tcPr>
            <w:tcW w:w="1230" w:type="pct"/>
          </w:tcPr>
          <w:p w14:paraId="0C673F03" w14:textId="77777777" w:rsidR="00762445" w:rsidRPr="00AD5A27" w:rsidRDefault="00762445" w:rsidP="00762445">
            <w:pPr>
              <w:pStyle w:val="In-tableHeading"/>
              <w:rPr>
                <w:b w:val="0"/>
                <w:snapToGrid w:val="0"/>
                <w:szCs w:val="20"/>
                <w:lang w:val="en-AU" w:eastAsia="en-US"/>
              </w:rPr>
            </w:pPr>
            <w:r w:rsidRPr="00AD5A27">
              <w:rPr>
                <w:b w:val="0"/>
                <w:lang w:val="en-AU"/>
              </w:rPr>
              <w:t>2020</w:t>
            </w:r>
          </w:p>
        </w:tc>
      </w:tr>
      <w:tr w:rsidR="00762445" w:rsidRPr="00AD5A27" w14:paraId="2B4968DD" w14:textId="77777777">
        <w:trPr>
          <w:cantSplit/>
          <w:trHeight w:val="300"/>
        </w:trPr>
        <w:tc>
          <w:tcPr>
            <w:tcW w:w="623" w:type="pct"/>
            <w:shd w:val="clear" w:color="auto" w:fill="auto"/>
            <w:vAlign w:val="center"/>
          </w:tcPr>
          <w:p w14:paraId="5A0F921F" w14:textId="77777777" w:rsidR="00762445" w:rsidRPr="00AD5A27" w:rsidRDefault="00762445" w:rsidP="00762445">
            <w:pPr>
              <w:pStyle w:val="In-tableHeading"/>
              <w:rPr>
                <w:b w:val="0"/>
                <w:bCs/>
                <w:lang w:val="en-AU"/>
              </w:rPr>
            </w:pPr>
            <w:r w:rsidRPr="00AD5A27">
              <w:rPr>
                <w:b w:val="0"/>
                <w:lang w:val="en-AU"/>
              </w:rPr>
              <w:t>Say et al. (2021)</w:t>
            </w:r>
          </w:p>
        </w:tc>
        <w:tc>
          <w:tcPr>
            <w:tcW w:w="3147" w:type="pct"/>
          </w:tcPr>
          <w:p w14:paraId="2265A161" w14:textId="77777777" w:rsidR="00762445" w:rsidRPr="00AD5A27" w:rsidRDefault="00762445" w:rsidP="00762445">
            <w:pPr>
              <w:pStyle w:val="In-tableHeading"/>
              <w:rPr>
                <w:b w:val="0"/>
                <w:snapToGrid w:val="0"/>
                <w:szCs w:val="20"/>
                <w:lang w:val="en-AU" w:eastAsia="en-US"/>
              </w:rPr>
            </w:pPr>
            <w:r w:rsidRPr="00AD5A27">
              <w:rPr>
                <w:b w:val="0"/>
                <w:lang w:val="en-AU"/>
              </w:rPr>
              <w:t xml:space="preserve">Say TL, Yang V, Fingret JM, et al. Adalimumab in patients with vision-threatening uveitis: real-world clinical experience. </w:t>
            </w:r>
          </w:p>
        </w:tc>
        <w:tc>
          <w:tcPr>
            <w:tcW w:w="1230" w:type="pct"/>
          </w:tcPr>
          <w:p w14:paraId="2FECD238" w14:textId="77777777" w:rsidR="00762445" w:rsidRPr="00AD5A27" w:rsidRDefault="00762445" w:rsidP="00762445">
            <w:pPr>
              <w:pStyle w:val="In-tableHeading"/>
              <w:rPr>
                <w:b w:val="0"/>
                <w:bCs/>
                <w:i/>
                <w:iCs/>
                <w:snapToGrid w:val="0"/>
                <w:szCs w:val="20"/>
                <w:lang w:val="en-AU" w:eastAsia="en-US"/>
              </w:rPr>
            </w:pPr>
            <w:r w:rsidRPr="00AD5A27">
              <w:rPr>
                <w:b w:val="0"/>
                <w:bCs/>
                <w:i/>
                <w:iCs/>
                <w:lang w:val="en-AU"/>
              </w:rPr>
              <w:t xml:space="preserve">BMJ Open Ophthalmology </w:t>
            </w:r>
            <w:r w:rsidRPr="00AD5A27">
              <w:rPr>
                <w:b w:val="0"/>
                <w:lang w:val="en-AU"/>
              </w:rPr>
              <w:t>2021;6:e000819.</w:t>
            </w:r>
          </w:p>
        </w:tc>
      </w:tr>
      <w:tr w:rsidR="00762445" w:rsidRPr="00AD5A27" w14:paraId="1333467B" w14:textId="77777777">
        <w:trPr>
          <w:cantSplit/>
          <w:trHeight w:val="300"/>
        </w:trPr>
        <w:tc>
          <w:tcPr>
            <w:tcW w:w="5000" w:type="pct"/>
            <w:gridSpan w:val="3"/>
            <w:tcBorders>
              <w:right w:val="single" w:sz="4" w:space="0" w:color="auto"/>
            </w:tcBorders>
            <w:shd w:val="clear" w:color="auto" w:fill="auto"/>
            <w:vAlign w:val="center"/>
          </w:tcPr>
          <w:p w14:paraId="3A48BACE" w14:textId="77777777" w:rsidR="00762445" w:rsidRPr="00AD5A27" w:rsidRDefault="00762445" w:rsidP="00762445">
            <w:pPr>
              <w:pStyle w:val="In-tableHeading"/>
              <w:rPr>
                <w:b w:val="0"/>
                <w:snapToGrid w:val="0"/>
                <w:szCs w:val="20"/>
                <w:lang w:val="en-AU" w:eastAsia="en-US"/>
              </w:rPr>
            </w:pPr>
            <w:r w:rsidRPr="00AD5A27">
              <w:rPr>
                <w:lang w:val="en-AU"/>
              </w:rPr>
              <w:t>Paediatric</w:t>
            </w:r>
          </w:p>
        </w:tc>
      </w:tr>
      <w:tr w:rsidR="00762445" w:rsidRPr="00AD5A27" w14:paraId="6130C445" w14:textId="77777777">
        <w:trPr>
          <w:cantSplit/>
          <w:trHeight w:val="300"/>
        </w:trPr>
        <w:tc>
          <w:tcPr>
            <w:tcW w:w="623" w:type="pct"/>
            <w:shd w:val="clear" w:color="auto" w:fill="auto"/>
            <w:vAlign w:val="center"/>
          </w:tcPr>
          <w:p w14:paraId="3123A7C3" w14:textId="77777777" w:rsidR="00762445" w:rsidRPr="00AD5A27" w:rsidRDefault="00762445" w:rsidP="00762445">
            <w:pPr>
              <w:pStyle w:val="In-tableHeading"/>
              <w:rPr>
                <w:b w:val="0"/>
                <w:lang w:val="en-AU"/>
              </w:rPr>
            </w:pPr>
            <w:r w:rsidRPr="00AD5A27">
              <w:rPr>
                <w:b w:val="0"/>
                <w:lang w:val="en-AU"/>
              </w:rPr>
              <w:t>Alekseeva et al. (2012)</w:t>
            </w:r>
          </w:p>
        </w:tc>
        <w:tc>
          <w:tcPr>
            <w:tcW w:w="3147" w:type="pct"/>
          </w:tcPr>
          <w:p w14:paraId="3FE7BDD4" w14:textId="77777777" w:rsidR="00762445" w:rsidRPr="00AD5A27" w:rsidRDefault="00762445" w:rsidP="00762445">
            <w:pPr>
              <w:pStyle w:val="In-tableHeading"/>
              <w:rPr>
                <w:b w:val="0"/>
                <w:snapToGrid w:val="0"/>
                <w:szCs w:val="20"/>
                <w:lang w:val="en-AU" w:eastAsia="en-US"/>
              </w:rPr>
            </w:pPr>
            <w:r w:rsidRPr="00AD5A27">
              <w:rPr>
                <w:b w:val="0"/>
                <w:lang w:val="en-AU"/>
              </w:rPr>
              <w:t>Alekseeva E, Mitenko E, Bzarova T, Valieva S, Isayeva K, Chomakhidze A, Chistyakova E, Sleptsova T.1148 Adalimumab—Effective Control under Refractory JIA Associated Uveitis.</w:t>
            </w:r>
          </w:p>
        </w:tc>
        <w:tc>
          <w:tcPr>
            <w:tcW w:w="1230" w:type="pct"/>
          </w:tcPr>
          <w:p w14:paraId="386A4DA0" w14:textId="77777777" w:rsidR="00762445" w:rsidRPr="00AD5A27" w:rsidRDefault="00762445" w:rsidP="00762445">
            <w:pPr>
              <w:pStyle w:val="In-tableHeading"/>
              <w:rPr>
                <w:b w:val="0"/>
                <w:bCs/>
                <w:i/>
                <w:iCs/>
                <w:snapToGrid w:val="0"/>
                <w:szCs w:val="20"/>
                <w:lang w:val="en-AU" w:eastAsia="en-US"/>
              </w:rPr>
            </w:pPr>
            <w:r w:rsidRPr="00AD5A27">
              <w:rPr>
                <w:b w:val="0"/>
                <w:bCs/>
                <w:i/>
                <w:iCs/>
                <w:lang w:val="en-AU"/>
              </w:rPr>
              <w:t xml:space="preserve">American College of Rheumatology. </w:t>
            </w:r>
            <w:r w:rsidRPr="00AD5A27">
              <w:rPr>
                <w:b w:val="0"/>
                <w:lang w:val="en-AU"/>
              </w:rPr>
              <w:t>ACR/ARHP Annual Meeting 2012;S493</w:t>
            </w:r>
          </w:p>
        </w:tc>
      </w:tr>
      <w:tr w:rsidR="00762445" w:rsidRPr="00AD5A27" w14:paraId="5D216E8C" w14:textId="77777777">
        <w:trPr>
          <w:cantSplit/>
          <w:trHeight w:val="300"/>
        </w:trPr>
        <w:tc>
          <w:tcPr>
            <w:tcW w:w="623" w:type="pct"/>
            <w:shd w:val="clear" w:color="auto" w:fill="auto"/>
            <w:vAlign w:val="center"/>
          </w:tcPr>
          <w:p w14:paraId="26E68068" w14:textId="77777777" w:rsidR="00762445" w:rsidRPr="00AD5A27" w:rsidRDefault="00762445" w:rsidP="00762445">
            <w:pPr>
              <w:pStyle w:val="In-tableHeading"/>
              <w:rPr>
                <w:b w:val="0"/>
                <w:vertAlign w:val="superscript"/>
                <w:lang w:val="en-AU"/>
              </w:rPr>
            </w:pPr>
            <w:r w:rsidRPr="00AD5A27">
              <w:rPr>
                <w:b w:val="0"/>
                <w:lang w:val="en-AU"/>
              </w:rPr>
              <w:t>Biliavska et al. (2017)</w:t>
            </w:r>
          </w:p>
        </w:tc>
        <w:tc>
          <w:tcPr>
            <w:tcW w:w="3147" w:type="pct"/>
          </w:tcPr>
          <w:p w14:paraId="73D8DA7D" w14:textId="77777777" w:rsidR="00762445" w:rsidRPr="00AD5A27" w:rsidRDefault="00762445" w:rsidP="00762445">
            <w:pPr>
              <w:pStyle w:val="In-tableHeading"/>
              <w:rPr>
                <w:b w:val="0"/>
                <w:snapToGrid w:val="0"/>
                <w:szCs w:val="20"/>
                <w:lang w:val="en-AU" w:eastAsia="en-US"/>
              </w:rPr>
            </w:pPr>
            <w:r w:rsidRPr="00AD5A27">
              <w:rPr>
                <w:b w:val="0"/>
                <w:lang w:val="en-AU"/>
              </w:rPr>
              <w:t>Biliavska IV, Kovalenko VM, Bortkevych OP, Garmish OO, Boyko YE, Omelchenko LI, Oshlyanska OA, Marushko TV, Bogmat LF, Shevchenko NS.</w:t>
            </w:r>
            <w:r w:rsidRPr="00AD5A27">
              <w:rPr>
                <w:lang w:val="en-AU"/>
              </w:rPr>
              <w:t xml:space="preserve"> </w:t>
            </w:r>
            <w:r w:rsidRPr="00AD5A27">
              <w:rPr>
                <w:b w:val="0"/>
                <w:lang w:val="en-AU"/>
              </w:rPr>
              <w:t>THU0510</w:t>
            </w:r>
            <w:r w:rsidRPr="00AD5A27">
              <w:rPr>
                <w:lang w:val="en-AU"/>
              </w:rPr>
              <w:t xml:space="preserve"> </w:t>
            </w:r>
            <w:r w:rsidRPr="00AD5A27">
              <w:rPr>
                <w:b w:val="0"/>
                <w:lang w:val="en-AU"/>
              </w:rPr>
              <w:t>Ukrainian registry of JIA patients receiving biologics: implementation into clinical practice and recent data.</w:t>
            </w:r>
          </w:p>
        </w:tc>
        <w:tc>
          <w:tcPr>
            <w:tcW w:w="1230" w:type="pct"/>
          </w:tcPr>
          <w:p w14:paraId="6142DCE7" w14:textId="77777777" w:rsidR="00762445" w:rsidRPr="00AD5A27" w:rsidRDefault="00762445" w:rsidP="00762445">
            <w:pPr>
              <w:pStyle w:val="In-tableHeading"/>
              <w:rPr>
                <w:b w:val="0"/>
                <w:bCs/>
                <w:i/>
                <w:iCs/>
                <w:snapToGrid w:val="0"/>
                <w:szCs w:val="20"/>
                <w:lang w:val="en-AU" w:eastAsia="en-US"/>
              </w:rPr>
            </w:pPr>
            <w:r w:rsidRPr="00AD5A27">
              <w:rPr>
                <w:b w:val="0"/>
                <w:bCs/>
                <w:i/>
                <w:iCs/>
                <w:lang w:val="en-AU"/>
              </w:rPr>
              <w:t xml:space="preserve">Annals of the Rheumatic Diseases </w:t>
            </w:r>
            <w:r w:rsidRPr="00AD5A27">
              <w:rPr>
                <w:b w:val="0"/>
                <w:lang w:val="en-AU"/>
              </w:rPr>
              <w:t>2017;76:399.</w:t>
            </w:r>
          </w:p>
        </w:tc>
      </w:tr>
      <w:tr w:rsidR="00762445" w:rsidRPr="00AD5A27" w14:paraId="5B72F337" w14:textId="77777777">
        <w:trPr>
          <w:cantSplit/>
          <w:trHeight w:val="300"/>
        </w:trPr>
        <w:tc>
          <w:tcPr>
            <w:tcW w:w="623" w:type="pct"/>
            <w:shd w:val="clear" w:color="auto" w:fill="auto"/>
            <w:vAlign w:val="center"/>
          </w:tcPr>
          <w:p w14:paraId="669AC886" w14:textId="77777777" w:rsidR="00762445" w:rsidRPr="00AD5A27" w:rsidRDefault="00762445" w:rsidP="00762445">
            <w:pPr>
              <w:pStyle w:val="In-tableHeading"/>
              <w:rPr>
                <w:b w:val="0"/>
                <w:vertAlign w:val="superscript"/>
                <w:lang w:val="en-AU"/>
              </w:rPr>
            </w:pPr>
            <w:r w:rsidRPr="00AD5A27">
              <w:rPr>
                <w:b w:val="0"/>
                <w:lang w:val="en-AU"/>
              </w:rPr>
              <w:t>Gaidar et al. (2017)</w:t>
            </w:r>
          </w:p>
        </w:tc>
        <w:tc>
          <w:tcPr>
            <w:tcW w:w="3147" w:type="pct"/>
          </w:tcPr>
          <w:p w14:paraId="5B0BAA73" w14:textId="77777777" w:rsidR="00762445" w:rsidRPr="00AD5A27" w:rsidRDefault="00762445" w:rsidP="00762445">
            <w:pPr>
              <w:pStyle w:val="In-tableHeading"/>
              <w:rPr>
                <w:b w:val="0"/>
                <w:snapToGrid w:val="0"/>
                <w:szCs w:val="20"/>
                <w:lang w:val="en-AU" w:eastAsia="en-US"/>
              </w:rPr>
            </w:pPr>
            <w:r w:rsidRPr="00AD5A27">
              <w:rPr>
                <w:b w:val="0"/>
                <w:lang w:val="en-AU"/>
              </w:rPr>
              <w:t>Gaidar E, Kostik M, Dubko M, Masalova V, Serogodskaya E, Snegireva L, Nikitina T, Chasnyk V, Kalashnikova O, Isupova E.The evaluation of efficacy of adalimumab in juvenile idiopathic arthritis-associated uveitis and chronic anterior uveitis</w:t>
            </w:r>
          </w:p>
        </w:tc>
        <w:tc>
          <w:tcPr>
            <w:tcW w:w="1230" w:type="pct"/>
          </w:tcPr>
          <w:p w14:paraId="6996DB96" w14:textId="77777777" w:rsidR="00762445" w:rsidRPr="00AD5A27" w:rsidRDefault="00762445" w:rsidP="00762445">
            <w:pPr>
              <w:pStyle w:val="In-tableHeading"/>
              <w:rPr>
                <w:b w:val="0"/>
                <w:bCs/>
                <w:i/>
                <w:iCs/>
                <w:snapToGrid w:val="0"/>
                <w:szCs w:val="20"/>
                <w:lang w:val="en-AU" w:eastAsia="en-US"/>
              </w:rPr>
            </w:pPr>
            <w:r w:rsidRPr="00AD5A27">
              <w:rPr>
                <w:b w:val="0"/>
                <w:bCs/>
                <w:i/>
                <w:iCs/>
                <w:lang w:val="en-AU"/>
              </w:rPr>
              <w:t xml:space="preserve">Pediatric Rheumatology </w:t>
            </w:r>
            <w:r w:rsidRPr="00AD5A27">
              <w:rPr>
                <w:b w:val="0"/>
                <w:lang w:val="en-AU"/>
              </w:rPr>
              <w:t>2017;15(Supp1):P447</w:t>
            </w:r>
          </w:p>
        </w:tc>
      </w:tr>
      <w:tr w:rsidR="00762445" w:rsidRPr="00AD5A27" w14:paraId="0CE97453" w14:textId="77777777">
        <w:trPr>
          <w:cantSplit/>
          <w:trHeight w:val="300"/>
        </w:trPr>
        <w:tc>
          <w:tcPr>
            <w:tcW w:w="623" w:type="pct"/>
            <w:shd w:val="clear" w:color="auto" w:fill="auto"/>
            <w:vAlign w:val="center"/>
          </w:tcPr>
          <w:p w14:paraId="63E96A22" w14:textId="77777777" w:rsidR="00762445" w:rsidRPr="00AD5A27" w:rsidRDefault="00762445" w:rsidP="00762445">
            <w:pPr>
              <w:pStyle w:val="In-tableHeading"/>
              <w:rPr>
                <w:b w:val="0"/>
                <w:bCs/>
                <w:lang w:val="en-AU"/>
              </w:rPr>
            </w:pPr>
            <w:r w:rsidRPr="00AD5A27">
              <w:rPr>
                <w:b w:val="0"/>
                <w:lang w:val="en-AU"/>
              </w:rPr>
              <w:t>Simonini et al. (2013)</w:t>
            </w:r>
          </w:p>
        </w:tc>
        <w:tc>
          <w:tcPr>
            <w:tcW w:w="3147" w:type="pct"/>
          </w:tcPr>
          <w:p w14:paraId="0C997C70" w14:textId="77777777" w:rsidR="00762445" w:rsidRPr="00AD5A27" w:rsidRDefault="00762445" w:rsidP="00762445">
            <w:pPr>
              <w:pStyle w:val="In-tableHeading"/>
              <w:rPr>
                <w:b w:val="0"/>
                <w:snapToGrid w:val="0"/>
                <w:szCs w:val="20"/>
                <w:lang w:val="en-AU" w:eastAsia="en-US"/>
              </w:rPr>
            </w:pPr>
            <w:r w:rsidRPr="00AD5A27">
              <w:rPr>
                <w:b w:val="0"/>
                <w:lang w:val="en-AU"/>
              </w:rPr>
              <w:t>Simonini G, Taddio A, Cattalini M, Caputo R, de Libero C, Parentin F, Pagnini I, Lepore L, Cimaz R.</w:t>
            </w:r>
            <w:r w:rsidRPr="00AD5A27">
              <w:rPr>
                <w:lang w:val="en-AU"/>
              </w:rPr>
              <w:t xml:space="preserve"> </w:t>
            </w:r>
            <w:r w:rsidRPr="00AD5A27">
              <w:rPr>
                <w:b w:val="0"/>
                <w:lang w:val="en-AU"/>
              </w:rPr>
              <w:t xml:space="preserve">Superior efficacy of Adalimumab in treating childhood refractory chronic uveitis when used as first biologic modifier drug: Adalimumab as starting anti-TNF-α therapy in childhood chronic uveitis. </w:t>
            </w:r>
          </w:p>
        </w:tc>
        <w:tc>
          <w:tcPr>
            <w:tcW w:w="1230" w:type="pct"/>
          </w:tcPr>
          <w:p w14:paraId="77477F3E" w14:textId="77777777" w:rsidR="00762445" w:rsidRPr="00AD5A27" w:rsidRDefault="00762445" w:rsidP="00762445">
            <w:pPr>
              <w:pStyle w:val="In-tableHeading"/>
              <w:rPr>
                <w:b w:val="0"/>
                <w:bCs/>
                <w:i/>
                <w:iCs/>
                <w:snapToGrid w:val="0"/>
                <w:szCs w:val="20"/>
                <w:lang w:val="en-AU" w:eastAsia="en-US"/>
              </w:rPr>
            </w:pPr>
            <w:r w:rsidRPr="00AD5A27">
              <w:rPr>
                <w:b w:val="0"/>
                <w:bCs/>
                <w:i/>
                <w:iCs/>
                <w:lang w:val="en-AU"/>
              </w:rPr>
              <w:t xml:space="preserve">Pediatric Rheumatology </w:t>
            </w:r>
            <w:r w:rsidRPr="00AD5A27">
              <w:rPr>
                <w:b w:val="0"/>
                <w:lang w:val="en-AU"/>
              </w:rPr>
              <w:t>2013;11(16):1-7</w:t>
            </w:r>
          </w:p>
        </w:tc>
      </w:tr>
      <w:tr w:rsidR="00762445" w:rsidRPr="00AD5A27" w14:paraId="64E8D1F7" w14:textId="77777777">
        <w:trPr>
          <w:cantSplit/>
          <w:trHeight w:val="300"/>
        </w:trPr>
        <w:tc>
          <w:tcPr>
            <w:tcW w:w="623" w:type="pct"/>
            <w:shd w:val="clear" w:color="auto" w:fill="auto"/>
            <w:vAlign w:val="center"/>
          </w:tcPr>
          <w:p w14:paraId="73203EEF" w14:textId="77777777" w:rsidR="00762445" w:rsidRPr="00AD5A27" w:rsidRDefault="00762445" w:rsidP="00762445">
            <w:pPr>
              <w:pStyle w:val="In-tableHeading"/>
              <w:rPr>
                <w:b w:val="0"/>
                <w:bCs/>
                <w:lang w:val="en-AU"/>
              </w:rPr>
            </w:pPr>
            <w:r w:rsidRPr="00AD5A27">
              <w:rPr>
                <w:b w:val="0"/>
                <w:lang w:val="en-AU"/>
              </w:rPr>
              <w:t>Tynjala et al. (2008)</w:t>
            </w:r>
          </w:p>
        </w:tc>
        <w:tc>
          <w:tcPr>
            <w:tcW w:w="3147" w:type="pct"/>
          </w:tcPr>
          <w:p w14:paraId="371B4C2A" w14:textId="77777777" w:rsidR="00762445" w:rsidRPr="00AD5A27" w:rsidRDefault="00762445" w:rsidP="00762445">
            <w:pPr>
              <w:pStyle w:val="In-tableHeading"/>
              <w:rPr>
                <w:b w:val="0"/>
                <w:snapToGrid w:val="0"/>
                <w:szCs w:val="20"/>
                <w:lang w:val="en-AU" w:eastAsia="en-US"/>
              </w:rPr>
            </w:pPr>
            <w:r w:rsidRPr="00AD5A27">
              <w:rPr>
                <w:b w:val="0"/>
                <w:lang w:val="en-AU"/>
              </w:rPr>
              <w:t>Tynjälä P, Kotaniemi K, Lindahl P, Latva K, Aalto K, Honkanen V, Lahdenne P.</w:t>
            </w:r>
            <w:r w:rsidRPr="00AD5A27">
              <w:rPr>
                <w:lang w:val="en-AU"/>
              </w:rPr>
              <w:t xml:space="preserve"> </w:t>
            </w:r>
            <w:r w:rsidRPr="00AD5A27">
              <w:rPr>
                <w:b w:val="0"/>
                <w:lang w:val="en-AU"/>
              </w:rPr>
              <w:t>Adalimumab in juvenile idiopathic arthritis-associated chronic anterior uveitis</w:t>
            </w:r>
          </w:p>
        </w:tc>
        <w:tc>
          <w:tcPr>
            <w:tcW w:w="1230" w:type="pct"/>
          </w:tcPr>
          <w:p w14:paraId="2D45AC1E" w14:textId="77777777" w:rsidR="00762445" w:rsidRPr="00AD5A27" w:rsidRDefault="00762445" w:rsidP="00762445">
            <w:pPr>
              <w:pStyle w:val="In-tableHeading"/>
              <w:rPr>
                <w:b w:val="0"/>
                <w:bCs/>
                <w:i/>
                <w:iCs/>
                <w:snapToGrid w:val="0"/>
                <w:szCs w:val="20"/>
                <w:lang w:val="en-AU" w:eastAsia="en-US"/>
              </w:rPr>
            </w:pPr>
            <w:r w:rsidRPr="00AD5A27">
              <w:rPr>
                <w:b w:val="0"/>
                <w:bCs/>
                <w:i/>
                <w:iCs/>
                <w:lang w:val="en-AU"/>
              </w:rPr>
              <w:t xml:space="preserve">Rheumatology </w:t>
            </w:r>
            <w:r w:rsidRPr="00AD5A27">
              <w:rPr>
                <w:b w:val="0"/>
                <w:lang w:val="en-AU"/>
              </w:rPr>
              <w:t>2008;47:339–344</w:t>
            </w:r>
          </w:p>
        </w:tc>
      </w:tr>
    </w:tbl>
    <w:p w14:paraId="52CBCD1E" w14:textId="77777777" w:rsidR="002A66BB" w:rsidRPr="00AD5A27" w:rsidRDefault="002A66BB">
      <w:pPr>
        <w:pStyle w:val="FooterTableFigure"/>
        <w:widowControl w:val="0"/>
      </w:pPr>
      <w:r w:rsidRPr="00AD5A27">
        <w:t xml:space="preserve">Source: Table 2-2, pp58-65 of the submission; Attachment 2; VISUAL I CSR; VISUAL II CSR, SYCAMORE CSR. </w:t>
      </w:r>
    </w:p>
    <w:p w14:paraId="6F88D050" w14:textId="47643AA1" w:rsidR="002A66BB" w:rsidRPr="00AD5A27" w:rsidRDefault="002A66BB">
      <w:pPr>
        <w:pStyle w:val="FooterTableFigure"/>
        <w:widowControl w:val="0"/>
        <w:rPr>
          <w:iCs/>
        </w:rPr>
      </w:pPr>
      <w:r w:rsidRPr="00AD5A27">
        <w:rPr>
          <w:iCs/>
          <w:shd w:val="clear" w:color="auto" w:fill="B8CCE4" w:themeFill="accent1" w:themeFillTint="66"/>
        </w:rPr>
        <w:t>Blue shading</w:t>
      </w:r>
      <w:r w:rsidRPr="00AD5A27">
        <w:rPr>
          <w:iCs/>
        </w:rPr>
        <w:t xml:space="preserve"> indicates data previously seen by the PBAC including the interim analysis of the VISUAL III study. </w:t>
      </w:r>
    </w:p>
    <w:p w14:paraId="68E2E76B" w14:textId="1ECD5C8C" w:rsidR="002A66BB" w:rsidRPr="00AD5A27" w:rsidRDefault="002A66BB" w:rsidP="00771261">
      <w:pPr>
        <w:pStyle w:val="3-BodyText"/>
      </w:pPr>
      <w:r w:rsidRPr="00AD5A27">
        <w:rPr>
          <w:rStyle w:val="3-BodyTextChar"/>
        </w:rPr>
        <w:t>The key features of the direct randomised trials and studies are summarised in Table 4.</w:t>
      </w:r>
    </w:p>
    <w:p w14:paraId="63D4E862" w14:textId="67EBEB0F" w:rsidR="002A66BB" w:rsidRPr="00AD5A27" w:rsidRDefault="002A66BB">
      <w:pPr>
        <w:pStyle w:val="Caption"/>
        <w:rPr>
          <w:rFonts w:eastAsiaTheme="majorEastAsia" w:cstheme="majorBidi"/>
        </w:rPr>
      </w:pPr>
      <w:r w:rsidRPr="00AD5A27">
        <w:rPr>
          <w:rStyle w:val="CommentReference"/>
          <w:rFonts w:eastAsiaTheme="majorEastAsia" w:cstheme="majorBidi"/>
          <w:b/>
        </w:rPr>
        <w:t xml:space="preserve">Table </w:t>
      </w:r>
      <w:r w:rsidRPr="00AD5A27">
        <w:rPr>
          <w:rStyle w:val="CommentReference"/>
          <w:rFonts w:eastAsiaTheme="majorEastAsia" w:cstheme="majorBidi"/>
          <w:b/>
        </w:rPr>
        <w:fldChar w:fldCharType="begin" w:fldLock="1"/>
      </w:r>
      <w:r w:rsidRPr="00AD5A27">
        <w:rPr>
          <w:rStyle w:val="CommentReference"/>
          <w:rFonts w:eastAsiaTheme="majorEastAsia" w:cstheme="majorBidi"/>
          <w:b/>
        </w:rPr>
        <w:instrText xml:space="preserve"> SEQ Table \* ARABIC </w:instrText>
      </w:r>
      <w:r w:rsidRPr="00AD5A27">
        <w:rPr>
          <w:rStyle w:val="CommentReference"/>
          <w:rFonts w:eastAsiaTheme="majorEastAsia" w:cstheme="majorBidi"/>
          <w:b/>
        </w:rPr>
        <w:fldChar w:fldCharType="separate"/>
      </w:r>
      <w:r w:rsidR="00B510E9" w:rsidRPr="00AD5A27">
        <w:rPr>
          <w:rStyle w:val="CommentReference"/>
          <w:rFonts w:eastAsiaTheme="majorEastAsia" w:cstheme="majorBidi"/>
          <w:b/>
        </w:rPr>
        <w:t>4</w:t>
      </w:r>
      <w:r w:rsidRPr="00AD5A27">
        <w:rPr>
          <w:rStyle w:val="CommentReference"/>
          <w:rFonts w:eastAsiaTheme="majorEastAsia" w:cstheme="majorBidi"/>
          <w:b/>
        </w:rPr>
        <w:fldChar w:fldCharType="end"/>
      </w:r>
      <w:r w:rsidRPr="00AD5A27">
        <w:rPr>
          <w:rStyle w:val="CommentReference"/>
          <w:rFonts w:eastAsiaTheme="majorEastAsia" w:cstheme="majorBidi"/>
          <w:b/>
        </w:rPr>
        <w:t>: Key features of the included evidence</w:t>
      </w:r>
    </w:p>
    <w:tbl>
      <w:tblPr>
        <w:tblpPr w:leftFromText="180" w:rightFromText="180" w:vertAnchor="text" w:tblpY="1"/>
        <w:tblOverlap w:val="neve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159"/>
        <w:gridCol w:w="715"/>
        <w:gridCol w:w="1613"/>
        <w:gridCol w:w="1044"/>
        <w:gridCol w:w="1424"/>
        <w:gridCol w:w="1524"/>
        <w:gridCol w:w="1729"/>
      </w:tblGrid>
      <w:tr w:rsidR="002A66BB" w:rsidRPr="00AD5A27" w14:paraId="7C4D86D1" w14:textId="77777777" w:rsidTr="00B959BF">
        <w:trPr>
          <w:cantSplit/>
          <w:tblHeader/>
        </w:trPr>
        <w:tc>
          <w:tcPr>
            <w:tcW w:w="630" w:type="pct"/>
            <w:shd w:val="clear" w:color="auto" w:fill="auto"/>
            <w:vAlign w:val="center"/>
          </w:tcPr>
          <w:p w14:paraId="79E3E2BF" w14:textId="77777777" w:rsidR="002A66BB" w:rsidRPr="00AD5A27" w:rsidRDefault="002A66BB">
            <w:pPr>
              <w:pStyle w:val="In-tableHeading"/>
              <w:jc w:val="center"/>
              <w:rPr>
                <w:lang w:val="en-AU"/>
              </w:rPr>
            </w:pPr>
            <w:r w:rsidRPr="00AD5A27">
              <w:rPr>
                <w:lang w:val="en-AU"/>
              </w:rPr>
              <w:t>Trial</w:t>
            </w:r>
          </w:p>
        </w:tc>
        <w:tc>
          <w:tcPr>
            <w:tcW w:w="388" w:type="pct"/>
            <w:shd w:val="clear" w:color="auto" w:fill="auto"/>
            <w:vAlign w:val="center"/>
          </w:tcPr>
          <w:p w14:paraId="367EAFD9" w14:textId="77777777" w:rsidR="002A66BB" w:rsidRPr="00AD5A27" w:rsidRDefault="002A66BB">
            <w:pPr>
              <w:pStyle w:val="In-tableHeading"/>
              <w:jc w:val="center"/>
              <w:rPr>
                <w:lang w:val="en-AU"/>
              </w:rPr>
            </w:pPr>
            <w:r w:rsidRPr="00AD5A27">
              <w:rPr>
                <w:lang w:val="en-AU"/>
              </w:rPr>
              <w:t>N</w:t>
            </w:r>
          </w:p>
        </w:tc>
        <w:tc>
          <w:tcPr>
            <w:tcW w:w="876" w:type="pct"/>
            <w:shd w:val="clear" w:color="auto" w:fill="auto"/>
            <w:vAlign w:val="center"/>
          </w:tcPr>
          <w:p w14:paraId="352CF86A" w14:textId="77777777" w:rsidR="002A66BB" w:rsidRPr="00AD5A27" w:rsidRDefault="002A66BB">
            <w:pPr>
              <w:pStyle w:val="In-tableHeading"/>
              <w:jc w:val="center"/>
              <w:rPr>
                <w:lang w:val="en-AU"/>
              </w:rPr>
            </w:pPr>
            <w:r w:rsidRPr="00AD5A27">
              <w:rPr>
                <w:lang w:val="en-AU"/>
              </w:rPr>
              <w:t>Comparison / Design / duration</w:t>
            </w:r>
          </w:p>
        </w:tc>
        <w:tc>
          <w:tcPr>
            <w:tcW w:w="567" w:type="pct"/>
            <w:shd w:val="clear" w:color="auto" w:fill="auto"/>
            <w:vAlign w:val="center"/>
          </w:tcPr>
          <w:p w14:paraId="1942D985" w14:textId="77777777" w:rsidR="002A66BB" w:rsidRPr="00AD5A27" w:rsidRDefault="002A66BB">
            <w:pPr>
              <w:pStyle w:val="In-tableHeading"/>
              <w:jc w:val="center"/>
              <w:rPr>
                <w:lang w:val="en-AU"/>
              </w:rPr>
            </w:pPr>
            <w:r w:rsidRPr="00AD5A27">
              <w:rPr>
                <w:lang w:val="en-AU"/>
              </w:rPr>
              <w:t>Risk of bias</w:t>
            </w:r>
          </w:p>
        </w:tc>
        <w:tc>
          <w:tcPr>
            <w:tcW w:w="773" w:type="pct"/>
            <w:shd w:val="clear" w:color="auto" w:fill="auto"/>
            <w:vAlign w:val="center"/>
          </w:tcPr>
          <w:p w14:paraId="349F8315" w14:textId="77777777" w:rsidR="002A66BB" w:rsidRPr="00AD5A27" w:rsidRDefault="002A66BB">
            <w:pPr>
              <w:pStyle w:val="In-tableHeading"/>
              <w:jc w:val="center"/>
              <w:rPr>
                <w:lang w:val="en-AU"/>
              </w:rPr>
            </w:pPr>
            <w:r w:rsidRPr="00AD5A27">
              <w:rPr>
                <w:lang w:val="en-AU"/>
              </w:rPr>
              <w:t>Patient population</w:t>
            </w:r>
          </w:p>
        </w:tc>
        <w:tc>
          <w:tcPr>
            <w:tcW w:w="827" w:type="pct"/>
            <w:shd w:val="clear" w:color="auto" w:fill="auto"/>
            <w:vAlign w:val="center"/>
          </w:tcPr>
          <w:p w14:paraId="66748635" w14:textId="69879150" w:rsidR="002A66BB" w:rsidRPr="00AD5A27" w:rsidRDefault="002A66BB">
            <w:pPr>
              <w:pStyle w:val="In-tableHeading"/>
              <w:jc w:val="center"/>
              <w:rPr>
                <w:lang w:val="en-AU"/>
              </w:rPr>
            </w:pPr>
            <w:r w:rsidRPr="00AD5A27">
              <w:rPr>
                <w:lang w:val="en-AU"/>
              </w:rPr>
              <w:t>Outcome(s)</w:t>
            </w:r>
          </w:p>
        </w:tc>
        <w:tc>
          <w:tcPr>
            <w:tcW w:w="939" w:type="pct"/>
            <w:shd w:val="clear" w:color="auto" w:fill="auto"/>
            <w:vAlign w:val="center"/>
          </w:tcPr>
          <w:p w14:paraId="1F4D8755" w14:textId="77777777" w:rsidR="002A66BB" w:rsidRPr="00AD5A27" w:rsidRDefault="002A66BB">
            <w:pPr>
              <w:pStyle w:val="In-tableHeading"/>
              <w:jc w:val="center"/>
              <w:rPr>
                <w:lang w:val="en-AU"/>
              </w:rPr>
            </w:pPr>
            <w:r w:rsidRPr="00AD5A27">
              <w:rPr>
                <w:lang w:val="en-AU"/>
              </w:rPr>
              <w:t>Use in modelled evaluation</w:t>
            </w:r>
          </w:p>
        </w:tc>
      </w:tr>
      <w:tr w:rsidR="002A66BB" w:rsidRPr="00AD5A27" w14:paraId="5AB6DFAB" w14:textId="77777777" w:rsidTr="00B959BF">
        <w:trPr>
          <w:cantSplit/>
        </w:trPr>
        <w:tc>
          <w:tcPr>
            <w:tcW w:w="5000" w:type="pct"/>
            <w:gridSpan w:val="7"/>
            <w:shd w:val="clear" w:color="auto" w:fill="auto"/>
            <w:vAlign w:val="center"/>
          </w:tcPr>
          <w:p w14:paraId="4539EFF2" w14:textId="77777777" w:rsidR="002A66BB" w:rsidRPr="00AD5A27" w:rsidRDefault="002A66BB">
            <w:pPr>
              <w:pStyle w:val="In-tableHeading"/>
              <w:rPr>
                <w:lang w:val="en-AU"/>
              </w:rPr>
            </w:pPr>
            <w:r w:rsidRPr="00AD5A27">
              <w:rPr>
                <w:lang w:val="en-AU"/>
              </w:rPr>
              <w:t xml:space="preserve">ADULTS </w:t>
            </w:r>
          </w:p>
        </w:tc>
      </w:tr>
      <w:tr w:rsidR="002A66BB" w:rsidRPr="00AD5A27" w14:paraId="4D7EC256" w14:textId="77777777" w:rsidTr="00B959BF">
        <w:trPr>
          <w:cantSplit/>
        </w:trPr>
        <w:tc>
          <w:tcPr>
            <w:tcW w:w="5000" w:type="pct"/>
            <w:gridSpan w:val="7"/>
            <w:shd w:val="clear" w:color="auto" w:fill="auto"/>
            <w:vAlign w:val="center"/>
          </w:tcPr>
          <w:p w14:paraId="34AF8B46" w14:textId="77777777" w:rsidR="002A66BB" w:rsidRPr="00AD5A27" w:rsidRDefault="002A66BB">
            <w:pPr>
              <w:pStyle w:val="In-tableHeading"/>
              <w:rPr>
                <w:b w:val="0"/>
                <w:bCs/>
                <w:lang w:val="en-AU"/>
              </w:rPr>
            </w:pPr>
            <w:r w:rsidRPr="00AD5A27">
              <w:rPr>
                <w:b w:val="0"/>
                <w:bCs/>
                <w:lang w:val="en-AU"/>
              </w:rPr>
              <w:t>Randomised trials of ADA vs. PBO (N=2)</w:t>
            </w:r>
          </w:p>
        </w:tc>
      </w:tr>
      <w:tr w:rsidR="002A66BB" w:rsidRPr="00AD5A27" w14:paraId="51FF7BAA" w14:textId="77777777" w:rsidTr="00B959BF">
        <w:trPr>
          <w:cantSplit/>
        </w:trPr>
        <w:tc>
          <w:tcPr>
            <w:tcW w:w="630" w:type="pct"/>
            <w:shd w:val="clear" w:color="auto" w:fill="B8CCE4" w:themeFill="accent1" w:themeFillTint="66"/>
          </w:tcPr>
          <w:p w14:paraId="12F24924" w14:textId="77777777" w:rsidR="002A66BB" w:rsidRPr="00AD5A27" w:rsidRDefault="002A66BB">
            <w:pPr>
              <w:pStyle w:val="TableText0"/>
            </w:pPr>
            <w:r w:rsidRPr="00AD5A27">
              <w:t>VISUAL I</w:t>
            </w:r>
          </w:p>
        </w:tc>
        <w:tc>
          <w:tcPr>
            <w:tcW w:w="388" w:type="pct"/>
            <w:shd w:val="clear" w:color="auto" w:fill="B8CCE4" w:themeFill="accent1" w:themeFillTint="66"/>
          </w:tcPr>
          <w:p w14:paraId="73ECB321" w14:textId="77777777" w:rsidR="002A66BB" w:rsidRPr="00AD5A27" w:rsidRDefault="002A66BB">
            <w:pPr>
              <w:pStyle w:val="TableText0"/>
              <w:jc w:val="center"/>
            </w:pPr>
            <w:r w:rsidRPr="00AD5A27">
              <w:t>217</w:t>
            </w:r>
          </w:p>
        </w:tc>
        <w:tc>
          <w:tcPr>
            <w:tcW w:w="876" w:type="pct"/>
            <w:shd w:val="clear" w:color="auto" w:fill="B8CCE4" w:themeFill="accent1" w:themeFillTint="66"/>
          </w:tcPr>
          <w:p w14:paraId="5AA0FD03" w14:textId="77777777" w:rsidR="002A66BB" w:rsidRPr="00AD5A27" w:rsidRDefault="002A66BB">
            <w:pPr>
              <w:pStyle w:val="TableText0"/>
            </w:pPr>
            <w:r w:rsidRPr="00AD5A27">
              <w:t>ADA + BSC vs BSC</w:t>
            </w:r>
          </w:p>
          <w:p w14:paraId="6D173806" w14:textId="77777777" w:rsidR="002A66BB" w:rsidRPr="00AD5A27" w:rsidRDefault="002A66BB">
            <w:pPr>
              <w:pStyle w:val="TableText0"/>
            </w:pPr>
            <w:r w:rsidRPr="00AD5A27">
              <w:t xml:space="preserve"> vs R, M, DB</w:t>
            </w:r>
          </w:p>
          <w:p w14:paraId="2ECD3983" w14:textId="77777777" w:rsidR="002A66BB" w:rsidRPr="00AD5A27" w:rsidRDefault="002A66BB">
            <w:pPr>
              <w:pStyle w:val="TableText0"/>
            </w:pPr>
            <w:r w:rsidRPr="00AD5A27">
              <w:t xml:space="preserve">80 weeks  </w:t>
            </w:r>
          </w:p>
        </w:tc>
        <w:tc>
          <w:tcPr>
            <w:tcW w:w="567" w:type="pct"/>
            <w:shd w:val="clear" w:color="auto" w:fill="B8CCE4" w:themeFill="accent1" w:themeFillTint="66"/>
          </w:tcPr>
          <w:p w14:paraId="12242FD5" w14:textId="77777777" w:rsidR="002A66BB" w:rsidRPr="00AD5A27" w:rsidRDefault="002A66BB">
            <w:pPr>
              <w:pStyle w:val="TableText0"/>
            </w:pPr>
            <w:r w:rsidRPr="00AD5A27">
              <w:t>Low</w:t>
            </w:r>
          </w:p>
        </w:tc>
        <w:tc>
          <w:tcPr>
            <w:tcW w:w="773" w:type="pct"/>
            <w:shd w:val="clear" w:color="auto" w:fill="B8CCE4" w:themeFill="accent1" w:themeFillTint="66"/>
          </w:tcPr>
          <w:p w14:paraId="114BBEAC" w14:textId="77777777" w:rsidR="002A66BB" w:rsidRPr="00AD5A27" w:rsidRDefault="002A66BB">
            <w:pPr>
              <w:pStyle w:val="TableText0"/>
            </w:pPr>
            <w:r w:rsidRPr="00AD5A27">
              <w:t>NIIPPU with active (flaring) disease</w:t>
            </w:r>
          </w:p>
        </w:tc>
        <w:tc>
          <w:tcPr>
            <w:tcW w:w="827" w:type="pct"/>
            <w:shd w:val="clear" w:color="auto" w:fill="B8CCE4" w:themeFill="accent1" w:themeFillTint="66"/>
          </w:tcPr>
          <w:p w14:paraId="24A93B4C" w14:textId="77777777" w:rsidR="00D80813" w:rsidRPr="00AD5A27" w:rsidRDefault="00D80813" w:rsidP="00787969">
            <w:pPr>
              <w:pStyle w:val="TableText0"/>
              <w:rPr>
                <w:vertAlign w:val="superscript"/>
              </w:rPr>
            </w:pPr>
            <w:r w:rsidRPr="00AD5A27">
              <w:t xml:space="preserve">Primary: </w:t>
            </w:r>
            <w:r w:rsidR="002A66BB" w:rsidRPr="00AD5A27">
              <w:t>Time to treatment failure (flare)</w:t>
            </w:r>
            <w:r w:rsidR="002A66BB" w:rsidRPr="00AD5A27">
              <w:rPr>
                <w:vertAlign w:val="superscript"/>
              </w:rPr>
              <w:t>b</w:t>
            </w:r>
          </w:p>
          <w:p w14:paraId="795D8FA1" w14:textId="77777777" w:rsidR="00D80813" w:rsidRPr="00AD5A27" w:rsidRDefault="00D80813" w:rsidP="00787969">
            <w:pPr>
              <w:pStyle w:val="TableText0"/>
            </w:pPr>
            <w:r w:rsidRPr="00AD5A27">
              <w:t>Secondary:</w:t>
            </w:r>
            <w:r w:rsidRPr="00AD5A27">
              <w:rPr>
                <w:vertAlign w:val="superscript"/>
              </w:rPr>
              <w:t xml:space="preserve"> </w:t>
            </w:r>
            <w:r w:rsidR="00787969" w:rsidRPr="00AD5A27">
              <w:t xml:space="preserve">change in AC cell </w:t>
            </w:r>
            <w:r w:rsidRPr="00AD5A27">
              <w:t>grade, change</w:t>
            </w:r>
            <w:r w:rsidR="00787969" w:rsidRPr="00AD5A27">
              <w:t xml:space="preserve"> in VH grade (NEI/SUN criteria), change in logMAR BCVA, time to OCT evidence of macular oedema, percent change in CRT in each eye, change in VFQ-25 composite score</w:t>
            </w:r>
            <w:r w:rsidRPr="00AD5A27">
              <w:t>.</w:t>
            </w:r>
          </w:p>
          <w:p w14:paraId="21DE7A1E" w14:textId="3C21EBAD" w:rsidR="002A66BB" w:rsidRPr="00AD5A27" w:rsidRDefault="00D80813" w:rsidP="00787969">
            <w:pPr>
              <w:pStyle w:val="TableText0"/>
            </w:pPr>
            <w:r w:rsidRPr="00AD5A27">
              <w:lastRenderedPageBreak/>
              <w:t>O</w:t>
            </w:r>
            <w:r w:rsidR="00787969" w:rsidRPr="00AD5A27">
              <w:t>ther</w:t>
            </w:r>
            <w:r w:rsidRPr="00AD5A27">
              <w:t xml:space="preserve">: </w:t>
            </w:r>
            <w:r w:rsidR="00787969" w:rsidRPr="00AD5A27">
              <w:t xml:space="preserve">VFQ-25, </w:t>
            </w:r>
            <w:r w:rsidRPr="00AD5A27">
              <w:t>sub scores</w:t>
            </w:r>
            <w:r w:rsidR="00787969" w:rsidRPr="00AD5A27">
              <w:t>, HADS, WPAI-SHP, EQ-5D, HRU</w:t>
            </w:r>
          </w:p>
        </w:tc>
        <w:tc>
          <w:tcPr>
            <w:tcW w:w="939" w:type="pct"/>
            <w:vMerge w:val="restart"/>
            <w:shd w:val="clear" w:color="auto" w:fill="auto"/>
          </w:tcPr>
          <w:p w14:paraId="6EFF9C20" w14:textId="77777777" w:rsidR="002A66BB" w:rsidRPr="00AD5A27" w:rsidRDefault="002A66BB">
            <w:pPr>
              <w:pStyle w:val="TableText0"/>
              <w:widowControl w:val="0"/>
              <w:rPr>
                <w:rStyle w:val="normaltextrun"/>
                <w:color w:val="D13438"/>
                <w:u w:val="single"/>
              </w:rPr>
            </w:pPr>
            <w:r w:rsidRPr="00AD5A27">
              <w:rPr>
                <w:rStyle w:val="normaltextrun"/>
                <w:color w:val="000000"/>
                <w:shd w:val="clear" w:color="auto" w:fill="FFFFFF"/>
              </w:rPr>
              <w:lastRenderedPageBreak/>
              <w:t>Pooled HR based on</w:t>
            </w:r>
            <w:r w:rsidRPr="00AD5A27">
              <w:rPr>
                <w:rStyle w:val="normaltextrun"/>
                <w:color w:val="D13438"/>
                <w:shd w:val="clear" w:color="auto" w:fill="FFFFFF"/>
              </w:rPr>
              <w:t xml:space="preserve"> </w:t>
            </w:r>
            <w:r w:rsidRPr="00AD5A27">
              <w:rPr>
                <w:rStyle w:val="normaltextrun"/>
                <w:color w:val="000000"/>
                <w:shd w:val="clear" w:color="auto" w:fill="FFFFFF"/>
              </w:rPr>
              <w:t>VISUAL I and VISUAL II trials, dosing (80 mg loading followed by 40 mg fortnightly), HR based on VISUAL I trial in sensitivity analysis.</w:t>
            </w:r>
          </w:p>
          <w:p w14:paraId="5F155F8D" w14:textId="77777777" w:rsidR="002A66BB" w:rsidRPr="00AD5A27" w:rsidRDefault="002A66BB">
            <w:pPr>
              <w:pStyle w:val="TableText0"/>
            </w:pPr>
          </w:p>
        </w:tc>
      </w:tr>
      <w:tr w:rsidR="002A66BB" w:rsidRPr="00AD5A27" w14:paraId="75EED346" w14:textId="77777777" w:rsidTr="00B959BF">
        <w:trPr>
          <w:cantSplit/>
        </w:trPr>
        <w:tc>
          <w:tcPr>
            <w:tcW w:w="630" w:type="pct"/>
            <w:shd w:val="clear" w:color="auto" w:fill="B8CCE4" w:themeFill="accent1" w:themeFillTint="66"/>
          </w:tcPr>
          <w:p w14:paraId="5138019F" w14:textId="77777777" w:rsidR="002A66BB" w:rsidRPr="00AD5A27" w:rsidRDefault="002A66BB">
            <w:pPr>
              <w:pStyle w:val="TableText0"/>
            </w:pPr>
            <w:r w:rsidRPr="00AD5A27">
              <w:t>VISUAL II</w:t>
            </w:r>
          </w:p>
        </w:tc>
        <w:tc>
          <w:tcPr>
            <w:tcW w:w="388" w:type="pct"/>
            <w:shd w:val="clear" w:color="auto" w:fill="B8CCE4" w:themeFill="accent1" w:themeFillTint="66"/>
          </w:tcPr>
          <w:p w14:paraId="6CA31AEF" w14:textId="77777777" w:rsidR="002A66BB" w:rsidRPr="00AD5A27" w:rsidRDefault="002A66BB">
            <w:pPr>
              <w:pStyle w:val="TableText0"/>
              <w:jc w:val="center"/>
            </w:pPr>
            <w:r w:rsidRPr="00AD5A27">
              <w:t>226</w:t>
            </w:r>
          </w:p>
        </w:tc>
        <w:tc>
          <w:tcPr>
            <w:tcW w:w="876" w:type="pct"/>
            <w:shd w:val="clear" w:color="auto" w:fill="B8CCE4" w:themeFill="accent1" w:themeFillTint="66"/>
          </w:tcPr>
          <w:p w14:paraId="484D2B6D" w14:textId="77777777" w:rsidR="002A66BB" w:rsidRPr="00AD5A27" w:rsidRDefault="002A66BB">
            <w:pPr>
              <w:pStyle w:val="TableText0"/>
            </w:pPr>
            <w:r w:rsidRPr="00AD5A27">
              <w:t>ADA + BSC vs BSC R, M, DB</w:t>
            </w:r>
          </w:p>
          <w:p w14:paraId="5387BDF4" w14:textId="77777777" w:rsidR="002A66BB" w:rsidRPr="00AD5A27" w:rsidRDefault="002A66BB">
            <w:pPr>
              <w:pStyle w:val="TableText0"/>
            </w:pPr>
            <w:r w:rsidRPr="00AD5A27">
              <w:t>80 weeks</w:t>
            </w:r>
          </w:p>
        </w:tc>
        <w:tc>
          <w:tcPr>
            <w:tcW w:w="567" w:type="pct"/>
            <w:shd w:val="clear" w:color="auto" w:fill="B8CCE4" w:themeFill="accent1" w:themeFillTint="66"/>
          </w:tcPr>
          <w:p w14:paraId="198F0CD0" w14:textId="77777777" w:rsidR="002A66BB" w:rsidRPr="00AD5A27" w:rsidRDefault="002A66BB">
            <w:pPr>
              <w:pStyle w:val="TableText0"/>
            </w:pPr>
            <w:r w:rsidRPr="00AD5A27">
              <w:t>Low</w:t>
            </w:r>
          </w:p>
        </w:tc>
        <w:tc>
          <w:tcPr>
            <w:tcW w:w="773" w:type="pct"/>
            <w:shd w:val="clear" w:color="auto" w:fill="B8CCE4" w:themeFill="accent1" w:themeFillTint="66"/>
          </w:tcPr>
          <w:p w14:paraId="1FEB52DE" w14:textId="77777777" w:rsidR="002A66BB" w:rsidRPr="00AD5A27" w:rsidRDefault="002A66BB">
            <w:pPr>
              <w:pStyle w:val="TableText0"/>
            </w:pPr>
            <w:r w:rsidRPr="00AD5A27">
              <w:t xml:space="preserve">NIIPPU with inactive (controlled) disease </w:t>
            </w:r>
          </w:p>
        </w:tc>
        <w:tc>
          <w:tcPr>
            <w:tcW w:w="827" w:type="pct"/>
            <w:shd w:val="clear" w:color="auto" w:fill="B8CCE4" w:themeFill="accent1" w:themeFillTint="66"/>
          </w:tcPr>
          <w:p w14:paraId="21D6D72E" w14:textId="6DC43BB5" w:rsidR="002A66BB" w:rsidRPr="00AD5A27" w:rsidRDefault="007D0FBE">
            <w:pPr>
              <w:pStyle w:val="TableText0"/>
            </w:pPr>
            <w:r w:rsidRPr="00AD5A27">
              <w:t>As above</w:t>
            </w:r>
          </w:p>
        </w:tc>
        <w:tc>
          <w:tcPr>
            <w:tcW w:w="939" w:type="pct"/>
            <w:vMerge/>
            <w:vAlign w:val="center"/>
          </w:tcPr>
          <w:p w14:paraId="4A09D2F5" w14:textId="77777777" w:rsidR="002A66BB" w:rsidRPr="00AD5A27" w:rsidRDefault="002A66BB">
            <w:pPr>
              <w:pStyle w:val="TableText0"/>
              <w:jc w:val="center"/>
            </w:pPr>
          </w:p>
        </w:tc>
      </w:tr>
      <w:tr w:rsidR="002A66BB" w:rsidRPr="00AD5A27" w14:paraId="43501196" w14:textId="77777777" w:rsidTr="00B959BF">
        <w:trPr>
          <w:cantSplit/>
        </w:trPr>
        <w:tc>
          <w:tcPr>
            <w:tcW w:w="5000" w:type="pct"/>
            <w:gridSpan w:val="7"/>
            <w:shd w:val="clear" w:color="auto" w:fill="auto"/>
            <w:vAlign w:val="center"/>
          </w:tcPr>
          <w:p w14:paraId="662C0F33" w14:textId="77777777" w:rsidR="002A66BB" w:rsidRPr="00AD5A27" w:rsidRDefault="002A66BB">
            <w:pPr>
              <w:pStyle w:val="TableText0"/>
            </w:pPr>
            <w:r w:rsidRPr="00AD5A27">
              <w:t>Non-randomised studies (N=14)</w:t>
            </w:r>
          </w:p>
        </w:tc>
      </w:tr>
      <w:tr w:rsidR="002A66BB" w:rsidRPr="00AD5A27" w14:paraId="7BE94C77" w14:textId="77777777" w:rsidTr="00B959BF">
        <w:trPr>
          <w:cantSplit/>
        </w:trPr>
        <w:tc>
          <w:tcPr>
            <w:tcW w:w="630" w:type="pct"/>
            <w:shd w:val="clear" w:color="auto" w:fill="B8CCE4" w:themeFill="accent1" w:themeFillTint="66"/>
          </w:tcPr>
          <w:p w14:paraId="71BF7D35" w14:textId="77777777" w:rsidR="002A66BB" w:rsidRPr="00AD5A27" w:rsidRDefault="002A66BB">
            <w:pPr>
              <w:pStyle w:val="TableText0"/>
            </w:pPr>
            <w:r w:rsidRPr="00AD5A27">
              <w:t>VISUAL III</w:t>
            </w:r>
          </w:p>
        </w:tc>
        <w:tc>
          <w:tcPr>
            <w:tcW w:w="388" w:type="pct"/>
            <w:shd w:val="clear" w:color="auto" w:fill="B8CCE4" w:themeFill="accent1" w:themeFillTint="66"/>
          </w:tcPr>
          <w:p w14:paraId="5A3352AA" w14:textId="77777777" w:rsidR="002A66BB" w:rsidRPr="00AD5A27" w:rsidRDefault="002A66BB">
            <w:pPr>
              <w:pStyle w:val="TableText0"/>
              <w:jc w:val="center"/>
            </w:pPr>
            <w:r w:rsidRPr="00AD5A27">
              <w:t>424</w:t>
            </w:r>
          </w:p>
        </w:tc>
        <w:tc>
          <w:tcPr>
            <w:tcW w:w="876" w:type="pct"/>
            <w:shd w:val="clear" w:color="auto" w:fill="B8CCE4" w:themeFill="accent1" w:themeFillTint="66"/>
          </w:tcPr>
          <w:p w14:paraId="0BA1CEFB" w14:textId="5A211287" w:rsidR="002A66BB" w:rsidRPr="00AD5A27" w:rsidRDefault="002A66BB">
            <w:pPr>
              <w:pStyle w:val="TableText0"/>
            </w:pPr>
            <w:r w:rsidRPr="00AD5A27">
              <w:t>ADA</w:t>
            </w:r>
            <w:r w:rsidR="003E6BDC">
              <w:t xml:space="preserve">, </w:t>
            </w:r>
            <w:r w:rsidRPr="00AD5A27">
              <w:t>OL</w:t>
            </w:r>
          </w:p>
          <w:p w14:paraId="598E3CD6" w14:textId="77777777" w:rsidR="002A66BB" w:rsidRPr="00AD5A27" w:rsidRDefault="002A66BB">
            <w:pPr>
              <w:pStyle w:val="TableText0"/>
            </w:pPr>
            <w:r w:rsidRPr="00AD5A27">
              <w:t>78 weeks</w:t>
            </w:r>
          </w:p>
        </w:tc>
        <w:tc>
          <w:tcPr>
            <w:tcW w:w="567" w:type="pct"/>
            <w:shd w:val="clear" w:color="auto" w:fill="B8CCE4" w:themeFill="accent1" w:themeFillTint="66"/>
          </w:tcPr>
          <w:p w14:paraId="40C0CCC9" w14:textId="77777777" w:rsidR="002A66BB" w:rsidRPr="00AD5A27" w:rsidRDefault="002A66BB">
            <w:pPr>
              <w:pStyle w:val="TableText0"/>
            </w:pPr>
            <w:r w:rsidRPr="00AD5A27">
              <w:t>High</w:t>
            </w:r>
            <w:r w:rsidRPr="00AD5A27">
              <w:rPr>
                <w:vertAlign w:val="superscript"/>
              </w:rPr>
              <w:t>a</w:t>
            </w:r>
          </w:p>
        </w:tc>
        <w:tc>
          <w:tcPr>
            <w:tcW w:w="773" w:type="pct"/>
            <w:shd w:val="clear" w:color="auto" w:fill="B8CCE4" w:themeFill="accent1" w:themeFillTint="66"/>
          </w:tcPr>
          <w:p w14:paraId="3F7D1C34" w14:textId="77777777" w:rsidR="002A66BB" w:rsidRPr="00AD5A27" w:rsidRDefault="002A66BB">
            <w:pPr>
              <w:pStyle w:val="TableText0"/>
            </w:pPr>
            <w:r w:rsidRPr="00AD5A27">
              <w:t>NIIPPU with active (flaring) and inactive (controlled) disease from the VISUAL I and VISUAL II trials</w:t>
            </w:r>
          </w:p>
        </w:tc>
        <w:tc>
          <w:tcPr>
            <w:tcW w:w="827" w:type="pct"/>
            <w:shd w:val="clear" w:color="auto" w:fill="B8CCE4" w:themeFill="accent1" w:themeFillTint="66"/>
          </w:tcPr>
          <w:p w14:paraId="437D7565" w14:textId="13125802" w:rsidR="002A66BB" w:rsidRPr="00AD5A27" w:rsidRDefault="00D80813">
            <w:pPr>
              <w:pStyle w:val="TableText0"/>
            </w:pPr>
            <w:r w:rsidRPr="00AD5A27">
              <w:t xml:space="preserve">Primary: </w:t>
            </w:r>
            <w:r w:rsidR="009469DD" w:rsidRPr="00AD5A27">
              <w:t>Quiescence</w:t>
            </w:r>
            <w:r w:rsidR="009469DD" w:rsidRPr="00AD5A27">
              <w:rPr>
                <w:vertAlign w:val="superscript"/>
              </w:rPr>
              <w:t>e</w:t>
            </w:r>
            <w:r w:rsidR="008F5D41" w:rsidRPr="00AD5A27">
              <w:t xml:space="preserve">, </w:t>
            </w:r>
          </w:p>
          <w:p w14:paraId="2C5A4925" w14:textId="6A4A432E" w:rsidR="00D80813" w:rsidRPr="00AD5A27" w:rsidRDefault="00D80813">
            <w:pPr>
              <w:pStyle w:val="TableText0"/>
            </w:pPr>
            <w:r w:rsidRPr="00AD5A27">
              <w:t xml:space="preserve">Secondary: </w:t>
            </w:r>
            <w:r w:rsidR="008F5D41" w:rsidRPr="00AD5A27">
              <w:t>proportion of patients without a worsening of BCVA by ≥15 letters on the ETDRS in both eyes, percent change in CRT in each eye, change in VFQ-25 composite score,  Proportion of patients achieving a ≥50% reduction in immunosuppression loa</w:t>
            </w:r>
            <w:r w:rsidRPr="00AD5A27">
              <w:t>d.</w:t>
            </w:r>
          </w:p>
          <w:p w14:paraId="3DAFC0EC" w14:textId="42B89A07" w:rsidR="008F5D41" w:rsidRPr="00AD5A27" w:rsidRDefault="00D80813">
            <w:pPr>
              <w:pStyle w:val="TableText0"/>
            </w:pPr>
            <w:r w:rsidRPr="00AD5A27">
              <w:t>O</w:t>
            </w:r>
            <w:r w:rsidR="008F5D41" w:rsidRPr="00AD5A27">
              <w:t>ther</w:t>
            </w:r>
            <w:r w:rsidRPr="00AD5A27">
              <w:t xml:space="preserve">: </w:t>
            </w:r>
            <w:r w:rsidR="008F5D41" w:rsidRPr="00AD5A27">
              <w:t>WPAI-SHP, EQ-5D, HRU</w:t>
            </w:r>
          </w:p>
        </w:tc>
        <w:tc>
          <w:tcPr>
            <w:tcW w:w="939" w:type="pct"/>
            <w:shd w:val="clear" w:color="auto" w:fill="B8CCE4" w:themeFill="accent1" w:themeFillTint="66"/>
          </w:tcPr>
          <w:p w14:paraId="1A88E2E5" w14:textId="77777777" w:rsidR="002A66BB" w:rsidRPr="00AD5A27" w:rsidRDefault="002A66BB">
            <w:pPr>
              <w:pStyle w:val="TableText0"/>
            </w:pPr>
            <w:r w:rsidRPr="00AD5A27">
              <w:t>AE</w:t>
            </w:r>
          </w:p>
          <w:p w14:paraId="107537C5" w14:textId="77777777" w:rsidR="002A66BB" w:rsidRPr="00AD5A27" w:rsidRDefault="002A66BB">
            <w:pPr>
              <w:pStyle w:val="TableText0"/>
            </w:pPr>
            <w:r w:rsidRPr="00AD5A27">
              <w:t>(cost, discontinuations)</w:t>
            </w:r>
          </w:p>
        </w:tc>
      </w:tr>
      <w:tr w:rsidR="002A66BB" w:rsidRPr="00AD5A27" w14:paraId="318E16B6" w14:textId="77777777" w:rsidTr="00B959BF">
        <w:trPr>
          <w:cantSplit/>
        </w:trPr>
        <w:tc>
          <w:tcPr>
            <w:tcW w:w="630" w:type="pct"/>
            <w:shd w:val="clear" w:color="auto" w:fill="auto"/>
          </w:tcPr>
          <w:p w14:paraId="40277182" w14:textId="77777777" w:rsidR="002A66BB" w:rsidRPr="00AD5A27" w:rsidRDefault="002A66BB">
            <w:pPr>
              <w:pStyle w:val="TableText0"/>
            </w:pPr>
            <w:r w:rsidRPr="00AD5A27">
              <w:t>Eurelings et al. (2022)</w:t>
            </w:r>
          </w:p>
        </w:tc>
        <w:tc>
          <w:tcPr>
            <w:tcW w:w="388" w:type="pct"/>
            <w:shd w:val="clear" w:color="auto" w:fill="auto"/>
          </w:tcPr>
          <w:p w14:paraId="443A60DE" w14:textId="77777777" w:rsidR="002A66BB" w:rsidRPr="00AD5A27" w:rsidRDefault="002A66BB">
            <w:pPr>
              <w:pStyle w:val="TableText0"/>
            </w:pPr>
            <w:r w:rsidRPr="00AD5A27">
              <w:t>341</w:t>
            </w:r>
          </w:p>
        </w:tc>
        <w:tc>
          <w:tcPr>
            <w:tcW w:w="876" w:type="pct"/>
            <w:shd w:val="clear" w:color="auto" w:fill="auto"/>
          </w:tcPr>
          <w:p w14:paraId="0EA2F9EC" w14:textId="77777777" w:rsidR="002A66BB" w:rsidRPr="00AD5A27" w:rsidRDefault="002A66BB">
            <w:pPr>
              <w:pStyle w:val="TableText0"/>
            </w:pPr>
            <w:r w:rsidRPr="00AD5A27">
              <w:t>ADA</w:t>
            </w:r>
          </w:p>
          <w:p w14:paraId="1D5A7AF9" w14:textId="77777777" w:rsidR="002A66BB" w:rsidRPr="00AD5A27" w:rsidRDefault="002A66BB">
            <w:pPr>
              <w:pStyle w:val="TableText0"/>
            </w:pPr>
            <w:r w:rsidRPr="00AD5A27">
              <w:t>RT, MC,</w:t>
            </w:r>
          </w:p>
          <w:p w14:paraId="332C6AB0" w14:textId="77777777" w:rsidR="002A66BB" w:rsidRPr="00AD5A27" w:rsidRDefault="002A66BB">
            <w:pPr>
              <w:pStyle w:val="TableText0"/>
            </w:pPr>
            <w:r w:rsidRPr="00AD5A27">
              <w:t>4.9 yrs (median)</w:t>
            </w:r>
          </w:p>
        </w:tc>
        <w:tc>
          <w:tcPr>
            <w:tcW w:w="567" w:type="pct"/>
            <w:vMerge w:val="restart"/>
            <w:shd w:val="clear" w:color="auto" w:fill="auto"/>
          </w:tcPr>
          <w:p w14:paraId="4A05BFAC" w14:textId="77777777" w:rsidR="002A66BB" w:rsidRPr="00AD5A27" w:rsidRDefault="002A66BB">
            <w:pPr>
              <w:pStyle w:val="TableText0"/>
            </w:pPr>
            <w:r w:rsidRPr="00AD5A27">
              <w:t>High</w:t>
            </w:r>
            <w:r w:rsidRPr="00AD5A27">
              <w:rPr>
                <w:vertAlign w:val="superscript"/>
              </w:rPr>
              <w:t>a</w:t>
            </w:r>
          </w:p>
        </w:tc>
        <w:tc>
          <w:tcPr>
            <w:tcW w:w="773" w:type="pct"/>
            <w:shd w:val="clear" w:color="auto" w:fill="auto"/>
          </w:tcPr>
          <w:p w14:paraId="59970C3D" w14:textId="77777777" w:rsidR="002A66BB" w:rsidRPr="00AD5A27" w:rsidRDefault="002A66BB">
            <w:pPr>
              <w:pStyle w:val="TableText0"/>
            </w:pPr>
            <w:r w:rsidRPr="00AD5A27">
              <w:t>Active/controlled NIIPPAU</w:t>
            </w:r>
          </w:p>
        </w:tc>
        <w:tc>
          <w:tcPr>
            <w:tcW w:w="827" w:type="pct"/>
            <w:shd w:val="clear" w:color="auto" w:fill="auto"/>
          </w:tcPr>
          <w:p w14:paraId="12BD6970" w14:textId="77777777" w:rsidR="002A66BB" w:rsidRPr="00AD5A27" w:rsidRDefault="002A66BB">
            <w:pPr>
              <w:pStyle w:val="TableText0"/>
            </w:pPr>
            <w:r w:rsidRPr="00AD5A27">
              <w:t xml:space="preserve">ADA effectiveness (controlled disease/remission) </w:t>
            </w:r>
          </w:p>
        </w:tc>
        <w:tc>
          <w:tcPr>
            <w:tcW w:w="939" w:type="pct"/>
            <w:shd w:val="clear" w:color="auto" w:fill="auto"/>
          </w:tcPr>
          <w:p w14:paraId="0782A909" w14:textId="77777777" w:rsidR="002A66BB" w:rsidRPr="00AD5A27" w:rsidRDefault="002A66BB">
            <w:pPr>
              <w:pStyle w:val="TableText0"/>
            </w:pPr>
            <w:r w:rsidRPr="00AD5A27">
              <w:t>0.85</w:t>
            </w:r>
          </w:p>
          <w:p w14:paraId="3A9B6C5A" w14:textId="77777777" w:rsidR="002A66BB" w:rsidRPr="00AD5A27" w:rsidRDefault="002A66BB">
            <w:pPr>
              <w:pStyle w:val="TableText0"/>
              <w:rPr>
                <w:vertAlign w:val="superscript"/>
              </w:rPr>
            </w:pPr>
            <w:r w:rsidRPr="00AD5A27">
              <w:t>Discontinuations</w:t>
            </w:r>
            <w:r w:rsidRPr="00AD5A27">
              <w:rPr>
                <w:vertAlign w:val="superscript"/>
              </w:rPr>
              <w:t xml:space="preserve"> </w:t>
            </w:r>
          </w:p>
          <w:p w14:paraId="7798875E" w14:textId="77777777" w:rsidR="002A66BB" w:rsidRPr="00AD5A27" w:rsidRDefault="002A66BB">
            <w:pPr>
              <w:pStyle w:val="TableText0"/>
            </w:pPr>
            <w:r w:rsidRPr="00AD5A27">
              <w:t>(AE/AnDA)</w:t>
            </w:r>
          </w:p>
        </w:tc>
      </w:tr>
      <w:tr w:rsidR="002A66BB" w:rsidRPr="00AD5A27" w14:paraId="6EB7BF09" w14:textId="77777777" w:rsidTr="00B959BF">
        <w:trPr>
          <w:cantSplit/>
        </w:trPr>
        <w:tc>
          <w:tcPr>
            <w:tcW w:w="630" w:type="pct"/>
            <w:shd w:val="clear" w:color="auto" w:fill="auto"/>
          </w:tcPr>
          <w:p w14:paraId="330A1DCF" w14:textId="77777777" w:rsidR="002A66BB" w:rsidRPr="00AD5A27" w:rsidRDefault="002A66BB">
            <w:pPr>
              <w:pStyle w:val="TableText0"/>
            </w:pPr>
            <w:r w:rsidRPr="00AD5A27">
              <w:t>Fabiani et al. (2018)</w:t>
            </w:r>
          </w:p>
        </w:tc>
        <w:tc>
          <w:tcPr>
            <w:tcW w:w="388" w:type="pct"/>
            <w:shd w:val="clear" w:color="auto" w:fill="auto"/>
          </w:tcPr>
          <w:p w14:paraId="262651F0" w14:textId="77777777" w:rsidR="002A66BB" w:rsidRPr="00AD5A27" w:rsidRDefault="002A66BB">
            <w:pPr>
              <w:pStyle w:val="TableText0"/>
            </w:pPr>
            <w:r w:rsidRPr="00AD5A27">
              <w:t>107</w:t>
            </w:r>
          </w:p>
          <w:p w14:paraId="27221F75" w14:textId="77777777" w:rsidR="002A66BB" w:rsidRPr="00AD5A27" w:rsidRDefault="002A66BB">
            <w:pPr>
              <w:pStyle w:val="TableText0"/>
            </w:pPr>
            <w:r w:rsidRPr="00AD5A27">
              <w:t>(N=41 IFX; N=66 ADA)</w:t>
            </w:r>
          </w:p>
        </w:tc>
        <w:tc>
          <w:tcPr>
            <w:tcW w:w="876" w:type="pct"/>
            <w:shd w:val="clear" w:color="auto" w:fill="auto"/>
          </w:tcPr>
          <w:p w14:paraId="631D98FA" w14:textId="77777777" w:rsidR="002A66BB" w:rsidRPr="00AD5A27" w:rsidRDefault="002A66BB">
            <w:pPr>
              <w:pStyle w:val="TableText0"/>
            </w:pPr>
            <w:r w:rsidRPr="00AD5A27">
              <w:t>ADA vs IFX</w:t>
            </w:r>
          </w:p>
          <w:p w14:paraId="0182A7FC" w14:textId="77777777" w:rsidR="002A66BB" w:rsidRPr="00AD5A27" w:rsidRDefault="002A66BB">
            <w:pPr>
              <w:pStyle w:val="TableText0"/>
            </w:pPr>
            <w:r w:rsidRPr="00AD5A27">
              <w:t>RT, MC</w:t>
            </w:r>
          </w:p>
          <w:p w14:paraId="0C731703" w14:textId="77777777" w:rsidR="002A66BB" w:rsidRPr="00AD5A27" w:rsidRDefault="002A66BB">
            <w:pPr>
              <w:pStyle w:val="TableText0"/>
            </w:pPr>
            <w:r w:rsidRPr="00AD5A27">
              <w:t>ADA: 26.45 mths (mean)</w:t>
            </w:r>
          </w:p>
          <w:p w14:paraId="364684DD" w14:textId="77777777" w:rsidR="002A66BB" w:rsidRPr="00AD5A27" w:rsidRDefault="002A66BB">
            <w:pPr>
              <w:pStyle w:val="TableText0"/>
            </w:pPr>
            <w:r w:rsidRPr="00AD5A27">
              <w:t>IFX: 56.60 mths (mean)</w:t>
            </w:r>
          </w:p>
        </w:tc>
        <w:tc>
          <w:tcPr>
            <w:tcW w:w="567" w:type="pct"/>
            <w:vMerge/>
            <w:vAlign w:val="center"/>
          </w:tcPr>
          <w:p w14:paraId="4A63EF29" w14:textId="77777777" w:rsidR="002A66BB" w:rsidRPr="00AD5A27" w:rsidRDefault="002A66BB">
            <w:pPr>
              <w:pStyle w:val="TableText0"/>
              <w:jc w:val="center"/>
            </w:pPr>
          </w:p>
        </w:tc>
        <w:tc>
          <w:tcPr>
            <w:tcW w:w="773" w:type="pct"/>
            <w:shd w:val="clear" w:color="auto" w:fill="auto"/>
          </w:tcPr>
          <w:p w14:paraId="76DAC405" w14:textId="77777777" w:rsidR="002A66BB" w:rsidRPr="00AD5A27" w:rsidRDefault="002A66BB">
            <w:pPr>
              <w:pStyle w:val="TableText0"/>
            </w:pPr>
            <w:r w:rsidRPr="00AD5A27">
              <w:t>Active NIIPPU + systemic disease</w:t>
            </w:r>
          </w:p>
        </w:tc>
        <w:tc>
          <w:tcPr>
            <w:tcW w:w="827" w:type="pct"/>
            <w:shd w:val="clear" w:color="auto" w:fill="auto"/>
          </w:tcPr>
          <w:p w14:paraId="419EE2A3" w14:textId="77777777" w:rsidR="002A66BB" w:rsidRPr="00AD5A27" w:rsidRDefault="002A66BB">
            <w:pPr>
              <w:pStyle w:val="TableText0"/>
            </w:pPr>
            <w:r w:rsidRPr="00AD5A27">
              <w:t>Decrease uveitis relapse</w:t>
            </w:r>
          </w:p>
        </w:tc>
        <w:tc>
          <w:tcPr>
            <w:tcW w:w="939" w:type="pct"/>
            <w:shd w:val="clear" w:color="auto" w:fill="auto"/>
          </w:tcPr>
          <w:p w14:paraId="07695392" w14:textId="77777777" w:rsidR="002A66BB" w:rsidRPr="00AD5A27" w:rsidRDefault="002A66BB">
            <w:pPr>
              <w:pStyle w:val="TableText0"/>
            </w:pPr>
            <w:r w:rsidRPr="00AD5A27">
              <w:t xml:space="preserve">Not used </w:t>
            </w:r>
          </w:p>
        </w:tc>
      </w:tr>
      <w:tr w:rsidR="002A66BB" w:rsidRPr="00AD5A27" w14:paraId="2A27BD11" w14:textId="77777777" w:rsidTr="00B959BF">
        <w:trPr>
          <w:cantSplit/>
        </w:trPr>
        <w:tc>
          <w:tcPr>
            <w:tcW w:w="630" w:type="pct"/>
            <w:shd w:val="clear" w:color="auto" w:fill="auto"/>
          </w:tcPr>
          <w:p w14:paraId="1A28A28D" w14:textId="77777777" w:rsidR="002A66BB" w:rsidRPr="00AD5A27" w:rsidRDefault="002A66BB">
            <w:pPr>
              <w:pStyle w:val="TableText0"/>
            </w:pPr>
            <w:r w:rsidRPr="00AD5A27">
              <w:t>Lee et al. (2018)</w:t>
            </w:r>
          </w:p>
        </w:tc>
        <w:tc>
          <w:tcPr>
            <w:tcW w:w="388" w:type="pct"/>
            <w:shd w:val="clear" w:color="auto" w:fill="auto"/>
          </w:tcPr>
          <w:p w14:paraId="23F0AC74" w14:textId="77777777" w:rsidR="002A66BB" w:rsidRPr="00AD5A27" w:rsidRDefault="002A66BB">
            <w:pPr>
              <w:pStyle w:val="TableText0"/>
            </w:pPr>
            <w:r w:rsidRPr="00AD5A27">
              <w:t>22</w:t>
            </w:r>
          </w:p>
        </w:tc>
        <w:tc>
          <w:tcPr>
            <w:tcW w:w="876" w:type="pct"/>
            <w:shd w:val="clear" w:color="auto" w:fill="auto"/>
          </w:tcPr>
          <w:p w14:paraId="63149E94" w14:textId="77777777" w:rsidR="002A66BB" w:rsidRPr="00AD5A27" w:rsidRDefault="002A66BB">
            <w:pPr>
              <w:pStyle w:val="TableText0"/>
            </w:pPr>
            <w:r w:rsidRPr="00AD5A27">
              <w:t>ADA</w:t>
            </w:r>
          </w:p>
          <w:p w14:paraId="291475B3" w14:textId="77777777" w:rsidR="002A66BB" w:rsidRPr="00AD5A27" w:rsidRDefault="002A66BB">
            <w:pPr>
              <w:pStyle w:val="TableText0"/>
            </w:pPr>
            <w:r w:rsidRPr="00AD5A27">
              <w:t xml:space="preserve">RT, MC </w:t>
            </w:r>
          </w:p>
          <w:p w14:paraId="10F41704" w14:textId="77777777" w:rsidR="002A66BB" w:rsidRPr="00AD5A27" w:rsidRDefault="002A66BB">
            <w:pPr>
              <w:pStyle w:val="TableText0"/>
            </w:pPr>
            <w:r w:rsidRPr="00AD5A27">
              <w:t>20.1 mths (mean)</w:t>
            </w:r>
          </w:p>
        </w:tc>
        <w:tc>
          <w:tcPr>
            <w:tcW w:w="567" w:type="pct"/>
            <w:vMerge/>
            <w:vAlign w:val="center"/>
          </w:tcPr>
          <w:p w14:paraId="7F23B6C3" w14:textId="77777777" w:rsidR="002A66BB" w:rsidRPr="00AD5A27" w:rsidRDefault="002A66BB">
            <w:pPr>
              <w:pStyle w:val="TableText0"/>
              <w:jc w:val="center"/>
            </w:pPr>
          </w:p>
        </w:tc>
        <w:tc>
          <w:tcPr>
            <w:tcW w:w="773" w:type="pct"/>
            <w:shd w:val="clear" w:color="auto" w:fill="auto"/>
          </w:tcPr>
          <w:p w14:paraId="18274D87" w14:textId="77777777" w:rsidR="002A66BB" w:rsidRPr="00AD5A27" w:rsidRDefault="002A66BB">
            <w:pPr>
              <w:pStyle w:val="TableText0"/>
            </w:pPr>
            <w:r w:rsidRPr="00AD5A27">
              <w:t xml:space="preserve">Active/controlled NIIPPAU </w:t>
            </w:r>
          </w:p>
        </w:tc>
        <w:tc>
          <w:tcPr>
            <w:tcW w:w="827" w:type="pct"/>
            <w:shd w:val="clear" w:color="auto" w:fill="auto"/>
          </w:tcPr>
          <w:p w14:paraId="36D60318" w14:textId="77777777" w:rsidR="002A66BB" w:rsidRPr="00AD5A27" w:rsidRDefault="002A66BB">
            <w:pPr>
              <w:pStyle w:val="TableText0"/>
            </w:pPr>
            <w:r w:rsidRPr="00AD5A27">
              <w:t xml:space="preserve">Decrease corticosteroid dose </w:t>
            </w:r>
          </w:p>
        </w:tc>
        <w:tc>
          <w:tcPr>
            <w:tcW w:w="939" w:type="pct"/>
            <w:shd w:val="clear" w:color="auto" w:fill="auto"/>
          </w:tcPr>
          <w:p w14:paraId="4B417B65" w14:textId="77777777" w:rsidR="002A66BB" w:rsidRPr="00AD5A27" w:rsidRDefault="002A66BB">
            <w:pPr>
              <w:pStyle w:val="TableText0"/>
            </w:pPr>
            <w:r w:rsidRPr="00AD5A27">
              <w:t xml:space="preserve">Not used </w:t>
            </w:r>
          </w:p>
        </w:tc>
      </w:tr>
      <w:tr w:rsidR="002A66BB" w:rsidRPr="00AD5A27" w14:paraId="7CD05BF5" w14:textId="77777777" w:rsidTr="00B959BF">
        <w:trPr>
          <w:cantSplit/>
        </w:trPr>
        <w:tc>
          <w:tcPr>
            <w:tcW w:w="630" w:type="pct"/>
            <w:shd w:val="clear" w:color="auto" w:fill="auto"/>
          </w:tcPr>
          <w:p w14:paraId="518CF3D1" w14:textId="77777777" w:rsidR="002A66BB" w:rsidRPr="00AD5A27" w:rsidRDefault="002A66BB">
            <w:pPr>
              <w:pStyle w:val="TableText0"/>
            </w:pPr>
            <w:r w:rsidRPr="00AD5A27">
              <w:t>Llorenc et al. (2019)</w:t>
            </w:r>
          </w:p>
        </w:tc>
        <w:tc>
          <w:tcPr>
            <w:tcW w:w="388" w:type="pct"/>
            <w:shd w:val="clear" w:color="auto" w:fill="auto"/>
          </w:tcPr>
          <w:p w14:paraId="27726D12" w14:textId="77777777" w:rsidR="002A66BB" w:rsidRPr="00AD5A27" w:rsidRDefault="002A66BB">
            <w:pPr>
              <w:pStyle w:val="TableText0"/>
            </w:pPr>
            <w:r w:rsidRPr="00AD5A27">
              <w:t>392</w:t>
            </w:r>
          </w:p>
        </w:tc>
        <w:tc>
          <w:tcPr>
            <w:tcW w:w="876" w:type="pct"/>
            <w:shd w:val="clear" w:color="auto" w:fill="auto"/>
          </w:tcPr>
          <w:p w14:paraId="6BCF24B4" w14:textId="77777777" w:rsidR="002A66BB" w:rsidRPr="00AD5A27" w:rsidRDefault="002A66BB">
            <w:pPr>
              <w:pStyle w:val="TableText0"/>
            </w:pPr>
            <w:r w:rsidRPr="00AD5A27">
              <w:t>ADA</w:t>
            </w:r>
          </w:p>
          <w:p w14:paraId="04BFED14" w14:textId="77777777" w:rsidR="002A66BB" w:rsidRPr="00AD5A27" w:rsidRDefault="002A66BB">
            <w:pPr>
              <w:pStyle w:val="TableText0"/>
            </w:pPr>
            <w:r w:rsidRPr="00AD5A27">
              <w:t xml:space="preserve">RT/Prospective, MC </w:t>
            </w:r>
          </w:p>
          <w:p w14:paraId="51F6CA18" w14:textId="77777777" w:rsidR="002A66BB" w:rsidRPr="00AD5A27" w:rsidRDefault="002A66BB">
            <w:pPr>
              <w:pStyle w:val="TableText0"/>
            </w:pPr>
            <w:r w:rsidRPr="00AD5A27">
              <w:t>49.07 mths (median)</w:t>
            </w:r>
          </w:p>
        </w:tc>
        <w:tc>
          <w:tcPr>
            <w:tcW w:w="567" w:type="pct"/>
            <w:vMerge/>
            <w:vAlign w:val="center"/>
          </w:tcPr>
          <w:p w14:paraId="03B3CC8B" w14:textId="77777777" w:rsidR="002A66BB" w:rsidRPr="00AD5A27" w:rsidRDefault="002A66BB">
            <w:pPr>
              <w:pStyle w:val="TableText0"/>
              <w:jc w:val="center"/>
            </w:pPr>
          </w:p>
        </w:tc>
        <w:tc>
          <w:tcPr>
            <w:tcW w:w="773" w:type="pct"/>
            <w:shd w:val="clear" w:color="auto" w:fill="auto"/>
          </w:tcPr>
          <w:p w14:paraId="23BAB176" w14:textId="77777777" w:rsidR="002A66BB" w:rsidRPr="00AD5A27" w:rsidRDefault="002A66BB">
            <w:pPr>
              <w:pStyle w:val="TableText0"/>
            </w:pPr>
            <w:r w:rsidRPr="00AD5A27">
              <w:t>Active/Controlled NIIPPAU</w:t>
            </w:r>
          </w:p>
        </w:tc>
        <w:tc>
          <w:tcPr>
            <w:tcW w:w="827" w:type="pct"/>
            <w:shd w:val="clear" w:color="auto" w:fill="auto"/>
          </w:tcPr>
          <w:p w14:paraId="4C36C1DA" w14:textId="77777777" w:rsidR="002A66BB" w:rsidRPr="00AD5A27" w:rsidRDefault="002A66BB">
            <w:pPr>
              <w:pStyle w:val="TableText0"/>
            </w:pPr>
            <w:r w:rsidRPr="00AD5A27">
              <w:t>Drug retention rate</w:t>
            </w:r>
          </w:p>
        </w:tc>
        <w:tc>
          <w:tcPr>
            <w:tcW w:w="939" w:type="pct"/>
            <w:shd w:val="clear" w:color="auto" w:fill="auto"/>
          </w:tcPr>
          <w:p w14:paraId="6BB794B2" w14:textId="77777777" w:rsidR="002A66BB" w:rsidRPr="00AD5A27" w:rsidRDefault="002A66BB">
            <w:pPr>
              <w:pStyle w:val="TableText0"/>
            </w:pPr>
            <w:r w:rsidRPr="00AD5A27">
              <w:t xml:space="preserve">Not used </w:t>
            </w:r>
          </w:p>
        </w:tc>
      </w:tr>
      <w:tr w:rsidR="002A66BB" w:rsidRPr="00AD5A27" w14:paraId="1B272D75" w14:textId="77777777" w:rsidTr="00B959BF">
        <w:trPr>
          <w:cantSplit/>
        </w:trPr>
        <w:tc>
          <w:tcPr>
            <w:tcW w:w="630" w:type="pct"/>
            <w:shd w:val="clear" w:color="auto" w:fill="auto"/>
          </w:tcPr>
          <w:p w14:paraId="6064CA67" w14:textId="77777777" w:rsidR="002A66BB" w:rsidRPr="00AD5A27" w:rsidRDefault="002A66BB">
            <w:pPr>
              <w:pStyle w:val="TableText0"/>
            </w:pPr>
            <w:r w:rsidRPr="00AD5A27">
              <w:t>Maalouf et al. (2022)</w:t>
            </w:r>
          </w:p>
        </w:tc>
        <w:tc>
          <w:tcPr>
            <w:tcW w:w="388" w:type="pct"/>
            <w:shd w:val="clear" w:color="auto" w:fill="auto"/>
          </w:tcPr>
          <w:p w14:paraId="15B5A9C3" w14:textId="77777777" w:rsidR="002A66BB" w:rsidRPr="00AD5A27" w:rsidRDefault="002A66BB">
            <w:pPr>
              <w:pStyle w:val="TableText0"/>
            </w:pPr>
            <w:r w:rsidRPr="00AD5A27">
              <w:t>330</w:t>
            </w:r>
          </w:p>
          <w:p w14:paraId="753E573B" w14:textId="77777777" w:rsidR="002A66BB" w:rsidRPr="00AD5A27" w:rsidRDefault="002A66BB">
            <w:pPr>
              <w:pStyle w:val="TableText0"/>
            </w:pPr>
            <w:r w:rsidRPr="00AD5A27">
              <w:t>(N=163 IFX; N=167 ADA)</w:t>
            </w:r>
          </w:p>
        </w:tc>
        <w:tc>
          <w:tcPr>
            <w:tcW w:w="876" w:type="pct"/>
            <w:shd w:val="clear" w:color="auto" w:fill="auto"/>
          </w:tcPr>
          <w:p w14:paraId="73A577E1" w14:textId="77777777" w:rsidR="002A66BB" w:rsidRPr="00AD5A27" w:rsidRDefault="002A66BB">
            <w:pPr>
              <w:pStyle w:val="TableText0"/>
            </w:pPr>
            <w:r w:rsidRPr="00AD5A27">
              <w:t>ADA vs IFX</w:t>
            </w:r>
          </w:p>
          <w:p w14:paraId="2DF4DFE9" w14:textId="77777777" w:rsidR="002A66BB" w:rsidRPr="00AD5A27" w:rsidRDefault="002A66BB">
            <w:pPr>
              <w:pStyle w:val="TableText0"/>
            </w:pPr>
            <w:r w:rsidRPr="00AD5A27">
              <w:t xml:space="preserve">RT, MC, </w:t>
            </w:r>
          </w:p>
          <w:p w14:paraId="263EBA26" w14:textId="77777777" w:rsidR="002A66BB" w:rsidRPr="00AD5A27" w:rsidRDefault="002A66BB">
            <w:pPr>
              <w:pStyle w:val="TableText0"/>
            </w:pPr>
            <w:r w:rsidRPr="00AD5A27">
              <w:t>74.50 mths (median)</w:t>
            </w:r>
          </w:p>
        </w:tc>
        <w:tc>
          <w:tcPr>
            <w:tcW w:w="567" w:type="pct"/>
            <w:vMerge/>
            <w:vAlign w:val="center"/>
          </w:tcPr>
          <w:p w14:paraId="4F7808BD" w14:textId="77777777" w:rsidR="002A66BB" w:rsidRPr="00AD5A27" w:rsidRDefault="002A66BB">
            <w:pPr>
              <w:pStyle w:val="TableText0"/>
              <w:jc w:val="center"/>
            </w:pPr>
          </w:p>
        </w:tc>
        <w:tc>
          <w:tcPr>
            <w:tcW w:w="773" w:type="pct"/>
            <w:shd w:val="clear" w:color="auto" w:fill="auto"/>
          </w:tcPr>
          <w:p w14:paraId="4AF418B2" w14:textId="77777777" w:rsidR="002A66BB" w:rsidRPr="00AD5A27" w:rsidRDefault="002A66BB">
            <w:pPr>
              <w:pStyle w:val="TableText0"/>
              <w:rPr>
                <w:vertAlign w:val="superscript"/>
              </w:rPr>
            </w:pPr>
            <w:r w:rsidRPr="00AD5A27">
              <w:t>Active NIIPPAU</w:t>
            </w:r>
            <w:r w:rsidRPr="00AD5A27">
              <w:rPr>
                <w:vertAlign w:val="superscript"/>
              </w:rPr>
              <w:t>c</w:t>
            </w:r>
          </w:p>
        </w:tc>
        <w:tc>
          <w:tcPr>
            <w:tcW w:w="827" w:type="pct"/>
            <w:shd w:val="clear" w:color="auto" w:fill="auto"/>
          </w:tcPr>
          <w:p w14:paraId="11643CEF" w14:textId="77777777" w:rsidR="002A66BB" w:rsidRPr="00AD5A27" w:rsidRDefault="002A66BB">
            <w:pPr>
              <w:pStyle w:val="TableText0"/>
            </w:pPr>
            <w:r w:rsidRPr="00AD5A27">
              <w:t>Relapse rate with ADA and IFX</w:t>
            </w:r>
          </w:p>
        </w:tc>
        <w:tc>
          <w:tcPr>
            <w:tcW w:w="939" w:type="pct"/>
            <w:shd w:val="clear" w:color="auto" w:fill="auto"/>
          </w:tcPr>
          <w:p w14:paraId="4D824F40" w14:textId="77777777" w:rsidR="002A66BB" w:rsidRPr="00AD5A27" w:rsidRDefault="002A66BB">
            <w:pPr>
              <w:pStyle w:val="TableText0"/>
            </w:pPr>
            <w:r w:rsidRPr="00AD5A27">
              <w:t>Not used</w:t>
            </w:r>
          </w:p>
        </w:tc>
      </w:tr>
      <w:tr w:rsidR="002A66BB" w:rsidRPr="00AD5A27" w14:paraId="339A8A9C" w14:textId="77777777" w:rsidTr="00B959BF">
        <w:trPr>
          <w:cantSplit/>
        </w:trPr>
        <w:tc>
          <w:tcPr>
            <w:tcW w:w="630" w:type="pct"/>
            <w:shd w:val="clear" w:color="auto" w:fill="auto"/>
          </w:tcPr>
          <w:p w14:paraId="4907A7DD" w14:textId="77777777" w:rsidR="002A66BB" w:rsidRPr="00AD5A27" w:rsidRDefault="002A66BB">
            <w:pPr>
              <w:pStyle w:val="TableText0"/>
            </w:pPr>
            <w:r w:rsidRPr="00AD5A27">
              <w:t>Moll-Udina et al. (2020)</w:t>
            </w:r>
          </w:p>
        </w:tc>
        <w:tc>
          <w:tcPr>
            <w:tcW w:w="388" w:type="pct"/>
            <w:shd w:val="clear" w:color="auto" w:fill="auto"/>
          </w:tcPr>
          <w:p w14:paraId="45BF9244" w14:textId="77777777" w:rsidR="002A66BB" w:rsidRPr="00AD5A27" w:rsidRDefault="002A66BB">
            <w:pPr>
              <w:pStyle w:val="TableText0"/>
            </w:pPr>
            <w:r w:rsidRPr="00AD5A27">
              <w:t>41</w:t>
            </w:r>
          </w:p>
        </w:tc>
        <w:tc>
          <w:tcPr>
            <w:tcW w:w="876" w:type="pct"/>
            <w:shd w:val="clear" w:color="auto" w:fill="auto"/>
          </w:tcPr>
          <w:p w14:paraId="615B1165" w14:textId="77777777" w:rsidR="002A66BB" w:rsidRPr="00AD5A27" w:rsidRDefault="002A66BB">
            <w:pPr>
              <w:pStyle w:val="TableText0"/>
            </w:pPr>
            <w:r w:rsidRPr="00AD5A27">
              <w:t>ADA</w:t>
            </w:r>
          </w:p>
          <w:p w14:paraId="7DB72F99" w14:textId="77777777" w:rsidR="002A66BB" w:rsidRPr="00AD5A27" w:rsidRDefault="002A66BB">
            <w:pPr>
              <w:pStyle w:val="TableText0"/>
            </w:pPr>
            <w:r w:rsidRPr="00AD5A27">
              <w:t xml:space="preserve">RT, MC, </w:t>
            </w:r>
          </w:p>
          <w:p w14:paraId="77A9ED9A" w14:textId="77777777" w:rsidR="002A66BB" w:rsidRPr="00AD5A27" w:rsidRDefault="002A66BB">
            <w:pPr>
              <w:pStyle w:val="TableText0"/>
            </w:pPr>
            <w:r w:rsidRPr="00AD5A27">
              <w:t xml:space="preserve">156 mths </w:t>
            </w:r>
          </w:p>
        </w:tc>
        <w:tc>
          <w:tcPr>
            <w:tcW w:w="567" w:type="pct"/>
            <w:vMerge/>
            <w:vAlign w:val="center"/>
          </w:tcPr>
          <w:p w14:paraId="4D0D11E0" w14:textId="77777777" w:rsidR="002A66BB" w:rsidRPr="00AD5A27" w:rsidRDefault="002A66BB">
            <w:pPr>
              <w:pStyle w:val="TableText0"/>
              <w:jc w:val="center"/>
            </w:pPr>
          </w:p>
        </w:tc>
        <w:tc>
          <w:tcPr>
            <w:tcW w:w="773" w:type="pct"/>
            <w:shd w:val="clear" w:color="auto" w:fill="auto"/>
          </w:tcPr>
          <w:p w14:paraId="09738BA1" w14:textId="77777777" w:rsidR="002A66BB" w:rsidRPr="00AD5A27" w:rsidRDefault="002A66BB">
            <w:pPr>
              <w:pStyle w:val="TableText0"/>
            </w:pPr>
            <w:r w:rsidRPr="00AD5A27">
              <w:t>Elderly cohort (≥60 yrs) with NIIPPAU</w:t>
            </w:r>
            <w:r w:rsidRPr="00AD5A27">
              <w:rPr>
                <w:vertAlign w:val="superscript"/>
              </w:rPr>
              <w:t>d</w:t>
            </w:r>
          </w:p>
        </w:tc>
        <w:tc>
          <w:tcPr>
            <w:tcW w:w="827" w:type="pct"/>
            <w:shd w:val="clear" w:color="auto" w:fill="auto"/>
          </w:tcPr>
          <w:p w14:paraId="30C05D61" w14:textId="77777777" w:rsidR="002A66BB" w:rsidRPr="00AD5A27" w:rsidRDefault="002A66BB">
            <w:pPr>
              <w:pStyle w:val="TableText0"/>
            </w:pPr>
            <w:r w:rsidRPr="00AD5A27">
              <w:t xml:space="preserve">Changes in BCVA, inflammatory activity parameters, CRT </w:t>
            </w:r>
          </w:p>
        </w:tc>
        <w:tc>
          <w:tcPr>
            <w:tcW w:w="939" w:type="pct"/>
            <w:shd w:val="clear" w:color="auto" w:fill="auto"/>
          </w:tcPr>
          <w:p w14:paraId="5ECB2D6D" w14:textId="77777777" w:rsidR="002A66BB" w:rsidRPr="00AD5A27" w:rsidRDefault="002A66BB">
            <w:pPr>
              <w:pStyle w:val="TableText0"/>
            </w:pPr>
            <w:r w:rsidRPr="00AD5A27">
              <w:t xml:space="preserve">Not used </w:t>
            </w:r>
          </w:p>
        </w:tc>
      </w:tr>
      <w:tr w:rsidR="002A66BB" w:rsidRPr="00AD5A27" w14:paraId="43CB8D57" w14:textId="77777777" w:rsidTr="00B959BF">
        <w:trPr>
          <w:cantSplit/>
        </w:trPr>
        <w:tc>
          <w:tcPr>
            <w:tcW w:w="630" w:type="pct"/>
            <w:shd w:val="clear" w:color="auto" w:fill="auto"/>
          </w:tcPr>
          <w:p w14:paraId="4AC45E9C" w14:textId="77777777" w:rsidR="002A66BB" w:rsidRPr="00AD5A27" w:rsidRDefault="002A66BB">
            <w:pPr>
              <w:pStyle w:val="TableText0"/>
            </w:pPr>
            <w:r w:rsidRPr="00AD5A27">
              <w:lastRenderedPageBreak/>
              <w:t>Park et al. (2020)</w:t>
            </w:r>
          </w:p>
        </w:tc>
        <w:tc>
          <w:tcPr>
            <w:tcW w:w="388" w:type="pct"/>
            <w:shd w:val="clear" w:color="auto" w:fill="auto"/>
          </w:tcPr>
          <w:p w14:paraId="6A6E5BA3" w14:textId="77777777" w:rsidR="002A66BB" w:rsidRPr="00AD5A27" w:rsidRDefault="002A66BB">
            <w:pPr>
              <w:pStyle w:val="TableText0"/>
            </w:pPr>
            <w:r w:rsidRPr="00AD5A27">
              <w:t>14</w:t>
            </w:r>
          </w:p>
        </w:tc>
        <w:tc>
          <w:tcPr>
            <w:tcW w:w="876" w:type="pct"/>
            <w:shd w:val="clear" w:color="auto" w:fill="auto"/>
          </w:tcPr>
          <w:p w14:paraId="26BE7BAB" w14:textId="77777777" w:rsidR="002A66BB" w:rsidRPr="00AD5A27" w:rsidRDefault="002A66BB">
            <w:pPr>
              <w:pStyle w:val="TableText0"/>
            </w:pPr>
            <w:r w:rsidRPr="00AD5A27">
              <w:t>ADA</w:t>
            </w:r>
          </w:p>
          <w:p w14:paraId="749B27D5" w14:textId="77777777" w:rsidR="002A66BB" w:rsidRPr="00AD5A27" w:rsidRDefault="002A66BB">
            <w:pPr>
              <w:pStyle w:val="TableText0"/>
            </w:pPr>
            <w:r w:rsidRPr="00AD5A27">
              <w:t>RT, SC,</w:t>
            </w:r>
          </w:p>
          <w:p w14:paraId="7F5418FA" w14:textId="77777777" w:rsidR="002A66BB" w:rsidRPr="00AD5A27" w:rsidRDefault="002A66BB">
            <w:pPr>
              <w:pStyle w:val="TableText0"/>
            </w:pPr>
            <w:r w:rsidRPr="00AD5A27">
              <w:t>22.3 mths (median)</w:t>
            </w:r>
          </w:p>
        </w:tc>
        <w:tc>
          <w:tcPr>
            <w:tcW w:w="567" w:type="pct"/>
            <w:vMerge/>
            <w:vAlign w:val="center"/>
          </w:tcPr>
          <w:p w14:paraId="584F1FBC" w14:textId="77777777" w:rsidR="002A66BB" w:rsidRPr="00AD5A27" w:rsidRDefault="002A66BB">
            <w:pPr>
              <w:pStyle w:val="TableText0"/>
              <w:jc w:val="center"/>
            </w:pPr>
          </w:p>
        </w:tc>
        <w:tc>
          <w:tcPr>
            <w:tcW w:w="773" w:type="pct"/>
            <w:shd w:val="clear" w:color="auto" w:fill="auto"/>
          </w:tcPr>
          <w:p w14:paraId="6E81654E" w14:textId="77777777" w:rsidR="002A66BB" w:rsidRPr="00AD5A27" w:rsidRDefault="002A66BB">
            <w:pPr>
              <w:pStyle w:val="TableText0"/>
            </w:pPr>
            <w:r w:rsidRPr="00AD5A27">
              <w:t>Active/refractory NIIPPU</w:t>
            </w:r>
          </w:p>
        </w:tc>
        <w:tc>
          <w:tcPr>
            <w:tcW w:w="827" w:type="pct"/>
            <w:shd w:val="clear" w:color="auto" w:fill="auto"/>
          </w:tcPr>
          <w:p w14:paraId="751864C2" w14:textId="77777777" w:rsidR="002A66BB" w:rsidRPr="00AD5A27" w:rsidRDefault="002A66BB">
            <w:pPr>
              <w:pStyle w:val="TableText0"/>
            </w:pPr>
            <w:r w:rsidRPr="00AD5A27">
              <w:t>Changes in VA, ACC, VH, CMT</w:t>
            </w:r>
          </w:p>
        </w:tc>
        <w:tc>
          <w:tcPr>
            <w:tcW w:w="939" w:type="pct"/>
            <w:shd w:val="clear" w:color="auto" w:fill="auto"/>
          </w:tcPr>
          <w:p w14:paraId="43DE5765" w14:textId="77777777" w:rsidR="002A66BB" w:rsidRPr="00AD5A27" w:rsidRDefault="002A66BB">
            <w:pPr>
              <w:pStyle w:val="TableText0"/>
            </w:pPr>
            <w:r w:rsidRPr="00AD5A27">
              <w:t xml:space="preserve">Not used </w:t>
            </w:r>
          </w:p>
        </w:tc>
      </w:tr>
      <w:tr w:rsidR="002A66BB" w:rsidRPr="00AD5A27" w14:paraId="362DBE2C" w14:textId="77777777" w:rsidTr="00B959BF">
        <w:trPr>
          <w:cantSplit/>
        </w:trPr>
        <w:tc>
          <w:tcPr>
            <w:tcW w:w="630" w:type="pct"/>
            <w:shd w:val="clear" w:color="auto" w:fill="auto"/>
          </w:tcPr>
          <w:p w14:paraId="72FA1FAA" w14:textId="77777777" w:rsidR="002A66BB" w:rsidRPr="00AD5A27" w:rsidRDefault="002A66BB">
            <w:pPr>
              <w:pStyle w:val="TableText0"/>
            </w:pPr>
            <w:r w:rsidRPr="00AD5A27">
              <w:t>Pirani et al. (2019)</w:t>
            </w:r>
          </w:p>
        </w:tc>
        <w:tc>
          <w:tcPr>
            <w:tcW w:w="388" w:type="pct"/>
            <w:shd w:val="clear" w:color="auto" w:fill="auto"/>
          </w:tcPr>
          <w:p w14:paraId="009DAD87" w14:textId="77777777" w:rsidR="002A66BB" w:rsidRPr="00AD5A27" w:rsidRDefault="002A66BB">
            <w:pPr>
              <w:pStyle w:val="TableText0"/>
            </w:pPr>
            <w:r w:rsidRPr="00AD5A27">
              <w:t>18</w:t>
            </w:r>
          </w:p>
        </w:tc>
        <w:tc>
          <w:tcPr>
            <w:tcW w:w="876" w:type="pct"/>
            <w:shd w:val="clear" w:color="auto" w:fill="auto"/>
          </w:tcPr>
          <w:p w14:paraId="3C16D5C1" w14:textId="77777777" w:rsidR="002A66BB" w:rsidRPr="00AD5A27" w:rsidRDefault="002A66BB">
            <w:pPr>
              <w:pStyle w:val="TableText0"/>
            </w:pPr>
            <w:r w:rsidRPr="00AD5A27">
              <w:t>ADA</w:t>
            </w:r>
          </w:p>
          <w:p w14:paraId="5313326B" w14:textId="77777777" w:rsidR="002A66BB" w:rsidRPr="00AD5A27" w:rsidRDefault="002A66BB">
            <w:pPr>
              <w:pStyle w:val="TableText0"/>
            </w:pPr>
            <w:r w:rsidRPr="00AD5A27">
              <w:t xml:space="preserve">RT, SC, </w:t>
            </w:r>
          </w:p>
          <w:p w14:paraId="228207FE" w14:textId="77777777" w:rsidR="002A66BB" w:rsidRPr="00AD5A27" w:rsidRDefault="002A66BB">
            <w:pPr>
              <w:pStyle w:val="TableText0"/>
            </w:pPr>
            <w:r w:rsidRPr="00AD5A27">
              <w:t>22±8 mths (median)</w:t>
            </w:r>
          </w:p>
        </w:tc>
        <w:tc>
          <w:tcPr>
            <w:tcW w:w="567" w:type="pct"/>
            <w:vMerge/>
            <w:vAlign w:val="center"/>
          </w:tcPr>
          <w:p w14:paraId="71795BEF" w14:textId="77777777" w:rsidR="002A66BB" w:rsidRPr="00AD5A27" w:rsidRDefault="002A66BB">
            <w:pPr>
              <w:pStyle w:val="TableText0"/>
              <w:jc w:val="center"/>
            </w:pPr>
          </w:p>
        </w:tc>
        <w:tc>
          <w:tcPr>
            <w:tcW w:w="773" w:type="pct"/>
            <w:shd w:val="clear" w:color="auto" w:fill="auto"/>
          </w:tcPr>
          <w:p w14:paraId="57C8D6A9" w14:textId="77777777" w:rsidR="002A66BB" w:rsidRPr="00AD5A27" w:rsidRDefault="002A66BB">
            <w:pPr>
              <w:pStyle w:val="TableText0"/>
            </w:pPr>
            <w:r w:rsidRPr="00AD5A27">
              <w:t>Active chronic NIIPPU</w:t>
            </w:r>
          </w:p>
        </w:tc>
        <w:tc>
          <w:tcPr>
            <w:tcW w:w="827" w:type="pct"/>
            <w:shd w:val="clear" w:color="auto" w:fill="auto"/>
          </w:tcPr>
          <w:p w14:paraId="4EDFEE88" w14:textId="77777777" w:rsidR="002A66BB" w:rsidRPr="00AD5A27" w:rsidRDefault="002A66BB">
            <w:pPr>
              <w:pStyle w:val="TableText0"/>
            </w:pPr>
            <w:r w:rsidRPr="00AD5A27">
              <w:t>Control of ocular inflammation</w:t>
            </w:r>
          </w:p>
        </w:tc>
        <w:tc>
          <w:tcPr>
            <w:tcW w:w="939" w:type="pct"/>
            <w:shd w:val="clear" w:color="auto" w:fill="auto"/>
          </w:tcPr>
          <w:p w14:paraId="7FCEA8C6" w14:textId="77777777" w:rsidR="002A66BB" w:rsidRPr="00AD5A27" w:rsidRDefault="002A66BB">
            <w:pPr>
              <w:pStyle w:val="TableText0"/>
            </w:pPr>
            <w:r w:rsidRPr="00AD5A27">
              <w:t xml:space="preserve">Not used </w:t>
            </w:r>
          </w:p>
        </w:tc>
      </w:tr>
      <w:tr w:rsidR="002A66BB" w:rsidRPr="00AD5A27" w14:paraId="0F0FB6FC" w14:textId="77777777" w:rsidTr="00B959BF">
        <w:trPr>
          <w:cantSplit/>
        </w:trPr>
        <w:tc>
          <w:tcPr>
            <w:tcW w:w="630" w:type="pct"/>
            <w:shd w:val="clear" w:color="auto" w:fill="auto"/>
          </w:tcPr>
          <w:p w14:paraId="13E57CC6" w14:textId="77777777" w:rsidR="002A66BB" w:rsidRPr="00AD5A27" w:rsidRDefault="002A66BB">
            <w:pPr>
              <w:pStyle w:val="TableText0"/>
            </w:pPr>
            <w:r w:rsidRPr="00AD5A27">
              <w:t>Pleyer et al. (2022)</w:t>
            </w:r>
          </w:p>
        </w:tc>
        <w:tc>
          <w:tcPr>
            <w:tcW w:w="388" w:type="pct"/>
            <w:shd w:val="clear" w:color="auto" w:fill="auto"/>
          </w:tcPr>
          <w:p w14:paraId="65F062C9" w14:textId="77777777" w:rsidR="002A66BB" w:rsidRPr="00AD5A27" w:rsidRDefault="002A66BB">
            <w:pPr>
              <w:pStyle w:val="TableText0"/>
            </w:pPr>
            <w:r w:rsidRPr="00AD5A27">
              <w:t>149</w:t>
            </w:r>
          </w:p>
        </w:tc>
        <w:tc>
          <w:tcPr>
            <w:tcW w:w="876" w:type="pct"/>
            <w:shd w:val="clear" w:color="auto" w:fill="auto"/>
          </w:tcPr>
          <w:p w14:paraId="520AB553" w14:textId="77777777" w:rsidR="002A66BB" w:rsidRPr="00AD5A27" w:rsidRDefault="002A66BB">
            <w:pPr>
              <w:pStyle w:val="TableText0"/>
            </w:pPr>
            <w:r w:rsidRPr="00AD5A27">
              <w:t>ADA</w:t>
            </w:r>
          </w:p>
          <w:p w14:paraId="7FDB181A" w14:textId="77777777" w:rsidR="002A66BB" w:rsidRPr="00AD5A27" w:rsidRDefault="002A66BB">
            <w:pPr>
              <w:pStyle w:val="TableText0"/>
            </w:pPr>
            <w:r w:rsidRPr="00AD5A27">
              <w:t>Prospective/RT, SC, 12 mths (median)</w:t>
            </w:r>
          </w:p>
        </w:tc>
        <w:tc>
          <w:tcPr>
            <w:tcW w:w="567" w:type="pct"/>
            <w:vMerge/>
            <w:vAlign w:val="center"/>
          </w:tcPr>
          <w:p w14:paraId="13388D51" w14:textId="77777777" w:rsidR="002A66BB" w:rsidRPr="00AD5A27" w:rsidRDefault="002A66BB">
            <w:pPr>
              <w:pStyle w:val="TableText0"/>
              <w:jc w:val="center"/>
            </w:pPr>
          </w:p>
        </w:tc>
        <w:tc>
          <w:tcPr>
            <w:tcW w:w="773" w:type="pct"/>
            <w:shd w:val="clear" w:color="auto" w:fill="auto"/>
          </w:tcPr>
          <w:p w14:paraId="7B92173E" w14:textId="77777777" w:rsidR="002A66BB" w:rsidRPr="00AD5A27" w:rsidRDefault="002A66BB">
            <w:pPr>
              <w:pStyle w:val="TableText0"/>
            </w:pPr>
            <w:r w:rsidRPr="00AD5A27">
              <w:t>Active NIIPPU</w:t>
            </w:r>
          </w:p>
        </w:tc>
        <w:tc>
          <w:tcPr>
            <w:tcW w:w="827" w:type="pct"/>
            <w:shd w:val="clear" w:color="auto" w:fill="auto"/>
          </w:tcPr>
          <w:p w14:paraId="2E9295EB" w14:textId="77777777" w:rsidR="002A66BB" w:rsidRPr="00AD5A27" w:rsidRDefault="002A66BB">
            <w:pPr>
              <w:pStyle w:val="TableText0"/>
            </w:pPr>
            <w:r w:rsidRPr="00AD5A27">
              <w:t>Quiescence</w:t>
            </w:r>
          </w:p>
        </w:tc>
        <w:tc>
          <w:tcPr>
            <w:tcW w:w="939" w:type="pct"/>
            <w:shd w:val="clear" w:color="auto" w:fill="auto"/>
          </w:tcPr>
          <w:p w14:paraId="488E1D88" w14:textId="77777777" w:rsidR="002A66BB" w:rsidRPr="00AD5A27" w:rsidRDefault="002A66BB">
            <w:pPr>
              <w:pStyle w:val="TableText0"/>
            </w:pPr>
            <w:r w:rsidRPr="00AD5A27">
              <w:t>Not used</w:t>
            </w:r>
          </w:p>
        </w:tc>
      </w:tr>
      <w:tr w:rsidR="002A66BB" w:rsidRPr="00AD5A27" w14:paraId="731C70BB" w14:textId="77777777" w:rsidTr="00B959BF">
        <w:trPr>
          <w:cantSplit/>
        </w:trPr>
        <w:tc>
          <w:tcPr>
            <w:tcW w:w="630" w:type="pct"/>
            <w:shd w:val="clear" w:color="auto" w:fill="auto"/>
          </w:tcPr>
          <w:p w14:paraId="68EBAD72" w14:textId="77777777" w:rsidR="002A66BB" w:rsidRPr="00AD5A27" w:rsidRDefault="002A66BB">
            <w:pPr>
              <w:pStyle w:val="TableText0"/>
            </w:pPr>
            <w:r w:rsidRPr="00AD5A27">
              <w:t>Vallet et al. (2016)</w:t>
            </w:r>
          </w:p>
        </w:tc>
        <w:tc>
          <w:tcPr>
            <w:tcW w:w="388" w:type="pct"/>
            <w:shd w:val="clear" w:color="auto" w:fill="auto"/>
          </w:tcPr>
          <w:p w14:paraId="3469EEB1" w14:textId="77777777" w:rsidR="002A66BB" w:rsidRPr="00AD5A27" w:rsidRDefault="002A66BB">
            <w:pPr>
              <w:pStyle w:val="TableText0"/>
            </w:pPr>
            <w:r w:rsidRPr="00AD5A27">
              <w:t>160</w:t>
            </w:r>
          </w:p>
          <w:p w14:paraId="5EF6D4F0" w14:textId="77777777" w:rsidR="002A66BB" w:rsidRPr="00AD5A27" w:rsidRDefault="002A66BB">
            <w:pPr>
              <w:pStyle w:val="TableText0"/>
            </w:pPr>
            <w:r w:rsidRPr="00AD5A27">
              <w:t>(N=98 IFX vs. N=62 ADA)</w:t>
            </w:r>
          </w:p>
        </w:tc>
        <w:tc>
          <w:tcPr>
            <w:tcW w:w="876" w:type="pct"/>
            <w:shd w:val="clear" w:color="auto" w:fill="auto"/>
          </w:tcPr>
          <w:p w14:paraId="3E53F6D2" w14:textId="77777777" w:rsidR="002A66BB" w:rsidRPr="00AD5A27" w:rsidRDefault="002A66BB">
            <w:pPr>
              <w:pStyle w:val="TableText0"/>
            </w:pPr>
            <w:r w:rsidRPr="00AD5A27">
              <w:t>ADA vs IFX</w:t>
            </w:r>
          </w:p>
          <w:p w14:paraId="3630A4E4" w14:textId="77777777" w:rsidR="002A66BB" w:rsidRPr="00AD5A27" w:rsidRDefault="002A66BB">
            <w:pPr>
              <w:pStyle w:val="TableText0"/>
            </w:pPr>
            <w:r w:rsidRPr="00AD5A27">
              <w:t xml:space="preserve">RT, MC, </w:t>
            </w:r>
          </w:p>
          <w:p w14:paraId="03328710" w14:textId="77777777" w:rsidR="002A66BB" w:rsidRPr="00AD5A27" w:rsidRDefault="002A66BB">
            <w:pPr>
              <w:pStyle w:val="TableText0"/>
            </w:pPr>
            <w:r w:rsidRPr="00AD5A27">
              <w:t>36 mths (median)</w:t>
            </w:r>
          </w:p>
        </w:tc>
        <w:tc>
          <w:tcPr>
            <w:tcW w:w="567" w:type="pct"/>
            <w:vMerge/>
            <w:vAlign w:val="center"/>
          </w:tcPr>
          <w:p w14:paraId="4474282F" w14:textId="77777777" w:rsidR="002A66BB" w:rsidRPr="00AD5A27" w:rsidRDefault="002A66BB">
            <w:pPr>
              <w:pStyle w:val="TableText0"/>
              <w:jc w:val="center"/>
            </w:pPr>
          </w:p>
        </w:tc>
        <w:tc>
          <w:tcPr>
            <w:tcW w:w="773" w:type="pct"/>
            <w:shd w:val="clear" w:color="auto" w:fill="auto"/>
          </w:tcPr>
          <w:p w14:paraId="373675D5" w14:textId="77777777" w:rsidR="002A66BB" w:rsidRPr="00AD5A27" w:rsidRDefault="002A66BB">
            <w:pPr>
              <w:pStyle w:val="TableText0"/>
            </w:pPr>
            <w:r w:rsidRPr="00AD5A27">
              <w:t>Active refractory    NIIPPAU</w:t>
            </w:r>
          </w:p>
        </w:tc>
        <w:tc>
          <w:tcPr>
            <w:tcW w:w="827" w:type="pct"/>
            <w:shd w:val="clear" w:color="auto" w:fill="auto"/>
          </w:tcPr>
          <w:p w14:paraId="3F53464B" w14:textId="77777777" w:rsidR="002A66BB" w:rsidRPr="00AD5A27" w:rsidRDefault="002A66BB">
            <w:pPr>
              <w:pStyle w:val="TableText0"/>
            </w:pPr>
            <w:r w:rsidRPr="00AD5A27">
              <w:t xml:space="preserve">Treatment response </w:t>
            </w:r>
          </w:p>
        </w:tc>
        <w:tc>
          <w:tcPr>
            <w:tcW w:w="939" w:type="pct"/>
            <w:shd w:val="clear" w:color="auto" w:fill="auto"/>
          </w:tcPr>
          <w:p w14:paraId="78BC83E2" w14:textId="77777777" w:rsidR="002A66BB" w:rsidRPr="00AD5A27" w:rsidRDefault="002A66BB">
            <w:pPr>
              <w:pStyle w:val="TableText0"/>
            </w:pPr>
            <w:r w:rsidRPr="00AD5A27">
              <w:t xml:space="preserve">Not used </w:t>
            </w:r>
          </w:p>
        </w:tc>
      </w:tr>
      <w:tr w:rsidR="002A66BB" w:rsidRPr="00AD5A27" w14:paraId="2CBA3118" w14:textId="77777777" w:rsidTr="00B959BF">
        <w:trPr>
          <w:cantSplit/>
        </w:trPr>
        <w:tc>
          <w:tcPr>
            <w:tcW w:w="630" w:type="pct"/>
            <w:shd w:val="clear" w:color="auto" w:fill="auto"/>
          </w:tcPr>
          <w:p w14:paraId="251DAB0C" w14:textId="77777777" w:rsidR="002A66BB" w:rsidRPr="00AD5A27" w:rsidRDefault="002A66BB">
            <w:pPr>
              <w:pStyle w:val="TableText0"/>
            </w:pPr>
            <w:r w:rsidRPr="00AD5A27">
              <w:t>NCT02916017</w:t>
            </w:r>
          </w:p>
        </w:tc>
        <w:tc>
          <w:tcPr>
            <w:tcW w:w="388" w:type="pct"/>
            <w:shd w:val="clear" w:color="auto" w:fill="auto"/>
          </w:tcPr>
          <w:p w14:paraId="7E37C199" w14:textId="77777777" w:rsidR="002A66BB" w:rsidRPr="00AD5A27" w:rsidRDefault="002A66BB">
            <w:pPr>
              <w:pStyle w:val="TableText0"/>
            </w:pPr>
            <w:r w:rsidRPr="00AD5A27">
              <w:t>259</w:t>
            </w:r>
          </w:p>
        </w:tc>
        <w:tc>
          <w:tcPr>
            <w:tcW w:w="876" w:type="pct"/>
            <w:shd w:val="clear" w:color="auto" w:fill="auto"/>
          </w:tcPr>
          <w:p w14:paraId="3C0B0D68" w14:textId="77777777" w:rsidR="002A66BB" w:rsidRPr="00AD5A27" w:rsidRDefault="002A66BB">
            <w:pPr>
              <w:pStyle w:val="TableText0"/>
            </w:pPr>
            <w:r w:rsidRPr="00AD5A27">
              <w:t>ADA</w:t>
            </w:r>
          </w:p>
          <w:p w14:paraId="0F0E2E51" w14:textId="77777777" w:rsidR="002A66BB" w:rsidRPr="00AD5A27" w:rsidRDefault="002A66BB">
            <w:pPr>
              <w:pStyle w:val="TableText0"/>
            </w:pPr>
            <w:r w:rsidRPr="00AD5A27">
              <w:t>Prospective</w:t>
            </w:r>
          </w:p>
        </w:tc>
        <w:tc>
          <w:tcPr>
            <w:tcW w:w="567" w:type="pct"/>
            <w:vMerge/>
            <w:vAlign w:val="center"/>
          </w:tcPr>
          <w:p w14:paraId="2E13A39B" w14:textId="77777777" w:rsidR="002A66BB" w:rsidRPr="00AD5A27" w:rsidRDefault="002A66BB">
            <w:pPr>
              <w:pStyle w:val="TableText0"/>
              <w:jc w:val="center"/>
            </w:pPr>
          </w:p>
        </w:tc>
        <w:tc>
          <w:tcPr>
            <w:tcW w:w="773" w:type="pct"/>
            <w:shd w:val="clear" w:color="auto" w:fill="auto"/>
          </w:tcPr>
          <w:p w14:paraId="42784467" w14:textId="77777777" w:rsidR="002A66BB" w:rsidRPr="00AD5A27" w:rsidRDefault="002A66BB">
            <w:pPr>
              <w:pStyle w:val="TableText0"/>
              <w:rPr>
                <w:vertAlign w:val="superscript"/>
              </w:rPr>
            </w:pPr>
            <w:r w:rsidRPr="00AD5A27">
              <w:t>NIIPPU</w:t>
            </w:r>
            <w:r w:rsidRPr="00AD5A27">
              <w:rPr>
                <w:vertAlign w:val="superscript"/>
              </w:rPr>
              <w:t>d</w:t>
            </w:r>
          </w:p>
        </w:tc>
        <w:tc>
          <w:tcPr>
            <w:tcW w:w="827" w:type="pct"/>
            <w:shd w:val="clear" w:color="auto" w:fill="auto"/>
          </w:tcPr>
          <w:p w14:paraId="1AE50E1E" w14:textId="77777777" w:rsidR="002A66BB" w:rsidRPr="00AD5A27" w:rsidRDefault="002A66BB">
            <w:pPr>
              <w:pStyle w:val="TableText0"/>
            </w:pPr>
            <w:r w:rsidRPr="00AD5A27">
              <w:t>ADR</w:t>
            </w:r>
          </w:p>
        </w:tc>
        <w:tc>
          <w:tcPr>
            <w:tcW w:w="939" w:type="pct"/>
            <w:shd w:val="clear" w:color="auto" w:fill="auto"/>
          </w:tcPr>
          <w:p w14:paraId="605B618C" w14:textId="77777777" w:rsidR="002A66BB" w:rsidRPr="00AD5A27" w:rsidRDefault="002A66BB">
            <w:pPr>
              <w:pStyle w:val="TableText0"/>
            </w:pPr>
            <w:r w:rsidRPr="00AD5A27">
              <w:t>Not used</w:t>
            </w:r>
          </w:p>
        </w:tc>
      </w:tr>
      <w:tr w:rsidR="002A66BB" w:rsidRPr="00AD5A27" w14:paraId="216DA684" w14:textId="77777777" w:rsidTr="00B959BF">
        <w:trPr>
          <w:cantSplit/>
        </w:trPr>
        <w:tc>
          <w:tcPr>
            <w:tcW w:w="630" w:type="pct"/>
            <w:shd w:val="clear" w:color="auto" w:fill="auto"/>
          </w:tcPr>
          <w:p w14:paraId="7DFA3B82" w14:textId="77777777" w:rsidR="002A66BB" w:rsidRPr="00AD5A27" w:rsidRDefault="002A66BB">
            <w:pPr>
              <w:pStyle w:val="TableText0"/>
            </w:pPr>
            <w:r w:rsidRPr="00AD5A27">
              <w:t>NCT03339102</w:t>
            </w:r>
          </w:p>
        </w:tc>
        <w:tc>
          <w:tcPr>
            <w:tcW w:w="388" w:type="pct"/>
            <w:shd w:val="clear" w:color="auto" w:fill="auto"/>
          </w:tcPr>
          <w:p w14:paraId="03C9E99C" w14:textId="77777777" w:rsidR="002A66BB" w:rsidRPr="00AD5A27" w:rsidRDefault="002A66BB">
            <w:pPr>
              <w:pStyle w:val="TableText0"/>
            </w:pPr>
            <w:r w:rsidRPr="00AD5A27">
              <w:t>158</w:t>
            </w:r>
          </w:p>
        </w:tc>
        <w:tc>
          <w:tcPr>
            <w:tcW w:w="876" w:type="pct"/>
            <w:shd w:val="clear" w:color="auto" w:fill="auto"/>
          </w:tcPr>
          <w:p w14:paraId="7413B10D" w14:textId="77777777" w:rsidR="002A66BB" w:rsidRPr="00AD5A27" w:rsidRDefault="002A66BB">
            <w:pPr>
              <w:pStyle w:val="TableText0"/>
            </w:pPr>
            <w:r w:rsidRPr="00AD5A27">
              <w:t>ADA</w:t>
            </w:r>
          </w:p>
          <w:p w14:paraId="327C4672" w14:textId="77777777" w:rsidR="002A66BB" w:rsidRPr="00AD5A27" w:rsidRDefault="002A66BB">
            <w:pPr>
              <w:pStyle w:val="TableText0"/>
            </w:pPr>
            <w:r w:rsidRPr="00AD5A27">
              <w:t>Prospective</w:t>
            </w:r>
          </w:p>
        </w:tc>
        <w:tc>
          <w:tcPr>
            <w:tcW w:w="567" w:type="pct"/>
            <w:vMerge/>
            <w:vAlign w:val="center"/>
          </w:tcPr>
          <w:p w14:paraId="64A74DAB" w14:textId="77777777" w:rsidR="002A66BB" w:rsidRPr="00AD5A27" w:rsidRDefault="002A66BB">
            <w:pPr>
              <w:pStyle w:val="TableText0"/>
              <w:jc w:val="center"/>
            </w:pPr>
          </w:p>
        </w:tc>
        <w:tc>
          <w:tcPr>
            <w:tcW w:w="773" w:type="pct"/>
            <w:shd w:val="clear" w:color="auto" w:fill="auto"/>
          </w:tcPr>
          <w:p w14:paraId="015B7330" w14:textId="77777777" w:rsidR="002A66BB" w:rsidRPr="00AD5A27" w:rsidRDefault="002A66BB">
            <w:pPr>
              <w:pStyle w:val="TableText0"/>
              <w:rPr>
                <w:vertAlign w:val="superscript"/>
              </w:rPr>
            </w:pPr>
            <w:r w:rsidRPr="00AD5A27">
              <w:t>NIIPPU</w:t>
            </w:r>
            <w:r w:rsidRPr="00AD5A27">
              <w:rPr>
                <w:vertAlign w:val="superscript"/>
              </w:rPr>
              <w:t>d</w:t>
            </w:r>
          </w:p>
        </w:tc>
        <w:tc>
          <w:tcPr>
            <w:tcW w:w="827" w:type="pct"/>
            <w:shd w:val="clear" w:color="auto" w:fill="auto"/>
          </w:tcPr>
          <w:p w14:paraId="2C5EB8A7" w14:textId="77777777" w:rsidR="002A66BB" w:rsidRPr="00AD5A27" w:rsidRDefault="002A66BB">
            <w:pPr>
              <w:pStyle w:val="TableText0"/>
            </w:pPr>
            <w:r w:rsidRPr="00AD5A27">
              <w:t>PMR</w:t>
            </w:r>
          </w:p>
        </w:tc>
        <w:tc>
          <w:tcPr>
            <w:tcW w:w="939" w:type="pct"/>
            <w:shd w:val="clear" w:color="auto" w:fill="auto"/>
          </w:tcPr>
          <w:p w14:paraId="48DEABB2" w14:textId="77777777" w:rsidR="002A66BB" w:rsidRPr="00AD5A27" w:rsidRDefault="002A66BB">
            <w:pPr>
              <w:pStyle w:val="TableText0"/>
            </w:pPr>
            <w:r w:rsidRPr="00AD5A27">
              <w:t>Not used</w:t>
            </w:r>
          </w:p>
        </w:tc>
      </w:tr>
      <w:tr w:rsidR="002A66BB" w:rsidRPr="00AD5A27" w14:paraId="0570B792" w14:textId="77777777" w:rsidTr="00B959BF">
        <w:trPr>
          <w:cantSplit/>
        </w:trPr>
        <w:tc>
          <w:tcPr>
            <w:tcW w:w="630" w:type="pct"/>
            <w:shd w:val="clear" w:color="auto" w:fill="auto"/>
          </w:tcPr>
          <w:p w14:paraId="0699E5D5" w14:textId="77777777" w:rsidR="002A66BB" w:rsidRPr="00AD5A27" w:rsidRDefault="002A66BB">
            <w:pPr>
              <w:pStyle w:val="TableText0"/>
            </w:pPr>
            <w:r w:rsidRPr="00AD5A27">
              <w:t>Say et al. (2021)</w:t>
            </w:r>
          </w:p>
        </w:tc>
        <w:tc>
          <w:tcPr>
            <w:tcW w:w="388" w:type="pct"/>
            <w:shd w:val="clear" w:color="auto" w:fill="auto"/>
          </w:tcPr>
          <w:p w14:paraId="5912C19E" w14:textId="77777777" w:rsidR="002A66BB" w:rsidRPr="00AD5A27" w:rsidRDefault="002A66BB">
            <w:pPr>
              <w:pStyle w:val="TableText0"/>
            </w:pPr>
            <w:r w:rsidRPr="00AD5A27">
              <w:t>46</w:t>
            </w:r>
          </w:p>
        </w:tc>
        <w:tc>
          <w:tcPr>
            <w:tcW w:w="876" w:type="pct"/>
            <w:shd w:val="clear" w:color="auto" w:fill="auto"/>
          </w:tcPr>
          <w:p w14:paraId="3F9AAECD" w14:textId="77777777" w:rsidR="002A66BB" w:rsidRPr="00AD5A27" w:rsidRDefault="002A66BB">
            <w:pPr>
              <w:pStyle w:val="TableText0"/>
            </w:pPr>
            <w:r w:rsidRPr="00AD5A27">
              <w:t>ADA</w:t>
            </w:r>
          </w:p>
          <w:p w14:paraId="2C30D799" w14:textId="77777777" w:rsidR="002A66BB" w:rsidRPr="00AD5A27" w:rsidRDefault="002A66BB">
            <w:pPr>
              <w:pStyle w:val="TableText0"/>
            </w:pPr>
            <w:r w:rsidRPr="00AD5A27">
              <w:t>RT</w:t>
            </w:r>
          </w:p>
          <w:p w14:paraId="68CBDC5A" w14:textId="77777777" w:rsidR="002A66BB" w:rsidRPr="00AD5A27" w:rsidRDefault="002A66BB">
            <w:pPr>
              <w:pStyle w:val="TableText0"/>
            </w:pPr>
            <w:r w:rsidRPr="00AD5A27">
              <w:t>4.40 (median)</w:t>
            </w:r>
          </w:p>
        </w:tc>
        <w:tc>
          <w:tcPr>
            <w:tcW w:w="567" w:type="pct"/>
            <w:vMerge/>
            <w:vAlign w:val="center"/>
          </w:tcPr>
          <w:p w14:paraId="6FD14561" w14:textId="77777777" w:rsidR="002A66BB" w:rsidRPr="00AD5A27" w:rsidRDefault="002A66BB">
            <w:pPr>
              <w:pStyle w:val="TableText0"/>
              <w:jc w:val="center"/>
            </w:pPr>
          </w:p>
        </w:tc>
        <w:tc>
          <w:tcPr>
            <w:tcW w:w="773" w:type="pct"/>
            <w:shd w:val="clear" w:color="auto" w:fill="auto"/>
          </w:tcPr>
          <w:p w14:paraId="4A5F8E87" w14:textId="77777777" w:rsidR="002A66BB" w:rsidRPr="00AD5A27" w:rsidRDefault="002A66BB">
            <w:pPr>
              <w:pStyle w:val="TableText0"/>
            </w:pPr>
            <w:r w:rsidRPr="00AD5A27">
              <w:t xml:space="preserve">Active NIIPPAU </w:t>
            </w:r>
          </w:p>
        </w:tc>
        <w:tc>
          <w:tcPr>
            <w:tcW w:w="827" w:type="pct"/>
            <w:shd w:val="clear" w:color="auto" w:fill="auto"/>
          </w:tcPr>
          <w:p w14:paraId="4EEBA749" w14:textId="77777777" w:rsidR="002A66BB" w:rsidRPr="00AD5A27" w:rsidRDefault="002A66BB">
            <w:pPr>
              <w:pStyle w:val="TableText0"/>
            </w:pPr>
            <w:r w:rsidRPr="00AD5A27">
              <w:t xml:space="preserve">Corticosteroid reduction </w:t>
            </w:r>
          </w:p>
        </w:tc>
        <w:tc>
          <w:tcPr>
            <w:tcW w:w="939" w:type="pct"/>
            <w:shd w:val="clear" w:color="auto" w:fill="auto"/>
          </w:tcPr>
          <w:p w14:paraId="417D77FB" w14:textId="77777777" w:rsidR="002A66BB" w:rsidRPr="00AD5A27" w:rsidRDefault="002A66BB">
            <w:pPr>
              <w:pStyle w:val="TableText0"/>
            </w:pPr>
            <w:r w:rsidRPr="00AD5A27">
              <w:t>Not used</w:t>
            </w:r>
          </w:p>
        </w:tc>
      </w:tr>
      <w:tr w:rsidR="002A66BB" w:rsidRPr="00AD5A27" w14:paraId="1F935D7F" w14:textId="77777777" w:rsidTr="00B959BF">
        <w:trPr>
          <w:cantSplit/>
        </w:trPr>
        <w:tc>
          <w:tcPr>
            <w:tcW w:w="5000" w:type="pct"/>
            <w:gridSpan w:val="7"/>
            <w:shd w:val="clear" w:color="auto" w:fill="auto"/>
            <w:vAlign w:val="center"/>
          </w:tcPr>
          <w:p w14:paraId="503F1848" w14:textId="77777777" w:rsidR="002A66BB" w:rsidRPr="00AD5A27" w:rsidRDefault="002A66BB">
            <w:pPr>
              <w:pStyle w:val="TableText0"/>
              <w:rPr>
                <w:b/>
              </w:rPr>
            </w:pPr>
            <w:r w:rsidRPr="00AD5A27">
              <w:rPr>
                <w:b/>
              </w:rPr>
              <w:t>PAEDIATRIC</w:t>
            </w:r>
            <w:r w:rsidRPr="00AD5A27">
              <w:rPr>
                <w:b/>
                <w:bCs w:val="0"/>
              </w:rPr>
              <w:t xml:space="preserve"> </w:t>
            </w:r>
          </w:p>
        </w:tc>
      </w:tr>
      <w:tr w:rsidR="002A66BB" w:rsidRPr="00AD5A27" w14:paraId="273450E7" w14:textId="77777777" w:rsidTr="00B959BF">
        <w:trPr>
          <w:cantSplit/>
        </w:trPr>
        <w:tc>
          <w:tcPr>
            <w:tcW w:w="5000" w:type="pct"/>
            <w:gridSpan w:val="7"/>
            <w:shd w:val="clear" w:color="auto" w:fill="auto"/>
            <w:vAlign w:val="center"/>
          </w:tcPr>
          <w:p w14:paraId="737694B8" w14:textId="77777777" w:rsidR="002A66BB" w:rsidRPr="00AD5A27" w:rsidRDefault="002A66BB">
            <w:pPr>
              <w:pStyle w:val="TableText0"/>
            </w:pPr>
            <w:r w:rsidRPr="00AD5A27">
              <w:t>Randomised trials of ADA vs. PBO (N=2)</w:t>
            </w:r>
          </w:p>
        </w:tc>
      </w:tr>
      <w:tr w:rsidR="002A66BB" w:rsidRPr="00AD5A27" w14:paraId="7844ACCD" w14:textId="77777777" w:rsidTr="00B959BF">
        <w:trPr>
          <w:cantSplit/>
        </w:trPr>
        <w:tc>
          <w:tcPr>
            <w:tcW w:w="630" w:type="pct"/>
            <w:shd w:val="clear" w:color="auto" w:fill="auto"/>
          </w:tcPr>
          <w:p w14:paraId="1D1083B7" w14:textId="77777777" w:rsidR="002A66BB" w:rsidRPr="00AD5A27" w:rsidRDefault="002A66BB">
            <w:pPr>
              <w:pStyle w:val="TableText0"/>
            </w:pPr>
            <w:r w:rsidRPr="00AD5A27">
              <w:t>SYCAMORE</w:t>
            </w:r>
          </w:p>
        </w:tc>
        <w:tc>
          <w:tcPr>
            <w:tcW w:w="388" w:type="pct"/>
            <w:shd w:val="clear" w:color="auto" w:fill="auto"/>
          </w:tcPr>
          <w:p w14:paraId="1D99B622" w14:textId="77777777" w:rsidR="002A66BB" w:rsidRPr="00AD5A27" w:rsidRDefault="002A66BB">
            <w:pPr>
              <w:pStyle w:val="TableText0"/>
              <w:jc w:val="center"/>
            </w:pPr>
            <w:r w:rsidRPr="00AD5A27">
              <w:t>90</w:t>
            </w:r>
          </w:p>
        </w:tc>
        <w:tc>
          <w:tcPr>
            <w:tcW w:w="876" w:type="pct"/>
            <w:shd w:val="clear" w:color="auto" w:fill="auto"/>
          </w:tcPr>
          <w:p w14:paraId="2CED081A" w14:textId="77777777" w:rsidR="002A66BB" w:rsidRPr="00AD5A27" w:rsidRDefault="002A66BB">
            <w:pPr>
              <w:pStyle w:val="TableText0"/>
            </w:pPr>
            <w:r w:rsidRPr="00AD5A27">
              <w:t>ADA + MTX vs PBO + MTX</w:t>
            </w:r>
          </w:p>
          <w:p w14:paraId="1C5C8771" w14:textId="77777777" w:rsidR="002A66BB" w:rsidRPr="00AD5A27" w:rsidRDefault="002A66BB">
            <w:pPr>
              <w:pStyle w:val="TableText0"/>
            </w:pPr>
            <w:r w:rsidRPr="00AD5A27">
              <w:t>R, DB</w:t>
            </w:r>
          </w:p>
          <w:p w14:paraId="24C4C428" w14:textId="77777777" w:rsidR="002A66BB" w:rsidRPr="00AD5A27" w:rsidRDefault="002A66BB">
            <w:pPr>
              <w:pStyle w:val="TableText0"/>
            </w:pPr>
            <w:r w:rsidRPr="00AD5A27">
              <w:t>18 mths (+6 mths follow up)</w:t>
            </w:r>
          </w:p>
        </w:tc>
        <w:tc>
          <w:tcPr>
            <w:tcW w:w="567" w:type="pct"/>
            <w:shd w:val="clear" w:color="auto" w:fill="auto"/>
          </w:tcPr>
          <w:p w14:paraId="2BA5FEA9" w14:textId="77777777" w:rsidR="002A66BB" w:rsidRPr="00AD5A27" w:rsidRDefault="002A66BB">
            <w:pPr>
              <w:pStyle w:val="TableText0"/>
            </w:pPr>
            <w:r w:rsidRPr="00AD5A27">
              <w:t>Low</w:t>
            </w:r>
          </w:p>
        </w:tc>
        <w:tc>
          <w:tcPr>
            <w:tcW w:w="773" w:type="pct"/>
            <w:shd w:val="clear" w:color="auto" w:fill="auto"/>
          </w:tcPr>
          <w:p w14:paraId="1A2761DA" w14:textId="77777777" w:rsidR="002A66BB" w:rsidRPr="00AD5A27" w:rsidRDefault="002A66BB">
            <w:pPr>
              <w:pStyle w:val="TableText0"/>
            </w:pPr>
            <w:r w:rsidRPr="00AD5A27">
              <w:t>JIA uveitis</w:t>
            </w:r>
          </w:p>
        </w:tc>
        <w:tc>
          <w:tcPr>
            <w:tcW w:w="827" w:type="pct"/>
            <w:shd w:val="clear" w:color="auto" w:fill="auto"/>
          </w:tcPr>
          <w:p w14:paraId="73E1B478" w14:textId="77777777" w:rsidR="002A66BB" w:rsidRPr="00AD5A27" w:rsidRDefault="002A66BB">
            <w:pPr>
              <w:pStyle w:val="TableText0"/>
            </w:pPr>
            <w:r w:rsidRPr="00AD5A27">
              <w:t>Time to treatment failure</w:t>
            </w:r>
            <w:r w:rsidRPr="00AD5A27">
              <w:rPr>
                <w:vertAlign w:val="superscript"/>
              </w:rPr>
              <w:t>b</w:t>
            </w:r>
          </w:p>
        </w:tc>
        <w:tc>
          <w:tcPr>
            <w:tcW w:w="939" w:type="pct"/>
            <w:shd w:val="clear" w:color="auto" w:fill="auto"/>
          </w:tcPr>
          <w:p w14:paraId="34D55C5A" w14:textId="77777777" w:rsidR="002A66BB" w:rsidRPr="00AD5A27" w:rsidRDefault="002A66BB">
            <w:pPr>
              <w:pStyle w:val="TableText0"/>
            </w:pPr>
            <w:r w:rsidRPr="00AD5A27">
              <w:t>Not used</w:t>
            </w:r>
          </w:p>
        </w:tc>
      </w:tr>
      <w:tr w:rsidR="002A66BB" w:rsidRPr="00AD5A27" w14:paraId="34774105" w14:textId="77777777" w:rsidTr="00B959BF">
        <w:trPr>
          <w:cantSplit/>
        </w:trPr>
        <w:tc>
          <w:tcPr>
            <w:tcW w:w="630" w:type="pct"/>
            <w:shd w:val="clear" w:color="auto" w:fill="auto"/>
          </w:tcPr>
          <w:p w14:paraId="7DA638F1" w14:textId="77777777" w:rsidR="002A66BB" w:rsidRPr="00AD5A27" w:rsidRDefault="002A66BB">
            <w:pPr>
              <w:pStyle w:val="TableText0"/>
            </w:pPr>
            <w:r w:rsidRPr="00AD5A27">
              <w:t>ADJUVITE</w:t>
            </w:r>
          </w:p>
        </w:tc>
        <w:tc>
          <w:tcPr>
            <w:tcW w:w="388" w:type="pct"/>
            <w:shd w:val="clear" w:color="auto" w:fill="auto"/>
          </w:tcPr>
          <w:p w14:paraId="6CE37B25" w14:textId="77777777" w:rsidR="002A66BB" w:rsidRPr="00AD5A27" w:rsidRDefault="002A66BB">
            <w:pPr>
              <w:pStyle w:val="TableText0"/>
              <w:jc w:val="center"/>
            </w:pPr>
            <w:r w:rsidRPr="00AD5A27">
              <w:t>32</w:t>
            </w:r>
          </w:p>
        </w:tc>
        <w:tc>
          <w:tcPr>
            <w:tcW w:w="876" w:type="pct"/>
            <w:shd w:val="clear" w:color="auto" w:fill="auto"/>
          </w:tcPr>
          <w:p w14:paraId="6DF8358C" w14:textId="77777777" w:rsidR="002A66BB" w:rsidRPr="00AD5A27" w:rsidRDefault="002A66BB">
            <w:pPr>
              <w:pStyle w:val="TableText0"/>
            </w:pPr>
            <w:r w:rsidRPr="00AD5A27">
              <w:t xml:space="preserve">ADA +/- MTX vs PBO +/- MTX </w:t>
            </w:r>
          </w:p>
          <w:p w14:paraId="662B267B" w14:textId="77777777" w:rsidR="002A66BB" w:rsidRPr="00AD5A27" w:rsidRDefault="002A66BB">
            <w:pPr>
              <w:pStyle w:val="TableText0"/>
            </w:pPr>
            <w:r w:rsidRPr="00AD5A27">
              <w:t>R, DB</w:t>
            </w:r>
          </w:p>
          <w:p w14:paraId="207028CF" w14:textId="77777777" w:rsidR="002A66BB" w:rsidRPr="00AD5A27" w:rsidRDefault="002A66BB">
            <w:pPr>
              <w:pStyle w:val="TableText0"/>
            </w:pPr>
            <w:r w:rsidRPr="00AD5A27">
              <w:t xml:space="preserve">2 mths (+10 mths follow up) </w:t>
            </w:r>
          </w:p>
        </w:tc>
        <w:tc>
          <w:tcPr>
            <w:tcW w:w="567" w:type="pct"/>
            <w:shd w:val="clear" w:color="auto" w:fill="auto"/>
          </w:tcPr>
          <w:p w14:paraId="09DA44CD" w14:textId="77777777" w:rsidR="002A66BB" w:rsidRPr="00AD5A27" w:rsidRDefault="002A66BB">
            <w:pPr>
              <w:pStyle w:val="TableText0"/>
            </w:pPr>
            <w:r w:rsidRPr="00AD5A27">
              <w:t>High</w:t>
            </w:r>
          </w:p>
        </w:tc>
        <w:tc>
          <w:tcPr>
            <w:tcW w:w="773" w:type="pct"/>
            <w:shd w:val="clear" w:color="auto" w:fill="auto"/>
          </w:tcPr>
          <w:p w14:paraId="158E1769" w14:textId="77777777" w:rsidR="002A66BB" w:rsidRPr="00AD5A27" w:rsidRDefault="002A66BB">
            <w:pPr>
              <w:pStyle w:val="TableText0"/>
            </w:pPr>
            <w:r w:rsidRPr="00AD5A27">
              <w:t>JIA/idiopathic anterior uveitis</w:t>
            </w:r>
          </w:p>
        </w:tc>
        <w:tc>
          <w:tcPr>
            <w:tcW w:w="827" w:type="pct"/>
            <w:shd w:val="clear" w:color="auto" w:fill="auto"/>
          </w:tcPr>
          <w:p w14:paraId="0724CDB2" w14:textId="77777777" w:rsidR="002A66BB" w:rsidRPr="00AD5A27" w:rsidRDefault="002A66BB">
            <w:pPr>
              <w:pStyle w:val="TableText0"/>
            </w:pPr>
            <w:r w:rsidRPr="00AD5A27">
              <w:t>30% reduction of</w:t>
            </w:r>
          </w:p>
          <w:p w14:paraId="29F3E222" w14:textId="77777777" w:rsidR="002A66BB" w:rsidRPr="00AD5A27" w:rsidRDefault="002A66BB">
            <w:pPr>
              <w:pStyle w:val="TableText0"/>
            </w:pPr>
            <w:r w:rsidRPr="00AD5A27">
              <w:t>inflammation on LFP</w:t>
            </w:r>
          </w:p>
        </w:tc>
        <w:tc>
          <w:tcPr>
            <w:tcW w:w="939" w:type="pct"/>
            <w:shd w:val="clear" w:color="auto" w:fill="auto"/>
          </w:tcPr>
          <w:p w14:paraId="0C36FC3C" w14:textId="77777777" w:rsidR="002A66BB" w:rsidRPr="00AD5A27" w:rsidRDefault="002A66BB">
            <w:pPr>
              <w:pStyle w:val="TableText0"/>
            </w:pPr>
            <w:r w:rsidRPr="00AD5A27">
              <w:t>Not used</w:t>
            </w:r>
          </w:p>
        </w:tc>
      </w:tr>
      <w:tr w:rsidR="002A66BB" w:rsidRPr="00AD5A27" w14:paraId="2EAB055F" w14:textId="77777777" w:rsidTr="00B959BF">
        <w:trPr>
          <w:cantSplit/>
        </w:trPr>
        <w:tc>
          <w:tcPr>
            <w:tcW w:w="5000" w:type="pct"/>
            <w:gridSpan w:val="7"/>
            <w:shd w:val="clear" w:color="auto" w:fill="auto"/>
            <w:vAlign w:val="center"/>
          </w:tcPr>
          <w:p w14:paraId="5E0631A2" w14:textId="77777777" w:rsidR="002A66BB" w:rsidRPr="00AD5A27" w:rsidRDefault="002A66BB">
            <w:pPr>
              <w:pStyle w:val="TableText0"/>
            </w:pPr>
            <w:r w:rsidRPr="00AD5A27">
              <w:t>Non-randomised studies (N=5)</w:t>
            </w:r>
          </w:p>
        </w:tc>
      </w:tr>
      <w:tr w:rsidR="002A66BB" w:rsidRPr="00AD5A27" w14:paraId="16E75660" w14:textId="77777777" w:rsidTr="00B959BF">
        <w:trPr>
          <w:cantSplit/>
        </w:trPr>
        <w:tc>
          <w:tcPr>
            <w:tcW w:w="630" w:type="pct"/>
            <w:shd w:val="clear" w:color="auto" w:fill="auto"/>
          </w:tcPr>
          <w:p w14:paraId="71F9C81A" w14:textId="77777777" w:rsidR="002A66BB" w:rsidRPr="00AD5A27" w:rsidRDefault="002A66BB">
            <w:pPr>
              <w:pStyle w:val="TableText0"/>
            </w:pPr>
            <w:r w:rsidRPr="00AD5A27">
              <w:t>Alekseeva et al. (2012)</w:t>
            </w:r>
          </w:p>
        </w:tc>
        <w:tc>
          <w:tcPr>
            <w:tcW w:w="388" w:type="pct"/>
            <w:shd w:val="clear" w:color="auto" w:fill="auto"/>
          </w:tcPr>
          <w:p w14:paraId="167E8F4D" w14:textId="77777777" w:rsidR="002A66BB" w:rsidRPr="00AD5A27" w:rsidRDefault="002A66BB">
            <w:pPr>
              <w:pStyle w:val="TableText0"/>
              <w:jc w:val="center"/>
            </w:pPr>
            <w:r w:rsidRPr="00AD5A27">
              <w:t>48</w:t>
            </w:r>
          </w:p>
        </w:tc>
        <w:tc>
          <w:tcPr>
            <w:tcW w:w="876" w:type="pct"/>
            <w:shd w:val="clear" w:color="auto" w:fill="auto"/>
          </w:tcPr>
          <w:p w14:paraId="104C2836" w14:textId="77777777" w:rsidR="002A66BB" w:rsidRPr="00AD5A27" w:rsidRDefault="002A66BB">
            <w:pPr>
              <w:pStyle w:val="TableText0"/>
            </w:pPr>
            <w:r w:rsidRPr="00AD5A27">
              <w:t>ADA vs MTX vs MTX + CiA vs oral glucocorticoid</w:t>
            </w:r>
          </w:p>
          <w:p w14:paraId="54AF4BAD" w14:textId="77777777" w:rsidR="002A66BB" w:rsidRPr="00AD5A27" w:rsidRDefault="002A66BB">
            <w:pPr>
              <w:pStyle w:val="TableText0"/>
            </w:pPr>
            <w:r w:rsidRPr="00AD5A27">
              <w:t>Prospective</w:t>
            </w:r>
          </w:p>
          <w:p w14:paraId="63F6FE31" w14:textId="77777777" w:rsidR="002A66BB" w:rsidRPr="00AD5A27" w:rsidRDefault="002A66BB">
            <w:pPr>
              <w:pStyle w:val="TableText0"/>
            </w:pPr>
            <w:r w:rsidRPr="00AD5A27">
              <w:t>52 weeks</w:t>
            </w:r>
          </w:p>
        </w:tc>
        <w:tc>
          <w:tcPr>
            <w:tcW w:w="567" w:type="pct"/>
            <w:vMerge w:val="restart"/>
            <w:shd w:val="clear" w:color="auto" w:fill="auto"/>
          </w:tcPr>
          <w:p w14:paraId="15828F8B" w14:textId="77777777" w:rsidR="002A66BB" w:rsidRPr="00AD5A27" w:rsidRDefault="002A66BB">
            <w:pPr>
              <w:pStyle w:val="TableText0"/>
            </w:pPr>
            <w:r w:rsidRPr="00AD5A27">
              <w:t>High</w:t>
            </w:r>
            <w:r w:rsidRPr="00AD5A27">
              <w:rPr>
                <w:vertAlign w:val="superscript"/>
              </w:rPr>
              <w:t>a</w:t>
            </w:r>
          </w:p>
        </w:tc>
        <w:tc>
          <w:tcPr>
            <w:tcW w:w="773" w:type="pct"/>
            <w:shd w:val="clear" w:color="auto" w:fill="auto"/>
          </w:tcPr>
          <w:p w14:paraId="4CC996FF" w14:textId="77777777" w:rsidR="002A66BB" w:rsidRPr="00AD5A27" w:rsidRDefault="002A66BB">
            <w:pPr>
              <w:pStyle w:val="TableText0"/>
              <w:rPr>
                <w:vertAlign w:val="superscript"/>
              </w:rPr>
            </w:pPr>
            <w:r w:rsidRPr="00AD5A27">
              <w:t>JIA</w:t>
            </w:r>
            <w:r w:rsidRPr="00AD5A27">
              <w:rPr>
                <w:vertAlign w:val="superscript"/>
              </w:rPr>
              <w:t>d</w:t>
            </w:r>
          </w:p>
        </w:tc>
        <w:tc>
          <w:tcPr>
            <w:tcW w:w="827" w:type="pct"/>
            <w:shd w:val="clear" w:color="auto" w:fill="auto"/>
          </w:tcPr>
          <w:p w14:paraId="6CB283C2" w14:textId="77777777" w:rsidR="002A66BB" w:rsidRPr="00AD5A27" w:rsidRDefault="002A66BB">
            <w:pPr>
              <w:pStyle w:val="TableText0"/>
            </w:pPr>
            <w:r w:rsidRPr="00AD5A27">
              <w:t xml:space="preserve">Remission </w:t>
            </w:r>
          </w:p>
        </w:tc>
        <w:tc>
          <w:tcPr>
            <w:tcW w:w="939" w:type="pct"/>
            <w:shd w:val="clear" w:color="auto" w:fill="auto"/>
          </w:tcPr>
          <w:p w14:paraId="1775A27D" w14:textId="77777777" w:rsidR="002A66BB" w:rsidRPr="00AD5A27" w:rsidRDefault="002A66BB">
            <w:pPr>
              <w:pStyle w:val="TableText0"/>
            </w:pPr>
            <w:r w:rsidRPr="00AD5A27">
              <w:t>Not used</w:t>
            </w:r>
          </w:p>
        </w:tc>
      </w:tr>
      <w:tr w:rsidR="002A66BB" w:rsidRPr="00AD5A27" w14:paraId="0F43EF57" w14:textId="77777777" w:rsidTr="00B959BF">
        <w:trPr>
          <w:cantSplit/>
        </w:trPr>
        <w:tc>
          <w:tcPr>
            <w:tcW w:w="630" w:type="pct"/>
            <w:shd w:val="clear" w:color="auto" w:fill="auto"/>
          </w:tcPr>
          <w:p w14:paraId="43E966DC" w14:textId="77777777" w:rsidR="002A66BB" w:rsidRPr="00AD5A27" w:rsidRDefault="002A66BB">
            <w:pPr>
              <w:pStyle w:val="TableText0"/>
            </w:pPr>
            <w:r w:rsidRPr="00AD5A27">
              <w:t>Biliavska et al. (2017)</w:t>
            </w:r>
          </w:p>
        </w:tc>
        <w:tc>
          <w:tcPr>
            <w:tcW w:w="388" w:type="pct"/>
            <w:shd w:val="clear" w:color="auto" w:fill="auto"/>
          </w:tcPr>
          <w:p w14:paraId="6C1BD26C" w14:textId="77777777" w:rsidR="002A66BB" w:rsidRPr="00AD5A27" w:rsidRDefault="002A66BB">
            <w:pPr>
              <w:pStyle w:val="TableText0"/>
              <w:jc w:val="center"/>
            </w:pPr>
            <w:r w:rsidRPr="00AD5A27">
              <w:t>339</w:t>
            </w:r>
          </w:p>
        </w:tc>
        <w:tc>
          <w:tcPr>
            <w:tcW w:w="876" w:type="pct"/>
            <w:shd w:val="clear" w:color="auto" w:fill="auto"/>
          </w:tcPr>
          <w:p w14:paraId="02646489" w14:textId="77777777" w:rsidR="002A66BB" w:rsidRPr="00AD5A27" w:rsidRDefault="002A66BB">
            <w:pPr>
              <w:pStyle w:val="TableText0"/>
            </w:pPr>
            <w:r w:rsidRPr="00AD5A27">
              <w:t>ADA vs tocilizumab vs etanercept</w:t>
            </w:r>
          </w:p>
          <w:p w14:paraId="60719371" w14:textId="77777777" w:rsidR="002A66BB" w:rsidRPr="00AD5A27" w:rsidRDefault="002A66BB">
            <w:pPr>
              <w:pStyle w:val="TableText0"/>
            </w:pPr>
            <w:r w:rsidRPr="00AD5A27">
              <w:t>Prospective</w:t>
            </w:r>
          </w:p>
          <w:p w14:paraId="00322E53" w14:textId="77777777" w:rsidR="002A66BB" w:rsidRPr="00AD5A27" w:rsidRDefault="002A66BB">
            <w:pPr>
              <w:pStyle w:val="TableText0"/>
            </w:pPr>
            <w:r w:rsidRPr="00AD5A27">
              <w:t>3 mths</w:t>
            </w:r>
          </w:p>
        </w:tc>
        <w:tc>
          <w:tcPr>
            <w:tcW w:w="567" w:type="pct"/>
            <w:vMerge/>
            <w:vAlign w:val="center"/>
          </w:tcPr>
          <w:p w14:paraId="2027C939" w14:textId="77777777" w:rsidR="002A66BB" w:rsidRPr="00AD5A27" w:rsidRDefault="002A66BB">
            <w:pPr>
              <w:pStyle w:val="TableText0"/>
              <w:jc w:val="center"/>
            </w:pPr>
          </w:p>
        </w:tc>
        <w:tc>
          <w:tcPr>
            <w:tcW w:w="773" w:type="pct"/>
            <w:shd w:val="clear" w:color="auto" w:fill="auto"/>
          </w:tcPr>
          <w:p w14:paraId="315F437C" w14:textId="77777777" w:rsidR="002A66BB" w:rsidRPr="00AD5A27" w:rsidRDefault="002A66BB">
            <w:pPr>
              <w:pStyle w:val="TableText0"/>
              <w:rPr>
                <w:vertAlign w:val="superscript"/>
              </w:rPr>
            </w:pPr>
            <w:r w:rsidRPr="00AD5A27">
              <w:t>JIA</w:t>
            </w:r>
            <w:r w:rsidRPr="00AD5A27">
              <w:rPr>
                <w:vertAlign w:val="superscript"/>
              </w:rPr>
              <w:t>d</w:t>
            </w:r>
          </w:p>
        </w:tc>
        <w:tc>
          <w:tcPr>
            <w:tcW w:w="827" w:type="pct"/>
            <w:shd w:val="clear" w:color="auto" w:fill="auto"/>
          </w:tcPr>
          <w:p w14:paraId="2EACC19E" w14:textId="77777777" w:rsidR="002A66BB" w:rsidRPr="00AD5A27" w:rsidRDefault="002A66BB">
            <w:pPr>
              <w:pStyle w:val="TableText0"/>
            </w:pPr>
            <w:r w:rsidRPr="00AD5A27">
              <w:t xml:space="preserve">Disease activity, safety </w:t>
            </w:r>
          </w:p>
        </w:tc>
        <w:tc>
          <w:tcPr>
            <w:tcW w:w="939" w:type="pct"/>
            <w:shd w:val="clear" w:color="auto" w:fill="auto"/>
          </w:tcPr>
          <w:p w14:paraId="348C8E82" w14:textId="77777777" w:rsidR="002A66BB" w:rsidRPr="00AD5A27" w:rsidRDefault="002A66BB">
            <w:pPr>
              <w:pStyle w:val="TableText0"/>
            </w:pPr>
            <w:r w:rsidRPr="00AD5A27">
              <w:t>Not used</w:t>
            </w:r>
          </w:p>
        </w:tc>
      </w:tr>
      <w:tr w:rsidR="002A66BB" w:rsidRPr="00AD5A27" w14:paraId="21489AF3" w14:textId="77777777" w:rsidTr="00B959BF">
        <w:trPr>
          <w:cantSplit/>
        </w:trPr>
        <w:tc>
          <w:tcPr>
            <w:tcW w:w="630" w:type="pct"/>
            <w:shd w:val="clear" w:color="auto" w:fill="auto"/>
          </w:tcPr>
          <w:p w14:paraId="3C41957A" w14:textId="77777777" w:rsidR="002A66BB" w:rsidRPr="00AD5A27" w:rsidRDefault="002A66BB">
            <w:pPr>
              <w:pStyle w:val="TableText0"/>
            </w:pPr>
            <w:r w:rsidRPr="00AD5A27">
              <w:t>Gaidar et al. (2017)</w:t>
            </w:r>
          </w:p>
        </w:tc>
        <w:tc>
          <w:tcPr>
            <w:tcW w:w="388" w:type="pct"/>
            <w:shd w:val="clear" w:color="auto" w:fill="auto"/>
          </w:tcPr>
          <w:p w14:paraId="3B103DFD" w14:textId="77777777" w:rsidR="002A66BB" w:rsidRPr="00AD5A27" w:rsidRDefault="002A66BB">
            <w:pPr>
              <w:pStyle w:val="TableText0"/>
              <w:jc w:val="center"/>
            </w:pPr>
            <w:r w:rsidRPr="00AD5A27">
              <w:t>39</w:t>
            </w:r>
          </w:p>
        </w:tc>
        <w:tc>
          <w:tcPr>
            <w:tcW w:w="876" w:type="pct"/>
            <w:shd w:val="clear" w:color="auto" w:fill="auto"/>
          </w:tcPr>
          <w:p w14:paraId="7926F67D" w14:textId="77777777" w:rsidR="002A66BB" w:rsidRPr="00AD5A27" w:rsidRDefault="002A66BB">
            <w:pPr>
              <w:pStyle w:val="TableText0"/>
            </w:pPr>
            <w:r w:rsidRPr="00AD5A27">
              <w:t>ADA</w:t>
            </w:r>
          </w:p>
          <w:p w14:paraId="66CB029C" w14:textId="77777777" w:rsidR="002A66BB" w:rsidRPr="00AD5A27" w:rsidRDefault="002A66BB">
            <w:pPr>
              <w:pStyle w:val="TableText0"/>
            </w:pPr>
            <w:r w:rsidRPr="00AD5A27">
              <w:t>RT, NR</w:t>
            </w:r>
          </w:p>
        </w:tc>
        <w:tc>
          <w:tcPr>
            <w:tcW w:w="567" w:type="pct"/>
            <w:vMerge/>
            <w:vAlign w:val="center"/>
          </w:tcPr>
          <w:p w14:paraId="152FF56A" w14:textId="77777777" w:rsidR="002A66BB" w:rsidRPr="00AD5A27" w:rsidRDefault="002A66BB">
            <w:pPr>
              <w:pStyle w:val="TableText0"/>
              <w:jc w:val="center"/>
            </w:pPr>
          </w:p>
        </w:tc>
        <w:tc>
          <w:tcPr>
            <w:tcW w:w="773" w:type="pct"/>
            <w:shd w:val="clear" w:color="auto" w:fill="auto"/>
          </w:tcPr>
          <w:p w14:paraId="6BE695B5" w14:textId="77777777" w:rsidR="002A66BB" w:rsidRPr="00AD5A27" w:rsidRDefault="002A66BB">
            <w:pPr>
              <w:pStyle w:val="TableText0"/>
            </w:pPr>
            <w:r w:rsidRPr="00AD5A27">
              <w:t xml:space="preserve">JIA/active </w:t>
            </w:r>
          </w:p>
        </w:tc>
        <w:tc>
          <w:tcPr>
            <w:tcW w:w="827" w:type="pct"/>
            <w:shd w:val="clear" w:color="auto" w:fill="auto"/>
          </w:tcPr>
          <w:p w14:paraId="080A356C" w14:textId="77777777" w:rsidR="002A66BB" w:rsidRPr="00AD5A27" w:rsidRDefault="002A66BB">
            <w:pPr>
              <w:pStyle w:val="TableText0"/>
            </w:pPr>
            <w:r w:rsidRPr="00AD5A27">
              <w:t>Remission</w:t>
            </w:r>
          </w:p>
        </w:tc>
        <w:tc>
          <w:tcPr>
            <w:tcW w:w="939" w:type="pct"/>
            <w:shd w:val="clear" w:color="auto" w:fill="auto"/>
          </w:tcPr>
          <w:p w14:paraId="0AB01CAC" w14:textId="77777777" w:rsidR="002A66BB" w:rsidRPr="00AD5A27" w:rsidRDefault="002A66BB">
            <w:pPr>
              <w:pStyle w:val="TableText0"/>
            </w:pPr>
            <w:r w:rsidRPr="00AD5A27">
              <w:t>Not used</w:t>
            </w:r>
          </w:p>
        </w:tc>
      </w:tr>
      <w:tr w:rsidR="002A66BB" w:rsidRPr="00AD5A27" w14:paraId="0E9780A7" w14:textId="77777777" w:rsidTr="00B959BF">
        <w:trPr>
          <w:cantSplit/>
        </w:trPr>
        <w:tc>
          <w:tcPr>
            <w:tcW w:w="630" w:type="pct"/>
            <w:shd w:val="clear" w:color="auto" w:fill="auto"/>
          </w:tcPr>
          <w:p w14:paraId="796D130C" w14:textId="77777777" w:rsidR="002A66BB" w:rsidRPr="00AD5A27" w:rsidRDefault="002A66BB">
            <w:pPr>
              <w:pStyle w:val="TableText0"/>
            </w:pPr>
            <w:r w:rsidRPr="00AD5A27">
              <w:t>Simonini et al. (2013)</w:t>
            </w:r>
          </w:p>
        </w:tc>
        <w:tc>
          <w:tcPr>
            <w:tcW w:w="388" w:type="pct"/>
            <w:shd w:val="clear" w:color="auto" w:fill="auto"/>
          </w:tcPr>
          <w:p w14:paraId="6880AB18" w14:textId="77777777" w:rsidR="002A66BB" w:rsidRPr="00AD5A27" w:rsidRDefault="002A66BB">
            <w:pPr>
              <w:pStyle w:val="TableText0"/>
              <w:jc w:val="center"/>
            </w:pPr>
            <w:r w:rsidRPr="00AD5A27">
              <w:t>26</w:t>
            </w:r>
          </w:p>
        </w:tc>
        <w:tc>
          <w:tcPr>
            <w:tcW w:w="876" w:type="pct"/>
            <w:shd w:val="clear" w:color="auto" w:fill="auto"/>
          </w:tcPr>
          <w:p w14:paraId="2B309BC0" w14:textId="77777777" w:rsidR="002A66BB" w:rsidRPr="00AD5A27" w:rsidRDefault="002A66BB">
            <w:pPr>
              <w:pStyle w:val="TableText0"/>
            </w:pPr>
            <w:r w:rsidRPr="00AD5A27">
              <w:t>ADA</w:t>
            </w:r>
          </w:p>
          <w:p w14:paraId="02D3DB09" w14:textId="77777777" w:rsidR="002A66BB" w:rsidRPr="00AD5A27" w:rsidRDefault="002A66BB">
            <w:pPr>
              <w:pStyle w:val="TableText0"/>
            </w:pPr>
            <w:r w:rsidRPr="00AD5A27">
              <w:t xml:space="preserve">Prospective, 1 year </w:t>
            </w:r>
          </w:p>
        </w:tc>
        <w:tc>
          <w:tcPr>
            <w:tcW w:w="567" w:type="pct"/>
            <w:vMerge/>
            <w:vAlign w:val="center"/>
          </w:tcPr>
          <w:p w14:paraId="1486AA49" w14:textId="77777777" w:rsidR="002A66BB" w:rsidRPr="00AD5A27" w:rsidRDefault="002A66BB">
            <w:pPr>
              <w:pStyle w:val="TableText0"/>
              <w:jc w:val="center"/>
            </w:pPr>
          </w:p>
        </w:tc>
        <w:tc>
          <w:tcPr>
            <w:tcW w:w="773" w:type="pct"/>
            <w:shd w:val="clear" w:color="auto" w:fill="auto"/>
          </w:tcPr>
          <w:p w14:paraId="0D3F66FA" w14:textId="77777777" w:rsidR="002A66BB" w:rsidRPr="00AD5A27" w:rsidRDefault="002A66BB">
            <w:pPr>
              <w:pStyle w:val="TableText0"/>
            </w:pPr>
            <w:r w:rsidRPr="00AD5A27">
              <w:t xml:space="preserve">JIA/active </w:t>
            </w:r>
          </w:p>
        </w:tc>
        <w:tc>
          <w:tcPr>
            <w:tcW w:w="827" w:type="pct"/>
            <w:shd w:val="clear" w:color="auto" w:fill="auto"/>
          </w:tcPr>
          <w:p w14:paraId="545E2EA1" w14:textId="77777777" w:rsidR="002A66BB" w:rsidRPr="00AD5A27" w:rsidRDefault="002A66BB">
            <w:pPr>
              <w:pStyle w:val="TableText0"/>
            </w:pPr>
            <w:r w:rsidRPr="00AD5A27">
              <w:t>Time to relapse</w:t>
            </w:r>
          </w:p>
        </w:tc>
        <w:tc>
          <w:tcPr>
            <w:tcW w:w="939" w:type="pct"/>
            <w:shd w:val="clear" w:color="auto" w:fill="auto"/>
          </w:tcPr>
          <w:p w14:paraId="3C2FBDF7" w14:textId="77777777" w:rsidR="002A66BB" w:rsidRPr="00AD5A27" w:rsidRDefault="002A66BB">
            <w:pPr>
              <w:pStyle w:val="TableText0"/>
            </w:pPr>
            <w:r w:rsidRPr="00AD5A27">
              <w:t>Not used</w:t>
            </w:r>
          </w:p>
        </w:tc>
      </w:tr>
      <w:tr w:rsidR="002A66BB" w:rsidRPr="00AD5A27" w14:paraId="6CF68047" w14:textId="77777777" w:rsidTr="00B959BF">
        <w:trPr>
          <w:cantSplit/>
        </w:trPr>
        <w:tc>
          <w:tcPr>
            <w:tcW w:w="630" w:type="pct"/>
            <w:shd w:val="clear" w:color="auto" w:fill="auto"/>
          </w:tcPr>
          <w:p w14:paraId="652F4AED" w14:textId="77777777" w:rsidR="002A66BB" w:rsidRPr="00AD5A27" w:rsidRDefault="002A66BB">
            <w:pPr>
              <w:pStyle w:val="TableText0"/>
            </w:pPr>
            <w:r w:rsidRPr="00AD5A27">
              <w:t>Tynjala et al. (2008)</w:t>
            </w:r>
          </w:p>
        </w:tc>
        <w:tc>
          <w:tcPr>
            <w:tcW w:w="388" w:type="pct"/>
            <w:shd w:val="clear" w:color="auto" w:fill="auto"/>
          </w:tcPr>
          <w:p w14:paraId="625A5224" w14:textId="77777777" w:rsidR="002A66BB" w:rsidRPr="00AD5A27" w:rsidRDefault="002A66BB">
            <w:pPr>
              <w:pStyle w:val="TableText0"/>
              <w:jc w:val="center"/>
            </w:pPr>
            <w:r w:rsidRPr="00AD5A27">
              <w:t>20</w:t>
            </w:r>
          </w:p>
        </w:tc>
        <w:tc>
          <w:tcPr>
            <w:tcW w:w="876" w:type="pct"/>
            <w:shd w:val="clear" w:color="auto" w:fill="auto"/>
          </w:tcPr>
          <w:p w14:paraId="3E0E2C6F" w14:textId="77777777" w:rsidR="002A66BB" w:rsidRPr="00AD5A27" w:rsidRDefault="002A66BB">
            <w:pPr>
              <w:pStyle w:val="TableText0"/>
            </w:pPr>
            <w:r w:rsidRPr="00AD5A27">
              <w:t>ADA + MTX</w:t>
            </w:r>
          </w:p>
          <w:p w14:paraId="40CB73BE" w14:textId="77777777" w:rsidR="002A66BB" w:rsidRPr="00AD5A27" w:rsidRDefault="002A66BB">
            <w:pPr>
              <w:pStyle w:val="TableText0"/>
            </w:pPr>
            <w:r w:rsidRPr="00AD5A27">
              <w:t xml:space="preserve">RT, 18.7 mths </w:t>
            </w:r>
          </w:p>
        </w:tc>
        <w:tc>
          <w:tcPr>
            <w:tcW w:w="567" w:type="pct"/>
            <w:vMerge/>
            <w:vAlign w:val="center"/>
          </w:tcPr>
          <w:p w14:paraId="58241C8F" w14:textId="77777777" w:rsidR="002A66BB" w:rsidRPr="00AD5A27" w:rsidRDefault="002A66BB">
            <w:pPr>
              <w:pStyle w:val="TableText0"/>
              <w:jc w:val="center"/>
            </w:pPr>
          </w:p>
        </w:tc>
        <w:tc>
          <w:tcPr>
            <w:tcW w:w="773" w:type="pct"/>
            <w:shd w:val="clear" w:color="auto" w:fill="auto"/>
          </w:tcPr>
          <w:p w14:paraId="7C68804C" w14:textId="77777777" w:rsidR="002A66BB" w:rsidRPr="00AD5A27" w:rsidRDefault="002A66BB">
            <w:pPr>
              <w:pStyle w:val="TableText0"/>
            </w:pPr>
            <w:r w:rsidRPr="00AD5A27">
              <w:t>JIA</w:t>
            </w:r>
            <w:r w:rsidRPr="00AD5A27">
              <w:rPr>
                <w:vertAlign w:val="superscript"/>
              </w:rPr>
              <w:t>d</w:t>
            </w:r>
          </w:p>
        </w:tc>
        <w:tc>
          <w:tcPr>
            <w:tcW w:w="827" w:type="pct"/>
            <w:shd w:val="clear" w:color="auto" w:fill="auto"/>
          </w:tcPr>
          <w:p w14:paraId="500EE875" w14:textId="77777777" w:rsidR="002A66BB" w:rsidRPr="00AD5A27" w:rsidRDefault="002A66BB">
            <w:pPr>
              <w:pStyle w:val="TableText0"/>
            </w:pPr>
            <w:r w:rsidRPr="00AD5A27">
              <w:t xml:space="preserve">Disease activity </w:t>
            </w:r>
          </w:p>
        </w:tc>
        <w:tc>
          <w:tcPr>
            <w:tcW w:w="939" w:type="pct"/>
            <w:shd w:val="clear" w:color="auto" w:fill="auto"/>
          </w:tcPr>
          <w:p w14:paraId="66F8AC4A" w14:textId="77777777" w:rsidR="002A66BB" w:rsidRPr="00AD5A27" w:rsidRDefault="002A66BB">
            <w:pPr>
              <w:pStyle w:val="TableText0"/>
            </w:pPr>
            <w:r w:rsidRPr="00AD5A27">
              <w:t>Not used</w:t>
            </w:r>
          </w:p>
        </w:tc>
      </w:tr>
    </w:tbl>
    <w:p w14:paraId="47A40520" w14:textId="4DBD2C88" w:rsidR="002A66BB" w:rsidRPr="00AD5A27" w:rsidRDefault="002A66BB">
      <w:pPr>
        <w:pStyle w:val="FooterTableFigure"/>
        <w:widowControl w:val="0"/>
        <w:rPr>
          <w:iCs/>
        </w:rPr>
      </w:pPr>
      <w:r w:rsidRPr="00AD5A27">
        <w:rPr>
          <w:iCs/>
        </w:rPr>
        <w:t xml:space="preserve">Source: </w:t>
      </w:r>
      <w:r w:rsidR="00FB6164" w:rsidRPr="00AD5A27">
        <w:rPr>
          <w:iCs/>
        </w:rPr>
        <w:t xml:space="preserve">Compiled during the evaluation based on </w:t>
      </w:r>
      <w:r w:rsidRPr="00AD5A27">
        <w:rPr>
          <w:iCs/>
        </w:rPr>
        <w:t>Table 2-5, pp74-78; Table 3-5, pp136-137 of the submission. Eurelings 2022, pp194-197; Fabiani 2018, pp407- 411; Lee 2018, pp1672-1673; Llorenc 2019, pp814-816; Maalouf 2022, pp 173-175; Moll-Udina 2020, pp1591-1593; Park 2020, pp177-179; Vallet 2016, pp1522-1524; NCT02916017; NCT03339102; Say et al. 2021; Alekseeva 2012; Biliavska 2017; Gaidar2017; Simonini 2013; Tynjala 2008</w:t>
      </w:r>
    </w:p>
    <w:p w14:paraId="7A6574AA" w14:textId="007AC4F3" w:rsidR="002A66BB" w:rsidRPr="00AD5A27" w:rsidRDefault="002A66BB">
      <w:pPr>
        <w:pStyle w:val="FooterTableFigure"/>
        <w:widowControl w:val="0"/>
        <w:rPr>
          <w:iCs/>
        </w:rPr>
      </w:pPr>
      <w:r w:rsidRPr="00AD5A27">
        <w:rPr>
          <w:iCs/>
        </w:rPr>
        <w:lastRenderedPageBreak/>
        <w:t xml:space="preserve">ACC = </w:t>
      </w:r>
      <w:r w:rsidR="003E6BDC">
        <w:rPr>
          <w:iCs/>
        </w:rPr>
        <w:t>a</w:t>
      </w:r>
      <w:r w:rsidRPr="00AD5A27">
        <w:rPr>
          <w:iCs/>
        </w:rPr>
        <w:t xml:space="preserve">nterior chamber cell; ADA = </w:t>
      </w:r>
      <w:r w:rsidR="003E6BDC">
        <w:rPr>
          <w:iCs/>
        </w:rPr>
        <w:t>a</w:t>
      </w:r>
      <w:r w:rsidRPr="00AD5A27">
        <w:rPr>
          <w:iCs/>
        </w:rPr>
        <w:t xml:space="preserve">dalimumab; ADR = </w:t>
      </w:r>
      <w:r w:rsidR="003E6BDC">
        <w:rPr>
          <w:iCs/>
        </w:rPr>
        <w:t>a</w:t>
      </w:r>
      <w:r w:rsidRPr="00AD5A27">
        <w:rPr>
          <w:iCs/>
        </w:rPr>
        <w:t xml:space="preserve">dverse drug reaction; AnDA = </w:t>
      </w:r>
      <w:r w:rsidR="003E6BDC">
        <w:rPr>
          <w:iCs/>
        </w:rPr>
        <w:t>a</w:t>
      </w:r>
      <w:r w:rsidRPr="00AD5A27">
        <w:rPr>
          <w:iCs/>
        </w:rPr>
        <w:t xml:space="preserve">nti-drug antibodies; AE = </w:t>
      </w:r>
      <w:r w:rsidR="003E6BDC">
        <w:rPr>
          <w:iCs/>
        </w:rPr>
        <w:t>a</w:t>
      </w:r>
      <w:r w:rsidRPr="00AD5A27">
        <w:rPr>
          <w:iCs/>
        </w:rPr>
        <w:t xml:space="preserve">dverse events; BCVA = </w:t>
      </w:r>
      <w:r w:rsidR="003E6BDC">
        <w:rPr>
          <w:iCs/>
        </w:rPr>
        <w:t>b</w:t>
      </w:r>
      <w:r w:rsidRPr="00AD5A27">
        <w:rPr>
          <w:iCs/>
        </w:rPr>
        <w:t xml:space="preserve">est-corrected visual acuity; </w:t>
      </w:r>
      <w:r w:rsidRPr="00AD5A27">
        <w:rPr>
          <w:rFonts w:eastAsia="Arial Narrow" w:cs="Arial Narrow"/>
          <w:iCs/>
          <w:color w:val="000000" w:themeColor="text1"/>
          <w:szCs w:val="18"/>
        </w:rPr>
        <w:t xml:space="preserve">BSC = </w:t>
      </w:r>
      <w:r w:rsidR="003E6BDC">
        <w:rPr>
          <w:rFonts w:eastAsia="Arial Narrow" w:cs="Arial Narrow"/>
          <w:iCs/>
          <w:color w:val="000000" w:themeColor="text1"/>
          <w:szCs w:val="18"/>
        </w:rPr>
        <w:t>b</w:t>
      </w:r>
      <w:r w:rsidRPr="00AD5A27">
        <w:rPr>
          <w:rFonts w:eastAsia="Arial Narrow" w:cs="Arial Narrow"/>
          <w:iCs/>
          <w:color w:val="000000" w:themeColor="text1"/>
          <w:szCs w:val="18"/>
        </w:rPr>
        <w:t xml:space="preserve">est supportive care; CiA =  conventional immunosuppressive agent; </w:t>
      </w:r>
      <w:r w:rsidRPr="00AD5A27">
        <w:rPr>
          <w:iCs/>
        </w:rPr>
        <w:t xml:space="preserve">CME = cystoid macular edema; CMT = </w:t>
      </w:r>
      <w:r w:rsidR="003E6BDC">
        <w:rPr>
          <w:iCs/>
        </w:rPr>
        <w:t>c</w:t>
      </w:r>
      <w:r w:rsidRPr="00AD5A27">
        <w:rPr>
          <w:iCs/>
        </w:rPr>
        <w:t xml:space="preserve">entral macular thickness; CRT = </w:t>
      </w:r>
      <w:r w:rsidR="003E6BDC">
        <w:rPr>
          <w:iCs/>
        </w:rPr>
        <w:t>c</w:t>
      </w:r>
      <w:r w:rsidRPr="00AD5A27">
        <w:rPr>
          <w:iCs/>
        </w:rPr>
        <w:t xml:space="preserve">entral retinal thickness; DB = </w:t>
      </w:r>
      <w:r w:rsidR="003E6BDC">
        <w:rPr>
          <w:iCs/>
        </w:rPr>
        <w:t>d</w:t>
      </w:r>
      <w:r w:rsidRPr="00AD5A27">
        <w:rPr>
          <w:iCs/>
        </w:rPr>
        <w:t>ouble blinded;</w:t>
      </w:r>
      <w:r w:rsidR="009E1790" w:rsidRPr="00AD5A27">
        <w:rPr>
          <w:iCs/>
        </w:rPr>
        <w:t xml:space="preserve"> EQ-5D = EuroQol 5D; HADS = </w:t>
      </w:r>
      <w:r w:rsidR="003E6BDC">
        <w:rPr>
          <w:iCs/>
        </w:rPr>
        <w:t>H</w:t>
      </w:r>
      <w:r w:rsidR="009E1790" w:rsidRPr="00AD5A27">
        <w:rPr>
          <w:iCs/>
        </w:rPr>
        <w:t xml:space="preserve">ospital Anxiety and Depression Scale; ETDRS = Early Treatment of Diabetic Retinopathy Study; </w:t>
      </w:r>
      <w:r w:rsidRPr="00AD5A27">
        <w:rPr>
          <w:iCs/>
        </w:rPr>
        <w:t>HR = hazard ratio;</w:t>
      </w:r>
      <w:r w:rsidR="009E1790" w:rsidRPr="00AD5A27">
        <w:rPr>
          <w:iCs/>
        </w:rPr>
        <w:t xml:space="preserve"> HRU = health resource utilisation;</w:t>
      </w:r>
      <w:r w:rsidRPr="00AD5A27">
        <w:rPr>
          <w:iCs/>
        </w:rPr>
        <w:t xml:space="preserve"> IFX = </w:t>
      </w:r>
      <w:r w:rsidR="003E6BDC">
        <w:rPr>
          <w:iCs/>
        </w:rPr>
        <w:t>i</w:t>
      </w:r>
      <w:r w:rsidRPr="00AD5A27">
        <w:rPr>
          <w:iCs/>
        </w:rPr>
        <w:t xml:space="preserve">nfliximab; JIA = </w:t>
      </w:r>
      <w:r w:rsidR="003E6BDC">
        <w:rPr>
          <w:iCs/>
        </w:rPr>
        <w:t>j</w:t>
      </w:r>
      <w:r w:rsidRPr="00AD5A27">
        <w:rPr>
          <w:iCs/>
        </w:rPr>
        <w:t xml:space="preserve">uvenile idiopathic arthritis; LFP = laser flare photometry; </w:t>
      </w:r>
      <w:r w:rsidR="009E1790" w:rsidRPr="00AD5A27">
        <w:rPr>
          <w:iCs/>
        </w:rPr>
        <w:t xml:space="preserve">logMAR = logarithm of the minimum angle of resolution; </w:t>
      </w:r>
      <w:r w:rsidRPr="00AD5A27">
        <w:rPr>
          <w:iCs/>
        </w:rPr>
        <w:t xml:space="preserve">MC = </w:t>
      </w:r>
      <w:r w:rsidR="003E6BDC">
        <w:rPr>
          <w:iCs/>
        </w:rPr>
        <w:t>m</w:t>
      </w:r>
      <w:r w:rsidRPr="00AD5A27">
        <w:rPr>
          <w:iCs/>
        </w:rPr>
        <w:t>ulti</w:t>
      </w:r>
      <w:r w:rsidR="003E6BDC">
        <w:rPr>
          <w:iCs/>
        </w:rPr>
        <w:t>-</w:t>
      </w:r>
      <w:r w:rsidRPr="00AD5A27">
        <w:rPr>
          <w:iCs/>
        </w:rPr>
        <w:t xml:space="preserve">centre; </w:t>
      </w:r>
      <w:r w:rsidRPr="003E6BDC">
        <w:rPr>
          <w:iCs/>
        </w:rPr>
        <w:t xml:space="preserve">MTX = </w:t>
      </w:r>
      <w:r w:rsidR="003E6BDC">
        <w:rPr>
          <w:iCs/>
        </w:rPr>
        <w:t>m</w:t>
      </w:r>
      <w:r w:rsidRPr="003E6BDC">
        <w:rPr>
          <w:iCs/>
        </w:rPr>
        <w:t>ethotrexate;</w:t>
      </w:r>
      <w:r w:rsidRPr="00AD5A27">
        <w:rPr>
          <w:iCs/>
        </w:rPr>
        <w:t xml:space="preserve"> NIIPPU = </w:t>
      </w:r>
      <w:r w:rsidR="003E6BDC">
        <w:rPr>
          <w:iCs/>
        </w:rPr>
        <w:t>n</w:t>
      </w:r>
      <w:r w:rsidRPr="00AD5A27">
        <w:rPr>
          <w:iCs/>
        </w:rPr>
        <w:t xml:space="preserve">on-infectious intermediate, posterior and panuveitis uveitis; NIIPPAU = </w:t>
      </w:r>
      <w:r w:rsidR="003E6BDC">
        <w:rPr>
          <w:iCs/>
        </w:rPr>
        <w:t>n</w:t>
      </w:r>
      <w:r w:rsidRPr="00AD5A27">
        <w:rPr>
          <w:iCs/>
        </w:rPr>
        <w:t xml:space="preserve">on-infectious intermediate, posterior, panuveitis and anterior uveitis; NIU = </w:t>
      </w:r>
      <w:r w:rsidR="003E6BDC">
        <w:rPr>
          <w:iCs/>
        </w:rPr>
        <w:t>n</w:t>
      </w:r>
      <w:r w:rsidRPr="00AD5A27">
        <w:rPr>
          <w:iCs/>
        </w:rPr>
        <w:t xml:space="preserve">on-infectious uveitis; NR = </w:t>
      </w:r>
      <w:r w:rsidR="003E6BDC">
        <w:rPr>
          <w:iCs/>
        </w:rPr>
        <w:t>n</w:t>
      </w:r>
      <w:r w:rsidRPr="00AD5A27">
        <w:rPr>
          <w:iCs/>
        </w:rPr>
        <w:t xml:space="preserve">ot reported; </w:t>
      </w:r>
      <w:r w:rsidR="009E1790" w:rsidRPr="00AD5A27">
        <w:rPr>
          <w:iCs/>
        </w:rPr>
        <w:t xml:space="preserve">OCT = optical coherence tomography; </w:t>
      </w:r>
      <w:r w:rsidRPr="00AD5A27">
        <w:rPr>
          <w:iCs/>
        </w:rPr>
        <w:t xml:space="preserve">OL = </w:t>
      </w:r>
      <w:r w:rsidR="003E6BDC">
        <w:rPr>
          <w:iCs/>
        </w:rPr>
        <w:t>o</w:t>
      </w:r>
      <w:r w:rsidRPr="00AD5A27">
        <w:rPr>
          <w:iCs/>
        </w:rPr>
        <w:t>pen label; PMR = post market review;</w:t>
      </w:r>
      <w:r w:rsidR="003E6BDC">
        <w:rPr>
          <w:iCs/>
        </w:rPr>
        <w:t xml:space="preserve"> R = randomised;</w:t>
      </w:r>
      <w:r w:rsidRPr="00AD5A27">
        <w:rPr>
          <w:iCs/>
        </w:rPr>
        <w:t xml:space="preserve"> RT = </w:t>
      </w:r>
      <w:r w:rsidR="003E6BDC">
        <w:rPr>
          <w:iCs/>
        </w:rPr>
        <w:t>r</w:t>
      </w:r>
      <w:r w:rsidRPr="00AD5A27">
        <w:rPr>
          <w:iCs/>
        </w:rPr>
        <w:t xml:space="preserve">etrospective; RV = retinal vasculitis; SC = </w:t>
      </w:r>
      <w:r w:rsidR="003E6BDC">
        <w:rPr>
          <w:iCs/>
        </w:rPr>
        <w:t>s</w:t>
      </w:r>
      <w:r w:rsidRPr="00AD5A27">
        <w:rPr>
          <w:iCs/>
        </w:rPr>
        <w:t xml:space="preserve">ingle centre; VA = </w:t>
      </w:r>
      <w:r w:rsidR="003E6BDC">
        <w:rPr>
          <w:iCs/>
        </w:rPr>
        <w:t>v</w:t>
      </w:r>
      <w:r w:rsidRPr="00AD5A27">
        <w:rPr>
          <w:iCs/>
        </w:rPr>
        <w:t xml:space="preserve">isual acuity; </w:t>
      </w:r>
      <w:r w:rsidR="009E1790" w:rsidRPr="00AD5A27">
        <w:rPr>
          <w:iCs/>
        </w:rPr>
        <w:t xml:space="preserve">VFQ-25 = Visual Functioning Questionnaire-25; </w:t>
      </w:r>
      <w:r w:rsidRPr="00AD5A27">
        <w:rPr>
          <w:iCs/>
        </w:rPr>
        <w:t xml:space="preserve">VH = </w:t>
      </w:r>
      <w:r w:rsidR="003E6BDC">
        <w:rPr>
          <w:iCs/>
        </w:rPr>
        <w:t>v</w:t>
      </w:r>
      <w:r w:rsidRPr="00AD5A27">
        <w:rPr>
          <w:iCs/>
        </w:rPr>
        <w:t>itreous haziness</w:t>
      </w:r>
      <w:r w:rsidR="009E1790" w:rsidRPr="00AD5A27">
        <w:rPr>
          <w:iCs/>
        </w:rPr>
        <w:t xml:space="preserve">; </w:t>
      </w:r>
      <w:r w:rsidRPr="00AD5A27">
        <w:rPr>
          <w:iCs/>
        </w:rPr>
        <w:t xml:space="preserve"> </w:t>
      </w:r>
      <w:r w:rsidR="009E1790" w:rsidRPr="00AD5A27">
        <w:rPr>
          <w:iCs/>
        </w:rPr>
        <w:t>WPAI-SHP = Work Productivity and Activity Impairment, Questionnaire: Specific Health Problem Questionnaire</w:t>
      </w:r>
    </w:p>
    <w:p w14:paraId="21398802" w14:textId="46BACF02" w:rsidR="002A66BB" w:rsidRPr="00AD5A27" w:rsidRDefault="002A66BB">
      <w:pPr>
        <w:pStyle w:val="FooterTableFigure"/>
        <w:widowControl w:val="0"/>
        <w:rPr>
          <w:iCs/>
        </w:rPr>
      </w:pPr>
      <w:r w:rsidRPr="00AD5A27">
        <w:rPr>
          <w:iCs/>
        </w:rPr>
        <w:t>a VISUAL III, was a single arm, open-label study and assessed for bias by the Risk Of Bias</w:t>
      </w:r>
      <w:r w:rsidR="0088350E" w:rsidRPr="00AD5A27">
        <w:rPr>
          <w:iCs/>
        </w:rPr>
        <w:t>.</w:t>
      </w:r>
      <w:r w:rsidRPr="00AD5A27">
        <w:rPr>
          <w:iCs/>
        </w:rPr>
        <w:t xml:space="preserve"> </w:t>
      </w:r>
      <w:r w:rsidR="0088350E" w:rsidRPr="00AD5A27">
        <w:rPr>
          <w:iCs/>
        </w:rPr>
        <w:br/>
      </w:r>
      <w:r w:rsidRPr="00AD5A27">
        <w:rPr>
          <w:iCs/>
        </w:rPr>
        <w:t xml:space="preserve">In Non-randomised Studies - of Interventions (ROBINS)-I tool. The observational studies risk of bias (ROB) was high. The ROBINS-I moderate, serious and critical ROB is equivalent to high ROB2. </w:t>
      </w:r>
    </w:p>
    <w:p w14:paraId="37237E15" w14:textId="77777777" w:rsidR="002A66BB" w:rsidRPr="00AD5A27" w:rsidRDefault="002A66BB">
      <w:pPr>
        <w:pStyle w:val="FooterTableFigure"/>
        <w:widowControl w:val="0"/>
        <w:rPr>
          <w:iCs/>
        </w:rPr>
      </w:pPr>
      <w:r w:rsidRPr="00AD5A27">
        <w:rPr>
          <w:iCs/>
        </w:rPr>
        <w:t xml:space="preserve">b Using a composite of 4 components: inflammatory, chorioretinal and/or inflammatory retinal vascular lesions; AC cell grade; VH grade; and visual acuity </w:t>
      </w:r>
    </w:p>
    <w:p w14:paraId="67A8BECC" w14:textId="77777777" w:rsidR="002A66BB" w:rsidRPr="00AD5A27" w:rsidRDefault="002A66BB">
      <w:pPr>
        <w:pStyle w:val="FooterTableFigure"/>
        <w:widowControl w:val="0"/>
        <w:rPr>
          <w:iCs/>
        </w:rPr>
      </w:pPr>
      <w:r w:rsidRPr="00AD5A27">
        <w:rPr>
          <w:iCs/>
        </w:rPr>
        <w:t>c Maalouf 2022 study was conducted in sight-threatening NIU (i.e., RV and/or CME), which was assumed to be ‘active’ disease. Anterior disease was not included in the description although was included in univariate analysis of factors associated with complete response and relapse.</w:t>
      </w:r>
    </w:p>
    <w:p w14:paraId="4FAC89C6" w14:textId="77777777" w:rsidR="002A66BB" w:rsidRPr="00AD5A27" w:rsidRDefault="002A66BB">
      <w:pPr>
        <w:pStyle w:val="FooterTableFigure"/>
        <w:widowControl w:val="0"/>
        <w:rPr>
          <w:iCs/>
        </w:rPr>
      </w:pPr>
      <w:r w:rsidRPr="00AD5A27">
        <w:rPr>
          <w:iCs/>
        </w:rPr>
        <w:t>d Controlled/active disease was not reported.</w:t>
      </w:r>
    </w:p>
    <w:p w14:paraId="1314F4F8" w14:textId="1F9D485B" w:rsidR="009469DD" w:rsidRPr="00AD5A27" w:rsidRDefault="009469DD">
      <w:pPr>
        <w:pStyle w:val="FooterTableFigure"/>
        <w:widowControl w:val="0"/>
        <w:rPr>
          <w:iCs/>
        </w:rPr>
      </w:pPr>
      <w:r w:rsidRPr="00AD5A27">
        <w:rPr>
          <w:iCs/>
        </w:rPr>
        <w:t xml:space="preserve">e </w:t>
      </w:r>
      <w:r w:rsidR="002E4D62" w:rsidRPr="00AD5A27">
        <w:rPr>
          <w:iCs/>
        </w:rPr>
        <w:t>D</w:t>
      </w:r>
      <w:r w:rsidRPr="00AD5A27">
        <w:rPr>
          <w:iCs/>
        </w:rPr>
        <w:t xml:space="preserve">efined as the absence of active inflammatory lesions and </w:t>
      </w:r>
      <w:r w:rsidR="008D3D1D" w:rsidRPr="00AD5A27">
        <w:rPr>
          <w:iCs/>
        </w:rPr>
        <w:t>AC</w:t>
      </w:r>
      <w:r w:rsidRPr="00AD5A27">
        <w:rPr>
          <w:iCs/>
        </w:rPr>
        <w:t xml:space="preserve"> cell grade ≤0.5+ and VH grade ≤0.5+ with concomitant steroid use or in a steroid-free state.</w:t>
      </w:r>
    </w:p>
    <w:p w14:paraId="292E5FD3" w14:textId="77777777" w:rsidR="002A66BB" w:rsidRPr="00AD5A27" w:rsidRDefault="002A66BB">
      <w:pPr>
        <w:pStyle w:val="FooterTableFigure"/>
        <w:rPr>
          <w:iCs/>
          <w:szCs w:val="18"/>
        </w:rPr>
      </w:pPr>
      <w:r w:rsidRPr="00AD5A27">
        <w:rPr>
          <w:iCs/>
          <w:szCs w:val="18"/>
          <w:shd w:val="clear" w:color="auto" w:fill="B8CCE4" w:themeFill="accent1" w:themeFillTint="66"/>
        </w:rPr>
        <w:t>Blue shading</w:t>
      </w:r>
      <w:r w:rsidRPr="00AD5A27">
        <w:rPr>
          <w:iCs/>
          <w:szCs w:val="18"/>
        </w:rPr>
        <w:t xml:space="preserve"> indicates data previously seen by the PBAC</w:t>
      </w:r>
      <w:r w:rsidRPr="00AD5A27">
        <w:rPr>
          <w:iCs/>
        </w:rPr>
        <w:t xml:space="preserve"> </w:t>
      </w:r>
      <w:r w:rsidRPr="00AD5A27">
        <w:rPr>
          <w:iCs/>
          <w:szCs w:val="18"/>
        </w:rPr>
        <w:t>including interim analysis of VISUAL III.</w:t>
      </w:r>
    </w:p>
    <w:p w14:paraId="731EF4E5" w14:textId="3A722F08" w:rsidR="002A66BB" w:rsidRPr="00AD5A27" w:rsidRDefault="002A66BB">
      <w:pPr>
        <w:pStyle w:val="3-BodyText"/>
      </w:pPr>
      <w:r w:rsidRPr="00AD5A27">
        <w:t xml:space="preserve">In the VISUAL I and II trials, patients underwent forced rapid tapering of OCS regardless of clinical response, which is not representative of clinical practice. </w:t>
      </w:r>
      <w:r w:rsidR="001F4C86" w:rsidRPr="00AD5A27">
        <w:t xml:space="preserve">The PBAC </w:t>
      </w:r>
      <w:r w:rsidR="002C5715" w:rsidRPr="00AD5A27">
        <w:t>previously considered</w:t>
      </w:r>
      <w:r w:rsidR="001F4C86" w:rsidRPr="00AD5A27">
        <w:t xml:space="preserve"> that the forced corticosteroid taper schedules may have overestimated the treatment effect of adalimumab (para. 7.5, ADA, PSD, March 2017 PBAC meeting). </w:t>
      </w:r>
      <w:r w:rsidRPr="00AD5A27">
        <w:t>Only a proportion of patients (approximately 31% in VISUAL I and 47% in VISUAL II) were taking immunomodulatory therapy at baseline. Based on these reasons, the PBAC previously noted that that intention to treat (ITT) populations in the VISUAL I and VISUAL II trials were not representative of the eligible population under the requested listing (</w:t>
      </w:r>
      <w:r w:rsidRPr="00AD5A27">
        <w:rPr>
          <w:rStyle w:val="3-BodyTextChar"/>
        </w:rPr>
        <w:t>para</w:t>
      </w:r>
      <w:r w:rsidR="00CA4EF0" w:rsidRPr="00AD5A27">
        <w:rPr>
          <w:rStyle w:val="3-BodyTextChar"/>
        </w:rPr>
        <w:t>s</w:t>
      </w:r>
      <w:r w:rsidR="00C27F51" w:rsidRPr="00AD5A27">
        <w:rPr>
          <w:rStyle w:val="3-BodyTextChar"/>
        </w:rPr>
        <w:t>.</w:t>
      </w:r>
      <w:r w:rsidRPr="00AD5A27">
        <w:rPr>
          <w:rStyle w:val="3-BodyTextChar"/>
        </w:rPr>
        <w:t xml:space="preserve"> 6.11 &amp; 6.12, adalimumab, PSD, March 2017 PBAC meeting)</w:t>
      </w:r>
      <w:r w:rsidRPr="00AD5A27">
        <w:t xml:space="preserve">. The VISUAL III study and observational studies did not </w:t>
      </w:r>
      <w:r w:rsidR="00C27F51" w:rsidRPr="00AD5A27">
        <w:t xml:space="preserve">include </w:t>
      </w:r>
      <w:r w:rsidRPr="00AD5A27">
        <w:t>forced rapid tapering of OCS and allowed the concomitant usage of both OCS and immunomodulatory therapies, which is likely to be representative of real-world practice. However, these studies were prone</w:t>
      </w:r>
      <w:r w:rsidR="003A52E8" w:rsidRPr="00AD5A27">
        <w:t xml:space="preserve"> to a</w:t>
      </w:r>
      <w:r w:rsidRPr="00AD5A27">
        <w:t xml:space="preserve"> high risk of bias given their non-randomised study designs. In the VISUAL III study, the</w:t>
      </w:r>
      <w:r w:rsidR="00ED34B8" w:rsidRPr="00AD5A27">
        <w:t xml:space="preserve"> number of patients</w:t>
      </w:r>
      <w:r w:rsidRPr="00AD5A27">
        <w:t xml:space="preserve"> decreased significantly after week 78 because sites closed on regulatory or reimbursement approval. At week 150, only around 50% of the patients remained in the study. Further, the efficacy of adalimumab cannot be assessed in the absence of a control group.</w:t>
      </w:r>
    </w:p>
    <w:p w14:paraId="05A5EDD4" w14:textId="3FEDD3A7" w:rsidR="002A66BB" w:rsidRPr="00AD5A27" w:rsidRDefault="002A66BB">
      <w:pPr>
        <w:pStyle w:val="3-BodyText"/>
        <w:rPr>
          <w:rStyle w:val="3-BodyTextChar"/>
        </w:rPr>
      </w:pPr>
      <w:r w:rsidRPr="00AD5A27">
        <w:rPr>
          <w:rStyle w:val="3-BodyTextChar"/>
        </w:rPr>
        <w:t xml:space="preserve">The primary efficacy outcome </w:t>
      </w:r>
      <w:r w:rsidR="003A52E8" w:rsidRPr="00AD5A27">
        <w:rPr>
          <w:rStyle w:val="3-BodyTextChar"/>
        </w:rPr>
        <w:t xml:space="preserve">in the VISUAL I and II trials </w:t>
      </w:r>
      <w:r w:rsidRPr="00AD5A27">
        <w:rPr>
          <w:rStyle w:val="3-BodyTextChar"/>
        </w:rPr>
        <w:t>was the time to treatment failure (i.e. flare). This was a composite outcome consisting of 4 component endpoints:</w:t>
      </w:r>
    </w:p>
    <w:p w14:paraId="49A1A293" w14:textId="0D35D37A" w:rsidR="002A66BB" w:rsidRPr="00AD5A27" w:rsidRDefault="00E17015">
      <w:pPr>
        <w:pStyle w:val="ListParagraph"/>
        <w:ind w:left="1151" w:hanging="357"/>
        <w:rPr>
          <w:rStyle w:val="3-BodyTextChar"/>
        </w:rPr>
      </w:pPr>
      <w:r w:rsidRPr="00AD5A27">
        <w:rPr>
          <w:rStyle w:val="3-BodyTextChar"/>
        </w:rPr>
        <w:t>n</w:t>
      </w:r>
      <w:r w:rsidR="002A66BB" w:rsidRPr="00AD5A27">
        <w:rPr>
          <w:rStyle w:val="3-BodyTextChar"/>
        </w:rPr>
        <w:t>ew inflammatory, chorioretinal and/or inflammatory retinal vascular lesions relative to baseline</w:t>
      </w:r>
      <w:r w:rsidRPr="00AD5A27">
        <w:rPr>
          <w:rStyle w:val="3-BodyTextChar"/>
        </w:rPr>
        <w:t>;</w:t>
      </w:r>
    </w:p>
    <w:p w14:paraId="58E6C2F5" w14:textId="19E8C491" w:rsidR="002A66BB" w:rsidRPr="00AD5A27" w:rsidRDefault="00E17015">
      <w:pPr>
        <w:pStyle w:val="ListParagraph"/>
        <w:ind w:left="1151" w:hanging="357"/>
        <w:rPr>
          <w:rStyle w:val="3-BodyTextChar"/>
        </w:rPr>
      </w:pPr>
      <w:r w:rsidRPr="00AD5A27">
        <w:rPr>
          <w:rStyle w:val="3-BodyTextChar"/>
        </w:rPr>
        <w:t>t</w:t>
      </w:r>
      <w:r w:rsidR="002A66BB" w:rsidRPr="00AD5A27">
        <w:rPr>
          <w:rStyle w:val="3-BodyTextChar"/>
        </w:rPr>
        <w:t>wo-step increase in anterior chamber cell grade relative to best state achieved (Standardisation of Uveitis Nomenclature; Jabs et al. 2005)</w:t>
      </w:r>
      <w:r w:rsidRPr="00AD5A27">
        <w:rPr>
          <w:rStyle w:val="3-BodyTextChar"/>
        </w:rPr>
        <w:t>;</w:t>
      </w:r>
    </w:p>
    <w:p w14:paraId="27D21DE0" w14:textId="7F9AE11F" w:rsidR="002A66BB" w:rsidRPr="00AD5A27" w:rsidRDefault="00E17015">
      <w:pPr>
        <w:pStyle w:val="ListParagraph"/>
        <w:ind w:left="1151" w:hanging="357"/>
        <w:rPr>
          <w:rStyle w:val="3-BodyTextChar"/>
        </w:rPr>
      </w:pPr>
      <w:r w:rsidRPr="00AD5A27">
        <w:rPr>
          <w:rStyle w:val="3-BodyTextChar"/>
        </w:rPr>
        <w:lastRenderedPageBreak/>
        <w:t>t</w:t>
      </w:r>
      <w:r w:rsidR="002A66BB" w:rsidRPr="00AD5A27">
        <w:rPr>
          <w:rStyle w:val="3-BodyTextChar"/>
        </w:rPr>
        <w:t>wo-step increase in vitreous haze grade relative to best state achieved (Standardisation of Uveitis Nomenclature; Jabs et al. 2005)</w:t>
      </w:r>
      <w:r w:rsidRPr="00AD5A27">
        <w:rPr>
          <w:rStyle w:val="3-BodyTextChar"/>
        </w:rPr>
        <w:t>; and</w:t>
      </w:r>
    </w:p>
    <w:p w14:paraId="42D0F14B" w14:textId="753372C4" w:rsidR="002A66BB" w:rsidRPr="00AD5A27" w:rsidRDefault="00E17015">
      <w:pPr>
        <w:pStyle w:val="ListParagraph"/>
        <w:ind w:left="1151" w:hanging="357"/>
        <w:rPr>
          <w:rStyle w:val="3-BodyTextChar"/>
        </w:rPr>
      </w:pPr>
      <w:r w:rsidRPr="00AD5A27">
        <w:rPr>
          <w:rStyle w:val="3-BodyTextChar"/>
        </w:rPr>
        <w:t>w</w:t>
      </w:r>
      <w:r w:rsidR="002A66BB" w:rsidRPr="00AD5A27">
        <w:rPr>
          <w:rStyle w:val="3-BodyTextChar"/>
        </w:rPr>
        <w:t>orsening of best corrected visual acuity by ≥15 letters relative to baseline (Early Treatment Diabetic Retinopathy Study chart).</w:t>
      </w:r>
    </w:p>
    <w:p w14:paraId="0B7FC553" w14:textId="1D68ABF3" w:rsidR="002A66BB" w:rsidRPr="00401B15" w:rsidRDefault="00A140FB" w:rsidP="00401B15">
      <w:pPr>
        <w:pStyle w:val="3-BodyText"/>
        <w:rPr>
          <w:rStyle w:val="3-BodyTextChar"/>
        </w:rPr>
      </w:pPr>
      <w:r w:rsidRPr="00AD5A27">
        <w:rPr>
          <w:rStyle w:val="3-BodyTextChar"/>
        </w:rPr>
        <w:t xml:space="preserve">The clinical trials supporting the clinical claim of superiority </w:t>
      </w:r>
      <w:r w:rsidR="002E2C8A" w:rsidRPr="00AD5A27">
        <w:rPr>
          <w:rStyle w:val="3-BodyTextChar"/>
        </w:rPr>
        <w:t>were</w:t>
      </w:r>
      <w:r w:rsidRPr="00AD5A27">
        <w:rPr>
          <w:rStyle w:val="3-BodyTextChar"/>
        </w:rPr>
        <w:t xml:space="preserve"> unchanged since the March 2017 submission.</w:t>
      </w:r>
    </w:p>
    <w:p w14:paraId="3FC1C0C4" w14:textId="77777777" w:rsidR="002A66BB" w:rsidRPr="00AD5A27" w:rsidRDefault="002A66BB">
      <w:pPr>
        <w:pStyle w:val="4-SubsectionHeading"/>
      </w:pPr>
      <w:bookmarkStart w:id="23" w:name="_Toc22897641"/>
      <w:bookmarkStart w:id="24" w:name="_Toc124779763"/>
      <w:bookmarkStart w:id="25" w:name="_Toc156988905"/>
      <w:r w:rsidRPr="00AD5A27">
        <w:t>Comparative effectiveness</w:t>
      </w:r>
      <w:bookmarkEnd w:id="23"/>
      <w:bookmarkEnd w:id="24"/>
      <w:bookmarkEnd w:id="25"/>
    </w:p>
    <w:p w14:paraId="070D0137" w14:textId="77777777" w:rsidR="002A66BB" w:rsidRPr="00AD5A27" w:rsidRDefault="002A66BB" w:rsidP="00771261">
      <w:pPr>
        <w:pStyle w:val="5-SubsectionSubheading"/>
      </w:pPr>
      <w:bookmarkStart w:id="26" w:name="_Toc124779764"/>
      <w:r w:rsidRPr="00AD5A27">
        <w:t>Whole trial analysis</w:t>
      </w:r>
      <w:bookmarkEnd w:id="26"/>
    </w:p>
    <w:p w14:paraId="18F43E93" w14:textId="77777777" w:rsidR="002A66BB" w:rsidRPr="00AD5A27" w:rsidRDefault="002A66BB">
      <w:pPr>
        <w:pStyle w:val="3-BodyText"/>
        <w:keepNext/>
        <w:numPr>
          <w:ilvl w:val="0"/>
          <w:numId w:val="0"/>
        </w:numPr>
        <w:rPr>
          <w:u w:val="single"/>
        </w:rPr>
      </w:pPr>
      <w:r w:rsidRPr="00AD5A27">
        <w:rPr>
          <w:u w:val="single"/>
        </w:rPr>
        <w:t>Adults</w:t>
      </w:r>
    </w:p>
    <w:p w14:paraId="6D114B97" w14:textId="5F7E7B08" w:rsidR="002A66BB" w:rsidRPr="00AD5A27" w:rsidRDefault="002A66BB" w:rsidP="002A66BB">
      <w:pPr>
        <w:pStyle w:val="ListParagraph"/>
        <w:numPr>
          <w:ilvl w:val="1"/>
          <w:numId w:val="4"/>
        </w:numPr>
        <w:contextualSpacing/>
        <w:jc w:val="left"/>
        <w:rPr>
          <w:rFonts w:ascii="Arial Narrow" w:hAnsi="Arial Narrow"/>
          <w:b/>
          <w:sz w:val="20"/>
        </w:rPr>
      </w:pPr>
      <w:r w:rsidRPr="00AD5A27">
        <w:t xml:space="preserve">Time to treatment failure (primary outcome) with adalimumab and placebo from the VISUAL I trial is summarised in </w:t>
      </w:r>
      <w:r w:rsidRPr="00AD5A27">
        <w:fldChar w:fldCharType="begin" w:fldLock="1"/>
      </w:r>
      <w:r w:rsidRPr="00AD5A27">
        <w:instrText xml:space="preserve"> REF _Ref152881813 \h </w:instrText>
      </w:r>
      <w:r w:rsidRPr="00AD5A27">
        <w:fldChar w:fldCharType="separate"/>
      </w:r>
      <w:r w:rsidR="00B510E9" w:rsidRPr="00AD5A27">
        <w:t>Figure 1</w:t>
      </w:r>
      <w:r w:rsidRPr="00AD5A27">
        <w:fldChar w:fldCharType="end"/>
      </w:r>
      <w:r w:rsidRPr="00AD5A27">
        <w:t xml:space="preserve">. </w:t>
      </w:r>
    </w:p>
    <w:p w14:paraId="4B8DD6EB" w14:textId="2AA6DD03" w:rsidR="002A66BB" w:rsidRPr="00AD5A27" w:rsidRDefault="002A66BB" w:rsidP="00ED34B8">
      <w:pPr>
        <w:pStyle w:val="Caption"/>
        <w:shd w:val="clear" w:color="auto" w:fill="B8CCE4" w:themeFill="accent1" w:themeFillTint="66"/>
        <w:jc w:val="left"/>
      </w:pPr>
      <w:bookmarkStart w:id="27" w:name="_Ref152881813"/>
      <w:r w:rsidRPr="00AD5A27">
        <w:t xml:space="preserve">Figure </w:t>
      </w:r>
      <w:r w:rsidR="004050E4">
        <w:fldChar w:fldCharType="begin" w:fldLock="1"/>
      </w:r>
      <w:r w:rsidR="004050E4">
        <w:instrText xml:space="preserve"> SEQ Figure \* ARABIC </w:instrText>
      </w:r>
      <w:r w:rsidR="004050E4">
        <w:fldChar w:fldCharType="separate"/>
      </w:r>
      <w:r w:rsidR="00B510E9" w:rsidRPr="00AD5A27">
        <w:t>1</w:t>
      </w:r>
      <w:r w:rsidR="004050E4">
        <w:fldChar w:fldCharType="end"/>
      </w:r>
      <w:bookmarkEnd w:id="27"/>
      <w:r w:rsidRPr="00AD5A27">
        <w:t>: Kaplan-Meier curves of time to treatment failure (ITT population; VISUAL I)</w:t>
      </w:r>
    </w:p>
    <w:p w14:paraId="1B7AC0FA" w14:textId="77777777" w:rsidR="002A66BB" w:rsidRPr="00AD5A27" w:rsidRDefault="002A66BB">
      <w:pPr>
        <w:jc w:val="left"/>
        <w:rPr>
          <w:szCs w:val="22"/>
        </w:rPr>
      </w:pPr>
      <w:r w:rsidRPr="00AD5A27">
        <w:rPr>
          <w:noProof/>
        </w:rPr>
        <w:drawing>
          <wp:inline distT="0" distB="0" distL="0" distR="0" wp14:anchorId="6EE66F04" wp14:editId="42E2971F">
            <wp:extent cx="5724525" cy="2966720"/>
            <wp:effectExtent l="19050" t="19050" r="28575" b="24130"/>
            <wp:docPr id="5" name="Picture 5" descr="Figure 1: Kaplan-Meier curves of time to treatment failure (ITT population; VISUAL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1: Kaplan-Meier curves of time to treatment failure (ITT population; VISUAL 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6446" cy="2972898"/>
                    </a:xfrm>
                    <a:prstGeom prst="rect">
                      <a:avLst/>
                    </a:prstGeom>
                    <a:noFill/>
                    <a:ln w="3175">
                      <a:solidFill>
                        <a:schemeClr val="tx1"/>
                      </a:solidFill>
                    </a:ln>
                  </pic:spPr>
                </pic:pic>
              </a:graphicData>
            </a:graphic>
          </wp:inline>
        </w:drawing>
      </w:r>
    </w:p>
    <w:p w14:paraId="4F49F4DC" w14:textId="5C5231E3" w:rsidR="002A66BB" w:rsidRPr="00AD5A27" w:rsidRDefault="002A66BB">
      <w:pPr>
        <w:jc w:val="left"/>
        <w:rPr>
          <w:rFonts w:ascii="Arial Narrow" w:hAnsi="Arial Narrow"/>
          <w:sz w:val="18"/>
          <w:szCs w:val="18"/>
        </w:rPr>
      </w:pPr>
      <w:r w:rsidRPr="00AD5A27">
        <w:rPr>
          <w:rFonts w:ascii="Arial Narrow" w:hAnsi="Arial Narrow"/>
          <w:sz w:val="18"/>
          <w:szCs w:val="18"/>
        </w:rPr>
        <w:t>Source: Figure 1, p.938 Jaffe et al. (2016)</w:t>
      </w:r>
      <w:r w:rsidR="00B205C4" w:rsidRPr="00AD5A27">
        <w:rPr>
          <w:rFonts w:ascii="Arial Narrow" w:hAnsi="Arial Narrow"/>
          <w:sz w:val="18"/>
          <w:szCs w:val="18"/>
        </w:rPr>
        <w:t>.</w:t>
      </w:r>
    </w:p>
    <w:p w14:paraId="6343850B" w14:textId="1252CCDA" w:rsidR="002A66BB" w:rsidRPr="00AD5A27" w:rsidRDefault="002A66BB">
      <w:pPr>
        <w:jc w:val="left"/>
        <w:rPr>
          <w:rFonts w:ascii="Arial Narrow" w:hAnsi="Arial Narrow"/>
          <w:sz w:val="18"/>
          <w:szCs w:val="18"/>
        </w:rPr>
      </w:pPr>
      <w:r w:rsidRPr="00AD5A27">
        <w:rPr>
          <w:rFonts w:ascii="Arial Narrow" w:hAnsi="Arial Narrow"/>
          <w:sz w:val="18"/>
          <w:szCs w:val="18"/>
        </w:rPr>
        <w:t>CI = Confidence interval; N = number; ITT = Intention to treat</w:t>
      </w:r>
      <w:r w:rsidR="003E4C80" w:rsidRPr="00AD5A27">
        <w:rPr>
          <w:rFonts w:ascii="Arial Narrow" w:hAnsi="Arial Narrow"/>
          <w:sz w:val="18"/>
          <w:szCs w:val="18"/>
        </w:rPr>
        <w:t>.</w:t>
      </w:r>
    </w:p>
    <w:p w14:paraId="1F565BAD" w14:textId="3BE1573B" w:rsidR="002A66BB" w:rsidRPr="00AD5A27" w:rsidRDefault="002A66BB" w:rsidP="00525B42">
      <w:pPr>
        <w:pStyle w:val="ListParagraph"/>
        <w:numPr>
          <w:ilvl w:val="1"/>
          <w:numId w:val="4"/>
        </w:numPr>
        <w:spacing w:before="120"/>
        <w:contextualSpacing/>
        <w:rPr>
          <w:szCs w:val="22"/>
        </w:rPr>
      </w:pPr>
      <w:r w:rsidRPr="00AD5A27">
        <w:t xml:space="preserve">Treatment with adalimumab was associated with a statistically significant increase in time to treatment failure compared with placebo (median time to treatment failure 5.6 months vs. 3 months with placebo; </w:t>
      </w:r>
      <w:r w:rsidR="00361167" w:rsidRPr="00AD5A27">
        <w:t>hazard ratio (</w:t>
      </w:r>
      <w:r w:rsidRPr="00AD5A27">
        <w:t>HR</w:t>
      </w:r>
      <w:r w:rsidR="00361167" w:rsidRPr="00AD5A27">
        <w:t>)</w:t>
      </w:r>
      <w:r w:rsidRPr="00AD5A27">
        <w:t xml:space="preserve"> 0.50, 95% CI: 0.36, 0.70). This</w:t>
      </w:r>
      <w:r w:rsidRPr="00AD5A27" w:rsidDel="000C4525">
        <w:t xml:space="preserve"> </w:t>
      </w:r>
      <w:r w:rsidRPr="00AD5A27">
        <w:t>was unchanged from the March 2017 submission.</w:t>
      </w:r>
    </w:p>
    <w:p w14:paraId="4F07C9C6" w14:textId="05BF4222" w:rsidR="002A66BB" w:rsidRPr="00AD5A27" w:rsidRDefault="002A66BB">
      <w:pPr>
        <w:pStyle w:val="3-BodyText"/>
        <w:rPr>
          <w:szCs w:val="22"/>
        </w:rPr>
      </w:pPr>
      <w:r w:rsidRPr="00AD5A27">
        <w:t xml:space="preserve">Time to treatment failure (primary outcome) with adalimumab and placebo from VISUAL II is summarised in </w:t>
      </w:r>
      <w:r w:rsidRPr="00AD5A27">
        <w:fldChar w:fldCharType="begin" w:fldLock="1"/>
      </w:r>
      <w:r w:rsidRPr="00AD5A27">
        <w:instrText xml:space="preserve"> REF _Ref152881868 \h </w:instrText>
      </w:r>
      <w:r w:rsidRPr="00AD5A27">
        <w:fldChar w:fldCharType="separate"/>
      </w:r>
      <w:r w:rsidR="00B510E9" w:rsidRPr="00AD5A27">
        <w:t>Figure 2</w:t>
      </w:r>
      <w:r w:rsidRPr="00AD5A27">
        <w:fldChar w:fldCharType="end"/>
      </w:r>
      <w:r w:rsidRPr="00AD5A27">
        <w:t>.</w:t>
      </w:r>
    </w:p>
    <w:p w14:paraId="78D4872B" w14:textId="6683FACA" w:rsidR="002A66BB" w:rsidRPr="00AD5A27" w:rsidRDefault="002A66BB" w:rsidP="00D04389">
      <w:pPr>
        <w:pStyle w:val="Caption"/>
        <w:shd w:val="clear" w:color="auto" w:fill="B8CCE4" w:themeFill="accent1" w:themeFillTint="66"/>
      </w:pPr>
      <w:bookmarkStart w:id="28" w:name="_Ref152881868"/>
      <w:r w:rsidRPr="00AD5A27">
        <w:lastRenderedPageBreak/>
        <w:t xml:space="preserve">Figure </w:t>
      </w:r>
      <w:r w:rsidR="004050E4">
        <w:fldChar w:fldCharType="begin" w:fldLock="1"/>
      </w:r>
      <w:r w:rsidR="004050E4">
        <w:instrText xml:space="preserve"> SEQ Figure \* ARABIC </w:instrText>
      </w:r>
      <w:r w:rsidR="004050E4">
        <w:fldChar w:fldCharType="separate"/>
      </w:r>
      <w:r w:rsidR="00B510E9" w:rsidRPr="00AD5A27">
        <w:t>2</w:t>
      </w:r>
      <w:r w:rsidR="004050E4">
        <w:fldChar w:fldCharType="end"/>
      </w:r>
      <w:bookmarkEnd w:id="28"/>
      <w:r w:rsidRPr="00AD5A27">
        <w:t>: Kaplan-Meier curves of time to treatment failure (ITT population; VISUAL II)</w:t>
      </w:r>
    </w:p>
    <w:p w14:paraId="0C527F73" w14:textId="77777777" w:rsidR="002A66BB" w:rsidRPr="00AD5A27" w:rsidRDefault="002A66BB" w:rsidP="00D04389">
      <w:pPr>
        <w:keepNext/>
        <w:rPr>
          <w:szCs w:val="22"/>
        </w:rPr>
      </w:pPr>
      <w:r w:rsidRPr="00AD5A27">
        <w:rPr>
          <w:noProof/>
          <w:szCs w:val="22"/>
        </w:rPr>
        <w:drawing>
          <wp:inline distT="0" distB="0" distL="0" distR="0" wp14:anchorId="76200C9F" wp14:editId="215BF49F">
            <wp:extent cx="5476875" cy="2834640"/>
            <wp:effectExtent l="19050" t="19050" r="28575" b="22860"/>
            <wp:docPr id="7" name="Picture 7" descr="Figure 2: Kaplan-Meier curves of time to treatment failure (ITT population; VISUAL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2: Kaplan-Meier curves of time to treatment failure (ITT population; VISUAL I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0953" cy="2841926"/>
                    </a:xfrm>
                    <a:prstGeom prst="rect">
                      <a:avLst/>
                    </a:prstGeom>
                    <a:noFill/>
                    <a:ln w="3175">
                      <a:solidFill>
                        <a:schemeClr val="tx1"/>
                      </a:solidFill>
                    </a:ln>
                  </pic:spPr>
                </pic:pic>
              </a:graphicData>
            </a:graphic>
          </wp:inline>
        </w:drawing>
      </w:r>
    </w:p>
    <w:p w14:paraId="53F017F2" w14:textId="77777777" w:rsidR="002A66BB" w:rsidRPr="00AD5A27" w:rsidRDefault="002A66BB" w:rsidP="00D04389">
      <w:pPr>
        <w:pStyle w:val="FooterTableFigure"/>
        <w:keepNext/>
        <w:rPr>
          <w:szCs w:val="18"/>
        </w:rPr>
      </w:pPr>
      <w:r w:rsidRPr="00AD5A27">
        <w:t>Source: Figure 2, p.1188 of Nguyen et al. (2016)</w:t>
      </w:r>
      <w:r w:rsidRPr="00AD5A27">
        <w:rPr>
          <w:szCs w:val="18"/>
        </w:rPr>
        <w:t>.</w:t>
      </w:r>
    </w:p>
    <w:p w14:paraId="3CD38F75" w14:textId="432BEFD6" w:rsidR="002A66BB" w:rsidRPr="00AD5A27" w:rsidRDefault="002A66BB" w:rsidP="00D04389">
      <w:pPr>
        <w:pStyle w:val="FooterTableFigure"/>
        <w:keepNext/>
        <w:rPr>
          <w:szCs w:val="18"/>
        </w:rPr>
      </w:pPr>
      <w:r w:rsidRPr="00AD5A27">
        <w:t xml:space="preserve">HR = </w:t>
      </w:r>
      <w:r w:rsidRPr="00AD5A27">
        <w:rPr>
          <w:szCs w:val="18"/>
        </w:rPr>
        <w:t>Hazard ratio; ITT = Intention to treat</w:t>
      </w:r>
      <w:r w:rsidR="00B205C4" w:rsidRPr="00AD5A27">
        <w:rPr>
          <w:szCs w:val="18"/>
        </w:rPr>
        <w:t>.</w:t>
      </w:r>
    </w:p>
    <w:p w14:paraId="1B334E9A" w14:textId="77777777" w:rsidR="002A66BB" w:rsidRPr="00AD5A27" w:rsidRDefault="002A66BB">
      <w:pPr>
        <w:pStyle w:val="3-BodyText"/>
      </w:pPr>
      <w:r w:rsidRPr="00AD5A27">
        <w:t>Treatment with adalimumab was associated with a statistically significant increase in time to treatment failure compared with placebo (median time to treatment failure not reached vs. 8.3 months with placebo; HR 0.57, 95% CI: 0.39, 0.84). This was unchanged from the March 2017 submission.</w:t>
      </w:r>
    </w:p>
    <w:p w14:paraId="1A5B2E48" w14:textId="7AB62EF5" w:rsidR="002A66BB" w:rsidRPr="00AD5A27" w:rsidRDefault="002A66BB">
      <w:pPr>
        <w:pStyle w:val="3-BodyText"/>
      </w:pPr>
      <w:r w:rsidRPr="00AD5A27">
        <w:t>The economic model in this resubmission used a pooled hazard ratio (HR=0.53) based on the VISUAL I and VISUAL II trials to reflect the effectiveness of adalimumab treatment compared to BSC</w:t>
      </w:r>
      <w:r w:rsidR="0051515E" w:rsidRPr="00AD5A27">
        <w:t xml:space="preserve"> (see </w:t>
      </w:r>
      <w:r w:rsidR="0051515E" w:rsidRPr="00AD5A27">
        <w:fldChar w:fldCharType="begin" w:fldLock="1"/>
      </w:r>
      <w:r w:rsidR="0051515E" w:rsidRPr="00AD5A27">
        <w:instrText xml:space="preserve"> REF _Ref153209319 \h </w:instrText>
      </w:r>
      <w:r w:rsidR="00E72361" w:rsidRPr="00AD5A27">
        <w:instrText xml:space="preserve"> \* MERGEFORMAT </w:instrText>
      </w:r>
      <w:r w:rsidR="0051515E" w:rsidRPr="00AD5A27">
        <w:fldChar w:fldCharType="separate"/>
      </w:r>
      <w:r w:rsidR="00B510E9" w:rsidRPr="00AD5A27">
        <w:t>Figure 3</w:t>
      </w:r>
      <w:r w:rsidR="0051515E" w:rsidRPr="00AD5A27">
        <w:fldChar w:fldCharType="end"/>
      </w:r>
      <w:r w:rsidR="0051515E" w:rsidRPr="00AD5A27">
        <w:t>)</w:t>
      </w:r>
      <w:r w:rsidRPr="00AD5A27">
        <w:t xml:space="preserve">. </w:t>
      </w:r>
      <w:r w:rsidR="004E0D0B" w:rsidRPr="00AD5A27">
        <w:t>T</w:t>
      </w:r>
      <w:r w:rsidR="0025336F" w:rsidRPr="00AD5A27">
        <w:t xml:space="preserve">he </w:t>
      </w:r>
      <w:r w:rsidR="00291E2C" w:rsidRPr="00AD5A27">
        <w:t xml:space="preserve">economic model </w:t>
      </w:r>
      <w:r w:rsidR="00DB0D3A" w:rsidRPr="00AD5A27">
        <w:t xml:space="preserve">for </w:t>
      </w:r>
      <w:r w:rsidR="00291E2C" w:rsidRPr="00AD5A27">
        <w:t xml:space="preserve">the </w:t>
      </w:r>
      <w:r w:rsidR="0025336F" w:rsidRPr="00AD5A27">
        <w:t>original submission used the VISUAL I hazard ratio</w:t>
      </w:r>
      <w:r w:rsidRPr="00AD5A27">
        <w:t>.</w:t>
      </w:r>
    </w:p>
    <w:p w14:paraId="370B4CCF" w14:textId="50789B9E" w:rsidR="002A66BB" w:rsidRPr="00AD5A27" w:rsidRDefault="002A66BB">
      <w:pPr>
        <w:pStyle w:val="TableFigureHeading"/>
      </w:pPr>
      <w:bookmarkStart w:id="29" w:name="_Ref153209319"/>
      <w:r w:rsidRPr="00AD5A27">
        <w:t xml:space="preserve">Figure </w:t>
      </w:r>
      <w:r w:rsidR="004050E4">
        <w:fldChar w:fldCharType="begin" w:fldLock="1"/>
      </w:r>
      <w:r w:rsidR="004050E4">
        <w:instrText xml:space="preserve"> SEQ Figure \* ARABIC </w:instrText>
      </w:r>
      <w:r w:rsidR="004050E4">
        <w:fldChar w:fldCharType="separate"/>
      </w:r>
      <w:r w:rsidR="00B510E9" w:rsidRPr="00AD5A27">
        <w:t>3</w:t>
      </w:r>
      <w:r w:rsidR="004050E4">
        <w:fldChar w:fldCharType="end"/>
      </w:r>
      <w:bookmarkEnd w:id="29"/>
      <w:r w:rsidRPr="00AD5A27">
        <w:t>: Pooled hazard ratio from the VISUAL I and VISUAL II trials</w:t>
      </w:r>
    </w:p>
    <w:p w14:paraId="478E7412" w14:textId="77777777" w:rsidR="002A66BB" w:rsidRPr="00AD5A27" w:rsidRDefault="002A66BB" w:rsidP="009121BD">
      <w:r w:rsidRPr="00AD5A27">
        <w:rPr>
          <w:noProof/>
        </w:rPr>
        <w:drawing>
          <wp:inline distT="0" distB="0" distL="0" distR="0" wp14:anchorId="4AE148CA" wp14:editId="7CE7D327">
            <wp:extent cx="5295900" cy="1374775"/>
            <wp:effectExtent l="19050" t="19050" r="19050" b="15875"/>
            <wp:docPr id="599055293" name="Picture 599055293" descr="Figure 3: Pooled hazard ratio from the VISUAL I and VISUAL II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055293" name="Picture 599055293" descr="Figure 3: Pooled hazard ratio from the VISUAL I and VISUAL II trials"/>
                    <pic:cNvPicPr/>
                  </pic:nvPicPr>
                  <pic:blipFill>
                    <a:blip r:embed="rId10"/>
                    <a:stretch>
                      <a:fillRect/>
                    </a:stretch>
                  </pic:blipFill>
                  <pic:spPr>
                    <a:xfrm>
                      <a:off x="0" y="0"/>
                      <a:ext cx="5310334" cy="1378522"/>
                    </a:xfrm>
                    <a:prstGeom prst="rect">
                      <a:avLst/>
                    </a:prstGeom>
                    <a:ln w="3175">
                      <a:solidFill>
                        <a:schemeClr val="tx1"/>
                      </a:solidFill>
                    </a:ln>
                  </pic:spPr>
                </pic:pic>
              </a:graphicData>
            </a:graphic>
          </wp:inline>
        </w:drawing>
      </w:r>
    </w:p>
    <w:p w14:paraId="3F07AC55" w14:textId="77777777" w:rsidR="002A66BB" w:rsidRPr="00AD5A27" w:rsidRDefault="002A66BB">
      <w:pPr>
        <w:pStyle w:val="TableFigureFooter"/>
      </w:pPr>
      <w:r w:rsidRPr="00AD5A27">
        <w:t>Source: Figure 3-11, p156 of the resubmission</w:t>
      </w:r>
    </w:p>
    <w:p w14:paraId="246B11E5" w14:textId="77777777" w:rsidR="002A66BB" w:rsidRPr="00AD5A27" w:rsidRDefault="002A66BB">
      <w:pPr>
        <w:pStyle w:val="TableFigureFooter"/>
      </w:pPr>
      <w:r w:rsidRPr="00AD5A27">
        <w:t>CI = Confidence interval; df = Degrees of freedom; IV = Interval variable; SE = Standard error</w:t>
      </w:r>
    </w:p>
    <w:p w14:paraId="3A9A4FF0" w14:textId="4C866967" w:rsidR="002A66BB" w:rsidRPr="00AD5A27" w:rsidRDefault="002A66BB">
      <w:pPr>
        <w:pStyle w:val="3-BodyText"/>
      </w:pPr>
      <w:r w:rsidRPr="00AD5A27">
        <w:fldChar w:fldCharType="begin" w:fldLock="1"/>
      </w:r>
      <w:r w:rsidRPr="00AD5A27">
        <w:instrText xml:space="preserve"> REF _Ref152342632 \h </w:instrText>
      </w:r>
      <w:r w:rsidR="00E72361" w:rsidRPr="00AD5A27">
        <w:instrText xml:space="preserve"> \* MERGEFORMAT </w:instrText>
      </w:r>
      <w:r w:rsidRPr="00AD5A27">
        <w:fldChar w:fldCharType="separate"/>
      </w:r>
      <w:r w:rsidR="00B510E9" w:rsidRPr="00AD5A27">
        <w:t>Table 5</w:t>
      </w:r>
      <w:r w:rsidRPr="00AD5A27">
        <w:fldChar w:fldCharType="end"/>
      </w:r>
      <w:r w:rsidRPr="00AD5A27">
        <w:t xml:space="preserve"> presents</w:t>
      </w:r>
      <w:r w:rsidR="009469DD" w:rsidRPr="00AD5A27">
        <w:t xml:space="preserve"> results for the primary outcome based on the VISUAL III study, </w:t>
      </w:r>
      <w:proofErr w:type="gramStart"/>
      <w:r w:rsidR="009469DD" w:rsidRPr="00AD5A27">
        <w:t>i.e.</w:t>
      </w:r>
      <w:proofErr w:type="gramEnd"/>
      <w:r w:rsidRPr="00AD5A27">
        <w:t xml:space="preserve"> the proportion of patients in quiescence defined as the absence of active inflammatory lesions and anterior chamber (AC) cell grade ≤0.5+ and VH grade ≤0.5+ with concomitant steroid use or in a steroid-free state. </w:t>
      </w:r>
    </w:p>
    <w:p w14:paraId="4CF98A8B" w14:textId="2FCEAC52" w:rsidR="002A66BB" w:rsidRPr="00AD5A27" w:rsidRDefault="002A66BB">
      <w:pPr>
        <w:pStyle w:val="Caption"/>
      </w:pPr>
      <w:bookmarkStart w:id="30" w:name="_Ref152342632"/>
      <w:r w:rsidRPr="00AD5A27">
        <w:lastRenderedPageBreak/>
        <w:t xml:space="preserve">Table </w:t>
      </w:r>
      <w:r w:rsidR="004050E4">
        <w:fldChar w:fldCharType="begin" w:fldLock="1"/>
      </w:r>
      <w:r w:rsidR="004050E4">
        <w:instrText xml:space="preserve"> SEQ Table \* ARABIC </w:instrText>
      </w:r>
      <w:r w:rsidR="004050E4">
        <w:fldChar w:fldCharType="separate"/>
      </w:r>
      <w:r w:rsidR="00B510E9" w:rsidRPr="00AD5A27">
        <w:t>5</w:t>
      </w:r>
      <w:r w:rsidR="004050E4">
        <w:fldChar w:fldCharType="end"/>
      </w:r>
      <w:bookmarkEnd w:id="30"/>
      <w:r w:rsidRPr="00AD5A27">
        <w:t>: Number and proportion of patients in quiescence (regardless of concomitant steroid use / steroid-free) (As Observed; ITT Set, VISUAL III study)</w:t>
      </w:r>
    </w:p>
    <w:tbl>
      <w:tblPr>
        <w:tblStyle w:val="TableGrid"/>
        <w:tblW w:w="5000" w:type="pct"/>
        <w:tblCellMar>
          <w:left w:w="57" w:type="dxa"/>
          <w:right w:w="57" w:type="dxa"/>
        </w:tblCellMar>
        <w:tblLook w:val="04A0" w:firstRow="1" w:lastRow="0" w:firstColumn="1" w:lastColumn="0" w:noHBand="0" w:noVBand="1"/>
        <w:tblCaption w:val="Table 5: Number and proportion of patients in quiescence (regardless of concomitant steroid use / steroid-free) (As Observed; ITT Set, VISUAL III study)"/>
      </w:tblPr>
      <w:tblGrid>
        <w:gridCol w:w="973"/>
        <w:gridCol w:w="1283"/>
        <w:gridCol w:w="1352"/>
        <w:gridCol w:w="1352"/>
        <w:gridCol w:w="1352"/>
        <w:gridCol w:w="1352"/>
        <w:gridCol w:w="1353"/>
      </w:tblGrid>
      <w:tr w:rsidR="002A66BB" w:rsidRPr="00AD5A27" w14:paraId="49311A84" w14:textId="77777777">
        <w:trPr>
          <w:trHeight w:val="56"/>
          <w:tblHeader/>
        </w:trPr>
        <w:tc>
          <w:tcPr>
            <w:tcW w:w="542" w:type="pct"/>
            <w:vMerge w:val="restart"/>
            <w:shd w:val="clear" w:color="auto" w:fill="auto"/>
          </w:tcPr>
          <w:p w14:paraId="1C44E6F7" w14:textId="77777777" w:rsidR="002A66BB" w:rsidRPr="00AD5A27" w:rsidRDefault="002A66BB">
            <w:pPr>
              <w:pStyle w:val="In-tableHeading"/>
              <w:jc w:val="center"/>
              <w:rPr>
                <w:lang w:val="en-AU"/>
              </w:rPr>
            </w:pPr>
            <w:r w:rsidRPr="00AD5A27">
              <w:rPr>
                <w:lang w:val="en-AU"/>
              </w:rPr>
              <w:t>Visit, Week</w:t>
            </w:r>
          </w:p>
        </w:tc>
        <w:tc>
          <w:tcPr>
            <w:tcW w:w="2202" w:type="pct"/>
            <w:gridSpan w:val="3"/>
            <w:shd w:val="clear" w:color="auto" w:fill="auto"/>
          </w:tcPr>
          <w:p w14:paraId="1A5D5DDC" w14:textId="77777777" w:rsidR="002A66BB" w:rsidRPr="00AD5A27" w:rsidRDefault="002A66BB">
            <w:pPr>
              <w:pStyle w:val="In-tableHeading"/>
              <w:jc w:val="center"/>
              <w:rPr>
                <w:lang w:val="en-AU"/>
              </w:rPr>
            </w:pPr>
            <w:r w:rsidRPr="00AD5A27">
              <w:rPr>
                <w:lang w:val="en-AU"/>
              </w:rPr>
              <w:t>Quiescence regardless of concomitant steroid use</w:t>
            </w:r>
          </w:p>
        </w:tc>
        <w:tc>
          <w:tcPr>
            <w:tcW w:w="2256" w:type="pct"/>
            <w:gridSpan w:val="3"/>
            <w:shd w:val="clear" w:color="auto" w:fill="auto"/>
          </w:tcPr>
          <w:p w14:paraId="0AE68962" w14:textId="77777777" w:rsidR="002A66BB" w:rsidRPr="00AD5A27" w:rsidRDefault="002A66BB">
            <w:pPr>
              <w:pStyle w:val="In-tableHeading"/>
              <w:jc w:val="center"/>
              <w:rPr>
                <w:lang w:val="en-AU"/>
              </w:rPr>
            </w:pPr>
            <w:r w:rsidRPr="00AD5A27">
              <w:rPr>
                <w:lang w:val="en-AU"/>
              </w:rPr>
              <w:t>Steroid-free quiescence</w:t>
            </w:r>
          </w:p>
        </w:tc>
      </w:tr>
      <w:tr w:rsidR="002A66BB" w:rsidRPr="00AD5A27" w14:paraId="315E89B2" w14:textId="77777777">
        <w:trPr>
          <w:trHeight w:val="713"/>
          <w:tblHeader/>
        </w:trPr>
        <w:tc>
          <w:tcPr>
            <w:tcW w:w="542" w:type="pct"/>
            <w:vMerge/>
            <w:shd w:val="clear" w:color="auto" w:fill="auto"/>
          </w:tcPr>
          <w:p w14:paraId="7BD31058" w14:textId="77777777" w:rsidR="002A66BB" w:rsidRPr="00AD5A27" w:rsidRDefault="002A66BB">
            <w:pPr>
              <w:pStyle w:val="In-tableHeading"/>
              <w:rPr>
                <w:lang w:val="en-AU"/>
              </w:rPr>
            </w:pPr>
          </w:p>
        </w:tc>
        <w:tc>
          <w:tcPr>
            <w:tcW w:w="698" w:type="pct"/>
            <w:shd w:val="clear" w:color="auto" w:fill="auto"/>
          </w:tcPr>
          <w:p w14:paraId="6B26EA5D" w14:textId="77777777" w:rsidR="002A66BB" w:rsidRPr="00AD5A27" w:rsidRDefault="002A66BB">
            <w:pPr>
              <w:pStyle w:val="In-tableHeading"/>
              <w:jc w:val="center"/>
              <w:rPr>
                <w:lang w:val="en-AU"/>
              </w:rPr>
            </w:pPr>
            <w:r w:rsidRPr="00AD5A27">
              <w:rPr>
                <w:lang w:val="en-AU"/>
              </w:rPr>
              <w:t>Active Uveitis</w:t>
            </w:r>
          </w:p>
          <w:p w14:paraId="4EF9EF4A" w14:textId="77777777" w:rsidR="002A66BB" w:rsidRPr="00AD5A27" w:rsidRDefault="002A66BB">
            <w:pPr>
              <w:pStyle w:val="In-tableHeading"/>
              <w:jc w:val="center"/>
              <w:rPr>
                <w:lang w:val="en-AU"/>
              </w:rPr>
            </w:pPr>
            <w:r w:rsidRPr="00AD5A27">
              <w:rPr>
                <w:lang w:val="en-AU"/>
              </w:rPr>
              <w:t>N = 240</w:t>
            </w:r>
          </w:p>
          <w:p w14:paraId="655DCD50" w14:textId="77777777" w:rsidR="002A66BB" w:rsidRPr="00AD5A27" w:rsidRDefault="002A66BB">
            <w:pPr>
              <w:pStyle w:val="In-tableHeading"/>
              <w:jc w:val="center"/>
              <w:rPr>
                <w:lang w:val="en-AU"/>
              </w:rPr>
            </w:pPr>
            <w:r w:rsidRPr="00AD5A27">
              <w:rPr>
                <w:lang w:val="en-AU"/>
              </w:rPr>
              <w:t>n/N (%)</w:t>
            </w:r>
          </w:p>
        </w:tc>
        <w:tc>
          <w:tcPr>
            <w:tcW w:w="752" w:type="pct"/>
            <w:shd w:val="clear" w:color="auto" w:fill="auto"/>
          </w:tcPr>
          <w:p w14:paraId="5A9A5153" w14:textId="77777777" w:rsidR="002A66BB" w:rsidRPr="00AD5A27" w:rsidRDefault="002A66BB">
            <w:pPr>
              <w:pStyle w:val="In-tableHeading"/>
              <w:jc w:val="center"/>
              <w:rPr>
                <w:lang w:val="en-AU"/>
              </w:rPr>
            </w:pPr>
            <w:r w:rsidRPr="00AD5A27">
              <w:rPr>
                <w:lang w:val="en-AU"/>
              </w:rPr>
              <w:t>Controlled Uveitis</w:t>
            </w:r>
          </w:p>
          <w:p w14:paraId="6D2EC021" w14:textId="77777777" w:rsidR="002A66BB" w:rsidRPr="00AD5A27" w:rsidRDefault="002A66BB">
            <w:pPr>
              <w:pStyle w:val="In-tableHeading"/>
              <w:jc w:val="center"/>
              <w:rPr>
                <w:lang w:val="en-AU"/>
              </w:rPr>
            </w:pPr>
            <w:r w:rsidRPr="00AD5A27">
              <w:rPr>
                <w:lang w:val="en-AU"/>
              </w:rPr>
              <w:t>N = 124</w:t>
            </w:r>
          </w:p>
          <w:p w14:paraId="358DB02B" w14:textId="77777777" w:rsidR="002A66BB" w:rsidRPr="00AD5A27" w:rsidRDefault="002A66BB">
            <w:pPr>
              <w:pStyle w:val="In-tableHeading"/>
              <w:jc w:val="center"/>
              <w:rPr>
                <w:lang w:val="en-AU"/>
              </w:rPr>
            </w:pPr>
            <w:r w:rsidRPr="00AD5A27">
              <w:rPr>
                <w:lang w:val="en-AU"/>
              </w:rPr>
              <w:t>n/N (%)</w:t>
            </w:r>
          </w:p>
        </w:tc>
        <w:tc>
          <w:tcPr>
            <w:tcW w:w="752" w:type="pct"/>
            <w:shd w:val="clear" w:color="auto" w:fill="auto"/>
          </w:tcPr>
          <w:p w14:paraId="17AC36F8" w14:textId="77777777" w:rsidR="002A66BB" w:rsidRPr="00AD5A27" w:rsidRDefault="002A66BB">
            <w:pPr>
              <w:pStyle w:val="In-tableHeading"/>
              <w:jc w:val="center"/>
              <w:rPr>
                <w:lang w:val="en-AU"/>
              </w:rPr>
            </w:pPr>
            <w:r w:rsidRPr="00AD5A27">
              <w:rPr>
                <w:lang w:val="en-AU"/>
              </w:rPr>
              <w:t>Total</w:t>
            </w:r>
          </w:p>
          <w:p w14:paraId="44C5774C" w14:textId="77777777" w:rsidR="002A66BB" w:rsidRPr="00AD5A27" w:rsidRDefault="002A66BB">
            <w:pPr>
              <w:pStyle w:val="In-tableHeading"/>
              <w:jc w:val="center"/>
              <w:rPr>
                <w:lang w:val="en-AU"/>
              </w:rPr>
            </w:pPr>
            <w:r w:rsidRPr="00AD5A27">
              <w:rPr>
                <w:lang w:val="en-AU"/>
              </w:rPr>
              <w:t>N = 364</w:t>
            </w:r>
          </w:p>
          <w:p w14:paraId="667E8915" w14:textId="77777777" w:rsidR="002A66BB" w:rsidRPr="00AD5A27" w:rsidRDefault="002A66BB">
            <w:pPr>
              <w:pStyle w:val="In-tableHeading"/>
              <w:jc w:val="center"/>
              <w:rPr>
                <w:lang w:val="en-AU"/>
              </w:rPr>
            </w:pPr>
            <w:r w:rsidRPr="00AD5A27">
              <w:rPr>
                <w:lang w:val="en-AU"/>
              </w:rPr>
              <w:t>n/N (%)</w:t>
            </w:r>
          </w:p>
        </w:tc>
        <w:tc>
          <w:tcPr>
            <w:tcW w:w="752" w:type="pct"/>
            <w:shd w:val="clear" w:color="auto" w:fill="auto"/>
          </w:tcPr>
          <w:p w14:paraId="1F5DC8BE" w14:textId="77777777" w:rsidR="002A66BB" w:rsidRPr="00AD5A27" w:rsidRDefault="002A66BB">
            <w:pPr>
              <w:pStyle w:val="In-tableHeading"/>
              <w:jc w:val="center"/>
              <w:rPr>
                <w:lang w:val="en-AU"/>
              </w:rPr>
            </w:pPr>
            <w:r w:rsidRPr="00AD5A27">
              <w:rPr>
                <w:lang w:val="en-AU"/>
              </w:rPr>
              <w:t>Active Uveitis</w:t>
            </w:r>
          </w:p>
          <w:p w14:paraId="6BEAD9E4" w14:textId="77777777" w:rsidR="002A66BB" w:rsidRPr="00AD5A27" w:rsidRDefault="002A66BB">
            <w:pPr>
              <w:pStyle w:val="In-tableHeading"/>
              <w:jc w:val="center"/>
              <w:rPr>
                <w:lang w:val="en-AU"/>
              </w:rPr>
            </w:pPr>
            <w:r w:rsidRPr="00AD5A27">
              <w:rPr>
                <w:lang w:val="en-AU"/>
              </w:rPr>
              <w:t>N = 240</w:t>
            </w:r>
          </w:p>
          <w:p w14:paraId="2BB5FADD" w14:textId="77777777" w:rsidR="002A66BB" w:rsidRPr="00AD5A27" w:rsidRDefault="002A66BB">
            <w:pPr>
              <w:pStyle w:val="In-tableHeading"/>
              <w:jc w:val="center"/>
              <w:rPr>
                <w:lang w:val="en-AU"/>
              </w:rPr>
            </w:pPr>
            <w:r w:rsidRPr="00AD5A27">
              <w:rPr>
                <w:lang w:val="en-AU"/>
              </w:rPr>
              <w:t>n/N (%)</w:t>
            </w:r>
          </w:p>
        </w:tc>
        <w:tc>
          <w:tcPr>
            <w:tcW w:w="752" w:type="pct"/>
            <w:shd w:val="clear" w:color="auto" w:fill="auto"/>
          </w:tcPr>
          <w:p w14:paraId="7F65ADA6" w14:textId="77777777" w:rsidR="002A66BB" w:rsidRPr="00AD5A27" w:rsidRDefault="002A66BB">
            <w:pPr>
              <w:pStyle w:val="In-tableHeading"/>
              <w:jc w:val="center"/>
              <w:rPr>
                <w:lang w:val="en-AU"/>
              </w:rPr>
            </w:pPr>
            <w:r w:rsidRPr="00AD5A27">
              <w:rPr>
                <w:lang w:val="en-AU"/>
              </w:rPr>
              <w:t>Controlled Uveitis</w:t>
            </w:r>
          </w:p>
          <w:p w14:paraId="7AC3B070" w14:textId="77777777" w:rsidR="002A66BB" w:rsidRPr="00AD5A27" w:rsidRDefault="002A66BB">
            <w:pPr>
              <w:pStyle w:val="In-tableHeading"/>
              <w:jc w:val="center"/>
              <w:rPr>
                <w:lang w:val="en-AU"/>
              </w:rPr>
            </w:pPr>
            <w:r w:rsidRPr="00AD5A27">
              <w:rPr>
                <w:lang w:val="en-AU"/>
              </w:rPr>
              <w:t>N = 124</w:t>
            </w:r>
          </w:p>
          <w:p w14:paraId="4054B1B2" w14:textId="77777777" w:rsidR="002A66BB" w:rsidRPr="00AD5A27" w:rsidRDefault="002A66BB">
            <w:pPr>
              <w:pStyle w:val="In-tableHeading"/>
              <w:jc w:val="center"/>
              <w:rPr>
                <w:lang w:val="en-AU"/>
              </w:rPr>
            </w:pPr>
            <w:r w:rsidRPr="00AD5A27">
              <w:rPr>
                <w:lang w:val="en-AU"/>
              </w:rPr>
              <w:t>n/N (%)</w:t>
            </w:r>
          </w:p>
        </w:tc>
        <w:tc>
          <w:tcPr>
            <w:tcW w:w="752" w:type="pct"/>
            <w:shd w:val="clear" w:color="auto" w:fill="auto"/>
          </w:tcPr>
          <w:p w14:paraId="0C31E0FE" w14:textId="77777777" w:rsidR="002A66BB" w:rsidRPr="00AD5A27" w:rsidRDefault="002A66BB">
            <w:pPr>
              <w:pStyle w:val="In-tableHeading"/>
              <w:jc w:val="center"/>
              <w:rPr>
                <w:lang w:val="en-AU"/>
              </w:rPr>
            </w:pPr>
            <w:r w:rsidRPr="00AD5A27">
              <w:rPr>
                <w:lang w:val="en-AU"/>
              </w:rPr>
              <w:t>Total</w:t>
            </w:r>
          </w:p>
          <w:p w14:paraId="70913641" w14:textId="77777777" w:rsidR="002A66BB" w:rsidRPr="00AD5A27" w:rsidRDefault="002A66BB">
            <w:pPr>
              <w:pStyle w:val="In-tableHeading"/>
              <w:jc w:val="center"/>
              <w:rPr>
                <w:lang w:val="en-AU"/>
              </w:rPr>
            </w:pPr>
            <w:r w:rsidRPr="00AD5A27">
              <w:rPr>
                <w:lang w:val="en-AU"/>
              </w:rPr>
              <w:t>N = 364</w:t>
            </w:r>
          </w:p>
          <w:p w14:paraId="0DDB4E7B" w14:textId="77777777" w:rsidR="002A66BB" w:rsidRPr="00AD5A27" w:rsidRDefault="002A66BB">
            <w:pPr>
              <w:pStyle w:val="In-tableHeading"/>
              <w:jc w:val="center"/>
              <w:rPr>
                <w:lang w:val="en-AU"/>
              </w:rPr>
            </w:pPr>
            <w:r w:rsidRPr="00AD5A27">
              <w:rPr>
                <w:lang w:val="en-AU"/>
              </w:rPr>
              <w:t>n/N (%)</w:t>
            </w:r>
          </w:p>
        </w:tc>
      </w:tr>
      <w:tr w:rsidR="002A66BB" w:rsidRPr="00AD5A27" w14:paraId="3201FAE7" w14:textId="77777777">
        <w:tblPrEx>
          <w:tblCellMar>
            <w:left w:w="108" w:type="dxa"/>
            <w:right w:w="108" w:type="dxa"/>
          </w:tblCellMar>
        </w:tblPrEx>
        <w:trPr>
          <w:trHeight w:val="20"/>
        </w:trPr>
        <w:tc>
          <w:tcPr>
            <w:tcW w:w="542" w:type="pct"/>
            <w:noWrap/>
            <w:hideMark/>
          </w:tcPr>
          <w:p w14:paraId="12D5304F" w14:textId="77777777" w:rsidR="002A66BB" w:rsidRPr="00AD5A27" w:rsidRDefault="002A66BB">
            <w:pPr>
              <w:pStyle w:val="TableText0"/>
            </w:pPr>
            <w:r w:rsidRPr="00AD5A27">
              <w:t xml:space="preserve">0 </w:t>
            </w:r>
            <w:r w:rsidRPr="00AD5A27">
              <w:rPr>
                <w:vertAlign w:val="superscript"/>
              </w:rPr>
              <w:t>a</w:t>
            </w:r>
          </w:p>
        </w:tc>
        <w:tc>
          <w:tcPr>
            <w:tcW w:w="698" w:type="pct"/>
            <w:noWrap/>
            <w:hideMark/>
          </w:tcPr>
          <w:p w14:paraId="17AAF47C" w14:textId="77777777" w:rsidR="002A66BB" w:rsidRPr="00AD5A27" w:rsidRDefault="002A66BB">
            <w:pPr>
              <w:pStyle w:val="TableText0"/>
              <w:jc w:val="center"/>
            </w:pPr>
            <w:r w:rsidRPr="00AD5A27">
              <w:t xml:space="preserve">18/240 (7.5) </w:t>
            </w:r>
            <w:r w:rsidRPr="00AD5A27">
              <w:rPr>
                <w:vertAlign w:val="superscript"/>
              </w:rPr>
              <w:t>a</w:t>
            </w:r>
          </w:p>
        </w:tc>
        <w:tc>
          <w:tcPr>
            <w:tcW w:w="752" w:type="pct"/>
          </w:tcPr>
          <w:p w14:paraId="1471EBDA" w14:textId="77777777" w:rsidR="002A66BB" w:rsidRPr="00AD5A27" w:rsidRDefault="002A66BB">
            <w:pPr>
              <w:pStyle w:val="TableText0"/>
              <w:jc w:val="center"/>
            </w:pPr>
            <w:r w:rsidRPr="00AD5A27">
              <w:t>104/124 (83.9)</w:t>
            </w:r>
          </w:p>
        </w:tc>
        <w:tc>
          <w:tcPr>
            <w:tcW w:w="752" w:type="pct"/>
          </w:tcPr>
          <w:p w14:paraId="7171C383" w14:textId="77777777" w:rsidR="002A66BB" w:rsidRPr="00AD5A27" w:rsidRDefault="002A66BB">
            <w:pPr>
              <w:pStyle w:val="TableText0"/>
              <w:jc w:val="center"/>
            </w:pPr>
            <w:r w:rsidRPr="00AD5A27">
              <w:t>122/364 (33.5)</w:t>
            </w:r>
          </w:p>
        </w:tc>
        <w:tc>
          <w:tcPr>
            <w:tcW w:w="752" w:type="pct"/>
          </w:tcPr>
          <w:p w14:paraId="34667712" w14:textId="77777777" w:rsidR="002A66BB" w:rsidRPr="00AD5A27" w:rsidRDefault="002A66BB">
            <w:pPr>
              <w:pStyle w:val="TableText0"/>
              <w:jc w:val="center"/>
            </w:pPr>
            <w:r w:rsidRPr="00AD5A27">
              <w:t>12/240 (5.0)</w:t>
            </w:r>
          </w:p>
        </w:tc>
        <w:tc>
          <w:tcPr>
            <w:tcW w:w="752" w:type="pct"/>
          </w:tcPr>
          <w:p w14:paraId="59F2B864" w14:textId="77777777" w:rsidR="002A66BB" w:rsidRPr="00AD5A27" w:rsidRDefault="002A66BB">
            <w:pPr>
              <w:pStyle w:val="TableText0"/>
              <w:jc w:val="center"/>
            </w:pPr>
            <w:r w:rsidRPr="00AD5A27">
              <w:t>99/124 (79.8)</w:t>
            </w:r>
          </w:p>
        </w:tc>
        <w:tc>
          <w:tcPr>
            <w:tcW w:w="752" w:type="pct"/>
          </w:tcPr>
          <w:p w14:paraId="4F98BFC6" w14:textId="77777777" w:rsidR="002A66BB" w:rsidRPr="00AD5A27" w:rsidRDefault="002A66BB">
            <w:pPr>
              <w:pStyle w:val="TableText0"/>
              <w:jc w:val="center"/>
            </w:pPr>
            <w:r w:rsidRPr="00AD5A27">
              <w:t>111/364 (30.5)</w:t>
            </w:r>
          </w:p>
        </w:tc>
      </w:tr>
      <w:tr w:rsidR="002A66BB" w:rsidRPr="00AD5A27" w14:paraId="79AA01B7" w14:textId="77777777">
        <w:tblPrEx>
          <w:tblCellMar>
            <w:left w:w="108" w:type="dxa"/>
            <w:right w:w="108" w:type="dxa"/>
          </w:tblCellMar>
        </w:tblPrEx>
        <w:trPr>
          <w:trHeight w:val="20"/>
        </w:trPr>
        <w:tc>
          <w:tcPr>
            <w:tcW w:w="542" w:type="pct"/>
            <w:noWrap/>
            <w:hideMark/>
          </w:tcPr>
          <w:p w14:paraId="11033FF2" w14:textId="77777777" w:rsidR="002A66BB" w:rsidRPr="00AD5A27" w:rsidRDefault="002A66BB">
            <w:pPr>
              <w:pStyle w:val="TableText0"/>
            </w:pPr>
            <w:r w:rsidRPr="00AD5A27">
              <w:t>78</w:t>
            </w:r>
          </w:p>
        </w:tc>
        <w:tc>
          <w:tcPr>
            <w:tcW w:w="698" w:type="pct"/>
            <w:noWrap/>
            <w:hideMark/>
          </w:tcPr>
          <w:p w14:paraId="44B8DA17" w14:textId="77777777" w:rsidR="002A66BB" w:rsidRPr="00AD5A27" w:rsidRDefault="002A66BB">
            <w:pPr>
              <w:pStyle w:val="TableText0"/>
              <w:jc w:val="center"/>
            </w:pPr>
            <w:r w:rsidRPr="00AD5A27">
              <w:t>143/172 (83.1)</w:t>
            </w:r>
          </w:p>
        </w:tc>
        <w:tc>
          <w:tcPr>
            <w:tcW w:w="752" w:type="pct"/>
          </w:tcPr>
          <w:p w14:paraId="02938085" w14:textId="77777777" w:rsidR="002A66BB" w:rsidRPr="00AD5A27" w:rsidRDefault="002A66BB">
            <w:pPr>
              <w:pStyle w:val="TableText0"/>
              <w:jc w:val="center"/>
            </w:pPr>
            <w:r w:rsidRPr="00AD5A27">
              <w:t>91/99 (91.9)</w:t>
            </w:r>
          </w:p>
        </w:tc>
        <w:tc>
          <w:tcPr>
            <w:tcW w:w="752" w:type="pct"/>
          </w:tcPr>
          <w:p w14:paraId="6FB631D3" w14:textId="77777777" w:rsidR="002A66BB" w:rsidRPr="00AD5A27" w:rsidRDefault="002A66BB">
            <w:pPr>
              <w:pStyle w:val="TableText0"/>
              <w:jc w:val="center"/>
            </w:pPr>
            <w:r w:rsidRPr="00AD5A27">
              <w:t>234/271 (86.3)</w:t>
            </w:r>
          </w:p>
        </w:tc>
        <w:tc>
          <w:tcPr>
            <w:tcW w:w="752" w:type="pct"/>
          </w:tcPr>
          <w:p w14:paraId="3BA25EBF" w14:textId="77777777" w:rsidR="002A66BB" w:rsidRPr="00AD5A27" w:rsidRDefault="002A66BB">
            <w:pPr>
              <w:pStyle w:val="TableText0"/>
              <w:jc w:val="center"/>
            </w:pPr>
            <w:r w:rsidRPr="00AD5A27">
              <w:t>79/173 (45.7)</w:t>
            </w:r>
          </w:p>
        </w:tc>
        <w:tc>
          <w:tcPr>
            <w:tcW w:w="752" w:type="pct"/>
          </w:tcPr>
          <w:p w14:paraId="5F198FF0" w14:textId="77777777" w:rsidR="002A66BB" w:rsidRPr="00AD5A27" w:rsidRDefault="002A66BB">
            <w:pPr>
              <w:pStyle w:val="TableText0"/>
              <w:jc w:val="center"/>
            </w:pPr>
            <w:r w:rsidRPr="00AD5A27">
              <w:t>78/99 (78.8)</w:t>
            </w:r>
          </w:p>
        </w:tc>
        <w:tc>
          <w:tcPr>
            <w:tcW w:w="752" w:type="pct"/>
          </w:tcPr>
          <w:p w14:paraId="72B3E01F" w14:textId="77777777" w:rsidR="002A66BB" w:rsidRPr="00AD5A27" w:rsidRDefault="002A66BB">
            <w:pPr>
              <w:pStyle w:val="TableText0"/>
              <w:jc w:val="center"/>
            </w:pPr>
            <w:r w:rsidRPr="00AD5A27">
              <w:t>157/272 (57.7)</w:t>
            </w:r>
          </w:p>
        </w:tc>
      </w:tr>
      <w:tr w:rsidR="002A66BB" w:rsidRPr="00AD5A27" w14:paraId="39F32773" w14:textId="77777777">
        <w:tblPrEx>
          <w:tblCellMar>
            <w:left w:w="108" w:type="dxa"/>
            <w:right w:w="108" w:type="dxa"/>
          </w:tblCellMar>
        </w:tblPrEx>
        <w:trPr>
          <w:trHeight w:val="20"/>
        </w:trPr>
        <w:tc>
          <w:tcPr>
            <w:tcW w:w="542" w:type="pct"/>
            <w:noWrap/>
            <w:hideMark/>
          </w:tcPr>
          <w:p w14:paraId="0A10BE72" w14:textId="77777777" w:rsidR="002A66BB" w:rsidRPr="00AD5A27" w:rsidRDefault="002A66BB">
            <w:pPr>
              <w:pStyle w:val="TableText0"/>
            </w:pPr>
            <w:r w:rsidRPr="00AD5A27">
              <w:t>102</w:t>
            </w:r>
          </w:p>
        </w:tc>
        <w:tc>
          <w:tcPr>
            <w:tcW w:w="698" w:type="pct"/>
            <w:noWrap/>
            <w:hideMark/>
          </w:tcPr>
          <w:p w14:paraId="3F66E3B8" w14:textId="77777777" w:rsidR="002A66BB" w:rsidRPr="00AD5A27" w:rsidRDefault="002A66BB">
            <w:pPr>
              <w:pStyle w:val="TableText0"/>
              <w:jc w:val="center"/>
            </w:pPr>
            <w:r w:rsidRPr="00AD5A27">
              <w:t>129/156 (82.7)</w:t>
            </w:r>
          </w:p>
        </w:tc>
        <w:tc>
          <w:tcPr>
            <w:tcW w:w="752" w:type="pct"/>
          </w:tcPr>
          <w:p w14:paraId="693AEE8C" w14:textId="77777777" w:rsidR="002A66BB" w:rsidRPr="00AD5A27" w:rsidRDefault="002A66BB">
            <w:pPr>
              <w:pStyle w:val="TableText0"/>
              <w:jc w:val="center"/>
            </w:pPr>
            <w:r w:rsidRPr="00AD5A27">
              <w:t>85/89 (95.5)</w:t>
            </w:r>
          </w:p>
        </w:tc>
        <w:tc>
          <w:tcPr>
            <w:tcW w:w="752" w:type="pct"/>
          </w:tcPr>
          <w:p w14:paraId="14DE4F7F" w14:textId="77777777" w:rsidR="002A66BB" w:rsidRPr="00AD5A27" w:rsidRDefault="002A66BB">
            <w:pPr>
              <w:pStyle w:val="TableText0"/>
              <w:jc w:val="center"/>
            </w:pPr>
            <w:r w:rsidRPr="00AD5A27">
              <w:t>214/245 (87.3)</w:t>
            </w:r>
          </w:p>
        </w:tc>
        <w:tc>
          <w:tcPr>
            <w:tcW w:w="752" w:type="pct"/>
          </w:tcPr>
          <w:p w14:paraId="2F9C7E6C" w14:textId="77777777" w:rsidR="002A66BB" w:rsidRPr="00AD5A27" w:rsidRDefault="002A66BB">
            <w:pPr>
              <w:pStyle w:val="TableText0"/>
              <w:jc w:val="center"/>
            </w:pPr>
            <w:r w:rsidRPr="00AD5A27">
              <w:t>87/156 (55.8)</w:t>
            </w:r>
          </w:p>
        </w:tc>
        <w:tc>
          <w:tcPr>
            <w:tcW w:w="752" w:type="pct"/>
          </w:tcPr>
          <w:p w14:paraId="21AAD36C" w14:textId="77777777" w:rsidR="002A66BB" w:rsidRPr="00AD5A27" w:rsidRDefault="002A66BB">
            <w:pPr>
              <w:pStyle w:val="TableText0"/>
              <w:jc w:val="center"/>
            </w:pPr>
            <w:r w:rsidRPr="00AD5A27">
              <w:t>74/89 (83.1)</w:t>
            </w:r>
          </w:p>
        </w:tc>
        <w:tc>
          <w:tcPr>
            <w:tcW w:w="752" w:type="pct"/>
          </w:tcPr>
          <w:p w14:paraId="317D9613" w14:textId="77777777" w:rsidR="002A66BB" w:rsidRPr="00AD5A27" w:rsidRDefault="002A66BB">
            <w:pPr>
              <w:pStyle w:val="TableText0"/>
              <w:jc w:val="center"/>
            </w:pPr>
            <w:r w:rsidRPr="00AD5A27">
              <w:t>161/245 (65.7)</w:t>
            </w:r>
          </w:p>
        </w:tc>
      </w:tr>
      <w:tr w:rsidR="002A66BB" w:rsidRPr="00AD5A27" w14:paraId="3B77BD30" w14:textId="77777777">
        <w:tblPrEx>
          <w:tblCellMar>
            <w:left w:w="108" w:type="dxa"/>
            <w:right w:w="108" w:type="dxa"/>
          </w:tblCellMar>
        </w:tblPrEx>
        <w:trPr>
          <w:trHeight w:val="20"/>
        </w:trPr>
        <w:tc>
          <w:tcPr>
            <w:tcW w:w="542" w:type="pct"/>
            <w:noWrap/>
            <w:hideMark/>
          </w:tcPr>
          <w:p w14:paraId="403D4ABB" w14:textId="77777777" w:rsidR="002A66BB" w:rsidRPr="00AD5A27" w:rsidRDefault="002A66BB">
            <w:pPr>
              <w:pStyle w:val="TableText0"/>
            </w:pPr>
            <w:r w:rsidRPr="00AD5A27">
              <w:t>126</w:t>
            </w:r>
          </w:p>
        </w:tc>
        <w:tc>
          <w:tcPr>
            <w:tcW w:w="698" w:type="pct"/>
            <w:noWrap/>
            <w:hideMark/>
          </w:tcPr>
          <w:p w14:paraId="0A68CD9D" w14:textId="77777777" w:rsidR="002A66BB" w:rsidRPr="00AD5A27" w:rsidRDefault="002A66BB">
            <w:pPr>
              <w:pStyle w:val="TableText0"/>
              <w:jc w:val="center"/>
            </w:pPr>
            <w:r w:rsidRPr="00AD5A27">
              <w:t>115/140 (82.1)</w:t>
            </w:r>
          </w:p>
        </w:tc>
        <w:tc>
          <w:tcPr>
            <w:tcW w:w="752" w:type="pct"/>
          </w:tcPr>
          <w:p w14:paraId="71A4C62A" w14:textId="77777777" w:rsidR="002A66BB" w:rsidRPr="00AD5A27" w:rsidRDefault="002A66BB">
            <w:pPr>
              <w:pStyle w:val="TableText0"/>
              <w:jc w:val="center"/>
            </w:pPr>
            <w:r w:rsidRPr="00AD5A27">
              <w:t>75/75 (100)</w:t>
            </w:r>
          </w:p>
        </w:tc>
        <w:tc>
          <w:tcPr>
            <w:tcW w:w="752" w:type="pct"/>
          </w:tcPr>
          <w:p w14:paraId="59533A0F" w14:textId="77777777" w:rsidR="002A66BB" w:rsidRPr="00AD5A27" w:rsidRDefault="002A66BB">
            <w:pPr>
              <w:pStyle w:val="TableText0"/>
              <w:jc w:val="center"/>
            </w:pPr>
            <w:r w:rsidRPr="00AD5A27">
              <w:t>190/215 (88.4)</w:t>
            </w:r>
          </w:p>
        </w:tc>
        <w:tc>
          <w:tcPr>
            <w:tcW w:w="752" w:type="pct"/>
          </w:tcPr>
          <w:p w14:paraId="68E73494" w14:textId="77777777" w:rsidR="002A66BB" w:rsidRPr="00AD5A27" w:rsidRDefault="002A66BB">
            <w:pPr>
              <w:pStyle w:val="TableText0"/>
              <w:jc w:val="center"/>
            </w:pPr>
            <w:r w:rsidRPr="00AD5A27">
              <w:t>75/140 (53.6)</w:t>
            </w:r>
          </w:p>
        </w:tc>
        <w:tc>
          <w:tcPr>
            <w:tcW w:w="752" w:type="pct"/>
          </w:tcPr>
          <w:p w14:paraId="08D8F786" w14:textId="77777777" w:rsidR="002A66BB" w:rsidRPr="00AD5A27" w:rsidRDefault="002A66BB">
            <w:pPr>
              <w:pStyle w:val="TableText0"/>
              <w:jc w:val="center"/>
            </w:pPr>
            <w:r w:rsidRPr="00AD5A27">
              <w:t>67/75 (89.3)</w:t>
            </w:r>
          </w:p>
        </w:tc>
        <w:tc>
          <w:tcPr>
            <w:tcW w:w="752" w:type="pct"/>
          </w:tcPr>
          <w:p w14:paraId="069C766C" w14:textId="77777777" w:rsidR="002A66BB" w:rsidRPr="00AD5A27" w:rsidRDefault="002A66BB">
            <w:pPr>
              <w:pStyle w:val="TableText0"/>
              <w:jc w:val="center"/>
            </w:pPr>
            <w:r w:rsidRPr="00AD5A27">
              <w:t>142/215 (66.9)</w:t>
            </w:r>
          </w:p>
        </w:tc>
      </w:tr>
      <w:tr w:rsidR="002A66BB" w:rsidRPr="00AD5A27" w14:paraId="7FF8DC32" w14:textId="77777777">
        <w:tblPrEx>
          <w:tblCellMar>
            <w:left w:w="108" w:type="dxa"/>
            <w:right w:w="108" w:type="dxa"/>
          </w:tblCellMar>
        </w:tblPrEx>
        <w:trPr>
          <w:trHeight w:val="20"/>
        </w:trPr>
        <w:tc>
          <w:tcPr>
            <w:tcW w:w="542" w:type="pct"/>
            <w:noWrap/>
            <w:hideMark/>
          </w:tcPr>
          <w:p w14:paraId="7BA1BDDD" w14:textId="77777777" w:rsidR="002A66BB" w:rsidRPr="00AD5A27" w:rsidRDefault="002A66BB">
            <w:pPr>
              <w:pStyle w:val="TableText0"/>
            </w:pPr>
            <w:r w:rsidRPr="00AD5A27">
              <w:t>150</w:t>
            </w:r>
          </w:p>
        </w:tc>
        <w:tc>
          <w:tcPr>
            <w:tcW w:w="698" w:type="pct"/>
            <w:noWrap/>
            <w:hideMark/>
          </w:tcPr>
          <w:p w14:paraId="06FDC8EA" w14:textId="77777777" w:rsidR="002A66BB" w:rsidRPr="00AD5A27" w:rsidRDefault="002A66BB">
            <w:pPr>
              <w:pStyle w:val="TableText0"/>
              <w:jc w:val="center"/>
            </w:pPr>
            <w:r w:rsidRPr="00AD5A27">
              <w:t>98/123 (79.7)</w:t>
            </w:r>
          </w:p>
        </w:tc>
        <w:tc>
          <w:tcPr>
            <w:tcW w:w="752" w:type="pct"/>
          </w:tcPr>
          <w:p w14:paraId="511175C6" w14:textId="77777777" w:rsidR="002A66BB" w:rsidRPr="00AD5A27" w:rsidRDefault="002A66BB">
            <w:pPr>
              <w:pStyle w:val="TableText0"/>
              <w:jc w:val="center"/>
            </w:pPr>
            <w:r w:rsidRPr="00AD5A27">
              <w:t>55/57 (96.5)</w:t>
            </w:r>
          </w:p>
        </w:tc>
        <w:tc>
          <w:tcPr>
            <w:tcW w:w="752" w:type="pct"/>
          </w:tcPr>
          <w:p w14:paraId="25E012AF" w14:textId="77777777" w:rsidR="002A66BB" w:rsidRPr="00AD5A27" w:rsidRDefault="002A66BB">
            <w:pPr>
              <w:pStyle w:val="TableText0"/>
              <w:jc w:val="center"/>
            </w:pPr>
            <w:r w:rsidRPr="00AD5A27">
              <w:t>153/180 (85.0)</w:t>
            </w:r>
          </w:p>
        </w:tc>
        <w:tc>
          <w:tcPr>
            <w:tcW w:w="752" w:type="pct"/>
          </w:tcPr>
          <w:p w14:paraId="203990AD" w14:textId="77777777" w:rsidR="002A66BB" w:rsidRPr="00AD5A27" w:rsidRDefault="002A66BB">
            <w:pPr>
              <w:pStyle w:val="TableText0"/>
              <w:jc w:val="center"/>
            </w:pPr>
            <w:r w:rsidRPr="00AD5A27">
              <w:t>66/123 (53.7)</w:t>
            </w:r>
          </w:p>
        </w:tc>
        <w:tc>
          <w:tcPr>
            <w:tcW w:w="752" w:type="pct"/>
          </w:tcPr>
          <w:p w14:paraId="5B70132A" w14:textId="77777777" w:rsidR="002A66BB" w:rsidRPr="00AD5A27" w:rsidRDefault="002A66BB">
            <w:pPr>
              <w:pStyle w:val="TableText0"/>
              <w:jc w:val="center"/>
            </w:pPr>
            <w:r w:rsidRPr="00AD5A27">
              <w:t>51/57 (89.5)</w:t>
            </w:r>
          </w:p>
        </w:tc>
        <w:tc>
          <w:tcPr>
            <w:tcW w:w="752" w:type="pct"/>
          </w:tcPr>
          <w:p w14:paraId="759C15AF" w14:textId="77777777" w:rsidR="002A66BB" w:rsidRPr="00AD5A27" w:rsidRDefault="002A66BB">
            <w:pPr>
              <w:pStyle w:val="TableText0"/>
              <w:jc w:val="center"/>
            </w:pPr>
            <w:r w:rsidRPr="00AD5A27">
              <w:t>117/180 (65.0)</w:t>
            </w:r>
          </w:p>
        </w:tc>
      </w:tr>
      <w:tr w:rsidR="002A66BB" w:rsidRPr="00AD5A27" w14:paraId="28DD682C" w14:textId="77777777">
        <w:tblPrEx>
          <w:tblCellMar>
            <w:left w:w="108" w:type="dxa"/>
            <w:right w:w="108" w:type="dxa"/>
          </w:tblCellMar>
        </w:tblPrEx>
        <w:trPr>
          <w:trHeight w:val="20"/>
        </w:trPr>
        <w:tc>
          <w:tcPr>
            <w:tcW w:w="542" w:type="pct"/>
            <w:noWrap/>
            <w:hideMark/>
          </w:tcPr>
          <w:p w14:paraId="092473A9" w14:textId="77777777" w:rsidR="002A66BB" w:rsidRPr="00AD5A27" w:rsidRDefault="002A66BB">
            <w:pPr>
              <w:pStyle w:val="TableText0"/>
            </w:pPr>
            <w:r w:rsidRPr="00AD5A27">
              <w:t>174</w:t>
            </w:r>
          </w:p>
        </w:tc>
        <w:tc>
          <w:tcPr>
            <w:tcW w:w="698" w:type="pct"/>
            <w:noWrap/>
            <w:hideMark/>
          </w:tcPr>
          <w:p w14:paraId="5675D9DC" w14:textId="77777777" w:rsidR="002A66BB" w:rsidRPr="00AD5A27" w:rsidRDefault="002A66BB">
            <w:pPr>
              <w:pStyle w:val="TableText0"/>
              <w:jc w:val="center"/>
            </w:pPr>
            <w:r w:rsidRPr="00AD5A27">
              <w:t>91/108 (84.3)</w:t>
            </w:r>
          </w:p>
        </w:tc>
        <w:tc>
          <w:tcPr>
            <w:tcW w:w="752" w:type="pct"/>
          </w:tcPr>
          <w:p w14:paraId="0233A0FF" w14:textId="77777777" w:rsidR="002A66BB" w:rsidRPr="00AD5A27" w:rsidRDefault="002A66BB">
            <w:pPr>
              <w:pStyle w:val="TableText0"/>
              <w:jc w:val="center"/>
            </w:pPr>
            <w:r w:rsidRPr="00AD5A27">
              <w:t>33/34 (97.1)</w:t>
            </w:r>
          </w:p>
        </w:tc>
        <w:tc>
          <w:tcPr>
            <w:tcW w:w="752" w:type="pct"/>
          </w:tcPr>
          <w:p w14:paraId="11B40279" w14:textId="77777777" w:rsidR="002A66BB" w:rsidRPr="00AD5A27" w:rsidRDefault="002A66BB">
            <w:pPr>
              <w:pStyle w:val="TableText0"/>
              <w:jc w:val="center"/>
            </w:pPr>
            <w:r w:rsidRPr="00AD5A27">
              <w:t>124/142 (87.3)</w:t>
            </w:r>
          </w:p>
        </w:tc>
        <w:tc>
          <w:tcPr>
            <w:tcW w:w="752" w:type="pct"/>
          </w:tcPr>
          <w:p w14:paraId="41CF9967" w14:textId="77777777" w:rsidR="002A66BB" w:rsidRPr="00AD5A27" w:rsidRDefault="002A66BB">
            <w:pPr>
              <w:pStyle w:val="TableText0"/>
              <w:jc w:val="center"/>
            </w:pPr>
            <w:r w:rsidRPr="00AD5A27">
              <w:t>63/108 (58.3)</w:t>
            </w:r>
          </w:p>
        </w:tc>
        <w:tc>
          <w:tcPr>
            <w:tcW w:w="752" w:type="pct"/>
          </w:tcPr>
          <w:p w14:paraId="543CCCCC" w14:textId="77777777" w:rsidR="002A66BB" w:rsidRPr="00AD5A27" w:rsidRDefault="002A66BB">
            <w:pPr>
              <w:pStyle w:val="TableText0"/>
              <w:jc w:val="center"/>
            </w:pPr>
            <w:r w:rsidRPr="00AD5A27">
              <w:t>30/34 (88.2)</w:t>
            </w:r>
          </w:p>
        </w:tc>
        <w:tc>
          <w:tcPr>
            <w:tcW w:w="752" w:type="pct"/>
          </w:tcPr>
          <w:p w14:paraId="3B8999C8" w14:textId="77777777" w:rsidR="002A66BB" w:rsidRPr="00AD5A27" w:rsidRDefault="002A66BB">
            <w:pPr>
              <w:pStyle w:val="TableText0"/>
              <w:jc w:val="center"/>
            </w:pPr>
            <w:r w:rsidRPr="00AD5A27">
              <w:t>93/142 (65.5)</w:t>
            </w:r>
          </w:p>
        </w:tc>
      </w:tr>
      <w:tr w:rsidR="002A66BB" w:rsidRPr="00AD5A27" w14:paraId="31F43F0C" w14:textId="77777777">
        <w:tblPrEx>
          <w:tblCellMar>
            <w:left w:w="108" w:type="dxa"/>
            <w:right w:w="108" w:type="dxa"/>
          </w:tblCellMar>
        </w:tblPrEx>
        <w:trPr>
          <w:trHeight w:val="20"/>
        </w:trPr>
        <w:tc>
          <w:tcPr>
            <w:tcW w:w="542" w:type="pct"/>
            <w:noWrap/>
            <w:hideMark/>
          </w:tcPr>
          <w:p w14:paraId="50F223A5" w14:textId="77777777" w:rsidR="002A66BB" w:rsidRPr="00AD5A27" w:rsidRDefault="002A66BB">
            <w:pPr>
              <w:pStyle w:val="TableText0"/>
            </w:pPr>
            <w:r w:rsidRPr="00AD5A27">
              <w:t>198</w:t>
            </w:r>
          </w:p>
        </w:tc>
        <w:tc>
          <w:tcPr>
            <w:tcW w:w="698" w:type="pct"/>
            <w:noWrap/>
            <w:hideMark/>
          </w:tcPr>
          <w:p w14:paraId="744E4B9A" w14:textId="77777777" w:rsidR="002A66BB" w:rsidRPr="00AD5A27" w:rsidRDefault="002A66BB">
            <w:pPr>
              <w:pStyle w:val="TableText0"/>
              <w:jc w:val="center"/>
            </w:pPr>
            <w:r w:rsidRPr="00AD5A27">
              <w:t>77/87 (88.5)</w:t>
            </w:r>
          </w:p>
        </w:tc>
        <w:tc>
          <w:tcPr>
            <w:tcW w:w="752" w:type="pct"/>
          </w:tcPr>
          <w:p w14:paraId="7AB74AE7" w14:textId="77777777" w:rsidR="002A66BB" w:rsidRPr="00AD5A27" w:rsidRDefault="002A66BB">
            <w:pPr>
              <w:pStyle w:val="TableText0"/>
              <w:jc w:val="center"/>
            </w:pPr>
            <w:r w:rsidRPr="00AD5A27">
              <w:t>24/26 (92.3)</w:t>
            </w:r>
          </w:p>
        </w:tc>
        <w:tc>
          <w:tcPr>
            <w:tcW w:w="752" w:type="pct"/>
          </w:tcPr>
          <w:p w14:paraId="64C178C6" w14:textId="77777777" w:rsidR="002A66BB" w:rsidRPr="00AD5A27" w:rsidRDefault="002A66BB">
            <w:pPr>
              <w:pStyle w:val="TableText0"/>
              <w:jc w:val="center"/>
            </w:pPr>
            <w:r w:rsidRPr="00AD5A27">
              <w:t>101/113 (89.4)</w:t>
            </w:r>
          </w:p>
        </w:tc>
        <w:tc>
          <w:tcPr>
            <w:tcW w:w="752" w:type="pct"/>
          </w:tcPr>
          <w:p w14:paraId="6D4343AE" w14:textId="77777777" w:rsidR="002A66BB" w:rsidRPr="00AD5A27" w:rsidRDefault="002A66BB">
            <w:pPr>
              <w:pStyle w:val="TableText0"/>
              <w:jc w:val="center"/>
            </w:pPr>
            <w:r w:rsidRPr="00AD5A27">
              <w:t>51/87 (58.6)</w:t>
            </w:r>
          </w:p>
        </w:tc>
        <w:tc>
          <w:tcPr>
            <w:tcW w:w="752" w:type="pct"/>
          </w:tcPr>
          <w:p w14:paraId="48885ECD" w14:textId="77777777" w:rsidR="002A66BB" w:rsidRPr="00AD5A27" w:rsidRDefault="002A66BB">
            <w:pPr>
              <w:pStyle w:val="TableText0"/>
              <w:jc w:val="center"/>
            </w:pPr>
            <w:r w:rsidRPr="00AD5A27">
              <w:t>22/26 (84.6)</w:t>
            </w:r>
          </w:p>
        </w:tc>
        <w:tc>
          <w:tcPr>
            <w:tcW w:w="752" w:type="pct"/>
          </w:tcPr>
          <w:p w14:paraId="32A9AA3A" w14:textId="77777777" w:rsidR="002A66BB" w:rsidRPr="00AD5A27" w:rsidRDefault="002A66BB">
            <w:pPr>
              <w:pStyle w:val="TableText0"/>
              <w:jc w:val="center"/>
            </w:pPr>
            <w:r w:rsidRPr="00AD5A27">
              <w:t>73/113 (64.6)</w:t>
            </w:r>
          </w:p>
        </w:tc>
      </w:tr>
      <w:tr w:rsidR="002A66BB" w:rsidRPr="00AD5A27" w14:paraId="4554F0CB" w14:textId="77777777">
        <w:tblPrEx>
          <w:tblCellMar>
            <w:left w:w="108" w:type="dxa"/>
            <w:right w:w="108" w:type="dxa"/>
          </w:tblCellMar>
        </w:tblPrEx>
        <w:trPr>
          <w:trHeight w:val="20"/>
        </w:trPr>
        <w:tc>
          <w:tcPr>
            <w:tcW w:w="542" w:type="pct"/>
            <w:noWrap/>
            <w:hideMark/>
          </w:tcPr>
          <w:p w14:paraId="0223903F" w14:textId="77777777" w:rsidR="002A66BB" w:rsidRPr="00AD5A27" w:rsidRDefault="002A66BB">
            <w:pPr>
              <w:pStyle w:val="TableText0"/>
            </w:pPr>
            <w:r w:rsidRPr="00AD5A27">
              <w:t>222</w:t>
            </w:r>
          </w:p>
        </w:tc>
        <w:tc>
          <w:tcPr>
            <w:tcW w:w="698" w:type="pct"/>
            <w:noWrap/>
            <w:hideMark/>
          </w:tcPr>
          <w:p w14:paraId="29616F0B" w14:textId="77777777" w:rsidR="002A66BB" w:rsidRPr="00AD5A27" w:rsidRDefault="002A66BB">
            <w:pPr>
              <w:pStyle w:val="TableText0"/>
              <w:jc w:val="center"/>
            </w:pPr>
            <w:r w:rsidRPr="00AD5A27">
              <w:t>53/58 (91.4)</w:t>
            </w:r>
          </w:p>
        </w:tc>
        <w:tc>
          <w:tcPr>
            <w:tcW w:w="752" w:type="pct"/>
          </w:tcPr>
          <w:p w14:paraId="19EDCEA5" w14:textId="77777777" w:rsidR="002A66BB" w:rsidRPr="00AD5A27" w:rsidRDefault="002A66BB">
            <w:pPr>
              <w:pStyle w:val="TableText0"/>
              <w:jc w:val="center"/>
            </w:pPr>
            <w:r w:rsidRPr="00AD5A27">
              <w:t>12/12 (100)</w:t>
            </w:r>
          </w:p>
        </w:tc>
        <w:tc>
          <w:tcPr>
            <w:tcW w:w="752" w:type="pct"/>
          </w:tcPr>
          <w:p w14:paraId="531D4BA9" w14:textId="77777777" w:rsidR="002A66BB" w:rsidRPr="00AD5A27" w:rsidRDefault="002A66BB">
            <w:pPr>
              <w:pStyle w:val="TableText0"/>
              <w:jc w:val="center"/>
            </w:pPr>
            <w:r w:rsidRPr="00AD5A27">
              <w:t>65/70 (92.9)</w:t>
            </w:r>
          </w:p>
        </w:tc>
        <w:tc>
          <w:tcPr>
            <w:tcW w:w="752" w:type="pct"/>
          </w:tcPr>
          <w:p w14:paraId="25EC6352" w14:textId="77777777" w:rsidR="002A66BB" w:rsidRPr="00AD5A27" w:rsidRDefault="002A66BB">
            <w:pPr>
              <w:pStyle w:val="TableText0"/>
              <w:jc w:val="center"/>
            </w:pPr>
            <w:r w:rsidRPr="00AD5A27">
              <w:t>39/59 (66.1)</w:t>
            </w:r>
          </w:p>
        </w:tc>
        <w:tc>
          <w:tcPr>
            <w:tcW w:w="752" w:type="pct"/>
          </w:tcPr>
          <w:p w14:paraId="78AAFADB" w14:textId="77777777" w:rsidR="002A66BB" w:rsidRPr="00AD5A27" w:rsidRDefault="002A66BB">
            <w:pPr>
              <w:pStyle w:val="TableText0"/>
              <w:jc w:val="center"/>
            </w:pPr>
            <w:r w:rsidRPr="00AD5A27">
              <w:t>10/12 (83.3)</w:t>
            </w:r>
          </w:p>
        </w:tc>
        <w:tc>
          <w:tcPr>
            <w:tcW w:w="752" w:type="pct"/>
          </w:tcPr>
          <w:p w14:paraId="52669AFE" w14:textId="77777777" w:rsidR="002A66BB" w:rsidRPr="00AD5A27" w:rsidRDefault="002A66BB">
            <w:pPr>
              <w:pStyle w:val="TableText0"/>
              <w:jc w:val="center"/>
            </w:pPr>
            <w:r w:rsidRPr="00AD5A27">
              <w:t>49/71 (69.0)</w:t>
            </w:r>
          </w:p>
        </w:tc>
      </w:tr>
      <w:tr w:rsidR="002A66BB" w:rsidRPr="00AD5A27" w14:paraId="6F5E6ADC" w14:textId="77777777">
        <w:tblPrEx>
          <w:tblCellMar>
            <w:left w:w="108" w:type="dxa"/>
            <w:right w:w="108" w:type="dxa"/>
          </w:tblCellMar>
        </w:tblPrEx>
        <w:trPr>
          <w:trHeight w:val="20"/>
        </w:trPr>
        <w:tc>
          <w:tcPr>
            <w:tcW w:w="542" w:type="pct"/>
            <w:noWrap/>
            <w:hideMark/>
          </w:tcPr>
          <w:p w14:paraId="66A67283" w14:textId="77777777" w:rsidR="002A66BB" w:rsidRPr="00AD5A27" w:rsidRDefault="002A66BB">
            <w:pPr>
              <w:pStyle w:val="TableText0"/>
            </w:pPr>
            <w:r w:rsidRPr="00AD5A27">
              <w:t xml:space="preserve">246 </w:t>
            </w:r>
            <w:r w:rsidRPr="00AD5A27">
              <w:rPr>
                <w:vertAlign w:val="superscript"/>
              </w:rPr>
              <w:t>b</w:t>
            </w:r>
          </w:p>
        </w:tc>
        <w:tc>
          <w:tcPr>
            <w:tcW w:w="698" w:type="pct"/>
            <w:noWrap/>
            <w:hideMark/>
          </w:tcPr>
          <w:p w14:paraId="1A83F278" w14:textId="77777777" w:rsidR="002A66BB" w:rsidRPr="00AD5A27" w:rsidRDefault="002A66BB">
            <w:pPr>
              <w:pStyle w:val="TableText0"/>
              <w:jc w:val="center"/>
            </w:pPr>
            <w:r w:rsidRPr="00AD5A27">
              <w:t>33/35 (94.3)</w:t>
            </w:r>
          </w:p>
        </w:tc>
        <w:tc>
          <w:tcPr>
            <w:tcW w:w="752" w:type="pct"/>
          </w:tcPr>
          <w:p w14:paraId="52F9A821" w14:textId="77777777" w:rsidR="002A66BB" w:rsidRPr="00AD5A27" w:rsidRDefault="002A66BB">
            <w:pPr>
              <w:pStyle w:val="TableText0"/>
              <w:jc w:val="center"/>
            </w:pPr>
            <w:r w:rsidRPr="00AD5A27">
              <w:t>7/7 (100)</w:t>
            </w:r>
          </w:p>
        </w:tc>
        <w:tc>
          <w:tcPr>
            <w:tcW w:w="752" w:type="pct"/>
          </w:tcPr>
          <w:p w14:paraId="4EB3DF37" w14:textId="77777777" w:rsidR="002A66BB" w:rsidRPr="00AD5A27" w:rsidRDefault="002A66BB">
            <w:pPr>
              <w:pStyle w:val="TableText0"/>
              <w:jc w:val="center"/>
            </w:pPr>
            <w:r w:rsidRPr="00AD5A27">
              <w:t>40/42 (95.2)</w:t>
            </w:r>
          </w:p>
        </w:tc>
        <w:tc>
          <w:tcPr>
            <w:tcW w:w="752" w:type="pct"/>
          </w:tcPr>
          <w:p w14:paraId="65872A07" w14:textId="77777777" w:rsidR="002A66BB" w:rsidRPr="00AD5A27" w:rsidRDefault="002A66BB">
            <w:pPr>
              <w:pStyle w:val="TableText0"/>
              <w:jc w:val="center"/>
            </w:pPr>
            <w:r w:rsidRPr="00AD5A27">
              <w:t>28/35 (80.0)</w:t>
            </w:r>
          </w:p>
        </w:tc>
        <w:tc>
          <w:tcPr>
            <w:tcW w:w="752" w:type="pct"/>
          </w:tcPr>
          <w:p w14:paraId="0D6441B6" w14:textId="77777777" w:rsidR="002A66BB" w:rsidRPr="00AD5A27" w:rsidRDefault="002A66BB">
            <w:pPr>
              <w:pStyle w:val="TableText0"/>
              <w:jc w:val="center"/>
            </w:pPr>
            <w:r w:rsidRPr="00AD5A27">
              <w:t>7/7 (100)</w:t>
            </w:r>
          </w:p>
        </w:tc>
        <w:tc>
          <w:tcPr>
            <w:tcW w:w="752" w:type="pct"/>
          </w:tcPr>
          <w:p w14:paraId="5A399D8F" w14:textId="77777777" w:rsidR="002A66BB" w:rsidRPr="00AD5A27" w:rsidRDefault="002A66BB">
            <w:pPr>
              <w:pStyle w:val="TableText0"/>
              <w:jc w:val="center"/>
            </w:pPr>
            <w:r w:rsidRPr="00AD5A27">
              <w:t>35/42 (83.3)</w:t>
            </w:r>
          </w:p>
        </w:tc>
      </w:tr>
    </w:tbl>
    <w:p w14:paraId="14367A0D" w14:textId="0054D823" w:rsidR="002A66BB" w:rsidRPr="00AD5A27" w:rsidRDefault="002A66BB">
      <w:pPr>
        <w:pStyle w:val="TableFigureFooter"/>
      </w:pPr>
      <w:r w:rsidRPr="00AD5A27">
        <w:t>Source: Tables 2-26-2-27, pp111-112 of the resubmission</w:t>
      </w:r>
    </w:p>
    <w:p w14:paraId="08F50F94" w14:textId="584CB8FD" w:rsidR="002A66BB" w:rsidRPr="00AD5A27" w:rsidRDefault="002A66BB">
      <w:pPr>
        <w:pStyle w:val="TableFigureFooter"/>
      </w:pPr>
      <w:r w:rsidRPr="00AD5A27">
        <w:t>ITT = Intention to treat; N = Number</w:t>
      </w:r>
    </w:p>
    <w:p w14:paraId="3C6365DA" w14:textId="77777777" w:rsidR="002A66BB" w:rsidRPr="00AD5A27" w:rsidRDefault="002A66BB">
      <w:pPr>
        <w:pStyle w:val="TableFigureFooter"/>
      </w:pPr>
      <w:r w:rsidRPr="00AD5A27">
        <w:rPr>
          <w:vertAlign w:val="superscript"/>
        </w:rPr>
        <w:t>a</w:t>
      </w:r>
      <w:r w:rsidRPr="00AD5A27">
        <w:t xml:space="preserve"> Patients with active uveitis at study entry could have been in quiescence at Week 0 because all patients were evaluated for uveitis status at the Final/Early Termination visit of the lead-in study, and the Week 0 visit in the current study could have occurred up to 28 days later, during which time the patient's disease status may have changed.</w:t>
      </w:r>
    </w:p>
    <w:p w14:paraId="4C4721CE" w14:textId="77777777" w:rsidR="002A66BB" w:rsidRPr="00AD5A27" w:rsidRDefault="002A66BB">
      <w:pPr>
        <w:pStyle w:val="TableFigureFooter"/>
      </w:pPr>
      <w:r w:rsidRPr="00AD5A27">
        <w:rPr>
          <w:vertAlign w:val="superscript"/>
        </w:rPr>
        <w:t>b</w:t>
      </w:r>
      <w:r w:rsidRPr="00AD5A27">
        <w:t xml:space="preserve"> Less than 10% of patients in the ITT set at visits beyond this week (through Week 366).</w:t>
      </w:r>
    </w:p>
    <w:p w14:paraId="5FE8ABDC" w14:textId="3BC662DB" w:rsidR="002A66BB" w:rsidRPr="00AD5A27" w:rsidRDefault="002A66BB">
      <w:pPr>
        <w:pStyle w:val="3-BodyText"/>
      </w:pPr>
      <w:bookmarkStart w:id="31" w:name="_Ref162361778"/>
      <w:r w:rsidRPr="00AD5A27">
        <w:t xml:space="preserve">In the VISUAL III study, the overall proportion of patients who were in quiescence regardless of concomitant corticosteroid use increased from 33.5% </w:t>
      </w:r>
      <w:r w:rsidR="00233142">
        <w:t>(122/3</w:t>
      </w:r>
      <w:r w:rsidR="00DA0C93">
        <w:t>64</w:t>
      </w:r>
      <w:r w:rsidR="00233142">
        <w:t xml:space="preserve">) </w:t>
      </w:r>
      <w:r w:rsidRPr="00AD5A27">
        <w:t xml:space="preserve">at Week 0 to 85.0% </w:t>
      </w:r>
      <w:r w:rsidR="00233142">
        <w:t xml:space="preserve">(153/180) </w:t>
      </w:r>
      <w:r w:rsidRPr="00AD5A27">
        <w:t xml:space="preserve">at Week 150, with an increase in patients with active uveitis at study entry (7.5% </w:t>
      </w:r>
      <w:r w:rsidR="00233142">
        <w:t xml:space="preserve">[18/240] </w:t>
      </w:r>
      <w:r w:rsidRPr="00AD5A27">
        <w:t>to 79.7%</w:t>
      </w:r>
      <w:r w:rsidR="00233142">
        <w:t xml:space="preserve"> [98/123]</w:t>
      </w:r>
      <w:r w:rsidRPr="00AD5A27">
        <w:t>) and with maintenance in patients with controlled uveitis (83.9%</w:t>
      </w:r>
      <w:r w:rsidR="00233142">
        <w:t xml:space="preserve"> [104/124]</w:t>
      </w:r>
      <w:r w:rsidRPr="00AD5A27">
        <w:t xml:space="preserve"> to 96.5%</w:t>
      </w:r>
      <w:r w:rsidR="00233142">
        <w:t xml:space="preserve"> [55/57]</w:t>
      </w:r>
      <w:r w:rsidRPr="00AD5A27">
        <w:t xml:space="preserve">). Further, the overall proportion of patients in steroid-free quiescence in VISUAL III increased from 30.5% </w:t>
      </w:r>
      <w:r w:rsidR="00233142">
        <w:t xml:space="preserve">(111/364) </w:t>
      </w:r>
      <w:r w:rsidRPr="00AD5A27">
        <w:t>at Week 0 to 65.0%</w:t>
      </w:r>
      <w:r w:rsidR="00233142">
        <w:t xml:space="preserve"> (117/180)</w:t>
      </w:r>
      <w:r w:rsidRPr="00AD5A27">
        <w:t xml:space="preserve"> at Week 150, with an increase in patients with active uveitis at study entry (5.0% </w:t>
      </w:r>
      <w:r w:rsidR="00233142">
        <w:t xml:space="preserve">[12/240] </w:t>
      </w:r>
      <w:r w:rsidRPr="00AD5A27">
        <w:t>to 53.7%</w:t>
      </w:r>
      <w:r w:rsidR="00233142">
        <w:t xml:space="preserve"> [66/123]</w:t>
      </w:r>
      <w:r w:rsidRPr="00AD5A27">
        <w:t>) and with maintenance in patients with controlled uveitis (79.8%</w:t>
      </w:r>
      <w:r w:rsidR="00233142">
        <w:t xml:space="preserve"> [99/124]</w:t>
      </w:r>
      <w:r w:rsidRPr="00AD5A27">
        <w:t xml:space="preserve"> to 89.5%</w:t>
      </w:r>
      <w:r w:rsidR="00233142">
        <w:t xml:space="preserve"> [51/57]</w:t>
      </w:r>
      <w:r w:rsidRPr="00AD5A27">
        <w:t xml:space="preserve">). </w:t>
      </w:r>
      <w:r w:rsidR="00CD5463" w:rsidRPr="00AD5A27">
        <w:t>The</w:t>
      </w:r>
      <w:r w:rsidR="00C92034" w:rsidRPr="00AD5A27">
        <w:t xml:space="preserve"> evaluation considered that the</w:t>
      </w:r>
      <w:r w:rsidR="00CD5463" w:rsidRPr="00AD5A27">
        <w:t xml:space="preserve"> effect of adalimumab over corticosteroids remains unclear due to the lack of data relating to the proportion of patients achieving quiescence with </w:t>
      </w:r>
      <w:r w:rsidR="00471B15" w:rsidRPr="00AD5A27">
        <w:t>cortico</w:t>
      </w:r>
      <w:r w:rsidR="00CD5463" w:rsidRPr="00AD5A27">
        <w:t xml:space="preserve">steroids alone. Significant </w:t>
      </w:r>
      <w:r w:rsidR="00E47977" w:rsidRPr="00AD5A27">
        <w:t>loss to follow-up during</w:t>
      </w:r>
      <w:r w:rsidR="00CD5463" w:rsidRPr="00AD5A27">
        <w:t xml:space="preserve"> the study, particularly in later weeks, further complicate outcome interpretation. The high proportion of steroid-free quiescence between weeks 222 and 246 (69</w:t>
      </w:r>
      <w:r w:rsidR="00C92034" w:rsidRPr="00AD5A27">
        <w:rPr>
          <w:rFonts w:cstheme="minorHAnsi"/>
        </w:rPr>
        <w:t>−</w:t>
      </w:r>
      <w:r w:rsidR="00CD5463" w:rsidRPr="00AD5A27">
        <w:t>83%) could have been inflated by participants not achieving quiescence dropping out of the VISUAL III study.</w:t>
      </w:r>
      <w:bookmarkEnd w:id="31"/>
    </w:p>
    <w:p w14:paraId="7C15F075" w14:textId="77777777" w:rsidR="002A66BB" w:rsidRPr="00AD5A27" w:rsidRDefault="002A66BB">
      <w:pPr>
        <w:pStyle w:val="3-BodyText"/>
      </w:pPr>
      <w:r w:rsidRPr="00AD5A27">
        <w:t xml:space="preserve">The secondary outcomes for the VISUAL I and VISUAL II trials presented in the resubmission were unchanged from the March 2017 submission. </w:t>
      </w:r>
    </w:p>
    <w:p w14:paraId="70B6BB07" w14:textId="64D5FFFC" w:rsidR="002A66BB" w:rsidRPr="00AD5A27" w:rsidRDefault="002A66BB">
      <w:pPr>
        <w:pStyle w:val="3-BodyText"/>
      </w:pPr>
      <w:r w:rsidRPr="00AD5A27">
        <w:t xml:space="preserve">In the VISUAL III study, all secondary outcomes (i.e., the mean changes in anterior chamber cell grade, vitreous haze grade, and visual acuity (i.e. logarithm of the minimum angle of resolution for the best-corrected visual acuity (log(MAR) BCVA)) mean of both eyes) from baseline to the Week 150 visit showed no </w:t>
      </w:r>
      <w:r w:rsidR="00E36E64">
        <w:t>meaningful</w:t>
      </w:r>
      <w:r w:rsidRPr="00AD5A27">
        <w:t xml:space="preserve"> difference in patients with active or controlled uveitis.</w:t>
      </w:r>
    </w:p>
    <w:p w14:paraId="2D31E591" w14:textId="77777777" w:rsidR="002A66BB" w:rsidRPr="00AD5A27" w:rsidRDefault="002A66BB" w:rsidP="00ED34B8">
      <w:pPr>
        <w:keepNext/>
        <w:rPr>
          <w:u w:val="single"/>
        </w:rPr>
      </w:pPr>
      <w:r w:rsidRPr="00AD5A27">
        <w:rPr>
          <w:u w:val="single"/>
        </w:rPr>
        <w:lastRenderedPageBreak/>
        <w:t>Paediatric</w:t>
      </w:r>
    </w:p>
    <w:p w14:paraId="6E40C669" w14:textId="6A987E8D" w:rsidR="002A66BB" w:rsidRPr="00AD5A27" w:rsidRDefault="002A66BB">
      <w:pPr>
        <w:pStyle w:val="3-BodyText"/>
      </w:pPr>
      <w:r w:rsidRPr="00AD5A27">
        <w:t xml:space="preserve">The SYCAMORE trial reported 16 treatment failures in 60 patients (27%) in the adalimumab arm versus 18 treatment failures in 30 patients (60%) in the placebo arm. The risk of treatment failure or uveitic flare for patients in the adalimumab arm was reduced by 75% compared to patients in the placebo arm (HR= 0.25; 95% CI 0.12–0.49; p&lt;0.0001). Post‐hoc analyses showed significant differences </w:t>
      </w:r>
      <w:r w:rsidR="000C2031">
        <w:t>with a</w:t>
      </w:r>
      <w:r w:rsidR="000C2031" w:rsidRPr="00AD5A27">
        <w:t xml:space="preserve"> </w:t>
      </w:r>
      <w:r w:rsidRPr="00AD5A27">
        <w:t xml:space="preserve">favourable response to adalimumab </w:t>
      </w:r>
      <w:r w:rsidR="000C2031">
        <w:t>for</w:t>
      </w:r>
      <w:r w:rsidRPr="00AD5A27">
        <w:t xml:space="preserve"> both the time to treatment response (HR=3.15; 95% CI 1.42, 7.00; p&lt;0.0027) and the proportion of responders at 3 and 6 months (p = 0.0014 for each timepoint) (Ramanan et al., 2017)</w:t>
      </w:r>
      <w:r w:rsidRPr="00AD5A27">
        <w:rPr>
          <w:rStyle w:val="FootnoteReference"/>
          <w:rFonts w:eastAsia="Calibri" w:cs="Calibri"/>
          <w:color w:val="000000"/>
          <w:lang w:eastAsia="en-US"/>
        </w:rPr>
        <w:footnoteReference w:id="8"/>
      </w:r>
      <w:r w:rsidRPr="00AD5A27">
        <w:t>.</w:t>
      </w:r>
    </w:p>
    <w:p w14:paraId="4608A913" w14:textId="01774925" w:rsidR="002A66BB" w:rsidRPr="00AD5A27" w:rsidRDefault="002A66BB">
      <w:pPr>
        <w:pStyle w:val="3-BodyText"/>
      </w:pPr>
      <w:r w:rsidRPr="00AD5A27">
        <w:fldChar w:fldCharType="begin" w:fldLock="1"/>
      </w:r>
      <w:r w:rsidRPr="00AD5A27">
        <w:instrText xml:space="preserve"> REF _Ref152346300 \h </w:instrText>
      </w:r>
      <w:r w:rsidR="00E72361" w:rsidRPr="00AD5A27">
        <w:instrText xml:space="preserve"> \* MERGEFORMAT </w:instrText>
      </w:r>
      <w:r w:rsidRPr="00AD5A27">
        <w:fldChar w:fldCharType="separate"/>
      </w:r>
      <w:r w:rsidR="00B510E9" w:rsidRPr="00AD5A27">
        <w:t>Figure 4</w:t>
      </w:r>
      <w:r w:rsidRPr="00AD5A27">
        <w:fldChar w:fldCharType="end"/>
      </w:r>
      <w:r w:rsidRPr="00AD5A27">
        <w:t xml:space="preserve"> presents the Kaplan-Meier curves for time to treatment failure based on the SYCAMORE trial.</w:t>
      </w:r>
    </w:p>
    <w:p w14:paraId="554B0C5A" w14:textId="5C20BF9C" w:rsidR="002A66BB" w:rsidRPr="00AD5A27" w:rsidRDefault="002A66BB">
      <w:pPr>
        <w:pStyle w:val="Caption"/>
        <w:jc w:val="left"/>
      </w:pPr>
      <w:bookmarkStart w:id="32" w:name="_Ref152346300"/>
      <w:r w:rsidRPr="00AD5A27">
        <w:t xml:space="preserve">Figure </w:t>
      </w:r>
      <w:r w:rsidR="004050E4">
        <w:fldChar w:fldCharType="begin" w:fldLock="1"/>
      </w:r>
      <w:r w:rsidR="004050E4">
        <w:instrText xml:space="preserve"> SEQ Figure \* ARABIC </w:instrText>
      </w:r>
      <w:r w:rsidR="004050E4">
        <w:fldChar w:fldCharType="separate"/>
      </w:r>
      <w:r w:rsidR="00B510E9" w:rsidRPr="00AD5A27">
        <w:t>4</w:t>
      </w:r>
      <w:r w:rsidR="004050E4">
        <w:fldChar w:fldCharType="end"/>
      </w:r>
      <w:bookmarkEnd w:id="32"/>
      <w:r w:rsidRPr="00AD5A27">
        <w:t>: Kaplan-Meier curves for time to treatment failure – SYCAMORE trial</w:t>
      </w:r>
    </w:p>
    <w:p w14:paraId="3B25B95A" w14:textId="77777777" w:rsidR="002A66BB" w:rsidRPr="00AD5A27" w:rsidRDefault="002A66BB">
      <w:pPr>
        <w:keepNext/>
        <w:keepLines/>
        <w:spacing w:after="120"/>
        <w:jc w:val="left"/>
        <w:rPr>
          <w:rStyle w:val="TableFigureFooterChar"/>
        </w:rPr>
      </w:pPr>
      <w:r w:rsidRPr="00AD5A27">
        <w:rPr>
          <w:rFonts w:cs="Calibri"/>
          <w:noProof/>
          <w:color w:val="000000"/>
          <w:sz w:val="16"/>
          <w:szCs w:val="18"/>
        </w:rPr>
        <w:drawing>
          <wp:inline distT="0" distB="0" distL="0" distR="0" wp14:anchorId="372C32D1" wp14:editId="3F98B04B">
            <wp:extent cx="4640295" cy="3312000"/>
            <wp:effectExtent l="19050" t="19050" r="27305" b="22225"/>
            <wp:docPr id="1225866442" name="Picture 1225866442" descr="Figure 4: Kaplan-Meier curves for time to treatment failure – SYCAMORE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66442" name="Picture 1225866442" descr="Figure 4: Kaplan-Meier curves for time to treatment failure – SYCAMORE trial"/>
                    <pic:cNvPicPr/>
                  </pic:nvPicPr>
                  <pic:blipFill>
                    <a:blip r:embed="rId11"/>
                    <a:stretch>
                      <a:fillRect/>
                    </a:stretch>
                  </pic:blipFill>
                  <pic:spPr>
                    <a:xfrm>
                      <a:off x="0" y="0"/>
                      <a:ext cx="4640295" cy="3312000"/>
                    </a:xfrm>
                    <a:prstGeom prst="rect">
                      <a:avLst/>
                    </a:prstGeom>
                    <a:ln w="3175">
                      <a:solidFill>
                        <a:schemeClr val="tx1"/>
                      </a:solidFill>
                    </a:ln>
                  </pic:spPr>
                </pic:pic>
              </a:graphicData>
            </a:graphic>
          </wp:inline>
        </w:drawing>
      </w:r>
      <w:r w:rsidRPr="00AD5A27">
        <w:rPr>
          <w:rFonts w:cs="Calibri"/>
          <w:color w:val="000000"/>
        </w:rPr>
        <w:br/>
      </w:r>
      <w:r w:rsidRPr="00AD5A27">
        <w:rPr>
          <w:rStyle w:val="TableFigureFooterChar"/>
        </w:rPr>
        <w:t>Source: Figure 2-10, p113 of the resubmission</w:t>
      </w:r>
      <w:r w:rsidRPr="00AD5A27">
        <w:rPr>
          <w:rStyle w:val="TableFigureFooterChar"/>
        </w:rPr>
        <w:br/>
        <w:t>Note: tick marks indicate censored data.</w:t>
      </w:r>
    </w:p>
    <w:p w14:paraId="314497AD" w14:textId="77777777" w:rsidR="002A66BB" w:rsidRPr="00AD5A27" w:rsidRDefault="002A66BB">
      <w:pPr>
        <w:pStyle w:val="3-BodyText"/>
      </w:pPr>
      <w:r w:rsidRPr="00AD5A27">
        <w:t xml:space="preserve">The primary efficacy endpoint in the ADJUVITE trial was the response to 2 months of treatment, expressed in terms of reducing ocular inflammation. Analysis using the ITT set showed that at month 2, there were 56.25% responders (n= 9/16) in the </w:t>
      </w:r>
      <w:r w:rsidRPr="00AD5A27">
        <w:lastRenderedPageBreak/>
        <w:t>adalimumab arm and 20% responders (n= 3/15) in the placebo arm (relative risk = 2.81; 95% CI: 0.94, 8.45; p-value based on χ</w:t>
      </w:r>
      <w:r w:rsidRPr="00AD5A27">
        <w:rPr>
          <w:vertAlign w:val="superscript"/>
        </w:rPr>
        <w:t>2</w:t>
      </w:r>
      <w:r w:rsidRPr="00AD5A27">
        <w:t xml:space="preserve">= 0.038) </w:t>
      </w:r>
      <w:r w:rsidRPr="00AD5A27">
        <w:rPr>
          <w:rFonts w:eastAsia="Calibri" w:cs="Calibri"/>
          <w:color w:val="000000"/>
          <w:lang w:eastAsia="en-US"/>
        </w:rPr>
        <w:t>(Quartier et al., 2017)</w:t>
      </w:r>
      <w:r w:rsidRPr="00AD5A27">
        <w:rPr>
          <w:rStyle w:val="FootnoteReference"/>
          <w:rFonts w:eastAsia="Calibri" w:cs="Calibri"/>
          <w:color w:val="000000"/>
          <w:lang w:eastAsia="en-US"/>
        </w:rPr>
        <w:footnoteReference w:id="9"/>
      </w:r>
      <w:r w:rsidRPr="00AD5A27">
        <w:t>.</w:t>
      </w:r>
    </w:p>
    <w:p w14:paraId="32100E3E" w14:textId="66221C62" w:rsidR="002A66BB" w:rsidRPr="00AD5A27" w:rsidRDefault="002A66BB" w:rsidP="00ED34B8">
      <w:pPr>
        <w:pStyle w:val="3-BodyText"/>
      </w:pPr>
      <w:r w:rsidRPr="00AD5A27">
        <w:t>Post</w:t>
      </w:r>
      <w:r w:rsidR="007147FD" w:rsidRPr="00AD5A27">
        <w:t xml:space="preserve"> </w:t>
      </w:r>
      <w:r w:rsidRPr="00AD5A27">
        <w:t>hoc analyses based on the SYCAMORE trial are presented in</w:t>
      </w:r>
      <w:r w:rsidR="005D4523" w:rsidRPr="00AD5A27">
        <w:t xml:space="preserve"> </w:t>
      </w:r>
      <w:r w:rsidR="005D4523" w:rsidRPr="00AD5A27">
        <w:fldChar w:fldCharType="begin" w:fldLock="1"/>
      </w:r>
      <w:r w:rsidR="005D4523" w:rsidRPr="00AD5A27">
        <w:instrText xml:space="preserve"> REF _Ref152347700 \h </w:instrText>
      </w:r>
      <w:r w:rsidR="00E72361" w:rsidRPr="00AD5A27">
        <w:instrText xml:space="preserve"> \* MERGEFORMAT </w:instrText>
      </w:r>
      <w:r w:rsidR="005D4523" w:rsidRPr="00AD5A27">
        <w:fldChar w:fldCharType="separate"/>
      </w:r>
      <w:r w:rsidR="00B510E9" w:rsidRPr="00AD5A27">
        <w:t>Table 6</w:t>
      </w:r>
      <w:r w:rsidR="005D4523" w:rsidRPr="00AD5A27">
        <w:fldChar w:fldCharType="end"/>
      </w:r>
      <w:r w:rsidR="005D4523" w:rsidRPr="00AD5A27">
        <w:t>.</w:t>
      </w:r>
    </w:p>
    <w:p w14:paraId="307042BB" w14:textId="16BD3F92" w:rsidR="002A66BB" w:rsidRPr="00AD5A27" w:rsidRDefault="002A66BB">
      <w:pPr>
        <w:pStyle w:val="Caption"/>
      </w:pPr>
      <w:bookmarkStart w:id="33" w:name="_Ref152347700"/>
      <w:r w:rsidRPr="00AD5A27">
        <w:t xml:space="preserve">Table </w:t>
      </w:r>
      <w:r w:rsidR="004050E4">
        <w:fldChar w:fldCharType="begin" w:fldLock="1"/>
      </w:r>
      <w:r w:rsidR="004050E4">
        <w:instrText xml:space="preserve"> SEQ Table \* ARABIC </w:instrText>
      </w:r>
      <w:r w:rsidR="004050E4">
        <w:fldChar w:fldCharType="separate"/>
      </w:r>
      <w:r w:rsidR="00B510E9" w:rsidRPr="00AD5A27">
        <w:t>6</w:t>
      </w:r>
      <w:r w:rsidR="004050E4">
        <w:fldChar w:fldCharType="end"/>
      </w:r>
      <w:bookmarkEnd w:id="33"/>
      <w:r w:rsidRPr="00AD5A27">
        <w:t>: Efficacy results for secondary outcomes and posthoc analyses based on the SYCAMORE trial, ITT set</w:t>
      </w: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Efficacy results for secondary outcomes and posthoc analyses based on the SYCAMORE trial, ITT set"/>
      </w:tblPr>
      <w:tblGrid>
        <w:gridCol w:w="5949"/>
        <w:gridCol w:w="1559"/>
        <w:gridCol w:w="1509"/>
      </w:tblGrid>
      <w:tr w:rsidR="002A66BB" w:rsidRPr="00AD5A27" w14:paraId="3A3291A6" w14:textId="77777777">
        <w:trPr>
          <w:trHeight w:val="20"/>
          <w:tblHeader/>
        </w:trPr>
        <w:tc>
          <w:tcPr>
            <w:tcW w:w="5949" w:type="dxa"/>
            <w:shd w:val="clear" w:color="auto" w:fill="FFFFFF" w:themeFill="background1"/>
            <w:noWrap/>
            <w:vAlign w:val="center"/>
            <w:hideMark/>
          </w:tcPr>
          <w:p w14:paraId="5DBCBE1F" w14:textId="77777777" w:rsidR="002A66BB" w:rsidRPr="00AD5A27" w:rsidRDefault="002A66BB">
            <w:pPr>
              <w:pStyle w:val="In-tableHeading"/>
              <w:jc w:val="center"/>
              <w:rPr>
                <w:lang w:val="en-AU"/>
              </w:rPr>
            </w:pPr>
            <w:r w:rsidRPr="00AD5A27">
              <w:rPr>
                <w:lang w:val="en-AU"/>
              </w:rPr>
              <w:t>Outcome</w:t>
            </w:r>
          </w:p>
        </w:tc>
        <w:tc>
          <w:tcPr>
            <w:tcW w:w="1559" w:type="dxa"/>
            <w:shd w:val="clear" w:color="auto" w:fill="FFFFFF" w:themeFill="background1"/>
            <w:noWrap/>
            <w:vAlign w:val="center"/>
            <w:hideMark/>
          </w:tcPr>
          <w:p w14:paraId="2CD6A253" w14:textId="77777777" w:rsidR="002A66BB" w:rsidRPr="00AD5A27" w:rsidRDefault="002A66BB">
            <w:pPr>
              <w:pStyle w:val="In-tableHeading"/>
              <w:jc w:val="center"/>
              <w:rPr>
                <w:lang w:val="en-AU"/>
              </w:rPr>
            </w:pPr>
            <w:r w:rsidRPr="00AD5A27">
              <w:rPr>
                <w:rFonts w:cs="Calibri"/>
                <w:bCs/>
                <w:color w:val="1F1F1F"/>
                <w:szCs w:val="20"/>
                <w:lang w:val="en-AU"/>
              </w:rPr>
              <w:t>ADA</w:t>
            </w:r>
            <w:r w:rsidRPr="00AD5A27">
              <w:rPr>
                <w:rFonts w:cs="Calibri"/>
                <w:color w:val="1F1F1F"/>
                <w:szCs w:val="20"/>
                <w:lang w:val="en-AU"/>
              </w:rPr>
              <w:t xml:space="preserve"> (N=60)</w:t>
            </w:r>
          </w:p>
        </w:tc>
        <w:tc>
          <w:tcPr>
            <w:tcW w:w="1509" w:type="dxa"/>
            <w:shd w:val="clear" w:color="auto" w:fill="FFFFFF" w:themeFill="background1"/>
            <w:noWrap/>
            <w:vAlign w:val="center"/>
            <w:hideMark/>
          </w:tcPr>
          <w:p w14:paraId="411E15AE" w14:textId="77777777" w:rsidR="002A66BB" w:rsidRPr="00AD5A27" w:rsidRDefault="002A66BB">
            <w:pPr>
              <w:pStyle w:val="In-tableHeading"/>
              <w:jc w:val="center"/>
              <w:rPr>
                <w:lang w:val="en-AU"/>
              </w:rPr>
            </w:pPr>
            <w:r w:rsidRPr="00AD5A27">
              <w:rPr>
                <w:rFonts w:cs="Calibri"/>
                <w:bCs/>
                <w:color w:val="1F1F1F"/>
                <w:szCs w:val="20"/>
                <w:lang w:val="en-AU"/>
              </w:rPr>
              <w:t>PBO</w:t>
            </w:r>
            <w:r w:rsidRPr="00AD5A27">
              <w:rPr>
                <w:rFonts w:cs="Calibri"/>
                <w:color w:val="1F1F1F"/>
                <w:szCs w:val="20"/>
                <w:lang w:val="en-AU"/>
              </w:rPr>
              <w:t xml:space="preserve"> (N=30)</w:t>
            </w:r>
          </w:p>
        </w:tc>
      </w:tr>
      <w:tr w:rsidR="002A66BB" w:rsidRPr="00AD5A27" w14:paraId="3909E406" w14:textId="77777777">
        <w:trPr>
          <w:trHeight w:val="20"/>
        </w:trPr>
        <w:tc>
          <w:tcPr>
            <w:tcW w:w="5949" w:type="dxa"/>
            <w:shd w:val="clear" w:color="auto" w:fill="FFFFFF" w:themeFill="background1"/>
            <w:noWrap/>
            <w:vAlign w:val="center"/>
            <w:hideMark/>
          </w:tcPr>
          <w:p w14:paraId="410A5430" w14:textId="1C58A950" w:rsidR="002A66BB" w:rsidRPr="00AD5A27" w:rsidRDefault="002A66BB">
            <w:pPr>
              <w:pStyle w:val="TableText0"/>
              <w:keepNext w:val="0"/>
              <w:widowControl w:val="0"/>
            </w:pPr>
            <w:r w:rsidRPr="00AD5A27">
              <w:t>Compliance, n</w:t>
            </w:r>
            <w:r w:rsidR="00C25261">
              <w:t xml:space="preserve"> </w:t>
            </w:r>
            <w:r w:rsidRPr="00AD5A27">
              <w:t>(%)</w:t>
            </w:r>
          </w:p>
        </w:tc>
        <w:tc>
          <w:tcPr>
            <w:tcW w:w="1559" w:type="dxa"/>
            <w:shd w:val="clear" w:color="auto" w:fill="FFFFFF" w:themeFill="background1"/>
            <w:noWrap/>
            <w:vAlign w:val="center"/>
            <w:hideMark/>
          </w:tcPr>
          <w:p w14:paraId="444C88D5" w14:textId="77777777" w:rsidR="002A66BB" w:rsidRPr="00AD5A27" w:rsidRDefault="002A66BB">
            <w:pPr>
              <w:pStyle w:val="TableText0"/>
              <w:keepNext w:val="0"/>
              <w:widowControl w:val="0"/>
              <w:jc w:val="center"/>
            </w:pPr>
            <w:r w:rsidRPr="00AD5A27">
              <w:rPr>
                <w:rFonts w:cs="Calibri"/>
                <w:color w:val="1F1F1F"/>
              </w:rPr>
              <w:t xml:space="preserve">NR (81.01%) </w:t>
            </w:r>
            <w:r w:rsidRPr="00AD5A27">
              <w:rPr>
                <w:rFonts w:cs="Calibri"/>
                <w:color w:val="1F1F1F"/>
                <w:vertAlign w:val="superscript"/>
              </w:rPr>
              <w:t>b</w:t>
            </w:r>
          </w:p>
        </w:tc>
        <w:tc>
          <w:tcPr>
            <w:tcW w:w="1509" w:type="dxa"/>
            <w:shd w:val="clear" w:color="auto" w:fill="FFFFFF" w:themeFill="background1"/>
            <w:noWrap/>
            <w:vAlign w:val="center"/>
            <w:hideMark/>
          </w:tcPr>
          <w:p w14:paraId="472A3396" w14:textId="77777777" w:rsidR="002A66BB" w:rsidRPr="00AD5A27" w:rsidRDefault="002A66BB">
            <w:pPr>
              <w:pStyle w:val="TableText0"/>
              <w:keepNext w:val="0"/>
              <w:widowControl w:val="0"/>
              <w:jc w:val="center"/>
            </w:pPr>
            <w:r w:rsidRPr="00AD5A27">
              <w:rPr>
                <w:rFonts w:cs="Calibri"/>
                <w:color w:val="1F1F1F"/>
              </w:rPr>
              <w:t>NR (74.61%)</w:t>
            </w:r>
            <w:r w:rsidRPr="00AD5A27">
              <w:rPr>
                <w:rFonts w:cs="Calibri"/>
                <w:color w:val="1F1F1F"/>
                <w:vertAlign w:val="superscript"/>
              </w:rPr>
              <w:t>b</w:t>
            </w:r>
          </w:p>
        </w:tc>
      </w:tr>
      <w:tr w:rsidR="002A66BB" w:rsidRPr="00AD5A27" w14:paraId="36A128E6" w14:textId="77777777">
        <w:trPr>
          <w:trHeight w:val="20"/>
        </w:trPr>
        <w:tc>
          <w:tcPr>
            <w:tcW w:w="5949" w:type="dxa"/>
            <w:shd w:val="clear" w:color="auto" w:fill="FFFFFF" w:themeFill="background1"/>
            <w:noWrap/>
            <w:vAlign w:val="center"/>
            <w:hideMark/>
          </w:tcPr>
          <w:p w14:paraId="4B7D8E8C" w14:textId="77777777" w:rsidR="002A66BB" w:rsidRPr="00AD5A27" w:rsidRDefault="002A66BB">
            <w:pPr>
              <w:pStyle w:val="TableText0"/>
              <w:keepNext w:val="0"/>
              <w:widowControl w:val="0"/>
            </w:pPr>
            <w:r w:rsidRPr="00AD5A27">
              <w:t>Systemic corticosteroids, median duration</w:t>
            </w:r>
          </w:p>
        </w:tc>
        <w:tc>
          <w:tcPr>
            <w:tcW w:w="1559" w:type="dxa"/>
            <w:shd w:val="clear" w:color="auto" w:fill="FFFFFF" w:themeFill="background1"/>
            <w:noWrap/>
            <w:vAlign w:val="center"/>
            <w:hideMark/>
          </w:tcPr>
          <w:p w14:paraId="2AD27EEE" w14:textId="77777777" w:rsidR="002A66BB" w:rsidRPr="00AD5A27" w:rsidRDefault="002A66BB">
            <w:pPr>
              <w:pStyle w:val="TableText0"/>
              <w:keepNext w:val="0"/>
              <w:widowControl w:val="0"/>
              <w:jc w:val="center"/>
            </w:pPr>
            <w:r w:rsidRPr="00AD5A27">
              <w:t>18 weeks (n=5)</w:t>
            </w:r>
          </w:p>
        </w:tc>
        <w:tc>
          <w:tcPr>
            <w:tcW w:w="1509" w:type="dxa"/>
            <w:shd w:val="clear" w:color="auto" w:fill="FFFFFF" w:themeFill="background1"/>
            <w:noWrap/>
            <w:vAlign w:val="center"/>
            <w:hideMark/>
          </w:tcPr>
          <w:p w14:paraId="685C43C7" w14:textId="77777777" w:rsidR="002A66BB" w:rsidRPr="00AD5A27" w:rsidRDefault="002A66BB">
            <w:pPr>
              <w:pStyle w:val="TableText0"/>
              <w:keepNext w:val="0"/>
              <w:widowControl w:val="0"/>
              <w:jc w:val="center"/>
            </w:pPr>
            <w:r w:rsidRPr="00AD5A27">
              <w:t>5.6 weeks (n=1)</w:t>
            </w:r>
          </w:p>
        </w:tc>
      </w:tr>
      <w:tr w:rsidR="002A66BB" w:rsidRPr="00AD5A27" w14:paraId="33F28D6E" w14:textId="77777777" w:rsidTr="00CD0A4D">
        <w:trPr>
          <w:trHeight w:val="20"/>
        </w:trPr>
        <w:tc>
          <w:tcPr>
            <w:tcW w:w="5949" w:type="dxa"/>
            <w:tcBorders>
              <w:bottom w:val="single" w:sz="4" w:space="0" w:color="auto"/>
            </w:tcBorders>
            <w:shd w:val="clear" w:color="auto" w:fill="FFFFFF" w:themeFill="background1"/>
            <w:noWrap/>
            <w:vAlign w:val="center"/>
            <w:hideMark/>
          </w:tcPr>
          <w:p w14:paraId="5FAABFD7" w14:textId="77777777" w:rsidR="002A66BB" w:rsidRPr="00AD5A27" w:rsidRDefault="002A66BB">
            <w:pPr>
              <w:pStyle w:val="TableText0"/>
              <w:keepNext w:val="0"/>
              <w:widowControl w:val="0"/>
            </w:pPr>
            <w:r w:rsidRPr="00AD5A27">
              <w:t>Topical corticosteroids reduction to &lt;2 drops, n= 63 ≥2 drops of topical corticosteroids at randomisation, n (%)</w:t>
            </w:r>
          </w:p>
        </w:tc>
        <w:tc>
          <w:tcPr>
            <w:tcW w:w="1559" w:type="dxa"/>
            <w:tcBorders>
              <w:bottom w:val="single" w:sz="4" w:space="0" w:color="auto"/>
            </w:tcBorders>
            <w:shd w:val="clear" w:color="auto" w:fill="FFFFFF" w:themeFill="background1"/>
            <w:noWrap/>
            <w:vAlign w:val="center"/>
            <w:hideMark/>
          </w:tcPr>
          <w:p w14:paraId="348E9577" w14:textId="77777777" w:rsidR="002A66BB" w:rsidRPr="00AD5A27" w:rsidRDefault="002A66BB">
            <w:pPr>
              <w:pStyle w:val="TableText0"/>
              <w:keepNext w:val="0"/>
              <w:widowControl w:val="0"/>
              <w:jc w:val="center"/>
            </w:pPr>
            <w:r w:rsidRPr="00AD5A27">
              <w:t>22 (49%)</w:t>
            </w:r>
          </w:p>
        </w:tc>
        <w:tc>
          <w:tcPr>
            <w:tcW w:w="1509" w:type="dxa"/>
            <w:tcBorders>
              <w:bottom w:val="single" w:sz="4" w:space="0" w:color="auto"/>
            </w:tcBorders>
            <w:shd w:val="clear" w:color="auto" w:fill="FFFFFF" w:themeFill="background1"/>
            <w:noWrap/>
            <w:vAlign w:val="center"/>
            <w:hideMark/>
          </w:tcPr>
          <w:p w14:paraId="5D08C175" w14:textId="77777777" w:rsidR="002A66BB" w:rsidRPr="00AD5A27" w:rsidRDefault="002A66BB">
            <w:pPr>
              <w:pStyle w:val="TableText0"/>
              <w:keepNext w:val="0"/>
              <w:widowControl w:val="0"/>
              <w:jc w:val="center"/>
            </w:pPr>
            <w:r w:rsidRPr="00AD5A27">
              <w:t>3 (17%)</w:t>
            </w:r>
          </w:p>
        </w:tc>
      </w:tr>
      <w:tr w:rsidR="002A66BB" w:rsidRPr="00AD5A27" w14:paraId="4FABB6C8" w14:textId="77777777" w:rsidTr="00CD0A4D">
        <w:trPr>
          <w:trHeight w:val="20"/>
        </w:trPr>
        <w:tc>
          <w:tcPr>
            <w:tcW w:w="5949" w:type="dxa"/>
            <w:tcBorders>
              <w:right w:val="nil"/>
            </w:tcBorders>
            <w:shd w:val="clear" w:color="auto" w:fill="FFFFFF" w:themeFill="background1"/>
            <w:vAlign w:val="center"/>
            <w:hideMark/>
          </w:tcPr>
          <w:p w14:paraId="7B288C53" w14:textId="77777777" w:rsidR="002A66BB" w:rsidRPr="00AD5A27" w:rsidRDefault="002A66BB">
            <w:pPr>
              <w:pStyle w:val="TableText0"/>
              <w:keepNext w:val="0"/>
              <w:widowControl w:val="0"/>
            </w:pPr>
            <w:r w:rsidRPr="00AD5A27">
              <w:t>Control, remission, and duration of controlled disease (uveitis)</w:t>
            </w:r>
          </w:p>
        </w:tc>
        <w:tc>
          <w:tcPr>
            <w:tcW w:w="1559" w:type="dxa"/>
            <w:tcBorders>
              <w:left w:val="nil"/>
              <w:right w:val="nil"/>
            </w:tcBorders>
            <w:shd w:val="clear" w:color="auto" w:fill="FFFFFF" w:themeFill="background1"/>
            <w:noWrap/>
            <w:vAlign w:val="center"/>
            <w:hideMark/>
          </w:tcPr>
          <w:p w14:paraId="5D9C4469" w14:textId="77777777" w:rsidR="002A66BB" w:rsidRPr="00AD5A27" w:rsidRDefault="002A66BB">
            <w:pPr>
              <w:pStyle w:val="TableText0"/>
              <w:keepNext w:val="0"/>
              <w:widowControl w:val="0"/>
              <w:jc w:val="center"/>
            </w:pPr>
          </w:p>
        </w:tc>
        <w:tc>
          <w:tcPr>
            <w:tcW w:w="1509" w:type="dxa"/>
            <w:tcBorders>
              <w:left w:val="nil"/>
            </w:tcBorders>
            <w:shd w:val="clear" w:color="auto" w:fill="FFFFFF" w:themeFill="background1"/>
            <w:noWrap/>
            <w:vAlign w:val="center"/>
            <w:hideMark/>
          </w:tcPr>
          <w:p w14:paraId="4EF95E83" w14:textId="77777777" w:rsidR="002A66BB" w:rsidRPr="00AD5A27" w:rsidRDefault="002A66BB">
            <w:pPr>
              <w:pStyle w:val="TableText0"/>
              <w:keepNext w:val="0"/>
              <w:widowControl w:val="0"/>
              <w:jc w:val="center"/>
            </w:pPr>
          </w:p>
        </w:tc>
      </w:tr>
      <w:tr w:rsidR="002A66BB" w:rsidRPr="00AD5A27" w14:paraId="4F361FBE" w14:textId="77777777">
        <w:trPr>
          <w:trHeight w:val="20"/>
        </w:trPr>
        <w:tc>
          <w:tcPr>
            <w:tcW w:w="5949" w:type="dxa"/>
            <w:shd w:val="clear" w:color="auto" w:fill="FFFFFF" w:themeFill="background1"/>
            <w:vAlign w:val="center"/>
            <w:hideMark/>
          </w:tcPr>
          <w:p w14:paraId="099005C7" w14:textId="77777777" w:rsidR="002A66BB" w:rsidRPr="00AD5A27" w:rsidRDefault="002A66BB">
            <w:pPr>
              <w:pStyle w:val="TableText0"/>
              <w:keepNext w:val="0"/>
              <w:widowControl w:val="0"/>
              <w:ind w:left="309"/>
            </w:pPr>
            <w:r w:rsidRPr="00AD5A27">
              <w:t>Mean duration of sustained controlled disease, days</w:t>
            </w:r>
          </w:p>
        </w:tc>
        <w:tc>
          <w:tcPr>
            <w:tcW w:w="1559" w:type="dxa"/>
            <w:shd w:val="clear" w:color="auto" w:fill="FFFFFF" w:themeFill="background1"/>
            <w:vAlign w:val="center"/>
            <w:hideMark/>
          </w:tcPr>
          <w:p w14:paraId="753A6514" w14:textId="77777777" w:rsidR="002A66BB" w:rsidRPr="00AD5A27" w:rsidRDefault="002A66BB">
            <w:pPr>
              <w:pStyle w:val="TableText0"/>
              <w:keepNext w:val="0"/>
              <w:widowControl w:val="0"/>
              <w:jc w:val="center"/>
            </w:pPr>
            <w:r w:rsidRPr="00AD5A27">
              <w:t>179.28</w:t>
            </w:r>
          </w:p>
        </w:tc>
        <w:tc>
          <w:tcPr>
            <w:tcW w:w="1509" w:type="dxa"/>
            <w:shd w:val="clear" w:color="auto" w:fill="FFFFFF" w:themeFill="background1"/>
            <w:vAlign w:val="center"/>
            <w:hideMark/>
          </w:tcPr>
          <w:p w14:paraId="5C449C89" w14:textId="77777777" w:rsidR="002A66BB" w:rsidRPr="00AD5A27" w:rsidRDefault="002A66BB">
            <w:pPr>
              <w:pStyle w:val="TableText0"/>
              <w:keepNext w:val="0"/>
              <w:widowControl w:val="0"/>
              <w:jc w:val="center"/>
            </w:pPr>
            <w:r w:rsidRPr="00AD5A27">
              <w:t>14.5</w:t>
            </w:r>
          </w:p>
        </w:tc>
      </w:tr>
      <w:tr w:rsidR="002A66BB" w:rsidRPr="00AD5A27" w14:paraId="707AC65A" w14:textId="77777777">
        <w:trPr>
          <w:trHeight w:val="20"/>
        </w:trPr>
        <w:tc>
          <w:tcPr>
            <w:tcW w:w="5949" w:type="dxa"/>
            <w:shd w:val="clear" w:color="auto" w:fill="FFFFFF" w:themeFill="background1"/>
            <w:vAlign w:val="center"/>
            <w:hideMark/>
          </w:tcPr>
          <w:p w14:paraId="6A6C8C0B" w14:textId="77777777" w:rsidR="002A66BB" w:rsidRPr="00AD5A27" w:rsidRDefault="002A66BB">
            <w:pPr>
              <w:pStyle w:val="TableText0"/>
              <w:keepNext w:val="0"/>
              <w:widowControl w:val="0"/>
              <w:ind w:left="309"/>
            </w:pPr>
            <w:r w:rsidRPr="00AD5A27">
              <w:t>Proportion of patients achieving disease control (6 months with topical treatment), n (%)</w:t>
            </w:r>
          </w:p>
        </w:tc>
        <w:tc>
          <w:tcPr>
            <w:tcW w:w="1559" w:type="dxa"/>
            <w:shd w:val="clear" w:color="auto" w:fill="FFFFFF" w:themeFill="background1"/>
            <w:vAlign w:val="center"/>
            <w:hideMark/>
          </w:tcPr>
          <w:p w14:paraId="614581E6" w14:textId="77777777" w:rsidR="002A66BB" w:rsidRPr="00AD5A27" w:rsidRDefault="002A66BB">
            <w:pPr>
              <w:pStyle w:val="TableText0"/>
              <w:keepNext w:val="0"/>
              <w:widowControl w:val="0"/>
              <w:jc w:val="center"/>
            </w:pPr>
            <w:r w:rsidRPr="00AD5A27">
              <w:t>15 (25%)</w:t>
            </w:r>
          </w:p>
        </w:tc>
        <w:tc>
          <w:tcPr>
            <w:tcW w:w="1509" w:type="dxa"/>
            <w:shd w:val="clear" w:color="auto" w:fill="FFFFFF" w:themeFill="background1"/>
            <w:vAlign w:val="center"/>
            <w:hideMark/>
          </w:tcPr>
          <w:p w14:paraId="429530B7" w14:textId="77777777" w:rsidR="002A66BB" w:rsidRPr="00AD5A27" w:rsidRDefault="002A66BB">
            <w:pPr>
              <w:pStyle w:val="TableText0"/>
              <w:keepNext w:val="0"/>
              <w:widowControl w:val="0"/>
              <w:jc w:val="center"/>
            </w:pPr>
            <w:r w:rsidRPr="00AD5A27">
              <w:t>1 (3%)</w:t>
            </w:r>
          </w:p>
        </w:tc>
      </w:tr>
      <w:tr w:rsidR="002A66BB" w:rsidRPr="00AD5A27" w14:paraId="01922E9D" w14:textId="77777777">
        <w:trPr>
          <w:trHeight w:val="20"/>
        </w:trPr>
        <w:tc>
          <w:tcPr>
            <w:tcW w:w="5949" w:type="dxa"/>
            <w:shd w:val="clear" w:color="auto" w:fill="FFFFFF" w:themeFill="background1"/>
            <w:vAlign w:val="center"/>
            <w:hideMark/>
          </w:tcPr>
          <w:p w14:paraId="31185DC9" w14:textId="77777777" w:rsidR="002A66BB" w:rsidRPr="00AD5A27" w:rsidRDefault="002A66BB">
            <w:pPr>
              <w:pStyle w:val="TableText0"/>
              <w:keepNext w:val="0"/>
              <w:widowControl w:val="0"/>
              <w:ind w:left="309"/>
            </w:pPr>
            <w:r w:rsidRPr="00AD5A27">
              <w:t>Proportion of patients achieving disease remission (6 months without topical treatment), n (%)</w:t>
            </w:r>
          </w:p>
        </w:tc>
        <w:tc>
          <w:tcPr>
            <w:tcW w:w="1559" w:type="dxa"/>
            <w:shd w:val="clear" w:color="auto" w:fill="FFFFFF" w:themeFill="background1"/>
            <w:vAlign w:val="center"/>
            <w:hideMark/>
          </w:tcPr>
          <w:p w14:paraId="0ED2C1DD" w14:textId="77777777" w:rsidR="002A66BB" w:rsidRPr="00AD5A27" w:rsidRDefault="002A66BB">
            <w:pPr>
              <w:pStyle w:val="TableText0"/>
              <w:keepNext w:val="0"/>
              <w:widowControl w:val="0"/>
              <w:jc w:val="center"/>
            </w:pPr>
            <w:r w:rsidRPr="00AD5A27">
              <w:t>13 (22%)</w:t>
            </w:r>
          </w:p>
        </w:tc>
        <w:tc>
          <w:tcPr>
            <w:tcW w:w="1509" w:type="dxa"/>
            <w:shd w:val="clear" w:color="auto" w:fill="FFFFFF" w:themeFill="background1"/>
            <w:vAlign w:val="center"/>
            <w:hideMark/>
          </w:tcPr>
          <w:p w14:paraId="4663E698" w14:textId="77777777" w:rsidR="002A66BB" w:rsidRPr="00AD5A27" w:rsidRDefault="002A66BB">
            <w:pPr>
              <w:pStyle w:val="TableText0"/>
              <w:keepNext w:val="0"/>
              <w:widowControl w:val="0"/>
              <w:jc w:val="center"/>
            </w:pPr>
            <w:r w:rsidRPr="00AD5A27">
              <w:t>0 (0%)</w:t>
            </w:r>
          </w:p>
        </w:tc>
      </w:tr>
      <w:tr w:rsidR="002A66BB" w:rsidRPr="00AD5A27" w14:paraId="7C5F0923" w14:textId="77777777">
        <w:trPr>
          <w:trHeight w:val="20"/>
        </w:trPr>
        <w:tc>
          <w:tcPr>
            <w:tcW w:w="5949" w:type="dxa"/>
            <w:shd w:val="clear" w:color="auto" w:fill="FFFFFF" w:themeFill="background1"/>
            <w:noWrap/>
            <w:vAlign w:val="center"/>
            <w:hideMark/>
          </w:tcPr>
          <w:p w14:paraId="6012E4E5" w14:textId="77777777" w:rsidR="002A66BB" w:rsidRPr="00AD5A27" w:rsidRDefault="002A66BB">
            <w:pPr>
              <w:pStyle w:val="TableText0"/>
              <w:keepNext w:val="0"/>
              <w:widowControl w:val="0"/>
            </w:pPr>
            <w:r w:rsidRPr="00AD5A27">
              <w:t>Health-related quality of life (CHAQ and CHQ)</w:t>
            </w:r>
          </w:p>
        </w:tc>
        <w:tc>
          <w:tcPr>
            <w:tcW w:w="3068" w:type="dxa"/>
            <w:gridSpan w:val="2"/>
            <w:shd w:val="clear" w:color="auto" w:fill="FFFFFF" w:themeFill="background1"/>
            <w:noWrap/>
            <w:vAlign w:val="center"/>
            <w:hideMark/>
          </w:tcPr>
          <w:p w14:paraId="4FE4174F" w14:textId="77777777" w:rsidR="002A66BB" w:rsidRPr="00AD5A27" w:rsidRDefault="002A66BB">
            <w:pPr>
              <w:pStyle w:val="TableText0"/>
              <w:keepNext w:val="0"/>
              <w:widowControl w:val="0"/>
              <w:jc w:val="center"/>
            </w:pPr>
            <w:r w:rsidRPr="00AD5A27">
              <w:t>No significant difference</w:t>
            </w:r>
          </w:p>
        </w:tc>
      </w:tr>
      <w:tr w:rsidR="002A66BB" w:rsidRPr="00AD5A27" w14:paraId="1645FE8D" w14:textId="77777777">
        <w:trPr>
          <w:trHeight w:val="20"/>
        </w:trPr>
        <w:tc>
          <w:tcPr>
            <w:tcW w:w="5949" w:type="dxa"/>
            <w:shd w:val="clear" w:color="auto" w:fill="FFFFFF" w:themeFill="background1"/>
            <w:noWrap/>
            <w:hideMark/>
          </w:tcPr>
          <w:p w14:paraId="64EE82F1" w14:textId="77777777" w:rsidR="002A66BB" w:rsidRPr="00AD5A27" w:rsidRDefault="002A66BB">
            <w:pPr>
              <w:pStyle w:val="TableText0"/>
              <w:keepNext w:val="0"/>
              <w:widowControl w:val="0"/>
            </w:pPr>
            <w:r w:rsidRPr="00AD5A27">
              <w:t xml:space="preserve">Time to treatment response </w:t>
            </w:r>
            <w:r w:rsidRPr="00AD5A27">
              <w:rPr>
                <w:vertAlign w:val="superscript"/>
              </w:rPr>
              <w:t>a</w:t>
            </w:r>
          </w:p>
        </w:tc>
        <w:tc>
          <w:tcPr>
            <w:tcW w:w="3068" w:type="dxa"/>
            <w:gridSpan w:val="2"/>
            <w:shd w:val="clear" w:color="auto" w:fill="FFFFFF" w:themeFill="background1"/>
            <w:noWrap/>
            <w:vAlign w:val="center"/>
            <w:hideMark/>
          </w:tcPr>
          <w:p w14:paraId="2D2241E0" w14:textId="77777777" w:rsidR="002A66BB" w:rsidRPr="00AD5A27" w:rsidRDefault="002A66BB">
            <w:pPr>
              <w:pStyle w:val="TableText0"/>
              <w:keepNext w:val="0"/>
              <w:widowControl w:val="0"/>
              <w:jc w:val="center"/>
            </w:pPr>
            <w:r w:rsidRPr="00AD5A27">
              <w:t>HR 3.15 (95% CI: 1.42, 7.00)</w:t>
            </w:r>
          </w:p>
        </w:tc>
      </w:tr>
      <w:tr w:rsidR="002A66BB" w:rsidRPr="00AD5A27" w14:paraId="2BD6F285" w14:textId="77777777">
        <w:trPr>
          <w:trHeight w:val="20"/>
        </w:trPr>
        <w:tc>
          <w:tcPr>
            <w:tcW w:w="5949" w:type="dxa"/>
            <w:shd w:val="clear" w:color="auto" w:fill="FFFFFF" w:themeFill="background1"/>
            <w:noWrap/>
            <w:hideMark/>
          </w:tcPr>
          <w:p w14:paraId="16432857" w14:textId="77777777" w:rsidR="002A66BB" w:rsidRPr="00AD5A27" w:rsidRDefault="002A66BB">
            <w:pPr>
              <w:pStyle w:val="TableText0"/>
              <w:keepNext w:val="0"/>
              <w:widowControl w:val="0"/>
            </w:pPr>
            <w:r w:rsidRPr="00AD5A27">
              <w:t xml:space="preserve">Responders by 3 and 6 months </w:t>
            </w:r>
            <w:r w:rsidRPr="00AD5A27">
              <w:rPr>
                <w:vertAlign w:val="superscript"/>
              </w:rPr>
              <w:t>a</w:t>
            </w:r>
          </w:p>
        </w:tc>
        <w:tc>
          <w:tcPr>
            <w:tcW w:w="3068" w:type="dxa"/>
            <w:gridSpan w:val="2"/>
            <w:shd w:val="clear" w:color="auto" w:fill="FFFFFF" w:themeFill="background1"/>
            <w:noWrap/>
            <w:vAlign w:val="center"/>
            <w:hideMark/>
          </w:tcPr>
          <w:p w14:paraId="296F3F2A" w14:textId="77777777" w:rsidR="002A66BB" w:rsidRPr="00AD5A27" w:rsidRDefault="002A66BB">
            <w:pPr>
              <w:pStyle w:val="TableText0"/>
              <w:keepNext w:val="0"/>
              <w:widowControl w:val="0"/>
              <w:jc w:val="center"/>
            </w:pPr>
            <w:r w:rsidRPr="00AD5A27">
              <w:t>p=0.004 and p=0.004</w:t>
            </w:r>
          </w:p>
        </w:tc>
      </w:tr>
      <w:tr w:rsidR="002A66BB" w:rsidRPr="00AD5A27" w14:paraId="61D48FC8" w14:textId="77777777">
        <w:trPr>
          <w:trHeight w:val="20"/>
        </w:trPr>
        <w:tc>
          <w:tcPr>
            <w:tcW w:w="5949" w:type="dxa"/>
            <w:shd w:val="clear" w:color="auto" w:fill="FFFFFF" w:themeFill="background1"/>
            <w:noWrap/>
            <w:hideMark/>
          </w:tcPr>
          <w:p w14:paraId="70229DFF" w14:textId="77777777" w:rsidR="002A66BB" w:rsidRPr="00AD5A27" w:rsidRDefault="002A66BB">
            <w:pPr>
              <w:pStyle w:val="TableText0"/>
              <w:keepNext w:val="0"/>
              <w:widowControl w:val="0"/>
            </w:pPr>
            <w:r w:rsidRPr="00AD5A27">
              <w:t xml:space="preserve">Treatment responders, n (%) </w:t>
            </w:r>
            <w:r w:rsidRPr="00AD5A27">
              <w:rPr>
                <w:vertAlign w:val="superscript"/>
              </w:rPr>
              <w:t>b</w:t>
            </w:r>
          </w:p>
        </w:tc>
        <w:tc>
          <w:tcPr>
            <w:tcW w:w="1559" w:type="dxa"/>
            <w:shd w:val="clear" w:color="auto" w:fill="FFFFFF" w:themeFill="background1"/>
            <w:noWrap/>
            <w:vAlign w:val="center"/>
            <w:hideMark/>
          </w:tcPr>
          <w:p w14:paraId="7B143CFD" w14:textId="77777777" w:rsidR="002A66BB" w:rsidRPr="00AD5A27" w:rsidRDefault="002A66BB">
            <w:pPr>
              <w:pStyle w:val="TableText0"/>
              <w:keepNext w:val="0"/>
              <w:widowControl w:val="0"/>
              <w:jc w:val="center"/>
            </w:pPr>
            <w:r w:rsidRPr="00AD5A27">
              <w:t>34 (57%)</w:t>
            </w:r>
          </w:p>
        </w:tc>
        <w:tc>
          <w:tcPr>
            <w:tcW w:w="1509" w:type="dxa"/>
            <w:shd w:val="clear" w:color="auto" w:fill="FFFFFF" w:themeFill="background1"/>
            <w:noWrap/>
            <w:vAlign w:val="center"/>
            <w:hideMark/>
          </w:tcPr>
          <w:p w14:paraId="5274B1C4" w14:textId="77777777" w:rsidR="002A66BB" w:rsidRPr="00AD5A27" w:rsidRDefault="002A66BB">
            <w:pPr>
              <w:pStyle w:val="TableText0"/>
              <w:keepNext w:val="0"/>
              <w:widowControl w:val="0"/>
              <w:jc w:val="center"/>
            </w:pPr>
            <w:r w:rsidRPr="00AD5A27">
              <w:t>5 (17%)</w:t>
            </w:r>
          </w:p>
        </w:tc>
      </w:tr>
    </w:tbl>
    <w:p w14:paraId="329CD4DB" w14:textId="385BDFF3" w:rsidR="002A66BB" w:rsidRPr="00AD5A27" w:rsidRDefault="002A66BB">
      <w:pPr>
        <w:pStyle w:val="FooterTableFigure"/>
      </w:pPr>
      <w:r w:rsidRPr="00AD5A27">
        <w:t>Source: Compiled during the evaluation based on Table S8, Ramanan et al. (2017)</w:t>
      </w:r>
      <w:r w:rsidR="001F4726" w:rsidRPr="00AD5A27">
        <w:t>.</w:t>
      </w:r>
    </w:p>
    <w:p w14:paraId="459EB04C" w14:textId="3460DB1A" w:rsidR="002A66BB" w:rsidRPr="00AD5A27" w:rsidRDefault="002A66BB">
      <w:pPr>
        <w:pStyle w:val="FooterTableFigure"/>
      </w:pPr>
      <w:r w:rsidRPr="00AD5A27">
        <w:t xml:space="preserve">ADA = Adalimumab; CI = confidence interval; CHAQ = Childhood Health Assessment Questionnaire; CHQ = Childhood Health Questionnaire; HR = Hazard ratio; </w:t>
      </w:r>
      <w:r w:rsidR="00CD0A4D" w:rsidRPr="00AD5A27">
        <w:rPr>
          <w:szCs w:val="18"/>
        </w:rPr>
        <w:t xml:space="preserve">ITT = Intention to treat; </w:t>
      </w:r>
      <w:r w:rsidRPr="00AD5A27">
        <w:t>logMAR = logarithm of the minimum angle of resolution; N = Number; NR = Not reported; PBO = Placebo</w:t>
      </w:r>
      <w:r w:rsidR="00CD0A4D" w:rsidRPr="00AD5A27">
        <w:t>.</w:t>
      </w:r>
      <w:r w:rsidRPr="00AD5A27">
        <w:t xml:space="preserve"> </w:t>
      </w:r>
    </w:p>
    <w:p w14:paraId="73DE2C2C" w14:textId="77777777" w:rsidR="002A66BB" w:rsidRPr="00AD5A27" w:rsidRDefault="002A66BB">
      <w:pPr>
        <w:pStyle w:val="FooterTableFigure"/>
      </w:pPr>
      <w:r w:rsidRPr="00AD5A27">
        <w:rPr>
          <w:vertAlign w:val="superscript"/>
        </w:rPr>
        <w:t>a</w:t>
      </w:r>
      <w:r w:rsidRPr="00AD5A27">
        <w:t xml:space="preserve"> Post-hoc analyses carried out, not pre-specified secondary outcomes.</w:t>
      </w:r>
    </w:p>
    <w:p w14:paraId="2D5188A6" w14:textId="77777777" w:rsidR="002A66BB" w:rsidRPr="00AD5A27" w:rsidRDefault="002A66BB">
      <w:pPr>
        <w:pStyle w:val="FooterTableFigure"/>
      </w:pPr>
      <w:r w:rsidRPr="00AD5A27">
        <w:rPr>
          <w:vertAlign w:val="superscript"/>
        </w:rPr>
        <w:t>b</w:t>
      </w:r>
      <w:r w:rsidRPr="00AD5A27">
        <w:t xml:space="preserve"> On average treatment compliance rates for the adalimumab arm in the double-blind and open label phases were 81.01% and 93.91% respectively, according to the patient diaries and accountability logs, and 74.61% and 83.40% for the placebo arm. Four (6%) patients in the adalimumab arm and one (3%) in the placebo arm failed treatment due to missing more than the required number of doses whilst on treatment. </w:t>
      </w:r>
    </w:p>
    <w:p w14:paraId="2BF41B1A" w14:textId="77777777" w:rsidR="002A66BB" w:rsidRPr="00AD5A27" w:rsidRDefault="002A66BB" w:rsidP="00771261">
      <w:pPr>
        <w:pStyle w:val="5-SubsectionSubheading"/>
      </w:pPr>
      <w:bookmarkStart w:id="34" w:name="_Toc124779765"/>
      <w:r w:rsidRPr="00AD5A27">
        <w:t>Subgroup analysis</w:t>
      </w:r>
      <w:bookmarkEnd w:id="34"/>
    </w:p>
    <w:p w14:paraId="1EC38BE6" w14:textId="3C68E3EE" w:rsidR="00C0738E" w:rsidRDefault="002A66BB">
      <w:pPr>
        <w:pStyle w:val="3-BodyText"/>
      </w:pPr>
      <w:r w:rsidRPr="00AD5A27">
        <w:t xml:space="preserve">The resubmission did not present subgroup analyses. </w:t>
      </w:r>
      <w:r w:rsidR="00F31E71">
        <w:t>However, t</w:t>
      </w:r>
      <w:r w:rsidRPr="00AD5A27">
        <w:t>he March 2017 submission presented subgroup analys</w:t>
      </w:r>
      <w:r w:rsidR="00F31E71">
        <w:t>e</w:t>
      </w:r>
      <w:r w:rsidRPr="00AD5A27">
        <w:t>s</w:t>
      </w:r>
      <w:r w:rsidR="001E073C">
        <w:t xml:space="preserve"> of the VISUAL I and VISUAL II trials</w:t>
      </w:r>
      <w:r w:rsidRPr="00AD5A27">
        <w:t xml:space="preserve"> for the primary outcome by baseline immunomodulatory therapy and by anatomical location of uveitis</w:t>
      </w:r>
      <w:r w:rsidR="00BA3155" w:rsidRPr="00AD5A27">
        <w:t xml:space="preserve"> (intermediate, posterior or panuveitis)</w:t>
      </w:r>
      <w:r w:rsidRPr="00AD5A27">
        <w:t xml:space="preserve">. </w:t>
      </w:r>
      <w:r w:rsidR="00C0738E" w:rsidRPr="00C0738E">
        <w:t xml:space="preserve"> </w:t>
      </w:r>
    </w:p>
    <w:p w14:paraId="39239F44" w14:textId="77777777" w:rsidR="00C0738E" w:rsidRDefault="00C0738E">
      <w:pPr>
        <w:pStyle w:val="3-BodyText"/>
      </w:pPr>
      <w:r>
        <w:t xml:space="preserve">In VISUAL I, the difference in time to treatment failure between treatment groups was similar regardless of whether immunomodulatory therapy was used at baseline. In VISUAL II, there was a statistically significant difference in time to treatment failure between treatment groups for patients who were taking immunomodulatory therapy at baseline, however this difference was not replicated in patients who were not taking immunomodulatory therapy at baseline. </w:t>
      </w:r>
      <w:r w:rsidR="002A66BB" w:rsidRPr="00AD5A27">
        <w:t xml:space="preserve"> </w:t>
      </w:r>
    </w:p>
    <w:p w14:paraId="33400236" w14:textId="136F1AF7" w:rsidR="00C0738E" w:rsidRDefault="00C0738E" w:rsidP="00C0738E">
      <w:pPr>
        <w:pStyle w:val="3-BodyText"/>
      </w:pPr>
      <w:r w:rsidRPr="007938F7">
        <w:t>Results of a post</w:t>
      </w:r>
      <w:r>
        <w:t>-</w:t>
      </w:r>
      <w:r w:rsidRPr="007938F7">
        <w:t xml:space="preserve">hoc subgroup analysis by anatomical location of uveitis for VISUAL I and VISUAL II </w:t>
      </w:r>
      <w:r>
        <w:t xml:space="preserve">were </w:t>
      </w:r>
      <w:r w:rsidR="00696849">
        <w:t xml:space="preserve">collated during the previous evaluation. However, as </w:t>
      </w:r>
      <w:r w:rsidR="00696849" w:rsidRPr="00696849">
        <w:t xml:space="preserve">patient </w:t>
      </w:r>
      <w:r w:rsidR="00696849" w:rsidRPr="00696849">
        <w:lastRenderedPageBreak/>
        <w:t>numbers were very small in each subgroup, the results from this analysis were previously considered</w:t>
      </w:r>
      <w:r w:rsidR="00A21CCE">
        <w:t xml:space="preserve"> </w:t>
      </w:r>
      <w:r w:rsidR="00696849" w:rsidRPr="00696849">
        <w:t>unlikely to be meaningful.</w:t>
      </w:r>
    </w:p>
    <w:p w14:paraId="4EC08345" w14:textId="5F421767" w:rsidR="002A66BB" w:rsidRPr="00AD5A27" w:rsidRDefault="00C0738E">
      <w:pPr>
        <w:pStyle w:val="3-BodyText"/>
      </w:pPr>
      <w:r>
        <w:t>I</w:t>
      </w:r>
      <w:r w:rsidR="002A66BB" w:rsidRPr="00AD5A27">
        <w:t>n the VISUAL III study, the proportions of patients in quiescence among those with vs. without immunomodulatory therapy usage at baseline were similar (83.1% vs. 86.0% at week 150, respectively)</w:t>
      </w:r>
      <w:r w:rsidR="005731BF" w:rsidRPr="00AD5A27">
        <w:t xml:space="preserve"> (pp2256, 2263 of the VISUAL III study CSR)</w:t>
      </w:r>
      <w:r w:rsidR="002A66BB" w:rsidRPr="00AD5A27">
        <w:t>. However, both VISUAL I and VISUAL II trials (as well as the VISUAL III study) were not designed, powered, or analysed to detect a difference in treatment effect based on prior immunomodulatory therapy or anatomical location of uveitis.</w:t>
      </w:r>
    </w:p>
    <w:p w14:paraId="4A78CB34" w14:textId="77777777" w:rsidR="002A66BB" w:rsidRPr="00AD5A27" w:rsidRDefault="002A66BB" w:rsidP="00771261">
      <w:pPr>
        <w:pStyle w:val="5-SubsectionSubheading"/>
      </w:pPr>
      <w:bookmarkStart w:id="35" w:name="_Toc22897642"/>
      <w:bookmarkStart w:id="36" w:name="_Toc124779767"/>
      <w:r w:rsidRPr="00AD5A27">
        <w:t>Quality of life assessment</w:t>
      </w:r>
    </w:p>
    <w:p w14:paraId="17185B44" w14:textId="569634B8" w:rsidR="002A66BB" w:rsidRPr="00AD5A27" w:rsidRDefault="002A66BB">
      <w:pPr>
        <w:pStyle w:val="3-BodyText"/>
      </w:pPr>
      <w:r w:rsidRPr="00AD5A27">
        <w:fldChar w:fldCharType="begin" w:fldLock="1"/>
      </w:r>
      <w:r w:rsidRPr="00AD5A27">
        <w:instrText xml:space="preserve"> REF _Ref152517412 \h </w:instrText>
      </w:r>
      <w:r w:rsidR="00E72361" w:rsidRPr="00AD5A27">
        <w:instrText xml:space="preserve"> \* MERGEFORMAT </w:instrText>
      </w:r>
      <w:r w:rsidRPr="00AD5A27">
        <w:fldChar w:fldCharType="separate"/>
      </w:r>
      <w:r w:rsidR="00B510E9" w:rsidRPr="00AD5A27">
        <w:t>Table 7</w:t>
      </w:r>
      <w:r w:rsidRPr="00AD5A27">
        <w:fldChar w:fldCharType="end"/>
      </w:r>
      <w:r w:rsidRPr="00AD5A27">
        <w:t xml:space="preserve"> presents the </w:t>
      </w:r>
      <w:proofErr w:type="spellStart"/>
      <w:r w:rsidR="00E521D2" w:rsidRPr="00AD5A27">
        <w:t>EuroQol</w:t>
      </w:r>
      <w:proofErr w:type="spellEnd"/>
      <w:r w:rsidR="00E521D2" w:rsidRPr="00AD5A27">
        <w:t xml:space="preserve"> 5-dimension </w:t>
      </w:r>
      <w:r w:rsidR="001E77ED" w:rsidRPr="00AD5A27">
        <w:t>(</w:t>
      </w:r>
      <w:r w:rsidRPr="00AD5A27">
        <w:t>EQ-5D</w:t>
      </w:r>
      <w:r w:rsidR="001E77ED" w:rsidRPr="00AD5A27">
        <w:t>)</w:t>
      </w:r>
      <w:r w:rsidRPr="00AD5A27">
        <w:t xml:space="preserve"> results based on the VISUAL I and VISUAL II trials. This</w:t>
      </w:r>
      <w:r w:rsidRPr="00AD5A27" w:rsidDel="00266683">
        <w:t xml:space="preserve"> </w:t>
      </w:r>
      <w:r w:rsidRPr="00AD5A27">
        <w:t>was unchanged from the March 2017 submission.</w:t>
      </w:r>
    </w:p>
    <w:p w14:paraId="1C71FD39" w14:textId="3A6BB0DF" w:rsidR="002A66BB" w:rsidRPr="00AD5A27" w:rsidRDefault="002A66BB">
      <w:pPr>
        <w:pStyle w:val="Caption"/>
      </w:pPr>
      <w:bookmarkStart w:id="37" w:name="_Ref152517412"/>
      <w:r w:rsidRPr="00AD5A27">
        <w:t xml:space="preserve">Table </w:t>
      </w:r>
      <w:r w:rsidR="004050E4">
        <w:fldChar w:fldCharType="begin" w:fldLock="1"/>
      </w:r>
      <w:r w:rsidR="004050E4">
        <w:instrText xml:space="preserve"> SEQ Table </w:instrText>
      </w:r>
      <w:r w:rsidR="004050E4">
        <w:instrText xml:space="preserve">\* ARABIC </w:instrText>
      </w:r>
      <w:r w:rsidR="004050E4">
        <w:fldChar w:fldCharType="separate"/>
      </w:r>
      <w:r w:rsidR="00B510E9" w:rsidRPr="00AD5A27">
        <w:t>7</w:t>
      </w:r>
      <w:r w:rsidR="004050E4">
        <w:fldChar w:fldCharType="end"/>
      </w:r>
      <w:bookmarkEnd w:id="37"/>
      <w:r w:rsidRPr="00AD5A27">
        <w:t>: Quality of life (EQ-5D) from best state achieved prior to week 6 (VISUAL I) or baseline (VISUAL II) to final visit in the randomised trials (LOCF)</w:t>
      </w:r>
    </w:p>
    <w:tbl>
      <w:tblPr>
        <w:tblStyle w:val="TableGrid"/>
        <w:tblW w:w="5000" w:type="pct"/>
        <w:shd w:val="clear" w:color="auto" w:fill="C6D9F1" w:themeFill="text2" w:themeFillTint="33"/>
        <w:tblLook w:val="04A0" w:firstRow="1" w:lastRow="0" w:firstColumn="1" w:lastColumn="0" w:noHBand="0" w:noVBand="1"/>
        <w:tblCaption w:val="Table 7: Quality of life (EQ-5D) from best state achieved prior to week 6 (VISUAL I) or baseline (VISUAL II) to final visit in the randomised trials (LOCF)"/>
      </w:tblPr>
      <w:tblGrid>
        <w:gridCol w:w="1423"/>
        <w:gridCol w:w="1078"/>
        <w:gridCol w:w="967"/>
        <w:gridCol w:w="1901"/>
        <w:gridCol w:w="988"/>
        <w:gridCol w:w="873"/>
        <w:gridCol w:w="1787"/>
      </w:tblGrid>
      <w:tr w:rsidR="002A66BB" w:rsidRPr="00AD5A27" w14:paraId="772414B2" w14:textId="77777777" w:rsidTr="00F95DEA">
        <w:trPr>
          <w:tblHeader/>
        </w:trPr>
        <w:tc>
          <w:tcPr>
            <w:tcW w:w="789" w:type="pct"/>
            <w:vMerge w:val="restart"/>
            <w:shd w:val="clear" w:color="auto" w:fill="C6D9F1" w:themeFill="text2" w:themeFillTint="33"/>
          </w:tcPr>
          <w:p w14:paraId="5C0C2C0D" w14:textId="77777777" w:rsidR="002A66BB" w:rsidRPr="00AD5A27" w:rsidRDefault="002A66BB">
            <w:pPr>
              <w:pStyle w:val="In-tableHeading"/>
              <w:rPr>
                <w:lang w:val="en-AU"/>
              </w:rPr>
            </w:pPr>
          </w:p>
        </w:tc>
        <w:tc>
          <w:tcPr>
            <w:tcW w:w="2188" w:type="pct"/>
            <w:gridSpan w:val="3"/>
            <w:shd w:val="clear" w:color="auto" w:fill="C6D9F1" w:themeFill="text2" w:themeFillTint="33"/>
            <w:vAlign w:val="center"/>
          </w:tcPr>
          <w:p w14:paraId="5A02DF57" w14:textId="77777777" w:rsidR="002A66BB" w:rsidRPr="00AD5A27" w:rsidRDefault="002A66BB" w:rsidP="00F95DEA">
            <w:pPr>
              <w:pStyle w:val="In-tableHeading"/>
              <w:jc w:val="center"/>
              <w:rPr>
                <w:lang w:val="en-AU"/>
              </w:rPr>
            </w:pPr>
            <w:r w:rsidRPr="00AD5A27">
              <w:rPr>
                <w:lang w:val="en-AU"/>
              </w:rPr>
              <w:t>VISUAL I</w:t>
            </w:r>
          </w:p>
        </w:tc>
        <w:tc>
          <w:tcPr>
            <w:tcW w:w="2023" w:type="pct"/>
            <w:gridSpan w:val="3"/>
            <w:shd w:val="clear" w:color="auto" w:fill="C6D9F1" w:themeFill="text2" w:themeFillTint="33"/>
            <w:vAlign w:val="center"/>
          </w:tcPr>
          <w:p w14:paraId="3B3EE6AB" w14:textId="77777777" w:rsidR="002A66BB" w:rsidRPr="00AD5A27" w:rsidRDefault="002A66BB" w:rsidP="00F95DEA">
            <w:pPr>
              <w:pStyle w:val="In-tableHeading"/>
              <w:jc w:val="center"/>
              <w:rPr>
                <w:lang w:val="en-AU"/>
              </w:rPr>
            </w:pPr>
            <w:r w:rsidRPr="00AD5A27">
              <w:rPr>
                <w:lang w:val="en-AU"/>
              </w:rPr>
              <w:t>VISUAL II</w:t>
            </w:r>
          </w:p>
        </w:tc>
      </w:tr>
      <w:tr w:rsidR="002A66BB" w:rsidRPr="00AD5A27" w14:paraId="57F21D4F" w14:textId="77777777" w:rsidTr="00F95DEA">
        <w:trPr>
          <w:tblHeader/>
        </w:trPr>
        <w:tc>
          <w:tcPr>
            <w:tcW w:w="789" w:type="pct"/>
            <w:vMerge/>
            <w:shd w:val="clear" w:color="auto" w:fill="C6D9F1" w:themeFill="text2" w:themeFillTint="33"/>
          </w:tcPr>
          <w:p w14:paraId="3E3AE40E" w14:textId="77777777" w:rsidR="002A66BB" w:rsidRPr="00AD5A27" w:rsidRDefault="002A66BB">
            <w:pPr>
              <w:pStyle w:val="In-tableHeading"/>
              <w:rPr>
                <w:lang w:val="en-AU"/>
              </w:rPr>
            </w:pPr>
          </w:p>
        </w:tc>
        <w:tc>
          <w:tcPr>
            <w:tcW w:w="1134" w:type="pct"/>
            <w:gridSpan w:val="2"/>
            <w:shd w:val="clear" w:color="auto" w:fill="C6D9F1" w:themeFill="text2" w:themeFillTint="33"/>
            <w:vAlign w:val="center"/>
          </w:tcPr>
          <w:p w14:paraId="744BBC6F" w14:textId="77777777" w:rsidR="002A66BB" w:rsidRPr="00AD5A27" w:rsidRDefault="002A66BB" w:rsidP="00F95DEA">
            <w:pPr>
              <w:pStyle w:val="In-tableHeading"/>
              <w:jc w:val="center"/>
              <w:rPr>
                <w:lang w:val="en-AU"/>
              </w:rPr>
            </w:pPr>
            <w:r w:rsidRPr="00AD5A27">
              <w:rPr>
                <w:lang w:val="en-AU"/>
              </w:rPr>
              <w:t>Mean</w:t>
            </w:r>
          </w:p>
        </w:tc>
        <w:tc>
          <w:tcPr>
            <w:tcW w:w="1054" w:type="pct"/>
            <w:vMerge w:val="restart"/>
            <w:shd w:val="clear" w:color="auto" w:fill="C6D9F1" w:themeFill="text2" w:themeFillTint="33"/>
            <w:vAlign w:val="center"/>
          </w:tcPr>
          <w:p w14:paraId="1888D5E1" w14:textId="77777777" w:rsidR="002A66BB" w:rsidRPr="00AD5A27" w:rsidRDefault="002A66BB" w:rsidP="00F95DEA">
            <w:pPr>
              <w:pStyle w:val="In-tableHeading"/>
              <w:jc w:val="center"/>
              <w:rPr>
                <w:lang w:val="en-AU"/>
              </w:rPr>
            </w:pPr>
            <w:r w:rsidRPr="00AD5A27">
              <w:rPr>
                <w:lang w:val="en-AU"/>
              </w:rPr>
              <w:t>Mean difference between treatments (95% CI)</w:t>
            </w:r>
          </w:p>
        </w:tc>
        <w:tc>
          <w:tcPr>
            <w:tcW w:w="1032" w:type="pct"/>
            <w:gridSpan w:val="2"/>
            <w:shd w:val="clear" w:color="auto" w:fill="C6D9F1" w:themeFill="text2" w:themeFillTint="33"/>
            <w:vAlign w:val="center"/>
          </w:tcPr>
          <w:p w14:paraId="5481CD69" w14:textId="77777777" w:rsidR="002A66BB" w:rsidRPr="00AD5A27" w:rsidRDefault="002A66BB" w:rsidP="00F95DEA">
            <w:pPr>
              <w:pStyle w:val="In-tableHeading"/>
              <w:jc w:val="center"/>
              <w:rPr>
                <w:lang w:val="en-AU"/>
              </w:rPr>
            </w:pPr>
            <w:r w:rsidRPr="00AD5A27">
              <w:rPr>
                <w:lang w:val="en-AU"/>
              </w:rPr>
              <w:t>Mean</w:t>
            </w:r>
          </w:p>
        </w:tc>
        <w:tc>
          <w:tcPr>
            <w:tcW w:w="991" w:type="pct"/>
            <w:vMerge w:val="restart"/>
            <w:shd w:val="clear" w:color="auto" w:fill="C6D9F1" w:themeFill="text2" w:themeFillTint="33"/>
            <w:vAlign w:val="center"/>
          </w:tcPr>
          <w:p w14:paraId="12B22996" w14:textId="77777777" w:rsidR="002A66BB" w:rsidRPr="00AD5A27" w:rsidRDefault="002A66BB" w:rsidP="00F95DEA">
            <w:pPr>
              <w:pStyle w:val="In-tableHeading"/>
              <w:jc w:val="center"/>
              <w:rPr>
                <w:lang w:val="en-AU"/>
              </w:rPr>
            </w:pPr>
            <w:r w:rsidRPr="00AD5A27">
              <w:rPr>
                <w:lang w:val="en-AU"/>
              </w:rPr>
              <w:t>Mean difference between treatments (95% CI)</w:t>
            </w:r>
          </w:p>
        </w:tc>
      </w:tr>
      <w:tr w:rsidR="002A66BB" w:rsidRPr="00AD5A27" w14:paraId="0A23FC93" w14:textId="77777777" w:rsidTr="00F95DEA">
        <w:trPr>
          <w:tblHeader/>
        </w:trPr>
        <w:tc>
          <w:tcPr>
            <w:tcW w:w="789" w:type="pct"/>
            <w:vMerge/>
            <w:shd w:val="clear" w:color="auto" w:fill="C6D9F1" w:themeFill="text2" w:themeFillTint="33"/>
          </w:tcPr>
          <w:p w14:paraId="7E5B33EA" w14:textId="77777777" w:rsidR="002A66BB" w:rsidRPr="00AD5A27" w:rsidRDefault="002A66BB">
            <w:pPr>
              <w:pStyle w:val="In-tableHeading"/>
              <w:rPr>
                <w:lang w:val="en-AU"/>
              </w:rPr>
            </w:pPr>
          </w:p>
        </w:tc>
        <w:tc>
          <w:tcPr>
            <w:tcW w:w="598" w:type="pct"/>
            <w:shd w:val="clear" w:color="auto" w:fill="C6D9F1" w:themeFill="text2" w:themeFillTint="33"/>
            <w:vAlign w:val="center"/>
          </w:tcPr>
          <w:p w14:paraId="0BE39E82" w14:textId="77777777" w:rsidR="002A66BB" w:rsidRPr="00AD5A27" w:rsidRDefault="002A66BB" w:rsidP="00F95DEA">
            <w:pPr>
              <w:pStyle w:val="In-tableHeading"/>
              <w:jc w:val="center"/>
              <w:rPr>
                <w:lang w:val="en-AU"/>
              </w:rPr>
            </w:pPr>
            <w:r w:rsidRPr="00AD5A27">
              <w:rPr>
                <w:lang w:val="en-AU"/>
              </w:rPr>
              <w:t>ADA (N=101</w:t>
            </w:r>
            <w:r w:rsidRPr="00AD5A27">
              <w:rPr>
                <w:vertAlign w:val="superscript"/>
                <w:lang w:val="en-AU"/>
              </w:rPr>
              <w:t>a</w:t>
            </w:r>
            <w:r w:rsidRPr="00AD5A27">
              <w:rPr>
                <w:lang w:val="en-AU"/>
              </w:rPr>
              <w:t>)</w:t>
            </w:r>
          </w:p>
        </w:tc>
        <w:tc>
          <w:tcPr>
            <w:tcW w:w="536" w:type="pct"/>
            <w:shd w:val="clear" w:color="auto" w:fill="C6D9F1" w:themeFill="text2" w:themeFillTint="33"/>
            <w:vAlign w:val="center"/>
          </w:tcPr>
          <w:p w14:paraId="36449680" w14:textId="77777777" w:rsidR="002A66BB" w:rsidRPr="00AD5A27" w:rsidRDefault="002A66BB" w:rsidP="00F95DEA">
            <w:pPr>
              <w:pStyle w:val="In-tableHeading"/>
              <w:jc w:val="center"/>
              <w:rPr>
                <w:lang w:val="en-AU"/>
              </w:rPr>
            </w:pPr>
            <w:r w:rsidRPr="00AD5A27">
              <w:rPr>
                <w:lang w:val="en-AU"/>
              </w:rPr>
              <w:t>PBO (N=100</w:t>
            </w:r>
            <w:r w:rsidRPr="00AD5A27">
              <w:rPr>
                <w:vertAlign w:val="superscript"/>
                <w:lang w:val="en-AU"/>
              </w:rPr>
              <w:t>a</w:t>
            </w:r>
            <w:r w:rsidRPr="00AD5A27">
              <w:rPr>
                <w:lang w:val="en-AU"/>
              </w:rPr>
              <w:t>)</w:t>
            </w:r>
          </w:p>
        </w:tc>
        <w:tc>
          <w:tcPr>
            <w:tcW w:w="1054" w:type="pct"/>
            <w:vMerge/>
            <w:shd w:val="clear" w:color="auto" w:fill="C6D9F1" w:themeFill="text2" w:themeFillTint="33"/>
            <w:vAlign w:val="center"/>
          </w:tcPr>
          <w:p w14:paraId="004E8BF6" w14:textId="77777777" w:rsidR="002A66BB" w:rsidRPr="00AD5A27" w:rsidRDefault="002A66BB" w:rsidP="00F95DEA">
            <w:pPr>
              <w:pStyle w:val="In-tableHeading"/>
              <w:jc w:val="center"/>
              <w:rPr>
                <w:lang w:val="en-AU"/>
              </w:rPr>
            </w:pPr>
          </w:p>
        </w:tc>
        <w:tc>
          <w:tcPr>
            <w:tcW w:w="548" w:type="pct"/>
            <w:shd w:val="clear" w:color="auto" w:fill="C6D9F1" w:themeFill="text2" w:themeFillTint="33"/>
            <w:vAlign w:val="center"/>
          </w:tcPr>
          <w:p w14:paraId="605C1F94" w14:textId="77777777" w:rsidR="002A66BB" w:rsidRPr="00AD5A27" w:rsidRDefault="002A66BB" w:rsidP="00F95DEA">
            <w:pPr>
              <w:pStyle w:val="In-tableHeading"/>
              <w:jc w:val="center"/>
              <w:rPr>
                <w:lang w:val="en-AU"/>
              </w:rPr>
            </w:pPr>
            <w:r w:rsidRPr="00AD5A27">
              <w:rPr>
                <w:lang w:val="en-AU"/>
              </w:rPr>
              <w:t>ADA (N=101</w:t>
            </w:r>
            <w:r w:rsidRPr="00AD5A27">
              <w:rPr>
                <w:vertAlign w:val="superscript"/>
                <w:lang w:val="en-AU"/>
              </w:rPr>
              <w:t>a</w:t>
            </w:r>
            <w:r w:rsidRPr="00AD5A27">
              <w:rPr>
                <w:lang w:val="en-AU"/>
              </w:rPr>
              <w:t>)</w:t>
            </w:r>
          </w:p>
        </w:tc>
        <w:tc>
          <w:tcPr>
            <w:tcW w:w="484" w:type="pct"/>
            <w:shd w:val="clear" w:color="auto" w:fill="C6D9F1" w:themeFill="text2" w:themeFillTint="33"/>
            <w:vAlign w:val="center"/>
          </w:tcPr>
          <w:p w14:paraId="493447FC" w14:textId="77777777" w:rsidR="002A66BB" w:rsidRPr="00AD5A27" w:rsidRDefault="002A66BB" w:rsidP="00F95DEA">
            <w:pPr>
              <w:pStyle w:val="In-tableHeading"/>
              <w:jc w:val="center"/>
              <w:rPr>
                <w:lang w:val="en-AU"/>
              </w:rPr>
            </w:pPr>
            <w:r w:rsidRPr="00AD5A27">
              <w:rPr>
                <w:lang w:val="en-AU"/>
              </w:rPr>
              <w:t>PBO (N=100</w:t>
            </w:r>
            <w:r w:rsidRPr="00AD5A27">
              <w:rPr>
                <w:vertAlign w:val="superscript"/>
                <w:lang w:val="en-AU"/>
              </w:rPr>
              <w:t>a</w:t>
            </w:r>
            <w:r w:rsidRPr="00AD5A27">
              <w:rPr>
                <w:lang w:val="en-AU"/>
              </w:rPr>
              <w:t>)</w:t>
            </w:r>
          </w:p>
        </w:tc>
        <w:tc>
          <w:tcPr>
            <w:tcW w:w="991" w:type="pct"/>
            <w:vMerge/>
            <w:shd w:val="clear" w:color="auto" w:fill="C6D9F1" w:themeFill="text2" w:themeFillTint="33"/>
            <w:vAlign w:val="center"/>
          </w:tcPr>
          <w:p w14:paraId="75BA60E4" w14:textId="77777777" w:rsidR="002A66BB" w:rsidRPr="00AD5A27" w:rsidRDefault="002A66BB" w:rsidP="00F95DEA">
            <w:pPr>
              <w:pStyle w:val="In-tableHeading"/>
              <w:jc w:val="center"/>
              <w:rPr>
                <w:lang w:val="en-AU"/>
              </w:rPr>
            </w:pPr>
          </w:p>
        </w:tc>
      </w:tr>
      <w:tr w:rsidR="002A66BB" w:rsidRPr="00AD5A27" w14:paraId="539E4407" w14:textId="77777777" w:rsidTr="00F95DEA">
        <w:tc>
          <w:tcPr>
            <w:tcW w:w="789" w:type="pct"/>
            <w:shd w:val="clear" w:color="auto" w:fill="C6D9F1" w:themeFill="text2" w:themeFillTint="33"/>
          </w:tcPr>
          <w:p w14:paraId="219D3CB1" w14:textId="77777777" w:rsidR="002A66BB" w:rsidRPr="00AD5A27" w:rsidRDefault="002A66BB">
            <w:pPr>
              <w:pStyle w:val="TableText0"/>
            </w:pPr>
            <w:r w:rsidRPr="00AD5A27">
              <w:t>Baseline EQ-5D predicted value</w:t>
            </w:r>
          </w:p>
        </w:tc>
        <w:tc>
          <w:tcPr>
            <w:tcW w:w="1134" w:type="pct"/>
            <w:gridSpan w:val="2"/>
            <w:shd w:val="clear" w:color="auto" w:fill="C6D9F1" w:themeFill="text2" w:themeFillTint="33"/>
            <w:vAlign w:val="center"/>
          </w:tcPr>
          <w:p w14:paraId="282E0900" w14:textId="77777777" w:rsidR="002A66BB" w:rsidRPr="00AD5A27" w:rsidRDefault="002A66BB" w:rsidP="00F95DEA">
            <w:pPr>
              <w:pStyle w:val="TableText0"/>
              <w:jc w:val="center"/>
            </w:pPr>
            <w:r w:rsidRPr="00AD5A27">
              <w:t>0.83</w:t>
            </w:r>
          </w:p>
        </w:tc>
        <w:tc>
          <w:tcPr>
            <w:tcW w:w="1054" w:type="pct"/>
            <w:shd w:val="clear" w:color="auto" w:fill="C6D9F1" w:themeFill="text2" w:themeFillTint="33"/>
            <w:vAlign w:val="center"/>
          </w:tcPr>
          <w:p w14:paraId="091C0F68" w14:textId="77777777" w:rsidR="002A66BB" w:rsidRPr="00AD5A27" w:rsidRDefault="002A66BB" w:rsidP="00F95DEA">
            <w:pPr>
              <w:pStyle w:val="TableText0"/>
              <w:jc w:val="center"/>
              <w:rPr>
                <w:b/>
                <w:bCs w:val="0"/>
              </w:rPr>
            </w:pPr>
            <w:r w:rsidRPr="00AD5A27">
              <w:rPr>
                <w:b/>
                <w:bCs w:val="0"/>
              </w:rPr>
              <w:t>NR</w:t>
            </w:r>
          </w:p>
        </w:tc>
        <w:tc>
          <w:tcPr>
            <w:tcW w:w="1032" w:type="pct"/>
            <w:gridSpan w:val="2"/>
            <w:shd w:val="clear" w:color="auto" w:fill="C6D9F1" w:themeFill="text2" w:themeFillTint="33"/>
            <w:vAlign w:val="center"/>
          </w:tcPr>
          <w:p w14:paraId="1487CA6C" w14:textId="77777777" w:rsidR="002A66BB" w:rsidRPr="00AD5A27" w:rsidRDefault="002A66BB" w:rsidP="00F95DEA">
            <w:pPr>
              <w:pStyle w:val="TableText0"/>
              <w:jc w:val="center"/>
            </w:pPr>
            <w:r w:rsidRPr="00AD5A27">
              <w:t>0.85</w:t>
            </w:r>
          </w:p>
        </w:tc>
        <w:tc>
          <w:tcPr>
            <w:tcW w:w="991" w:type="pct"/>
            <w:shd w:val="clear" w:color="auto" w:fill="C6D9F1" w:themeFill="text2" w:themeFillTint="33"/>
            <w:vAlign w:val="center"/>
          </w:tcPr>
          <w:p w14:paraId="386D4935" w14:textId="77777777" w:rsidR="002A66BB" w:rsidRPr="00AD5A27" w:rsidRDefault="002A66BB" w:rsidP="00F95DEA">
            <w:pPr>
              <w:pStyle w:val="TableText0"/>
              <w:jc w:val="center"/>
            </w:pPr>
            <w:r w:rsidRPr="00AD5A27">
              <w:t>NR</w:t>
            </w:r>
          </w:p>
        </w:tc>
      </w:tr>
      <w:tr w:rsidR="002A66BB" w:rsidRPr="00AD5A27" w14:paraId="7D8DF2B0" w14:textId="77777777" w:rsidTr="00F95DEA">
        <w:tc>
          <w:tcPr>
            <w:tcW w:w="789" w:type="pct"/>
            <w:shd w:val="clear" w:color="auto" w:fill="C6D9F1" w:themeFill="text2" w:themeFillTint="33"/>
          </w:tcPr>
          <w:p w14:paraId="79A4AF35" w14:textId="77777777" w:rsidR="002A66BB" w:rsidRPr="00AD5A27" w:rsidRDefault="002A66BB">
            <w:pPr>
              <w:pStyle w:val="TableText0"/>
            </w:pPr>
            <w:r w:rsidRPr="00AD5A27">
              <w:t>EQ-5D predicted value</w:t>
            </w:r>
          </w:p>
        </w:tc>
        <w:tc>
          <w:tcPr>
            <w:tcW w:w="598" w:type="pct"/>
            <w:shd w:val="clear" w:color="auto" w:fill="C6D9F1" w:themeFill="text2" w:themeFillTint="33"/>
            <w:vAlign w:val="center"/>
          </w:tcPr>
          <w:p w14:paraId="3DE28F52" w14:textId="77777777" w:rsidR="002A66BB" w:rsidRPr="00AD5A27" w:rsidRDefault="002A66BB" w:rsidP="00F95DEA">
            <w:pPr>
              <w:pStyle w:val="TableText0"/>
              <w:jc w:val="center"/>
            </w:pPr>
            <w:r w:rsidRPr="00AD5A27">
              <w:t>-0.04</w:t>
            </w:r>
          </w:p>
        </w:tc>
        <w:tc>
          <w:tcPr>
            <w:tcW w:w="536" w:type="pct"/>
            <w:shd w:val="clear" w:color="auto" w:fill="C6D9F1" w:themeFill="text2" w:themeFillTint="33"/>
            <w:vAlign w:val="center"/>
          </w:tcPr>
          <w:p w14:paraId="37A11B6D" w14:textId="77777777" w:rsidR="002A66BB" w:rsidRPr="00AD5A27" w:rsidRDefault="002A66BB" w:rsidP="00F95DEA">
            <w:pPr>
              <w:pStyle w:val="TableText0"/>
              <w:jc w:val="center"/>
            </w:pPr>
            <w:r w:rsidRPr="00AD5A27">
              <w:t>-0.07</w:t>
            </w:r>
          </w:p>
        </w:tc>
        <w:tc>
          <w:tcPr>
            <w:tcW w:w="1054" w:type="pct"/>
            <w:shd w:val="clear" w:color="auto" w:fill="C6D9F1" w:themeFill="text2" w:themeFillTint="33"/>
            <w:vAlign w:val="center"/>
          </w:tcPr>
          <w:p w14:paraId="3AA5E7E2" w14:textId="77777777" w:rsidR="002A66BB" w:rsidRPr="00AD5A27" w:rsidRDefault="002A66BB" w:rsidP="00F95DEA">
            <w:pPr>
              <w:pStyle w:val="TableText0"/>
              <w:jc w:val="center"/>
              <w:rPr>
                <w:b/>
                <w:bCs w:val="0"/>
              </w:rPr>
            </w:pPr>
            <w:r w:rsidRPr="00AD5A27">
              <w:rPr>
                <w:b/>
                <w:bCs w:val="0"/>
              </w:rPr>
              <w:t>0.04 (0.00, 0.07),</w:t>
            </w:r>
          </w:p>
          <w:p w14:paraId="09BDA74A" w14:textId="77777777" w:rsidR="002A66BB" w:rsidRPr="00AD5A27" w:rsidRDefault="002A66BB" w:rsidP="00F95DEA">
            <w:pPr>
              <w:pStyle w:val="TableText0"/>
              <w:jc w:val="center"/>
              <w:rPr>
                <w:b/>
                <w:bCs w:val="0"/>
              </w:rPr>
            </w:pPr>
            <w:r w:rsidRPr="00AD5A27">
              <w:rPr>
                <w:b/>
                <w:bCs w:val="0"/>
              </w:rPr>
              <w:t xml:space="preserve">p= 0.044 </w:t>
            </w:r>
            <w:r w:rsidRPr="00AD5A27">
              <w:rPr>
                <w:b/>
                <w:bCs w:val="0"/>
                <w:vertAlign w:val="superscript"/>
              </w:rPr>
              <w:t>c</w:t>
            </w:r>
          </w:p>
        </w:tc>
        <w:tc>
          <w:tcPr>
            <w:tcW w:w="548" w:type="pct"/>
            <w:shd w:val="clear" w:color="auto" w:fill="C6D9F1" w:themeFill="text2" w:themeFillTint="33"/>
            <w:vAlign w:val="center"/>
          </w:tcPr>
          <w:p w14:paraId="4BC781B9" w14:textId="77777777" w:rsidR="002A66BB" w:rsidRPr="00AD5A27" w:rsidRDefault="002A66BB" w:rsidP="00F95DEA">
            <w:pPr>
              <w:pStyle w:val="TableText0"/>
              <w:jc w:val="center"/>
            </w:pPr>
            <w:r w:rsidRPr="00AD5A27">
              <w:t>-0.01</w:t>
            </w:r>
          </w:p>
        </w:tc>
        <w:tc>
          <w:tcPr>
            <w:tcW w:w="484" w:type="pct"/>
            <w:shd w:val="clear" w:color="auto" w:fill="C6D9F1" w:themeFill="text2" w:themeFillTint="33"/>
            <w:vAlign w:val="center"/>
          </w:tcPr>
          <w:p w14:paraId="3FC866C1" w14:textId="77777777" w:rsidR="002A66BB" w:rsidRPr="00AD5A27" w:rsidRDefault="002A66BB" w:rsidP="00F95DEA">
            <w:pPr>
              <w:pStyle w:val="TableText0"/>
              <w:jc w:val="center"/>
            </w:pPr>
            <w:r w:rsidRPr="00AD5A27">
              <w:t>-0.01</w:t>
            </w:r>
          </w:p>
        </w:tc>
        <w:tc>
          <w:tcPr>
            <w:tcW w:w="991" w:type="pct"/>
            <w:shd w:val="clear" w:color="auto" w:fill="C6D9F1" w:themeFill="text2" w:themeFillTint="33"/>
            <w:vAlign w:val="center"/>
          </w:tcPr>
          <w:p w14:paraId="061ADE12" w14:textId="77777777" w:rsidR="002A66BB" w:rsidRPr="00AD5A27" w:rsidRDefault="002A66BB" w:rsidP="00F95DEA">
            <w:pPr>
              <w:pStyle w:val="TableText0"/>
              <w:jc w:val="center"/>
            </w:pPr>
            <w:r w:rsidRPr="00AD5A27">
              <w:t>0.00 (-0.03, 0.04)</w:t>
            </w:r>
          </w:p>
          <w:p w14:paraId="4FC617DA" w14:textId="77777777" w:rsidR="002A66BB" w:rsidRPr="00AD5A27" w:rsidRDefault="002A66BB" w:rsidP="00F95DEA">
            <w:pPr>
              <w:pStyle w:val="TableText0"/>
              <w:jc w:val="center"/>
            </w:pPr>
            <w:r w:rsidRPr="00AD5A27">
              <w:t>p= 0.836</w:t>
            </w:r>
            <w:r w:rsidRPr="00AD5A27">
              <w:rPr>
                <w:vertAlign w:val="superscript"/>
              </w:rPr>
              <w:t>d</w:t>
            </w:r>
          </w:p>
        </w:tc>
      </w:tr>
      <w:tr w:rsidR="002A66BB" w:rsidRPr="00AD5A27" w14:paraId="3895AA27" w14:textId="77777777" w:rsidTr="00F95DEA">
        <w:tc>
          <w:tcPr>
            <w:tcW w:w="789" w:type="pct"/>
            <w:shd w:val="clear" w:color="auto" w:fill="C6D9F1" w:themeFill="text2" w:themeFillTint="33"/>
          </w:tcPr>
          <w:p w14:paraId="49A44ABD" w14:textId="77777777" w:rsidR="002A66BB" w:rsidRPr="00AD5A27" w:rsidRDefault="002A66BB">
            <w:pPr>
              <w:pStyle w:val="TableText0"/>
            </w:pPr>
            <w:r w:rsidRPr="00AD5A27">
              <w:t>EQ-5D visual analogue scale</w:t>
            </w:r>
          </w:p>
        </w:tc>
        <w:tc>
          <w:tcPr>
            <w:tcW w:w="598" w:type="pct"/>
            <w:shd w:val="clear" w:color="auto" w:fill="C6D9F1" w:themeFill="text2" w:themeFillTint="33"/>
            <w:vAlign w:val="center"/>
          </w:tcPr>
          <w:p w14:paraId="3ED417CA" w14:textId="77777777" w:rsidR="002A66BB" w:rsidRPr="00AD5A27" w:rsidRDefault="002A66BB" w:rsidP="00F95DEA">
            <w:pPr>
              <w:pStyle w:val="TableText0"/>
              <w:jc w:val="center"/>
            </w:pPr>
            <w:r w:rsidRPr="00AD5A27">
              <w:t>-4.01</w:t>
            </w:r>
          </w:p>
        </w:tc>
        <w:tc>
          <w:tcPr>
            <w:tcW w:w="536" w:type="pct"/>
            <w:shd w:val="clear" w:color="auto" w:fill="C6D9F1" w:themeFill="text2" w:themeFillTint="33"/>
            <w:vAlign w:val="center"/>
          </w:tcPr>
          <w:p w14:paraId="69A18622" w14:textId="77777777" w:rsidR="002A66BB" w:rsidRPr="00AD5A27" w:rsidRDefault="002A66BB" w:rsidP="00F95DEA">
            <w:pPr>
              <w:pStyle w:val="TableText0"/>
              <w:jc w:val="center"/>
            </w:pPr>
            <w:r w:rsidRPr="00AD5A27">
              <w:t>-7.27</w:t>
            </w:r>
          </w:p>
        </w:tc>
        <w:tc>
          <w:tcPr>
            <w:tcW w:w="1054" w:type="pct"/>
            <w:shd w:val="clear" w:color="auto" w:fill="C6D9F1" w:themeFill="text2" w:themeFillTint="33"/>
            <w:vAlign w:val="center"/>
          </w:tcPr>
          <w:p w14:paraId="74A3B9D0" w14:textId="77777777" w:rsidR="002A66BB" w:rsidRPr="00AD5A27" w:rsidRDefault="002A66BB" w:rsidP="00F95DEA">
            <w:pPr>
              <w:pStyle w:val="TableText0"/>
              <w:jc w:val="center"/>
            </w:pPr>
            <w:r w:rsidRPr="00AD5A27">
              <w:t>3.26 (-0.72, 7.24),</w:t>
            </w:r>
          </w:p>
          <w:p w14:paraId="481C5D3E" w14:textId="77777777" w:rsidR="002A66BB" w:rsidRPr="00AD5A27" w:rsidRDefault="002A66BB" w:rsidP="00F95DEA">
            <w:pPr>
              <w:pStyle w:val="TableText0"/>
              <w:jc w:val="center"/>
            </w:pPr>
            <w:r w:rsidRPr="00AD5A27">
              <w:t xml:space="preserve">p= 0.108 </w:t>
            </w:r>
            <w:r w:rsidRPr="00AD5A27">
              <w:rPr>
                <w:vertAlign w:val="superscript"/>
              </w:rPr>
              <w:t>c</w:t>
            </w:r>
          </w:p>
        </w:tc>
        <w:tc>
          <w:tcPr>
            <w:tcW w:w="548" w:type="pct"/>
            <w:shd w:val="clear" w:color="auto" w:fill="C6D9F1" w:themeFill="text2" w:themeFillTint="33"/>
            <w:vAlign w:val="center"/>
          </w:tcPr>
          <w:p w14:paraId="0331F6F5" w14:textId="77777777" w:rsidR="002A66BB" w:rsidRPr="00AD5A27" w:rsidRDefault="002A66BB" w:rsidP="00F95DEA">
            <w:pPr>
              <w:pStyle w:val="TableText0"/>
              <w:jc w:val="center"/>
            </w:pPr>
            <w:r w:rsidRPr="00AD5A27">
              <w:t>-0.23</w:t>
            </w:r>
          </w:p>
        </w:tc>
        <w:tc>
          <w:tcPr>
            <w:tcW w:w="484" w:type="pct"/>
            <w:shd w:val="clear" w:color="auto" w:fill="C6D9F1" w:themeFill="text2" w:themeFillTint="33"/>
            <w:vAlign w:val="center"/>
          </w:tcPr>
          <w:p w14:paraId="2EDBC9E8" w14:textId="77777777" w:rsidR="002A66BB" w:rsidRPr="00AD5A27" w:rsidRDefault="002A66BB" w:rsidP="00F95DEA">
            <w:pPr>
              <w:pStyle w:val="TableText0"/>
              <w:jc w:val="center"/>
            </w:pPr>
            <w:r w:rsidRPr="00AD5A27">
              <w:t>-0.13</w:t>
            </w:r>
          </w:p>
        </w:tc>
        <w:tc>
          <w:tcPr>
            <w:tcW w:w="991" w:type="pct"/>
            <w:shd w:val="clear" w:color="auto" w:fill="C6D9F1" w:themeFill="text2" w:themeFillTint="33"/>
            <w:vAlign w:val="center"/>
          </w:tcPr>
          <w:p w14:paraId="40DD85E7" w14:textId="77777777" w:rsidR="002A66BB" w:rsidRPr="00AD5A27" w:rsidRDefault="002A66BB" w:rsidP="00F95DEA">
            <w:pPr>
              <w:pStyle w:val="TableText0"/>
              <w:jc w:val="center"/>
            </w:pPr>
            <w:r w:rsidRPr="00AD5A27">
              <w:t>-0.10 (-3.69, 3.48),</w:t>
            </w:r>
          </w:p>
          <w:p w14:paraId="0D66B761" w14:textId="77777777" w:rsidR="002A66BB" w:rsidRPr="00AD5A27" w:rsidRDefault="002A66BB" w:rsidP="00F95DEA">
            <w:pPr>
              <w:pStyle w:val="TableText0"/>
              <w:jc w:val="center"/>
            </w:pPr>
            <w:r w:rsidRPr="00AD5A27">
              <w:t xml:space="preserve">p=0.956 </w:t>
            </w:r>
            <w:r w:rsidRPr="00AD5A27">
              <w:rPr>
                <w:vertAlign w:val="superscript"/>
              </w:rPr>
              <w:t>d</w:t>
            </w:r>
          </w:p>
        </w:tc>
      </w:tr>
    </w:tbl>
    <w:p w14:paraId="60AD708F" w14:textId="7E9A181B" w:rsidR="002A66BB" w:rsidRPr="00AD5A27" w:rsidRDefault="002A66BB">
      <w:pPr>
        <w:rPr>
          <w:rFonts w:ascii="Arial Narrow" w:hAnsi="Arial Narrow"/>
          <w:sz w:val="18"/>
          <w:szCs w:val="18"/>
        </w:rPr>
      </w:pPr>
      <w:r w:rsidRPr="00AD5A27">
        <w:rPr>
          <w:rFonts w:ascii="Arial Narrow" w:hAnsi="Arial Narrow"/>
          <w:sz w:val="18"/>
          <w:szCs w:val="18"/>
        </w:rPr>
        <w:t>Source: Table 11, Attachment 2.20 of the resubmission, Table B.6-10, p.99 of the March 2017 submission; p582, VISUAL I trial CSR; p481, VISUAL II trial CSR</w:t>
      </w:r>
    </w:p>
    <w:p w14:paraId="78C40858" w14:textId="2C6339E0" w:rsidR="002A66BB" w:rsidRPr="00AD5A27" w:rsidRDefault="002A66BB">
      <w:pPr>
        <w:rPr>
          <w:rFonts w:ascii="Arial Narrow" w:hAnsi="Arial Narrow"/>
          <w:sz w:val="18"/>
          <w:szCs w:val="18"/>
        </w:rPr>
      </w:pPr>
      <w:r w:rsidRPr="00AD5A27">
        <w:rPr>
          <w:rFonts w:ascii="Arial Narrow" w:hAnsi="Arial Narrow"/>
          <w:sz w:val="18"/>
          <w:szCs w:val="18"/>
        </w:rPr>
        <w:t>ADA = Adalimumab; CI = Confidence Interval; CSR = Clinical Study Report; EQ-5D =</w:t>
      </w:r>
      <w:r w:rsidRPr="00AD5A27">
        <w:t xml:space="preserve"> </w:t>
      </w:r>
      <w:r w:rsidRPr="00AD5A27">
        <w:rPr>
          <w:rFonts w:ascii="Arial Narrow" w:hAnsi="Arial Narrow"/>
          <w:sz w:val="18"/>
          <w:szCs w:val="18"/>
        </w:rPr>
        <w:t>European Quality of Life 5 Dimensions; LOCF = Last Observation Carried Forward; NR = Not reported; PBO = Placebo</w:t>
      </w:r>
      <w:r w:rsidR="00F95DEA" w:rsidRPr="00AD5A27">
        <w:rPr>
          <w:rFonts w:ascii="Arial Narrow" w:hAnsi="Arial Narrow"/>
          <w:sz w:val="18"/>
          <w:szCs w:val="18"/>
        </w:rPr>
        <w:t>.</w:t>
      </w:r>
    </w:p>
    <w:p w14:paraId="1381157A" w14:textId="77777777" w:rsidR="002A66BB" w:rsidRPr="00AD5A27" w:rsidRDefault="002A66BB">
      <w:pPr>
        <w:pStyle w:val="TableFigureFooter"/>
      </w:pPr>
      <w:r w:rsidRPr="00AD5A27">
        <w:t>Bold indicates statistically significant results at 95% CI level.</w:t>
      </w:r>
    </w:p>
    <w:p w14:paraId="5A21A663" w14:textId="77777777" w:rsidR="002A66BB" w:rsidRPr="00AD5A27" w:rsidRDefault="002A66BB">
      <w:pPr>
        <w:pStyle w:val="TableFigureFooter"/>
        <w:rPr>
          <w:rFonts w:cs="Calibri"/>
          <w:color w:val="000000"/>
          <w:sz w:val="20"/>
          <w:szCs w:val="20"/>
          <w:lang w:eastAsia="en-US"/>
        </w:rPr>
      </w:pPr>
      <w:r w:rsidRPr="00AD5A27">
        <w:rPr>
          <w:rFonts w:cs="Calibri"/>
          <w:color w:val="000000"/>
          <w:sz w:val="20"/>
          <w:szCs w:val="20"/>
          <w:shd w:val="clear" w:color="auto" w:fill="B8CCE4" w:themeFill="accent1" w:themeFillTint="66"/>
          <w:lang w:eastAsia="en-US"/>
        </w:rPr>
        <w:t>Blue shading</w:t>
      </w:r>
      <w:r w:rsidRPr="00AD5A27">
        <w:rPr>
          <w:rFonts w:cs="Calibri"/>
          <w:color w:val="000000"/>
          <w:sz w:val="20"/>
          <w:szCs w:val="20"/>
          <w:lang w:eastAsia="en-US"/>
        </w:rPr>
        <w:t xml:space="preserve"> indicates data previously seen by the PBAC.</w:t>
      </w:r>
    </w:p>
    <w:p w14:paraId="4DA0C58A" w14:textId="2ACBFBDC" w:rsidR="002A66BB" w:rsidRPr="00AD5A27" w:rsidRDefault="002A66BB" w:rsidP="00696849">
      <w:pPr>
        <w:pStyle w:val="3-BodyText"/>
      </w:pPr>
      <w:r w:rsidRPr="00AD5A27">
        <w:t>The change in EQ-5D scores from baseline either favoured adalimumab or were not statistically significant in the trials (VISUAL I: 0.04, p= 0.04, VISUAL II: 0.00, p= 0.836). In the long-term VISUAL III study, there was no statistically significant difference in EQ-5D scores from baseline to Week 150 (active uveitis: 0.01, 95% CI: -0.01, 0.03;</w:t>
      </w:r>
      <w:r w:rsidRPr="00AD5A27" w:rsidDel="00FC4089">
        <w:t xml:space="preserve"> </w:t>
      </w:r>
      <w:r w:rsidRPr="00AD5A27">
        <w:t>controlled uveitis: 0.01, 95% CI: -0.02, 0.04).</w:t>
      </w:r>
    </w:p>
    <w:p w14:paraId="2BC7147A" w14:textId="73B03778" w:rsidR="002A66BB" w:rsidRPr="00AD5A27" w:rsidRDefault="002A66BB">
      <w:pPr>
        <w:pStyle w:val="3-BodyText"/>
      </w:pPr>
      <w:r w:rsidRPr="00AD5A27">
        <w:t>The resubmission did not present health-related quality of life measures for the paediatric patients. Based on the post hoc analysis of the SYCAMORE trial data, the mean differences in Childhood Health Assessment Questionnaire (CHAQ) and Childhood Health Questionnaire (CHQ) measures were not statistically significant (Ramanan et al. 2017).</w:t>
      </w:r>
    </w:p>
    <w:p w14:paraId="0F6961E4" w14:textId="77777777" w:rsidR="002A66BB" w:rsidRPr="00AD5A27" w:rsidRDefault="002A66BB">
      <w:pPr>
        <w:pStyle w:val="4-SubsectionHeading"/>
      </w:pPr>
      <w:bookmarkStart w:id="38" w:name="_Toc156988906"/>
      <w:r w:rsidRPr="00AD5A27">
        <w:t>Comparative harms</w:t>
      </w:r>
      <w:bookmarkEnd w:id="35"/>
      <w:bookmarkEnd w:id="36"/>
      <w:bookmarkEnd w:id="38"/>
    </w:p>
    <w:p w14:paraId="58DD2BF0" w14:textId="5F72E8C4" w:rsidR="002A66BB" w:rsidRPr="00AD5A27" w:rsidRDefault="002A66BB">
      <w:pPr>
        <w:pStyle w:val="3-BodyText"/>
      </w:pPr>
      <w:bookmarkStart w:id="39" w:name="_Toc22897643"/>
      <w:bookmarkStart w:id="40" w:name="_Toc124779768"/>
      <w:r w:rsidRPr="00AD5A27">
        <w:t xml:space="preserve">The resubmission noted that 398 patients (94%; 396 events/100 patient-years) experienced one or more treatment-emergent adverse events (TEAEs) in the VISUAL III study. Of these patients, 226 (53%; 80 events/100 patient-years) experienced one or more TEAEs that the investigator considered to be possibly or </w:t>
      </w:r>
      <w:r w:rsidRPr="00AD5A27">
        <w:lastRenderedPageBreak/>
        <w:t>probably related to the study drug</w:t>
      </w:r>
      <w:r w:rsidR="00660E42" w:rsidRPr="00AD5A27">
        <w:t>.</w:t>
      </w:r>
      <w:r w:rsidRPr="00AD5A27">
        <w:t xml:space="preserve"> This</w:t>
      </w:r>
      <w:r w:rsidRPr="00AD5A27" w:rsidDel="003A7030">
        <w:t xml:space="preserve"> </w:t>
      </w:r>
      <w:r w:rsidRPr="00AD5A27">
        <w:t xml:space="preserve">was consistent with the </w:t>
      </w:r>
      <w:r w:rsidR="004A1022" w:rsidRPr="00AD5A27">
        <w:t xml:space="preserve">percentages </w:t>
      </w:r>
      <w:r w:rsidRPr="00AD5A27">
        <w:t xml:space="preserve">reported in the VISUAL I (40.5%) and VISUAL II trials </w:t>
      </w:r>
      <w:r w:rsidR="00660E42" w:rsidRPr="00AD5A27">
        <w:t xml:space="preserve">(55.7%) </w:t>
      </w:r>
      <w:r w:rsidRPr="00AD5A27">
        <w:t>(VISUAL I trial CSR</w:t>
      </w:r>
      <w:r w:rsidR="002900FE" w:rsidRPr="00AD5A27">
        <w:t>;</w:t>
      </w:r>
      <w:r w:rsidRPr="00AD5A27">
        <w:t xml:space="preserve"> p360, VISUAL II trial CSR).</w:t>
      </w:r>
    </w:p>
    <w:p w14:paraId="37EB744C" w14:textId="56588084" w:rsidR="002A66BB" w:rsidRPr="00AD5A27" w:rsidRDefault="002A66BB">
      <w:pPr>
        <w:pStyle w:val="3-BodyText"/>
      </w:pPr>
      <w:r w:rsidRPr="00AD5A27">
        <w:t xml:space="preserve">The resubmission noted that most TEAEs (78%) in the VISUAL III study were mild or moderate in severity. Four patients reported a severe TEAE of blindness, and all were determined by the investigator to be not related to adalimumab and related to uveitis or long-term complications of uveitis. Severe or serious adverse events were experienced by 24% and 20% of patients, respectively. The </w:t>
      </w:r>
      <w:r w:rsidR="00C66AF4" w:rsidRPr="00AD5A27">
        <w:t xml:space="preserve">percentages </w:t>
      </w:r>
      <w:r w:rsidRPr="00AD5A27">
        <w:t>for severe and serious adverse events in the VISUAL III study were higher compared to those in the VISUAL I (12.6% and 13.5%, respectively) and VISUAL II trials (6.1% and 9.6%, respectively) (VISUAL I trial CSR</w:t>
      </w:r>
      <w:r w:rsidR="001B4DF5" w:rsidRPr="00AD5A27">
        <w:t>;</w:t>
      </w:r>
      <w:r w:rsidRPr="00AD5A27">
        <w:t xml:space="preserve"> p360, VISUAL II trial CSR). </w:t>
      </w:r>
    </w:p>
    <w:p w14:paraId="5ED966D7" w14:textId="1D3C327D" w:rsidR="002A66BB" w:rsidRPr="00AD5A27" w:rsidRDefault="002A66BB">
      <w:pPr>
        <w:pStyle w:val="3-BodyText"/>
      </w:pPr>
      <w:r w:rsidRPr="00AD5A27">
        <w:t>A meta-analysis</w:t>
      </w:r>
      <w:r w:rsidR="001F1006" w:rsidRPr="00AD5A27">
        <w:t xml:space="preserve"> of the VISUAL I and VISUAL II studies</w:t>
      </w:r>
      <w:r w:rsidRPr="00AD5A27">
        <w:t xml:space="preserve"> conducted during the evaluation using a random effects model found no difference in </w:t>
      </w:r>
      <w:r w:rsidRPr="00AD5A27">
        <w:rPr>
          <w:bCs/>
        </w:rPr>
        <w:t xml:space="preserve">TEAEs relating to ocular disorders or complications between adalimumab and placebo </w:t>
      </w:r>
      <w:r w:rsidRPr="00AD5A27">
        <w:t xml:space="preserve">(pooled relative risk </w:t>
      </w:r>
      <w:r w:rsidR="00B22EEC" w:rsidRPr="00AD5A27">
        <w:t>1.00</w:t>
      </w:r>
      <w:r w:rsidR="00B14572" w:rsidRPr="00AD5A27">
        <w:t>,</w:t>
      </w:r>
      <w:r w:rsidR="00B22EEC" w:rsidRPr="00AD5A27">
        <w:t xml:space="preserve"> </w:t>
      </w:r>
      <w:r w:rsidRPr="00AD5A27">
        <w:t>95% CI: 0.79, 1.27).</w:t>
      </w:r>
    </w:p>
    <w:p w14:paraId="554B4123" w14:textId="2E5DFAB2" w:rsidR="002A66BB" w:rsidRPr="00AD5A27" w:rsidRDefault="002A66BB">
      <w:pPr>
        <w:pStyle w:val="3-BodyText"/>
      </w:pPr>
      <w:r w:rsidRPr="00AD5A27">
        <w:t xml:space="preserve">In the VISUAL III study, 18.2% of patients discontinued adalimumab due to an adverse event. The </w:t>
      </w:r>
      <w:r w:rsidR="00E3559D" w:rsidRPr="00AD5A27">
        <w:t xml:space="preserve">percentage </w:t>
      </w:r>
      <w:r w:rsidRPr="00AD5A27">
        <w:t>of patients discontinuing adalimumab was higher in the VISUAL III study compared to the VISUAL I and VISUAL II trials, where discontinuation due to TEAEs in the adalimumab arm was around 9%.</w:t>
      </w:r>
    </w:p>
    <w:p w14:paraId="430EBF4B" w14:textId="77777777" w:rsidR="002A66BB" w:rsidRPr="00AD5A27" w:rsidRDefault="002A66BB">
      <w:pPr>
        <w:pStyle w:val="3-BodyText"/>
      </w:pPr>
      <w:r w:rsidRPr="00AD5A27">
        <w:t xml:space="preserve">In the VISUAL III study, the most common TEAEs (&gt;10%) in patients receiving adalimumab were uveitis, nasopharyngitis, arthralgia, headache, urinary tract infection, and cystoid macular oedema. </w:t>
      </w:r>
    </w:p>
    <w:p w14:paraId="27CD8972" w14:textId="77777777" w:rsidR="002A66BB" w:rsidRPr="00AD5A27" w:rsidRDefault="002A66BB">
      <w:pPr>
        <w:pStyle w:val="3-BodyText"/>
      </w:pPr>
      <w:r w:rsidRPr="00AD5A27">
        <w:t xml:space="preserve">The most prevalent TEAEs of special interest in the VISUAL III study were infections (65%), injection site reactions (12%), and allergic reactions (7%). </w:t>
      </w:r>
    </w:p>
    <w:p w14:paraId="131EB528" w14:textId="72DF1846" w:rsidR="002A66BB" w:rsidRPr="00AD5A27" w:rsidRDefault="002A66BB">
      <w:pPr>
        <w:pStyle w:val="3-BodyText"/>
      </w:pPr>
      <w:r w:rsidRPr="00AD5A27">
        <w:t xml:space="preserve">The resubmission stated that 6 patients (1.4%; 0.5 event/100 patient-year (PY)) in the VISUAL III study reported treatment-emergent demyelinating events, including demyelination (n=2), multiple sclerosis (n=2), and optic neuritis (n=2); 5 of these patients discontinued adalimumab. The draft TGA PI for the paediatric population noted that “there is a known association between intermediate uveitis and central demyelinating disorders. Neurologic evaluation should be performed in patients with non-infectious intermediate uveitis before initiating Humira therapy and regularly during treatment to assess for pre-existing or developing central demyelinating disorders” (TGA PI). </w:t>
      </w:r>
      <w:r w:rsidR="00A43D38" w:rsidRPr="00AD5A27">
        <w:t>A</w:t>
      </w:r>
      <w:r w:rsidRPr="00AD5A27">
        <w:t xml:space="preserve"> similar concern </w:t>
      </w:r>
      <w:r w:rsidR="00A43D38" w:rsidRPr="00AD5A27">
        <w:t xml:space="preserve">was raised </w:t>
      </w:r>
      <w:r w:rsidRPr="00AD5A27">
        <w:t xml:space="preserve">for adult uveitis patients in the March 2017 submission (para. 6.21, adalimumab, PSD, March 2017 PBAC meeting). </w:t>
      </w:r>
    </w:p>
    <w:p w14:paraId="1C1871BC" w14:textId="74C96104" w:rsidR="002A66BB" w:rsidRPr="00AD5A27" w:rsidRDefault="00E95270" w:rsidP="003A4340">
      <w:pPr>
        <w:pStyle w:val="3-BodyText"/>
      </w:pPr>
      <w:r w:rsidRPr="00AD5A27">
        <w:t>In the SYCAMORE trial, a greater percentage of paediatric patients experienced any type of adverse event in the adalimumab arm (88%) compared with the placebo arm</w:t>
      </w:r>
      <w:r w:rsidR="00900952" w:rsidRPr="00AD5A27">
        <w:t xml:space="preserve"> (83%)</w:t>
      </w:r>
      <w:r w:rsidRPr="00AD5A27">
        <w:t xml:space="preserve">. Serious adverse events were experienced by 22% of patients in the adalimumab arm compared to 7% in the placebo arm. The resubmission reported that adverse events were consistent with the known profile for adalimumab. However, further information relating to the safety profile of adalimumab in the trial was not presented </w:t>
      </w:r>
      <w:r w:rsidRPr="00AD5A27">
        <w:lastRenderedPageBreak/>
        <w:t>in the resubmission. Li et al. (2021) reported that the most common serious adverse events in the SYCAMORE trial were glaucoma, cataracts, injection site reactions, arthritis, and arthralgia. The resubmission noted that in the ADJUVITE trial, no serious adverse events were reported in the adalimumab arm during the double-blind phase. However, t</w:t>
      </w:r>
      <w:r w:rsidR="002A66BB" w:rsidRPr="00AD5A27">
        <w:t xml:space="preserve">he long-term safety of adalimumab among the paediatric population was uncertain. The cohort size and duration of follow-up in the included trials may not be sufficient to detect changes in the rates of important adverse events associated with adalimumab. </w:t>
      </w:r>
    </w:p>
    <w:p w14:paraId="70D00798" w14:textId="77777777" w:rsidR="002A66BB" w:rsidRPr="00AD5A27" w:rsidRDefault="002A66BB">
      <w:pPr>
        <w:pStyle w:val="4-SubsectionHeading"/>
      </w:pPr>
      <w:bookmarkStart w:id="41" w:name="_Toc156988907"/>
      <w:r w:rsidRPr="00AD5A27">
        <w:t>Benefits/harms</w:t>
      </w:r>
      <w:bookmarkEnd w:id="39"/>
      <w:bookmarkEnd w:id="40"/>
      <w:bookmarkEnd w:id="41"/>
    </w:p>
    <w:p w14:paraId="77C04B4D" w14:textId="1CC02DCA" w:rsidR="002A66BB" w:rsidRPr="00AD5A27" w:rsidRDefault="002A66BB" w:rsidP="002A66BB">
      <w:pPr>
        <w:widowControl w:val="0"/>
        <w:numPr>
          <w:ilvl w:val="1"/>
          <w:numId w:val="4"/>
        </w:numPr>
        <w:spacing w:after="120"/>
        <w:contextualSpacing/>
        <w:rPr>
          <w:rFonts w:asciiTheme="minorHAnsi" w:hAnsiTheme="minorHAnsi" w:cstheme="minorHAnsi"/>
          <w:snapToGrid w:val="0"/>
          <w:lang w:eastAsia="en-US"/>
        </w:rPr>
      </w:pPr>
      <w:r w:rsidRPr="00AD5A27">
        <w:rPr>
          <w:rFonts w:asciiTheme="minorHAnsi" w:hAnsiTheme="minorHAnsi" w:cstheme="minorBidi"/>
          <w:snapToGrid w:val="0"/>
          <w:lang w:eastAsia="en-US"/>
        </w:rPr>
        <w:t xml:space="preserve">A summary of the comparative benefits and harms for adalimumab versus placebo is presented in </w:t>
      </w:r>
      <w:r w:rsidR="00093BE8" w:rsidRPr="00AD5A27">
        <w:rPr>
          <w:rFonts w:asciiTheme="minorHAnsi" w:hAnsiTheme="minorHAnsi" w:cstheme="minorBidi"/>
          <w:snapToGrid w:val="0"/>
          <w:lang w:eastAsia="en-US"/>
        </w:rPr>
        <w:fldChar w:fldCharType="begin" w:fldLock="1"/>
      </w:r>
      <w:r w:rsidR="00093BE8" w:rsidRPr="00AD5A27">
        <w:rPr>
          <w:rFonts w:asciiTheme="minorHAnsi" w:hAnsiTheme="minorHAnsi" w:cstheme="minorBidi"/>
          <w:snapToGrid w:val="0"/>
          <w:lang w:eastAsia="en-US"/>
        </w:rPr>
        <w:instrText xml:space="preserve"> REF _Ref152495035 \h </w:instrText>
      </w:r>
      <w:r w:rsidR="00093BE8" w:rsidRPr="00AD5A27">
        <w:rPr>
          <w:rFonts w:asciiTheme="minorHAnsi" w:hAnsiTheme="minorHAnsi" w:cstheme="minorBidi"/>
          <w:snapToGrid w:val="0"/>
          <w:lang w:eastAsia="en-US"/>
        </w:rPr>
      </w:r>
      <w:r w:rsidR="00093BE8" w:rsidRPr="00AD5A27">
        <w:rPr>
          <w:rFonts w:asciiTheme="minorHAnsi" w:hAnsiTheme="minorHAnsi" w:cstheme="minorBidi"/>
          <w:snapToGrid w:val="0"/>
          <w:lang w:eastAsia="en-US"/>
        </w:rPr>
        <w:fldChar w:fldCharType="separate"/>
      </w:r>
      <w:r w:rsidR="00B510E9" w:rsidRPr="00AD5A27">
        <w:t>Table 8</w:t>
      </w:r>
      <w:r w:rsidR="00093BE8" w:rsidRPr="00AD5A27">
        <w:rPr>
          <w:rFonts w:asciiTheme="minorHAnsi" w:hAnsiTheme="minorHAnsi" w:cstheme="minorBidi"/>
          <w:snapToGrid w:val="0"/>
          <w:lang w:eastAsia="en-US"/>
        </w:rPr>
        <w:fldChar w:fldCharType="end"/>
      </w:r>
      <w:r w:rsidRPr="00AD5A27">
        <w:rPr>
          <w:rFonts w:asciiTheme="minorHAnsi" w:hAnsiTheme="minorHAnsi" w:cstheme="minorBidi"/>
          <w:snapToGrid w:val="0"/>
          <w:lang w:eastAsia="en-US"/>
        </w:rPr>
        <w:t>.</w:t>
      </w:r>
    </w:p>
    <w:p w14:paraId="2715B732" w14:textId="650376DE" w:rsidR="002A66BB" w:rsidRPr="00AD5A27" w:rsidRDefault="002A66BB">
      <w:pPr>
        <w:pStyle w:val="TableFigureHeading"/>
      </w:pPr>
      <w:bookmarkStart w:id="42" w:name="_Ref152495035"/>
      <w:r w:rsidRPr="00AD5A27">
        <w:t xml:space="preserve">Table </w:t>
      </w:r>
      <w:r w:rsidR="004050E4">
        <w:fldChar w:fldCharType="begin" w:fldLock="1"/>
      </w:r>
      <w:r w:rsidR="004050E4">
        <w:instrText xml:space="preserve"> SEQ Table \* ARABIC </w:instrText>
      </w:r>
      <w:r w:rsidR="004050E4">
        <w:fldChar w:fldCharType="separate"/>
      </w:r>
      <w:r w:rsidR="00B510E9" w:rsidRPr="00AD5A27">
        <w:t>8</w:t>
      </w:r>
      <w:r w:rsidR="004050E4">
        <w:fldChar w:fldCharType="end"/>
      </w:r>
      <w:bookmarkEnd w:id="42"/>
      <w:r w:rsidRPr="00AD5A27">
        <w:t>: Summary of comparative benefits and harms for adalimumab and placebo</w:t>
      </w:r>
    </w:p>
    <w:tbl>
      <w:tblPr>
        <w:tblStyle w:val="TableGrid"/>
        <w:tblW w:w="5000" w:type="pct"/>
        <w:tblCellMar>
          <w:left w:w="28" w:type="dxa"/>
          <w:right w:w="28" w:type="dxa"/>
        </w:tblCellMar>
        <w:tblLook w:val="04A0" w:firstRow="1" w:lastRow="0" w:firstColumn="1" w:lastColumn="0" w:noHBand="0" w:noVBand="1"/>
        <w:tblCaption w:val="Table 8: Summary of comparative benefits and harms for adalimumab and placebo"/>
      </w:tblPr>
      <w:tblGrid>
        <w:gridCol w:w="1795"/>
        <w:gridCol w:w="873"/>
        <w:gridCol w:w="1942"/>
        <w:gridCol w:w="1188"/>
        <w:gridCol w:w="938"/>
        <w:gridCol w:w="2281"/>
      </w:tblGrid>
      <w:tr w:rsidR="00B20984" w:rsidRPr="00AD5A27" w14:paraId="75BB5B79" w14:textId="0904775D" w:rsidTr="000E36B9">
        <w:tc>
          <w:tcPr>
            <w:tcW w:w="995" w:type="pct"/>
            <w:shd w:val="clear" w:color="auto" w:fill="C6D9F1" w:themeFill="text2" w:themeFillTint="33"/>
            <w:vAlign w:val="center"/>
          </w:tcPr>
          <w:p w14:paraId="0721B423" w14:textId="77777777" w:rsidR="00B20984" w:rsidRPr="00AD5A27" w:rsidRDefault="00B20984">
            <w:pPr>
              <w:pStyle w:val="In-tableHeading"/>
              <w:keepNext w:val="0"/>
              <w:widowControl w:val="0"/>
              <w:rPr>
                <w:snapToGrid w:val="0"/>
                <w:lang w:val="en-AU" w:eastAsia="en-US"/>
              </w:rPr>
            </w:pPr>
            <w:r w:rsidRPr="00AD5A27">
              <w:rPr>
                <w:snapToGrid w:val="0"/>
                <w:lang w:val="en-AU" w:eastAsia="en-US"/>
              </w:rPr>
              <w:t>Benefits</w:t>
            </w:r>
          </w:p>
        </w:tc>
        <w:tc>
          <w:tcPr>
            <w:tcW w:w="484" w:type="pct"/>
            <w:shd w:val="clear" w:color="auto" w:fill="C6D9F1" w:themeFill="text2" w:themeFillTint="33"/>
            <w:vAlign w:val="center"/>
          </w:tcPr>
          <w:p w14:paraId="33085452" w14:textId="77777777" w:rsidR="00B20984" w:rsidRPr="00AD5A27" w:rsidRDefault="00B20984">
            <w:pPr>
              <w:pStyle w:val="In-tableHeading"/>
              <w:keepNext w:val="0"/>
              <w:widowControl w:val="0"/>
              <w:jc w:val="center"/>
              <w:rPr>
                <w:snapToGrid w:val="0"/>
                <w:lang w:val="en-AU" w:eastAsia="en-US"/>
              </w:rPr>
            </w:pPr>
            <w:r w:rsidRPr="00AD5A27">
              <w:rPr>
                <w:snapToGrid w:val="0"/>
                <w:lang w:val="en-AU" w:eastAsia="en-US"/>
              </w:rPr>
              <w:t>ADA</w:t>
            </w:r>
          </w:p>
        </w:tc>
        <w:tc>
          <w:tcPr>
            <w:tcW w:w="1077" w:type="pct"/>
            <w:shd w:val="clear" w:color="auto" w:fill="C6D9F1" w:themeFill="text2" w:themeFillTint="33"/>
            <w:vAlign w:val="center"/>
          </w:tcPr>
          <w:p w14:paraId="61978AB4" w14:textId="77777777" w:rsidR="00B20984" w:rsidRPr="00AD5A27" w:rsidRDefault="00B20984">
            <w:pPr>
              <w:pStyle w:val="In-tableHeading"/>
              <w:keepNext w:val="0"/>
              <w:widowControl w:val="0"/>
              <w:jc w:val="center"/>
              <w:rPr>
                <w:snapToGrid w:val="0"/>
                <w:lang w:val="en-AU" w:eastAsia="en-US"/>
              </w:rPr>
            </w:pPr>
            <w:r w:rsidRPr="00AD5A27">
              <w:rPr>
                <w:snapToGrid w:val="0"/>
                <w:lang w:val="en-AU" w:eastAsia="en-US"/>
              </w:rPr>
              <w:t>PBO</w:t>
            </w:r>
          </w:p>
        </w:tc>
        <w:tc>
          <w:tcPr>
            <w:tcW w:w="659" w:type="pct"/>
            <w:shd w:val="clear" w:color="auto" w:fill="C6D9F1" w:themeFill="text2" w:themeFillTint="33"/>
            <w:vAlign w:val="center"/>
          </w:tcPr>
          <w:p w14:paraId="0DB10F15" w14:textId="77777777" w:rsidR="00B20984" w:rsidRPr="00AD5A27" w:rsidRDefault="00B20984">
            <w:pPr>
              <w:pStyle w:val="In-tableHeading"/>
              <w:keepNext w:val="0"/>
              <w:widowControl w:val="0"/>
              <w:jc w:val="center"/>
              <w:rPr>
                <w:snapToGrid w:val="0"/>
                <w:lang w:val="en-AU" w:eastAsia="en-US"/>
              </w:rPr>
            </w:pPr>
            <w:r w:rsidRPr="00AD5A27">
              <w:rPr>
                <w:snapToGrid w:val="0"/>
                <w:lang w:val="en-AU" w:eastAsia="en-US"/>
              </w:rPr>
              <w:t>Absolute Difference</w:t>
            </w:r>
          </w:p>
        </w:tc>
        <w:tc>
          <w:tcPr>
            <w:tcW w:w="520" w:type="pct"/>
            <w:shd w:val="clear" w:color="auto" w:fill="C6D9F1" w:themeFill="text2" w:themeFillTint="33"/>
            <w:vAlign w:val="center"/>
          </w:tcPr>
          <w:p w14:paraId="14C1695C" w14:textId="77777777" w:rsidR="00F84BD2" w:rsidRPr="00AD5A27" w:rsidRDefault="00B20984">
            <w:pPr>
              <w:pStyle w:val="In-tableHeading"/>
              <w:keepNext w:val="0"/>
              <w:widowControl w:val="0"/>
              <w:jc w:val="center"/>
              <w:rPr>
                <w:snapToGrid w:val="0"/>
                <w:lang w:val="en-AU" w:eastAsia="en-US"/>
              </w:rPr>
            </w:pPr>
            <w:r w:rsidRPr="00AD5A27">
              <w:rPr>
                <w:snapToGrid w:val="0"/>
                <w:lang w:val="en-AU" w:eastAsia="en-US"/>
              </w:rPr>
              <w:t xml:space="preserve">HR </w:t>
            </w:r>
          </w:p>
          <w:p w14:paraId="5C9C5D7D" w14:textId="3D3AD31A" w:rsidR="00B20984" w:rsidRPr="00AD5A27" w:rsidRDefault="00B20984">
            <w:pPr>
              <w:pStyle w:val="In-tableHeading"/>
              <w:keepNext w:val="0"/>
              <w:widowControl w:val="0"/>
              <w:jc w:val="center"/>
              <w:rPr>
                <w:snapToGrid w:val="0"/>
                <w:lang w:val="en-AU" w:eastAsia="en-US"/>
              </w:rPr>
            </w:pPr>
            <w:r w:rsidRPr="00AD5A27">
              <w:rPr>
                <w:snapToGrid w:val="0"/>
                <w:lang w:val="en-AU" w:eastAsia="en-US"/>
              </w:rPr>
              <w:t>(95% CI)</w:t>
            </w:r>
          </w:p>
        </w:tc>
        <w:tc>
          <w:tcPr>
            <w:tcW w:w="1265" w:type="pct"/>
            <w:shd w:val="clear" w:color="auto" w:fill="C6D9F1" w:themeFill="text2" w:themeFillTint="33"/>
          </w:tcPr>
          <w:p w14:paraId="0B63D7E5" w14:textId="5AD72B0C" w:rsidR="00B20984" w:rsidRPr="00AD5A27" w:rsidRDefault="00B20984">
            <w:pPr>
              <w:pStyle w:val="In-tableHeading"/>
              <w:keepNext w:val="0"/>
              <w:widowControl w:val="0"/>
              <w:jc w:val="center"/>
              <w:rPr>
                <w:snapToGrid w:val="0"/>
                <w:lang w:val="en-AU" w:eastAsia="en-US"/>
              </w:rPr>
            </w:pPr>
            <w:r w:rsidRPr="00AD5A27">
              <w:rPr>
                <w:snapToGrid w:val="0"/>
                <w:lang w:val="en-AU" w:eastAsia="en-US"/>
              </w:rPr>
              <w:t>RR (95% CI)</w:t>
            </w:r>
          </w:p>
        </w:tc>
      </w:tr>
      <w:tr w:rsidR="00B20984" w:rsidRPr="00AD5A27" w14:paraId="3C197F3F" w14:textId="51A749AC" w:rsidTr="000E36B9">
        <w:tc>
          <w:tcPr>
            <w:tcW w:w="5000" w:type="pct"/>
            <w:gridSpan w:val="6"/>
            <w:shd w:val="clear" w:color="auto" w:fill="C6D9F1" w:themeFill="text2" w:themeFillTint="33"/>
            <w:vAlign w:val="center"/>
          </w:tcPr>
          <w:p w14:paraId="19C23609" w14:textId="6940F336" w:rsidR="00B20984" w:rsidRPr="00AD5A27" w:rsidRDefault="00C57F8C">
            <w:pPr>
              <w:pStyle w:val="TableText0"/>
              <w:keepNext w:val="0"/>
              <w:widowControl w:val="0"/>
              <w:rPr>
                <w:b/>
                <w:bCs w:val="0"/>
                <w:snapToGrid w:val="0"/>
                <w:lang w:eastAsia="en-US"/>
              </w:rPr>
            </w:pPr>
            <w:r w:rsidRPr="00AD5A27">
              <w:rPr>
                <w:b/>
                <w:bCs w:val="0"/>
                <w:snapToGrid w:val="0"/>
                <w:lang w:eastAsia="en-US"/>
              </w:rPr>
              <w:t>Trials</w:t>
            </w:r>
          </w:p>
        </w:tc>
      </w:tr>
      <w:tr w:rsidR="00B20984" w:rsidRPr="00AD5A27" w14:paraId="510DDAEB" w14:textId="0B03AB71" w:rsidTr="000E36B9">
        <w:tc>
          <w:tcPr>
            <w:tcW w:w="5000" w:type="pct"/>
            <w:gridSpan w:val="6"/>
            <w:shd w:val="clear" w:color="auto" w:fill="C6D9F1" w:themeFill="text2" w:themeFillTint="33"/>
            <w:vAlign w:val="center"/>
          </w:tcPr>
          <w:p w14:paraId="26D4C7D3" w14:textId="042241F5" w:rsidR="00B20984" w:rsidRPr="00AD5A27" w:rsidRDefault="00C57F8C" w:rsidP="00C57F8C">
            <w:pPr>
              <w:pStyle w:val="TableText0"/>
              <w:keepNext w:val="0"/>
              <w:widowControl w:val="0"/>
              <w:rPr>
                <w:b/>
                <w:snapToGrid w:val="0"/>
                <w:lang w:eastAsia="en-US"/>
              </w:rPr>
            </w:pPr>
            <w:r w:rsidRPr="00AD5A27">
              <w:rPr>
                <w:b/>
                <w:snapToGrid w:val="0"/>
                <w:lang w:eastAsia="en-US"/>
              </w:rPr>
              <w:t>VISUAL I (duration of follow-up: Until Week 80 or treatment failure)</w:t>
            </w:r>
          </w:p>
        </w:tc>
      </w:tr>
      <w:tr w:rsidR="00B20984" w:rsidRPr="00AD5A27" w14:paraId="68E2449E" w14:textId="3AD5CC45" w:rsidTr="000E36B9">
        <w:tc>
          <w:tcPr>
            <w:tcW w:w="995" w:type="pct"/>
            <w:shd w:val="clear" w:color="auto" w:fill="C6D9F1" w:themeFill="text2" w:themeFillTint="33"/>
            <w:vAlign w:val="center"/>
          </w:tcPr>
          <w:p w14:paraId="1B944E28" w14:textId="37EC2109" w:rsidR="00B20984" w:rsidRPr="00AD5A27" w:rsidRDefault="00B20984">
            <w:pPr>
              <w:pStyle w:val="TableText0"/>
              <w:keepNext w:val="0"/>
              <w:widowControl w:val="0"/>
              <w:rPr>
                <w:snapToGrid w:val="0"/>
                <w:lang w:eastAsia="en-US"/>
              </w:rPr>
            </w:pPr>
            <w:r w:rsidRPr="00AD5A27">
              <w:rPr>
                <w:snapToGrid w:val="0"/>
                <w:lang w:eastAsia="en-US"/>
              </w:rPr>
              <w:t>Treatment failure, n/N (%)</w:t>
            </w:r>
          </w:p>
        </w:tc>
        <w:tc>
          <w:tcPr>
            <w:tcW w:w="484" w:type="pct"/>
            <w:shd w:val="clear" w:color="auto" w:fill="C6D9F1" w:themeFill="text2" w:themeFillTint="33"/>
            <w:vAlign w:val="center"/>
          </w:tcPr>
          <w:p w14:paraId="62226446" w14:textId="77777777" w:rsidR="00B20984" w:rsidRPr="00AD5A27" w:rsidRDefault="00B20984">
            <w:pPr>
              <w:pStyle w:val="TableText0"/>
              <w:keepNext w:val="0"/>
              <w:widowControl w:val="0"/>
              <w:jc w:val="center"/>
              <w:rPr>
                <w:snapToGrid w:val="0"/>
                <w:lang w:eastAsia="en-US"/>
              </w:rPr>
            </w:pPr>
            <w:r w:rsidRPr="00AD5A27">
              <w:rPr>
                <w:snapToGrid w:val="0"/>
                <w:lang w:eastAsia="en-US"/>
              </w:rPr>
              <w:t xml:space="preserve">60/110 </w:t>
            </w:r>
          </w:p>
          <w:p w14:paraId="2387046A" w14:textId="6A4E8A74" w:rsidR="00B20984" w:rsidRPr="00AD5A27" w:rsidRDefault="00B20984">
            <w:pPr>
              <w:pStyle w:val="TableText0"/>
              <w:keepNext w:val="0"/>
              <w:widowControl w:val="0"/>
              <w:jc w:val="center"/>
              <w:rPr>
                <w:snapToGrid w:val="0"/>
                <w:lang w:eastAsia="en-US"/>
              </w:rPr>
            </w:pPr>
            <w:r w:rsidRPr="00AD5A27">
              <w:rPr>
                <w:snapToGrid w:val="0"/>
                <w:lang w:eastAsia="en-US"/>
              </w:rPr>
              <w:t>(54.5%)</w:t>
            </w:r>
          </w:p>
        </w:tc>
        <w:tc>
          <w:tcPr>
            <w:tcW w:w="1077" w:type="pct"/>
            <w:shd w:val="clear" w:color="auto" w:fill="C6D9F1" w:themeFill="text2" w:themeFillTint="33"/>
            <w:vAlign w:val="center"/>
          </w:tcPr>
          <w:p w14:paraId="53671589" w14:textId="77777777" w:rsidR="00B20984" w:rsidRPr="00AD5A27" w:rsidRDefault="00B20984">
            <w:pPr>
              <w:pStyle w:val="TableText0"/>
              <w:keepNext w:val="0"/>
              <w:widowControl w:val="0"/>
              <w:jc w:val="center"/>
              <w:rPr>
                <w:snapToGrid w:val="0"/>
                <w:lang w:eastAsia="en-US"/>
              </w:rPr>
            </w:pPr>
            <w:r w:rsidRPr="00AD5A27">
              <w:rPr>
                <w:snapToGrid w:val="0"/>
                <w:lang w:eastAsia="en-US"/>
              </w:rPr>
              <w:t xml:space="preserve">84/107 </w:t>
            </w:r>
          </w:p>
          <w:p w14:paraId="0DC10C9C" w14:textId="67C032BB" w:rsidR="00B20984" w:rsidRPr="00AD5A27" w:rsidRDefault="00B20984">
            <w:pPr>
              <w:pStyle w:val="TableText0"/>
              <w:keepNext w:val="0"/>
              <w:widowControl w:val="0"/>
              <w:jc w:val="center"/>
              <w:rPr>
                <w:snapToGrid w:val="0"/>
                <w:lang w:eastAsia="en-US"/>
              </w:rPr>
            </w:pPr>
            <w:r w:rsidRPr="00AD5A27">
              <w:rPr>
                <w:snapToGrid w:val="0"/>
                <w:lang w:eastAsia="en-US"/>
              </w:rPr>
              <w:t>(78.5%)</w:t>
            </w:r>
          </w:p>
        </w:tc>
        <w:tc>
          <w:tcPr>
            <w:tcW w:w="659" w:type="pct"/>
            <w:vMerge w:val="restart"/>
            <w:shd w:val="clear" w:color="auto" w:fill="C6D9F1" w:themeFill="text2" w:themeFillTint="33"/>
            <w:vAlign w:val="center"/>
          </w:tcPr>
          <w:p w14:paraId="420D75B1" w14:textId="77777777" w:rsidR="00B20984" w:rsidRPr="00AD5A27" w:rsidRDefault="00B20984">
            <w:pPr>
              <w:pStyle w:val="TableText0"/>
              <w:keepNext w:val="0"/>
              <w:widowControl w:val="0"/>
              <w:jc w:val="center"/>
              <w:rPr>
                <w:snapToGrid w:val="0"/>
                <w:lang w:eastAsia="en-US"/>
              </w:rPr>
            </w:pPr>
            <w:r w:rsidRPr="00AD5A27">
              <w:rPr>
                <w:snapToGrid w:val="0"/>
                <w:lang w:eastAsia="en-US"/>
              </w:rPr>
              <w:t>2.6 months</w:t>
            </w:r>
          </w:p>
        </w:tc>
        <w:tc>
          <w:tcPr>
            <w:tcW w:w="520" w:type="pct"/>
            <w:vMerge w:val="restart"/>
            <w:shd w:val="clear" w:color="auto" w:fill="C6D9F1" w:themeFill="text2" w:themeFillTint="33"/>
            <w:vAlign w:val="center"/>
          </w:tcPr>
          <w:p w14:paraId="50EFB6B5" w14:textId="77777777" w:rsidR="00F84BD2" w:rsidRPr="00AD5A27" w:rsidRDefault="00B20984">
            <w:pPr>
              <w:pStyle w:val="TableText0"/>
              <w:keepNext w:val="0"/>
              <w:widowControl w:val="0"/>
              <w:jc w:val="center"/>
              <w:rPr>
                <w:b/>
                <w:bCs w:val="0"/>
                <w:snapToGrid w:val="0"/>
                <w:lang w:eastAsia="en-US"/>
              </w:rPr>
            </w:pPr>
            <w:r w:rsidRPr="00AD5A27">
              <w:rPr>
                <w:b/>
                <w:bCs w:val="0"/>
                <w:snapToGrid w:val="0"/>
                <w:lang w:eastAsia="en-US"/>
              </w:rPr>
              <w:t xml:space="preserve">0.50 </w:t>
            </w:r>
          </w:p>
          <w:p w14:paraId="1968E9E9" w14:textId="5AF3AAE3" w:rsidR="00B20984" w:rsidRPr="00AD5A27" w:rsidRDefault="00B20984">
            <w:pPr>
              <w:pStyle w:val="TableText0"/>
              <w:keepNext w:val="0"/>
              <w:widowControl w:val="0"/>
              <w:jc w:val="center"/>
              <w:rPr>
                <w:b/>
                <w:bCs w:val="0"/>
                <w:snapToGrid w:val="0"/>
                <w:lang w:eastAsia="en-US"/>
              </w:rPr>
            </w:pPr>
            <w:r w:rsidRPr="00AD5A27">
              <w:rPr>
                <w:b/>
                <w:bCs w:val="0"/>
                <w:snapToGrid w:val="0"/>
                <w:lang w:eastAsia="en-US"/>
              </w:rPr>
              <w:t>(0.36, 0.70)</w:t>
            </w:r>
          </w:p>
        </w:tc>
        <w:tc>
          <w:tcPr>
            <w:tcW w:w="1265" w:type="pct"/>
            <w:vMerge w:val="restart"/>
            <w:shd w:val="clear" w:color="auto" w:fill="C6D9F1" w:themeFill="text2" w:themeFillTint="33"/>
            <w:vAlign w:val="center"/>
          </w:tcPr>
          <w:p w14:paraId="370A49E9" w14:textId="4B809D0C" w:rsidR="00B20984" w:rsidRPr="00AD5A27" w:rsidRDefault="001A114D" w:rsidP="001A114D">
            <w:pPr>
              <w:pStyle w:val="TableText0"/>
              <w:keepNext w:val="0"/>
              <w:widowControl w:val="0"/>
              <w:jc w:val="center"/>
              <w:rPr>
                <w:b/>
                <w:bCs w:val="0"/>
                <w:snapToGrid w:val="0"/>
                <w:lang w:eastAsia="en-US"/>
              </w:rPr>
            </w:pPr>
            <w:r w:rsidRPr="00AD5A27">
              <w:rPr>
                <w:b/>
                <w:bCs w:val="0"/>
                <w:snapToGrid w:val="0"/>
                <w:lang w:eastAsia="en-US"/>
              </w:rPr>
              <w:t>NA</w:t>
            </w:r>
          </w:p>
        </w:tc>
      </w:tr>
      <w:tr w:rsidR="00B20984" w:rsidRPr="00AD5A27" w14:paraId="712EC95C" w14:textId="34C17406" w:rsidTr="000E36B9">
        <w:tc>
          <w:tcPr>
            <w:tcW w:w="995" w:type="pct"/>
            <w:shd w:val="clear" w:color="auto" w:fill="C6D9F1" w:themeFill="text2" w:themeFillTint="33"/>
            <w:vAlign w:val="center"/>
          </w:tcPr>
          <w:p w14:paraId="4B6F4B59" w14:textId="62F35692" w:rsidR="00B20984" w:rsidRPr="00AD5A27" w:rsidRDefault="00B20984">
            <w:pPr>
              <w:pStyle w:val="TableText0"/>
              <w:keepNext w:val="0"/>
              <w:widowControl w:val="0"/>
              <w:rPr>
                <w:snapToGrid w:val="0"/>
                <w:lang w:eastAsia="en-US"/>
              </w:rPr>
            </w:pPr>
            <w:r w:rsidRPr="00AD5A27">
              <w:rPr>
                <w:snapToGrid w:val="0"/>
                <w:lang w:eastAsia="en-US"/>
              </w:rPr>
              <w:t>Median time to treatment failure, months</w:t>
            </w:r>
          </w:p>
        </w:tc>
        <w:tc>
          <w:tcPr>
            <w:tcW w:w="484" w:type="pct"/>
            <w:shd w:val="clear" w:color="auto" w:fill="C6D9F1" w:themeFill="text2" w:themeFillTint="33"/>
            <w:vAlign w:val="center"/>
          </w:tcPr>
          <w:p w14:paraId="07AA6908" w14:textId="77777777" w:rsidR="00B20984" w:rsidRPr="00AD5A27" w:rsidRDefault="00B20984">
            <w:pPr>
              <w:pStyle w:val="TableText0"/>
              <w:keepNext w:val="0"/>
              <w:widowControl w:val="0"/>
              <w:jc w:val="center"/>
              <w:rPr>
                <w:snapToGrid w:val="0"/>
                <w:lang w:eastAsia="en-US"/>
              </w:rPr>
            </w:pPr>
            <w:r w:rsidRPr="00AD5A27">
              <w:rPr>
                <w:snapToGrid w:val="0"/>
                <w:lang w:eastAsia="en-US"/>
              </w:rPr>
              <w:t>5.6</w:t>
            </w:r>
          </w:p>
        </w:tc>
        <w:tc>
          <w:tcPr>
            <w:tcW w:w="1077" w:type="pct"/>
            <w:shd w:val="clear" w:color="auto" w:fill="C6D9F1" w:themeFill="text2" w:themeFillTint="33"/>
            <w:vAlign w:val="center"/>
          </w:tcPr>
          <w:p w14:paraId="2F8C0743" w14:textId="77777777" w:rsidR="00B20984" w:rsidRPr="00AD5A27" w:rsidRDefault="00B20984">
            <w:pPr>
              <w:pStyle w:val="TableText0"/>
              <w:keepNext w:val="0"/>
              <w:widowControl w:val="0"/>
              <w:jc w:val="center"/>
              <w:rPr>
                <w:snapToGrid w:val="0"/>
                <w:lang w:eastAsia="en-US"/>
              </w:rPr>
            </w:pPr>
            <w:r w:rsidRPr="00AD5A27">
              <w:rPr>
                <w:snapToGrid w:val="0"/>
                <w:lang w:eastAsia="en-US"/>
              </w:rPr>
              <w:t>3.0</w:t>
            </w:r>
          </w:p>
        </w:tc>
        <w:tc>
          <w:tcPr>
            <w:tcW w:w="659" w:type="pct"/>
            <w:vMerge/>
            <w:shd w:val="clear" w:color="auto" w:fill="C6D9F1" w:themeFill="text2" w:themeFillTint="33"/>
            <w:vAlign w:val="center"/>
          </w:tcPr>
          <w:p w14:paraId="29FF6763" w14:textId="77777777" w:rsidR="00B20984" w:rsidRPr="00AD5A27" w:rsidRDefault="00B20984">
            <w:pPr>
              <w:pStyle w:val="TableText0"/>
              <w:keepNext w:val="0"/>
              <w:widowControl w:val="0"/>
              <w:jc w:val="center"/>
              <w:rPr>
                <w:snapToGrid w:val="0"/>
                <w:lang w:eastAsia="en-US"/>
              </w:rPr>
            </w:pPr>
          </w:p>
        </w:tc>
        <w:tc>
          <w:tcPr>
            <w:tcW w:w="520" w:type="pct"/>
            <w:vMerge/>
            <w:shd w:val="clear" w:color="auto" w:fill="C6D9F1" w:themeFill="text2" w:themeFillTint="33"/>
            <w:vAlign w:val="center"/>
          </w:tcPr>
          <w:p w14:paraId="462E16D5" w14:textId="77777777" w:rsidR="00B20984" w:rsidRPr="00AD5A27" w:rsidRDefault="00B20984">
            <w:pPr>
              <w:pStyle w:val="TableText0"/>
              <w:keepNext w:val="0"/>
              <w:widowControl w:val="0"/>
              <w:jc w:val="center"/>
              <w:rPr>
                <w:snapToGrid w:val="0"/>
                <w:lang w:eastAsia="en-US"/>
              </w:rPr>
            </w:pPr>
          </w:p>
        </w:tc>
        <w:tc>
          <w:tcPr>
            <w:tcW w:w="1265" w:type="pct"/>
            <w:vMerge/>
            <w:shd w:val="clear" w:color="auto" w:fill="C6D9F1" w:themeFill="text2" w:themeFillTint="33"/>
            <w:vAlign w:val="center"/>
          </w:tcPr>
          <w:p w14:paraId="7C8CC957" w14:textId="77777777" w:rsidR="00B20984" w:rsidRPr="00AD5A27" w:rsidRDefault="00B20984" w:rsidP="001A114D">
            <w:pPr>
              <w:pStyle w:val="TableText0"/>
              <w:keepNext w:val="0"/>
              <w:widowControl w:val="0"/>
              <w:jc w:val="center"/>
              <w:rPr>
                <w:snapToGrid w:val="0"/>
                <w:lang w:eastAsia="en-US"/>
              </w:rPr>
            </w:pPr>
          </w:p>
        </w:tc>
      </w:tr>
      <w:tr w:rsidR="00B20984" w:rsidRPr="00AD5A27" w14:paraId="2A347C53" w14:textId="6D16CF40" w:rsidTr="000E36B9">
        <w:tc>
          <w:tcPr>
            <w:tcW w:w="5000" w:type="pct"/>
            <w:gridSpan w:val="6"/>
            <w:shd w:val="clear" w:color="auto" w:fill="C6D9F1" w:themeFill="text2" w:themeFillTint="33"/>
            <w:vAlign w:val="center"/>
          </w:tcPr>
          <w:p w14:paraId="1F19CE33" w14:textId="3683C6BF" w:rsidR="00B20984" w:rsidRPr="00AD5A27" w:rsidRDefault="00C57F8C" w:rsidP="00C57F8C">
            <w:pPr>
              <w:pStyle w:val="TableText0"/>
              <w:keepNext w:val="0"/>
              <w:widowControl w:val="0"/>
              <w:rPr>
                <w:b/>
                <w:snapToGrid w:val="0"/>
                <w:lang w:eastAsia="en-US"/>
              </w:rPr>
            </w:pPr>
            <w:r w:rsidRPr="00AD5A27">
              <w:rPr>
                <w:b/>
                <w:snapToGrid w:val="0"/>
                <w:lang w:eastAsia="en-US"/>
              </w:rPr>
              <w:t>VISUAL II (duration of follow-up: Until Week 80 or treatment failure)</w:t>
            </w:r>
          </w:p>
        </w:tc>
      </w:tr>
      <w:tr w:rsidR="00B20984" w:rsidRPr="00AD5A27" w14:paraId="77AC6600" w14:textId="78A2E3E4" w:rsidTr="000E36B9">
        <w:tc>
          <w:tcPr>
            <w:tcW w:w="995" w:type="pct"/>
            <w:shd w:val="clear" w:color="auto" w:fill="C6D9F1" w:themeFill="text2" w:themeFillTint="33"/>
            <w:vAlign w:val="center"/>
          </w:tcPr>
          <w:p w14:paraId="3A9233AD" w14:textId="0B5F2764" w:rsidR="00B20984" w:rsidRPr="00AD5A27" w:rsidRDefault="00B20984">
            <w:pPr>
              <w:pStyle w:val="TableText0"/>
              <w:keepNext w:val="0"/>
              <w:widowControl w:val="0"/>
              <w:rPr>
                <w:snapToGrid w:val="0"/>
                <w:lang w:eastAsia="en-US"/>
              </w:rPr>
            </w:pPr>
            <w:r w:rsidRPr="00AD5A27">
              <w:rPr>
                <w:snapToGrid w:val="0"/>
                <w:lang w:eastAsia="en-US"/>
              </w:rPr>
              <w:t>Treatment failure, n/N (%)</w:t>
            </w:r>
          </w:p>
        </w:tc>
        <w:tc>
          <w:tcPr>
            <w:tcW w:w="484" w:type="pct"/>
            <w:shd w:val="clear" w:color="auto" w:fill="C6D9F1" w:themeFill="text2" w:themeFillTint="33"/>
            <w:vAlign w:val="center"/>
          </w:tcPr>
          <w:p w14:paraId="24D1A1BE" w14:textId="77777777" w:rsidR="00B20984" w:rsidRPr="00AD5A27" w:rsidRDefault="00B20984">
            <w:pPr>
              <w:pStyle w:val="TableText0"/>
              <w:keepNext w:val="0"/>
              <w:widowControl w:val="0"/>
              <w:jc w:val="center"/>
              <w:rPr>
                <w:snapToGrid w:val="0"/>
                <w:lang w:eastAsia="en-US"/>
              </w:rPr>
            </w:pPr>
            <w:r w:rsidRPr="00AD5A27">
              <w:rPr>
                <w:snapToGrid w:val="0"/>
                <w:lang w:eastAsia="en-US"/>
              </w:rPr>
              <w:t xml:space="preserve">45/115 </w:t>
            </w:r>
          </w:p>
          <w:p w14:paraId="15D53E2E" w14:textId="4A1EAF17" w:rsidR="00B20984" w:rsidRPr="00AD5A27" w:rsidRDefault="00B20984">
            <w:pPr>
              <w:pStyle w:val="TableText0"/>
              <w:keepNext w:val="0"/>
              <w:widowControl w:val="0"/>
              <w:jc w:val="center"/>
              <w:rPr>
                <w:snapToGrid w:val="0"/>
                <w:lang w:eastAsia="en-US"/>
              </w:rPr>
            </w:pPr>
            <w:r w:rsidRPr="00AD5A27">
              <w:rPr>
                <w:snapToGrid w:val="0"/>
                <w:lang w:eastAsia="en-US"/>
              </w:rPr>
              <w:t>(39.1%)</w:t>
            </w:r>
          </w:p>
        </w:tc>
        <w:tc>
          <w:tcPr>
            <w:tcW w:w="1077" w:type="pct"/>
            <w:shd w:val="clear" w:color="auto" w:fill="C6D9F1" w:themeFill="text2" w:themeFillTint="33"/>
            <w:vAlign w:val="center"/>
          </w:tcPr>
          <w:p w14:paraId="44833CFA" w14:textId="77777777" w:rsidR="00B20984" w:rsidRPr="00AD5A27" w:rsidRDefault="00B20984">
            <w:pPr>
              <w:pStyle w:val="TableText0"/>
              <w:keepNext w:val="0"/>
              <w:widowControl w:val="0"/>
              <w:jc w:val="center"/>
              <w:rPr>
                <w:snapToGrid w:val="0"/>
                <w:lang w:eastAsia="en-US"/>
              </w:rPr>
            </w:pPr>
            <w:r w:rsidRPr="00AD5A27">
              <w:rPr>
                <w:snapToGrid w:val="0"/>
                <w:lang w:eastAsia="en-US"/>
              </w:rPr>
              <w:t xml:space="preserve">61/111 </w:t>
            </w:r>
          </w:p>
          <w:p w14:paraId="30BF2562" w14:textId="4EC5ED1F" w:rsidR="00B20984" w:rsidRPr="00AD5A27" w:rsidRDefault="00B20984">
            <w:pPr>
              <w:pStyle w:val="TableText0"/>
              <w:keepNext w:val="0"/>
              <w:widowControl w:val="0"/>
              <w:jc w:val="center"/>
              <w:rPr>
                <w:snapToGrid w:val="0"/>
                <w:lang w:eastAsia="en-US"/>
              </w:rPr>
            </w:pPr>
            <w:r w:rsidRPr="00AD5A27">
              <w:rPr>
                <w:snapToGrid w:val="0"/>
                <w:lang w:eastAsia="en-US"/>
              </w:rPr>
              <w:t>(55.0%)</w:t>
            </w:r>
          </w:p>
        </w:tc>
        <w:tc>
          <w:tcPr>
            <w:tcW w:w="659" w:type="pct"/>
            <w:vMerge w:val="restart"/>
            <w:shd w:val="clear" w:color="auto" w:fill="C6D9F1" w:themeFill="text2" w:themeFillTint="33"/>
            <w:vAlign w:val="center"/>
          </w:tcPr>
          <w:p w14:paraId="3009DCB2" w14:textId="77777777" w:rsidR="00B20984" w:rsidRPr="00AD5A27" w:rsidRDefault="00B20984">
            <w:pPr>
              <w:pStyle w:val="TableText0"/>
              <w:keepNext w:val="0"/>
              <w:widowControl w:val="0"/>
              <w:jc w:val="center"/>
              <w:rPr>
                <w:snapToGrid w:val="0"/>
                <w:lang w:eastAsia="en-US"/>
              </w:rPr>
            </w:pPr>
            <w:r w:rsidRPr="00AD5A27">
              <w:rPr>
                <w:snapToGrid w:val="0"/>
                <w:lang w:eastAsia="en-US"/>
              </w:rPr>
              <w:t>-</w:t>
            </w:r>
          </w:p>
        </w:tc>
        <w:tc>
          <w:tcPr>
            <w:tcW w:w="520" w:type="pct"/>
            <w:vMerge w:val="restart"/>
            <w:shd w:val="clear" w:color="auto" w:fill="C6D9F1" w:themeFill="text2" w:themeFillTint="33"/>
            <w:vAlign w:val="center"/>
          </w:tcPr>
          <w:p w14:paraId="37C2AD6D" w14:textId="77777777" w:rsidR="00F84BD2" w:rsidRPr="00AD5A27" w:rsidRDefault="00B20984">
            <w:pPr>
              <w:pStyle w:val="TableText0"/>
              <w:keepNext w:val="0"/>
              <w:widowControl w:val="0"/>
              <w:jc w:val="center"/>
              <w:rPr>
                <w:b/>
                <w:bCs w:val="0"/>
                <w:snapToGrid w:val="0"/>
                <w:lang w:eastAsia="en-US"/>
              </w:rPr>
            </w:pPr>
            <w:r w:rsidRPr="00AD5A27">
              <w:rPr>
                <w:b/>
                <w:bCs w:val="0"/>
                <w:snapToGrid w:val="0"/>
                <w:lang w:eastAsia="en-US"/>
              </w:rPr>
              <w:t xml:space="preserve">0.57 </w:t>
            </w:r>
          </w:p>
          <w:p w14:paraId="05646612" w14:textId="17411B58" w:rsidR="00B20984" w:rsidRPr="00AD5A27" w:rsidRDefault="00B20984">
            <w:pPr>
              <w:pStyle w:val="TableText0"/>
              <w:keepNext w:val="0"/>
              <w:widowControl w:val="0"/>
              <w:jc w:val="center"/>
              <w:rPr>
                <w:b/>
                <w:bCs w:val="0"/>
                <w:snapToGrid w:val="0"/>
                <w:lang w:eastAsia="en-US"/>
              </w:rPr>
            </w:pPr>
            <w:r w:rsidRPr="00AD5A27">
              <w:rPr>
                <w:b/>
                <w:bCs w:val="0"/>
                <w:snapToGrid w:val="0"/>
                <w:lang w:eastAsia="en-US"/>
              </w:rPr>
              <w:t>(0.39, 0.84)</w:t>
            </w:r>
          </w:p>
        </w:tc>
        <w:tc>
          <w:tcPr>
            <w:tcW w:w="1265" w:type="pct"/>
            <w:vMerge w:val="restart"/>
            <w:shd w:val="clear" w:color="auto" w:fill="C6D9F1" w:themeFill="text2" w:themeFillTint="33"/>
            <w:vAlign w:val="center"/>
          </w:tcPr>
          <w:p w14:paraId="1C0DA40E" w14:textId="717765AE" w:rsidR="00B20984" w:rsidRPr="00AD5A27" w:rsidRDefault="001A114D" w:rsidP="001A114D">
            <w:pPr>
              <w:pStyle w:val="TableText0"/>
              <w:keepNext w:val="0"/>
              <w:widowControl w:val="0"/>
              <w:jc w:val="center"/>
              <w:rPr>
                <w:b/>
                <w:bCs w:val="0"/>
                <w:snapToGrid w:val="0"/>
                <w:lang w:eastAsia="en-US"/>
              </w:rPr>
            </w:pPr>
            <w:r w:rsidRPr="00AD5A27">
              <w:rPr>
                <w:b/>
                <w:bCs w:val="0"/>
                <w:snapToGrid w:val="0"/>
                <w:lang w:eastAsia="en-US"/>
              </w:rPr>
              <w:t>NA</w:t>
            </w:r>
          </w:p>
        </w:tc>
      </w:tr>
      <w:tr w:rsidR="00B20984" w:rsidRPr="00AD5A27" w14:paraId="0E7A1720" w14:textId="2B38EF04" w:rsidTr="000E36B9">
        <w:tc>
          <w:tcPr>
            <w:tcW w:w="995" w:type="pct"/>
            <w:shd w:val="clear" w:color="auto" w:fill="C6D9F1" w:themeFill="text2" w:themeFillTint="33"/>
            <w:vAlign w:val="center"/>
          </w:tcPr>
          <w:p w14:paraId="2BD2074F" w14:textId="672F5FAB" w:rsidR="00B20984" w:rsidRPr="00AD5A27" w:rsidRDefault="00B20984">
            <w:pPr>
              <w:pStyle w:val="TableText0"/>
              <w:keepNext w:val="0"/>
              <w:widowControl w:val="0"/>
              <w:rPr>
                <w:snapToGrid w:val="0"/>
                <w:lang w:eastAsia="en-US"/>
              </w:rPr>
            </w:pPr>
            <w:r w:rsidRPr="00AD5A27">
              <w:rPr>
                <w:snapToGrid w:val="0"/>
                <w:lang w:eastAsia="en-US"/>
              </w:rPr>
              <w:t>Median time to treatment failure</w:t>
            </w:r>
            <w:r w:rsidR="001919CF" w:rsidRPr="00AD5A27">
              <w:rPr>
                <w:snapToGrid w:val="0"/>
                <w:lang w:eastAsia="en-US"/>
              </w:rPr>
              <w:t>,</w:t>
            </w:r>
            <w:r w:rsidRPr="00AD5A27">
              <w:rPr>
                <w:snapToGrid w:val="0"/>
                <w:lang w:eastAsia="en-US"/>
              </w:rPr>
              <w:t xml:space="preserve"> months</w:t>
            </w:r>
          </w:p>
        </w:tc>
        <w:tc>
          <w:tcPr>
            <w:tcW w:w="484" w:type="pct"/>
            <w:shd w:val="clear" w:color="auto" w:fill="C6D9F1" w:themeFill="text2" w:themeFillTint="33"/>
            <w:vAlign w:val="center"/>
          </w:tcPr>
          <w:p w14:paraId="336F3E89" w14:textId="77777777" w:rsidR="00B20984" w:rsidRPr="00AD5A27" w:rsidRDefault="00B20984">
            <w:pPr>
              <w:pStyle w:val="TableText0"/>
              <w:keepNext w:val="0"/>
              <w:widowControl w:val="0"/>
              <w:jc w:val="center"/>
              <w:rPr>
                <w:snapToGrid w:val="0"/>
                <w:lang w:eastAsia="en-US"/>
              </w:rPr>
            </w:pPr>
            <w:r w:rsidRPr="00AD5A27">
              <w:rPr>
                <w:snapToGrid w:val="0"/>
                <w:lang w:eastAsia="en-US"/>
              </w:rPr>
              <w:t>NE</w:t>
            </w:r>
          </w:p>
        </w:tc>
        <w:tc>
          <w:tcPr>
            <w:tcW w:w="1077" w:type="pct"/>
            <w:shd w:val="clear" w:color="auto" w:fill="C6D9F1" w:themeFill="text2" w:themeFillTint="33"/>
            <w:vAlign w:val="center"/>
          </w:tcPr>
          <w:p w14:paraId="4DBEE9A2" w14:textId="77777777" w:rsidR="00B20984" w:rsidRPr="00AD5A27" w:rsidRDefault="00B20984">
            <w:pPr>
              <w:pStyle w:val="TableText0"/>
              <w:keepNext w:val="0"/>
              <w:widowControl w:val="0"/>
              <w:jc w:val="center"/>
              <w:rPr>
                <w:snapToGrid w:val="0"/>
                <w:lang w:eastAsia="en-US"/>
              </w:rPr>
            </w:pPr>
            <w:r w:rsidRPr="00AD5A27">
              <w:rPr>
                <w:snapToGrid w:val="0"/>
                <w:lang w:eastAsia="en-US"/>
              </w:rPr>
              <w:t>8.3</w:t>
            </w:r>
          </w:p>
        </w:tc>
        <w:tc>
          <w:tcPr>
            <w:tcW w:w="659" w:type="pct"/>
            <w:vMerge/>
            <w:shd w:val="clear" w:color="auto" w:fill="C6D9F1" w:themeFill="text2" w:themeFillTint="33"/>
            <w:vAlign w:val="center"/>
          </w:tcPr>
          <w:p w14:paraId="3015B9DA" w14:textId="77777777" w:rsidR="00B20984" w:rsidRPr="00AD5A27" w:rsidRDefault="00B20984">
            <w:pPr>
              <w:pStyle w:val="TableText0"/>
              <w:keepNext w:val="0"/>
              <w:widowControl w:val="0"/>
              <w:jc w:val="center"/>
              <w:rPr>
                <w:snapToGrid w:val="0"/>
                <w:lang w:eastAsia="en-US"/>
              </w:rPr>
            </w:pPr>
          </w:p>
        </w:tc>
        <w:tc>
          <w:tcPr>
            <w:tcW w:w="520" w:type="pct"/>
            <w:vMerge/>
            <w:shd w:val="clear" w:color="auto" w:fill="C6D9F1" w:themeFill="text2" w:themeFillTint="33"/>
            <w:vAlign w:val="center"/>
          </w:tcPr>
          <w:p w14:paraId="4C87BD68" w14:textId="77777777" w:rsidR="00B20984" w:rsidRPr="00AD5A27" w:rsidRDefault="00B20984">
            <w:pPr>
              <w:pStyle w:val="TableText0"/>
              <w:keepNext w:val="0"/>
              <w:widowControl w:val="0"/>
              <w:jc w:val="center"/>
              <w:rPr>
                <w:snapToGrid w:val="0"/>
                <w:lang w:eastAsia="en-US"/>
              </w:rPr>
            </w:pPr>
          </w:p>
        </w:tc>
        <w:tc>
          <w:tcPr>
            <w:tcW w:w="1265" w:type="pct"/>
            <w:vMerge/>
            <w:shd w:val="clear" w:color="auto" w:fill="C6D9F1" w:themeFill="text2" w:themeFillTint="33"/>
          </w:tcPr>
          <w:p w14:paraId="42362699" w14:textId="77777777" w:rsidR="00B20984" w:rsidRPr="00AD5A27" w:rsidRDefault="00B20984">
            <w:pPr>
              <w:pStyle w:val="TableText0"/>
              <w:keepNext w:val="0"/>
              <w:widowControl w:val="0"/>
              <w:jc w:val="center"/>
              <w:rPr>
                <w:snapToGrid w:val="0"/>
                <w:lang w:eastAsia="en-US"/>
              </w:rPr>
            </w:pPr>
          </w:p>
        </w:tc>
      </w:tr>
      <w:tr w:rsidR="00B20984" w:rsidRPr="00AD5A27" w14:paraId="33FFFEE7" w14:textId="08DFAD4C" w:rsidTr="000E36B9">
        <w:tc>
          <w:tcPr>
            <w:tcW w:w="5000" w:type="pct"/>
            <w:gridSpan w:val="6"/>
            <w:shd w:val="clear" w:color="auto" w:fill="auto"/>
            <w:vAlign w:val="center"/>
          </w:tcPr>
          <w:p w14:paraId="080801D9" w14:textId="169EE2BA" w:rsidR="00B20984" w:rsidRPr="00AD5A27" w:rsidRDefault="00C57F8C">
            <w:pPr>
              <w:pStyle w:val="TableText0"/>
              <w:keepNext w:val="0"/>
              <w:widowControl w:val="0"/>
              <w:rPr>
                <w:b/>
                <w:snapToGrid w:val="0"/>
                <w:lang w:eastAsia="en-US"/>
              </w:rPr>
            </w:pPr>
            <w:r w:rsidRPr="00AD5A27">
              <w:rPr>
                <w:b/>
                <w:snapToGrid w:val="0"/>
                <w:lang w:eastAsia="en-US"/>
              </w:rPr>
              <w:t>Pooled results from VISUAL I and VISUAL II</w:t>
            </w:r>
          </w:p>
        </w:tc>
      </w:tr>
      <w:tr w:rsidR="00B20984" w:rsidRPr="00AD5A27" w14:paraId="3F05B75F" w14:textId="29AE5C16" w:rsidTr="000E36B9">
        <w:tc>
          <w:tcPr>
            <w:tcW w:w="995" w:type="pct"/>
            <w:shd w:val="clear" w:color="auto" w:fill="auto"/>
            <w:vAlign w:val="center"/>
          </w:tcPr>
          <w:p w14:paraId="7EE2AAB9" w14:textId="77777777" w:rsidR="00B20984" w:rsidRPr="00AD5A27" w:rsidRDefault="00B20984">
            <w:pPr>
              <w:pStyle w:val="TableText0"/>
              <w:keepNext w:val="0"/>
              <w:widowControl w:val="0"/>
              <w:rPr>
                <w:snapToGrid w:val="0"/>
                <w:lang w:eastAsia="en-US"/>
              </w:rPr>
            </w:pPr>
            <w:r w:rsidRPr="00AD5A27">
              <w:t>Treatment failure</w:t>
            </w:r>
          </w:p>
        </w:tc>
        <w:tc>
          <w:tcPr>
            <w:tcW w:w="484" w:type="pct"/>
            <w:vAlign w:val="center"/>
          </w:tcPr>
          <w:p w14:paraId="58BC6DFF" w14:textId="77777777" w:rsidR="00B20984" w:rsidRPr="00AD5A27" w:rsidRDefault="00B20984">
            <w:pPr>
              <w:pStyle w:val="TableText0"/>
              <w:keepNext w:val="0"/>
              <w:widowControl w:val="0"/>
              <w:jc w:val="center"/>
            </w:pPr>
            <w:r w:rsidRPr="00AD5A27">
              <w:t>105/225 (46.67%)</w:t>
            </w:r>
          </w:p>
        </w:tc>
        <w:tc>
          <w:tcPr>
            <w:tcW w:w="1077" w:type="pct"/>
            <w:vAlign w:val="center"/>
          </w:tcPr>
          <w:p w14:paraId="4FD4B3F7" w14:textId="04BB4E96" w:rsidR="00B20984" w:rsidRPr="00AD5A27" w:rsidRDefault="00B20984">
            <w:pPr>
              <w:pStyle w:val="TableText0"/>
              <w:keepNext w:val="0"/>
              <w:widowControl w:val="0"/>
              <w:jc w:val="center"/>
            </w:pPr>
            <w:r w:rsidRPr="00AD5A27">
              <w:t>145/218 (66.51%)</w:t>
            </w:r>
          </w:p>
        </w:tc>
        <w:tc>
          <w:tcPr>
            <w:tcW w:w="659" w:type="pct"/>
            <w:vAlign w:val="center"/>
          </w:tcPr>
          <w:p w14:paraId="2E08ECE3" w14:textId="77777777" w:rsidR="00B20984" w:rsidRPr="00AD5A27" w:rsidRDefault="00B20984">
            <w:pPr>
              <w:pStyle w:val="TableText0"/>
              <w:keepNext w:val="0"/>
              <w:widowControl w:val="0"/>
              <w:jc w:val="center"/>
              <w:rPr>
                <w:bCs w:val="0"/>
                <w:snapToGrid w:val="0"/>
                <w:lang w:eastAsia="en-US"/>
              </w:rPr>
            </w:pPr>
            <w:r w:rsidRPr="00AD5A27">
              <w:rPr>
                <w:bCs w:val="0"/>
                <w:snapToGrid w:val="0"/>
                <w:lang w:eastAsia="en-US"/>
              </w:rPr>
              <w:t>-</w:t>
            </w:r>
          </w:p>
        </w:tc>
        <w:tc>
          <w:tcPr>
            <w:tcW w:w="520" w:type="pct"/>
            <w:vAlign w:val="center"/>
          </w:tcPr>
          <w:p w14:paraId="5C111BB5" w14:textId="77777777" w:rsidR="00F84BD2" w:rsidRPr="00AD5A27" w:rsidRDefault="00B20984">
            <w:pPr>
              <w:pStyle w:val="TableText0"/>
              <w:keepNext w:val="0"/>
              <w:widowControl w:val="0"/>
              <w:jc w:val="center"/>
              <w:rPr>
                <w:b/>
                <w:snapToGrid w:val="0"/>
                <w:lang w:eastAsia="en-US"/>
              </w:rPr>
            </w:pPr>
            <w:r w:rsidRPr="00AD5A27">
              <w:rPr>
                <w:b/>
                <w:snapToGrid w:val="0"/>
                <w:lang w:eastAsia="en-US"/>
              </w:rPr>
              <w:t xml:space="preserve">0.53 </w:t>
            </w:r>
          </w:p>
          <w:p w14:paraId="2774985C" w14:textId="4283F9C0" w:rsidR="00B20984" w:rsidRPr="00AD5A27" w:rsidRDefault="00B20984">
            <w:pPr>
              <w:pStyle w:val="TableText0"/>
              <w:keepNext w:val="0"/>
              <w:widowControl w:val="0"/>
              <w:jc w:val="center"/>
              <w:rPr>
                <w:b/>
                <w:snapToGrid w:val="0"/>
                <w:lang w:eastAsia="en-US"/>
              </w:rPr>
            </w:pPr>
            <w:r w:rsidRPr="00AD5A27">
              <w:rPr>
                <w:b/>
                <w:snapToGrid w:val="0"/>
                <w:lang w:eastAsia="en-US"/>
              </w:rPr>
              <w:t>(0.41, 0.68)</w:t>
            </w:r>
          </w:p>
        </w:tc>
        <w:tc>
          <w:tcPr>
            <w:tcW w:w="1265" w:type="pct"/>
          </w:tcPr>
          <w:p w14:paraId="210F8D1D" w14:textId="77777777" w:rsidR="00B20984" w:rsidRPr="00AD5A27" w:rsidRDefault="00B20984">
            <w:pPr>
              <w:pStyle w:val="TableText0"/>
              <w:keepNext w:val="0"/>
              <w:widowControl w:val="0"/>
              <w:jc w:val="center"/>
              <w:rPr>
                <w:b/>
                <w:snapToGrid w:val="0"/>
                <w:lang w:eastAsia="en-US"/>
              </w:rPr>
            </w:pPr>
          </w:p>
        </w:tc>
      </w:tr>
      <w:tr w:rsidR="00B20984" w:rsidRPr="00AD5A27" w14:paraId="3E4048BC" w14:textId="0430C024" w:rsidTr="000E36B9">
        <w:tc>
          <w:tcPr>
            <w:tcW w:w="995" w:type="pct"/>
            <w:vMerge w:val="restart"/>
            <w:shd w:val="clear" w:color="auto" w:fill="C6D9F1" w:themeFill="text2" w:themeFillTint="33"/>
            <w:vAlign w:val="center"/>
          </w:tcPr>
          <w:p w14:paraId="595888F5" w14:textId="77777777" w:rsidR="00B20984" w:rsidRPr="00AD5A27" w:rsidRDefault="00B20984">
            <w:pPr>
              <w:pStyle w:val="TableText0"/>
              <w:keepNext w:val="0"/>
              <w:widowControl w:val="0"/>
              <w:rPr>
                <w:b/>
                <w:snapToGrid w:val="0"/>
                <w:lang w:eastAsia="en-US"/>
              </w:rPr>
            </w:pPr>
            <w:r w:rsidRPr="00AD5A27">
              <w:rPr>
                <w:b/>
                <w:snapToGrid w:val="0"/>
                <w:lang w:eastAsia="en-US"/>
              </w:rPr>
              <w:t>Harms</w:t>
            </w:r>
          </w:p>
        </w:tc>
        <w:tc>
          <w:tcPr>
            <w:tcW w:w="484" w:type="pct"/>
            <w:vMerge w:val="restart"/>
            <w:shd w:val="clear" w:color="auto" w:fill="C6D9F1" w:themeFill="text2" w:themeFillTint="33"/>
            <w:vAlign w:val="center"/>
          </w:tcPr>
          <w:p w14:paraId="348B09DA" w14:textId="77777777" w:rsidR="00B20984" w:rsidRPr="00AD5A27" w:rsidRDefault="00B20984">
            <w:pPr>
              <w:pStyle w:val="TableText0"/>
              <w:keepNext w:val="0"/>
              <w:widowControl w:val="0"/>
              <w:jc w:val="center"/>
              <w:rPr>
                <w:b/>
                <w:snapToGrid w:val="0"/>
                <w:lang w:eastAsia="en-US"/>
              </w:rPr>
            </w:pPr>
            <w:r w:rsidRPr="00AD5A27">
              <w:rPr>
                <w:b/>
                <w:snapToGrid w:val="0"/>
                <w:lang w:eastAsia="en-US"/>
              </w:rPr>
              <w:t>ADA</w:t>
            </w:r>
          </w:p>
          <w:p w14:paraId="5505CAC8" w14:textId="77777777" w:rsidR="00B20984" w:rsidRPr="00AD5A27" w:rsidRDefault="00B20984">
            <w:pPr>
              <w:pStyle w:val="TableText0"/>
              <w:keepNext w:val="0"/>
              <w:widowControl w:val="0"/>
              <w:jc w:val="center"/>
              <w:rPr>
                <w:b/>
                <w:snapToGrid w:val="0"/>
                <w:lang w:eastAsia="en-US"/>
              </w:rPr>
            </w:pPr>
            <w:r w:rsidRPr="00AD5A27">
              <w:rPr>
                <w:b/>
                <w:snapToGrid w:val="0"/>
                <w:lang w:eastAsia="en-US"/>
              </w:rPr>
              <w:t>n/N</w:t>
            </w:r>
          </w:p>
        </w:tc>
        <w:tc>
          <w:tcPr>
            <w:tcW w:w="1077" w:type="pct"/>
            <w:vMerge w:val="restart"/>
            <w:shd w:val="clear" w:color="auto" w:fill="C6D9F1" w:themeFill="text2" w:themeFillTint="33"/>
            <w:vAlign w:val="center"/>
          </w:tcPr>
          <w:p w14:paraId="5A414BA6" w14:textId="77777777" w:rsidR="00B20984" w:rsidRPr="00AD5A27" w:rsidRDefault="00B20984">
            <w:pPr>
              <w:pStyle w:val="TableText0"/>
              <w:keepNext w:val="0"/>
              <w:widowControl w:val="0"/>
              <w:jc w:val="center"/>
              <w:rPr>
                <w:b/>
                <w:snapToGrid w:val="0"/>
                <w:lang w:eastAsia="en-US"/>
              </w:rPr>
            </w:pPr>
            <w:r w:rsidRPr="00AD5A27">
              <w:rPr>
                <w:b/>
                <w:snapToGrid w:val="0"/>
                <w:lang w:eastAsia="en-US"/>
              </w:rPr>
              <w:t>PBO</w:t>
            </w:r>
          </w:p>
          <w:p w14:paraId="15FFF5DA" w14:textId="77777777" w:rsidR="00B20984" w:rsidRPr="00AD5A27" w:rsidRDefault="00B20984">
            <w:pPr>
              <w:pStyle w:val="TableText0"/>
              <w:keepNext w:val="0"/>
              <w:widowControl w:val="0"/>
              <w:jc w:val="center"/>
              <w:rPr>
                <w:b/>
                <w:snapToGrid w:val="0"/>
                <w:lang w:eastAsia="en-US"/>
              </w:rPr>
            </w:pPr>
            <w:r w:rsidRPr="00AD5A27">
              <w:rPr>
                <w:b/>
                <w:snapToGrid w:val="0"/>
                <w:lang w:eastAsia="en-US"/>
              </w:rPr>
              <w:t>n/N</w:t>
            </w:r>
          </w:p>
        </w:tc>
        <w:tc>
          <w:tcPr>
            <w:tcW w:w="1179" w:type="pct"/>
            <w:gridSpan w:val="2"/>
            <w:shd w:val="clear" w:color="auto" w:fill="C6D9F1" w:themeFill="text2" w:themeFillTint="33"/>
            <w:vAlign w:val="center"/>
          </w:tcPr>
          <w:p w14:paraId="178757CE" w14:textId="77777777" w:rsidR="00B20984" w:rsidRPr="00AD5A27" w:rsidRDefault="00B20984">
            <w:pPr>
              <w:pStyle w:val="TableText0"/>
              <w:keepNext w:val="0"/>
              <w:widowControl w:val="0"/>
              <w:jc w:val="center"/>
              <w:rPr>
                <w:b/>
                <w:snapToGrid w:val="0"/>
                <w:lang w:eastAsia="en-US"/>
              </w:rPr>
            </w:pPr>
            <w:r w:rsidRPr="00AD5A27">
              <w:rPr>
                <w:b/>
                <w:bCs w:val="0"/>
                <w:snapToGrid w:val="0"/>
                <w:lang w:eastAsia="en-US"/>
              </w:rPr>
              <w:t xml:space="preserve">Event rate per 100 patient </w:t>
            </w:r>
            <w:r w:rsidRPr="00AD5A27">
              <w:rPr>
                <w:b/>
                <w:snapToGrid w:val="0"/>
                <w:lang w:eastAsia="en-US"/>
              </w:rPr>
              <w:t>years</w:t>
            </w:r>
            <w:r w:rsidRPr="00AD5A27">
              <w:rPr>
                <w:b/>
                <w:snapToGrid w:val="0"/>
                <w:vertAlign w:val="superscript"/>
                <w:lang w:eastAsia="en-US"/>
              </w:rPr>
              <w:t>a</w:t>
            </w:r>
          </w:p>
        </w:tc>
        <w:tc>
          <w:tcPr>
            <w:tcW w:w="1265" w:type="pct"/>
            <w:shd w:val="clear" w:color="auto" w:fill="C6D9F1" w:themeFill="text2" w:themeFillTint="33"/>
          </w:tcPr>
          <w:p w14:paraId="5D47D016" w14:textId="77777777" w:rsidR="00B20984" w:rsidRPr="00AD5A27" w:rsidRDefault="00B20984">
            <w:pPr>
              <w:pStyle w:val="TableText0"/>
              <w:keepNext w:val="0"/>
              <w:widowControl w:val="0"/>
              <w:jc w:val="center"/>
              <w:rPr>
                <w:b/>
                <w:bCs w:val="0"/>
                <w:snapToGrid w:val="0"/>
                <w:lang w:eastAsia="en-US"/>
              </w:rPr>
            </w:pPr>
          </w:p>
        </w:tc>
      </w:tr>
      <w:tr w:rsidR="00B20984" w:rsidRPr="00AD5A27" w14:paraId="27233918" w14:textId="3C1EC44C" w:rsidTr="000E36B9">
        <w:tc>
          <w:tcPr>
            <w:tcW w:w="995" w:type="pct"/>
            <w:vMerge/>
            <w:shd w:val="clear" w:color="auto" w:fill="C6D9F1" w:themeFill="text2" w:themeFillTint="33"/>
            <w:vAlign w:val="center"/>
          </w:tcPr>
          <w:p w14:paraId="43333867" w14:textId="77777777" w:rsidR="00B20984" w:rsidRPr="00AD5A27" w:rsidRDefault="00B20984">
            <w:pPr>
              <w:pStyle w:val="TableText0"/>
              <w:keepNext w:val="0"/>
              <w:widowControl w:val="0"/>
              <w:rPr>
                <w:b/>
                <w:snapToGrid w:val="0"/>
                <w:lang w:eastAsia="en-US"/>
              </w:rPr>
            </w:pPr>
          </w:p>
        </w:tc>
        <w:tc>
          <w:tcPr>
            <w:tcW w:w="484" w:type="pct"/>
            <w:vMerge/>
            <w:shd w:val="clear" w:color="auto" w:fill="C6D9F1" w:themeFill="text2" w:themeFillTint="33"/>
            <w:vAlign w:val="center"/>
          </w:tcPr>
          <w:p w14:paraId="1F0794AC" w14:textId="77777777" w:rsidR="00B20984" w:rsidRPr="00AD5A27" w:rsidRDefault="00B20984">
            <w:pPr>
              <w:pStyle w:val="TableText0"/>
              <w:keepNext w:val="0"/>
              <w:widowControl w:val="0"/>
              <w:jc w:val="center"/>
              <w:rPr>
                <w:b/>
                <w:snapToGrid w:val="0"/>
                <w:lang w:eastAsia="en-US"/>
              </w:rPr>
            </w:pPr>
          </w:p>
        </w:tc>
        <w:tc>
          <w:tcPr>
            <w:tcW w:w="1077" w:type="pct"/>
            <w:vMerge/>
            <w:shd w:val="clear" w:color="auto" w:fill="C6D9F1" w:themeFill="text2" w:themeFillTint="33"/>
            <w:vAlign w:val="center"/>
          </w:tcPr>
          <w:p w14:paraId="00DF4861" w14:textId="77777777" w:rsidR="00B20984" w:rsidRPr="00AD5A27" w:rsidRDefault="00B20984">
            <w:pPr>
              <w:pStyle w:val="TableText0"/>
              <w:keepNext w:val="0"/>
              <w:widowControl w:val="0"/>
              <w:jc w:val="center"/>
              <w:rPr>
                <w:b/>
                <w:snapToGrid w:val="0"/>
                <w:lang w:eastAsia="en-US"/>
              </w:rPr>
            </w:pPr>
          </w:p>
        </w:tc>
        <w:tc>
          <w:tcPr>
            <w:tcW w:w="659" w:type="pct"/>
            <w:shd w:val="clear" w:color="auto" w:fill="C6D9F1" w:themeFill="text2" w:themeFillTint="33"/>
            <w:vAlign w:val="center"/>
          </w:tcPr>
          <w:p w14:paraId="10E86611" w14:textId="77777777" w:rsidR="00B20984" w:rsidRPr="00AD5A27" w:rsidRDefault="00B20984">
            <w:pPr>
              <w:pStyle w:val="TableText0"/>
              <w:keepNext w:val="0"/>
              <w:widowControl w:val="0"/>
              <w:jc w:val="center"/>
              <w:rPr>
                <w:b/>
                <w:snapToGrid w:val="0"/>
                <w:lang w:eastAsia="en-US"/>
              </w:rPr>
            </w:pPr>
            <w:r w:rsidRPr="00AD5A27">
              <w:rPr>
                <w:b/>
                <w:snapToGrid w:val="0"/>
                <w:lang w:eastAsia="en-US"/>
              </w:rPr>
              <w:t>Adalimumab</w:t>
            </w:r>
          </w:p>
        </w:tc>
        <w:tc>
          <w:tcPr>
            <w:tcW w:w="520" w:type="pct"/>
            <w:shd w:val="clear" w:color="auto" w:fill="C6D9F1" w:themeFill="text2" w:themeFillTint="33"/>
            <w:vAlign w:val="center"/>
          </w:tcPr>
          <w:p w14:paraId="3EA04FD3" w14:textId="77777777" w:rsidR="00B20984" w:rsidRPr="00AD5A27" w:rsidRDefault="00B20984">
            <w:pPr>
              <w:pStyle w:val="TableText0"/>
              <w:keepNext w:val="0"/>
              <w:widowControl w:val="0"/>
              <w:jc w:val="center"/>
              <w:rPr>
                <w:b/>
                <w:snapToGrid w:val="0"/>
                <w:lang w:eastAsia="en-US"/>
              </w:rPr>
            </w:pPr>
            <w:r w:rsidRPr="00AD5A27">
              <w:rPr>
                <w:b/>
                <w:snapToGrid w:val="0"/>
                <w:lang w:eastAsia="en-US"/>
              </w:rPr>
              <w:t>Placebo</w:t>
            </w:r>
          </w:p>
        </w:tc>
        <w:tc>
          <w:tcPr>
            <w:tcW w:w="1265" w:type="pct"/>
            <w:shd w:val="clear" w:color="auto" w:fill="C6D9F1" w:themeFill="text2" w:themeFillTint="33"/>
          </w:tcPr>
          <w:p w14:paraId="035D6889" w14:textId="77777777" w:rsidR="00B20984" w:rsidRPr="00AD5A27" w:rsidRDefault="00B20984">
            <w:pPr>
              <w:pStyle w:val="TableText0"/>
              <w:keepNext w:val="0"/>
              <w:widowControl w:val="0"/>
              <w:jc w:val="center"/>
              <w:rPr>
                <w:b/>
                <w:snapToGrid w:val="0"/>
                <w:lang w:eastAsia="en-US"/>
              </w:rPr>
            </w:pPr>
          </w:p>
        </w:tc>
      </w:tr>
      <w:tr w:rsidR="00B20984" w:rsidRPr="00AD5A27" w14:paraId="79780509" w14:textId="44F202B8" w:rsidTr="000E36B9">
        <w:tc>
          <w:tcPr>
            <w:tcW w:w="995" w:type="pct"/>
            <w:shd w:val="clear" w:color="auto" w:fill="C6D9F1" w:themeFill="text2" w:themeFillTint="33"/>
            <w:vAlign w:val="center"/>
          </w:tcPr>
          <w:p w14:paraId="0D520B03" w14:textId="77777777" w:rsidR="00B20984" w:rsidRPr="00AD5A27" w:rsidRDefault="00B20984">
            <w:pPr>
              <w:pStyle w:val="TableText0"/>
              <w:keepNext w:val="0"/>
              <w:widowControl w:val="0"/>
              <w:rPr>
                <w:snapToGrid w:val="0"/>
                <w:lang w:eastAsia="en-US"/>
              </w:rPr>
            </w:pPr>
            <w:r w:rsidRPr="00AD5A27">
              <w:rPr>
                <w:snapToGrid w:val="0"/>
                <w:lang w:eastAsia="en-US"/>
              </w:rPr>
              <w:t>Any infection</w:t>
            </w:r>
          </w:p>
        </w:tc>
        <w:tc>
          <w:tcPr>
            <w:tcW w:w="484" w:type="pct"/>
            <w:shd w:val="clear" w:color="auto" w:fill="C6D9F1" w:themeFill="text2" w:themeFillTint="33"/>
            <w:vAlign w:val="center"/>
          </w:tcPr>
          <w:p w14:paraId="1F7D3BE6" w14:textId="77777777" w:rsidR="00B20984" w:rsidRPr="00AD5A27" w:rsidRDefault="00B20984">
            <w:pPr>
              <w:pStyle w:val="TableText0"/>
              <w:keepNext w:val="0"/>
              <w:widowControl w:val="0"/>
              <w:jc w:val="center"/>
              <w:rPr>
                <w:snapToGrid w:val="0"/>
                <w:lang w:eastAsia="en-US"/>
              </w:rPr>
            </w:pPr>
            <w:r w:rsidRPr="00AD5A27">
              <w:rPr>
                <w:snapToGrid w:val="0"/>
                <w:lang w:eastAsia="en-US"/>
              </w:rPr>
              <w:t>112/226</w:t>
            </w:r>
          </w:p>
        </w:tc>
        <w:tc>
          <w:tcPr>
            <w:tcW w:w="1077" w:type="pct"/>
            <w:shd w:val="clear" w:color="auto" w:fill="C6D9F1" w:themeFill="text2" w:themeFillTint="33"/>
            <w:vAlign w:val="center"/>
          </w:tcPr>
          <w:p w14:paraId="226F96D0" w14:textId="77777777" w:rsidR="00B20984" w:rsidRPr="00AD5A27" w:rsidRDefault="00B20984">
            <w:pPr>
              <w:pStyle w:val="TableText0"/>
              <w:keepNext w:val="0"/>
              <w:widowControl w:val="0"/>
              <w:jc w:val="center"/>
              <w:rPr>
                <w:snapToGrid w:val="0"/>
                <w:lang w:eastAsia="en-US"/>
              </w:rPr>
            </w:pPr>
            <w:r w:rsidRPr="00AD5A27">
              <w:rPr>
                <w:snapToGrid w:val="0"/>
                <w:lang w:eastAsia="en-US"/>
              </w:rPr>
              <w:t>82/226</w:t>
            </w:r>
          </w:p>
        </w:tc>
        <w:tc>
          <w:tcPr>
            <w:tcW w:w="659" w:type="pct"/>
            <w:shd w:val="clear" w:color="auto" w:fill="C6D9F1" w:themeFill="text2" w:themeFillTint="33"/>
            <w:vAlign w:val="center"/>
          </w:tcPr>
          <w:p w14:paraId="2DF95C24" w14:textId="77777777" w:rsidR="00B20984" w:rsidRPr="00AD5A27" w:rsidRDefault="00B20984">
            <w:pPr>
              <w:pStyle w:val="TableText0"/>
              <w:keepNext w:val="0"/>
              <w:widowControl w:val="0"/>
              <w:jc w:val="center"/>
              <w:rPr>
                <w:snapToGrid w:val="0"/>
                <w:lang w:eastAsia="en-US"/>
              </w:rPr>
            </w:pPr>
            <w:r w:rsidRPr="00AD5A27">
              <w:rPr>
                <w:snapToGrid w:val="0"/>
                <w:lang w:eastAsia="en-US"/>
              </w:rPr>
              <w:t>145.3</w:t>
            </w:r>
          </w:p>
        </w:tc>
        <w:tc>
          <w:tcPr>
            <w:tcW w:w="520" w:type="pct"/>
            <w:shd w:val="clear" w:color="auto" w:fill="C6D9F1" w:themeFill="text2" w:themeFillTint="33"/>
            <w:vAlign w:val="center"/>
          </w:tcPr>
          <w:p w14:paraId="52509BDB" w14:textId="77777777" w:rsidR="00B20984" w:rsidRPr="00AD5A27" w:rsidRDefault="00B20984">
            <w:pPr>
              <w:pStyle w:val="TableText0"/>
              <w:keepNext w:val="0"/>
              <w:widowControl w:val="0"/>
              <w:jc w:val="center"/>
              <w:rPr>
                <w:snapToGrid w:val="0"/>
                <w:lang w:eastAsia="en-US"/>
              </w:rPr>
            </w:pPr>
            <w:r w:rsidRPr="00AD5A27">
              <w:rPr>
                <w:snapToGrid w:val="0"/>
                <w:lang w:eastAsia="en-US"/>
              </w:rPr>
              <w:t>139.6</w:t>
            </w:r>
          </w:p>
        </w:tc>
        <w:tc>
          <w:tcPr>
            <w:tcW w:w="1265" w:type="pct"/>
            <w:shd w:val="clear" w:color="auto" w:fill="C6D9F1" w:themeFill="text2" w:themeFillTint="33"/>
          </w:tcPr>
          <w:p w14:paraId="135F15AD" w14:textId="55FB645C" w:rsidR="00B20984" w:rsidRPr="00AD5A27" w:rsidRDefault="009949A8">
            <w:pPr>
              <w:pStyle w:val="TableText0"/>
              <w:keepNext w:val="0"/>
              <w:widowControl w:val="0"/>
              <w:jc w:val="center"/>
              <w:rPr>
                <w:b/>
                <w:snapToGrid w:val="0"/>
                <w:lang w:eastAsia="en-US"/>
              </w:rPr>
            </w:pPr>
            <w:r w:rsidRPr="00AD5A27">
              <w:rPr>
                <w:b/>
                <w:snapToGrid w:val="0"/>
                <w:lang w:eastAsia="en-US"/>
              </w:rPr>
              <w:t>1.37 (1.10, 1.70)</w:t>
            </w:r>
          </w:p>
        </w:tc>
      </w:tr>
      <w:tr w:rsidR="00B20984" w:rsidRPr="00AD5A27" w14:paraId="2880D203" w14:textId="36D396FE" w:rsidTr="000E36B9">
        <w:tc>
          <w:tcPr>
            <w:tcW w:w="995" w:type="pct"/>
            <w:shd w:val="clear" w:color="auto" w:fill="C6D9F1" w:themeFill="text2" w:themeFillTint="33"/>
            <w:vAlign w:val="center"/>
          </w:tcPr>
          <w:p w14:paraId="0C661A5E" w14:textId="77777777" w:rsidR="00B20984" w:rsidRPr="00AD5A27" w:rsidRDefault="00B20984">
            <w:pPr>
              <w:pStyle w:val="TableText0"/>
              <w:keepNext w:val="0"/>
              <w:widowControl w:val="0"/>
              <w:rPr>
                <w:snapToGrid w:val="0"/>
                <w:lang w:eastAsia="en-US"/>
              </w:rPr>
            </w:pPr>
            <w:r w:rsidRPr="00AD5A27">
              <w:rPr>
                <w:snapToGrid w:val="0"/>
                <w:lang w:eastAsia="en-US"/>
              </w:rPr>
              <w:t>Tuberculosis</w:t>
            </w:r>
          </w:p>
        </w:tc>
        <w:tc>
          <w:tcPr>
            <w:tcW w:w="484" w:type="pct"/>
            <w:shd w:val="clear" w:color="auto" w:fill="C6D9F1" w:themeFill="text2" w:themeFillTint="33"/>
            <w:vAlign w:val="center"/>
          </w:tcPr>
          <w:p w14:paraId="440E316F" w14:textId="77777777" w:rsidR="00B20984" w:rsidRPr="00AD5A27" w:rsidRDefault="00B20984">
            <w:pPr>
              <w:pStyle w:val="TableText0"/>
              <w:keepNext w:val="0"/>
              <w:widowControl w:val="0"/>
              <w:jc w:val="center"/>
              <w:rPr>
                <w:snapToGrid w:val="0"/>
                <w:lang w:eastAsia="en-US"/>
              </w:rPr>
            </w:pPr>
            <w:r w:rsidRPr="00AD5A27">
              <w:rPr>
                <w:snapToGrid w:val="0"/>
                <w:lang w:eastAsia="en-US"/>
              </w:rPr>
              <w:t>4/226</w:t>
            </w:r>
          </w:p>
        </w:tc>
        <w:tc>
          <w:tcPr>
            <w:tcW w:w="1077" w:type="pct"/>
            <w:shd w:val="clear" w:color="auto" w:fill="C6D9F1" w:themeFill="text2" w:themeFillTint="33"/>
            <w:vAlign w:val="center"/>
          </w:tcPr>
          <w:p w14:paraId="6F8B4C62" w14:textId="77777777" w:rsidR="00B20984" w:rsidRPr="00AD5A27" w:rsidRDefault="00B20984">
            <w:pPr>
              <w:pStyle w:val="TableText0"/>
              <w:keepNext w:val="0"/>
              <w:widowControl w:val="0"/>
              <w:jc w:val="center"/>
              <w:rPr>
                <w:snapToGrid w:val="0"/>
                <w:lang w:eastAsia="en-US"/>
              </w:rPr>
            </w:pPr>
            <w:r w:rsidRPr="00AD5A27">
              <w:rPr>
                <w:snapToGrid w:val="0"/>
                <w:lang w:eastAsia="en-US"/>
              </w:rPr>
              <w:t>1/226</w:t>
            </w:r>
          </w:p>
        </w:tc>
        <w:tc>
          <w:tcPr>
            <w:tcW w:w="659" w:type="pct"/>
            <w:shd w:val="clear" w:color="auto" w:fill="C6D9F1" w:themeFill="text2" w:themeFillTint="33"/>
            <w:vAlign w:val="center"/>
          </w:tcPr>
          <w:p w14:paraId="4DFE3C5E" w14:textId="77777777" w:rsidR="00B20984" w:rsidRPr="00AD5A27" w:rsidRDefault="00B20984">
            <w:pPr>
              <w:pStyle w:val="TableText0"/>
              <w:keepNext w:val="0"/>
              <w:widowControl w:val="0"/>
              <w:jc w:val="center"/>
              <w:rPr>
                <w:snapToGrid w:val="0"/>
                <w:lang w:eastAsia="en-US"/>
              </w:rPr>
            </w:pPr>
            <w:r w:rsidRPr="00AD5A27">
              <w:rPr>
                <w:snapToGrid w:val="0"/>
                <w:lang w:eastAsia="en-US"/>
              </w:rPr>
              <w:t>3.2</w:t>
            </w:r>
          </w:p>
        </w:tc>
        <w:tc>
          <w:tcPr>
            <w:tcW w:w="520" w:type="pct"/>
            <w:shd w:val="clear" w:color="auto" w:fill="C6D9F1" w:themeFill="text2" w:themeFillTint="33"/>
            <w:vAlign w:val="center"/>
          </w:tcPr>
          <w:p w14:paraId="2D5ECA3A" w14:textId="77777777" w:rsidR="00B20984" w:rsidRPr="00AD5A27" w:rsidRDefault="00B20984">
            <w:pPr>
              <w:pStyle w:val="TableText0"/>
              <w:keepNext w:val="0"/>
              <w:widowControl w:val="0"/>
              <w:jc w:val="center"/>
              <w:rPr>
                <w:snapToGrid w:val="0"/>
                <w:lang w:eastAsia="en-US"/>
              </w:rPr>
            </w:pPr>
            <w:r w:rsidRPr="00AD5A27">
              <w:rPr>
                <w:snapToGrid w:val="0"/>
                <w:lang w:eastAsia="en-US"/>
              </w:rPr>
              <w:t>0.9</w:t>
            </w:r>
          </w:p>
        </w:tc>
        <w:tc>
          <w:tcPr>
            <w:tcW w:w="1265" w:type="pct"/>
            <w:shd w:val="clear" w:color="auto" w:fill="C6D9F1" w:themeFill="text2" w:themeFillTint="33"/>
          </w:tcPr>
          <w:p w14:paraId="6E5453CE" w14:textId="528C09C5" w:rsidR="00B20984" w:rsidRPr="00AD5A27" w:rsidRDefault="009949A8">
            <w:pPr>
              <w:pStyle w:val="TableText0"/>
              <w:keepNext w:val="0"/>
              <w:widowControl w:val="0"/>
              <w:jc w:val="center"/>
              <w:rPr>
                <w:snapToGrid w:val="0"/>
                <w:lang w:eastAsia="en-US"/>
              </w:rPr>
            </w:pPr>
            <w:r w:rsidRPr="00AD5A27">
              <w:rPr>
                <w:snapToGrid w:val="0"/>
                <w:lang w:eastAsia="en-US"/>
              </w:rPr>
              <w:t>4.00 (0.45, 35.51)</w:t>
            </w:r>
          </w:p>
        </w:tc>
      </w:tr>
      <w:tr w:rsidR="00B20984" w:rsidRPr="00AD5A27" w14:paraId="7CBA0DD8" w14:textId="1D4AE517" w:rsidTr="000E36B9">
        <w:tc>
          <w:tcPr>
            <w:tcW w:w="995" w:type="pct"/>
            <w:shd w:val="clear" w:color="auto" w:fill="C6D9F1" w:themeFill="text2" w:themeFillTint="33"/>
            <w:vAlign w:val="center"/>
          </w:tcPr>
          <w:p w14:paraId="710586BE" w14:textId="77777777" w:rsidR="00B20984" w:rsidRPr="00AD5A27" w:rsidRDefault="00B20984">
            <w:pPr>
              <w:pStyle w:val="TableText0"/>
              <w:keepNext w:val="0"/>
              <w:widowControl w:val="0"/>
              <w:rPr>
                <w:snapToGrid w:val="0"/>
                <w:lang w:eastAsia="en-US"/>
              </w:rPr>
            </w:pPr>
            <w:r w:rsidRPr="00AD5A27">
              <w:rPr>
                <w:snapToGrid w:val="0"/>
                <w:lang w:eastAsia="en-US"/>
              </w:rPr>
              <w:t>Malignancies</w:t>
            </w:r>
          </w:p>
        </w:tc>
        <w:tc>
          <w:tcPr>
            <w:tcW w:w="484" w:type="pct"/>
            <w:shd w:val="clear" w:color="auto" w:fill="C6D9F1" w:themeFill="text2" w:themeFillTint="33"/>
            <w:vAlign w:val="center"/>
          </w:tcPr>
          <w:p w14:paraId="7C0F1610" w14:textId="77777777" w:rsidR="00B20984" w:rsidRPr="00AD5A27" w:rsidRDefault="00B20984">
            <w:pPr>
              <w:pStyle w:val="TableText0"/>
              <w:keepNext w:val="0"/>
              <w:widowControl w:val="0"/>
              <w:jc w:val="center"/>
              <w:rPr>
                <w:snapToGrid w:val="0"/>
                <w:lang w:eastAsia="en-US"/>
              </w:rPr>
            </w:pPr>
            <w:r w:rsidRPr="00AD5A27">
              <w:rPr>
                <w:snapToGrid w:val="0"/>
                <w:lang w:eastAsia="en-US"/>
              </w:rPr>
              <w:t>2/226</w:t>
            </w:r>
          </w:p>
        </w:tc>
        <w:tc>
          <w:tcPr>
            <w:tcW w:w="1077" w:type="pct"/>
            <w:shd w:val="clear" w:color="auto" w:fill="C6D9F1" w:themeFill="text2" w:themeFillTint="33"/>
            <w:vAlign w:val="center"/>
          </w:tcPr>
          <w:p w14:paraId="69CE6B81" w14:textId="35631318" w:rsidR="00B20984" w:rsidRPr="00AD5A27" w:rsidRDefault="00B20984">
            <w:pPr>
              <w:pStyle w:val="TableText0"/>
              <w:keepNext w:val="0"/>
              <w:widowControl w:val="0"/>
              <w:jc w:val="center"/>
              <w:rPr>
                <w:snapToGrid w:val="0"/>
                <w:lang w:eastAsia="en-US"/>
              </w:rPr>
            </w:pPr>
            <w:r w:rsidRPr="00AD5A27">
              <w:rPr>
                <w:snapToGrid w:val="0"/>
                <w:lang w:eastAsia="en-US"/>
              </w:rPr>
              <w:t>0/226</w:t>
            </w:r>
          </w:p>
        </w:tc>
        <w:tc>
          <w:tcPr>
            <w:tcW w:w="659" w:type="pct"/>
            <w:shd w:val="clear" w:color="auto" w:fill="C6D9F1" w:themeFill="text2" w:themeFillTint="33"/>
            <w:vAlign w:val="center"/>
          </w:tcPr>
          <w:p w14:paraId="2EFF3245" w14:textId="77777777" w:rsidR="00B20984" w:rsidRPr="00AD5A27" w:rsidRDefault="00B20984">
            <w:pPr>
              <w:pStyle w:val="TableText0"/>
              <w:keepNext w:val="0"/>
              <w:widowControl w:val="0"/>
              <w:jc w:val="center"/>
              <w:rPr>
                <w:snapToGrid w:val="0"/>
                <w:lang w:eastAsia="en-US"/>
              </w:rPr>
            </w:pPr>
            <w:r w:rsidRPr="00AD5A27">
              <w:rPr>
                <w:snapToGrid w:val="0"/>
                <w:lang w:eastAsia="en-US"/>
              </w:rPr>
              <w:t>1.9</w:t>
            </w:r>
          </w:p>
        </w:tc>
        <w:tc>
          <w:tcPr>
            <w:tcW w:w="520" w:type="pct"/>
            <w:shd w:val="clear" w:color="auto" w:fill="C6D9F1" w:themeFill="text2" w:themeFillTint="33"/>
            <w:vAlign w:val="center"/>
          </w:tcPr>
          <w:p w14:paraId="0F3844F4" w14:textId="77777777" w:rsidR="00B20984" w:rsidRPr="00AD5A27" w:rsidRDefault="00B20984">
            <w:pPr>
              <w:pStyle w:val="TableText0"/>
              <w:keepNext w:val="0"/>
              <w:widowControl w:val="0"/>
              <w:jc w:val="center"/>
              <w:rPr>
                <w:snapToGrid w:val="0"/>
                <w:lang w:eastAsia="en-US"/>
              </w:rPr>
            </w:pPr>
            <w:r w:rsidRPr="00AD5A27">
              <w:rPr>
                <w:snapToGrid w:val="0"/>
                <w:lang w:eastAsia="en-US"/>
              </w:rPr>
              <w:t>0</w:t>
            </w:r>
          </w:p>
        </w:tc>
        <w:tc>
          <w:tcPr>
            <w:tcW w:w="1265" w:type="pct"/>
            <w:shd w:val="clear" w:color="auto" w:fill="C6D9F1" w:themeFill="text2" w:themeFillTint="33"/>
          </w:tcPr>
          <w:p w14:paraId="5D436644" w14:textId="635D2E95" w:rsidR="00B20984" w:rsidRPr="00AD5A27" w:rsidRDefault="000416E7">
            <w:pPr>
              <w:pStyle w:val="TableText0"/>
              <w:keepNext w:val="0"/>
              <w:widowControl w:val="0"/>
              <w:jc w:val="center"/>
              <w:rPr>
                <w:snapToGrid w:val="0"/>
                <w:lang w:eastAsia="en-US"/>
              </w:rPr>
            </w:pPr>
            <w:r w:rsidRPr="00AD5A27">
              <w:rPr>
                <w:snapToGrid w:val="0"/>
                <w:lang w:eastAsia="en-US"/>
              </w:rPr>
              <w:t>5.00</w:t>
            </w:r>
            <w:r w:rsidR="00BA02F6" w:rsidRPr="00AD5A27">
              <w:rPr>
                <w:snapToGrid w:val="0"/>
                <w:lang w:eastAsia="en-US"/>
              </w:rPr>
              <w:t xml:space="preserve"> (0.</w:t>
            </w:r>
            <w:r w:rsidRPr="00AD5A27">
              <w:rPr>
                <w:snapToGrid w:val="0"/>
                <w:lang w:eastAsia="en-US"/>
              </w:rPr>
              <w:t>24</w:t>
            </w:r>
            <w:r w:rsidR="00BA02F6" w:rsidRPr="00AD5A27">
              <w:rPr>
                <w:snapToGrid w:val="0"/>
                <w:lang w:eastAsia="en-US"/>
              </w:rPr>
              <w:t xml:space="preserve">, </w:t>
            </w:r>
            <w:r w:rsidRPr="00AD5A27">
              <w:rPr>
                <w:snapToGrid w:val="0"/>
                <w:lang w:eastAsia="en-US"/>
              </w:rPr>
              <w:t>103.57</w:t>
            </w:r>
            <w:r w:rsidR="00BA02F6" w:rsidRPr="00AD5A27">
              <w:rPr>
                <w:snapToGrid w:val="0"/>
                <w:lang w:eastAsia="en-US"/>
              </w:rPr>
              <w:t>)</w:t>
            </w:r>
          </w:p>
        </w:tc>
      </w:tr>
    </w:tbl>
    <w:p w14:paraId="5A236742" w14:textId="0524D086" w:rsidR="002A66BB" w:rsidRPr="00AD5A27" w:rsidRDefault="002A66BB">
      <w:pPr>
        <w:pStyle w:val="FooterTableFigure"/>
        <w:rPr>
          <w:i/>
          <w:iCs/>
          <w:lang w:eastAsia="en-US"/>
        </w:rPr>
      </w:pPr>
      <w:r w:rsidRPr="00AD5A27">
        <w:rPr>
          <w:lang w:eastAsia="en-US"/>
        </w:rPr>
        <w:t>Source: Compiled during the evaluation based on Table B.6-1, p.89; Table B.6-11 of the March 2017 submission; Tables 2-26-2-27, 2-37 pp111-112, 127-128 of the resubmission; Figure 3-11, p156 of the resubmission; Table 14.3__1.2.M VISUAL I CSR; Table 14.3__1.2.M VISUAL II CSR</w:t>
      </w:r>
    </w:p>
    <w:p w14:paraId="1B3D4691" w14:textId="6134BBB4" w:rsidR="002A66BB" w:rsidRPr="00AD5A27" w:rsidRDefault="002A66BB">
      <w:pPr>
        <w:pStyle w:val="FooterTableFigure"/>
        <w:rPr>
          <w:lang w:eastAsia="en-US"/>
        </w:rPr>
      </w:pPr>
      <w:r w:rsidRPr="00AD5A27">
        <w:rPr>
          <w:lang w:eastAsia="en-US"/>
        </w:rPr>
        <w:t xml:space="preserve">ADA = adalimumab; CI = </w:t>
      </w:r>
      <w:r w:rsidR="00696849">
        <w:rPr>
          <w:lang w:eastAsia="en-US"/>
        </w:rPr>
        <w:t>c</w:t>
      </w:r>
      <w:r w:rsidRPr="00AD5A27">
        <w:rPr>
          <w:lang w:eastAsia="en-US"/>
        </w:rPr>
        <w:t xml:space="preserve">onfidence </w:t>
      </w:r>
      <w:r w:rsidR="00696849">
        <w:rPr>
          <w:lang w:eastAsia="en-US"/>
        </w:rPr>
        <w:t>i</w:t>
      </w:r>
      <w:r w:rsidRPr="00AD5A27">
        <w:rPr>
          <w:lang w:eastAsia="en-US"/>
        </w:rPr>
        <w:t xml:space="preserve">nterval; CSR = </w:t>
      </w:r>
      <w:r w:rsidR="00696849">
        <w:rPr>
          <w:lang w:eastAsia="en-US"/>
        </w:rPr>
        <w:t>c</w:t>
      </w:r>
      <w:r w:rsidRPr="00AD5A27">
        <w:rPr>
          <w:lang w:eastAsia="en-US"/>
        </w:rPr>
        <w:t xml:space="preserve">linical </w:t>
      </w:r>
      <w:r w:rsidR="00696849">
        <w:rPr>
          <w:lang w:eastAsia="en-US"/>
        </w:rPr>
        <w:t>s</w:t>
      </w:r>
      <w:r w:rsidRPr="00AD5A27">
        <w:rPr>
          <w:lang w:eastAsia="en-US"/>
        </w:rPr>
        <w:t xml:space="preserve">tudy </w:t>
      </w:r>
      <w:r w:rsidR="00696849">
        <w:rPr>
          <w:lang w:eastAsia="en-US"/>
        </w:rPr>
        <w:t>r</w:t>
      </w:r>
      <w:r w:rsidRPr="00AD5A27">
        <w:rPr>
          <w:lang w:eastAsia="en-US"/>
        </w:rPr>
        <w:t>eport; HR = hazard ratio; N = number;</w:t>
      </w:r>
      <w:r w:rsidR="001A114D" w:rsidRPr="00AD5A27">
        <w:rPr>
          <w:lang w:eastAsia="en-US"/>
        </w:rPr>
        <w:t xml:space="preserve"> NA = </w:t>
      </w:r>
      <w:r w:rsidR="00696849">
        <w:rPr>
          <w:lang w:eastAsia="en-US"/>
        </w:rPr>
        <w:t>n</w:t>
      </w:r>
      <w:r w:rsidR="001A114D" w:rsidRPr="00AD5A27">
        <w:rPr>
          <w:lang w:eastAsia="en-US"/>
        </w:rPr>
        <w:t>ot applicable;</w:t>
      </w:r>
      <w:r w:rsidRPr="00AD5A27">
        <w:rPr>
          <w:lang w:eastAsia="en-US"/>
        </w:rPr>
        <w:t xml:space="preserve"> NE = not estimable; OLE = </w:t>
      </w:r>
      <w:r w:rsidR="00696849">
        <w:rPr>
          <w:lang w:eastAsia="en-US"/>
        </w:rPr>
        <w:t>o</w:t>
      </w:r>
      <w:r w:rsidRPr="00AD5A27">
        <w:rPr>
          <w:lang w:eastAsia="en-US"/>
        </w:rPr>
        <w:t>pen label extension; PBO = placebo;</w:t>
      </w:r>
      <w:r w:rsidR="009949A8" w:rsidRPr="00AD5A27">
        <w:rPr>
          <w:lang w:eastAsia="en-US"/>
        </w:rPr>
        <w:t xml:space="preserve"> RR = </w:t>
      </w:r>
      <w:r w:rsidR="00696849">
        <w:rPr>
          <w:lang w:eastAsia="en-US"/>
        </w:rPr>
        <w:t>r</w:t>
      </w:r>
      <w:r w:rsidR="009949A8" w:rsidRPr="00AD5A27">
        <w:rPr>
          <w:lang w:eastAsia="en-US"/>
        </w:rPr>
        <w:t>elative risk;</w:t>
      </w:r>
      <w:r w:rsidRPr="00AD5A27">
        <w:rPr>
          <w:lang w:eastAsia="en-US"/>
        </w:rPr>
        <w:t xml:space="preserve"> TEAE = </w:t>
      </w:r>
      <w:r w:rsidR="00696849">
        <w:rPr>
          <w:lang w:eastAsia="en-US"/>
        </w:rPr>
        <w:t>t</w:t>
      </w:r>
      <w:r w:rsidRPr="00AD5A27">
        <w:rPr>
          <w:lang w:eastAsia="en-US"/>
        </w:rPr>
        <w:t>reatment-emergent adverse events</w:t>
      </w:r>
    </w:p>
    <w:p w14:paraId="18C8D842" w14:textId="77777777" w:rsidR="002A66BB" w:rsidRPr="00AD5A27" w:rsidRDefault="002A66BB">
      <w:pPr>
        <w:pStyle w:val="FooterTableFigure"/>
        <w:rPr>
          <w:lang w:eastAsia="en-US"/>
        </w:rPr>
      </w:pPr>
      <w:r w:rsidRPr="00AD5A27">
        <w:rPr>
          <w:vertAlign w:val="superscript"/>
          <w:lang w:eastAsia="en-US"/>
        </w:rPr>
        <w:t>a</w:t>
      </w:r>
      <w:r w:rsidRPr="00AD5A27">
        <w:rPr>
          <w:lang w:eastAsia="en-US"/>
        </w:rPr>
        <w:t xml:space="preserve"> In the VISUAL I trial, the median duration of treatment was 19 weeks for adalimumab patients and 13 weeks for placebo patients. In VISUAL II, the median duration of treatment was 35 weeks for adalimumab patients and 22 weeks for placebo patients.</w:t>
      </w:r>
    </w:p>
    <w:p w14:paraId="378E5BEA" w14:textId="77777777" w:rsidR="003B5627" w:rsidRPr="00AD5A27" w:rsidRDefault="00E95270">
      <w:pPr>
        <w:pStyle w:val="FooterTableFigure"/>
        <w:widowControl w:val="0"/>
      </w:pPr>
      <w:r w:rsidRPr="00AD5A27">
        <w:t>Bold indicates statistically significant results.</w:t>
      </w:r>
    </w:p>
    <w:p w14:paraId="33DDB02E" w14:textId="0B3CD399" w:rsidR="002A66BB" w:rsidRPr="00AD5A27" w:rsidRDefault="002A66BB">
      <w:pPr>
        <w:pStyle w:val="FooterTableFigure"/>
        <w:widowControl w:val="0"/>
      </w:pPr>
      <w:r w:rsidRPr="00AD5A27">
        <w:rPr>
          <w:shd w:val="clear" w:color="auto" w:fill="B8CCE4" w:themeFill="accent1" w:themeFillTint="66"/>
        </w:rPr>
        <w:t>Blue shading</w:t>
      </w:r>
      <w:r w:rsidRPr="00AD5A27">
        <w:t xml:space="preserve"> indicates data previously seen by the PBAC including interim analysis of VISUAL III of OLE M11-327. </w:t>
      </w:r>
    </w:p>
    <w:p w14:paraId="149ADC39" w14:textId="286A41C9" w:rsidR="002A66BB" w:rsidRPr="00AD5A27" w:rsidRDefault="002A66BB">
      <w:pPr>
        <w:pStyle w:val="3-BodyText"/>
      </w:pPr>
      <w:bookmarkStart w:id="43" w:name="_Toc22897644"/>
      <w:bookmarkStart w:id="44" w:name="_Toc124779769"/>
      <w:r w:rsidRPr="00AD5A27">
        <w:t>On the basis of the direct evidence from the VISUAL I trial, treatment with adalimumab, compared with placebo, resulted in a median of 2.6 months longer time to treatment failure (worsening of inflammatory markers in the eye or of visual acuity) for patients with active inflammatory disease at baseline.</w:t>
      </w:r>
    </w:p>
    <w:p w14:paraId="13FF3BDE" w14:textId="77777777" w:rsidR="002A66BB" w:rsidRPr="00AD5A27" w:rsidRDefault="002A66BB">
      <w:pPr>
        <w:pStyle w:val="3-BodyText"/>
      </w:pPr>
      <w:r w:rsidRPr="00AD5A27">
        <w:lastRenderedPageBreak/>
        <w:t>On the basis of the direct evidence from the VISUAL II trial treatment with adalimumab, compared with placebo, resulted in a statistically significantly longer time to treatment failure (worsening of inflammatory markers in the eye or of visual acuity) for patients with controlled disease requiring relatively high doses of OCS to maintain remission.</w:t>
      </w:r>
    </w:p>
    <w:p w14:paraId="41A8803A" w14:textId="77777777" w:rsidR="002A66BB" w:rsidRPr="00AD5A27" w:rsidRDefault="002A66BB">
      <w:pPr>
        <w:pStyle w:val="3-BodyText"/>
      </w:pPr>
      <w:r w:rsidRPr="00AD5A27">
        <w:t xml:space="preserve">On the basis of the direct evidence from the VISUAL I and VISUAL II trials presented in the submission, for patients treated with adalimumab compared with placebo there would be: </w:t>
      </w:r>
    </w:p>
    <w:p w14:paraId="784BFCF8" w14:textId="77777777" w:rsidR="002A66BB" w:rsidRPr="00AD5A27" w:rsidRDefault="002A66BB">
      <w:pPr>
        <w:pStyle w:val="ListParagraph"/>
        <w:ind w:left="1151" w:hanging="357"/>
      </w:pPr>
      <w:r w:rsidRPr="00AD5A27">
        <w:t>Approximately 5.7 additional infections for 100 patients treated over a year.</w:t>
      </w:r>
    </w:p>
    <w:p w14:paraId="1634B660" w14:textId="77777777" w:rsidR="002A66BB" w:rsidRPr="00AD5A27" w:rsidRDefault="002A66BB">
      <w:pPr>
        <w:pStyle w:val="ListParagraph"/>
        <w:ind w:left="1151" w:hanging="357"/>
      </w:pPr>
      <w:r w:rsidRPr="00AD5A27">
        <w:t>Approximately 2.3 additional cases of tuberculosis, for 100 patients treated over a year.</w:t>
      </w:r>
    </w:p>
    <w:p w14:paraId="7F453326" w14:textId="77777777" w:rsidR="002A66BB" w:rsidRPr="00AD5A27" w:rsidRDefault="002A66BB">
      <w:pPr>
        <w:pStyle w:val="ListParagraph"/>
        <w:ind w:left="1151" w:hanging="357"/>
      </w:pPr>
      <w:r w:rsidRPr="00AD5A27">
        <w:t>Approximately 1.9 additional malignancies, for 100 patients treated over a year.</w:t>
      </w:r>
    </w:p>
    <w:p w14:paraId="1CC83470" w14:textId="5AA7B3C0" w:rsidR="002A66BB" w:rsidRPr="00AD5A27" w:rsidRDefault="002A66BB">
      <w:pPr>
        <w:pStyle w:val="3-BodyText"/>
      </w:pPr>
      <w:r w:rsidRPr="00AD5A27">
        <w:t xml:space="preserve">These </w:t>
      </w:r>
      <w:r w:rsidR="00C53964" w:rsidRPr="00AD5A27">
        <w:t xml:space="preserve">outcomes </w:t>
      </w:r>
      <w:r w:rsidRPr="00AD5A27">
        <w:t>were unchanged from the March 2017 submission.</w:t>
      </w:r>
    </w:p>
    <w:p w14:paraId="47907B70" w14:textId="77777777" w:rsidR="002A66BB" w:rsidRPr="00AD5A27" w:rsidRDefault="002A66BB">
      <w:pPr>
        <w:pStyle w:val="4-SubsectionHeading"/>
      </w:pPr>
      <w:bookmarkStart w:id="45" w:name="_Toc156988908"/>
      <w:r w:rsidRPr="00AD5A27">
        <w:t>Clinical claim</w:t>
      </w:r>
      <w:bookmarkEnd w:id="43"/>
      <w:bookmarkEnd w:id="44"/>
      <w:bookmarkEnd w:id="45"/>
    </w:p>
    <w:p w14:paraId="0CDC4DDC" w14:textId="49199371" w:rsidR="002A66BB" w:rsidRPr="00AD5A27" w:rsidRDefault="002A66BB">
      <w:pPr>
        <w:pStyle w:val="3-BodyText"/>
      </w:pPr>
      <w:r w:rsidRPr="00AD5A27">
        <w:t xml:space="preserve">The resubmission described adalimumab as superior in terms of comparative efficacy over BSC and comparable in terms of safety. The March 2017 submission made </w:t>
      </w:r>
      <w:r w:rsidR="000F0136" w:rsidRPr="00AD5A27">
        <w:t xml:space="preserve">the </w:t>
      </w:r>
      <w:r w:rsidR="00465A97" w:rsidRPr="00AD5A27">
        <w:t xml:space="preserve">same </w:t>
      </w:r>
      <w:r w:rsidRPr="00AD5A27">
        <w:t xml:space="preserve">claims. </w:t>
      </w:r>
    </w:p>
    <w:p w14:paraId="1AD5F14E" w14:textId="749A2E17" w:rsidR="002A66BB" w:rsidRPr="00AD5A27" w:rsidRDefault="00352ED7">
      <w:pPr>
        <w:pStyle w:val="3-BodyText"/>
      </w:pPr>
      <w:r w:rsidRPr="00AD5A27">
        <w:t xml:space="preserve">The PBAC </w:t>
      </w:r>
      <w:r w:rsidR="004D06B1" w:rsidRPr="00AD5A27">
        <w:t xml:space="preserve">previously </w:t>
      </w:r>
      <w:r w:rsidRPr="00AD5A27">
        <w:t xml:space="preserve">questioned the clinical relevance between the four composite endpoints used to define the primary efficacy outcome of time to treatment failure (flare), and the rate of downstream ocular complications such as cataracts, visual disturbance, glaucoma or blindness. </w:t>
      </w:r>
      <w:r w:rsidR="00140C5A" w:rsidRPr="00AD5A27">
        <w:t xml:space="preserve">The PBAC </w:t>
      </w:r>
      <w:r w:rsidR="004D06B1" w:rsidRPr="00AD5A27">
        <w:t xml:space="preserve">previously </w:t>
      </w:r>
      <w:r w:rsidR="00140C5A" w:rsidRPr="00AD5A27">
        <w:t>noted that the components of the composite measure are normally used in clinical practice to assess ocular inflammation. However, the extrapolation of the relationship between flare and ocular complication was likely to be overestimated, strongly favouring adalimumab</w:t>
      </w:r>
      <w:r w:rsidR="00081F15" w:rsidRPr="00AD5A27">
        <w:t xml:space="preserve"> (para. 7.8, adalimumab, PSD, March 2017 PBAC meeting).</w:t>
      </w:r>
      <w:r w:rsidR="00081F15" w:rsidRPr="00AD5A27">
        <w:rPr>
          <w:bCs/>
        </w:rPr>
        <w:t xml:space="preserve"> </w:t>
      </w:r>
      <w:r w:rsidR="002A66BB" w:rsidRPr="00AD5A27">
        <w:t>The resubmission did not present clinical evidence directly linking adalimumab treatment with</w:t>
      </w:r>
      <w:r w:rsidR="002A66BB" w:rsidRPr="00AD5A27" w:rsidDel="0019170B">
        <w:t xml:space="preserve"> ocular complications. </w:t>
      </w:r>
      <w:r w:rsidR="002A66BB" w:rsidRPr="00AD5A27">
        <w:t>A meta-analysis of the VISUAL I and VISUAL II trials conducted during the evaluation found no statistical difference in the incidence of ocular disorders or complications.</w:t>
      </w:r>
      <w:r w:rsidR="002A66BB" w:rsidRPr="00AD5A27" w:rsidDel="00B27B55">
        <w:t xml:space="preserve"> Further,</w:t>
      </w:r>
      <w:r w:rsidR="002A66BB" w:rsidRPr="00AD5A27">
        <w:t xml:space="preserve"> clinical evidence </w:t>
      </w:r>
      <w:r w:rsidR="00D75664" w:rsidRPr="00AD5A27">
        <w:t>demonstrating a link between</w:t>
      </w:r>
      <w:r w:rsidR="00D75664" w:rsidRPr="00AD5A27" w:rsidDel="00B27B55">
        <w:t xml:space="preserve"> flare</w:t>
      </w:r>
      <w:r w:rsidR="00D75664" w:rsidRPr="00AD5A27">
        <w:t>s</w:t>
      </w:r>
      <w:r w:rsidR="00D75664" w:rsidRPr="00AD5A27" w:rsidDel="00B27B55">
        <w:t xml:space="preserve"> </w:t>
      </w:r>
      <w:r w:rsidR="00D75664" w:rsidRPr="00AD5A27">
        <w:t>and</w:t>
      </w:r>
      <w:r w:rsidR="00D75664" w:rsidRPr="00AD5A27" w:rsidDel="00B27B55">
        <w:t xml:space="preserve"> </w:t>
      </w:r>
      <w:r w:rsidR="002A66BB" w:rsidRPr="00AD5A27" w:rsidDel="00B27B55">
        <w:t xml:space="preserve">downstream </w:t>
      </w:r>
      <w:r w:rsidR="002A66BB" w:rsidRPr="00AD5A27">
        <w:t xml:space="preserve">ocular </w:t>
      </w:r>
      <w:r w:rsidR="002A66BB" w:rsidRPr="00AD5A27" w:rsidDel="00B27B55">
        <w:t xml:space="preserve">complications was </w:t>
      </w:r>
      <w:r w:rsidR="002A66BB" w:rsidRPr="00AD5A27">
        <w:t>not presented</w:t>
      </w:r>
      <w:r w:rsidR="002A66BB" w:rsidRPr="00AD5A27" w:rsidDel="00B27B55">
        <w:t>.</w:t>
      </w:r>
      <w:r w:rsidR="00847EB3" w:rsidRPr="00AD5A27">
        <w:t xml:space="preserve"> </w:t>
      </w:r>
    </w:p>
    <w:p w14:paraId="03228BE4" w14:textId="73B32765" w:rsidR="001E5769" w:rsidRPr="00AD5A27" w:rsidRDefault="001E5769">
      <w:pPr>
        <w:pStyle w:val="3-BodyText"/>
      </w:pPr>
      <w:r w:rsidRPr="00AD5A27">
        <w:t xml:space="preserve">The PSCR argued the results of the VISUAL I and II trials demonstrated the effectiveness of adalimumab at reducing the risk of recurrence or worsening of visual acuity, and VISUAL III and additional </w:t>
      </w:r>
      <w:r w:rsidR="008840DB">
        <w:t>single arm observational</w:t>
      </w:r>
      <w:r w:rsidRPr="00AD5A27">
        <w:t xml:space="preserve"> studies showed clinically meaningful improvements or preservation of vision. Furthermore, the Response </w:t>
      </w:r>
      <w:r w:rsidR="000C7BFE" w:rsidRPr="00AD5A27">
        <w:t>stated</w:t>
      </w:r>
      <w:r w:rsidRPr="00AD5A27">
        <w:t xml:space="preserve"> </w:t>
      </w:r>
      <w:r w:rsidR="000C7BFE" w:rsidRPr="00AD5A27">
        <w:t>it</w:t>
      </w:r>
      <w:r w:rsidRPr="00AD5A27">
        <w:t xml:space="preserve"> received clinical advice stating it is generally accepted by the clinical community that the preservation of vision in uveitis patients correlates with the avoidance or decreased severity of other ocular complications associated with vision loss. The PSCR also argued that demonstrating a direct reduction of these complications in randomised clinical trials is often unfeasible because uveitis is </w:t>
      </w:r>
      <w:r w:rsidRPr="00AD5A27">
        <w:lastRenderedPageBreak/>
        <w:t xml:space="preserve">uncommon and ocular complication events are relatively rare, but can have catastrophic consequences; therefore, it is necessary to use surrogate outcomes such as flare to predict the impact of adalimumab on the prevention of ocular complications. The ESC accepted that whilst </w:t>
      </w:r>
      <w:r w:rsidR="000C7BFE" w:rsidRPr="00AD5A27">
        <w:t xml:space="preserve">it </w:t>
      </w:r>
      <w:r w:rsidRPr="00AD5A27">
        <w:t>has not been directly demonstrated, it is biologically and clinically plausible that there is a link between flares and longer-term ocular damage, and noted the effectiveness of adalimumab appears to have been accepted in practice given its use via the existing compassionate access program. However, the ESC</w:t>
      </w:r>
      <w:r w:rsidR="00882D40" w:rsidRPr="00AD5A27">
        <w:t xml:space="preserve"> also</w:t>
      </w:r>
      <w:r w:rsidRPr="00AD5A27">
        <w:t xml:space="preserve"> considered that relationship was difficult to quantify, creating uncertainty for the economic model.</w:t>
      </w:r>
    </w:p>
    <w:p w14:paraId="699B8FC9" w14:textId="51C08BCA" w:rsidR="008B3E3C" w:rsidRPr="00AD5A27" w:rsidRDefault="00FE0C76" w:rsidP="00295223">
      <w:pPr>
        <w:pStyle w:val="3-BodyText"/>
      </w:pPr>
      <w:r w:rsidRPr="00AD5A27">
        <w:t>T</w:t>
      </w:r>
      <w:r w:rsidR="00344B22" w:rsidRPr="00AD5A27">
        <w:t>he PBAC previously considered that the forced corticosteroid taper schedules</w:t>
      </w:r>
      <w:r w:rsidRPr="00AD5A27">
        <w:t xml:space="preserve"> in the VISUAL I and II trials</w:t>
      </w:r>
      <w:r w:rsidR="00344B22" w:rsidRPr="00AD5A27">
        <w:t xml:space="preserve"> may have overestimated the treatment effect of adalimumab (para. 7.5, ADA, PSD, March 2017 PBAC meeting).</w:t>
      </w:r>
      <w:r w:rsidR="00DC5959" w:rsidRPr="00AD5A27">
        <w:t xml:space="preserve"> Th</w:t>
      </w:r>
      <w:r w:rsidR="00BC7016" w:rsidRPr="00AD5A27">
        <w:t>e evaluation considered this</w:t>
      </w:r>
      <w:r w:rsidR="00DC5959" w:rsidRPr="00AD5A27">
        <w:t xml:space="preserve"> issue is unable to be resolved due to the design of the trials and remains a major source of uncertainty for assessing the magnitude of benefit of adalimumab.</w:t>
      </w:r>
      <w:r w:rsidR="00BA3155" w:rsidRPr="00AD5A27">
        <w:t xml:space="preserve"> The PSCR</w:t>
      </w:r>
      <w:r w:rsidR="00882BBB" w:rsidRPr="00AD5A27">
        <w:t xml:space="preserve"> </w:t>
      </w:r>
      <w:r w:rsidR="00295223" w:rsidRPr="00AD5A27">
        <w:t xml:space="preserve">argued that </w:t>
      </w:r>
      <w:r w:rsidR="00295223" w:rsidRPr="00AD5A27">
        <w:rPr>
          <w:rFonts w:cstheme="minorBidi"/>
        </w:rPr>
        <w:t>long term high dose corticosteroids are a clinically unacceptable treatment, contrary to treatment goals, and are only used as a last resort. The PSCR stated that from a clinical perspective, it would likely be considered unethical to maintain a patient on high dose steroids alone given the evidence demonstrating the effectiveness of adalimumab as a steroid-sparing agent, limiting the generation of any future comparative evidence.</w:t>
      </w:r>
      <w:r w:rsidR="00295223" w:rsidRPr="00AD5A27">
        <w:t xml:space="preserve"> The PSCR </w:t>
      </w:r>
      <w:r w:rsidR="00BA3155" w:rsidRPr="00AD5A27">
        <w:t>asserted that VISUAL III, despite the absence of a control arm, allowed oral corticosteroid use and provided further evidence that adalimumab is effective with or without high dose oral corticosteroids.</w:t>
      </w:r>
      <w:r w:rsidR="00A37BDC" w:rsidRPr="00AD5A27">
        <w:t xml:space="preserve"> The ESC agreed with the evaluation and considered the design of the trials precluded a direct assessment of the comparative effectiveness of adalimumab and </w:t>
      </w:r>
      <w:r w:rsidR="0057791B" w:rsidRPr="00AD5A27">
        <w:t xml:space="preserve">the comparator and was a significant source of uncertainty. </w:t>
      </w:r>
    </w:p>
    <w:p w14:paraId="1C96F5E9" w14:textId="2049AC2E" w:rsidR="002A66BB" w:rsidRPr="00AD5A27" w:rsidRDefault="002A66BB">
      <w:pPr>
        <w:pStyle w:val="3-BodyText"/>
      </w:pPr>
      <w:r w:rsidRPr="00AD5A27">
        <w:t xml:space="preserve">There was a high risk of bias in the VISUAL III study and observational studies given their non-randomised designs, which were primarily used to support long-term efficacy and safety claims. In the VISUAL III study, the number of patients decreased significantly after week 78 because sites closed on regulatory or reimbursement approval. At week 150, only </w:t>
      </w:r>
      <w:r w:rsidR="00423047" w:rsidRPr="00AD5A27">
        <w:t>approximately</w:t>
      </w:r>
      <w:r w:rsidRPr="00AD5A27">
        <w:t xml:space="preserve"> 50% of the patients remained in the study. Further, in the absence of a control group and in the context of using other immunomodulators, drug efficacy cannot be determined in comparison with patients who were not treated with adalimumab.</w:t>
      </w:r>
    </w:p>
    <w:p w14:paraId="6664A470" w14:textId="50C82F6D" w:rsidR="002A66BB" w:rsidRPr="00AD5A27" w:rsidRDefault="002A66BB">
      <w:pPr>
        <w:pStyle w:val="3-BodyText"/>
      </w:pPr>
      <w:r w:rsidRPr="00AD5A27">
        <w:t xml:space="preserve">The </w:t>
      </w:r>
      <w:r w:rsidR="002F7572" w:rsidRPr="00AD5A27">
        <w:t xml:space="preserve">evaluation considered that the </w:t>
      </w:r>
      <w:r w:rsidRPr="00AD5A27">
        <w:t xml:space="preserve">long-term impact of adalimumab on </w:t>
      </w:r>
      <w:r w:rsidR="00725C3A" w:rsidRPr="00AD5A27">
        <w:t>flares, and subsequently ocular complications and thus</w:t>
      </w:r>
      <w:r w:rsidRPr="00AD5A27">
        <w:t xml:space="preserve"> the quality of life of patients with uveitis (both active and controlled) remained uncertain. The change in EQ</w:t>
      </w:r>
      <w:r w:rsidRPr="00AD5A27">
        <w:noBreakHyphen/>
        <w:t>5D scores from baseline either favoured adalimumab or were not statistically significant in the trials (VISUAL I: 0.04, p= 0.04, VISUAL II: 0.00, p= 0.836, VISUAL III: active uveitis: 0.01, 95% CI: -0.01, 0.03; controlled uveitis: 0.01, 95% CI: -0.02, 0.04).</w:t>
      </w:r>
    </w:p>
    <w:p w14:paraId="4C2C71F3" w14:textId="62BF9B00" w:rsidR="0034266F" w:rsidRPr="00AD5A27" w:rsidRDefault="0034266F" w:rsidP="0034266F">
      <w:pPr>
        <w:pStyle w:val="3-BodyText"/>
        <w:rPr>
          <w:rFonts w:ascii="Calibri" w:hAnsi="Calibri"/>
        </w:rPr>
      </w:pPr>
      <w:r w:rsidRPr="00AD5A27">
        <w:t xml:space="preserve">The ESC recalled that the PBAC previously “noted only a proportion of patients in VISUAL I and VISUAL II were taking immunomodulating therapy at baseline (approximately 31% and 47%, respectively), and there was no evaluation of treatment </w:t>
      </w:r>
      <w:r w:rsidRPr="00AD5A27">
        <w:lastRenderedPageBreak/>
        <w:t>effect modification by use of immunomodulatory agents” (para. 7.6, ADA, PSD, March 2017 PBAC meeting). The ESC considered the impact of immunomodulatory therapy on the efficacy of adalimumab was uncertain, and considered that this remained a matter of concern, noting that the clinical criteria of the restriction requires uncontrolled disease despite use of immunotherapy.</w:t>
      </w:r>
      <w:r w:rsidR="00B37A42" w:rsidRPr="00AD5A27">
        <w:t xml:space="preserve"> The Pre-PBAC Response stated a subgroup analysis stratified by baseline immunomodulator therapy for the primary outcome in VISUAL </w:t>
      </w:r>
      <w:r w:rsidR="000B72F2" w:rsidRPr="00AD5A27">
        <w:t>II</w:t>
      </w:r>
      <w:r w:rsidR="00B37A42" w:rsidRPr="00AD5A27">
        <w:t xml:space="preserve"> demonstrated no difference in efficacy based on </w:t>
      </w:r>
      <w:r w:rsidR="004D7870" w:rsidRPr="00AD5A27">
        <w:t xml:space="preserve">this variable, suggesting immunomodulators are not a treatment effect modifier. </w:t>
      </w:r>
    </w:p>
    <w:p w14:paraId="3E0550C0" w14:textId="6BAA27F0" w:rsidR="002A66BB" w:rsidRPr="000B1458" w:rsidRDefault="002A66BB">
      <w:pPr>
        <w:pStyle w:val="3-BodyText"/>
        <w:rPr>
          <w:rFonts w:ascii="Calibri" w:hAnsi="Calibri"/>
        </w:rPr>
      </w:pPr>
      <w:bookmarkStart w:id="46" w:name="_Ref162362276"/>
      <w:r w:rsidRPr="00AD5A27">
        <w:t xml:space="preserve">The results from the VISUAL I and VISUAL II trials demonstrated that adalimumab had an inferior safety profile to placebo. In the VISUAL I (adalimumab: 12.6%% vs. placebo: 8.0%) and VISUAL II (adalimumab: 9.6% vs. placebo: 7.9%) trials a </w:t>
      </w:r>
      <w:r w:rsidR="000F7734" w:rsidRPr="00AD5A27">
        <w:t xml:space="preserve">higher </w:t>
      </w:r>
      <w:r w:rsidRPr="00AD5A27">
        <w:t xml:space="preserve">proportion of patients </w:t>
      </w:r>
      <w:r w:rsidR="00F81011">
        <w:t xml:space="preserve">treated with adalimumab </w:t>
      </w:r>
      <w:r w:rsidRPr="00AD5A27">
        <w:t xml:space="preserve">experienced severe adverse events. As noted </w:t>
      </w:r>
      <w:r w:rsidR="001E7633" w:rsidRPr="00AD5A27">
        <w:t>by the previous evaluation,</w:t>
      </w:r>
      <w:r w:rsidRPr="00AD5A27">
        <w:t xml:space="preserve"> the adverse event profile of adalimumab, including infections, tuberculosis, cancer and multiple sclerosis, is different to the adverse event profile of OCS, which include heart disease, osteoporosis, diabetes</w:t>
      </w:r>
      <w:r w:rsidR="00A459E5" w:rsidRPr="00AD5A27">
        <w:t>,</w:t>
      </w:r>
      <w:r w:rsidRPr="00AD5A27">
        <w:t xml:space="preserve"> and cataracts (para. 6.27, adalimumab, PSD, March 2017 PBAC meeting).</w:t>
      </w:r>
      <w:r w:rsidR="00CD1169" w:rsidRPr="00AD5A27">
        <w:t xml:space="preserve"> The ESC considered the evidence suggested adalimumab has an inferior safety profile to BSC, however acknowledged long-term use of corticosteroids is associated with known significant morbidities that were not captured in the clinical trials.</w:t>
      </w:r>
      <w:r w:rsidR="005B3215" w:rsidRPr="00AD5A27">
        <w:t xml:space="preserve"> </w:t>
      </w:r>
      <w:r w:rsidR="00B37A42" w:rsidRPr="00AD5A27">
        <w:t>The Pre-PBAC Response argued Australian real-world data provided through the consumer comments support a conclusion that adalimumab is a highly effective and steroid-sparing treatment and that the comments articulated the impacts and side effects of long-term, high dose corticosteroids.</w:t>
      </w:r>
      <w:bookmarkEnd w:id="46"/>
      <w:r w:rsidR="00B37A42" w:rsidRPr="00AD5A27">
        <w:t xml:space="preserve"> </w:t>
      </w:r>
    </w:p>
    <w:p w14:paraId="4DC1AD2C" w14:textId="2C5BC616" w:rsidR="000B1458" w:rsidRPr="00AD5A27" w:rsidRDefault="000B1458">
      <w:pPr>
        <w:pStyle w:val="3-BodyText"/>
        <w:rPr>
          <w:rFonts w:ascii="Calibri" w:hAnsi="Calibri"/>
        </w:rPr>
      </w:pPr>
      <w:r w:rsidRPr="00AD5A27">
        <w:t xml:space="preserve">The </w:t>
      </w:r>
      <w:r>
        <w:t>submission also claimed</w:t>
      </w:r>
      <w:r w:rsidRPr="00AD5A27">
        <w:t xml:space="preserve"> superior efficacy and comparable safety in the paediatric population. While the presented evidence suggested potential benefits of treatment with adalimumab for paediatric non-infectious uveitis, both the SYCAMORE and ADJUVITE trials had several limitations. These limitations included: small sample sizes (SYCAMORE: 90 patients, ADJUVITE: 32 patients), early termination of the SYCAMORE trial, a potential high risk of bias in the ADJUVITE trial, and the inclusion of JIA-associated uveitis only in the SYCAMORE trial. Furthermore, female representation was disproportionately high in both trials (SYCAMORE: 78% and ADJUVITE: 94% in the adalimumab arm), as such their broad applicability to the Australian population is uncertain. A detailed discussion of the trial characteristics is presented in the ‘Clinical trials and studies’ section above.</w:t>
      </w:r>
    </w:p>
    <w:p w14:paraId="25006A23" w14:textId="1445B92D" w:rsidR="00C43E65" w:rsidRPr="00C43E65" w:rsidRDefault="00C43E65" w:rsidP="00C43E65">
      <w:pPr>
        <w:widowControl w:val="0"/>
        <w:numPr>
          <w:ilvl w:val="1"/>
          <w:numId w:val="4"/>
        </w:numPr>
        <w:spacing w:after="120"/>
        <w:rPr>
          <w:rFonts w:asciiTheme="minorHAnsi" w:hAnsiTheme="minorHAnsi"/>
          <w:snapToGrid w:val="0"/>
          <w:szCs w:val="20"/>
        </w:rPr>
      </w:pPr>
      <w:bookmarkStart w:id="47" w:name="_Hlk76376200"/>
      <w:r>
        <w:rPr>
          <w:rFonts w:asciiTheme="minorHAnsi" w:hAnsiTheme="minorHAnsi"/>
          <w:iCs/>
          <w:snapToGrid w:val="0"/>
        </w:rPr>
        <w:t>T</w:t>
      </w:r>
      <w:r w:rsidRPr="00AD5A27">
        <w:rPr>
          <w:rFonts w:asciiTheme="minorHAnsi" w:hAnsiTheme="minorHAnsi"/>
          <w:iCs/>
          <w:snapToGrid w:val="0"/>
        </w:rPr>
        <w:t>he</w:t>
      </w:r>
      <w:r w:rsidRPr="00AD5A27">
        <w:rPr>
          <w:rFonts w:asciiTheme="minorHAnsi" w:hAnsiTheme="minorHAnsi"/>
          <w:snapToGrid w:val="0"/>
          <w:szCs w:val="20"/>
        </w:rPr>
        <w:t xml:space="preserve"> PBAC considered</w:t>
      </w:r>
      <w:r>
        <w:rPr>
          <w:rFonts w:asciiTheme="minorHAnsi" w:hAnsiTheme="minorHAnsi"/>
          <w:snapToGrid w:val="0"/>
          <w:szCs w:val="20"/>
        </w:rPr>
        <w:t xml:space="preserve"> that</w:t>
      </w:r>
      <w:r w:rsidRPr="00AD5A27">
        <w:rPr>
          <w:rFonts w:asciiTheme="minorHAnsi" w:hAnsiTheme="minorHAnsi"/>
          <w:snapToGrid w:val="0"/>
          <w:szCs w:val="20"/>
        </w:rPr>
        <w:t xml:space="preserve"> </w:t>
      </w:r>
      <w:r>
        <w:rPr>
          <w:rFonts w:asciiTheme="minorHAnsi" w:hAnsiTheme="minorHAnsi"/>
          <w:snapToGrid w:val="0"/>
          <w:szCs w:val="20"/>
        </w:rPr>
        <w:t xml:space="preserve">the magnitude of benefit of adalimumab over BSC in terms of uveitis flares was difficult to quantify due to </w:t>
      </w:r>
      <w:r w:rsidRPr="00AD5A27">
        <w:rPr>
          <w:rFonts w:asciiTheme="minorHAnsi" w:hAnsiTheme="minorHAnsi"/>
          <w:snapToGrid w:val="0"/>
          <w:szCs w:val="20"/>
        </w:rPr>
        <w:t xml:space="preserve">the design of the </w:t>
      </w:r>
      <w:r>
        <w:rPr>
          <w:rFonts w:asciiTheme="minorHAnsi" w:hAnsiTheme="minorHAnsi"/>
          <w:snapToGrid w:val="0"/>
          <w:szCs w:val="20"/>
        </w:rPr>
        <w:t xml:space="preserve">pivotal </w:t>
      </w:r>
      <w:r w:rsidRPr="00AD5A27">
        <w:rPr>
          <w:rFonts w:asciiTheme="minorHAnsi" w:hAnsiTheme="minorHAnsi"/>
          <w:snapToGrid w:val="0"/>
          <w:szCs w:val="20"/>
        </w:rPr>
        <w:t xml:space="preserve">trials </w:t>
      </w:r>
      <w:r>
        <w:rPr>
          <w:rFonts w:asciiTheme="minorHAnsi" w:hAnsiTheme="minorHAnsi"/>
          <w:snapToGrid w:val="0"/>
          <w:szCs w:val="20"/>
        </w:rPr>
        <w:t xml:space="preserve">which </w:t>
      </w:r>
      <w:r w:rsidRPr="00AD5A27">
        <w:rPr>
          <w:rFonts w:asciiTheme="minorHAnsi" w:hAnsiTheme="minorHAnsi"/>
          <w:snapToGrid w:val="0"/>
          <w:szCs w:val="20"/>
        </w:rPr>
        <w:t>precluded a comparison with OCS</w:t>
      </w:r>
      <w:r>
        <w:rPr>
          <w:rFonts w:asciiTheme="minorHAnsi" w:hAnsiTheme="minorHAnsi"/>
          <w:snapToGrid w:val="0"/>
          <w:szCs w:val="20"/>
        </w:rPr>
        <w:t>,</w:t>
      </w:r>
      <w:r w:rsidRPr="00AD5A27">
        <w:rPr>
          <w:rFonts w:asciiTheme="minorHAnsi" w:hAnsiTheme="minorHAnsi"/>
          <w:snapToGrid w:val="0"/>
          <w:szCs w:val="20"/>
        </w:rPr>
        <w:t xml:space="preserve"> </w:t>
      </w:r>
      <w:r>
        <w:rPr>
          <w:rFonts w:asciiTheme="minorHAnsi" w:hAnsiTheme="minorHAnsi"/>
          <w:snapToGrid w:val="0"/>
          <w:szCs w:val="20"/>
        </w:rPr>
        <w:t>and that the benefit in terms of ocular complications could not be directly assessed due to the lack of long term comparative data. However, the Committee considered t</w:t>
      </w:r>
      <w:r w:rsidRPr="00AD5A27">
        <w:rPr>
          <w:rFonts w:asciiTheme="minorHAnsi" w:hAnsiTheme="minorHAnsi"/>
          <w:snapToGrid w:val="0"/>
          <w:szCs w:val="20"/>
        </w:rPr>
        <w:t xml:space="preserve">he claim </w:t>
      </w:r>
      <w:r>
        <w:rPr>
          <w:rFonts w:asciiTheme="minorHAnsi" w:hAnsiTheme="minorHAnsi"/>
          <w:snapToGrid w:val="0"/>
          <w:szCs w:val="20"/>
        </w:rPr>
        <w:t xml:space="preserve">of superior efficacy of adalimumab over placebo </w:t>
      </w:r>
      <w:r w:rsidRPr="00AD5A27">
        <w:rPr>
          <w:rFonts w:asciiTheme="minorHAnsi" w:hAnsiTheme="minorHAnsi"/>
          <w:snapToGrid w:val="0"/>
          <w:szCs w:val="20"/>
        </w:rPr>
        <w:t>was supported.</w:t>
      </w:r>
      <w:r w:rsidRPr="00A55455">
        <w:rPr>
          <w:rFonts w:asciiTheme="minorHAnsi" w:hAnsiTheme="minorHAnsi"/>
          <w:snapToGrid w:val="0"/>
        </w:rPr>
        <w:t xml:space="preserve"> </w:t>
      </w:r>
    </w:p>
    <w:p w14:paraId="16B77B96" w14:textId="02F9045D" w:rsidR="002A66BB" w:rsidRPr="00C43E65" w:rsidRDefault="00492B01" w:rsidP="00C43E65">
      <w:pPr>
        <w:widowControl w:val="0"/>
        <w:numPr>
          <w:ilvl w:val="1"/>
          <w:numId w:val="4"/>
        </w:numPr>
        <w:spacing w:after="120"/>
        <w:rPr>
          <w:rFonts w:asciiTheme="minorHAnsi" w:hAnsiTheme="minorHAnsi"/>
          <w:snapToGrid w:val="0"/>
          <w:szCs w:val="20"/>
        </w:rPr>
      </w:pPr>
      <w:r w:rsidRPr="00AD5A27">
        <w:rPr>
          <w:rFonts w:asciiTheme="minorHAnsi" w:hAnsiTheme="minorHAnsi"/>
          <w:iCs/>
          <w:snapToGrid w:val="0"/>
        </w:rPr>
        <w:t xml:space="preserve">The PBAC agreed with the ESC and considered the available evidence suggested adalimumab has an inferior safety profile to BSC, but that a comparison to long-term </w:t>
      </w:r>
      <w:r w:rsidRPr="00AD5A27">
        <w:rPr>
          <w:rFonts w:asciiTheme="minorHAnsi" w:hAnsiTheme="minorHAnsi"/>
          <w:iCs/>
          <w:snapToGrid w:val="0"/>
        </w:rPr>
        <w:lastRenderedPageBreak/>
        <w:t>use of corticosteroids was not possible and acknowledged the known morbidities of long-term OCS could not be captured in the comparison.</w:t>
      </w:r>
      <w:r w:rsidRPr="00AD5A27">
        <w:rPr>
          <w:rFonts w:asciiTheme="minorHAnsi" w:hAnsiTheme="minorHAnsi"/>
          <w:snapToGrid w:val="0"/>
          <w:szCs w:val="20"/>
        </w:rPr>
        <w:t xml:space="preserve"> </w:t>
      </w:r>
      <w:bookmarkEnd w:id="47"/>
    </w:p>
    <w:p w14:paraId="180CE224" w14:textId="185EE7D5" w:rsidR="002A66BB" w:rsidRPr="00AD5A27" w:rsidRDefault="002A66BB" w:rsidP="00E41EB2">
      <w:pPr>
        <w:pStyle w:val="4-SubsectionHeading"/>
      </w:pPr>
      <w:bookmarkStart w:id="48" w:name="_Toc22897645"/>
      <w:bookmarkStart w:id="49" w:name="_Toc107927631"/>
      <w:bookmarkStart w:id="50" w:name="_Toc156988909"/>
      <w:bookmarkEnd w:id="17"/>
      <w:r w:rsidRPr="00AD5A27">
        <w:t>Economic analysis</w:t>
      </w:r>
      <w:bookmarkEnd w:id="48"/>
      <w:bookmarkEnd w:id="49"/>
      <w:bookmarkEnd w:id="50"/>
      <w:r w:rsidRPr="00AD5A27">
        <w:t xml:space="preserve"> </w:t>
      </w:r>
    </w:p>
    <w:p w14:paraId="61E6EBF5" w14:textId="77777777" w:rsidR="00693152" w:rsidRPr="00AD5A27" w:rsidRDefault="00072076" w:rsidP="001B24C3">
      <w:pPr>
        <w:pStyle w:val="3-BodyText"/>
        <w:rPr>
          <w:b/>
          <w:bCs/>
        </w:rPr>
      </w:pPr>
      <w:r w:rsidRPr="00AD5A27">
        <w:t xml:space="preserve">The resubmission presented a </w:t>
      </w:r>
      <w:r w:rsidR="00D60E86" w:rsidRPr="00AD5A27">
        <w:t xml:space="preserve">stepped </w:t>
      </w:r>
      <w:r w:rsidRPr="00AD5A27">
        <w:t xml:space="preserve">economic evaluation comparing </w:t>
      </w:r>
      <w:r w:rsidR="00732206" w:rsidRPr="00AD5A27">
        <w:t>ADA ± OCS vs. BSC ± OCS</w:t>
      </w:r>
      <w:r w:rsidR="009F0916" w:rsidRPr="00AD5A27">
        <w:t xml:space="preserve"> based on the pooled </w:t>
      </w:r>
      <w:r w:rsidR="00B00A7D" w:rsidRPr="00AD5A27">
        <w:t>results of the VISUAL I and VISUAL II trials</w:t>
      </w:r>
      <w:r w:rsidR="00732206" w:rsidRPr="00AD5A27">
        <w:t xml:space="preserve">. </w:t>
      </w:r>
      <w:r w:rsidR="002A66BB" w:rsidRPr="00AD5A27">
        <w:t>The type of economic evaluation presented was a cost-utility analysis</w:t>
      </w:r>
      <w:r w:rsidR="00B00A7D" w:rsidRPr="00AD5A27">
        <w:t xml:space="preserve"> (CUA)</w:t>
      </w:r>
      <w:r w:rsidR="002A66BB" w:rsidRPr="00AD5A27">
        <w:t>.</w:t>
      </w:r>
      <w:r w:rsidR="00B00A7D" w:rsidRPr="00AD5A27">
        <w:t xml:space="preserve"> Th</w:t>
      </w:r>
      <w:r w:rsidR="002900FE" w:rsidRPr="00AD5A27">
        <w:t>is</w:t>
      </w:r>
      <w:r w:rsidR="00B00A7D" w:rsidRPr="00AD5A27">
        <w:t xml:space="preserve"> approach remained unchanged from the March 2017 submission.</w:t>
      </w:r>
      <w:r w:rsidR="002A66BB" w:rsidRPr="00AD5A27">
        <w:t xml:space="preserve"> </w:t>
      </w:r>
    </w:p>
    <w:p w14:paraId="11B5569D" w14:textId="4C06567B" w:rsidR="00B00A7D" w:rsidRPr="00AD5A27" w:rsidRDefault="005469A4" w:rsidP="001B24C3">
      <w:pPr>
        <w:pStyle w:val="3-BodyText"/>
        <w:rPr>
          <w:b/>
          <w:bCs/>
        </w:rPr>
      </w:pPr>
      <w:r w:rsidRPr="00AD5A27">
        <w:t>An economic evaluation for the paediatric population was not presented.</w:t>
      </w:r>
      <w:r w:rsidR="00594B47" w:rsidRPr="00AD5A27">
        <w:t xml:space="preserve"> The PSCR argued that given there are limited clinical trial and epidemiological data on the paediatric population, the economic evaluation is based on the adult population; however also argued that if adalimumab is shown to be acceptably cost effective in the adult population, it would likely be equally or more cost effective in the paediatric population, where the consequences of irreversible ocular complications will accrue a greater disease burden and quality of life implications </w:t>
      </w:r>
      <w:r w:rsidR="00626660" w:rsidRPr="00AD5A27">
        <w:t xml:space="preserve">are experienced </w:t>
      </w:r>
      <w:r w:rsidR="00594B47" w:rsidRPr="00AD5A27">
        <w:t>over a lifetime.</w:t>
      </w:r>
      <w:r w:rsidR="00693152" w:rsidRPr="00AD5A27">
        <w:t xml:space="preserve"> </w:t>
      </w:r>
    </w:p>
    <w:p w14:paraId="414C3ED8" w14:textId="3258A0C1" w:rsidR="002A66BB" w:rsidRPr="00AD5A27" w:rsidRDefault="002A66BB">
      <w:pPr>
        <w:pStyle w:val="3-BodyText"/>
        <w:rPr>
          <w:b/>
          <w:bCs/>
        </w:rPr>
      </w:pPr>
      <w:r w:rsidRPr="00AD5A27">
        <w:fldChar w:fldCharType="begin" w:fldLock="1"/>
      </w:r>
      <w:r w:rsidRPr="00AD5A27">
        <w:instrText xml:space="preserve"> REF _Ref151556297 \h </w:instrText>
      </w:r>
      <w:r w:rsidR="003C063D" w:rsidRPr="00AD5A27">
        <w:instrText xml:space="preserve"> \* MERGEFORMAT </w:instrText>
      </w:r>
      <w:r w:rsidRPr="00AD5A27">
        <w:fldChar w:fldCharType="separate"/>
      </w:r>
      <w:r w:rsidR="00B510E9" w:rsidRPr="00AD5A27">
        <w:t>Table 9</w:t>
      </w:r>
      <w:r w:rsidRPr="00AD5A27">
        <w:fldChar w:fldCharType="end"/>
      </w:r>
      <w:r w:rsidRPr="00AD5A27">
        <w:t xml:space="preserve"> presents the key components of the economic model. </w:t>
      </w:r>
    </w:p>
    <w:p w14:paraId="2513AE0D" w14:textId="7BF85131" w:rsidR="002A66BB" w:rsidRPr="00AD5A27" w:rsidRDefault="002A66BB" w:rsidP="00E16AD8">
      <w:pPr>
        <w:pStyle w:val="Caption"/>
        <w:jc w:val="left"/>
        <w:rPr>
          <w:rStyle w:val="CommentReference"/>
          <w:b/>
          <w:szCs w:val="24"/>
        </w:rPr>
      </w:pPr>
      <w:bookmarkStart w:id="51" w:name="_Ref151556297"/>
      <w:r w:rsidRPr="00AD5A27">
        <w:t xml:space="preserve">Table </w:t>
      </w:r>
      <w:r w:rsidR="004050E4">
        <w:fldChar w:fldCharType="begin" w:fldLock="1"/>
      </w:r>
      <w:r w:rsidR="004050E4">
        <w:instrText xml:space="preserve"> SEQ Table \* ARABIC </w:instrText>
      </w:r>
      <w:r w:rsidR="004050E4">
        <w:fldChar w:fldCharType="separate"/>
      </w:r>
      <w:r w:rsidR="00B510E9" w:rsidRPr="00AD5A27">
        <w:t>9</w:t>
      </w:r>
      <w:r w:rsidR="004050E4">
        <w:fldChar w:fldCharType="end"/>
      </w:r>
      <w:bookmarkEnd w:id="51"/>
      <w:r w:rsidRPr="00AD5A27">
        <w:t>:</w:t>
      </w:r>
      <w:r w:rsidRPr="00AD5A27">
        <w:rPr>
          <w:rStyle w:val="CommentReference"/>
          <w:b/>
          <w:szCs w:val="24"/>
        </w:rPr>
        <w:t xml:space="preserve"> Summary of model structure, key inputs and rationale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9: Summary of model structure, key inputs and rationale in the resubmission"/>
      </w:tblPr>
      <w:tblGrid>
        <w:gridCol w:w="1151"/>
        <w:gridCol w:w="2117"/>
        <w:gridCol w:w="1978"/>
        <w:gridCol w:w="3771"/>
      </w:tblGrid>
      <w:tr w:rsidR="001703EB" w:rsidRPr="00AD5A27" w14:paraId="7EF009D7" w14:textId="77777777" w:rsidTr="002C3305">
        <w:trPr>
          <w:trHeight w:val="237"/>
          <w:tblHeader/>
        </w:trPr>
        <w:tc>
          <w:tcPr>
            <w:tcW w:w="638" w:type="pct"/>
            <w:shd w:val="clear" w:color="auto" w:fill="auto"/>
            <w:vAlign w:val="center"/>
          </w:tcPr>
          <w:p w14:paraId="0C9ED345" w14:textId="77777777" w:rsidR="001703EB" w:rsidRPr="00AD5A27" w:rsidRDefault="001703EB" w:rsidP="001703EB">
            <w:pPr>
              <w:pStyle w:val="In-tableHeading"/>
              <w:jc w:val="center"/>
              <w:rPr>
                <w:lang w:val="en-AU"/>
              </w:rPr>
            </w:pPr>
            <w:r w:rsidRPr="00AD5A27">
              <w:rPr>
                <w:lang w:val="en-AU"/>
              </w:rPr>
              <w:t>Component</w:t>
            </w:r>
          </w:p>
        </w:tc>
        <w:tc>
          <w:tcPr>
            <w:tcW w:w="1174" w:type="pct"/>
            <w:vAlign w:val="center"/>
          </w:tcPr>
          <w:p w14:paraId="441BB883" w14:textId="77777777" w:rsidR="001703EB" w:rsidRPr="00AD5A27" w:rsidRDefault="001703EB" w:rsidP="001703EB">
            <w:pPr>
              <w:pStyle w:val="In-tableHeading"/>
              <w:jc w:val="center"/>
              <w:rPr>
                <w:lang w:val="en-AU"/>
              </w:rPr>
            </w:pPr>
            <w:r w:rsidRPr="00AD5A27">
              <w:rPr>
                <w:lang w:val="en-AU"/>
              </w:rPr>
              <w:t>March 2017 submission</w:t>
            </w:r>
          </w:p>
        </w:tc>
        <w:tc>
          <w:tcPr>
            <w:tcW w:w="3187" w:type="pct"/>
            <w:gridSpan w:val="2"/>
            <w:vAlign w:val="center"/>
          </w:tcPr>
          <w:p w14:paraId="76824723" w14:textId="77777777" w:rsidR="001703EB" w:rsidRPr="00AD5A27" w:rsidRDefault="001703EB" w:rsidP="001703EB">
            <w:pPr>
              <w:pStyle w:val="In-tableHeading"/>
              <w:keepNext w:val="0"/>
              <w:jc w:val="center"/>
              <w:rPr>
                <w:lang w:val="en-AU"/>
              </w:rPr>
            </w:pPr>
            <w:r w:rsidRPr="00AD5A27">
              <w:rPr>
                <w:lang w:val="en-AU"/>
              </w:rPr>
              <w:t>Resubmission</w:t>
            </w:r>
          </w:p>
        </w:tc>
      </w:tr>
      <w:tr w:rsidR="001703EB" w:rsidRPr="00AD5A27" w14:paraId="4514F07C" w14:textId="77777777" w:rsidTr="002C3305">
        <w:tc>
          <w:tcPr>
            <w:tcW w:w="638" w:type="pct"/>
            <w:tcBorders>
              <w:bottom w:val="nil"/>
            </w:tcBorders>
            <w:shd w:val="clear" w:color="auto" w:fill="auto"/>
          </w:tcPr>
          <w:p w14:paraId="20C28D39" w14:textId="77777777" w:rsidR="001703EB" w:rsidRPr="00AD5A27" w:rsidRDefault="001703EB" w:rsidP="001703EB">
            <w:pPr>
              <w:pStyle w:val="TableText0"/>
              <w:keepNext w:val="0"/>
            </w:pPr>
            <w:r w:rsidRPr="00AD5A27">
              <w:t>Target PBS population</w:t>
            </w:r>
          </w:p>
        </w:tc>
        <w:tc>
          <w:tcPr>
            <w:tcW w:w="1174" w:type="pct"/>
          </w:tcPr>
          <w:p w14:paraId="62B098F9" w14:textId="5418A118" w:rsidR="001703EB" w:rsidRPr="00AD5A27" w:rsidRDefault="001703EB" w:rsidP="001703EB">
            <w:pPr>
              <w:pStyle w:val="TableText0"/>
              <w:keepNext w:val="0"/>
            </w:pPr>
            <w:r w:rsidRPr="00AD5A27">
              <w:t xml:space="preserve">Vision threatening NIIPPU </w:t>
            </w:r>
          </w:p>
        </w:tc>
        <w:tc>
          <w:tcPr>
            <w:tcW w:w="3187" w:type="pct"/>
            <w:gridSpan w:val="2"/>
          </w:tcPr>
          <w:p w14:paraId="2BE97D6C" w14:textId="4FE90570" w:rsidR="001703EB" w:rsidRPr="00AD5A27" w:rsidRDefault="001703EB" w:rsidP="001703EB">
            <w:pPr>
              <w:pStyle w:val="TableText0"/>
              <w:keepNext w:val="0"/>
            </w:pPr>
            <w:r w:rsidRPr="00AD5A27">
              <w:t>Vision threatening non-infectious uveitis</w:t>
            </w:r>
            <w:r w:rsidR="00626660" w:rsidRPr="00AD5A27">
              <w:t>.</w:t>
            </w:r>
          </w:p>
          <w:p w14:paraId="377D6077" w14:textId="77777777" w:rsidR="001703EB" w:rsidRPr="00AD5A27" w:rsidRDefault="001703EB" w:rsidP="001703EB">
            <w:pPr>
              <w:pStyle w:val="TableText0"/>
              <w:keepNext w:val="0"/>
            </w:pPr>
          </w:p>
          <w:p w14:paraId="5FEA92F7" w14:textId="77777777" w:rsidR="001703EB" w:rsidRPr="00AD5A27" w:rsidRDefault="001703EB" w:rsidP="001703EB">
            <w:pPr>
              <w:pStyle w:val="TableText0"/>
              <w:keepNext w:val="0"/>
            </w:pPr>
            <w:r w:rsidRPr="00AD5A27">
              <w:t>The resubmission removed the reference to specific anatomic locations from the proposed patient population definition. The applicability of the economic model results to patients with anterior disease was unclear.</w:t>
            </w:r>
          </w:p>
        </w:tc>
      </w:tr>
      <w:tr w:rsidR="001703EB" w:rsidRPr="00AD5A27" w14:paraId="67F92735" w14:textId="77777777" w:rsidTr="002C3305">
        <w:tc>
          <w:tcPr>
            <w:tcW w:w="638" w:type="pct"/>
            <w:shd w:val="clear" w:color="auto" w:fill="B8CCE4" w:themeFill="accent1" w:themeFillTint="66"/>
          </w:tcPr>
          <w:p w14:paraId="07697C1B" w14:textId="77777777" w:rsidR="001703EB" w:rsidRPr="00AD5A27" w:rsidRDefault="001703EB" w:rsidP="001703EB">
            <w:pPr>
              <w:pStyle w:val="TableText0"/>
              <w:keepNext w:val="0"/>
            </w:pPr>
            <w:r w:rsidRPr="00AD5A27">
              <w:t>Model population</w:t>
            </w:r>
          </w:p>
        </w:tc>
        <w:tc>
          <w:tcPr>
            <w:tcW w:w="1174" w:type="pct"/>
            <w:shd w:val="clear" w:color="auto" w:fill="B8CCE4" w:themeFill="accent1" w:themeFillTint="66"/>
          </w:tcPr>
          <w:p w14:paraId="74CAD313" w14:textId="77777777" w:rsidR="001703EB" w:rsidRPr="00AD5A27" w:rsidRDefault="001703EB" w:rsidP="001703EB">
            <w:pPr>
              <w:pStyle w:val="TableText0"/>
              <w:keepNext w:val="0"/>
            </w:pPr>
            <w:r w:rsidRPr="00AD5A27">
              <w:t xml:space="preserve">Entry age: </w:t>
            </w:r>
            <w:r w:rsidRPr="00AD5A27">
              <w:rPr>
                <w:shd w:val="clear" w:color="auto" w:fill="B8CCE4" w:themeFill="accent1" w:themeFillTint="66"/>
              </w:rPr>
              <w:t xml:space="preserve">43 </w:t>
            </w:r>
            <w:r w:rsidRPr="00AD5A27">
              <w:t xml:space="preserve">years, </w:t>
            </w:r>
            <w:r w:rsidRPr="00AD5A27">
              <w:rPr>
                <w:shd w:val="clear" w:color="auto" w:fill="B8CCE4" w:themeFill="accent1" w:themeFillTint="66"/>
              </w:rPr>
              <w:t>57%</w:t>
            </w:r>
            <w:r w:rsidRPr="00AD5A27">
              <w:t xml:space="preserve"> female (based on VISUAL I)</w:t>
            </w:r>
          </w:p>
        </w:tc>
        <w:tc>
          <w:tcPr>
            <w:tcW w:w="3187" w:type="pct"/>
            <w:gridSpan w:val="2"/>
            <w:shd w:val="clear" w:color="auto" w:fill="B8CCE4" w:themeFill="accent1" w:themeFillTint="66"/>
          </w:tcPr>
          <w:p w14:paraId="241073BE" w14:textId="1A546508" w:rsidR="001703EB" w:rsidRPr="00AD5A27" w:rsidRDefault="001703EB" w:rsidP="001703EB">
            <w:pPr>
              <w:pStyle w:val="TableText0"/>
              <w:keepNext w:val="0"/>
            </w:pPr>
            <w:r w:rsidRPr="00AD5A27">
              <w:t>No change</w:t>
            </w:r>
            <w:r w:rsidR="006A385D" w:rsidRPr="00AD5A27">
              <w:t>.</w:t>
            </w:r>
          </w:p>
          <w:p w14:paraId="2F68F12D" w14:textId="76A602DF" w:rsidR="001703EB" w:rsidRPr="00AD5A27" w:rsidRDefault="00A00BBF" w:rsidP="002C3305">
            <w:pPr>
              <w:pStyle w:val="TableText0"/>
              <w:keepNext w:val="0"/>
            </w:pPr>
            <w:r>
              <w:t>Reducing</w:t>
            </w:r>
            <w:r w:rsidRPr="00AD5A27">
              <w:t xml:space="preserve"> </w:t>
            </w:r>
            <w:r w:rsidR="001703EB" w:rsidRPr="00AD5A27">
              <w:t>the mean age to 36.6 years</w:t>
            </w:r>
            <w:r>
              <w:t xml:space="preserve"> based on Australian observational studies</w:t>
            </w:r>
            <w:r w:rsidR="001703EB" w:rsidRPr="00AD5A27">
              <w:t xml:space="preserve"> </w:t>
            </w:r>
            <w:r>
              <w:t xml:space="preserve">(Lee et al. (2018); Say et al. (2021)) </w:t>
            </w:r>
            <w:r w:rsidR="001703EB" w:rsidRPr="00AD5A27">
              <w:t>had a minimal impact on the ICER.</w:t>
            </w:r>
          </w:p>
        </w:tc>
      </w:tr>
      <w:tr w:rsidR="001703EB" w:rsidRPr="00AD5A27" w14:paraId="56188E19" w14:textId="77777777" w:rsidTr="002C3305">
        <w:tc>
          <w:tcPr>
            <w:tcW w:w="638" w:type="pct"/>
            <w:shd w:val="clear" w:color="auto" w:fill="B8CCE4" w:themeFill="accent1" w:themeFillTint="66"/>
          </w:tcPr>
          <w:p w14:paraId="5C62109E" w14:textId="77777777" w:rsidR="001703EB" w:rsidRPr="00AD5A27" w:rsidRDefault="001703EB" w:rsidP="001703EB">
            <w:pPr>
              <w:pStyle w:val="TableText0"/>
              <w:keepNext w:val="0"/>
            </w:pPr>
            <w:r w:rsidRPr="00AD5A27">
              <w:t>Treatments</w:t>
            </w:r>
          </w:p>
        </w:tc>
        <w:tc>
          <w:tcPr>
            <w:tcW w:w="1174" w:type="pct"/>
            <w:shd w:val="clear" w:color="auto" w:fill="B8CCE4" w:themeFill="accent1" w:themeFillTint="66"/>
          </w:tcPr>
          <w:p w14:paraId="39245A9C" w14:textId="77777777" w:rsidR="001703EB" w:rsidRPr="00AD5A27" w:rsidRDefault="001703EB" w:rsidP="001703EB">
            <w:pPr>
              <w:pStyle w:val="TableText0"/>
              <w:keepNext w:val="0"/>
            </w:pPr>
            <w:r w:rsidRPr="00AD5A27">
              <w:t xml:space="preserve">ADA ± OCS vs. </w:t>
            </w:r>
          </w:p>
          <w:p w14:paraId="42B4EB03" w14:textId="77777777" w:rsidR="001703EB" w:rsidRPr="00AD5A27" w:rsidRDefault="001703EB" w:rsidP="001703EB">
            <w:pPr>
              <w:pStyle w:val="TableText0"/>
              <w:keepNext w:val="0"/>
            </w:pPr>
            <w:r w:rsidRPr="00AD5A27">
              <w:t>BSC ± OCS.</w:t>
            </w:r>
          </w:p>
          <w:p w14:paraId="31A8B1D9" w14:textId="77777777" w:rsidR="001703EB" w:rsidRPr="00AD5A27" w:rsidRDefault="001703EB" w:rsidP="001703EB">
            <w:pPr>
              <w:pStyle w:val="TableText0"/>
              <w:keepNext w:val="0"/>
            </w:pPr>
            <w:r w:rsidRPr="00AD5A27">
              <w:t xml:space="preserve">Both treatment arms received OCS tapered over </w:t>
            </w:r>
            <w:r w:rsidRPr="00AD5A27">
              <w:rPr>
                <w:shd w:val="clear" w:color="auto" w:fill="B8CCE4" w:themeFill="accent1" w:themeFillTint="66"/>
              </w:rPr>
              <w:t>4 months</w:t>
            </w:r>
            <w:r w:rsidRPr="00AD5A27">
              <w:t>.</w:t>
            </w:r>
          </w:p>
          <w:p w14:paraId="2FBBB0EB" w14:textId="77777777" w:rsidR="001703EB" w:rsidRPr="00AD5A27" w:rsidRDefault="001703EB" w:rsidP="001703EB">
            <w:pPr>
              <w:pStyle w:val="TableText0"/>
              <w:keepNext w:val="0"/>
            </w:pPr>
            <w:r w:rsidRPr="00AD5A27">
              <w:t>Patients who experienced a flare (acute ocular complications) also received OCS.</w:t>
            </w:r>
          </w:p>
        </w:tc>
        <w:tc>
          <w:tcPr>
            <w:tcW w:w="3187" w:type="pct"/>
            <w:gridSpan w:val="2"/>
            <w:shd w:val="clear" w:color="auto" w:fill="B8CCE4" w:themeFill="accent1" w:themeFillTint="66"/>
          </w:tcPr>
          <w:p w14:paraId="4E7EEE1A" w14:textId="77777777" w:rsidR="001703EB" w:rsidRPr="00AD5A27" w:rsidRDefault="001703EB" w:rsidP="001703EB">
            <w:pPr>
              <w:pStyle w:val="TableText0"/>
              <w:keepNext w:val="0"/>
            </w:pPr>
            <w:r w:rsidRPr="00AD5A27">
              <w:t>No change.</w:t>
            </w:r>
          </w:p>
          <w:p w14:paraId="76814744" w14:textId="77777777" w:rsidR="001703EB" w:rsidRPr="00AD5A27" w:rsidRDefault="001703EB" w:rsidP="001703EB">
            <w:pPr>
              <w:pStyle w:val="TableText0"/>
              <w:keepNext w:val="0"/>
            </w:pPr>
          </w:p>
          <w:p w14:paraId="7D32DA82" w14:textId="77777777" w:rsidR="005020C7" w:rsidRPr="00AD5A27" w:rsidRDefault="001703EB" w:rsidP="001703EB">
            <w:pPr>
              <w:pStyle w:val="TableText0"/>
              <w:keepNext w:val="0"/>
            </w:pPr>
            <w:r w:rsidRPr="00AD5A27">
              <w:t xml:space="preserve">Tapering of OCS in clinical practice may take longer than 4 months depending on the treatment response (Airody et al. 2015 and Foster et al. 2016). </w:t>
            </w:r>
          </w:p>
          <w:p w14:paraId="5897E427" w14:textId="3F1BE0A9" w:rsidR="001703EB" w:rsidRPr="00AD5A27" w:rsidRDefault="001703EB" w:rsidP="001703EB">
            <w:pPr>
              <w:pStyle w:val="TableText0"/>
              <w:keepNext w:val="0"/>
            </w:pPr>
            <w:r w:rsidRPr="00AD5A27">
              <w:t>The PBAC previously noted that “corticosteroid tapering will vary depending on clinician preference as well as disease severity and response, and in severe cases patients have at least two to three courses of corticosteroid treatment per yea</w:t>
            </w:r>
            <w:r w:rsidR="002C165A" w:rsidRPr="00AD5A27">
              <w:t>r</w:t>
            </w:r>
            <w:r w:rsidRPr="00AD5A27">
              <w:t>” (para. 7.5, ADA</w:t>
            </w:r>
            <w:r w:rsidR="005020C7" w:rsidRPr="00AD5A27">
              <w:t>,</w:t>
            </w:r>
            <w:r w:rsidRPr="00AD5A27">
              <w:t xml:space="preserve"> PSD, March 2017 PBAC meeting). </w:t>
            </w:r>
          </w:p>
        </w:tc>
      </w:tr>
      <w:tr w:rsidR="001703EB" w:rsidRPr="00AD5A27" w14:paraId="24E4CF20" w14:textId="77777777" w:rsidTr="002C3305">
        <w:tc>
          <w:tcPr>
            <w:tcW w:w="638" w:type="pct"/>
            <w:shd w:val="clear" w:color="auto" w:fill="B8CCE4" w:themeFill="accent1" w:themeFillTint="66"/>
          </w:tcPr>
          <w:p w14:paraId="07103E6F" w14:textId="77777777" w:rsidR="001703EB" w:rsidRPr="00AD5A27" w:rsidRDefault="001703EB" w:rsidP="001703EB">
            <w:pPr>
              <w:pStyle w:val="TableText0"/>
              <w:keepNext w:val="0"/>
            </w:pPr>
            <w:r w:rsidRPr="00AD5A27">
              <w:t>Outcomes</w:t>
            </w:r>
          </w:p>
        </w:tc>
        <w:tc>
          <w:tcPr>
            <w:tcW w:w="1174" w:type="pct"/>
            <w:shd w:val="clear" w:color="auto" w:fill="B8CCE4" w:themeFill="accent1" w:themeFillTint="66"/>
          </w:tcPr>
          <w:p w14:paraId="1537EAA4" w14:textId="77777777" w:rsidR="001703EB" w:rsidRPr="00AD5A27" w:rsidRDefault="001703EB" w:rsidP="001703EB">
            <w:pPr>
              <w:pStyle w:val="TableText0"/>
              <w:keepNext w:val="0"/>
            </w:pPr>
            <w:r w:rsidRPr="00AD5A27">
              <w:t>Proportion of patients free of ocular complications, QALYs.</w:t>
            </w:r>
          </w:p>
        </w:tc>
        <w:tc>
          <w:tcPr>
            <w:tcW w:w="3187" w:type="pct"/>
            <w:gridSpan w:val="2"/>
            <w:shd w:val="clear" w:color="auto" w:fill="B8CCE4" w:themeFill="accent1" w:themeFillTint="66"/>
          </w:tcPr>
          <w:p w14:paraId="1D313F8A" w14:textId="77777777" w:rsidR="001703EB" w:rsidRPr="00AD5A27" w:rsidRDefault="001703EB" w:rsidP="001703EB">
            <w:pPr>
              <w:pStyle w:val="TableText0"/>
              <w:keepNext w:val="0"/>
            </w:pPr>
            <w:r w:rsidRPr="00AD5A27">
              <w:t xml:space="preserve">Proportion of patients free of flare / failure, life years gained, QALYs. </w:t>
            </w:r>
          </w:p>
          <w:p w14:paraId="055F6030" w14:textId="77777777" w:rsidR="001703EB" w:rsidRPr="00AD5A27" w:rsidRDefault="001703EB" w:rsidP="001703EB">
            <w:pPr>
              <w:pStyle w:val="TableText0"/>
              <w:keepNext w:val="0"/>
            </w:pPr>
          </w:p>
          <w:p w14:paraId="36F9B6C1" w14:textId="5FB67B1D" w:rsidR="001703EB" w:rsidRPr="00AD5A27" w:rsidRDefault="001703EB" w:rsidP="001703EB">
            <w:pPr>
              <w:pStyle w:val="TableText0"/>
              <w:keepNext w:val="0"/>
            </w:pPr>
          </w:p>
        </w:tc>
      </w:tr>
      <w:tr w:rsidR="001703EB" w:rsidRPr="00AD5A27" w14:paraId="77EB3069" w14:textId="77777777" w:rsidTr="002C3305">
        <w:tc>
          <w:tcPr>
            <w:tcW w:w="638" w:type="pct"/>
            <w:shd w:val="clear" w:color="auto" w:fill="B8CCE4" w:themeFill="accent1" w:themeFillTint="66"/>
          </w:tcPr>
          <w:p w14:paraId="78EABD43" w14:textId="77777777" w:rsidR="001703EB" w:rsidRPr="00AD5A27" w:rsidRDefault="001703EB" w:rsidP="001703EB">
            <w:pPr>
              <w:pStyle w:val="TableText0"/>
              <w:keepNext w:val="0"/>
            </w:pPr>
            <w:r w:rsidRPr="00AD5A27">
              <w:t>Methods used to generate results</w:t>
            </w:r>
          </w:p>
        </w:tc>
        <w:tc>
          <w:tcPr>
            <w:tcW w:w="1174" w:type="pct"/>
            <w:shd w:val="clear" w:color="auto" w:fill="B8CCE4" w:themeFill="accent1" w:themeFillTint="66"/>
          </w:tcPr>
          <w:p w14:paraId="606BADD9" w14:textId="77777777" w:rsidR="001703EB" w:rsidRPr="00AD5A27" w:rsidRDefault="001703EB" w:rsidP="001703EB">
            <w:pPr>
              <w:pStyle w:val="TableText0"/>
              <w:keepNext w:val="0"/>
            </w:pPr>
            <w:r w:rsidRPr="00AD5A27">
              <w:t xml:space="preserve">Markov cohort analysis, </w:t>
            </w:r>
            <w:r w:rsidRPr="00AD5A27">
              <w:rPr>
                <w:shd w:val="clear" w:color="auto" w:fill="B8CCE4" w:themeFill="accent1" w:themeFillTint="66"/>
              </w:rPr>
              <w:t>1-month</w:t>
            </w:r>
            <w:r w:rsidRPr="00AD5A27">
              <w:t xml:space="preserve"> cycles; half cycle correction.</w:t>
            </w:r>
          </w:p>
        </w:tc>
        <w:tc>
          <w:tcPr>
            <w:tcW w:w="3187" w:type="pct"/>
            <w:gridSpan w:val="2"/>
            <w:shd w:val="clear" w:color="auto" w:fill="B8CCE4" w:themeFill="accent1" w:themeFillTint="66"/>
          </w:tcPr>
          <w:p w14:paraId="1DF93713" w14:textId="77777777" w:rsidR="001703EB" w:rsidRPr="00AD5A27" w:rsidRDefault="001703EB" w:rsidP="001703EB">
            <w:pPr>
              <w:pStyle w:val="TableText0"/>
              <w:keepNext w:val="0"/>
            </w:pPr>
            <w:r w:rsidRPr="00AD5A27">
              <w:t>No change</w:t>
            </w:r>
          </w:p>
          <w:p w14:paraId="7CC29430" w14:textId="77777777" w:rsidR="001703EB" w:rsidRPr="00AD5A27" w:rsidRDefault="001703EB" w:rsidP="001703EB">
            <w:pPr>
              <w:pStyle w:val="TableText0"/>
              <w:keepNext w:val="0"/>
            </w:pPr>
          </w:p>
          <w:p w14:paraId="4FBBEFCB" w14:textId="769DE98A" w:rsidR="001703EB" w:rsidRPr="00AD5A27" w:rsidRDefault="001703EB" w:rsidP="001703EB">
            <w:pPr>
              <w:pStyle w:val="TableText0"/>
              <w:keepNext w:val="0"/>
            </w:pPr>
          </w:p>
        </w:tc>
      </w:tr>
      <w:tr w:rsidR="001703EB" w:rsidRPr="00AD5A27" w14:paraId="17770004" w14:textId="77777777" w:rsidTr="002C3305">
        <w:tc>
          <w:tcPr>
            <w:tcW w:w="638" w:type="pct"/>
            <w:shd w:val="clear" w:color="auto" w:fill="auto"/>
          </w:tcPr>
          <w:p w14:paraId="14AD1B0B" w14:textId="77777777" w:rsidR="001703EB" w:rsidRPr="00AD5A27" w:rsidRDefault="001703EB" w:rsidP="001703EB">
            <w:pPr>
              <w:pStyle w:val="TableText0"/>
              <w:keepNext w:val="0"/>
            </w:pPr>
            <w:r w:rsidRPr="00AD5A27">
              <w:t>Time horizon</w:t>
            </w:r>
          </w:p>
        </w:tc>
        <w:tc>
          <w:tcPr>
            <w:tcW w:w="1174" w:type="pct"/>
            <w:shd w:val="clear" w:color="auto" w:fill="B8CCE4" w:themeFill="accent1" w:themeFillTint="66"/>
          </w:tcPr>
          <w:p w14:paraId="4FF321E1" w14:textId="77777777" w:rsidR="001703EB" w:rsidRPr="00AD5A27" w:rsidRDefault="001703EB" w:rsidP="001703EB">
            <w:pPr>
              <w:pStyle w:val="TableText0"/>
              <w:keepNext w:val="0"/>
            </w:pPr>
            <w:r w:rsidRPr="00AD5A27">
              <w:rPr>
                <w:shd w:val="clear" w:color="auto" w:fill="B8CCE4" w:themeFill="accent1" w:themeFillTint="66"/>
              </w:rPr>
              <w:t>Lifetime</w:t>
            </w:r>
            <w:r w:rsidRPr="00AD5A27">
              <w:t xml:space="preserve"> (up to </w:t>
            </w:r>
            <w:r w:rsidRPr="00AD5A27">
              <w:rPr>
                <w:shd w:val="clear" w:color="auto" w:fill="B8CCE4" w:themeFill="accent1" w:themeFillTint="66"/>
              </w:rPr>
              <w:t xml:space="preserve">57 </w:t>
            </w:r>
            <w:r w:rsidRPr="00AD5A27">
              <w:t xml:space="preserve">years, maximum age </w:t>
            </w:r>
            <w:r w:rsidRPr="00AD5A27">
              <w:rPr>
                <w:shd w:val="clear" w:color="auto" w:fill="B8CCE4" w:themeFill="accent1" w:themeFillTint="66"/>
              </w:rPr>
              <w:t xml:space="preserve">100 </w:t>
            </w:r>
            <w:r w:rsidRPr="00AD5A27">
              <w:t xml:space="preserve">years) in the model base case vs. up to </w:t>
            </w:r>
            <w:r w:rsidRPr="00AD5A27">
              <w:rPr>
                <w:shd w:val="clear" w:color="auto" w:fill="B8CCE4" w:themeFill="accent1" w:themeFillTint="66"/>
              </w:rPr>
              <w:t>80 weeks</w:t>
            </w:r>
            <w:r w:rsidRPr="00AD5A27">
              <w:t xml:space="preserve"> in the VISUAL I trial (median duration of treatment </w:t>
            </w:r>
            <w:r w:rsidRPr="00AD5A27">
              <w:rPr>
                <w:shd w:val="clear" w:color="auto" w:fill="B8CCE4" w:themeFill="accent1" w:themeFillTint="66"/>
              </w:rPr>
              <w:t>13 weeks</w:t>
            </w:r>
            <w:r w:rsidRPr="00AD5A27">
              <w:t xml:space="preserve"> for </w:t>
            </w:r>
            <w:r w:rsidRPr="00AD5A27">
              <w:lastRenderedPageBreak/>
              <w:t xml:space="preserve">placebo; </w:t>
            </w:r>
            <w:r w:rsidRPr="00AD5A27">
              <w:rPr>
                <w:shd w:val="clear" w:color="auto" w:fill="B8CCE4" w:themeFill="accent1" w:themeFillTint="66"/>
              </w:rPr>
              <w:t>19 weeks</w:t>
            </w:r>
            <w:r w:rsidRPr="00AD5A27">
              <w:t xml:space="preserve"> for ADA).</w:t>
            </w:r>
          </w:p>
        </w:tc>
        <w:tc>
          <w:tcPr>
            <w:tcW w:w="3187" w:type="pct"/>
            <w:gridSpan w:val="2"/>
          </w:tcPr>
          <w:p w14:paraId="3D678703" w14:textId="67DB4DCA" w:rsidR="001703EB" w:rsidRPr="00AD5A27" w:rsidRDefault="001703EB" w:rsidP="001703EB">
            <w:pPr>
              <w:pStyle w:val="TableText0"/>
              <w:keepNext w:val="0"/>
            </w:pPr>
            <w:r w:rsidRPr="00AD5A27">
              <w:rPr>
                <w:shd w:val="clear" w:color="auto" w:fill="B8CCE4" w:themeFill="accent1" w:themeFillTint="66"/>
              </w:rPr>
              <w:lastRenderedPageBreak/>
              <w:t>No change</w:t>
            </w:r>
            <w:r w:rsidR="00D0236A" w:rsidRPr="00AD5A27">
              <w:rPr>
                <w:shd w:val="clear" w:color="auto" w:fill="B8CCE4" w:themeFill="accent1" w:themeFillTint="66"/>
              </w:rPr>
              <w:t>.</w:t>
            </w:r>
            <w:r w:rsidR="00D0236A" w:rsidRPr="00AD5A27">
              <w:t xml:space="preserve"> The submission </w:t>
            </w:r>
            <w:r w:rsidRPr="00AD5A27">
              <w:t>explored the impact of a time horizon of 10 and 20 years in one-way SA (</w:t>
            </w:r>
            <w:r w:rsidRPr="00AD5A27">
              <w:fldChar w:fldCharType="begin" w:fldLock="1"/>
            </w:r>
            <w:r w:rsidRPr="00AD5A27">
              <w:instrText xml:space="preserve"> REF _Ref153208998 \h </w:instrText>
            </w:r>
            <w:r w:rsidR="003C063D" w:rsidRPr="00AD5A27">
              <w:instrText xml:space="preserve"> \* MERGEFORMAT </w:instrText>
            </w:r>
            <w:r w:rsidRPr="00AD5A27">
              <w:fldChar w:fldCharType="separate"/>
            </w:r>
            <w:r w:rsidR="00B510E9" w:rsidRPr="00AD5A27">
              <w:t>Table 14</w:t>
            </w:r>
            <w:r w:rsidRPr="00AD5A27">
              <w:fldChar w:fldCharType="end"/>
            </w:r>
            <w:r w:rsidRPr="00AD5A27">
              <w:t>).</w:t>
            </w:r>
          </w:p>
          <w:p w14:paraId="47B34280" w14:textId="77777777" w:rsidR="001703EB" w:rsidRPr="00AD5A27" w:rsidRDefault="001703EB" w:rsidP="001703EB">
            <w:pPr>
              <w:pStyle w:val="TableText0"/>
              <w:keepNext w:val="0"/>
            </w:pPr>
          </w:p>
          <w:p w14:paraId="2EBD3D91" w14:textId="1F5C6628" w:rsidR="001703EB" w:rsidRPr="00AD5A27" w:rsidRDefault="001703EB" w:rsidP="00A00BBF">
            <w:pPr>
              <w:pStyle w:val="TableText0"/>
              <w:keepNext w:val="0"/>
            </w:pPr>
          </w:p>
          <w:p w14:paraId="03B68918" w14:textId="77777777" w:rsidR="00E612AD" w:rsidRPr="00AD5A27" w:rsidRDefault="00E612AD" w:rsidP="001703EB">
            <w:pPr>
              <w:pStyle w:val="TableText0"/>
              <w:keepNext w:val="0"/>
            </w:pPr>
          </w:p>
          <w:p w14:paraId="430AFC1F" w14:textId="68526575" w:rsidR="00E612AD" w:rsidRPr="00AD5A27" w:rsidRDefault="00E612AD" w:rsidP="001703EB">
            <w:pPr>
              <w:pStyle w:val="TableText0"/>
              <w:keepNext w:val="0"/>
            </w:pPr>
          </w:p>
        </w:tc>
      </w:tr>
      <w:tr w:rsidR="001703EB" w:rsidRPr="00AD5A27" w14:paraId="03FB26EE" w14:textId="77777777" w:rsidTr="002C3305">
        <w:tc>
          <w:tcPr>
            <w:tcW w:w="638" w:type="pct"/>
            <w:tcBorders>
              <w:bottom w:val="single" w:sz="4" w:space="0" w:color="auto"/>
            </w:tcBorders>
          </w:tcPr>
          <w:p w14:paraId="4B484942" w14:textId="77777777" w:rsidR="001703EB" w:rsidRPr="00AD5A27" w:rsidRDefault="001703EB" w:rsidP="001703EB">
            <w:pPr>
              <w:pStyle w:val="TableText0"/>
              <w:keepNext w:val="0"/>
            </w:pPr>
            <w:r w:rsidRPr="00AD5A27">
              <w:t>Health states</w:t>
            </w:r>
          </w:p>
        </w:tc>
        <w:tc>
          <w:tcPr>
            <w:tcW w:w="1174" w:type="pct"/>
            <w:tcBorders>
              <w:bottom w:val="single" w:sz="4" w:space="0" w:color="auto"/>
            </w:tcBorders>
            <w:shd w:val="clear" w:color="auto" w:fill="B8CCE4" w:themeFill="accent1" w:themeFillTint="66"/>
          </w:tcPr>
          <w:p w14:paraId="2F2F3E79" w14:textId="77777777" w:rsidR="001703EB" w:rsidRPr="00AD5A27" w:rsidRDefault="001703EB" w:rsidP="001703EB">
            <w:pPr>
              <w:contextualSpacing/>
              <w:jc w:val="left"/>
            </w:pPr>
            <w:r w:rsidRPr="00AD5A27">
              <w:rPr>
                <w:rFonts w:ascii="Arial Narrow" w:eastAsiaTheme="majorEastAsia" w:hAnsi="Arial Narrow" w:cstheme="majorBidi"/>
                <w:bCs/>
                <w:sz w:val="20"/>
              </w:rPr>
              <w:t xml:space="preserve">State-transition model with </w:t>
            </w:r>
            <w:r w:rsidRPr="00AD5A27">
              <w:rPr>
                <w:rFonts w:ascii="Arial Narrow" w:eastAsiaTheme="majorEastAsia" w:hAnsi="Arial Narrow" w:cstheme="majorBidi"/>
                <w:bCs/>
                <w:sz w:val="20"/>
                <w:shd w:val="clear" w:color="auto" w:fill="B8CCE4" w:themeFill="accent1" w:themeFillTint="66"/>
              </w:rPr>
              <w:t xml:space="preserve">19 </w:t>
            </w:r>
            <w:r w:rsidRPr="00AD5A27">
              <w:rPr>
                <w:rFonts w:ascii="Arial Narrow" w:eastAsiaTheme="majorEastAsia" w:hAnsi="Arial Narrow" w:cstheme="majorBidi"/>
                <w:bCs/>
                <w:sz w:val="20"/>
              </w:rPr>
              <w:t>health states: 8 treatment states, 1</w:t>
            </w:r>
            <w:r w:rsidRPr="00AD5A27">
              <w:rPr>
                <w:rFonts w:ascii="Arial Narrow" w:eastAsiaTheme="majorEastAsia" w:hAnsi="Arial Narrow" w:cstheme="majorBidi"/>
                <w:bCs/>
                <w:sz w:val="20"/>
                <w:szCs w:val="20"/>
              </w:rPr>
              <w:t xml:space="preserve"> disease remission state, 6 acute ocular complications states, 3 </w:t>
            </w:r>
            <w:r w:rsidRPr="00AD5A27">
              <w:rPr>
                <w:rFonts w:ascii="Arial Narrow" w:hAnsi="Arial Narrow"/>
                <w:bCs/>
                <w:snapToGrid w:val="0"/>
                <w:sz w:val="20"/>
                <w:szCs w:val="20"/>
              </w:rPr>
              <w:t>chronic ocular complications states and dead.</w:t>
            </w:r>
          </w:p>
        </w:tc>
        <w:tc>
          <w:tcPr>
            <w:tcW w:w="3187" w:type="pct"/>
            <w:gridSpan w:val="2"/>
            <w:tcBorders>
              <w:bottom w:val="single" w:sz="4" w:space="0" w:color="auto"/>
            </w:tcBorders>
          </w:tcPr>
          <w:p w14:paraId="427C6519" w14:textId="63E4480F" w:rsidR="001703EB" w:rsidRPr="00AD5A27" w:rsidRDefault="001703EB" w:rsidP="001703EB">
            <w:pPr>
              <w:pStyle w:val="TableText0"/>
              <w:keepNext w:val="0"/>
            </w:pPr>
            <w:r w:rsidRPr="00AD5A27">
              <w:t xml:space="preserve">State-transition model with 20 health states: same </w:t>
            </w:r>
            <w:r w:rsidRPr="00AD5A27">
              <w:rPr>
                <w:shd w:val="clear" w:color="auto" w:fill="B8CCE4" w:themeFill="accent1" w:themeFillTint="66"/>
              </w:rPr>
              <w:t>18</w:t>
            </w:r>
            <w:r w:rsidRPr="00AD5A27">
              <w:t xml:space="preserve"> health states but 2 health states for disease resolution (pre-incident flare, post-incident flare; previously called disease remission).</w:t>
            </w:r>
          </w:p>
          <w:p w14:paraId="393F5250" w14:textId="77777777" w:rsidR="001703EB" w:rsidRPr="00AD5A27" w:rsidRDefault="001703EB" w:rsidP="001703EB">
            <w:pPr>
              <w:pStyle w:val="TableText0"/>
              <w:keepNext w:val="0"/>
            </w:pPr>
          </w:p>
          <w:p w14:paraId="4D45A5EC" w14:textId="7AC950FA" w:rsidR="001703EB" w:rsidRPr="00AD5A27" w:rsidRDefault="001703EB" w:rsidP="001703EB">
            <w:pPr>
              <w:pStyle w:val="TableText0"/>
              <w:keepNext w:val="0"/>
            </w:pPr>
          </w:p>
        </w:tc>
      </w:tr>
      <w:tr w:rsidR="001703EB" w:rsidRPr="00AD5A27" w14:paraId="0D9BD5B3" w14:textId="77777777" w:rsidTr="006A385D">
        <w:tc>
          <w:tcPr>
            <w:tcW w:w="5000" w:type="pct"/>
            <w:gridSpan w:val="4"/>
            <w:shd w:val="clear" w:color="auto" w:fill="auto"/>
          </w:tcPr>
          <w:p w14:paraId="551123EB" w14:textId="0E06D1DB" w:rsidR="001703EB" w:rsidRPr="00AD5A27" w:rsidRDefault="001703EB" w:rsidP="001703EB">
            <w:pPr>
              <w:pStyle w:val="TableText0"/>
              <w:keepNext w:val="0"/>
            </w:pPr>
            <w:r w:rsidRPr="00AD5A27">
              <w:t>Transition probabilities</w:t>
            </w:r>
          </w:p>
        </w:tc>
      </w:tr>
      <w:tr w:rsidR="001703EB" w:rsidRPr="00AD5A27" w14:paraId="516CEC9E" w14:textId="77777777" w:rsidTr="002C3305">
        <w:tc>
          <w:tcPr>
            <w:tcW w:w="638" w:type="pct"/>
            <w:tcBorders>
              <w:bottom w:val="nil"/>
            </w:tcBorders>
          </w:tcPr>
          <w:p w14:paraId="2E61FA03" w14:textId="77777777" w:rsidR="001703EB" w:rsidRPr="00AD5A27" w:rsidRDefault="001703EB" w:rsidP="001703EB">
            <w:pPr>
              <w:pStyle w:val="TableText0"/>
              <w:keepNext w:val="0"/>
            </w:pPr>
            <w:r w:rsidRPr="00AD5A27">
              <w:t>Probability of ocular complications, BSC arm</w:t>
            </w:r>
          </w:p>
        </w:tc>
        <w:tc>
          <w:tcPr>
            <w:tcW w:w="1174" w:type="pct"/>
            <w:tcBorders>
              <w:bottom w:val="single" w:sz="4" w:space="0" w:color="auto"/>
            </w:tcBorders>
            <w:shd w:val="clear" w:color="auto" w:fill="B8CCE4" w:themeFill="accent1" w:themeFillTint="66"/>
          </w:tcPr>
          <w:p w14:paraId="7FC11197" w14:textId="77777777" w:rsidR="001703EB" w:rsidRPr="00AD5A27" w:rsidRDefault="001703EB" w:rsidP="001703EB">
            <w:pPr>
              <w:pStyle w:val="TableText0"/>
              <w:keepNext w:val="0"/>
            </w:pPr>
            <w:r w:rsidRPr="00AD5A27">
              <w:t xml:space="preserve">Monthly probabilities calculated based on 5-year probabilities from </w:t>
            </w:r>
            <w:r w:rsidRPr="00AD5A27">
              <w:rPr>
                <w:shd w:val="clear" w:color="auto" w:fill="B8CCE4" w:themeFill="accent1" w:themeFillTint="66"/>
              </w:rPr>
              <w:t>Dick et al. (2016).</w:t>
            </w:r>
          </w:p>
        </w:tc>
        <w:tc>
          <w:tcPr>
            <w:tcW w:w="1097" w:type="pct"/>
            <w:tcBorders>
              <w:bottom w:val="single" w:sz="4" w:space="0" w:color="auto"/>
            </w:tcBorders>
            <w:shd w:val="clear" w:color="auto" w:fill="auto"/>
          </w:tcPr>
          <w:p w14:paraId="2CCCB927" w14:textId="77777777" w:rsidR="001703EB" w:rsidRPr="00AD5A27" w:rsidRDefault="001703EB" w:rsidP="001703EB">
            <w:pPr>
              <w:pStyle w:val="TableText0"/>
              <w:keepNext w:val="0"/>
            </w:pPr>
            <w:r w:rsidRPr="00AD5A27">
              <w:t>Applied Dick et al. (2016) but ‘adjusted’ by subtracting the risks of ocular complications in the control group without uveitis.</w:t>
            </w:r>
          </w:p>
        </w:tc>
        <w:tc>
          <w:tcPr>
            <w:tcW w:w="2090" w:type="pct"/>
            <w:vMerge w:val="restart"/>
          </w:tcPr>
          <w:p w14:paraId="295A9153" w14:textId="72FC2F91" w:rsidR="001703EB" w:rsidRPr="00AD5A27" w:rsidRDefault="001C3A53" w:rsidP="00A00BBF">
            <w:pPr>
              <w:pStyle w:val="TableText0"/>
              <w:keepNext w:val="0"/>
            </w:pPr>
            <w:r w:rsidRPr="00AD5A27">
              <w:t>The ESC considered this</w:t>
            </w:r>
            <w:r w:rsidR="001703EB" w:rsidRPr="00AD5A27">
              <w:t xml:space="preserve"> was appropriate</w:t>
            </w:r>
            <w:r w:rsidR="00A00BBF">
              <w:t xml:space="preserve"> and addressed previous concerns</w:t>
            </w:r>
            <w:r w:rsidR="001E1125">
              <w:t xml:space="preserve"> </w:t>
            </w:r>
            <w:r w:rsidR="001703EB" w:rsidRPr="00AD5A27">
              <w:t xml:space="preserve">(para. 6.40, and </w:t>
            </w:r>
            <w:r w:rsidR="001703EB" w:rsidRPr="00AD5A27" w:rsidDel="00927240">
              <w:t>Table 7</w:t>
            </w:r>
            <w:r w:rsidR="001703EB" w:rsidRPr="00AD5A27">
              <w:t xml:space="preserve">, ADA, PSD, March 2017 PBAC meeting). </w:t>
            </w:r>
          </w:p>
          <w:p w14:paraId="1285D9FF" w14:textId="77777777" w:rsidR="001703EB" w:rsidRPr="00AD5A27" w:rsidRDefault="001703EB" w:rsidP="001703EB">
            <w:pPr>
              <w:pStyle w:val="TableText0"/>
              <w:keepNext w:val="0"/>
            </w:pPr>
          </w:p>
          <w:p w14:paraId="536EEFA5" w14:textId="40CFC06C" w:rsidR="001703EB" w:rsidRPr="00AD5A27" w:rsidRDefault="001703EB" w:rsidP="001703EB">
            <w:pPr>
              <w:pStyle w:val="TableText0"/>
              <w:keepNext w:val="0"/>
            </w:pPr>
            <w:r w:rsidRPr="00AD5A27">
              <w:t>The ICER increased from $</w:t>
            </w:r>
            <w:r w:rsidR="00EF609A" w:rsidRPr="00EF609A">
              <w:t>25,000 to &lt; $35,000</w:t>
            </w:r>
            <w:r w:rsidRPr="00AD5A27">
              <w:t>to $</w:t>
            </w:r>
            <w:r w:rsidR="00EF609A" w:rsidRPr="00EF609A">
              <w:t>35,000 to &lt; $45,000</w:t>
            </w:r>
            <w:r w:rsidRPr="00AD5A27">
              <w:t xml:space="preserve">/QALY gained after </w:t>
            </w:r>
            <w:r w:rsidR="00395A60" w:rsidRPr="00AD5A27">
              <w:t>correcting</w:t>
            </w:r>
            <w:r w:rsidRPr="00AD5A27">
              <w:t xml:space="preserve"> the monthly probability of glaucoma in the model</w:t>
            </w:r>
            <w:r w:rsidR="00395A60" w:rsidRPr="00AD5A27">
              <w:t xml:space="preserve"> to align with the per cycle probability calculated </w:t>
            </w:r>
            <w:r w:rsidR="00A97222" w:rsidRPr="00AD5A27">
              <w:t>in</w:t>
            </w:r>
            <w:r w:rsidR="00395A60" w:rsidRPr="00AD5A27">
              <w:t xml:space="preserve"> the submission</w:t>
            </w:r>
            <w:r w:rsidRPr="00AD5A27">
              <w:t xml:space="preserve"> (</w:t>
            </w:r>
            <w:r w:rsidR="00395A60" w:rsidRPr="00AD5A27">
              <w:t>Table 3-6 of the submission</w:t>
            </w:r>
            <w:r w:rsidRPr="00AD5A27">
              <w:t>).</w:t>
            </w:r>
            <w:r w:rsidR="00BF4A9C" w:rsidRPr="00AD5A27">
              <w:t xml:space="preserve"> </w:t>
            </w:r>
          </w:p>
          <w:p w14:paraId="3408D1FF" w14:textId="7D15CF84" w:rsidR="00BF4A9C" w:rsidRPr="00AD5A27" w:rsidRDefault="00BF4A9C" w:rsidP="001703EB">
            <w:pPr>
              <w:pStyle w:val="TableText0"/>
              <w:keepNext w:val="0"/>
            </w:pPr>
            <w:r w:rsidRPr="00AD5A27">
              <w:t xml:space="preserve">The PSCR accepted this correction to the economic model and the updated base case ICER. </w:t>
            </w:r>
          </w:p>
        </w:tc>
      </w:tr>
      <w:tr w:rsidR="001703EB" w:rsidRPr="00AD5A27" w14:paraId="6A736900" w14:textId="77777777" w:rsidTr="002C3305">
        <w:tc>
          <w:tcPr>
            <w:tcW w:w="638" w:type="pct"/>
            <w:tcBorders>
              <w:top w:val="nil"/>
              <w:bottom w:val="nil"/>
            </w:tcBorders>
          </w:tcPr>
          <w:p w14:paraId="5ABE4017" w14:textId="77777777" w:rsidR="001703EB" w:rsidRPr="00AD5A27" w:rsidRDefault="001703EB" w:rsidP="001703EB">
            <w:pPr>
              <w:pStyle w:val="TableText0"/>
              <w:keepNext w:val="0"/>
            </w:pPr>
          </w:p>
        </w:tc>
        <w:tc>
          <w:tcPr>
            <w:tcW w:w="1174" w:type="pct"/>
            <w:tcBorders>
              <w:top w:val="single" w:sz="4" w:space="0" w:color="auto"/>
              <w:bottom w:val="nil"/>
            </w:tcBorders>
            <w:shd w:val="clear" w:color="auto" w:fill="B8CCE4" w:themeFill="accent1" w:themeFillTint="66"/>
          </w:tcPr>
          <w:p w14:paraId="4FAD9243" w14:textId="77777777" w:rsidR="001703EB" w:rsidRPr="00AD5A27" w:rsidRDefault="001703EB" w:rsidP="001703EB">
            <w:pPr>
              <w:pStyle w:val="TableText0"/>
              <w:keepNext w:val="0"/>
            </w:pPr>
            <w:r w:rsidRPr="00AD5A27">
              <w:t>Monthly probabilities for acute ocular complications:</w:t>
            </w:r>
          </w:p>
        </w:tc>
        <w:tc>
          <w:tcPr>
            <w:tcW w:w="1097" w:type="pct"/>
            <w:tcBorders>
              <w:top w:val="single" w:sz="4" w:space="0" w:color="auto"/>
              <w:bottom w:val="nil"/>
            </w:tcBorders>
            <w:shd w:val="clear" w:color="auto" w:fill="auto"/>
          </w:tcPr>
          <w:p w14:paraId="50D1015C" w14:textId="77777777" w:rsidR="001703EB" w:rsidRPr="00AD5A27" w:rsidRDefault="001703EB" w:rsidP="001703EB">
            <w:pPr>
              <w:pStyle w:val="TableText0"/>
              <w:keepNext w:val="0"/>
            </w:pPr>
            <w:r w:rsidRPr="00AD5A27">
              <w:t>Monthly probabilities for acute ocular complications:</w:t>
            </w:r>
          </w:p>
        </w:tc>
        <w:tc>
          <w:tcPr>
            <w:tcW w:w="2090" w:type="pct"/>
            <w:vMerge/>
          </w:tcPr>
          <w:p w14:paraId="7D2E0B46" w14:textId="77777777" w:rsidR="001703EB" w:rsidRPr="00AD5A27" w:rsidRDefault="001703EB" w:rsidP="001703EB">
            <w:pPr>
              <w:pStyle w:val="TableText0"/>
              <w:keepNext w:val="0"/>
            </w:pPr>
          </w:p>
        </w:tc>
      </w:tr>
      <w:tr w:rsidR="001703EB" w:rsidRPr="00AD5A27" w14:paraId="7FE48CBB" w14:textId="77777777" w:rsidTr="002C3305">
        <w:tc>
          <w:tcPr>
            <w:tcW w:w="638" w:type="pct"/>
            <w:tcBorders>
              <w:top w:val="nil"/>
              <w:bottom w:val="nil"/>
            </w:tcBorders>
          </w:tcPr>
          <w:p w14:paraId="6890067B" w14:textId="77777777" w:rsidR="001703EB" w:rsidRPr="00AD5A27" w:rsidRDefault="001703EB" w:rsidP="001703EB">
            <w:pPr>
              <w:pStyle w:val="TableText0"/>
              <w:keepNext w:val="0"/>
            </w:pPr>
          </w:p>
        </w:tc>
        <w:tc>
          <w:tcPr>
            <w:tcW w:w="1174" w:type="pct"/>
            <w:tcBorders>
              <w:top w:val="nil"/>
              <w:bottom w:val="nil"/>
            </w:tcBorders>
            <w:shd w:val="clear" w:color="auto" w:fill="B8CCE4" w:themeFill="accent1" w:themeFillTint="66"/>
          </w:tcPr>
          <w:p w14:paraId="78558295" w14:textId="49376185" w:rsidR="001703EB" w:rsidRPr="00AD5A27" w:rsidRDefault="001703EB" w:rsidP="001703EB">
            <w:pPr>
              <w:pStyle w:val="TableText0"/>
              <w:keepNext w:val="0"/>
            </w:pPr>
            <w:r w:rsidRPr="00AD5A27">
              <w:t xml:space="preserve">Cataract </w:t>
            </w:r>
            <w:r w:rsidRPr="00AD5A27">
              <w:rPr>
                <w:shd w:val="clear" w:color="auto" w:fill="B8CCE4" w:themeFill="accent1" w:themeFillTint="66"/>
              </w:rPr>
              <w:t>0.0138</w:t>
            </w:r>
          </w:p>
        </w:tc>
        <w:tc>
          <w:tcPr>
            <w:tcW w:w="1097" w:type="pct"/>
            <w:tcBorders>
              <w:top w:val="nil"/>
              <w:bottom w:val="nil"/>
            </w:tcBorders>
            <w:shd w:val="clear" w:color="auto" w:fill="auto"/>
          </w:tcPr>
          <w:p w14:paraId="037F8F89" w14:textId="5A94980C" w:rsidR="001703EB" w:rsidRPr="006E3E22" w:rsidRDefault="001703EB" w:rsidP="001703EB">
            <w:pPr>
              <w:pStyle w:val="TableText0"/>
              <w:keepNext w:val="0"/>
            </w:pPr>
            <w:r w:rsidRPr="006E3E22">
              <w:t>Cataract 0.0114</w:t>
            </w:r>
          </w:p>
        </w:tc>
        <w:tc>
          <w:tcPr>
            <w:tcW w:w="2090" w:type="pct"/>
            <w:vMerge/>
          </w:tcPr>
          <w:p w14:paraId="4FB2228E" w14:textId="77777777" w:rsidR="001703EB" w:rsidRPr="00AD5A27" w:rsidRDefault="001703EB" w:rsidP="001703EB">
            <w:pPr>
              <w:pStyle w:val="TableText0"/>
              <w:keepNext w:val="0"/>
            </w:pPr>
          </w:p>
        </w:tc>
      </w:tr>
      <w:tr w:rsidR="001703EB" w:rsidRPr="00AD5A27" w14:paraId="65755E65" w14:textId="77777777" w:rsidTr="002C3305">
        <w:tc>
          <w:tcPr>
            <w:tcW w:w="638" w:type="pct"/>
            <w:tcBorders>
              <w:top w:val="nil"/>
              <w:bottom w:val="nil"/>
            </w:tcBorders>
          </w:tcPr>
          <w:p w14:paraId="7DF7D864" w14:textId="77777777" w:rsidR="001703EB" w:rsidRPr="00AD5A27" w:rsidRDefault="001703EB" w:rsidP="001703EB">
            <w:pPr>
              <w:pStyle w:val="TableText0"/>
              <w:keepNext w:val="0"/>
            </w:pPr>
          </w:p>
        </w:tc>
        <w:tc>
          <w:tcPr>
            <w:tcW w:w="1174" w:type="pct"/>
            <w:tcBorders>
              <w:top w:val="nil"/>
              <w:bottom w:val="nil"/>
            </w:tcBorders>
            <w:shd w:val="clear" w:color="auto" w:fill="B8CCE4" w:themeFill="accent1" w:themeFillTint="66"/>
          </w:tcPr>
          <w:p w14:paraId="28357B47" w14:textId="1199E698" w:rsidR="001703EB" w:rsidRPr="00AD5A27" w:rsidRDefault="001703EB" w:rsidP="001703EB">
            <w:pPr>
              <w:pStyle w:val="TableText0"/>
              <w:keepNext w:val="0"/>
            </w:pPr>
            <w:r w:rsidRPr="00AD5A27">
              <w:t xml:space="preserve">Retinal detachment </w:t>
            </w:r>
            <w:r w:rsidRPr="00AD5A27">
              <w:rPr>
                <w:shd w:val="clear" w:color="auto" w:fill="B8CCE4" w:themeFill="accent1" w:themeFillTint="66"/>
              </w:rPr>
              <w:t>0.0023</w:t>
            </w:r>
          </w:p>
        </w:tc>
        <w:tc>
          <w:tcPr>
            <w:tcW w:w="1097" w:type="pct"/>
            <w:tcBorders>
              <w:top w:val="nil"/>
              <w:bottom w:val="nil"/>
            </w:tcBorders>
            <w:shd w:val="clear" w:color="auto" w:fill="auto"/>
          </w:tcPr>
          <w:p w14:paraId="26C70B84" w14:textId="77777777" w:rsidR="001703EB" w:rsidRPr="006E3E22" w:rsidRDefault="001703EB" w:rsidP="001703EB">
            <w:pPr>
              <w:pStyle w:val="TableText0"/>
              <w:keepNext w:val="0"/>
            </w:pPr>
            <w:r w:rsidRPr="006E3E22">
              <w:t>Retinal detachment 0.0021</w:t>
            </w:r>
          </w:p>
        </w:tc>
        <w:tc>
          <w:tcPr>
            <w:tcW w:w="2090" w:type="pct"/>
            <w:vMerge/>
          </w:tcPr>
          <w:p w14:paraId="3D118DB0" w14:textId="77777777" w:rsidR="001703EB" w:rsidRPr="00AD5A27" w:rsidRDefault="001703EB" w:rsidP="001703EB">
            <w:pPr>
              <w:pStyle w:val="TableText0"/>
              <w:keepNext w:val="0"/>
            </w:pPr>
          </w:p>
        </w:tc>
      </w:tr>
      <w:tr w:rsidR="001703EB" w:rsidRPr="00AD5A27" w14:paraId="28FC44B0" w14:textId="77777777" w:rsidTr="002C3305">
        <w:tc>
          <w:tcPr>
            <w:tcW w:w="638" w:type="pct"/>
            <w:tcBorders>
              <w:top w:val="nil"/>
              <w:bottom w:val="nil"/>
            </w:tcBorders>
          </w:tcPr>
          <w:p w14:paraId="62B33124" w14:textId="77777777" w:rsidR="001703EB" w:rsidRPr="00AD5A27" w:rsidRDefault="001703EB" w:rsidP="001703EB">
            <w:pPr>
              <w:pStyle w:val="TableText0"/>
              <w:keepNext w:val="0"/>
            </w:pPr>
          </w:p>
        </w:tc>
        <w:tc>
          <w:tcPr>
            <w:tcW w:w="1174" w:type="pct"/>
            <w:tcBorders>
              <w:top w:val="nil"/>
              <w:bottom w:val="single" w:sz="4" w:space="0" w:color="auto"/>
            </w:tcBorders>
            <w:shd w:val="clear" w:color="auto" w:fill="B8CCE4" w:themeFill="accent1" w:themeFillTint="66"/>
          </w:tcPr>
          <w:p w14:paraId="0F7113DD" w14:textId="58300DB7" w:rsidR="001703EB" w:rsidRPr="00AD5A27" w:rsidRDefault="001703EB" w:rsidP="001703EB">
            <w:pPr>
              <w:pStyle w:val="TableText0"/>
              <w:keepNext w:val="0"/>
            </w:pPr>
            <w:r w:rsidRPr="00AD5A27">
              <w:t xml:space="preserve">Visual disturbance </w:t>
            </w:r>
            <w:r w:rsidRPr="00AD5A27">
              <w:rPr>
                <w:shd w:val="clear" w:color="auto" w:fill="B8CCE4" w:themeFill="accent1" w:themeFillTint="66"/>
              </w:rPr>
              <w:t>0.0089</w:t>
            </w:r>
          </w:p>
        </w:tc>
        <w:tc>
          <w:tcPr>
            <w:tcW w:w="1097" w:type="pct"/>
            <w:tcBorders>
              <w:top w:val="nil"/>
              <w:bottom w:val="single" w:sz="4" w:space="0" w:color="auto"/>
            </w:tcBorders>
            <w:shd w:val="clear" w:color="auto" w:fill="auto"/>
          </w:tcPr>
          <w:p w14:paraId="0013BA57" w14:textId="77777777" w:rsidR="001703EB" w:rsidRPr="006E3E22" w:rsidRDefault="001703EB" w:rsidP="001703EB">
            <w:pPr>
              <w:pStyle w:val="TableText0"/>
              <w:keepNext w:val="0"/>
            </w:pPr>
            <w:r w:rsidRPr="006E3E22">
              <w:t>Visual disturbance 0.0073</w:t>
            </w:r>
          </w:p>
        </w:tc>
        <w:tc>
          <w:tcPr>
            <w:tcW w:w="2090" w:type="pct"/>
            <w:vMerge/>
          </w:tcPr>
          <w:p w14:paraId="0FE03FCD" w14:textId="77777777" w:rsidR="001703EB" w:rsidRPr="00AD5A27" w:rsidRDefault="001703EB" w:rsidP="001703EB">
            <w:pPr>
              <w:pStyle w:val="TableText0"/>
              <w:keepNext w:val="0"/>
            </w:pPr>
          </w:p>
        </w:tc>
      </w:tr>
      <w:tr w:rsidR="001703EB" w:rsidRPr="00AD5A27" w14:paraId="7BD33A92" w14:textId="77777777" w:rsidTr="002C3305">
        <w:tc>
          <w:tcPr>
            <w:tcW w:w="638" w:type="pct"/>
            <w:tcBorders>
              <w:top w:val="nil"/>
              <w:bottom w:val="nil"/>
            </w:tcBorders>
          </w:tcPr>
          <w:p w14:paraId="70E3D152" w14:textId="77777777" w:rsidR="001703EB" w:rsidRPr="00AD5A27" w:rsidRDefault="001703EB" w:rsidP="001703EB">
            <w:pPr>
              <w:pStyle w:val="TableText0"/>
              <w:keepNext w:val="0"/>
            </w:pPr>
          </w:p>
        </w:tc>
        <w:tc>
          <w:tcPr>
            <w:tcW w:w="1174" w:type="pct"/>
            <w:tcBorders>
              <w:top w:val="single" w:sz="4" w:space="0" w:color="auto"/>
              <w:bottom w:val="nil"/>
            </w:tcBorders>
            <w:shd w:val="clear" w:color="auto" w:fill="B8CCE4" w:themeFill="accent1" w:themeFillTint="66"/>
          </w:tcPr>
          <w:p w14:paraId="6EE2260E" w14:textId="77777777" w:rsidR="001703EB" w:rsidRPr="00AD5A27" w:rsidRDefault="001703EB" w:rsidP="001703EB">
            <w:pPr>
              <w:pStyle w:val="TableText0"/>
              <w:keepNext w:val="0"/>
            </w:pPr>
            <w:r w:rsidRPr="00AD5A27">
              <w:t>Monthly probabilities for chronic ocular complications:</w:t>
            </w:r>
          </w:p>
        </w:tc>
        <w:tc>
          <w:tcPr>
            <w:tcW w:w="1097" w:type="pct"/>
            <w:tcBorders>
              <w:top w:val="single" w:sz="4" w:space="0" w:color="auto"/>
              <w:bottom w:val="nil"/>
            </w:tcBorders>
            <w:shd w:val="clear" w:color="auto" w:fill="auto"/>
          </w:tcPr>
          <w:p w14:paraId="74DADD3F" w14:textId="77777777" w:rsidR="001703EB" w:rsidRPr="006E3E22" w:rsidRDefault="001703EB" w:rsidP="001703EB">
            <w:pPr>
              <w:pStyle w:val="TableText0"/>
              <w:keepNext w:val="0"/>
            </w:pPr>
            <w:r w:rsidRPr="006E3E22">
              <w:t>Monthly probabilities for chronic ocular complications:</w:t>
            </w:r>
          </w:p>
        </w:tc>
        <w:tc>
          <w:tcPr>
            <w:tcW w:w="2090" w:type="pct"/>
            <w:vMerge/>
          </w:tcPr>
          <w:p w14:paraId="0B66A4F6" w14:textId="77777777" w:rsidR="001703EB" w:rsidRPr="00AD5A27" w:rsidRDefault="001703EB" w:rsidP="001703EB">
            <w:pPr>
              <w:pStyle w:val="TableText0"/>
              <w:keepNext w:val="0"/>
            </w:pPr>
          </w:p>
        </w:tc>
      </w:tr>
      <w:tr w:rsidR="001703EB" w:rsidRPr="00AD5A27" w14:paraId="63D1E5E1" w14:textId="77777777" w:rsidTr="002C3305">
        <w:tc>
          <w:tcPr>
            <w:tcW w:w="638" w:type="pct"/>
            <w:tcBorders>
              <w:top w:val="nil"/>
              <w:bottom w:val="nil"/>
            </w:tcBorders>
          </w:tcPr>
          <w:p w14:paraId="717ADEA2" w14:textId="77777777" w:rsidR="001703EB" w:rsidRPr="00AD5A27" w:rsidRDefault="001703EB" w:rsidP="001703EB">
            <w:pPr>
              <w:pStyle w:val="TableText0"/>
              <w:keepNext w:val="0"/>
            </w:pPr>
          </w:p>
        </w:tc>
        <w:tc>
          <w:tcPr>
            <w:tcW w:w="1174" w:type="pct"/>
            <w:tcBorders>
              <w:top w:val="nil"/>
              <w:bottom w:val="nil"/>
            </w:tcBorders>
            <w:shd w:val="clear" w:color="auto" w:fill="B8CCE4" w:themeFill="accent1" w:themeFillTint="66"/>
          </w:tcPr>
          <w:p w14:paraId="11BBE6C3" w14:textId="468AFDAC" w:rsidR="001703EB" w:rsidRPr="00AD5A27" w:rsidRDefault="001703EB" w:rsidP="001703EB">
            <w:pPr>
              <w:pStyle w:val="TableText0"/>
              <w:keepNext w:val="0"/>
            </w:pPr>
            <w:r w:rsidRPr="00AD5A27">
              <w:t xml:space="preserve">Glaucoma </w:t>
            </w:r>
            <w:r w:rsidRPr="00AD5A27">
              <w:rPr>
                <w:shd w:val="clear" w:color="auto" w:fill="B8CCE4" w:themeFill="accent1" w:themeFillTint="66"/>
              </w:rPr>
              <w:t>0.0061</w:t>
            </w:r>
          </w:p>
        </w:tc>
        <w:tc>
          <w:tcPr>
            <w:tcW w:w="1097" w:type="pct"/>
            <w:tcBorders>
              <w:top w:val="nil"/>
              <w:bottom w:val="nil"/>
            </w:tcBorders>
            <w:shd w:val="clear" w:color="auto" w:fill="auto"/>
          </w:tcPr>
          <w:p w14:paraId="70908EB2" w14:textId="272837F8" w:rsidR="001703EB" w:rsidRPr="006E3E22" w:rsidRDefault="001703EB" w:rsidP="001703EB">
            <w:pPr>
              <w:pStyle w:val="TableText0"/>
              <w:keepNext w:val="0"/>
              <w:rPr>
                <w:vertAlign w:val="superscript"/>
              </w:rPr>
            </w:pPr>
            <w:r w:rsidRPr="006E3E22">
              <w:t>Glaucoma 0.0044 (model applied 0.0073)</w:t>
            </w:r>
          </w:p>
        </w:tc>
        <w:tc>
          <w:tcPr>
            <w:tcW w:w="2090" w:type="pct"/>
            <w:vMerge/>
          </w:tcPr>
          <w:p w14:paraId="74BF23EB" w14:textId="77777777" w:rsidR="001703EB" w:rsidRPr="00AD5A27" w:rsidRDefault="001703EB" w:rsidP="001703EB">
            <w:pPr>
              <w:pStyle w:val="TableText0"/>
              <w:keepNext w:val="0"/>
            </w:pPr>
          </w:p>
        </w:tc>
      </w:tr>
      <w:tr w:rsidR="001703EB" w:rsidRPr="00AD5A27" w14:paraId="251E4D51" w14:textId="77777777" w:rsidTr="002C3305">
        <w:tc>
          <w:tcPr>
            <w:tcW w:w="638" w:type="pct"/>
            <w:tcBorders>
              <w:top w:val="nil"/>
              <w:bottom w:val="nil"/>
            </w:tcBorders>
          </w:tcPr>
          <w:p w14:paraId="066CDE28" w14:textId="77777777" w:rsidR="001703EB" w:rsidRPr="00AD5A27" w:rsidRDefault="001703EB" w:rsidP="001703EB">
            <w:pPr>
              <w:pStyle w:val="TableText0"/>
              <w:keepNext w:val="0"/>
            </w:pPr>
          </w:p>
        </w:tc>
        <w:tc>
          <w:tcPr>
            <w:tcW w:w="1174" w:type="pct"/>
            <w:tcBorders>
              <w:top w:val="nil"/>
              <w:bottom w:val="nil"/>
            </w:tcBorders>
            <w:shd w:val="clear" w:color="auto" w:fill="B8CCE4" w:themeFill="accent1" w:themeFillTint="66"/>
          </w:tcPr>
          <w:p w14:paraId="199349D9" w14:textId="5D32814E" w:rsidR="001703EB" w:rsidRPr="00AD5A27" w:rsidRDefault="001703EB" w:rsidP="001703EB">
            <w:pPr>
              <w:pStyle w:val="TableText0"/>
              <w:keepNext w:val="0"/>
            </w:pPr>
            <w:r w:rsidRPr="00AD5A27">
              <w:t xml:space="preserve">Retinal disorder </w:t>
            </w:r>
            <w:r w:rsidRPr="00AD5A27">
              <w:rPr>
                <w:shd w:val="clear" w:color="auto" w:fill="B8CCE4" w:themeFill="accent1" w:themeFillTint="66"/>
              </w:rPr>
              <w:t>0.0090</w:t>
            </w:r>
          </w:p>
        </w:tc>
        <w:tc>
          <w:tcPr>
            <w:tcW w:w="1097" w:type="pct"/>
            <w:tcBorders>
              <w:top w:val="nil"/>
              <w:bottom w:val="nil"/>
            </w:tcBorders>
            <w:shd w:val="clear" w:color="auto" w:fill="auto"/>
          </w:tcPr>
          <w:p w14:paraId="4284CED7" w14:textId="3D16BBE4" w:rsidR="001703EB" w:rsidRPr="006E3E22" w:rsidRDefault="001703EB" w:rsidP="001703EB">
            <w:pPr>
              <w:pStyle w:val="TableText0"/>
              <w:keepNext w:val="0"/>
            </w:pPr>
            <w:r w:rsidRPr="006E3E22">
              <w:t>Retinal disorder 0.00</w:t>
            </w:r>
            <w:r w:rsidR="006E3E22" w:rsidRPr="006E3E22">
              <w:t>86</w:t>
            </w:r>
          </w:p>
        </w:tc>
        <w:tc>
          <w:tcPr>
            <w:tcW w:w="2090" w:type="pct"/>
            <w:vMerge/>
          </w:tcPr>
          <w:p w14:paraId="7BFFF31B" w14:textId="77777777" w:rsidR="001703EB" w:rsidRPr="00AD5A27" w:rsidRDefault="001703EB" w:rsidP="001703EB">
            <w:pPr>
              <w:pStyle w:val="TableText0"/>
              <w:keepNext w:val="0"/>
            </w:pPr>
          </w:p>
        </w:tc>
      </w:tr>
      <w:tr w:rsidR="001703EB" w:rsidRPr="00AD5A27" w14:paraId="36B3FD43" w14:textId="77777777" w:rsidTr="002C3305">
        <w:tc>
          <w:tcPr>
            <w:tcW w:w="638" w:type="pct"/>
            <w:tcBorders>
              <w:top w:val="nil"/>
            </w:tcBorders>
          </w:tcPr>
          <w:p w14:paraId="1688F5AB" w14:textId="77777777" w:rsidR="001703EB" w:rsidRPr="00AD5A27" w:rsidRDefault="001703EB" w:rsidP="001703EB">
            <w:pPr>
              <w:pStyle w:val="TableText0"/>
              <w:keepNext w:val="0"/>
            </w:pPr>
          </w:p>
        </w:tc>
        <w:tc>
          <w:tcPr>
            <w:tcW w:w="1174" w:type="pct"/>
            <w:tcBorders>
              <w:top w:val="nil"/>
              <w:bottom w:val="single" w:sz="4" w:space="0" w:color="auto"/>
            </w:tcBorders>
            <w:shd w:val="clear" w:color="auto" w:fill="B8CCE4" w:themeFill="accent1" w:themeFillTint="66"/>
          </w:tcPr>
          <w:p w14:paraId="1F456169" w14:textId="77777777" w:rsidR="001703EB" w:rsidRPr="00AD5A27" w:rsidRDefault="001703EB" w:rsidP="001703EB">
            <w:pPr>
              <w:pStyle w:val="TableText0"/>
              <w:keepNext w:val="0"/>
            </w:pPr>
            <w:r w:rsidRPr="00AD5A27">
              <w:t xml:space="preserve">Blindness </w:t>
            </w:r>
            <w:r w:rsidRPr="00AD5A27">
              <w:rPr>
                <w:shd w:val="clear" w:color="auto" w:fill="B8CCE4" w:themeFill="accent1" w:themeFillTint="66"/>
              </w:rPr>
              <w:t>0.0006</w:t>
            </w:r>
          </w:p>
        </w:tc>
        <w:tc>
          <w:tcPr>
            <w:tcW w:w="1097" w:type="pct"/>
            <w:tcBorders>
              <w:top w:val="nil"/>
              <w:bottom w:val="single" w:sz="4" w:space="0" w:color="auto"/>
            </w:tcBorders>
            <w:shd w:val="clear" w:color="auto" w:fill="auto"/>
          </w:tcPr>
          <w:p w14:paraId="43B6CD24" w14:textId="4CF7F411" w:rsidR="001703EB" w:rsidRPr="006E3E22" w:rsidRDefault="001703EB" w:rsidP="001703EB">
            <w:pPr>
              <w:pStyle w:val="TableText0"/>
              <w:keepNext w:val="0"/>
            </w:pPr>
            <w:r w:rsidRPr="006E3E22">
              <w:t>Blindness 0.0004</w:t>
            </w:r>
          </w:p>
        </w:tc>
        <w:tc>
          <w:tcPr>
            <w:tcW w:w="2090" w:type="pct"/>
            <w:vMerge/>
          </w:tcPr>
          <w:p w14:paraId="56E8A94E" w14:textId="77777777" w:rsidR="001703EB" w:rsidRPr="00AD5A27" w:rsidRDefault="001703EB" w:rsidP="001703EB">
            <w:pPr>
              <w:pStyle w:val="TableText0"/>
              <w:keepNext w:val="0"/>
            </w:pPr>
          </w:p>
        </w:tc>
      </w:tr>
      <w:tr w:rsidR="001703EB" w:rsidRPr="00AD5A27" w14:paraId="6C5B75C4" w14:textId="77777777" w:rsidTr="002C3305">
        <w:tc>
          <w:tcPr>
            <w:tcW w:w="638" w:type="pct"/>
          </w:tcPr>
          <w:p w14:paraId="3207CAB5" w14:textId="77777777" w:rsidR="001703EB" w:rsidRPr="00AD5A27" w:rsidRDefault="001703EB" w:rsidP="001703EB">
            <w:pPr>
              <w:pStyle w:val="TableText0"/>
              <w:keepNext w:val="0"/>
            </w:pPr>
            <w:r w:rsidRPr="00AD5A27">
              <w:t>Probability of ocular complications, ADA arm</w:t>
            </w:r>
          </w:p>
        </w:tc>
        <w:tc>
          <w:tcPr>
            <w:tcW w:w="1174" w:type="pct"/>
            <w:tcBorders>
              <w:bottom w:val="single" w:sz="4" w:space="0" w:color="auto"/>
            </w:tcBorders>
            <w:shd w:val="clear" w:color="auto" w:fill="B8CCE4" w:themeFill="accent1" w:themeFillTint="66"/>
          </w:tcPr>
          <w:p w14:paraId="6FF853A6" w14:textId="77777777" w:rsidR="001703EB" w:rsidRPr="00AD5A27" w:rsidRDefault="001703EB" w:rsidP="001703EB">
            <w:pPr>
              <w:pStyle w:val="TableText0"/>
              <w:keepNext w:val="0"/>
            </w:pPr>
            <w:r w:rsidRPr="00AD5A27">
              <w:t xml:space="preserve">HR </w:t>
            </w:r>
            <w:r w:rsidRPr="00AD5A27">
              <w:rPr>
                <w:shd w:val="clear" w:color="auto" w:fill="B8CCE4" w:themeFill="accent1" w:themeFillTint="66"/>
              </w:rPr>
              <w:t>0.50</w:t>
            </w:r>
            <w:r w:rsidRPr="00AD5A27">
              <w:t xml:space="preserve"> (95% CI </w:t>
            </w:r>
            <w:r w:rsidRPr="00AD5A27">
              <w:rPr>
                <w:shd w:val="clear" w:color="auto" w:fill="B8CCE4" w:themeFill="accent1" w:themeFillTint="66"/>
              </w:rPr>
              <w:t>0.36-0.70</w:t>
            </w:r>
            <w:r w:rsidRPr="00AD5A27">
              <w:t xml:space="preserve">) (risk of inflammatory flare, VISUAL I); assumed an implicit 1:1 relationship between the reduction in flares and the reduction in the risk of ocular complications; applied for the duration of the model. </w:t>
            </w:r>
          </w:p>
        </w:tc>
        <w:tc>
          <w:tcPr>
            <w:tcW w:w="3187" w:type="pct"/>
            <w:gridSpan w:val="2"/>
            <w:tcBorders>
              <w:bottom w:val="single" w:sz="4" w:space="0" w:color="auto"/>
            </w:tcBorders>
            <w:shd w:val="clear" w:color="auto" w:fill="auto"/>
          </w:tcPr>
          <w:p w14:paraId="24ADF59A" w14:textId="38F6783E" w:rsidR="001703EB" w:rsidRPr="00AD5A27" w:rsidRDefault="001703EB" w:rsidP="001703EB">
            <w:pPr>
              <w:pStyle w:val="TableText0"/>
              <w:keepNext w:val="0"/>
            </w:pPr>
            <w:r w:rsidRPr="00AD5A27">
              <w:t>HR 0.53 (pooled VISUAL I and VISUAL II trials).</w:t>
            </w:r>
            <w:r w:rsidRPr="00AD5A27">
              <w:rPr>
                <w:vertAlign w:val="superscript"/>
              </w:rPr>
              <w:t>a</w:t>
            </w:r>
            <w:r w:rsidRPr="00AD5A27">
              <w:t xml:space="preserve"> No tapering of efficacy over time.</w:t>
            </w:r>
            <w:r w:rsidR="001C3A53" w:rsidRPr="00AD5A27">
              <w:t xml:space="preserve"> </w:t>
            </w:r>
          </w:p>
          <w:p w14:paraId="40B3D6CF" w14:textId="77777777" w:rsidR="001703EB" w:rsidRPr="00AD5A27" w:rsidRDefault="001703EB" w:rsidP="001703EB">
            <w:pPr>
              <w:pStyle w:val="TableText0"/>
              <w:keepNext w:val="0"/>
            </w:pPr>
          </w:p>
          <w:p w14:paraId="4E449013" w14:textId="77777777" w:rsidR="001703EB" w:rsidRDefault="001703EB" w:rsidP="001703EB">
            <w:pPr>
              <w:pStyle w:val="TableText0"/>
              <w:keepNext w:val="0"/>
            </w:pPr>
            <w:r w:rsidRPr="00AD5A27">
              <w:t>Base case: continued to assume a 1:1 relationship between the reduction in flares and the reduction in the risk of ocular complications.</w:t>
            </w:r>
          </w:p>
          <w:p w14:paraId="4884ACA4" w14:textId="77777777" w:rsidR="001703EB" w:rsidRPr="00AD5A27" w:rsidRDefault="001703EB" w:rsidP="001703EB">
            <w:pPr>
              <w:pStyle w:val="TableText0"/>
              <w:keepNext w:val="0"/>
            </w:pPr>
          </w:p>
          <w:p w14:paraId="2844A42F" w14:textId="521A5934" w:rsidR="00600C8A" w:rsidRPr="00AD5A27" w:rsidRDefault="001703EB" w:rsidP="001703EB">
            <w:pPr>
              <w:pStyle w:val="TableText0"/>
              <w:keepNext w:val="0"/>
            </w:pPr>
            <w:r w:rsidRPr="00AD5A27">
              <w:t xml:space="preserve"> </w:t>
            </w:r>
          </w:p>
        </w:tc>
      </w:tr>
      <w:tr w:rsidR="001703EB" w:rsidRPr="00AD5A27" w14:paraId="2B2A7C13" w14:textId="77777777" w:rsidTr="002C3305">
        <w:tc>
          <w:tcPr>
            <w:tcW w:w="638" w:type="pct"/>
            <w:tcBorders>
              <w:bottom w:val="single" w:sz="4" w:space="0" w:color="auto"/>
            </w:tcBorders>
            <w:shd w:val="clear" w:color="auto" w:fill="auto"/>
          </w:tcPr>
          <w:p w14:paraId="0BC1C01D" w14:textId="77777777" w:rsidR="001703EB" w:rsidRPr="00AD5A27" w:rsidRDefault="001703EB" w:rsidP="001703EB">
            <w:pPr>
              <w:pStyle w:val="TableText0"/>
              <w:keepNext w:val="0"/>
            </w:pPr>
            <w:r w:rsidRPr="00AD5A27">
              <w:t>Probability of disease resolution</w:t>
            </w:r>
          </w:p>
        </w:tc>
        <w:tc>
          <w:tcPr>
            <w:tcW w:w="1174" w:type="pct"/>
            <w:tcBorders>
              <w:bottom w:val="single" w:sz="4" w:space="0" w:color="auto"/>
            </w:tcBorders>
            <w:shd w:val="clear" w:color="auto" w:fill="B8CCE4" w:themeFill="accent1" w:themeFillTint="66"/>
          </w:tcPr>
          <w:p w14:paraId="22F3DF32" w14:textId="77777777" w:rsidR="001703EB" w:rsidRPr="00AD5A27" w:rsidRDefault="001703EB" w:rsidP="001703EB">
            <w:pPr>
              <w:pStyle w:val="TableText0"/>
              <w:keepNext w:val="0"/>
            </w:pPr>
            <w:r w:rsidRPr="00AD5A27">
              <w:t xml:space="preserve">Assumed </w:t>
            </w:r>
            <w:r w:rsidRPr="00AD5A27">
              <w:rPr>
                <w:shd w:val="clear" w:color="auto" w:fill="B8CCE4" w:themeFill="accent1" w:themeFillTint="66"/>
              </w:rPr>
              <w:t>63.3%</w:t>
            </w:r>
            <w:r w:rsidRPr="00AD5A27">
              <w:t xml:space="preserve"> of patients experienced disease resolution after </w:t>
            </w:r>
            <w:r w:rsidRPr="00AD5A27">
              <w:rPr>
                <w:shd w:val="clear" w:color="auto" w:fill="B8CCE4" w:themeFill="accent1" w:themeFillTint="66"/>
              </w:rPr>
              <w:t>5 years</w:t>
            </w:r>
            <w:r w:rsidRPr="00AD5A27">
              <w:t xml:space="preserve"> of ADA treatment (</w:t>
            </w:r>
            <w:r w:rsidRPr="00AD5A27">
              <w:rPr>
                <w:shd w:val="clear" w:color="auto" w:fill="B8CCE4" w:themeFill="accent1" w:themeFillTint="66"/>
              </w:rPr>
              <w:t>Dick et al. 2016</w:t>
            </w:r>
            <w:r w:rsidRPr="00AD5A27">
              <w:t>).</w:t>
            </w:r>
          </w:p>
        </w:tc>
        <w:tc>
          <w:tcPr>
            <w:tcW w:w="3187" w:type="pct"/>
            <w:gridSpan w:val="2"/>
            <w:tcBorders>
              <w:bottom w:val="single" w:sz="4" w:space="0" w:color="auto"/>
            </w:tcBorders>
            <w:shd w:val="clear" w:color="auto" w:fill="auto"/>
          </w:tcPr>
          <w:p w14:paraId="00C63FA9" w14:textId="7F588759" w:rsidR="001703EB" w:rsidRPr="00AD5A27" w:rsidRDefault="001703EB" w:rsidP="001703EB">
            <w:pPr>
              <w:pStyle w:val="TableText0"/>
              <w:keepNext w:val="0"/>
            </w:pPr>
            <w:r w:rsidRPr="00AD5A27">
              <w:t>0.51%/cycle based on treatment discontinuation rate due to remission from Eurelings 2022</w:t>
            </w:r>
            <w:r w:rsidR="00404532" w:rsidRPr="00AD5A27">
              <w:t xml:space="preserve"> for the</w:t>
            </w:r>
            <w:r w:rsidRPr="00AD5A27">
              <w:t xml:space="preserve"> first 5 years, assumed 100% disease resolution after a maximum of 5 years without flare; same for both treatment arms.</w:t>
            </w:r>
          </w:p>
          <w:p w14:paraId="5084D63D" w14:textId="77777777" w:rsidR="001703EB" w:rsidRPr="00AD5A27" w:rsidRDefault="001703EB" w:rsidP="001703EB">
            <w:pPr>
              <w:pStyle w:val="TableText0"/>
              <w:keepNext w:val="0"/>
            </w:pPr>
          </w:p>
          <w:p w14:paraId="131BC392" w14:textId="530C745B" w:rsidR="00600C8A" w:rsidRPr="00AD5A27" w:rsidRDefault="00600C8A" w:rsidP="001703EB">
            <w:pPr>
              <w:pStyle w:val="TableText0"/>
              <w:keepNext w:val="0"/>
            </w:pPr>
          </w:p>
        </w:tc>
      </w:tr>
      <w:tr w:rsidR="001703EB" w:rsidRPr="00AD5A27" w14:paraId="26D0AA46" w14:textId="77777777" w:rsidTr="002C3305">
        <w:tc>
          <w:tcPr>
            <w:tcW w:w="638" w:type="pct"/>
            <w:tcBorders>
              <w:bottom w:val="nil"/>
            </w:tcBorders>
            <w:shd w:val="clear" w:color="auto" w:fill="auto"/>
          </w:tcPr>
          <w:p w14:paraId="17E6BC0C" w14:textId="77777777" w:rsidR="001703EB" w:rsidRPr="00AD5A27" w:rsidRDefault="001703EB" w:rsidP="001703EB">
            <w:pPr>
              <w:pStyle w:val="TableText0"/>
              <w:keepNext w:val="0"/>
            </w:pPr>
            <w:r w:rsidRPr="00AD5A27">
              <w:t>ADA treatment discontinuation</w:t>
            </w:r>
          </w:p>
        </w:tc>
        <w:tc>
          <w:tcPr>
            <w:tcW w:w="1174" w:type="pct"/>
            <w:tcBorders>
              <w:bottom w:val="single" w:sz="4" w:space="0" w:color="auto"/>
            </w:tcBorders>
            <w:shd w:val="clear" w:color="auto" w:fill="B8CCE4" w:themeFill="accent1" w:themeFillTint="66"/>
          </w:tcPr>
          <w:p w14:paraId="09C8D55B" w14:textId="77777777" w:rsidR="001703EB" w:rsidRPr="00AD5A27" w:rsidRDefault="001703EB" w:rsidP="001703EB">
            <w:pPr>
              <w:pStyle w:val="TableText0"/>
              <w:keepNext w:val="0"/>
            </w:pPr>
            <w:r w:rsidRPr="00AD5A27">
              <w:t xml:space="preserve">Assumed on ADA treatment for 5 years in the pre-incident state; after 5 years, </w:t>
            </w:r>
            <w:r w:rsidRPr="00AD5A27">
              <w:rPr>
                <w:shd w:val="clear" w:color="auto" w:fill="B8CCE4" w:themeFill="accent1" w:themeFillTint="66"/>
              </w:rPr>
              <w:t>63.3% (Dick et al. 2016)</w:t>
            </w:r>
            <w:r w:rsidRPr="00AD5A27">
              <w:t xml:space="preserve"> experienced disease resolution and the remaining </w:t>
            </w:r>
            <w:r w:rsidRPr="00AD5A27">
              <w:rPr>
                <w:shd w:val="clear" w:color="auto" w:fill="B8CCE4" w:themeFill="accent1" w:themeFillTint="66"/>
              </w:rPr>
              <w:t>36.7%</w:t>
            </w:r>
            <w:r w:rsidRPr="00AD5A27">
              <w:t xml:space="preserve"> continued ADA for another 5 years if </w:t>
            </w:r>
            <w:r w:rsidRPr="00AD5A27">
              <w:lastRenderedPageBreak/>
              <w:t>not having a flare. After that, assumed all patients experienced disease resolution.</w:t>
            </w:r>
          </w:p>
        </w:tc>
        <w:tc>
          <w:tcPr>
            <w:tcW w:w="3187" w:type="pct"/>
            <w:gridSpan w:val="2"/>
            <w:tcBorders>
              <w:bottom w:val="single" w:sz="4" w:space="0" w:color="auto"/>
            </w:tcBorders>
            <w:shd w:val="clear" w:color="auto" w:fill="auto"/>
          </w:tcPr>
          <w:p w14:paraId="78ADB1FD" w14:textId="5316A84F" w:rsidR="001703EB" w:rsidRPr="00AD5A27" w:rsidRDefault="001703EB" w:rsidP="001703EB">
            <w:pPr>
              <w:pStyle w:val="TableText0"/>
              <w:keepNext w:val="0"/>
            </w:pPr>
            <w:r w:rsidRPr="00AD5A27">
              <w:lastRenderedPageBreak/>
              <w:t xml:space="preserve">Model structure amended to model treatment discontinuation due to remission (0.51%/cycle) or due to other reasons (0.84%/cycle) based on Eurelings et al. (2022). </w:t>
            </w:r>
          </w:p>
          <w:p w14:paraId="12963089" w14:textId="1FD89716" w:rsidR="001703EB" w:rsidRPr="00AD5A27" w:rsidRDefault="001703EB" w:rsidP="001703EB">
            <w:pPr>
              <w:pStyle w:val="TableText0"/>
              <w:keepNext w:val="0"/>
            </w:pPr>
          </w:p>
        </w:tc>
      </w:tr>
      <w:tr w:rsidR="001703EB" w:rsidRPr="00AD5A27" w14:paraId="6D042F63" w14:textId="77777777" w:rsidTr="002C3305">
        <w:tc>
          <w:tcPr>
            <w:tcW w:w="638" w:type="pct"/>
            <w:tcBorders>
              <w:top w:val="nil"/>
            </w:tcBorders>
            <w:shd w:val="clear" w:color="auto" w:fill="auto"/>
          </w:tcPr>
          <w:p w14:paraId="2E21033E" w14:textId="77777777" w:rsidR="001703EB" w:rsidRPr="00AD5A27" w:rsidRDefault="001703EB" w:rsidP="001703EB">
            <w:pPr>
              <w:pStyle w:val="TableText0"/>
              <w:keepNext w:val="0"/>
            </w:pPr>
          </w:p>
        </w:tc>
        <w:tc>
          <w:tcPr>
            <w:tcW w:w="1174" w:type="pct"/>
            <w:tcBorders>
              <w:bottom w:val="single" w:sz="4" w:space="0" w:color="auto"/>
            </w:tcBorders>
            <w:shd w:val="clear" w:color="auto" w:fill="B8CCE4" w:themeFill="accent1" w:themeFillTint="66"/>
          </w:tcPr>
          <w:p w14:paraId="438623C3" w14:textId="77777777" w:rsidR="001703EB" w:rsidRPr="00AD5A27" w:rsidRDefault="001703EB" w:rsidP="001703EB">
            <w:pPr>
              <w:pStyle w:val="TableText0"/>
              <w:keepNext w:val="0"/>
            </w:pPr>
            <w:r w:rsidRPr="00AD5A27">
              <w:t>Assumed patients in remission/resolution did not require ADA or BSC treatment.</w:t>
            </w:r>
          </w:p>
        </w:tc>
        <w:tc>
          <w:tcPr>
            <w:tcW w:w="3187" w:type="pct"/>
            <w:gridSpan w:val="2"/>
            <w:tcBorders>
              <w:bottom w:val="single" w:sz="4" w:space="0" w:color="auto"/>
            </w:tcBorders>
            <w:shd w:val="clear" w:color="auto" w:fill="B8CCE4" w:themeFill="accent1" w:themeFillTint="66"/>
          </w:tcPr>
          <w:p w14:paraId="0C16B933" w14:textId="77777777" w:rsidR="001703EB" w:rsidRPr="00AD5A27" w:rsidRDefault="001703EB" w:rsidP="001703EB">
            <w:pPr>
              <w:pStyle w:val="TableText0"/>
              <w:keepNext w:val="0"/>
            </w:pPr>
            <w:r w:rsidRPr="00AD5A27">
              <w:t>No change.</w:t>
            </w:r>
          </w:p>
          <w:p w14:paraId="5ECB8655" w14:textId="77777777" w:rsidR="001703EB" w:rsidRPr="00AD5A27" w:rsidRDefault="001703EB" w:rsidP="001703EB">
            <w:pPr>
              <w:pStyle w:val="TableText0"/>
              <w:keepNext w:val="0"/>
            </w:pPr>
          </w:p>
          <w:p w14:paraId="40ED5C8C" w14:textId="5328DA2B" w:rsidR="001703EB" w:rsidRPr="00AD5A27" w:rsidRDefault="001703EB" w:rsidP="001703EB">
            <w:pPr>
              <w:pStyle w:val="TableText0"/>
              <w:keepNext w:val="0"/>
            </w:pPr>
          </w:p>
        </w:tc>
      </w:tr>
      <w:tr w:rsidR="001703EB" w:rsidRPr="00AD5A27" w14:paraId="77F3C4FE" w14:textId="77777777" w:rsidTr="002C3305">
        <w:tc>
          <w:tcPr>
            <w:tcW w:w="638" w:type="pct"/>
            <w:tcBorders>
              <w:right w:val="single" w:sz="4" w:space="0" w:color="auto"/>
            </w:tcBorders>
            <w:shd w:val="clear" w:color="auto" w:fill="auto"/>
          </w:tcPr>
          <w:p w14:paraId="549AE293" w14:textId="77777777" w:rsidR="001703EB" w:rsidRPr="00AD5A27" w:rsidRDefault="001703EB" w:rsidP="001703EB">
            <w:pPr>
              <w:pStyle w:val="TableText0"/>
              <w:keepNext w:val="0"/>
            </w:pPr>
            <w:r w:rsidRPr="00AD5A27">
              <w:t>Utilities</w:t>
            </w:r>
          </w:p>
        </w:tc>
        <w:tc>
          <w:tcPr>
            <w:tcW w:w="1174" w:type="pct"/>
            <w:tcBorders>
              <w:left w:val="single" w:sz="4" w:space="0" w:color="auto"/>
              <w:right w:val="single" w:sz="4" w:space="0" w:color="auto"/>
            </w:tcBorders>
          </w:tcPr>
          <w:p w14:paraId="54F2F3BF" w14:textId="77777777" w:rsidR="001703EB" w:rsidRPr="00AD5A27" w:rsidRDefault="001703EB" w:rsidP="001703EB">
            <w:pPr>
              <w:pStyle w:val="TableText0"/>
              <w:keepNext w:val="0"/>
              <w:shd w:val="clear" w:color="auto" w:fill="B8CCE4" w:themeFill="accent1" w:themeFillTint="66"/>
            </w:pPr>
            <w:r w:rsidRPr="00AD5A27">
              <w:t>Baseline 0.85 (source not reported), remission 0.85 (assumed same as baseline).</w:t>
            </w:r>
          </w:p>
          <w:p w14:paraId="077DD822" w14:textId="77777777" w:rsidR="001703EB" w:rsidRPr="00AD5A27" w:rsidRDefault="001703EB" w:rsidP="001703EB">
            <w:pPr>
              <w:pStyle w:val="TableText0"/>
              <w:keepNext w:val="0"/>
              <w:shd w:val="clear" w:color="auto" w:fill="B8CCE4" w:themeFill="accent1" w:themeFillTint="66"/>
            </w:pPr>
          </w:p>
          <w:p w14:paraId="01D9397E" w14:textId="77777777" w:rsidR="001703EB" w:rsidRPr="00AD5A27" w:rsidRDefault="001703EB" w:rsidP="001703EB">
            <w:pPr>
              <w:pStyle w:val="TableText0"/>
              <w:keepNext w:val="0"/>
              <w:shd w:val="clear" w:color="auto" w:fill="B8CCE4" w:themeFill="accent1" w:themeFillTint="66"/>
            </w:pPr>
            <w:r w:rsidRPr="00AD5A27">
              <w:t>QALY loss for flare from VISUAL I utility and wait time for elective surgery.</w:t>
            </w:r>
          </w:p>
          <w:p w14:paraId="057F3F8A" w14:textId="77777777" w:rsidR="001703EB" w:rsidRPr="00AD5A27" w:rsidRDefault="001703EB" w:rsidP="001703EB">
            <w:pPr>
              <w:pStyle w:val="TableText0"/>
              <w:keepNext w:val="0"/>
              <w:shd w:val="clear" w:color="auto" w:fill="B8CCE4" w:themeFill="accent1" w:themeFillTint="66"/>
            </w:pPr>
          </w:p>
          <w:p w14:paraId="7DB53D6A" w14:textId="77777777" w:rsidR="001703EB" w:rsidRPr="00AD5A27" w:rsidRDefault="001703EB" w:rsidP="001703EB">
            <w:pPr>
              <w:pStyle w:val="TableText0"/>
              <w:keepNext w:val="0"/>
              <w:shd w:val="clear" w:color="auto" w:fill="B8CCE4" w:themeFill="accent1" w:themeFillTint="66"/>
            </w:pPr>
            <w:r w:rsidRPr="00AD5A27">
              <w:t>Literature-based utilities from various sources for ocular complications.</w:t>
            </w:r>
          </w:p>
          <w:p w14:paraId="2D0209C1" w14:textId="77777777" w:rsidR="001703EB" w:rsidRPr="00AD5A27" w:rsidRDefault="001703EB" w:rsidP="001703EB">
            <w:pPr>
              <w:pStyle w:val="TableText0"/>
              <w:keepNext w:val="0"/>
              <w:shd w:val="clear" w:color="auto" w:fill="B8CCE4" w:themeFill="accent1" w:themeFillTint="66"/>
            </w:pPr>
          </w:p>
          <w:p w14:paraId="423CFE37" w14:textId="77777777" w:rsidR="001703EB" w:rsidRPr="00AD5A27" w:rsidRDefault="001703EB" w:rsidP="001703EB">
            <w:pPr>
              <w:pStyle w:val="TableText0"/>
              <w:keepNext w:val="0"/>
              <w:shd w:val="clear" w:color="auto" w:fill="B8CCE4" w:themeFill="accent1" w:themeFillTint="66"/>
            </w:pPr>
            <w:r w:rsidRPr="00AD5A27">
              <w:t>Applied disutility for OCS but not to ADA treatment.</w:t>
            </w:r>
          </w:p>
        </w:tc>
        <w:tc>
          <w:tcPr>
            <w:tcW w:w="3187" w:type="pct"/>
            <w:gridSpan w:val="2"/>
            <w:tcBorders>
              <w:left w:val="single" w:sz="4" w:space="0" w:color="auto"/>
            </w:tcBorders>
          </w:tcPr>
          <w:p w14:paraId="38F15A4C" w14:textId="6020FB03" w:rsidR="001703EB" w:rsidRPr="00AD5A27" w:rsidRDefault="001703EB" w:rsidP="001703EB">
            <w:pPr>
              <w:pStyle w:val="TableText0"/>
              <w:keepNext w:val="0"/>
            </w:pPr>
            <w:r w:rsidRPr="00AD5A27">
              <w:t>No change except: (a) no longer applied a disutility to OCS treatment; and (b) estimated the QALY loss associated with cataract using updated data</w:t>
            </w:r>
            <w:r w:rsidRPr="00AD5A27" w:rsidDel="005639F0">
              <w:t>.</w:t>
            </w:r>
            <w:r w:rsidRPr="00AD5A27">
              <w:rPr>
                <w:vertAlign w:val="superscript"/>
              </w:rPr>
              <w:t>c</w:t>
            </w:r>
          </w:p>
          <w:p w14:paraId="185BCFE6" w14:textId="77777777" w:rsidR="001703EB" w:rsidRPr="00AD5A27" w:rsidRDefault="001703EB" w:rsidP="001703EB">
            <w:pPr>
              <w:pStyle w:val="TableText0"/>
              <w:keepNext w:val="0"/>
            </w:pPr>
          </w:p>
          <w:p w14:paraId="55D9DACD" w14:textId="77777777" w:rsidR="001703EB" w:rsidRPr="00AD5A27" w:rsidRDefault="001703EB" w:rsidP="001703EB">
            <w:pPr>
              <w:pStyle w:val="TableText0"/>
              <w:keepNext w:val="0"/>
            </w:pPr>
          </w:p>
          <w:p w14:paraId="44CFEE3F" w14:textId="7A20AD9D" w:rsidR="001703EB" w:rsidRPr="00AD5A27" w:rsidRDefault="001703EB" w:rsidP="00F24FA0">
            <w:pPr>
              <w:pStyle w:val="TableText0"/>
              <w:keepNext w:val="0"/>
            </w:pPr>
          </w:p>
        </w:tc>
      </w:tr>
      <w:tr w:rsidR="001703EB" w:rsidRPr="00AD5A27" w14:paraId="12A66E84" w14:textId="77777777" w:rsidTr="002C3305">
        <w:tc>
          <w:tcPr>
            <w:tcW w:w="638" w:type="pct"/>
            <w:tcBorders>
              <w:bottom w:val="single" w:sz="4" w:space="0" w:color="auto"/>
            </w:tcBorders>
          </w:tcPr>
          <w:p w14:paraId="5DD949DE" w14:textId="77777777" w:rsidR="001703EB" w:rsidRPr="00AD5A27" w:rsidRDefault="001703EB" w:rsidP="001703EB">
            <w:pPr>
              <w:pStyle w:val="TableText0"/>
              <w:keepNext w:val="0"/>
            </w:pPr>
            <w:r w:rsidRPr="00AD5A27">
              <w:t>Costs</w:t>
            </w:r>
          </w:p>
        </w:tc>
        <w:tc>
          <w:tcPr>
            <w:tcW w:w="1174" w:type="pct"/>
            <w:tcBorders>
              <w:bottom w:val="single" w:sz="4" w:space="0" w:color="auto"/>
            </w:tcBorders>
            <w:shd w:val="clear" w:color="auto" w:fill="auto"/>
          </w:tcPr>
          <w:p w14:paraId="73F3C4C1" w14:textId="77777777" w:rsidR="001703EB" w:rsidRPr="00AD5A27" w:rsidRDefault="001703EB" w:rsidP="001703EB">
            <w:pPr>
              <w:pStyle w:val="TableText0"/>
              <w:keepNext w:val="0"/>
            </w:pPr>
            <w:r w:rsidRPr="00AD5A27">
              <w:t>Unit costs from literature, MBS/PBS</w:t>
            </w:r>
          </w:p>
        </w:tc>
        <w:tc>
          <w:tcPr>
            <w:tcW w:w="3187" w:type="pct"/>
            <w:gridSpan w:val="2"/>
            <w:tcBorders>
              <w:bottom w:val="single" w:sz="4" w:space="0" w:color="auto"/>
            </w:tcBorders>
          </w:tcPr>
          <w:p w14:paraId="69D00AA9" w14:textId="77777777" w:rsidR="001703EB" w:rsidRPr="00AD5A27" w:rsidRDefault="001703EB" w:rsidP="001703EB">
            <w:pPr>
              <w:pStyle w:val="TableText0"/>
              <w:keepNext w:val="0"/>
            </w:pPr>
            <w:r w:rsidRPr="00AD5A27">
              <w:t>Source of unit costs broadly similar, updated to the recent schedules and inflated to 2023 dollars.</w:t>
            </w:r>
          </w:p>
          <w:p w14:paraId="6D35DA9F" w14:textId="77777777" w:rsidR="001703EB" w:rsidRPr="00AD5A27" w:rsidRDefault="001703EB" w:rsidP="001703EB">
            <w:pPr>
              <w:pStyle w:val="TableText0"/>
              <w:keepNext w:val="0"/>
            </w:pPr>
          </w:p>
          <w:p w14:paraId="750ABD75" w14:textId="4E9DBF7A" w:rsidR="00B867AA" w:rsidRPr="00AD5A27" w:rsidRDefault="001703EB" w:rsidP="001703EB">
            <w:pPr>
              <w:pStyle w:val="TableText0"/>
              <w:keepNext w:val="0"/>
            </w:pPr>
            <w:r w:rsidRPr="00AD5A27">
              <w:t>The drug cost (DPMQ $</w:t>
            </w:r>
            <w:r w:rsidR="00860BB2" w:rsidRPr="00860BB2">
              <w:rPr>
                <w:color w:val="000000"/>
                <w:spacing w:val="51"/>
                <w:shd w:val="solid" w:color="000000" w:fill="000000"/>
                <w:fitText w:val="326" w:id="-961901308"/>
                <w14:textFill>
                  <w14:solidFill>
                    <w14:srgbClr w14:val="000000">
                      <w14:alpha w14:val="100000"/>
                    </w14:srgbClr>
                  </w14:solidFill>
                </w14:textFill>
              </w:rPr>
              <w:t>|||</w:t>
            </w:r>
            <w:r w:rsidR="00860BB2" w:rsidRPr="00860BB2">
              <w:rPr>
                <w:color w:val="000000"/>
                <w:spacing w:val="3"/>
                <w:shd w:val="solid" w:color="000000" w:fill="000000"/>
                <w:fitText w:val="326" w:id="-961901308"/>
                <w14:textFill>
                  <w14:solidFill>
                    <w14:srgbClr w14:val="000000">
                      <w14:alpha w14:val="100000"/>
                    </w14:srgbClr>
                  </w14:solidFill>
                </w14:textFill>
              </w:rPr>
              <w:t>|</w:t>
            </w:r>
            <w:r w:rsidRPr="00AD5A27">
              <w:t xml:space="preserve">) for adalimumab applied in the economic model differed from the DPMQ requested in Table 1-7, p45 of the resubmission. </w:t>
            </w:r>
          </w:p>
          <w:p w14:paraId="530DA26F" w14:textId="77777777" w:rsidR="00B867AA" w:rsidRPr="00AD5A27" w:rsidRDefault="00B867AA" w:rsidP="001703EB">
            <w:pPr>
              <w:pStyle w:val="TableText0"/>
              <w:keepNext w:val="0"/>
            </w:pPr>
          </w:p>
          <w:p w14:paraId="4610EED0" w14:textId="38132F62" w:rsidR="001703EB" w:rsidRPr="00AD5A27" w:rsidRDefault="001703EB" w:rsidP="001703EB">
            <w:pPr>
              <w:pStyle w:val="TableText0"/>
              <w:keepNext w:val="0"/>
            </w:pPr>
            <w:r w:rsidRPr="00AD5A27">
              <w:t xml:space="preserve">The cost of immunomodulators was not included in the model. </w:t>
            </w:r>
          </w:p>
        </w:tc>
      </w:tr>
    </w:tbl>
    <w:p w14:paraId="1B04F483" w14:textId="77777777" w:rsidR="002A66BB" w:rsidRPr="00AD5A27" w:rsidRDefault="002A66BB">
      <w:pPr>
        <w:pStyle w:val="FooterTableFigure"/>
      </w:pPr>
      <w:r w:rsidRPr="00AD5A27">
        <w:t>Source: Tables 3-1, 3-8 to 3-10, 3-12, 3-15 and 3-17 and Figure 3-11, pp39-40, 45-48, 156, 166-170, 173 and 177 of the resubmission; Table 6, para. 2.3,2.4, 2.4, 6.2, 6.5 and 7.3, pp1-2, adalimumab, PSD, March 2017 PBAC meeting; Tables A.1-1, D.4-5 to D.4-8, pp32 and 173-176 of the March 2017 submission</w:t>
      </w:r>
    </w:p>
    <w:p w14:paraId="28250774" w14:textId="1B396BB7" w:rsidR="002A66BB" w:rsidRPr="00AD5A27" w:rsidRDefault="002A66BB">
      <w:pPr>
        <w:pStyle w:val="FooterTableFigure"/>
      </w:pPr>
      <w:r w:rsidRPr="00AD5A27">
        <w:t>ADA = adalimumab; AEMP = Approved ex-manufacturer price; AIHW = Australian Institute of Health and Welfare; BSC = best supportive care; CI = Confidence Interval; DPMQ = Dispensed Price for Maximum Quantity; ICER = incremental cost-effectiveness ratio; MBS = Medicare Benefits Schedule; NIIPPU = non-infectious intermediate, posterior or panuveitis; OCS = oral corticosteroid; PBAC = Pharmaceutical Benefits Advisory Committee; PBS = Pharmaceutical Benefits Scheme; PSD = Public Summary Document; QALY = Quality-adjusted life year; SA = sensitivity analysis; SD = Standard deviation; TGA = Therapeutic Goods Administration; vs. = versus.</w:t>
      </w:r>
    </w:p>
    <w:p w14:paraId="2F9BBA05" w14:textId="77777777" w:rsidR="002A66BB" w:rsidRPr="00AD5A27" w:rsidRDefault="002A66BB">
      <w:pPr>
        <w:pStyle w:val="FooterTableFigure"/>
      </w:pPr>
      <w:r w:rsidRPr="00AD5A27">
        <w:rPr>
          <w:shd w:val="clear" w:color="auto" w:fill="B8CCE4" w:themeFill="accent1" w:themeFillTint="66"/>
        </w:rPr>
        <w:t>Blue shading</w:t>
      </w:r>
      <w:r w:rsidRPr="00AD5A27">
        <w:t xml:space="preserve"> indicates data previously seen by the PBAC. </w:t>
      </w:r>
    </w:p>
    <w:p w14:paraId="043C133C" w14:textId="1829BD9D" w:rsidR="002A66BB" w:rsidRPr="00AD5A27" w:rsidRDefault="00833DDB">
      <w:pPr>
        <w:pStyle w:val="FooterTableFigure"/>
      </w:pPr>
      <w:r w:rsidRPr="00AD5A27">
        <w:t>a</w:t>
      </w:r>
      <w:r w:rsidR="002A66BB" w:rsidRPr="00AD5A27">
        <w:t xml:space="preserve"> The resubmission presented a Forest Plot figure (Figure 3-11, p156 of the resubmission) to show the results of the pooling, using a random effects (inverse variance) model in synthesis.</w:t>
      </w:r>
    </w:p>
    <w:p w14:paraId="0FBA87DE" w14:textId="434BFC64" w:rsidR="002A66BB" w:rsidRPr="00AD5A27" w:rsidRDefault="0048748C">
      <w:pPr>
        <w:pStyle w:val="FooterTableFigure"/>
      </w:pPr>
      <w:r w:rsidRPr="00AD5A27">
        <w:t xml:space="preserve">b </w:t>
      </w:r>
      <w:r w:rsidR="002A66BB" w:rsidRPr="00AD5A27">
        <w:t>The resubmission reported that Leal et al. (2022) was a retrospective review of 51 patients with non-infectious uveitis (102 affected eyes) in the UK and the study supported that a link coefficient of at least 0.85 was justifiable (Table ES.4, p22 of the resubmission).</w:t>
      </w:r>
    </w:p>
    <w:p w14:paraId="01FB036E" w14:textId="551E5BF2" w:rsidR="002A66BB" w:rsidRPr="00AD5A27" w:rsidRDefault="0048748C">
      <w:pPr>
        <w:pStyle w:val="FooterTableFigure"/>
      </w:pPr>
      <w:r w:rsidRPr="00AD5A27">
        <w:t xml:space="preserve">c </w:t>
      </w:r>
      <w:r w:rsidR="002A66BB" w:rsidRPr="00AD5A27">
        <w:t>Weighted average based on 98 days and 7 days of wait-time for elective surgeries in public (60%) and private (40%) hospitals (AIHW 2019-20). The March 2017 submission estimated the weighted average based on 83 days and 7 days of wait-time for elective surgeries in public (60%) and private (40%) hospitals (AIHW 2014-15).</w:t>
      </w:r>
    </w:p>
    <w:p w14:paraId="63324890" w14:textId="77777777" w:rsidR="002A66BB" w:rsidRPr="00AD5A27" w:rsidRDefault="002A66BB" w:rsidP="002E1071">
      <w:pPr>
        <w:pStyle w:val="3-BodyText"/>
        <w:rPr>
          <w:color w:val="000000" w:themeColor="text1"/>
        </w:rPr>
      </w:pPr>
      <w:r w:rsidRPr="00AD5A27">
        <w:rPr>
          <w:snapToGrid/>
        </w:rPr>
        <w:t xml:space="preserve">When </w:t>
      </w:r>
      <w:r w:rsidRPr="00AD5A27">
        <w:rPr>
          <w:snapToGrid/>
          <w:color w:val="000000" w:themeColor="text1"/>
        </w:rPr>
        <w:t xml:space="preserve">compared with the economic evaluation in the March 2017 submission, the resubmission: </w:t>
      </w:r>
    </w:p>
    <w:p w14:paraId="1B16A30B" w14:textId="4B3F2EC3" w:rsidR="002A66BB" w:rsidRPr="00AD5A27" w:rsidRDefault="002A66BB" w:rsidP="005B3215">
      <w:pPr>
        <w:pStyle w:val="ListParagraph"/>
        <w:numPr>
          <w:ilvl w:val="1"/>
          <w:numId w:val="8"/>
        </w:numPr>
        <w:rPr>
          <w:color w:val="000000" w:themeColor="text1"/>
        </w:rPr>
      </w:pPr>
      <w:r w:rsidRPr="00AD5A27">
        <w:rPr>
          <w:snapToGrid/>
          <w:color w:val="000000" w:themeColor="text1"/>
        </w:rPr>
        <w:t>Addressed previous concerns</w:t>
      </w:r>
      <w:r w:rsidR="009848B8" w:rsidRPr="00AD5A27">
        <w:rPr>
          <w:snapToGrid/>
          <w:color w:val="000000" w:themeColor="text1"/>
        </w:rPr>
        <w:t>, including:</w:t>
      </w:r>
      <w:r w:rsidR="00AF3C44" w:rsidRPr="00AD5A27">
        <w:rPr>
          <w:snapToGrid/>
          <w:color w:val="000000" w:themeColor="text1"/>
        </w:rPr>
        <w:t xml:space="preserve"> </w:t>
      </w:r>
      <w:r w:rsidR="00F24FA0">
        <w:rPr>
          <w:snapToGrid/>
          <w:color w:val="000000" w:themeColor="text1"/>
        </w:rPr>
        <w:t xml:space="preserve">(i) </w:t>
      </w:r>
      <w:r w:rsidRPr="00AD5A27">
        <w:rPr>
          <w:snapToGrid/>
          <w:color w:val="000000" w:themeColor="text1"/>
        </w:rPr>
        <w:t>overestimating the treatment effect of adalimumab on the risk of ocular complications</w:t>
      </w:r>
      <w:r w:rsidR="00F37E68" w:rsidRPr="00AD5A27">
        <w:rPr>
          <w:snapToGrid/>
          <w:color w:val="000000" w:themeColor="text1"/>
        </w:rPr>
        <w:t xml:space="preserve"> due to the use of</w:t>
      </w:r>
      <w:r w:rsidR="00B867AA" w:rsidRPr="00AD5A27">
        <w:rPr>
          <w:snapToGrid/>
          <w:color w:val="000000" w:themeColor="text1"/>
        </w:rPr>
        <w:t xml:space="preserve"> an</w:t>
      </w:r>
      <w:r w:rsidRPr="00AD5A27">
        <w:rPr>
          <w:snapToGrid/>
          <w:color w:val="000000" w:themeColor="text1"/>
        </w:rPr>
        <w:t xml:space="preserve"> ‘unadjusted’ background risk of ocular complications</w:t>
      </w:r>
      <w:r w:rsidR="00F24FA0">
        <w:rPr>
          <w:snapToGrid/>
          <w:color w:val="000000" w:themeColor="text1"/>
        </w:rPr>
        <w:t>,</w:t>
      </w:r>
      <w:r w:rsidR="00DD5DC0" w:rsidRPr="00AD5A27">
        <w:rPr>
          <w:snapToGrid/>
          <w:color w:val="000000" w:themeColor="text1"/>
        </w:rPr>
        <w:t xml:space="preserve"> </w:t>
      </w:r>
      <w:r w:rsidR="00F24FA0">
        <w:rPr>
          <w:snapToGrid/>
          <w:color w:val="000000" w:themeColor="text1"/>
        </w:rPr>
        <w:t>(ii) use of the</w:t>
      </w:r>
      <w:r w:rsidR="00F24FA0" w:rsidRPr="00AD5A27">
        <w:rPr>
          <w:snapToGrid/>
          <w:color w:val="000000" w:themeColor="text1"/>
        </w:rPr>
        <w:t xml:space="preserve"> </w:t>
      </w:r>
      <w:r w:rsidR="00372DCE" w:rsidRPr="00AD5A27">
        <w:rPr>
          <w:snapToGrid/>
          <w:color w:val="000000" w:themeColor="text1"/>
        </w:rPr>
        <w:t xml:space="preserve">HR from </w:t>
      </w:r>
      <w:r w:rsidR="00B867AA" w:rsidRPr="00AD5A27">
        <w:rPr>
          <w:snapToGrid/>
          <w:color w:val="000000" w:themeColor="text1"/>
        </w:rPr>
        <w:t xml:space="preserve">the </w:t>
      </w:r>
      <w:r w:rsidR="00372DCE" w:rsidRPr="00AD5A27">
        <w:rPr>
          <w:snapToGrid/>
          <w:color w:val="000000" w:themeColor="text1"/>
        </w:rPr>
        <w:t xml:space="preserve">VISUAL </w:t>
      </w:r>
      <w:r w:rsidR="00B867AA" w:rsidRPr="00AD5A27">
        <w:rPr>
          <w:snapToGrid/>
          <w:color w:val="000000" w:themeColor="text1"/>
        </w:rPr>
        <w:t xml:space="preserve">I </w:t>
      </w:r>
      <w:r w:rsidR="007A7BD5" w:rsidRPr="00AD5A27">
        <w:rPr>
          <w:snapToGrid/>
          <w:color w:val="000000" w:themeColor="text1"/>
        </w:rPr>
        <w:t>trial</w:t>
      </w:r>
      <w:r w:rsidR="00F24FA0">
        <w:rPr>
          <w:snapToGrid/>
          <w:color w:val="000000" w:themeColor="text1"/>
        </w:rPr>
        <w:t xml:space="preserve"> only,</w:t>
      </w:r>
      <w:r w:rsidR="005D5DCB" w:rsidRPr="00AD5A27">
        <w:rPr>
          <w:snapToGrid/>
          <w:color w:val="000000" w:themeColor="text1"/>
        </w:rPr>
        <w:t xml:space="preserve"> and</w:t>
      </w:r>
      <w:r w:rsidR="00164E8C" w:rsidRPr="00AD5A27">
        <w:rPr>
          <w:snapToGrid/>
          <w:color w:val="000000" w:themeColor="text1"/>
        </w:rPr>
        <w:t xml:space="preserve"> </w:t>
      </w:r>
      <w:r w:rsidR="00F24FA0">
        <w:rPr>
          <w:snapToGrid/>
          <w:color w:val="000000" w:themeColor="text1"/>
        </w:rPr>
        <w:t xml:space="preserve">(iii) </w:t>
      </w:r>
      <w:r w:rsidR="00164E8C" w:rsidRPr="00AD5A27">
        <w:rPr>
          <w:snapToGrid/>
          <w:color w:val="000000" w:themeColor="text1"/>
        </w:rPr>
        <w:t>the application of</w:t>
      </w:r>
      <w:r w:rsidRPr="00AD5A27">
        <w:rPr>
          <w:snapToGrid/>
          <w:color w:val="000000" w:themeColor="text1"/>
        </w:rPr>
        <w:t xml:space="preserve"> disutilities for AEs associated with OCS </w:t>
      </w:r>
      <w:r w:rsidRPr="00AD5A27">
        <w:t xml:space="preserve">but not for </w:t>
      </w:r>
      <w:r w:rsidR="00F24FA0">
        <w:t xml:space="preserve">AEs associated </w:t>
      </w:r>
      <w:r w:rsidRPr="00AD5A27">
        <w:t>adalimumab</w:t>
      </w:r>
      <w:r w:rsidRPr="00AD5A27">
        <w:rPr>
          <w:snapToGrid/>
          <w:color w:val="000000" w:themeColor="text1"/>
        </w:rPr>
        <w:t>;</w:t>
      </w:r>
    </w:p>
    <w:p w14:paraId="4E799198" w14:textId="7F6C3243" w:rsidR="002A66BB" w:rsidRPr="00AD5A27" w:rsidRDefault="002A66BB" w:rsidP="005B3215">
      <w:pPr>
        <w:pStyle w:val="ListParagraph"/>
        <w:numPr>
          <w:ilvl w:val="1"/>
          <w:numId w:val="8"/>
        </w:numPr>
        <w:rPr>
          <w:color w:val="000000" w:themeColor="text1"/>
        </w:rPr>
      </w:pPr>
      <w:r w:rsidRPr="00AD5A27">
        <w:rPr>
          <w:snapToGrid/>
          <w:color w:val="000000" w:themeColor="text1"/>
        </w:rPr>
        <w:lastRenderedPageBreak/>
        <w:t>Made slight modifications to the model structure</w:t>
      </w:r>
      <w:r w:rsidR="0046706D" w:rsidRPr="00AD5A27">
        <w:rPr>
          <w:snapToGrid/>
          <w:color w:val="000000" w:themeColor="text1"/>
        </w:rPr>
        <w:t>:</w:t>
      </w:r>
      <w:r w:rsidRPr="00AD5A27">
        <w:rPr>
          <w:snapToGrid/>
          <w:color w:val="000000" w:themeColor="text1"/>
        </w:rPr>
        <w:t xml:space="preserve"> </w:t>
      </w:r>
      <w:r w:rsidR="00975425">
        <w:rPr>
          <w:snapToGrid/>
          <w:color w:val="000000" w:themeColor="text1"/>
        </w:rPr>
        <w:t xml:space="preserve">(i) </w:t>
      </w:r>
      <w:r w:rsidRPr="00AD5A27">
        <w:rPr>
          <w:snapToGrid/>
          <w:color w:val="000000" w:themeColor="text1"/>
        </w:rPr>
        <w:t>2 health states for disease remission</w:t>
      </w:r>
      <w:r w:rsidR="00F24FA0">
        <w:rPr>
          <w:snapToGrid/>
          <w:color w:val="000000" w:themeColor="text1"/>
        </w:rPr>
        <w:t xml:space="preserve"> were added</w:t>
      </w:r>
      <w:r w:rsidRPr="00AD5A27">
        <w:rPr>
          <w:snapToGrid/>
          <w:color w:val="000000" w:themeColor="text1"/>
        </w:rPr>
        <w:t>;</w:t>
      </w:r>
      <w:r w:rsidR="00975425">
        <w:rPr>
          <w:snapToGrid/>
          <w:color w:val="000000" w:themeColor="text1"/>
        </w:rPr>
        <w:t xml:space="preserve"> and (ii)</w:t>
      </w:r>
      <w:r w:rsidRPr="00AD5A27">
        <w:rPr>
          <w:snapToGrid/>
          <w:color w:val="000000" w:themeColor="text1"/>
        </w:rPr>
        <w:t xml:space="preserve"> patients </w:t>
      </w:r>
      <w:r w:rsidR="00975425">
        <w:rPr>
          <w:snapToGrid/>
          <w:color w:val="000000" w:themeColor="text1"/>
        </w:rPr>
        <w:t>could</w:t>
      </w:r>
      <w:r w:rsidR="00975425" w:rsidRPr="00AD5A27">
        <w:rPr>
          <w:snapToGrid/>
          <w:color w:val="000000" w:themeColor="text1"/>
        </w:rPr>
        <w:t xml:space="preserve"> </w:t>
      </w:r>
      <w:r w:rsidRPr="00AD5A27">
        <w:rPr>
          <w:snapToGrid/>
          <w:color w:val="000000" w:themeColor="text1"/>
        </w:rPr>
        <w:t xml:space="preserve">discontinue treatment due to remission or due to other reasons; and </w:t>
      </w:r>
    </w:p>
    <w:p w14:paraId="28D361B1" w14:textId="41AFA4B5" w:rsidR="002A66BB" w:rsidRPr="00AD5A27" w:rsidRDefault="002A66BB" w:rsidP="005B3215">
      <w:pPr>
        <w:pStyle w:val="ListParagraph"/>
        <w:numPr>
          <w:ilvl w:val="1"/>
          <w:numId w:val="8"/>
        </w:numPr>
        <w:rPr>
          <w:color w:val="000000" w:themeColor="text1"/>
        </w:rPr>
      </w:pPr>
      <w:r w:rsidRPr="00AD5A27">
        <w:rPr>
          <w:snapToGrid/>
          <w:color w:val="000000" w:themeColor="text1"/>
        </w:rPr>
        <w:t>Updated selected input parameters with more recent data</w:t>
      </w:r>
      <w:r w:rsidR="00BA6C43" w:rsidRPr="00AD5A27">
        <w:rPr>
          <w:snapToGrid/>
          <w:color w:val="000000" w:themeColor="text1"/>
        </w:rPr>
        <w:t>, including:</w:t>
      </w:r>
      <w:r w:rsidR="00685C04" w:rsidRPr="00AD5A27">
        <w:rPr>
          <w:snapToGrid/>
          <w:color w:val="000000" w:themeColor="text1"/>
        </w:rPr>
        <w:t xml:space="preserve"> </w:t>
      </w:r>
      <w:r w:rsidRPr="00AD5A27">
        <w:rPr>
          <w:snapToGrid/>
          <w:color w:val="000000" w:themeColor="text1"/>
        </w:rPr>
        <w:t>Eurelings et al. (2022)</w:t>
      </w:r>
      <w:r w:rsidR="00833DDB" w:rsidRPr="00AD5A27">
        <w:rPr>
          <w:snapToGrid/>
          <w:color w:val="000000" w:themeColor="text1"/>
        </w:rPr>
        <w:t xml:space="preserve"> and </w:t>
      </w:r>
      <w:r w:rsidRPr="00AD5A27">
        <w:rPr>
          <w:snapToGrid/>
          <w:color w:val="000000" w:themeColor="text1"/>
        </w:rPr>
        <w:t xml:space="preserve">PBS list price. </w:t>
      </w:r>
    </w:p>
    <w:p w14:paraId="5057853D" w14:textId="1918E274" w:rsidR="002A66BB" w:rsidRPr="00AD5A27" w:rsidRDefault="002A66BB" w:rsidP="002E1071">
      <w:pPr>
        <w:pStyle w:val="3-BodyText"/>
      </w:pPr>
      <w:bookmarkStart w:id="52" w:name="_Ref159764768"/>
      <w:r w:rsidRPr="00AD5A27">
        <w:t xml:space="preserve">The resubmission, however, did not provide clinical evidence </w:t>
      </w:r>
      <w:r w:rsidR="00847B4C" w:rsidRPr="00AD5A27">
        <w:t>supporting</w:t>
      </w:r>
      <w:r w:rsidR="000D15E7" w:rsidRPr="00AD5A27">
        <w:t xml:space="preserve"> </w:t>
      </w:r>
      <w:r w:rsidR="00290E4C" w:rsidRPr="00AD5A27">
        <w:t xml:space="preserve">the </w:t>
      </w:r>
      <w:r w:rsidRPr="00AD5A27">
        <w:t>direct link</w:t>
      </w:r>
      <w:r w:rsidR="00290E4C" w:rsidRPr="00AD5A27">
        <w:t xml:space="preserve"> between</w:t>
      </w:r>
      <w:r w:rsidRPr="00AD5A27">
        <w:t xml:space="preserve"> adalimumab treatment </w:t>
      </w:r>
      <w:r w:rsidR="00290E4C" w:rsidRPr="00AD5A27">
        <w:t xml:space="preserve">and </w:t>
      </w:r>
      <w:r w:rsidRPr="00AD5A27">
        <w:t xml:space="preserve">ocular complications, or sequentially link active flares to ocular complications in the economic model. </w:t>
      </w:r>
      <w:r w:rsidR="00872D74" w:rsidRPr="00AD5A27">
        <w:t>T</w:t>
      </w:r>
      <w:r w:rsidRPr="00AD5A27">
        <w:t>he resubmission continued to model the incidence of ocular complications over a lifetime horizon and apply the treatment effect of adalimumab on the risk of flares to the risk of ocular complications. The resubmission continued to assume a 1:1 relationship (“link coefficient”) between a reduction in the</w:t>
      </w:r>
      <w:r w:rsidRPr="00AD5A27">
        <w:rPr>
          <w:snapToGrid/>
        </w:rPr>
        <w:t xml:space="preserve"> risk of flare</w:t>
      </w:r>
      <w:r w:rsidRPr="00AD5A27">
        <w:t>s</w:t>
      </w:r>
      <w:r w:rsidRPr="00AD5A27">
        <w:rPr>
          <w:snapToGrid/>
        </w:rPr>
        <w:t xml:space="preserve"> </w:t>
      </w:r>
      <w:r w:rsidRPr="00AD5A27">
        <w:t xml:space="preserve">and </w:t>
      </w:r>
      <w:r w:rsidRPr="00AD5A27">
        <w:rPr>
          <w:snapToGrid/>
        </w:rPr>
        <w:t xml:space="preserve">a </w:t>
      </w:r>
      <w:r w:rsidRPr="00AD5A27">
        <w:t xml:space="preserve">reduction in the </w:t>
      </w:r>
      <w:r w:rsidRPr="00AD5A27">
        <w:rPr>
          <w:snapToGrid/>
        </w:rPr>
        <w:t xml:space="preserve">risk of ocular complications. </w:t>
      </w:r>
      <w:r w:rsidRPr="00AD5A27">
        <w:t xml:space="preserve">The </w:t>
      </w:r>
      <w:r w:rsidR="005C2825" w:rsidRPr="00AD5A27">
        <w:t>incremental cost-effectiveness ratio (</w:t>
      </w:r>
      <w:r w:rsidRPr="00AD5A27">
        <w:t>ICER</w:t>
      </w:r>
      <w:r w:rsidR="005C2825" w:rsidRPr="00AD5A27">
        <w:t>)</w:t>
      </w:r>
      <w:r w:rsidRPr="00AD5A27">
        <w:rPr>
          <w:snapToGrid/>
        </w:rPr>
        <w:t xml:space="preserve"> remained highly sensitive to the time horizon and the treatment effect of adalimumab on the risk of ocular complications (</w:t>
      </w:r>
      <w:r w:rsidR="00A06F4D" w:rsidRPr="00AD5A27">
        <w:fldChar w:fldCharType="begin" w:fldLock="1"/>
      </w:r>
      <w:r w:rsidR="00A06F4D" w:rsidRPr="00AD5A27">
        <w:instrText xml:space="preserve"> REF _Ref153208998 \h  \* MERGEFORMAT </w:instrText>
      </w:r>
      <w:r w:rsidR="00A06F4D" w:rsidRPr="00AD5A27">
        <w:fldChar w:fldCharType="separate"/>
      </w:r>
      <w:r w:rsidR="00B510E9" w:rsidRPr="00AD5A27">
        <w:t>Table 14</w:t>
      </w:r>
      <w:r w:rsidR="00A06F4D" w:rsidRPr="00AD5A27">
        <w:fldChar w:fldCharType="end"/>
      </w:r>
      <w:r w:rsidRPr="00AD5A27">
        <w:rPr>
          <w:snapToGrid/>
        </w:rPr>
        <w:t>).</w:t>
      </w:r>
      <w:bookmarkEnd w:id="52"/>
      <w:r w:rsidRPr="00AD5A27">
        <w:rPr>
          <w:snapToGrid/>
        </w:rPr>
        <w:t xml:space="preserve"> </w:t>
      </w:r>
    </w:p>
    <w:p w14:paraId="21C08F05" w14:textId="06FCF26A" w:rsidR="002A66BB" w:rsidRPr="00AD5A27" w:rsidRDefault="002A66BB">
      <w:pPr>
        <w:pStyle w:val="3-BodyText"/>
      </w:pPr>
      <w:r w:rsidRPr="00AD5A27">
        <w:t>The March 2017 submission used (a) Dick et al. (2016)</w:t>
      </w:r>
      <w:r w:rsidRPr="00AD5A27">
        <w:rPr>
          <w:rStyle w:val="FootnoteReference"/>
        </w:rPr>
        <w:footnoteReference w:id="10"/>
      </w:r>
      <w:r w:rsidRPr="00AD5A27">
        <w:t xml:space="preserve"> to inform the probabilities of various ocular complications in the BSC arm and (b) estimated the probabilities of ocular complications in the adalimumab arm by applying a reduced risk of inflammatory flare (HR 0.50, 95% CI 0.36</w:t>
      </w:r>
      <w:r w:rsidR="005B37B7" w:rsidRPr="00AD5A27">
        <w:t xml:space="preserve">, </w:t>
      </w:r>
      <w:r w:rsidRPr="00AD5A27">
        <w:t>0.70) from the VISUAL I trial to the background probabilities in the BSC arm</w:t>
      </w:r>
      <w:r w:rsidR="00432CBD" w:rsidRPr="00AD5A27">
        <w:t xml:space="preserve"> (which </w:t>
      </w:r>
      <w:r w:rsidR="007A559B" w:rsidRPr="00AD5A27">
        <w:t>t</w:t>
      </w:r>
      <w:r w:rsidR="00432CBD" w:rsidRPr="00AD5A27">
        <w:t>he PBAC considered overestimated the treatment effect of adalimumab)</w:t>
      </w:r>
      <w:r w:rsidRPr="00AD5A27">
        <w:t>. The resubmission therefore used a pooled</w:t>
      </w:r>
      <w:r w:rsidRPr="00AD5A27">
        <w:rPr>
          <w:rStyle w:val="FootnoteReference"/>
        </w:rPr>
        <w:footnoteReference w:id="11"/>
      </w:r>
      <w:r w:rsidRPr="00AD5A27">
        <w:t xml:space="preserve"> estimate (HR 0.53, 95% CI 0.41</w:t>
      </w:r>
      <w:r w:rsidR="0010235E" w:rsidRPr="00AD5A27">
        <w:t xml:space="preserve">, </w:t>
      </w:r>
      <w:r w:rsidRPr="00AD5A27">
        <w:t xml:space="preserve">0.68) from both VISUAL I and II trials. </w:t>
      </w:r>
      <w:r w:rsidR="001858FC" w:rsidRPr="00AD5A27">
        <w:t xml:space="preserve">The ESC considered this was reasonable, however noted the 95% CI were wide. </w:t>
      </w:r>
      <w:r w:rsidRPr="00AD5A27">
        <w:t xml:space="preserve">Using the upper 95% CI of the pooled HR (0.68) </w:t>
      </w:r>
      <w:bookmarkStart w:id="53" w:name="_Hlk152255141"/>
      <w:r w:rsidRPr="00AD5A27">
        <w:t>increased the ICER from $</w:t>
      </w:r>
      <w:r w:rsidR="00EF609A" w:rsidRPr="00EF609A">
        <w:t>25,000 to &lt; $35,000</w:t>
      </w:r>
      <w:r w:rsidR="00EF609A">
        <w:t xml:space="preserve"> </w:t>
      </w:r>
      <w:r w:rsidRPr="00AD5A27">
        <w:t>to $</w:t>
      </w:r>
      <w:r w:rsidR="00EF609A" w:rsidRPr="00EF609A">
        <w:t>75,000 to &lt; $95,000</w:t>
      </w:r>
      <w:r w:rsidR="002827A1" w:rsidRPr="00AD5A27">
        <w:t>per</w:t>
      </w:r>
      <w:bookmarkEnd w:id="53"/>
      <w:r w:rsidR="007E433D" w:rsidRPr="00AD5A27">
        <w:t xml:space="preserve"> quality-adjusted life year (</w:t>
      </w:r>
      <w:r w:rsidRPr="00AD5A27">
        <w:t>QALY</w:t>
      </w:r>
      <w:r w:rsidR="007E433D" w:rsidRPr="00AD5A27">
        <w:t>)</w:t>
      </w:r>
      <w:r w:rsidRPr="00AD5A27">
        <w:t xml:space="preserve"> gained. </w:t>
      </w:r>
    </w:p>
    <w:p w14:paraId="733B7C9E" w14:textId="3CA27FC9" w:rsidR="002A66BB" w:rsidRPr="00AD5A27" w:rsidRDefault="00432CBD">
      <w:pPr>
        <w:pStyle w:val="3-BodyText"/>
      </w:pPr>
      <w:r w:rsidRPr="00AD5A27">
        <w:t xml:space="preserve">Based on </w:t>
      </w:r>
      <w:r w:rsidR="00F205E7" w:rsidRPr="00AD5A27">
        <w:t xml:space="preserve">issues raised by </w:t>
      </w:r>
      <w:r w:rsidR="00B15B85" w:rsidRPr="00AD5A27">
        <w:t xml:space="preserve">the previous </w:t>
      </w:r>
      <w:r w:rsidR="00851679" w:rsidRPr="00AD5A27">
        <w:t>evaluation</w:t>
      </w:r>
      <w:r w:rsidRPr="00AD5A27">
        <w:t xml:space="preserve"> regarding the use of unadjusted probabilities (see Table 14),</w:t>
      </w:r>
      <w:r w:rsidR="002A66BB" w:rsidRPr="00AD5A27">
        <w:t xml:space="preserve"> </w:t>
      </w:r>
      <w:r w:rsidRPr="00AD5A27">
        <w:t>t</w:t>
      </w:r>
      <w:r w:rsidR="002A66BB" w:rsidRPr="00AD5A27">
        <w:t>he resubmission ‘adjusted’ the probabilities by subtracting the probabilities in the control group without uveitis. Th</w:t>
      </w:r>
      <w:r w:rsidR="001858FC" w:rsidRPr="00AD5A27">
        <w:t>e evaluation considered that th</w:t>
      </w:r>
      <w:r w:rsidR="002A66BB" w:rsidRPr="00AD5A27">
        <w:t>is was reasonable.</w:t>
      </w:r>
    </w:p>
    <w:p w14:paraId="0C97983E" w14:textId="6E7417E3" w:rsidR="00405761" w:rsidRPr="00AD5A27" w:rsidRDefault="002A66BB">
      <w:pPr>
        <w:pStyle w:val="3-BodyText"/>
      </w:pPr>
      <w:bookmarkStart w:id="54" w:name="_Ref162362969"/>
      <w:r w:rsidRPr="00AD5A27">
        <w:t>The March 2017 submission implicitly assumed a 1:1 relationship between the reduction in flares and the reduction in the risk of ocular complications. The PBAC previously noted</w:t>
      </w:r>
      <w:r w:rsidRPr="00AD5A27" w:rsidDel="00981797">
        <w:t xml:space="preserve"> </w:t>
      </w:r>
      <w:r w:rsidRPr="00AD5A27">
        <w:t xml:space="preserve">that although “almost all” patients with non-infectious intermediate, posterior or panuveitis (NIIPPU) will experience flare, “only a proportion of patients will go on to experience long-term complications” and therefore by “not including the occurrence of uveitic flares over time in the model the uncertainty of the relationship </w:t>
      </w:r>
      <w:r w:rsidRPr="00AD5A27">
        <w:lastRenderedPageBreak/>
        <w:t>between flare and ocular complications was increased” (para. 7.13, adalimumab, PSD, March 2017 PBAC meeting). The resubmission argued that there was no evidence in the clinical trial data suggesting an adalimumab flare is more severe than a placebo flare and continued to assume a 1:1 relationship between the reduction in flares/treatment failure and the reduction in the risk of ocular complications. The resubmission made the 1:1 relationship explicit by introducing a “link coefficient,” set in the base case as one. The resubmission reported that the link coefficient was used to “capture the proportion of ocular complications avoided relative to the number of flares avoided as measured in the clinical trial”. The resubmission explored the impact of a link coefficient of 0.85 in a sensitivity analysis (</w:t>
      </w:r>
      <w:r w:rsidR="00A06F4D" w:rsidRPr="00AD5A27">
        <w:fldChar w:fldCharType="begin" w:fldLock="1"/>
      </w:r>
      <w:r w:rsidR="00A06F4D" w:rsidRPr="00AD5A27">
        <w:instrText xml:space="preserve"> REF _Ref153208998 \h </w:instrText>
      </w:r>
      <w:r w:rsidR="003C063D" w:rsidRPr="00AD5A27">
        <w:instrText xml:space="preserve"> \* MERGEFORMAT </w:instrText>
      </w:r>
      <w:r w:rsidR="00A06F4D" w:rsidRPr="00AD5A27">
        <w:fldChar w:fldCharType="separate"/>
      </w:r>
      <w:r w:rsidR="00B510E9" w:rsidRPr="00AD5A27">
        <w:t>Table 14</w:t>
      </w:r>
      <w:r w:rsidR="00A06F4D" w:rsidRPr="00AD5A27">
        <w:fldChar w:fldCharType="end"/>
      </w:r>
      <w:r w:rsidRPr="00AD5A27">
        <w:t>). This was based on Leal et al. (2022),</w:t>
      </w:r>
      <w:r w:rsidR="00032ABF" w:rsidRPr="00AD5A27">
        <w:rPr>
          <w:rStyle w:val="FootnoteReference"/>
        </w:rPr>
        <w:footnoteReference w:id="12"/>
      </w:r>
      <w:r w:rsidRPr="00AD5A27">
        <w:t xml:space="preserve"> who retrospectively reviewed 51 patients with non-infectious uveitis (102 affected eyes) in the UK. The study found that 13 out of 51 patients (20 eyes; unilateral in 6 patients) experienced treatment failure after 12 months</w:t>
      </w:r>
      <w:r w:rsidR="00C05D83" w:rsidRPr="00AD5A27">
        <w:t>, after starting adalimumab</w:t>
      </w:r>
      <w:r w:rsidRPr="00AD5A27">
        <w:t xml:space="preserve"> ( the resubmission). Of the 20 eyes that experienced treatment failure, 17 (85%) eyes experienced failure because of worsening visual acuity (7 eyes due to macular oedema, 4 eyes due to cataract development, 6 eyes due to unspecified and miscellaneous reasons such as advanced glaucoma, corneal decompensation, etc.). The resubmission did not provide</w:t>
      </w:r>
      <w:r w:rsidRPr="00AD5A27" w:rsidDel="00E734C8">
        <w:t xml:space="preserve"> </w:t>
      </w:r>
      <w:r w:rsidRPr="00AD5A27">
        <w:t>clinical evidence directly linking adalimumab treatment with ocular complications.</w:t>
      </w:r>
      <w:r w:rsidR="00F50635" w:rsidRPr="00AD5A27">
        <w:t xml:space="preserve"> </w:t>
      </w:r>
      <w:r w:rsidRPr="00AD5A27">
        <w:t>Lowering the link coefficient to 0.85 increased the ICER to $</w:t>
      </w:r>
      <w:r w:rsidR="00EF609A" w:rsidRPr="00EF609A">
        <w:t>45,000 to &lt; $55,000</w:t>
      </w:r>
      <w:r w:rsidRPr="00AD5A27">
        <w:t>/QALY gained (</w:t>
      </w:r>
      <w:r w:rsidR="00A06F4D" w:rsidRPr="00AD5A27">
        <w:fldChar w:fldCharType="begin" w:fldLock="1"/>
      </w:r>
      <w:r w:rsidR="00A06F4D" w:rsidRPr="00AD5A27">
        <w:instrText xml:space="preserve"> REF _Ref153208998 \h  \* MERGEFORMAT </w:instrText>
      </w:r>
      <w:r w:rsidR="00A06F4D" w:rsidRPr="00AD5A27">
        <w:fldChar w:fldCharType="separate"/>
      </w:r>
      <w:r w:rsidR="00B510E9" w:rsidRPr="00AD5A27">
        <w:t>Table 14</w:t>
      </w:r>
      <w:r w:rsidR="00A06F4D" w:rsidRPr="00AD5A27">
        <w:fldChar w:fldCharType="end"/>
      </w:r>
      <w:r w:rsidRPr="00AD5A27">
        <w:t>).</w:t>
      </w:r>
      <w:bookmarkEnd w:id="54"/>
    </w:p>
    <w:p w14:paraId="4C28B661" w14:textId="0E302591" w:rsidR="002A66BB" w:rsidRPr="00AD5A27" w:rsidRDefault="00405761" w:rsidP="00405761">
      <w:pPr>
        <w:pStyle w:val="3-BodyText"/>
      </w:pPr>
      <w:bookmarkStart w:id="55" w:name="_Ref162362983"/>
      <w:r w:rsidRPr="00AD5A27">
        <w:t xml:space="preserve">The PSCR argued that using a link coefficient of less than one biases against adalimumab. The Response argued, using the sensitivity analysis link coefficient of 0.85 applied in the evaluation, that such an approach increases the HR for flares with ocular complications, and given the pooled HR from VISUAL I/II applies to flares overall that this would imply a reduction in the HR for flares that do not lead to ocular complications. For the sensitivity analysis link coefficient of 0.85, the Response stated this would imply a HR for non-ocular complicating flares of 0.13, which is unrealistic as that means a flare in the adalimumab arm is 13% more likely to result in ocular complications than a flare in the comparator arm. Furthermore, the Response argued the data from the VISUAL trials indicate the proportion of patients experiencing treatment failure due to worsening visual acuity (as a proxy for events leading to ocular complications) was slightly lower in the adalimumab arm than the comparator arm (31.4% vs 34.5%, respectively), further supporting the case for a link coefficient of 1 in the base case analysis. </w:t>
      </w:r>
      <w:r w:rsidR="00693152" w:rsidRPr="00AD5A27">
        <w:t xml:space="preserve">The ESC </w:t>
      </w:r>
      <w:r w:rsidRPr="00AD5A27">
        <w:t xml:space="preserve">agreed with the evaluation and </w:t>
      </w:r>
      <w:r w:rsidR="00693152" w:rsidRPr="00AD5A27">
        <w:t>considered the link coefficient relationship of 1:1 likely overestimated the adalimumab treatment effect</w:t>
      </w:r>
      <w:r w:rsidRPr="00AD5A27">
        <w:t xml:space="preserve"> due to the inherent uncertainty of downstream events</w:t>
      </w:r>
      <w:r w:rsidR="00693152" w:rsidRPr="00AD5A27">
        <w:t xml:space="preserve"> and therefore agreed a lower coefficient would be more clinically plausible</w:t>
      </w:r>
      <w:r w:rsidR="00AD5A27">
        <w:t xml:space="preserve">. </w:t>
      </w:r>
      <w:r w:rsidR="00A67706" w:rsidRPr="00AD5A27">
        <w:t xml:space="preserve">The Pre-PBAC Response acknowledged a lower link coefficient is more conservative but argued it is not more clinically plausible to assume an adalimumab flare is more severe and more likely to </w:t>
      </w:r>
      <w:r w:rsidR="00A67706" w:rsidRPr="00AD5A27">
        <w:lastRenderedPageBreak/>
        <w:t>result in complications when compared to BSC, which would be the net effect of lowering the coefficient. The Response also reiterated that treatment failure in the VISUAL trials due to worsening visual acuity was slightly lower in the adalimumab arm than the BSC arm (31.4% vs 34.5%, respectively).</w:t>
      </w:r>
      <w:bookmarkEnd w:id="55"/>
    </w:p>
    <w:p w14:paraId="50E9802D" w14:textId="76293A33" w:rsidR="002A66BB" w:rsidRPr="00AD5A27" w:rsidRDefault="002A66BB" w:rsidP="00D54BA1">
      <w:pPr>
        <w:pStyle w:val="3-BodyText"/>
      </w:pPr>
      <w:bookmarkStart w:id="56" w:name="_Ref162363741"/>
      <w:r w:rsidRPr="00AD5A27">
        <w:t>The lifetime time horizon was another key issue raised by the PBAC regarding the March 2017 submission. The time horizon in the model (lifetime: entry age 43 years, model duration 57 years) was long compared to the</w:t>
      </w:r>
      <w:r w:rsidR="00696EE4" w:rsidRPr="00AD5A27">
        <w:t xml:space="preserve"> maximum</w:t>
      </w:r>
      <w:r w:rsidRPr="00AD5A27">
        <w:t xml:space="preserve"> duration of follow-up in the trials (VISUAL I and VISUAL II: 80 weeks) and the open-label extension study (VISUAL III study</w:t>
      </w:r>
      <w:r w:rsidRPr="00AD5A27">
        <w:rPr>
          <w:rStyle w:val="FootnoteReference"/>
        </w:rPr>
        <w:footnoteReference w:id="13"/>
      </w:r>
      <w:r w:rsidRPr="00AD5A27">
        <w:t>)</w:t>
      </w:r>
      <w:r w:rsidR="00DE6249" w:rsidRPr="00AD5A27">
        <w:t>.</w:t>
      </w:r>
      <w:r w:rsidRPr="00AD5A27">
        <w:t xml:space="preserve"> The PBAC previously </w:t>
      </w:r>
      <w:r w:rsidR="00D54BA1" w:rsidRPr="00AD5A27">
        <w:t xml:space="preserve">considered </w:t>
      </w:r>
      <w:r w:rsidRPr="00AD5A27">
        <w:t>“</w:t>
      </w:r>
      <w:r w:rsidR="00D54BA1" w:rsidRPr="00AD5A27">
        <w:t>As there was considerable uncertainty between flares and ocular complications, the PBAC did not consider the lifetime time horizon appropriate and that it significantly overestimated the cost effectiveness of adalimumab. The PBAC suggested important differences in costs and outcomes would be captured in a 10 year time horizon given majority of ocular complications are expected to occur within 2–5 years</w:t>
      </w:r>
      <w:r w:rsidRPr="00AD5A27">
        <w:t xml:space="preserve">” (para. 7.14, adalimumab, PSD, March 2017 PBAC meeting). The resubmission did not make any changes to the time horizon but explored the impact of a time horizon of 10 and 20 years in one-way sensitivity analyses. </w:t>
      </w:r>
      <w:r w:rsidR="00B439F7" w:rsidRPr="00AD5A27">
        <w:t>The evaluation considered that a</w:t>
      </w:r>
      <w:r w:rsidRPr="00AD5A27">
        <w:t xml:space="preserve"> shorter time horizon may better reflect the treatment of a single episode of non-infectious uveitis, however, it would </w:t>
      </w:r>
      <w:r w:rsidR="001E6313" w:rsidRPr="00AD5A27">
        <w:t xml:space="preserve">potentially </w:t>
      </w:r>
      <w:r w:rsidRPr="00AD5A27">
        <w:t xml:space="preserve">underestimate the longer-term QALY impact of ocular complications resulting in permanent vision loss. The ICER remained sensitive to the time horizon. Decreasing the model duration from </w:t>
      </w:r>
      <w:r w:rsidR="00FF38C8" w:rsidRPr="00AD5A27">
        <w:t xml:space="preserve">a </w:t>
      </w:r>
      <w:r w:rsidRPr="00AD5A27">
        <w:t>lifetime (57 years) to 10 and 5 years increased the ICER to $</w:t>
      </w:r>
      <w:r w:rsidR="00EF609A" w:rsidRPr="00EF609A">
        <w:t>115,000 to &lt; $135,000</w:t>
      </w:r>
      <w:r w:rsidR="00EF609A">
        <w:t xml:space="preserve"> </w:t>
      </w:r>
      <w:r w:rsidRPr="00AD5A27">
        <w:t>and $</w:t>
      </w:r>
      <w:r w:rsidR="00EF609A" w:rsidRPr="00EF609A">
        <w:t>255,000 to &lt; $355,000</w:t>
      </w:r>
      <w:r w:rsidR="00863F7F">
        <w:t xml:space="preserve"> </w:t>
      </w:r>
      <w:r w:rsidRPr="00AD5A27">
        <w:t>/QALY gained, respectively</w:t>
      </w:r>
      <w:r w:rsidR="00A06F4D" w:rsidRPr="00AD5A27">
        <w:t xml:space="preserve"> (</w:t>
      </w:r>
      <w:r w:rsidR="00A06F4D" w:rsidRPr="00AD5A27">
        <w:fldChar w:fldCharType="begin" w:fldLock="1"/>
      </w:r>
      <w:r w:rsidR="00A06F4D" w:rsidRPr="00AD5A27">
        <w:instrText xml:space="preserve"> REF _Ref153208998 \h  \* MERGEFORMAT </w:instrText>
      </w:r>
      <w:r w:rsidR="00A06F4D" w:rsidRPr="00AD5A27">
        <w:fldChar w:fldCharType="separate"/>
      </w:r>
      <w:r w:rsidR="00B510E9" w:rsidRPr="00AD5A27">
        <w:t>Table 14</w:t>
      </w:r>
      <w:r w:rsidR="00A06F4D" w:rsidRPr="00AD5A27">
        <w:fldChar w:fldCharType="end"/>
      </w:r>
      <w:r w:rsidRPr="00AD5A27">
        <w:t>).</w:t>
      </w:r>
      <w:bookmarkEnd w:id="56"/>
      <w:r w:rsidR="00AA4664" w:rsidRPr="00AD5A27">
        <w:t xml:space="preserve"> </w:t>
      </w:r>
    </w:p>
    <w:p w14:paraId="686DA08B" w14:textId="76AFC1BF" w:rsidR="00AA4664" w:rsidRPr="00AD5A27" w:rsidRDefault="00AA4664" w:rsidP="00D54BA1">
      <w:pPr>
        <w:pStyle w:val="3-BodyText"/>
      </w:pPr>
      <w:bookmarkStart w:id="57" w:name="_Ref162363750"/>
      <w:r w:rsidRPr="00AD5A27">
        <w:t>The PSCR argued the use of a lifetime time horizon was reasonable and consistent with the PBAC Guidelines, given the goal of treatment in uveitis patients is to avoid permanent vision loss and other irreversible ocular complications, and a shorter time horizon would undervalue the impact of permanent ocular complications and permanent vision loss as the impacts are lifelong. The ESC noted the model is highly sensitive to the time horizon, and agreed in principle the effects of permanent vision loss have significant impacts on quality of life over a person's lifetime. However, the ESC also considered that given the uncertainty of the magnitude of relationship between the surrogate outcome (flares) and modelled ocular complication, that it may be reasonable to explore a shorter time horizon to reduce uncertainty; but acknowledged a shorter time horizon would exclude plausible ongoing quality of life benefits associated with avoiding ocular complications.</w:t>
      </w:r>
      <w:r w:rsidR="00A67706" w:rsidRPr="00AD5A27">
        <w:t xml:space="preserve"> The Pre-PBAC Response agreed with the ESC view that a shorter time horizon would exclude plausible ongoing benefits, and argued it is not appropriate or necessary to apply an arbitrary reduction </w:t>
      </w:r>
      <w:r w:rsidR="00A67706" w:rsidRPr="00AD5A27">
        <w:lastRenderedPageBreak/>
        <w:t xml:space="preserve">in time horizon; rather, the Response argued the model includes a link coefficient variable to </w:t>
      </w:r>
      <w:r w:rsidR="007572E4" w:rsidRPr="00AD5A27">
        <w:t>allow exploration of</w:t>
      </w:r>
      <w:r w:rsidR="00A67706" w:rsidRPr="00AD5A27">
        <w:t xml:space="preserve"> potential uncertainty of the surrogate outcome (flares) and modelled ocular complications.</w:t>
      </w:r>
      <w:bookmarkEnd w:id="57"/>
    </w:p>
    <w:p w14:paraId="28E72F7E" w14:textId="05B67823" w:rsidR="002A66BB" w:rsidRPr="00AD5A27" w:rsidRDefault="002A66BB">
      <w:pPr>
        <w:pStyle w:val="3-BodyText"/>
      </w:pPr>
      <w:r w:rsidRPr="00AD5A27">
        <w:fldChar w:fldCharType="begin" w:fldLock="1"/>
      </w:r>
      <w:r w:rsidRPr="00AD5A27">
        <w:instrText xml:space="preserve"> REF _Ref152256944 \h </w:instrText>
      </w:r>
      <w:r w:rsidR="00DC645D" w:rsidRPr="00AD5A27">
        <w:instrText xml:space="preserve"> \* MERGEFORMAT </w:instrText>
      </w:r>
      <w:r w:rsidRPr="00AD5A27">
        <w:fldChar w:fldCharType="separate"/>
      </w:r>
      <w:r w:rsidR="00B510E9" w:rsidRPr="00AD5A27">
        <w:t>Figure 5</w:t>
      </w:r>
      <w:r w:rsidRPr="00AD5A27">
        <w:fldChar w:fldCharType="end"/>
      </w:r>
      <w:r w:rsidRPr="00AD5A27">
        <w:t xml:space="preserve"> and </w:t>
      </w:r>
      <w:r w:rsidRPr="00AD5A27">
        <w:fldChar w:fldCharType="begin" w:fldLock="1"/>
      </w:r>
      <w:r w:rsidRPr="00AD5A27">
        <w:instrText xml:space="preserve"> REF _Ref152256961 \h </w:instrText>
      </w:r>
      <w:r w:rsidR="00DC645D" w:rsidRPr="00AD5A27">
        <w:instrText xml:space="preserve"> \* MERGEFORMAT </w:instrText>
      </w:r>
      <w:r w:rsidRPr="00AD5A27">
        <w:fldChar w:fldCharType="separate"/>
      </w:r>
      <w:r w:rsidR="00B510E9" w:rsidRPr="00AD5A27">
        <w:t>Figure 6</w:t>
      </w:r>
      <w:r w:rsidRPr="00AD5A27">
        <w:fldChar w:fldCharType="end"/>
      </w:r>
      <w:r w:rsidRPr="00AD5A27">
        <w:t xml:space="preserve"> present the Markov traces for adalimumab (± OCS) and BSC (± OCS) over time, respectively.</w:t>
      </w:r>
    </w:p>
    <w:p w14:paraId="4815B2E4" w14:textId="1D8E695E" w:rsidR="002A66BB" w:rsidRPr="00AD5A27" w:rsidRDefault="002A66BB">
      <w:pPr>
        <w:pStyle w:val="Caption"/>
      </w:pPr>
      <w:bookmarkStart w:id="58" w:name="_Ref152256944"/>
      <w:r w:rsidRPr="00AD5A27">
        <w:t xml:space="preserve">Figure </w:t>
      </w:r>
      <w:r w:rsidR="004050E4">
        <w:fldChar w:fldCharType="begin" w:fldLock="1"/>
      </w:r>
      <w:r w:rsidR="004050E4">
        <w:instrText xml:space="preserve"> SEQ Figure \* ARABIC </w:instrText>
      </w:r>
      <w:r w:rsidR="004050E4">
        <w:fldChar w:fldCharType="separate"/>
      </w:r>
      <w:r w:rsidR="00B510E9" w:rsidRPr="00AD5A27">
        <w:t>5</w:t>
      </w:r>
      <w:r w:rsidR="004050E4">
        <w:fldChar w:fldCharType="end"/>
      </w:r>
      <w:bookmarkEnd w:id="58"/>
      <w:r w:rsidRPr="00AD5A27">
        <w:t>: Markov trace, adalimumab (all health states)</w:t>
      </w:r>
    </w:p>
    <w:p w14:paraId="037C9E90" w14:textId="77777777" w:rsidR="002A66BB" w:rsidRPr="00AD5A27" w:rsidRDefault="002A66BB">
      <w:r w:rsidRPr="00AD5A27">
        <w:rPr>
          <w:noProof/>
        </w:rPr>
        <w:drawing>
          <wp:inline distT="0" distB="0" distL="0" distR="0" wp14:anchorId="48ADF7F4" wp14:editId="4A5A55B3">
            <wp:extent cx="5652770" cy="2897805"/>
            <wp:effectExtent l="0" t="0" r="5080" b="0"/>
            <wp:docPr id="1016884057" name="Picture 1016884057" descr="Figure 5: Markov trace, adalimumab (all health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884057" name="Picture 1016884057" descr="Figure 5: Markov trace, adalimumab (all health sta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915" cy="2900442"/>
                    </a:xfrm>
                    <a:prstGeom prst="rect">
                      <a:avLst/>
                    </a:prstGeom>
                    <a:noFill/>
                  </pic:spPr>
                </pic:pic>
              </a:graphicData>
            </a:graphic>
          </wp:inline>
        </w:drawing>
      </w:r>
    </w:p>
    <w:p w14:paraId="5EDBA399" w14:textId="77777777" w:rsidR="002A66BB" w:rsidRPr="00AD5A27" w:rsidRDefault="002A66BB">
      <w:pPr>
        <w:pStyle w:val="FooterTableFigure"/>
      </w:pPr>
      <w:r w:rsidRPr="00AD5A27">
        <w:t>Source: Figure 3-12, p181 of the resubmission.</w:t>
      </w:r>
    </w:p>
    <w:p w14:paraId="2B2001A5" w14:textId="77777777" w:rsidR="002A66BB" w:rsidRPr="00AD5A27" w:rsidRDefault="002A66BB">
      <w:pPr>
        <w:pStyle w:val="FooterTableFigure"/>
      </w:pPr>
      <w:r w:rsidRPr="00AD5A27">
        <w:t>ADA = adalimumab; OCS = oral corticosteroid; SoC = standard of care/best supportive care.</w:t>
      </w:r>
    </w:p>
    <w:p w14:paraId="05EBE159" w14:textId="2A0C8A98" w:rsidR="002A66BB" w:rsidRPr="00AD5A27" w:rsidRDefault="002A66BB" w:rsidP="00771261">
      <w:pPr>
        <w:pStyle w:val="Caption"/>
      </w:pPr>
      <w:bookmarkStart w:id="59" w:name="_Ref152256961"/>
      <w:r w:rsidRPr="00AD5A27">
        <w:lastRenderedPageBreak/>
        <w:t xml:space="preserve">Figure </w:t>
      </w:r>
      <w:r w:rsidR="004050E4">
        <w:fldChar w:fldCharType="begin" w:fldLock="1"/>
      </w:r>
      <w:r w:rsidR="004050E4">
        <w:instrText xml:space="preserve"> SEQ Figure \* ARABIC </w:instrText>
      </w:r>
      <w:r w:rsidR="004050E4">
        <w:fldChar w:fldCharType="separate"/>
      </w:r>
      <w:r w:rsidR="00B510E9" w:rsidRPr="00AD5A27">
        <w:t>6</w:t>
      </w:r>
      <w:r w:rsidR="004050E4">
        <w:fldChar w:fldCharType="end"/>
      </w:r>
      <w:bookmarkEnd w:id="59"/>
      <w:r w:rsidRPr="00AD5A27">
        <w:t>: Markov trace, best supportive care (all health states)</w:t>
      </w:r>
    </w:p>
    <w:p w14:paraId="4530D4F8" w14:textId="77777777" w:rsidR="002A66BB" w:rsidRPr="00AD5A27" w:rsidRDefault="002A66BB" w:rsidP="00771261">
      <w:pPr>
        <w:keepNext/>
      </w:pPr>
      <w:r w:rsidRPr="00AD5A27">
        <w:rPr>
          <w:noProof/>
        </w:rPr>
        <w:drawing>
          <wp:inline distT="0" distB="0" distL="0" distR="0" wp14:anchorId="1AF74EE7" wp14:editId="102BCE6F">
            <wp:extent cx="5634327" cy="3292571"/>
            <wp:effectExtent l="19050" t="19050" r="24130" b="22225"/>
            <wp:docPr id="1952180041" name="Picture 1952180041" descr="Figure 6: Markov trace, best supportive care (all health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80041" name="Picture 1952180041" descr="Figure 6: Markov trace, best supportive care (all health stat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6567" cy="3293880"/>
                    </a:xfrm>
                    <a:prstGeom prst="rect">
                      <a:avLst/>
                    </a:prstGeom>
                    <a:noFill/>
                    <a:ln w="3175">
                      <a:solidFill>
                        <a:schemeClr val="tx1"/>
                      </a:solidFill>
                    </a:ln>
                  </pic:spPr>
                </pic:pic>
              </a:graphicData>
            </a:graphic>
          </wp:inline>
        </w:drawing>
      </w:r>
    </w:p>
    <w:p w14:paraId="7D670C6D" w14:textId="77777777" w:rsidR="002A66BB" w:rsidRPr="00AD5A27" w:rsidRDefault="002A66BB" w:rsidP="00771261">
      <w:pPr>
        <w:pStyle w:val="FooterTableFigure"/>
        <w:keepNext/>
      </w:pPr>
      <w:r w:rsidRPr="00AD5A27">
        <w:t>Source: Figure 3-13, p182 of the resubmission.</w:t>
      </w:r>
    </w:p>
    <w:p w14:paraId="7554A5BC" w14:textId="77777777" w:rsidR="002A66BB" w:rsidRPr="00AD5A27" w:rsidRDefault="002A66BB">
      <w:pPr>
        <w:pStyle w:val="FooterTableFigure"/>
      </w:pPr>
      <w:r w:rsidRPr="00AD5A27">
        <w:t>ADA = adalimumab; OCS = oral corticosteroid; SoC = standard of care/best supportive care.</w:t>
      </w:r>
    </w:p>
    <w:p w14:paraId="4B670C1E" w14:textId="0CCB220C" w:rsidR="002A66BB" w:rsidRPr="00AD5A27" w:rsidRDefault="002A66BB">
      <w:pPr>
        <w:pStyle w:val="3-BodyText"/>
      </w:pPr>
      <w:r w:rsidRPr="00AD5A27">
        <w:t>The March 2017 submission assumed 63.3% of patients experienced disease resolution after 5 years of adalimumab (</w:t>
      </w:r>
      <w:r w:rsidR="002F1290" w:rsidRPr="00AD5A27">
        <w:t xml:space="preserve">based on </w:t>
      </w:r>
      <w:r w:rsidRPr="00AD5A27">
        <w:t>Dick et al. 2016).</w:t>
      </w:r>
      <w:r w:rsidR="00A02537" w:rsidRPr="00AD5A27">
        <w:rPr>
          <w:rStyle w:val="FootnoteReference"/>
        </w:rPr>
        <w:footnoteReference w:id="14"/>
      </w:r>
      <w:r w:rsidRPr="00AD5A27">
        <w:t xml:space="preserve"> The current resubmission assumed disease resolution </w:t>
      </w:r>
      <w:r w:rsidR="00D62FD9" w:rsidRPr="00AD5A27">
        <w:t xml:space="preserve">for </w:t>
      </w:r>
      <w:r w:rsidR="004B5B32" w:rsidRPr="00AD5A27">
        <w:t>all</w:t>
      </w:r>
      <w:r w:rsidR="00D62FD9" w:rsidRPr="00AD5A27">
        <w:t xml:space="preserve"> patients </w:t>
      </w:r>
      <w:r w:rsidR="004B5B32" w:rsidRPr="00AD5A27">
        <w:t xml:space="preserve">in both treatment arms without flare </w:t>
      </w:r>
      <w:r w:rsidRPr="00AD5A27">
        <w:t>after a maximum of 5 years. Consequently, the relative proportion of patients entering remission at 5 years</w:t>
      </w:r>
      <w:r w:rsidRPr="00AD5A27" w:rsidDel="0070436F">
        <w:t xml:space="preserve"> </w:t>
      </w:r>
      <w:r w:rsidRPr="00AD5A27">
        <w:t xml:space="preserve">was higher in the adalimumab treatment arm, reflecting a greater share of patients remaining free of ocular complications over this period (see </w:t>
      </w:r>
      <w:r w:rsidRPr="00AD5A27">
        <w:fldChar w:fldCharType="begin" w:fldLock="1"/>
      </w:r>
      <w:r w:rsidRPr="00AD5A27">
        <w:instrText xml:space="preserve"> REF _Ref152256944 \h </w:instrText>
      </w:r>
      <w:r w:rsidR="003C063D" w:rsidRPr="00AD5A27">
        <w:instrText xml:space="preserve"> \* MERGEFORMAT </w:instrText>
      </w:r>
      <w:r w:rsidRPr="00AD5A27">
        <w:fldChar w:fldCharType="separate"/>
      </w:r>
      <w:r w:rsidR="00B510E9" w:rsidRPr="00AD5A27">
        <w:t>Figure 5</w:t>
      </w:r>
      <w:r w:rsidRPr="00AD5A27">
        <w:fldChar w:fldCharType="end"/>
      </w:r>
      <w:r w:rsidRPr="00AD5A27">
        <w:t xml:space="preserve"> and </w:t>
      </w:r>
      <w:r w:rsidRPr="00AD5A27">
        <w:fldChar w:fldCharType="begin" w:fldLock="1"/>
      </w:r>
      <w:r w:rsidRPr="00AD5A27">
        <w:instrText xml:space="preserve"> REF _Ref152256961 \h </w:instrText>
      </w:r>
      <w:r w:rsidR="003C063D" w:rsidRPr="00AD5A27">
        <w:instrText xml:space="preserve"> \* MERGEFORMAT </w:instrText>
      </w:r>
      <w:r w:rsidRPr="00AD5A27">
        <w:fldChar w:fldCharType="separate"/>
      </w:r>
      <w:r w:rsidR="00B510E9" w:rsidRPr="00AD5A27">
        <w:t>Figure 6</w:t>
      </w:r>
      <w:r w:rsidRPr="00AD5A27">
        <w:fldChar w:fldCharType="end"/>
      </w:r>
      <w:r w:rsidRPr="00AD5A27">
        <w:t>). The resubmission reported that assuming a maximum disease duration of 5 years (i.e., time without flares before remission was induced) did not infer a maximum treatment duration of 5-years overall, as a share of the adalimumab cohort remained on treatment beyond 10 years due to the recency of incident ocular complications. Th</w:t>
      </w:r>
      <w:r w:rsidR="00772277" w:rsidRPr="00AD5A27">
        <w:t>e</w:t>
      </w:r>
      <w:r w:rsidR="00FA3DE5" w:rsidRPr="00AD5A27">
        <w:t xml:space="preserve"> </w:t>
      </w:r>
      <w:r w:rsidR="00772277" w:rsidRPr="00AD5A27">
        <w:t>ESC agreed with the evaluation and</w:t>
      </w:r>
      <w:r w:rsidR="00FA3DE5" w:rsidRPr="00AD5A27">
        <w:t xml:space="preserve"> considered this</w:t>
      </w:r>
      <w:r w:rsidRPr="00AD5A27">
        <w:t xml:space="preserve"> was highly uncertain</w:t>
      </w:r>
      <w:r w:rsidR="00F4724E" w:rsidRPr="00AD5A27">
        <w:t xml:space="preserve"> and noted</w:t>
      </w:r>
      <w:r w:rsidRPr="00AD5A27">
        <w:t xml:space="preserve"> </w:t>
      </w:r>
      <w:r w:rsidR="00F4724E" w:rsidRPr="00AD5A27">
        <w:t>n</w:t>
      </w:r>
      <w:r w:rsidRPr="00AD5A27">
        <w:t>on-infectious uveitis may reoccur, necessitating retreatment. Eurelings et al. (2022)</w:t>
      </w:r>
      <w:r w:rsidR="00D76E52" w:rsidRPr="00AD5A27">
        <w:rPr>
          <w:rStyle w:val="FootnoteReference"/>
        </w:rPr>
        <w:footnoteReference w:id="15"/>
      </w:r>
      <w:r w:rsidRPr="00AD5A27">
        <w:t xml:space="preserve"> reported the uveitis recurrence-free survival interval to be 3.4 years (range, 0-13 years). Assuming no maximum disease duration increased the ICER from $</w:t>
      </w:r>
      <w:r w:rsidR="00EF609A" w:rsidRPr="00EF609A">
        <w:t>25,000 to &lt; $35,000</w:t>
      </w:r>
      <w:r w:rsidR="00EF609A">
        <w:t xml:space="preserve"> </w:t>
      </w:r>
      <w:r w:rsidRPr="00AD5A27">
        <w:t>to $</w:t>
      </w:r>
      <w:r w:rsidR="00863F7F" w:rsidRPr="00863F7F">
        <w:t xml:space="preserve">55,000 to &lt; $75,000 </w:t>
      </w:r>
      <w:r w:rsidRPr="00AD5A27">
        <w:t>/QALY gained (</w:t>
      </w:r>
      <w:r w:rsidR="00A06F4D" w:rsidRPr="00AD5A27">
        <w:fldChar w:fldCharType="begin" w:fldLock="1"/>
      </w:r>
      <w:r w:rsidR="00A06F4D" w:rsidRPr="00AD5A27">
        <w:instrText xml:space="preserve"> REF _Ref153208998 \h  \* MERGEFORMAT </w:instrText>
      </w:r>
      <w:r w:rsidR="00A06F4D" w:rsidRPr="00AD5A27">
        <w:fldChar w:fldCharType="separate"/>
      </w:r>
      <w:r w:rsidR="00B510E9" w:rsidRPr="00AD5A27">
        <w:t>Table 14</w:t>
      </w:r>
      <w:r w:rsidR="00A06F4D" w:rsidRPr="00AD5A27">
        <w:fldChar w:fldCharType="end"/>
      </w:r>
      <w:r w:rsidRPr="00AD5A27">
        <w:t>)</w:t>
      </w:r>
      <w:r w:rsidR="00AD5A27">
        <w:t xml:space="preserve">. </w:t>
      </w:r>
    </w:p>
    <w:p w14:paraId="4B48A740" w14:textId="02717BFF" w:rsidR="002A66BB" w:rsidRPr="00AD5A27" w:rsidRDefault="002A66BB">
      <w:pPr>
        <w:pStyle w:val="3-BodyText"/>
      </w:pPr>
      <w:bookmarkStart w:id="60" w:name="_Ref159764793"/>
      <w:r w:rsidRPr="00AD5A27">
        <w:lastRenderedPageBreak/>
        <w:t xml:space="preserve">The March 2017 submission estimated the expected duration of adalimumab therapy based on the proportion of uveitis patients that remained at risk of ocular complications and therefore required treatment (Dick et al. 2016). </w:t>
      </w:r>
      <w:r w:rsidR="00D9299D" w:rsidRPr="00AD5A27">
        <w:t>The previous evaluation noted that o</w:t>
      </w:r>
      <w:r w:rsidRPr="00AD5A27">
        <w:t xml:space="preserve">cular complications are potential downstream effects of uveitis and are therefore of limited relevance in determining treatment duration (para. 6.35, adalimumab, PSD, March 2017 PBAC meeting). The resubmission slightly modified the structure of the Markov model to explicitly model treatment discontinuation as health state transitions. </w:t>
      </w:r>
      <w:r w:rsidR="00C15724" w:rsidRPr="00AD5A27">
        <w:t>The</w:t>
      </w:r>
      <w:r w:rsidRPr="00AD5A27">
        <w:t xml:space="preserve"> probability of adalimumab treatment discontinuation due to controlled disease (0.51%/cycle) or due to other reasons (0.84%/cycle) </w:t>
      </w:r>
      <w:r w:rsidR="00AA41DA" w:rsidRPr="00AD5A27">
        <w:t xml:space="preserve">was applied </w:t>
      </w:r>
      <w:r w:rsidRPr="00AD5A27">
        <w:t>based on Eurelings et al. (2022)</w:t>
      </w:r>
      <w:r w:rsidR="00AD5A27">
        <w:t xml:space="preserve">. </w:t>
      </w:r>
      <w:r w:rsidR="00594B47" w:rsidRPr="00AD5A27">
        <w:t xml:space="preserve">The PSCR reiterated the probability of disease resolution was based on evidence from Eurelings </w:t>
      </w:r>
      <w:r w:rsidR="00772277" w:rsidRPr="00AD5A27">
        <w:t>et al. (</w:t>
      </w:r>
      <w:r w:rsidR="00594B47" w:rsidRPr="00AD5A27">
        <w:t>2022</w:t>
      </w:r>
      <w:r w:rsidR="00772277" w:rsidRPr="00AD5A27">
        <w:t>)</w:t>
      </w:r>
      <w:r w:rsidR="00594B47" w:rsidRPr="00AD5A27">
        <w:t>, which included adalimumab treatment discontinuation rates due to remission, and</w:t>
      </w:r>
      <w:r w:rsidR="009B2F05" w:rsidRPr="00AD5A27">
        <w:t xml:space="preserve"> further argued</w:t>
      </w:r>
      <w:r w:rsidR="00594B47" w:rsidRPr="00AD5A27">
        <w:t xml:space="preserve"> the assumptions used in the model remain consistent with Dick </w:t>
      </w:r>
      <w:r w:rsidR="00772277" w:rsidRPr="00AD5A27">
        <w:t xml:space="preserve">et al. </w:t>
      </w:r>
      <w:r w:rsidR="00594B47" w:rsidRPr="00AD5A27">
        <w:t>2016 which was relied upon in the 2017 submission</w:t>
      </w:r>
      <w:r w:rsidR="00AD5A27">
        <w:t xml:space="preserve">. </w:t>
      </w:r>
      <w:r w:rsidR="00594B47" w:rsidRPr="00AD5A27">
        <w:t xml:space="preserve">The ESC considered the assumptions around disease resolution </w:t>
      </w:r>
      <w:r w:rsidR="003C655C" w:rsidRPr="00AD5A27">
        <w:t>were</w:t>
      </w:r>
      <w:r w:rsidR="00594B47" w:rsidRPr="00AD5A27">
        <w:t xml:space="preserve"> not well supported by the available evidence.</w:t>
      </w:r>
      <w:bookmarkEnd w:id="60"/>
      <w:r w:rsidR="003C655C" w:rsidRPr="00AD5A27">
        <w:t xml:space="preserve"> The Pre-PBAC Response reiterated the disease resolution rate applied in the model reflects that observed in empirical evidence from 342 patients treated with adalimumab (16.7% over 3.2 years from Eurelings et al), and the application of these data to the model is further supported by the comparable disease resolution rate in 112 Australian patients provided by the Royal Victorian Eye and Ear Hospital (RVEEH) in their organisational consumer </w:t>
      </w:r>
      <w:r w:rsidR="003C655C" w:rsidRPr="00D417DA">
        <w:t>comments (</w:t>
      </w:r>
      <w:r w:rsidR="006D1FD5" w:rsidRPr="004050E4">
        <w:rPr>
          <w:color w:val="000000"/>
          <w:w w:val="15"/>
          <w:shd w:val="solid" w:color="000000" w:fill="000000"/>
          <w:fitText w:val="-20" w:id="-955113472"/>
          <w14:textFill>
            <w14:solidFill>
              <w14:srgbClr w14:val="000000">
                <w14:alpha w14:val="100000"/>
              </w14:srgbClr>
            </w14:solidFill>
          </w14:textFill>
        </w:rPr>
        <w:t xml:space="preserve">|  </w:t>
      </w:r>
      <w:r w:rsidR="006D1FD5" w:rsidRPr="004050E4">
        <w:rPr>
          <w:color w:val="000000"/>
          <w:spacing w:val="-69"/>
          <w:w w:val="15"/>
          <w:shd w:val="solid" w:color="000000" w:fill="000000"/>
          <w:fitText w:val="-20" w:id="-955113472"/>
          <w14:textFill>
            <w14:solidFill>
              <w14:srgbClr w14:val="000000">
                <w14:alpha w14:val="100000"/>
              </w14:srgbClr>
            </w14:solidFill>
          </w14:textFill>
        </w:rPr>
        <w:t>|</w:t>
      </w:r>
      <w:r w:rsidR="00D417DA">
        <w:t xml:space="preserve">% </w:t>
      </w:r>
      <w:r w:rsidR="006D1FD5" w:rsidRPr="004050E4">
        <w:rPr>
          <w:color w:val="000000"/>
          <w:w w:val="15"/>
          <w:shd w:val="solid" w:color="000000" w:fill="000000"/>
          <w:fitText w:val="-20" w:id="-955113471"/>
          <w14:textFill>
            <w14:solidFill>
              <w14:srgbClr w14:val="000000">
                <w14:alpha w14:val="100000"/>
              </w14:srgbClr>
            </w14:solidFill>
          </w14:textFill>
        </w:rPr>
        <w:t xml:space="preserve">|  </w:t>
      </w:r>
      <w:r w:rsidR="006D1FD5" w:rsidRPr="004050E4">
        <w:rPr>
          <w:color w:val="000000"/>
          <w:spacing w:val="-69"/>
          <w:w w:val="15"/>
          <w:shd w:val="solid" w:color="000000" w:fill="000000"/>
          <w:fitText w:val="-20" w:id="-955113471"/>
          <w14:textFill>
            <w14:solidFill>
              <w14:srgbClr w14:val="000000">
                <w14:alpha w14:val="100000"/>
              </w14:srgbClr>
            </w14:solidFill>
          </w14:textFill>
        </w:rPr>
        <w:t>|</w:t>
      </w:r>
      <w:r w:rsidR="006D1FD5">
        <w:t xml:space="preserve"> </w:t>
      </w:r>
      <w:r w:rsidR="006D1FD5" w:rsidRPr="006D1FD5">
        <w:rPr>
          <w:color w:val="000000"/>
          <w:w w:val="15"/>
          <w:shd w:val="solid" w:color="000000" w:fill="000000"/>
          <w:fitText w:val="40" w:id="-955113470"/>
          <w14:textFill>
            <w14:solidFill>
              <w14:srgbClr w14:val="000000">
                <w14:alpha w14:val="100000"/>
              </w14:srgbClr>
            </w14:solidFill>
          </w14:textFill>
        </w:rPr>
        <w:t>|  |</w:t>
      </w:r>
      <w:r w:rsidR="003C655C" w:rsidRPr="00D417DA">
        <w:t xml:space="preserve"> </w:t>
      </w:r>
      <w:r w:rsidR="006D1FD5" w:rsidRPr="004050E4">
        <w:rPr>
          <w:color w:val="000000"/>
          <w:w w:val="15"/>
          <w:shd w:val="solid" w:color="000000" w:fill="000000"/>
          <w:fitText w:val="-20" w:id="-955113216"/>
          <w14:textFill>
            <w14:solidFill>
              <w14:srgbClr w14:val="000000">
                <w14:alpha w14:val="100000"/>
              </w14:srgbClr>
            </w14:solidFill>
          </w14:textFill>
        </w:rPr>
        <w:t xml:space="preserve">|  </w:t>
      </w:r>
      <w:r w:rsidR="006D1FD5" w:rsidRPr="004050E4">
        <w:rPr>
          <w:color w:val="000000"/>
          <w:spacing w:val="-69"/>
          <w:w w:val="15"/>
          <w:shd w:val="solid" w:color="000000" w:fill="000000"/>
          <w:fitText w:val="-20" w:id="-955113216"/>
          <w14:textFill>
            <w14:solidFill>
              <w14:srgbClr w14:val="000000">
                <w14:alpha w14:val="100000"/>
              </w14:srgbClr>
            </w14:solidFill>
          </w14:textFill>
        </w:rPr>
        <w:t>|</w:t>
      </w:r>
      <w:r w:rsidR="003C655C" w:rsidRPr="00D417DA">
        <w:t>)</w:t>
      </w:r>
      <w:r w:rsidR="006D1FD5">
        <w:rPr>
          <w:rStyle w:val="FootnoteReference"/>
        </w:rPr>
        <w:footnoteReference w:id="16"/>
      </w:r>
      <w:r w:rsidR="003C655C" w:rsidRPr="00D417DA">
        <w:t>. The</w:t>
      </w:r>
      <w:r w:rsidR="003C655C" w:rsidRPr="00AD5A27">
        <w:t xml:space="preserve"> PBAC considered that while the disease resolution rates were based on empirical evidence, it was overall acceptable to apply these to the economic model.</w:t>
      </w:r>
    </w:p>
    <w:p w14:paraId="3D451F9C" w14:textId="19A504F0" w:rsidR="002A66BB" w:rsidRPr="00AD5A27" w:rsidRDefault="002A66BB">
      <w:pPr>
        <w:pStyle w:val="3-BodyText"/>
      </w:pPr>
      <w:r w:rsidRPr="00AD5A27">
        <w:t>The utility inputs in the resubmission model remained largely unchanged. A key difference was the removal of the disutility associated with OCS treatment, for “consistency and simplicity”. The March 2017 submission applied disutility from OCS treatment but not from adalimumab treatment</w:t>
      </w:r>
      <w:r w:rsidR="00876113" w:rsidRPr="00AD5A27">
        <w:t>, which the PBAC previously considered to be inappropriate</w:t>
      </w:r>
      <w:r w:rsidRPr="00AD5A27">
        <w:t xml:space="preserve"> (para. 7.15, adalimumab, PSD, March 2017 PBAC meeting). In response, the resubmission did not apply</w:t>
      </w:r>
      <w:r w:rsidR="005B37B7" w:rsidRPr="00AD5A27">
        <w:t xml:space="preserve"> </w:t>
      </w:r>
      <w:r w:rsidR="00C15724" w:rsidRPr="00AD5A27">
        <w:t>a</w:t>
      </w:r>
      <w:r w:rsidRPr="00AD5A27">
        <w:t xml:space="preserve"> disutility to either </w:t>
      </w:r>
      <w:r w:rsidR="004C38B9" w:rsidRPr="00AD5A27">
        <w:t>adalimumab</w:t>
      </w:r>
      <w:r w:rsidR="002F1609" w:rsidRPr="00AD5A27">
        <w:t xml:space="preserve"> </w:t>
      </w:r>
      <w:r w:rsidRPr="00AD5A27">
        <w:t xml:space="preserve">or OCS treatment. The resubmission argued that “given the worse safety profile of OCS compared to adalimumab, the exclusion of QALY impacts of OCS related adverse events is unambiguously biased against adalimumab”. No direct evidence of the comparative safety of </w:t>
      </w:r>
      <w:r w:rsidR="004C38B9" w:rsidRPr="00AD5A27">
        <w:t xml:space="preserve">adalimumab </w:t>
      </w:r>
      <w:r w:rsidRPr="00AD5A27">
        <w:t xml:space="preserve">and OCS was provided to support this assumption. In the VISUAL I trial, there was a statistically significant difference between treatment arms in favour of adalimumab for the change in EQ-5D scores (p=0.04). In the VISUAL II trial, there was no statistically significant difference between treatment arms for change in EQ-5D scores. The EQ-5D scores would have captured the impact of any differences in adverse events </w:t>
      </w:r>
      <w:r w:rsidR="00094AC9" w:rsidRPr="00AD5A27">
        <w:t xml:space="preserve">between adalimumab and OCS </w:t>
      </w:r>
      <w:r w:rsidRPr="00AD5A27">
        <w:t>on utilities</w:t>
      </w:r>
      <w:r w:rsidR="004D2F9F" w:rsidRPr="00AD5A27">
        <w:t xml:space="preserve"> </w:t>
      </w:r>
      <w:r w:rsidR="00850FAD" w:rsidRPr="00AD5A27">
        <w:t xml:space="preserve">in the short term, however </w:t>
      </w:r>
      <w:r w:rsidR="00357A49" w:rsidRPr="00AD5A27">
        <w:t>any</w:t>
      </w:r>
      <w:r w:rsidR="00850FAD" w:rsidRPr="00AD5A27">
        <w:t xml:space="preserve"> difference</w:t>
      </w:r>
      <w:r w:rsidR="0023713F" w:rsidRPr="00AD5A27">
        <w:t>s</w:t>
      </w:r>
      <w:r w:rsidR="00850FAD" w:rsidRPr="00AD5A27">
        <w:t xml:space="preserve"> may have been underestimated in </w:t>
      </w:r>
      <w:r w:rsidR="00850FAD" w:rsidRPr="00AD5A27">
        <w:lastRenderedPageBreak/>
        <w:t xml:space="preserve">the long term due to forced tapering of OCS in the trials. The effect of re-including </w:t>
      </w:r>
      <w:r w:rsidR="00CA1600" w:rsidRPr="00AD5A27">
        <w:t xml:space="preserve">disutilities associated with OCS adverse events </w:t>
      </w:r>
      <w:r w:rsidR="00FC54AF" w:rsidRPr="00AD5A27">
        <w:t xml:space="preserve">on the ICER </w:t>
      </w:r>
      <w:r w:rsidR="00CA1600" w:rsidRPr="00AD5A27">
        <w:t>was minimal</w:t>
      </w:r>
      <w:r w:rsidR="008F148E" w:rsidRPr="00AD5A27">
        <w:t>.</w:t>
      </w:r>
      <w:r w:rsidRPr="00AD5A27">
        <w:t xml:space="preserve"> </w:t>
      </w:r>
    </w:p>
    <w:p w14:paraId="1FDA89F4" w14:textId="2F781C00" w:rsidR="002A66BB" w:rsidRPr="00AD5A27" w:rsidRDefault="002A66BB">
      <w:pPr>
        <w:pStyle w:val="3-BodyText"/>
      </w:pPr>
      <w:r w:rsidRPr="00AD5A27">
        <w:t xml:space="preserve">The resubmission </w:t>
      </w:r>
      <w:r w:rsidR="006D6D61" w:rsidRPr="00AD5A27">
        <w:t>made</w:t>
      </w:r>
      <w:r w:rsidRPr="00AD5A27">
        <w:t xml:space="preserve"> the following changes</w:t>
      </w:r>
      <w:r w:rsidR="00A761DE" w:rsidRPr="00AD5A27">
        <w:t xml:space="preserve"> to costs</w:t>
      </w:r>
      <w:r w:rsidRPr="00AD5A27">
        <w:t xml:space="preserve"> compared with the March 2017 submission: adalimumab price reduction, accounting for monthly instead of 4-weekly cycles (both adalimumab and OCS), updating the cost of OCS based on the current PBS </w:t>
      </w:r>
      <w:r w:rsidR="007374F1">
        <w:t>DPMQ</w:t>
      </w:r>
      <w:r w:rsidR="007374F1" w:rsidRPr="00AD5A27">
        <w:t xml:space="preserve"> </w:t>
      </w:r>
      <w:r w:rsidRPr="00AD5A27">
        <w:t>for prednisolone, updating the costs of ocular complications, including the cost of AEs with adalimumab treatment and updating the cost of AEs with OCS treatment.</w:t>
      </w:r>
    </w:p>
    <w:p w14:paraId="1DEB06CC" w14:textId="0B1C243B" w:rsidR="002A66BB" w:rsidRPr="00AD5A27" w:rsidRDefault="002A66BB">
      <w:pPr>
        <w:pStyle w:val="3-BodyText"/>
      </w:pPr>
      <w:r w:rsidRPr="00AD5A27">
        <w:fldChar w:fldCharType="begin" w:fldLock="1"/>
      </w:r>
      <w:r w:rsidRPr="00AD5A27">
        <w:instrText xml:space="preserve"> REF _Ref152435037 \h </w:instrText>
      </w:r>
      <w:r w:rsidR="003C063D" w:rsidRPr="00AD5A27">
        <w:instrText xml:space="preserve"> \* MERGEFORMAT </w:instrText>
      </w:r>
      <w:r w:rsidRPr="00AD5A27">
        <w:fldChar w:fldCharType="separate"/>
      </w:r>
      <w:r w:rsidR="00B510E9" w:rsidRPr="00AD5A27">
        <w:t>Table 10</w:t>
      </w:r>
      <w:r w:rsidRPr="00AD5A27">
        <w:fldChar w:fldCharType="end"/>
      </w:r>
      <w:r w:rsidRPr="00AD5A27">
        <w:t xml:space="preserve"> presents the disaggregated costs per person by treatment arm. </w:t>
      </w:r>
    </w:p>
    <w:p w14:paraId="5C707994" w14:textId="34712638" w:rsidR="002A66BB" w:rsidRPr="00AD5A27" w:rsidRDefault="002A66BB" w:rsidP="00D04389">
      <w:pPr>
        <w:pStyle w:val="Caption"/>
        <w:rPr>
          <w:rStyle w:val="CommentReference"/>
          <w:b/>
          <w:szCs w:val="24"/>
        </w:rPr>
      </w:pPr>
      <w:bookmarkStart w:id="61" w:name="_Ref152435037"/>
      <w:r w:rsidRPr="00AD5A27">
        <w:t xml:space="preserve">Table </w:t>
      </w:r>
      <w:r w:rsidR="004050E4">
        <w:fldChar w:fldCharType="begin" w:fldLock="1"/>
      </w:r>
      <w:r w:rsidR="004050E4">
        <w:instrText xml:space="preserve"> SEQ Table \* ARABIC </w:instrText>
      </w:r>
      <w:r w:rsidR="004050E4">
        <w:fldChar w:fldCharType="separate"/>
      </w:r>
      <w:r w:rsidR="00B510E9" w:rsidRPr="00AD5A27">
        <w:t>10</w:t>
      </w:r>
      <w:r w:rsidR="004050E4">
        <w:fldChar w:fldCharType="end"/>
      </w:r>
      <w:bookmarkEnd w:id="61"/>
      <w:r w:rsidRPr="00AD5A27">
        <w:rPr>
          <w:rStyle w:val="CommentReference"/>
          <w:b/>
          <w:szCs w:val="24"/>
        </w:rPr>
        <w:t>: Health care resource items: disaggregated summary of cost impacts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Health care resource items: disaggregated summary of cost impacts"/>
      </w:tblPr>
      <w:tblGrid>
        <w:gridCol w:w="2565"/>
        <w:gridCol w:w="1080"/>
        <w:gridCol w:w="810"/>
        <w:gridCol w:w="1215"/>
        <w:gridCol w:w="945"/>
        <w:gridCol w:w="1215"/>
        <w:gridCol w:w="1187"/>
      </w:tblGrid>
      <w:tr w:rsidR="002A66BB" w:rsidRPr="00AD5A27" w14:paraId="4C420763" w14:textId="77777777" w:rsidTr="00771261">
        <w:trPr>
          <w:tblHeader/>
        </w:trPr>
        <w:tc>
          <w:tcPr>
            <w:tcW w:w="1422" w:type="pct"/>
            <w:tcBorders>
              <w:bottom w:val="nil"/>
            </w:tcBorders>
            <w:vAlign w:val="center"/>
          </w:tcPr>
          <w:p w14:paraId="61F508D1" w14:textId="77777777" w:rsidR="002A66BB" w:rsidRPr="00AD5A27" w:rsidRDefault="002A66BB" w:rsidP="00D04389">
            <w:pPr>
              <w:pStyle w:val="In-tableHeading"/>
              <w:rPr>
                <w:lang w:val="en-AU"/>
              </w:rPr>
            </w:pPr>
          </w:p>
        </w:tc>
        <w:tc>
          <w:tcPr>
            <w:tcW w:w="1048" w:type="pct"/>
            <w:gridSpan w:val="2"/>
            <w:vAlign w:val="center"/>
          </w:tcPr>
          <w:p w14:paraId="106022E7" w14:textId="77777777" w:rsidR="002A66BB" w:rsidRPr="00AD5A27" w:rsidRDefault="002A66BB" w:rsidP="00D04389">
            <w:pPr>
              <w:pStyle w:val="In-tableHeading"/>
              <w:jc w:val="center"/>
              <w:rPr>
                <w:lang w:val="en-AU"/>
              </w:rPr>
            </w:pPr>
            <w:r w:rsidRPr="00AD5A27">
              <w:rPr>
                <w:lang w:val="en-AU"/>
              </w:rPr>
              <w:t>ADA (± OCS)</w:t>
            </w:r>
          </w:p>
        </w:tc>
        <w:tc>
          <w:tcPr>
            <w:tcW w:w="1198" w:type="pct"/>
            <w:gridSpan w:val="2"/>
            <w:vAlign w:val="center"/>
          </w:tcPr>
          <w:p w14:paraId="5327BDC0" w14:textId="77777777" w:rsidR="002A66BB" w:rsidRPr="00AD5A27" w:rsidRDefault="002A66BB" w:rsidP="00D04389">
            <w:pPr>
              <w:pStyle w:val="In-tableHeading"/>
              <w:jc w:val="center"/>
              <w:rPr>
                <w:lang w:val="en-AU"/>
              </w:rPr>
            </w:pPr>
            <w:r w:rsidRPr="00AD5A27">
              <w:rPr>
                <w:lang w:val="en-AU"/>
              </w:rPr>
              <w:t>BSC (± OCS)</w:t>
            </w:r>
          </w:p>
        </w:tc>
        <w:tc>
          <w:tcPr>
            <w:tcW w:w="1332" w:type="pct"/>
            <w:gridSpan w:val="2"/>
            <w:vAlign w:val="center"/>
          </w:tcPr>
          <w:p w14:paraId="36A753AE" w14:textId="77777777" w:rsidR="002A66BB" w:rsidRPr="00AD5A27" w:rsidRDefault="002A66BB" w:rsidP="00D04389">
            <w:pPr>
              <w:pStyle w:val="In-tableHeading"/>
              <w:jc w:val="center"/>
              <w:rPr>
                <w:lang w:val="en-AU"/>
              </w:rPr>
            </w:pPr>
            <w:r w:rsidRPr="00AD5A27">
              <w:rPr>
                <w:lang w:val="en-AU"/>
              </w:rPr>
              <w:t>Increment</w:t>
            </w:r>
          </w:p>
        </w:tc>
      </w:tr>
      <w:tr w:rsidR="002A66BB" w:rsidRPr="00AD5A27" w14:paraId="1AB5A4C5" w14:textId="77777777" w:rsidTr="00771261">
        <w:trPr>
          <w:tblHeader/>
        </w:trPr>
        <w:tc>
          <w:tcPr>
            <w:tcW w:w="1422" w:type="pct"/>
            <w:tcBorders>
              <w:top w:val="nil"/>
              <w:bottom w:val="single" w:sz="4" w:space="0" w:color="auto"/>
            </w:tcBorders>
            <w:vAlign w:val="center"/>
          </w:tcPr>
          <w:p w14:paraId="1C223E41" w14:textId="77777777" w:rsidR="002A66BB" w:rsidRPr="00AD5A27" w:rsidRDefault="002A66BB" w:rsidP="00D04389">
            <w:pPr>
              <w:pStyle w:val="In-tableHeading"/>
              <w:rPr>
                <w:lang w:val="en-AU"/>
              </w:rPr>
            </w:pPr>
            <w:r w:rsidRPr="00AD5A27">
              <w:rPr>
                <w:lang w:val="en-AU"/>
              </w:rPr>
              <w:t>Resource item</w:t>
            </w:r>
          </w:p>
        </w:tc>
        <w:tc>
          <w:tcPr>
            <w:tcW w:w="599" w:type="pct"/>
            <w:tcBorders>
              <w:bottom w:val="single" w:sz="4" w:space="0" w:color="auto"/>
            </w:tcBorders>
            <w:vAlign w:val="center"/>
          </w:tcPr>
          <w:p w14:paraId="68BAFC8E" w14:textId="77777777" w:rsidR="002A66BB" w:rsidRPr="00AD5A27" w:rsidRDefault="002A66BB" w:rsidP="00D04389">
            <w:pPr>
              <w:pStyle w:val="In-tableHeading"/>
              <w:jc w:val="center"/>
              <w:rPr>
                <w:lang w:val="en-AU"/>
              </w:rPr>
            </w:pPr>
            <w:r w:rsidRPr="00AD5A27">
              <w:rPr>
                <w:lang w:val="en-AU"/>
              </w:rPr>
              <w:t>Cost</w:t>
            </w:r>
          </w:p>
        </w:tc>
        <w:tc>
          <w:tcPr>
            <w:tcW w:w="449" w:type="pct"/>
            <w:tcBorders>
              <w:bottom w:val="single" w:sz="4" w:space="0" w:color="auto"/>
            </w:tcBorders>
            <w:vAlign w:val="center"/>
          </w:tcPr>
          <w:p w14:paraId="6877D596" w14:textId="77777777" w:rsidR="002A66BB" w:rsidRPr="00AD5A27" w:rsidRDefault="002A66BB" w:rsidP="00D04389">
            <w:pPr>
              <w:pStyle w:val="In-tableHeading"/>
              <w:jc w:val="center"/>
              <w:rPr>
                <w:lang w:val="en-AU"/>
              </w:rPr>
            </w:pPr>
            <w:r w:rsidRPr="00AD5A27">
              <w:rPr>
                <w:lang w:val="en-AU"/>
              </w:rPr>
              <w:t>% of total</w:t>
            </w:r>
          </w:p>
        </w:tc>
        <w:tc>
          <w:tcPr>
            <w:tcW w:w="674" w:type="pct"/>
            <w:tcBorders>
              <w:bottom w:val="single" w:sz="4" w:space="0" w:color="auto"/>
            </w:tcBorders>
            <w:vAlign w:val="center"/>
          </w:tcPr>
          <w:p w14:paraId="5849BAF3" w14:textId="77777777" w:rsidR="002A66BB" w:rsidRPr="00AD5A27" w:rsidRDefault="002A66BB" w:rsidP="00D04389">
            <w:pPr>
              <w:pStyle w:val="In-tableHeading"/>
              <w:jc w:val="center"/>
              <w:rPr>
                <w:lang w:val="en-AU"/>
              </w:rPr>
            </w:pPr>
            <w:r w:rsidRPr="00AD5A27">
              <w:rPr>
                <w:lang w:val="en-AU"/>
              </w:rPr>
              <w:t>Cost</w:t>
            </w:r>
          </w:p>
        </w:tc>
        <w:tc>
          <w:tcPr>
            <w:tcW w:w="524" w:type="pct"/>
            <w:tcBorders>
              <w:bottom w:val="single" w:sz="4" w:space="0" w:color="auto"/>
            </w:tcBorders>
            <w:vAlign w:val="center"/>
          </w:tcPr>
          <w:p w14:paraId="1F95E5DB" w14:textId="77777777" w:rsidR="002A66BB" w:rsidRPr="00AD5A27" w:rsidRDefault="002A66BB" w:rsidP="00D04389">
            <w:pPr>
              <w:pStyle w:val="In-tableHeading"/>
              <w:jc w:val="center"/>
              <w:rPr>
                <w:lang w:val="en-AU"/>
              </w:rPr>
            </w:pPr>
            <w:r w:rsidRPr="00AD5A27">
              <w:rPr>
                <w:lang w:val="en-AU"/>
              </w:rPr>
              <w:t>% of total</w:t>
            </w:r>
          </w:p>
        </w:tc>
        <w:tc>
          <w:tcPr>
            <w:tcW w:w="674" w:type="pct"/>
            <w:tcBorders>
              <w:bottom w:val="single" w:sz="4" w:space="0" w:color="auto"/>
            </w:tcBorders>
            <w:vAlign w:val="center"/>
          </w:tcPr>
          <w:p w14:paraId="549FB369" w14:textId="77777777" w:rsidR="002A66BB" w:rsidRPr="00AD5A27" w:rsidRDefault="002A66BB" w:rsidP="00D04389">
            <w:pPr>
              <w:pStyle w:val="In-tableHeading"/>
              <w:jc w:val="center"/>
              <w:rPr>
                <w:lang w:val="en-AU"/>
              </w:rPr>
            </w:pPr>
            <w:r w:rsidRPr="00AD5A27">
              <w:rPr>
                <w:lang w:val="en-AU"/>
              </w:rPr>
              <w:t>Cost</w:t>
            </w:r>
          </w:p>
        </w:tc>
        <w:tc>
          <w:tcPr>
            <w:tcW w:w="659" w:type="pct"/>
            <w:tcBorders>
              <w:bottom w:val="single" w:sz="4" w:space="0" w:color="auto"/>
            </w:tcBorders>
            <w:vAlign w:val="center"/>
          </w:tcPr>
          <w:p w14:paraId="0DB2AD79" w14:textId="77777777" w:rsidR="002A66BB" w:rsidRPr="00AD5A27" w:rsidRDefault="002A66BB" w:rsidP="00D04389">
            <w:pPr>
              <w:pStyle w:val="In-tableHeading"/>
              <w:jc w:val="center"/>
              <w:rPr>
                <w:lang w:val="en-AU"/>
              </w:rPr>
            </w:pPr>
            <w:r w:rsidRPr="00AD5A27">
              <w:rPr>
                <w:lang w:val="en-AU"/>
              </w:rPr>
              <w:t>% of total cost-offsets</w:t>
            </w:r>
          </w:p>
        </w:tc>
      </w:tr>
      <w:tr w:rsidR="002A66BB" w:rsidRPr="00AD5A27" w14:paraId="54425463" w14:textId="77777777" w:rsidTr="00771261">
        <w:tc>
          <w:tcPr>
            <w:tcW w:w="1422" w:type="pct"/>
            <w:tcBorders>
              <w:bottom w:val="single" w:sz="4" w:space="0" w:color="auto"/>
              <w:right w:val="nil"/>
            </w:tcBorders>
            <w:vAlign w:val="center"/>
          </w:tcPr>
          <w:p w14:paraId="457EDAAE" w14:textId="77777777" w:rsidR="002A66BB" w:rsidRPr="00AD5A27" w:rsidRDefault="002A66BB" w:rsidP="00D04389">
            <w:pPr>
              <w:pStyle w:val="TableText0"/>
              <w:rPr>
                <w:b/>
                <w:bCs w:val="0"/>
              </w:rPr>
            </w:pPr>
            <w:r w:rsidRPr="00AD5A27">
              <w:rPr>
                <w:b/>
                <w:bCs w:val="0"/>
              </w:rPr>
              <w:t>Pharmaceutical products</w:t>
            </w:r>
          </w:p>
        </w:tc>
        <w:tc>
          <w:tcPr>
            <w:tcW w:w="599" w:type="pct"/>
            <w:tcBorders>
              <w:left w:val="nil"/>
              <w:bottom w:val="single" w:sz="4" w:space="0" w:color="auto"/>
              <w:right w:val="nil"/>
            </w:tcBorders>
            <w:vAlign w:val="center"/>
          </w:tcPr>
          <w:p w14:paraId="2E981922" w14:textId="77777777" w:rsidR="002A66BB" w:rsidRPr="00AD5A27" w:rsidRDefault="002A66BB" w:rsidP="00D04389">
            <w:pPr>
              <w:pStyle w:val="TableText0"/>
              <w:jc w:val="center"/>
              <w:rPr>
                <w:b/>
                <w:bCs w:val="0"/>
              </w:rPr>
            </w:pPr>
          </w:p>
        </w:tc>
        <w:tc>
          <w:tcPr>
            <w:tcW w:w="449" w:type="pct"/>
            <w:tcBorders>
              <w:left w:val="nil"/>
              <w:bottom w:val="single" w:sz="4" w:space="0" w:color="auto"/>
              <w:right w:val="nil"/>
            </w:tcBorders>
            <w:vAlign w:val="center"/>
          </w:tcPr>
          <w:p w14:paraId="1C08F19D" w14:textId="77777777" w:rsidR="002A66BB" w:rsidRPr="00AD5A27" w:rsidRDefault="002A66BB" w:rsidP="00D04389">
            <w:pPr>
              <w:pStyle w:val="TableText0"/>
              <w:jc w:val="center"/>
              <w:rPr>
                <w:b/>
                <w:bCs w:val="0"/>
              </w:rPr>
            </w:pPr>
          </w:p>
        </w:tc>
        <w:tc>
          <w:tcPr>
            <w:tcW w:w="674" w:type="pct"/>
            <w:tcBorders>
              <w:left w:val="nil"/>
              <w:bottom w:val="single" w:sz="4" w:space="0" w:color="auto"/>
              <w:right w:val="nil"/>
            </w:tcBorders>
            <w:vAlign w:val="center"/>
          </w:tcPr>
          <w:p w14:paraId="1E29D9B9" w14:textId="77777777" w:rsidR="002A66BB" w:rsidRPr="00AD5A27" w:rsidRDefault="002A66BB" w:rsidP="00D04389">
            <w:pPr>
              <w:pStyle w:val="TableText0"/>
              <w:jc w:val="center"/>
              <w:rPr>
                <w:b/>
                <w:bCs w:val="0"/>
              </w:rPr>
            </w:pPr>
          </w:p>
        </w:tc>
        <w:tc>
          <w:tcPr>
            <w:tcW w:w="524" w:type="pct"/>
            <w:tcBorders>
              <w:left w:val="nil"/>
              <w:bottom w:val="single" w:sz="4" w:space="0" w:color="auto"/>
              <w:right w:val="nil"/>
            </w:tcBorders>
            <w:vAlign w:val="center"/>
          </w:tcPr>
          <w:p w14:paraId="46923ED6" w14:textId="77777777" w:rsidR="002A66BB" w:rsidRPr="00AD5A27" w:rsidRDefault="002A66BB" w:rsidP="00D04389">
            <w:pPr>
              <w:pStyle w:val="TableText0"/>
              <w:jc w:val="center"/>
              <w:rPr>
                <w:b/>
                <w:bCs w:val="0"/>
              </w:rPr>
            </w:pPr>
          </w:p>
        </w:tc>
        <w:tc>
          <w:tcPr>
            <w:tcW w:w="674" w:type="pct"/>
            <w:tcBorders>
              <w:left w:val="nil"/>
              <w:bottom w:val="single" w:sz="4" w:space="0" w:color="auto"/>
              <w:right w:val="nil"/>
            </w:tcBorders>
            <w:vAlign w:val="center"/>
          </w:tcPr>
          <w:p w14:paraId="73816D28" w14:textId="77777777" w:rsidR="002A66BB" w:rsidRPr="00AD5A27" w:rsidRDefault="002A66BB" w:rsidP="00D04389">
            <w:pPr>
              <w:pStyle w:val="TableText0"/>
              <w:jc w:val="center"/>
              <w:rPr>
                <w:b/>
                <w:bCs w:val="0"/>
              </w:rPr>
            </w:pPr>
          </w:p>
        </w:tc>
        <w:tc>
          <w:tcPr>
            <w:tcW w:w="659" w:type="pct"/>
            <w:tcBorders>
              <w:left w:val="nil"/>
              <w:bottom w:val="single" w:sz="4" w:space="0" w:color="auto"/>
            </w:tcBorders>
            <w:vAlign w:val="center"/>
          </w:tcPr>
          <w:p w14:paraId="47459A6E" w14:textId="77777777" w:rsidR="002A66BB" w:rsidRPr="00AD5A27" w:rsidRDefault="002A66BB" w:rsidP="00D04389">
            <w:pPr>
              <w:pStyle w:val="TableText0"/>
              <w:jc w:val="center"/>
              <w:rPr>
                <w:b/>
                <w:bCs w:val="0"/>
              </w:rPr>
            </w:pPr>
          </w:p>
        </w:tc>
      </w:tr>
      <w:tr w:rsidR="002A66BB" w:rsidRPr="00AD5A27" w14:paraId="1E8AB263" w14:textId="77777777" w:rsidTr="00771261">
        <w:tc>
          <w:tcPr>
            <w:tcW w:w="1422" w:type="pct"/>
            <w:tcBorders>
              <w:top w:val="single" w:sz="4" w:space="0" w:color="auto"/>
              <w:bottom w:val="nil"/>
            </w:tcBorders>
            <w:vAlign w:val="center"/>
          </w:tcPr>
          <w:p w14:paraId="0FAC3F6C" w14:textId="77777777" w:rsidR="002A66BB" w:rsidRPr="00AD5A27" w:rsidRDefault="002A66BB" w:rsidP="00D04389">
            <w:pPr>
              <w:pStyle w:val="TableText0"/>
            </w:pPr>
            <w:r w:rsidRPr="00AD5A27">
              <w:t>ADA treatment</w:t>
            </w:r>
          </w:p>
        </w:tc>
        <w:tc>
          <w:tcPr>
            <w:tcW w:w="599" w:type="pct"/>
            <w:tcBorders>
              <w:top w:val="single" w:sz="4" w:space="0" w:color="auto"/>
              <w:bottom w:val="nil"/>
            </w:tcBorders>
            <w:vAlign w:val="center"/>
          </w:tcPr>
          <w:p w14:paraId="5E09C376" w14:textId="31FBAF95" w:rsidR="002A66BB" w:rsidRPr="00863F7F" w:rsidRDefault="002A66BB" w:rsidP="00D04389">
            <w:pPr>
              <w:pStyle w:val="TableText0"/>
              <w:jc w:val="right"/>
            </w:pPr>
            <w:r w:rsidRPr="00863F7F">
              <w:t>$</w:t>
            </w:r>
            <w:r w:rsidR="00860BB2" w:rsidRPr="00860BB2">
              <w:rPr>
                <w:color w:val="000000"/>
                <w:shd w:val="solid" w:color="000000" w:fill="000000"/>
                <w14:textFill>
                  <w14:solidFill>
                    <w14:srgbClr w14:val="000000">
                      <w14:alpha w14:val="100000"/>
                    </w14:srgbClr>
                  </w14:solidFill>
                </w14:textFill>
              </w:rPr>
              <w:t>|</w:t>
            </w:r>
          </w:p>
        </w:tc>
        <w:tc>
          <w:tcPr>
            <w:tcW w:w="449" w:type="pct"/>
            <w:tcBorders>
              <w:top w:val="single" w:sz="4" w:space="0" w:color="auto"/>
              <w:bottom w:val="nil"/>
            </w:tcBorders>
            <w:vAlign w:val="center"/>
          </w:tcPr>
          <w:p w14:paraId="379C6CAB" w14:textId="77777777" w:rsidR="002A66BB" w:rsidRPr="00AD5A27" w:rsidRDefault="002A66BB" w:rsidP="00D04389">
            <w:pPr>
              <w:pStyle w:val="TableText0"/>
              <w:jc w:val="center"/>
            </w:pPr>
            <w:r w:rsidRPr="00AD5A27">
              <w:t>29.9</w:t>
            </w:r>
          </w:p>
        </w:tc>
        <w:tc>
          <w:tcPr>
            <w:tcW w:w="674" w:type="pct"/>
            <w:tcBorders>
              <w:top w:val="single" w:sz="4" w:space="0" w:color="auto"/>
              <w:bottom w:val="nil"/>
            </w:tcBorders>
            <w:vAlign w:val="center"/>
          </w:tcPr>
          <w:p w14:paraId="0701BE0E" w14:textId="77777777" w:rsidR="002A66BB" w:rsidRPr="004113CC" w:rsidRDefault="002A66BB" w:rsidP="00D04389">
            <w:pPr>
              <w:pStyle w:val="TableText0"/>
              <w:jc w:val="right"/>
            </w:pPr>
            <w:r w:rsidRPr="004113CC">
              <w:t>$0</w:t>
            </w:r>
          </w:p>
        </w:tc>
        <w:tc>
          <w:tcPr>
            <w:tcW w:w="524" w:type="pct"/>
            <w:tcBorders>
              <w:top w:val="single" w:sz="4" w:space="0" w:color="auto"/>
              <w:bottom w:val="nil"/>
            </w:tcBorders>
            <w:vAlign w:val="center"/>
          </w:tcPr>
          <w:p w14:paraId="68E4E212" w14:textId="77777777" w:rsidR="002A66BB" w:rsidRPr="00AD5A27" w:rsidRDefault="002A66BB" w:rsidP="00D04389">
            <w:pPr>
              <w:pStyle w:val="TableText0"/>
              <w:jc w:val="center"/>
            </w:pPr>
            <w:r w:rsidRPr="00AD5A27">
              <w:t>0.0</w:t>
            </w:r>
          </w:p>
        </w:tc>
        <w:tc>
          <w:tcPr>
            <w:tcW w:w="674" w:type="pct"/>
            <w:tcBorders>
              <w:top w:val="single" w:sz="4" w:space="0" w:color="auto"/>
              <w:bottom w:val="nil"/>
            </w:tcBorders>
            <w:vAlign w:val="center"/>
          </w:tcPr>
          <w:p w14:paraId="2FC1B537" w14:textId="3E2F6712" w:rsidR="002A66BB" w:rsidRPr="00AD5A27" w:rsidRDefault="002A66BB" w:rsidP="00D04389">
            <w:pPr>
              <w:pStyle w:val="TableText0"/>
              <w:jc w:val="right"/>
            </w:pPr>
            <w:r w:rsidRPr="00AD5A27">
              <w:t>$</w:t>
            </w:r>
            <w:r w:rsidR="00860BB2" w:rsidRPr="00860BB2">
              <w:rPr>
                <w:color w:val="000000"/>
                <w:shd w:val="solid" w:color="000000" w:fill="000000"/>
                <w14:textFill>
                  <w14:solidFill>
                    <w14:srgbClr w14:val="000000">
                      <w14:alpha w14:val="100000"/>
                    </w14:srgbClr>
                  </w14:solidFill>
                </w14:textFill>
              </w:rPr>
              <w:t>|</w:t>
            </w:r>
          </w:p>
        </w:tc>
        <w:tc>
          <w:tcPr>
            <w:tcW w:w="659" w:type="pct"/>
            <w:tcBorders>
              <w:top w:val="single" w:sz="4" w:space="0" w:color="auto"/>
              <w:bottom w:val="nil"/>
            </w:tcBorders>
            <w:vAlign w:val="center"/>
          </w:tcPr>
          <w:p w14:paraId="3551CF4E" w14:textId="77777777" w:rsidR="002A66BB" w:rsidRPr="00AD5A27" w:rsidRDefault="002A66BB" w:rsidP="00D04389">
            <w:pPr>
              <w:pStyle w:val="TableText0"/>
              <w:jc w:val="center"/>
            </w:pPr>
          </w:p>
        </w:tc>
      </w:tr>
      <w:tr w:rsidR="002A66BB" w:rsidRPr="00AD5A27" w14:paraId="3999C30B" w14:textId="77777777" w:rsidTr="00771261">
        <w:tc>
          <w:tcPr>
            <w:tcW w:w="1422" w:type="pct"/>
            <w:tcBorders>
              <w:top w:val="nil"/>
            </w:tcBorders>
            <w:vAlign w:val="center"/>
          </w:tcPr>
          <w:p w14:paraId="49EA4BA4" w14:textId="77777777" w:rsidR="002A66BB" w:rsidRPr="00AD5A27" w:rsidRDefault="002A66BB" w:rsidP="00D04389">
            <w:pPr>
              <w:pStyle w:val="TableText0"/>
            </w:pPr>
            <w:r w:rsidRPr="00AD5A27">
              <w:t>OCS treatment</w:t>
            </w:r>
          </w:p>
        </w:tc>
        <w:tc>
          <w:tcPr>
            <w:tcW w:w="599" w:type="pct"/>
            <w:tcBorders>
              <w:top w:val="nil"/>
            </w:tcBorders>
            <w:vAlign w:val="center"/>
          </w:tcPr>
          <w:p w14:paraId="3C64BDF3" w14:textId="69BED041" w:rsidR="002A66BB" w:rsidRPr="00863F7F" w:rsidRDefault="002A66BB" w:rsidP="00D04389">
            <w:pPr>
              <w:pStyle w:val="TableText0"/>
              <w:jc w:val="right"/>
            </w:pPr>
            <w:r w:rsidRPr="00863F7F">
              <w:t>$</w:t>
            </w:r>
            <w:r w:rsidR="00860BB2" w:rsidRPr="00860BB2">
              <w:rPr>
                <w:color w:val="000000"/>
                <w:shd w:val="solid" w:color="000000" w:fill="000000"/>
                <w14:textFill>
                  <w14:solidFill>
                    <w14:srgbClr w14:val="000000">
                      <w14:alpha w14:val="100000"/>
                    </w14:srgbClr>
                  </w14:solidFill>
                </w14:textFill>
              </w:rPr>
              <w:t>|</w:t>
            </w:r>
          </w:p>
        </w:tc>
        <w:tc>
          <w:tcPr>
            <w:tcW w:w="449" w:type="pct"/>
            <w:tcBorders>
              <w:top w:val="nil"/>
            </w:tcBorders>
            <w:vAlign w:val="center"/>
          </w:tcPr>
          <w:p w14:paraId="7FD7F847" w14:textId="77777777" w:rsidR="002A66BB" w:rsidRPr="00AD5A27" w:rsidRDefault="002A66BB" w:rsidP="00D04389">
            <w:pPr>
              <w:pStyle w:val="TableText0"/>
              <w:jc w:val="center"/>
            </w:pPr>
            <w:r w:rsidRPr="00AD5A27">
              <w:t>0.2</w:t>
            </w:r>
          </w:p>
        </w:tc>
        <w:tc>
          <w:tcPr>
            <w:tcW w:w="674" w:type="pct"/>
            <w:tcBorders>
              <w:top w:val="nil"/>
            </w:tcBorders>
            <w:vAlign w:val="center"/>
          </w:tcPr>
          <w:p w14:paraId="1B5CB64E" w14:textId="77777777" w:rsidR="002A66BB" w:rsidRPr="004113CC" w:rsidRDefault="002A66BB" w:rsidP="00D04389">
            <w:pPr>
              <w:pStyle w:val="TableText0"/>
              <w:jc w:val="right"/>
            </w:pPr>
            <w:r w:rsidRPr="004113CC">
              <w:t>$154.87</w:t>
            </w:r>
          </w:p>
        </w:tc>
        <w:tc>
          <w:tcPr>
            <w:tcW w:w="524" w:type="pct"/>
            <w:tcBorders>
              <w:top w:val="nil"/>
            </w:tcBorders>
            <w:vAlign w:val="center"/>
          </w:tcPr>
          <w:p w14:paraId="4ECA8136" w14:textId="77777777" w:rsidR="002A66BB" w:rsidRPr="00AD5A27" w:rsidRDefault="002A66BB" w:rsidP="00D04389">
            <w:pPr>
              <w:pStyle w:val="TableText0"/>
              <w:jc w:val="center"/>
            </w:pPr>
            <w:r w:rsidRPr="00AD5A27">
              <w:t>0.3</w:t>
            </w:r>
          </w:p>
        </w:tc>
        <w:tc>
          <w:tcPr>
            <w:tcW w:w="674" w:type="pct"/>
            <w:tcBorders>
              <w:top w:val="nil"/>
            </w:tcBorders>
            <w:vAlign w:val="center"/>
          </w:tcPr>
          <w:p w14:paraId="49CBDB45" w14:textId="55816253" w:rsidR="002A66BB" w:rsidRPr="00AD5A27" w:rsidRDefault="008C4897" w:rsidP="00D04389">
            <w:pPr>
              <w:pStyle w:val="TableText0"/>
              <w:jc w:val="right"/>
            </w:pPr>
            <w:r>
              <w:t>-</w:t>
            </w:r>
            <w:r w:rsidR="002A66BB" w:rsidRPr="00AD5A27">
              <w:t>$</w:t>
            </w:r>
            <w:r w:rsidR="00860BB2" w:rsidRPr="00860BB2">
              <w:rPr>
                <w:color w:val="000000"/>
                <w:shd w:val="solid" w:color="000000" w:fill="000000"/>
                <w14:textFill>
                  <w14:solidFill>
                    <w14:srgbClr w14:val="000000">
                      <w14:alpha w14:val="100000"/>
                    </w14:srgbClr>
                  </w14:solidFill>
                </w14:textFill>
              </w:rPr>
              <w:t>|</w:t>
            </w:r>
          </w:p>
        </w:tc>
        <w:tc>
          <w:tcPr>
            <w:tcW w:w="659" w:type="pct"/>
            <w:tcBorders>
              <w:top w:val="nil"/>
            </w:tcBorders>
            <w:vAlign w:val="center"/>
          </w:tcPr>
          <w:p w14:paraId="2CA7BA10" w14:textId="77777777" w:rsidR="002A66BB" w:rsidRPr="00AD5A27" w:rsidRDefault="002A66BB" w:rsidP="00D04389">
            <w:pPr>
              <w:pStyle w:val="TableText0"/>
              <w:jc w:val="center"/>
            </w:pPr>
            <w:r w:rsidRPr="005A73BF">
              <w:t>0.2</w:t>
            </w:r>
          </w:p>
        </w:tc>
      </w:tr>
      <w:tr w:rsidR="002A66BB" w:rsidRPr="00AD5A27" w14:paraId="7DF87BDF" w14:textId="77777777" w:rsidTr="00771261">
        <w:tc>
          <w:tcPr>
            <w:tcW w:w="1422" w:type="pct"/>
            <w:tcBorders>
              <w:bottom w:val="single" w:sz="4" w:space="0" w:color="auto"/>
            </w:tcBorders>
            <w:vAlign w:val="center"/>
          </w:tcPr>
          <w:p w14:paraId="5ADC3E8F" w14:textId="77777777" w:rsidR="002A66BB" w:rsidRPr="00AD5A27" w:rsidRDefault="002A66BB" w:rsidP="00D04389">
            <w:pPr>
              <w:pStyle w:val="TableText0"/>
            </w:pPr>
            <w:r w:rsidRPr="00AD5A27">
              <w:t>Total</w:t>
            </w:r>
          </w:p>
        </w:tc>
        <w:tc>
          <w:tcPr>
            <w:tcW w:w="599" w:type="pct"/>
            <w:tcBorders>
              <w:bottom w:val="single" w:sz="4" w:space="0" w:color="auto"/>
            </w:tcBorders>
            <w:vAlign w:val="center"/>
          </w:tcPr>
          <w:p w14:paraId="4E58CB51" w14:textId="0CAD1D0C" w:rsidR="002A66BB" w:rsidRPr="00863F7F" w:rsidRDefault="002A66BB" w:rsidP="00D04389">
            <w:pPr>
              <w:pStyle w:val="TableText0"/>
              <w:jc w:val="right"/>
            </w:pPr>
            <w:r w:rsidRPr="00863F7F">
              <w:t>$</w:t>
            </w:r>
            <w:r w:rsidR="00860BB2" w:rsidRPr="00860BB2">
              <w:rPr>
                <w:color w:val="000000"/>
                <w:shd w:val="solid" w:color="000000" w:fill="000000"/>
                <w14:textFill>
                  <w14:solidFill>
                    <w14:srgbClr w14:val="000000">
                      <w14:alpha w14:val="100000"/>
                    </w14:srgbClr>
                  </w14:solidFill>
                </w14:textFill>
              </w:rPr>
              <w:t>|</w:t>
            </w:r>
          </w:p>
        </w:tc>
        <w:tc>
          <w:tcPr>
            <w:tcW w:w="449" w:type="pct"/>
            <w:tcBorders>
              <w:bottom w:val="single" w:sz="4" w:space="0" w:color="auto"/>
            </w:tcBorders>
            <w:vAlign w:val="center"/>
          </w:tcPr>
          <w:p w14:paraId="3F7CB453" w14:textId="77777777" w:rsidR="002A66BB" w:rsidRPr="00AD5A27" w:rsidRDefault="002A66BB" w:rsidP="00D04389">
            <w:pPr>
              <w:pStyle w:val="TableText0"/>
              <w:jc w:val="center"/>
            </w:pPr>
            <w:r w:rsidRPr="00AD5A27">
              <w:t>30.1</w:t>
            </w:r>
          </w:p>
        </w:tc>
        <w:tc>
          <w:tcPr>
            <w:tcW w:w="674" w:type="pct"/>
            <w:tcBorders>
              <w:bottom w:val="single" w:sz="4" w:space="0" w:color="auto"/>
            </w:tcBorders>
            <w:vAlign w:val="center"/>
          </w:tcPr>
          <w:p w14:paraId="2E1E9C16" w14:textId="77777777" w:rsidR="002A66BB" w:rsidRPr="004113CC" w:rsidRDefault="002A66BB" w:rsidP="00D04389">
            <w:pPr>
              <w:pStyle w:val="TableText0"/>
              <w:jc w:val="right"/>
            </w:pPr>
            <w:r w:rsidRPr="004113CC">
              <w:t>$154.87</w:t>
            </w:r>
          </w:p>
        </w:tc>
        <w:tc>
          <w:tcPr>
            <w:tcW w:w="524" w:type="pct"/>
            <w:tcBorders>
              <w:bottom w:val="single" w:sz="4" w:space="0" w:color="auto"/>
            </w:tcBorders>
            <w:vAlign w:val="center"/>
          </w:tcPr>
          <w:p w14:paraId="6756B9DA" w14:textId="77777777" w:rsidR="002A66BB" w:rsidRPr="00AD5A27" w:rsidRDefault="002A66BB" w:rsidP="00D04389">
            <w:pPr>
              <w:pStyle w:val="TableText0"/>
              <w:jc w:val="center"/>
            </w:pPr>
            <w:r w:rsidRPr="00AD5A27">
              <w:t>0.3</w:t>
            </w:r>
          </w:p>
        </w:tc>
        <w:tc>
          <w:tcPr>
            <w:tcW w:w="674" w:type="pct"/>
            <w:tcBorders>
              <w:bottom w:val="single" w:sz="4" w:space="0" w:color="auto"/>
            </w:tcBorders>
            <w:vAlign w:val="center"/>
          </w:tcPr>
          <w:p w14:paraId="0524D370" w14:textId="7510CA35" w:rsidR="002A66BB" w:rsidRPr="00AD5A27" w:rsidRDefault="002A66BB" w:rsidP="00D04389">
            <w:pPr>
              <w:pStyle w:val="TableText0"/>
              <w:jc w:val="right"/>
            </w:pPr>
            <w:r w:rsidRPr="00AD5A27">
              <w:t>$</w:t>
            </w:r>
            <w:r w:rsidR="00860BB2" w:rsidRPr="00860BB2">
              <w:rPr>
                <w:color w:val="000000"/>
                <w:shd w:val="solid" w:color="000000" w:fill="000000"/>
                <w14:textFill>
                  <w14:solidFill>
                    <w14:srgbClr w14:val="000000">
                      <w14:alpha w14:val="100000"/>
                    </w14:srgbClr>
                  </w14:solidFill>
                </w14:textFill>
              </w:rPr>
              <w:t>|</w:t>
            </w:r>
          </w:p>
        </w:tc>
        <w:tc>
          <w:tcPr>
            <w:tcW w:w="659" w:type="pct"/>
            <w:tcBorders>
              <w:bottom w:val="single" w:sz="4" w:space="0" w:color="auto"/>
            </w:tcBorders>
            <w:vAlign w:val="center"/>
          </w:tcPr>
          <w:p w14:paraId="70D03119" w14:textId="77777777" w:rsidR="002A66BB" w:rsidRPr="00AD5A27" w:rsidRDefault="002A66BB" w:rsidP="00D04389">
            <w:pPr>
              <w:pStyle w:val="TableText0"/>
              <w:jc w:val="center"/>
            </w:pPr>
          </w:p>
        </w:tc>
      </w:tr>
      <w:tr w:rsidR="002A66BB" w:rsidRPr="00AD5A27" w14:paraId="2AFA4F60" w14:textId="77777777" w:rsidTr="00771261">
        <w:tc>
          <w:tcPr>
            <w:tcW w:w="1422" w:type="pct"/>
            <w:tcBorders>
              <w:bottom w:val="single" w:sz="4" w:space="0" w:color="auto"/>
              <w:right w:val="nil"/>
            </w:tcBorders>
            <w:vAlign w:val="center"/>
          </w:tcPr>
          <w:p w14:paraId="40B51A84" w14:textId="77777777" w:rsidR="002A66BB" w:rsidRPr="00AD5A27" w:rsidRDefault="002A66BB" w:rsidP="00D04389">
            <w:pPr>
              <w:pStyle w:val="TableText0"/>
              <w:rPr>
                <w:b/>
                <w:bCs w:val="0"/>
              </w:rPr>
            </w:pPr>
            <w:r w:rsidRPr="00AD5A27">
              <w:rPr>
                <w:b/>
                <w:bCs w:val="0"/>
              </w:rPr>
              <w:t>Management of AEs</w:t>
            </w:r>
          </w:p>
        </w:tc>
        <w:tc>
          <w:tcPr>
            <w:tcW w:w="599" w:type="pct"/>
            <w:tcBorders>
              <w:left w:val="nil"/>
              <w:bottom w:val="single" w:sz="4" w:space="0" w:color="auto"/>
              <w:right w:val="nil"/>
            </w:tcBorders>
            <w:vAlign w:val="center"/>
          </w:tcPr>
          <w:p w14:paraId="7EC70135" w14:textId="77777777" w:rsidR="002A66BB" w:rsidRPr="00AD5A27" w:rsidRDefault="002A66BB" w:rsidP="00D04389">
            <w:pPr>
              <w:pStyle w:val="TableText0"/>
              <w:jc w:val="right"/>
              <w:rPr>
                <w:b/>
                <w:bCs w:val="0"/>
              </w:rPr>
            </w:pPr>
          </w:p>
        </w:tc>
        <w:tc>
          <w:tcPr>
            <w:tcW w:w="449" w:type="pct"/>
            <w:tcBorders>
              <w:left w:val="nil"/>
              <w:bottom w:val="single" w:sz="4" w:space="0" w:color="auto"/>
              <w:right w:val="nil"/>
            </w:tcBorders>
            <w:vAlign w:val="center"/>
          </w:tcPr>
          <w:p w14:paraId="3386447E" w14:textId="77777777" w:rsidR="002A66BB" w:rsidRPr="00AD5A27" w:rsidRDefault="002A66BB" w:rsidP="00D04389">
            <w:pPr>
              <w:pStyle w:val="TableText0"/>
              <w:jc w:val="center"/>
              <w:rPr>
                <w:b/>
                <w:bCs w:val="0"/>
              </w:rPr>
            </w:pPr>
          </w:p>
        </w:tc>
        <w:tc>
          <w:tcPr>
            <w:tcW w:w="674" w:type="pct"/>
            <w:tcBorders>
              <w:left w:val="nil"/>
              <w:bottom w:val="single" w:sz="4" w:space="0" w:color="auto"/>
              <w:right w:val="nil"/>
            </w:tcBorders>
            <w:vAlign w:val="center"/>
          </w:tcPr>
          <w:p w14:paraId="40FE6187" w14:textId="77777777" w:rsidR="002A66BB" w:rsidRPr="004113CC" w:rsidRDefault="002A66BB" w:rsidP="00D04389">
            <w:pPr>
              <w:pStyle w:val="TableText0"/>
              <w:jc w:val="right"/>
              <w:rPr>
                <w:b/>
                <w:bCs w:val="0"/>
              </w:rPr>
            </w:pPr>
          </w:p>
        </w:tc>
        <w:tc>
          <w:tcPr>
            <w:tcW w:w="524" w:type="pct"/>
            <w:tcBorders>
              <w:left w:val="nil"/>
              <w:bottom w:val="single" w:sz="4" w:space="0" w:color="auto"/>
              <w:right w:val="nil"/>
            </w:tcBorders>
            <w:vAlign w:val="center"/>
          </w:tcPr>
          <w:p w14:paraId="79F04404" w14:textId="77777777" w:rsidR="002A66BB" w:rsidRPr="00AD5A27" w:rsidRDefault="002A66BB" w:rsidP="00D04389">
            <w:pPr>
              <w:pStyle w:val="TableText0"/>
              <w:jc w:val="center"/>
              <w:rPr>
                <w:b/>
                <w:bCs w:val="0"/>
              </w:rPr>
            </w:pPr>
          </w:p>
        </w:tc>
        <w:tc>
          <w:tcPr>
            <w:tcW w:w="674" w:type="pct"/>
            <w:tcBorders>
              <w:left w:val="nil"/>
              <w:bottom w:val="single" w:sz="4" w:space="0" w:color="auto"/>
              <w:right w:val="nil"/>
            </w:tcBorders>
            <w:vAlign w:val="center"/>
          </w:tcPr>
          <w:p w14:paraId="116E54B4" w14:textId="77777777" w:rsidR="002A66BB" w:rsidRPr="00AD5A27" w:rsidRDefault="002A66BB" w:rsidP="00D04389">
            <w:pPr>
              <w:pStyle w:val="TableText0"/>
              <w:jc w:val="right"/>
              <w:rPr>
                <w:b/>
                <w:bCs w:val="0"/>
              </w:rPr>
            </w:pPr>
          </w:p>
        </w:tc>
        <w:tc>
          <w:tcPr>
            <w:tcW w:w="659" w:type="pct"/>
            <w:tcBorders>
              <w:left w:val="nil"/>
              <w:bottom w:val="single" w:sz="4" w:space="0" w:color="auto"/>
            </w:tcBorders>
            <w:vAlign w:val="center"/>
          </w:tcPr>
          <w:p w14:paraId="50B42B9F" w14:textId="77777777" w:rsidR="002A66BB" w:rsidRPr="00AD5A27" w:rsidRDefault="002A66BB" w:rsidP="00D04389">
            <w:pPr>
              <w:pStyle w:val="TableText0"/>
              <w:jc w:val="center"/>
              <w:rPr>
                <w:b/>
                <w:bCs w:val="0"/>
              </w:rPr>
            </w:pPr>
          </w:p>
        </w:tc>
      </w:tr>
      <w:tr w:rsidR="002A66BB" w:rsidRPr="00AD5A27" w14:paraId="79AEEF50" w14:textId="77777777" w:rsidTr="00771261">
        <w:tc>
          <w:tcPr>
            <w:tcW w:w="1422" w:type="pct"/>
            <w:tcBorders>
              <w:top w:val="single" w:sz="4" w:space="0" w:color="auto"/>
              <w:bottom w:val="nil"/>
            </w:tcBorders>
            <w:vAlign w:val="center"/>
          </w:tcPr>
          <w:p w14:paraId="5FC3DCD5" w14:textId="77777777" w:rsidR="002A66BB" w:rsidRPr="00AD5A27" w:rsidRDefault="002A66BB" w:rsidP="00D04389">
            <w:pPr>
              <w:pStyle w:val="TableText0"/>
            </w:pPr>
            <w:r w:rsidRPr="00AD5A27">
              <w:t>ADA AEs</w:t>
            </w:r>
          </w:p>
        </w:tc>
        <w:tc>
          <w:tcPr>
            <w:tcW w:w="599" w:type="pct"/>
            <w:tcBorders>
              <w:top w:val="single" w:sz="4" w:space="0" w:color="auto"/>
              <w:bottom w:val="nil"/>
            </w:tcBorders>
            <w:vAlign w:val="center"/>
          </w:tcPr>
          <w:p w14:paraId="77FBB1BD" w14:textId="428F3C68" w:rsidR="002A66BB" w:rsidRPr="00AD5A27" w:rsidRDefault="002A66BB" w:rsidP="00D04389">
            <w:pPr>
              <w:pStyle w:val="TableText0"/>
              <w:jc w:val="right"/>
            </w:pPr>
            <w:r w:rsidRPr="00AD5A27">
              <w:t>$</w:t>
            </w:r>
            <w:r w:rsidR="00860BB2" w:rsidRPr="00860BB2">
              <w:rPr>
                <w:color w:val="000000"/>
                <w:shd w:val="solid" w:color="000000" w:fill="000000"/>
                <w14:textFill>
                  <w14:solidFill>
                    <w14:srgbClr w14:val="000000">
                      <w14:alpha w14:val="100000"/>
                    </w14:srgbClr>
                  </w14:solidFill>
                </w14:textFill>
              </w:rPr>
              <w:t>|</w:t>
            </w:r>
          </w:p>
        </w:tc>
        <w:tc>
          <w:tcPr>
            <w:tcW w:w="449" w:type="pct"/>
            <w:tcBorders>
              <w:top w:val="single" w:sz="4" w:space="0" w:color="auto"/>
              <w:bottom w:val="nil"/>
            </w:tcBorders>
            <w:vAlign w:val="center"/>
          </w:tcPr>
          <w:p w14:paraId="0DDEA21D" w14:textId="77777777" w:rsidR="002A66BB" w:rsidRPr="00AD5A27" w:rsidRDefault="002A66BB" w:rsidP="00D04389">
            <w:pPr>
              <w:pStyle w:val="TableText0"/>
              <w:jc w:val="center"/>
            </w:pPr>
            <w:r w:rsidRPr="00AD5A27">
              <w:t>0.2</w:t>
            </w:r>
          </w:p>
        </w:tc>
        <w:tc>
          <w:tcPr>
            <w:tcW w:w="674" w:type="pct"/>
            <w:tcBorders>
              <w:top w:val="single" w:sz="4" w:space="0" w:color="auto"/>
              <w:bottom w:val="nil"/>
            </w:tcBorders>
            <w:vAlign w:val="center"/>
          </w:tcPr>
          <w:p w14:paraId="30FDEF27" w14:textId="77777777" w:rsidR="002A66BB" w:rsidRPr="004113CC" w:rsidRDefault="002A66BB" w:rsidP="00D04389">
            <w:pPr>
              <w:pStyle w:val="TableText0"/>
              <w:jc w:val="right"/>
            </w:pPr>
            <w:r w:rsidRPr="004113CC">
              <w:t>$0</w:t>
            </w:r>
          </w:p>
        </w:tc>
        <w:tc>
          <w:tcPr>
            <w:tcW w:w="524" w:type="pct"/>
            <w:tcBorders>
              <w:top w:val="single" w:sz="4" w:space="0" w:color="auto"/>
              <w:bottom w:val="nil"/>
            </w:tcBorders>
            <w:vAlign w:val="center"/>
          </w:tcPr>
          <w:p w14:paraId="18CC82FD" w14:textId="77777777" w:rsidR="002A66BB" w:rsidRPr="00AD5A27" w:rsidRDefault="002A66BB" w:rsidP="00D04389">
            <w:pPr>
              <w:pStyle w:val="TableText0"/>
              <w:jc w:val="center"/>
            </w:pPr>
            <w:r w:rsidRPr="00AD5A27">
              <w:t>0.0</w:t>
            </w:r>
          </w:p>
        </w:tc>
        <w:tc>
          <w:tcPr>
            <w:tcW w:w="674" w:type="pct"/>
            <w:tcBorders>
              <w:top w:val="single" w:sz="4" w:space="0" w:color="auto"/>
              <w:bottom w:val="nil"/>
            </w:tcBorders>
            <w:vAlign w:val="center"/>
          </w:tcPr>
          <w:p w14:paraId="78C9D2E3" w14:textId="3C02D572" w:rsidR="002A66BB" w:rsidRPr="00AD5A27" w:rsidRDefault="002A66BB" w:rsidP="00D04389">
            <w:pPr>
              <w:pStyle w:val="TableText0"/>
              <w:jc w:val="right"/>
            </w:pPr>
            <w:r w:rsidRPr="00AD5A27">
              <w:t>$</w:t>
            </w:r>
            <w:r w:rsidR="00860BB2" w:rsidRPr="00860BB2">
              <w:rPr>
                <w:color w:val="000000"/>
                <w:shd w:val="solid" w:color="000000" w:fill="000000"/>
                <w14:textFill>
                  <w14:solidFill>
                    <w14:srgbClr w14:val="000000">
                      <w14:alpha w14:val="100000"/>
                    </w14:srgbClr>
                  </w14:solidFill>
                </w14:textFill>
              </w:rPr>
              <w:t>|</w:t>
            </w:r>
          </w:p>
        </w:tc>
        <w:tc>
          <w:tcPr>
            <w:tcW w:w="659" w:type="pct"/>
            <w:tcBorders>
              <w:top w:val="single" w:sz="4" w:space="0" w:color="auto"/>
              <w:bottom w:val="nil"/>
            </w:tcBorders>
            <w:vAlign w:val="center"/>
          </w:tcPr>
          <w:p w14:paraId="71AC4A65" w14:textId="77777777" w:rsidR="002A66BB" w:rsidRPr="00AD5A27" w:rsidRDefault="002A66BB" w:rsidP="00D04389">
            <w:pPr>
              <w:pStyle w:val="TableText0"/>
              <w:jc w:val="center"/>
            </w:pPr>
          </w:p>
        </w:tc>
      </w:tr>
      <w:tr w:rsidR="002A66BB" w:rsidRPr="00AD5A27" w14:paraId="70C947F2" w14:textId="77777777" w:rsidTr="00771261">
        <w:tc>
          <w:tcPr>
            <w:tcW w:w="1422" w:type="pct"/>
            <w:tcBorders>
              <w:top w:val="nil"/>
              <w:bottom w:val="single" w:sz="4" w:space="0" w:color="auto"/>
            </w:tcBorders>
            <w:vAlign w:val="center"/>
          </w:tcPr>
          <w:p w14:paraId="471FBC2F" w14:textId="77777777" w:rsidR="002A66BB" w:rsidRPr="00AD5A27" w:rsidRDefault="002A66BB" w:rsidP="00D04389">
            <w:pPr>
              <w:pStyle w:val="TableText0"/>
            </w:pPr>
            <w:r w:rsidRPr="00AD5A27">
              <w:t>OCS AEs</w:t>
            </w:r>
          </w:p>
        </w:tc>
        <w:tc>
          <w:tcPr>
            <w:tcW w:w="599" w:type="pct"/>
            <w:tcBorders>
              <w:top w:val="nil"/>
              <w:bottom w:val="single" w:sz="4" w:space="0" w:color="auto"/>
            </w:tcBorders>
            <w:vAlign w:val="center"/>
          </w:tcPr>
          <w:p w14:paraId="2783351C" w14:textId="69C3463F" w:rsidR="002A66BB" w:rsidRPr="00AD5A27" w:rsidRDefault="002A66BB" w:rsidP="00D04389">
            <w:pPr>
              <w:pStyle w:val="TableText0"/>
              <w:jc w:val="right"/>
            </w:pPr>
            <w:r w:rsidRPr="00AD5A27">
              <w:t>$</w:t>
            </w:r>
            <w:r w:rsidR="00860BB2" w:rsidRPr="00860BB2">
              <w:rPr>
                <w:color w:val="000000"/>
                <w:shd w:val="solid" w:color="000000" w:fill="000000"/>
                <w14:textFill>
                  <w14:solidFill>
                    <w14:srgbClr w14:val="000000">
                      <w14:alpha w14:val="100000"/>
                    </w14:srgbClr>
                  </w14:solidFill>
                </w14:textFill>
              </w:rPr>
              <w:t>|</w:t>
            </w:r>
          </w:p>
        </w:tc>
        <w:tc>
          <w:tcPr>
            <w:tcW w:w="449" w:type="pct"/>
            <w:tcBorders>
              <w:top w:val="nil"/>
              <w:bottom w:val="single" w:sz="4" w:space="0" w:color="auto"/>
            </w:tcBorders>
            <w:vAlign w:val="center"/>
          </w:tcPr>
          <w:p w14:paraId="6F994B6F" w14:textId="77777777" w:rsidR="002A66BB" w:rsidRPr="00AD5A27" w:rsidRDefault="002A66BB" w:rsidP="00D04389">
            <w:pPr>
              <w:pStyle w:val="TableText0"/>
              <w:jc w:val="center"/>
            </w:pPr>
            <w:r w:rsidRPr="00AD5A27">
              <w:t>5.2</w:t>
            </w:r>
          </w:p>
        </w:tc>
        <w:tc>
          <w:tcPr>
            <w:tcW w:w="674" w:type="pct"/>
            <w:tcBorders>
              <w:top w:val="nil"/>
              <w:bottom w:val="single" w:sz="4" w:space="0" w:color="auto"/>
            </w:tcBorders>
            <w:vAlign w:val="center"/>
          </w:tcPr>
          <w:p w14:paraId="66EFE07A" w14:textId="77777777" w:rsidR="002A66BB" w:rsidRPr="004113CC" w:rsidRDefault="002A66BB" w:rsidP="00D04389">
            <w:pPr>
              <w:pStyle w:val="TableText0"/>
              <w:jc w:val="right"/>
            </w:pPr>
            <w:r w:rsidRPr="004113CC">
              <w:t>$4,009.55</w:t>
            </w:r>
          </w:p>
        </w:tc>
        <w:tc>
          <w:tcPr>
            <w:tcW w:w="524" w:type="pct"/>
            <w:tcBorders>
              <w:top w:val="nil"/>
              <w:bottom w:val="single" w:sz="4" w:space="0" w:color="auto"/>
            </w:tcBorders>
            <w:vAlign w:val="center"/>
          </w:tcPr>
          <w:p w14:paraId="1B838B9A" w14:textId="77777777" w:rsidR="002A66BB" w:rsidRPr="00AD5A27" w:rsidRDefault="002A66BB" w:rsidP="00D04389">
            <w:pPr>
              <w:pStyle w:val="TableText0"/>
              <w:jc w:val="center"/>
            </w:pPr>
            <w:r w:rsidRPr="00AD5A27">
              <w:t>6.5</w:t>
            </w:r>
          </w:p>
        </w:tc>
        <w:tc>
          <w:tcPr>
            <w:tcW w:w="674" w:type="pct"/>
            <w:tcBorders>
              <w:top w:val="nil"/>
              <w:bottom w:val="single" w:sz="4" w:space="0" w:color="auto"/>
            </w:tcBorders>
            <w:vAlign w:val="center"/>
          </w:tcPr>
          <w:p w14:paraId="208F6046" w14:textId="4252AD59" w:rsidR="002A66BB" w:rsidRPr="00AD5A27" w:rsidRDefault="008C4897" w:rsidP="00D04389">
            <w:pPr>
              <w:pStyle w:val="TableText0"/>
              <w:jc w:val="right"/>
            </w:pPr>
            <w:r>
              <w:t>-</w:t>
            </w:r>
            <w:r w:rsidR="002A66BB" w:rsidRPr="00AD5A27">
              <w:t>$</w:t>
            </w:r>
            <w:r w:rsidR="00860BB2" w:rsidRPr="00860BB2">
              <w:rPr>
                <w:color w:val="000000"/>
                <w:shd w:val="solid" w:color="000000" w:fill="000000"/>
                <w14:textFill>
                  <w14:solidFill>
                    <w14:srgbClr w14:val="000000">
                      <w14:alpha w14:val="100000"/>
                    </w14:srgbClr>
                  </w14:solidFill>
                </w14:textFill>
              </w:rPr>
              <w:t>|</w:t>
            </w:r>
          </w:p>
        </w:tc>
        <w:tc>
          <w:tcPr>
            <w:tcW w:w="659" w:type="pct"/>
            <w:tcBorders>
              <w:top w:val="nil"/>
              <w:bottom w:val="single" w:sz="4" w:space="0" w:color="auto"/>
            </w:tcBorders>
            <w:vAlign w:val="center"/>
          </w:tcPr>
          <w:p w14:paraId="376D224A" w14:textId="77777777" w:rsidR="002A66BB" w:rsidRPr="00AD5A27" w:rsidRDefault="002A66BB" w:rsidP="00D04389">
            <w:pPr>
              <w:pStyle w:val="TableText0"/>
              <w:jc w:val="center"/>
            </w:pPr>
            <w:r w:rsidRPr="00AD5A27">
              <w:t>3.3</w:t>
            </w:r>
          </w:p>
        </w:tc>
      </w:tr>
      <w:tr w:rsidR="002A66BB" w:rsidRPr="00AD5A27" w14:paraId="59AE7EAE" w14:textId="77777777" w:rsidTr="00771261">
        <w:tc>
          <w:tcPr>
            <w:tcW w:w="1422" w:type="pct"/>
            <w:tcBorders>
              <w:bottom w:val="single" w:sz="4" w:space="0" w:color="auto"/>
            </w:tcBorders>
            <w:vAlign w:val="center"/>
          </w:tcPr>
          <w:p w14:paraId="74DA11A9" w14:textId="77777777" w:rsidR="002A66BB" w:rsidRPr="00AD5A27" w:rsidRDefault="002A66BB" w:rsidP="00D04389">
            <w:pPr>
              <w:pStyle w:val="TableText0"/>
            </w:pPr>
            <w:r w:rsidRPr="00AD5A27">
              <w:t>Total</w:t>
            </w:r>
          </w:p>
        </w:tc>
        <w:tc>
          <w:tcPr>
            <w:tcW w:w="599" w:type="pct"/>
            <w:tcBorders>
              <w:bottom w:val="single" w:sz="4" w:space="0" w:color="auto"/>
            </w:tcBorders>
            <w:vAlign w:val="center"/>
          </w:tcPr>
          <w:p w14:paraId="6CE47F3F" w14:textId="50A30DF5" w:rsidR="002A66BB" w:rsidRPr="00AD5A27" w:rsidRDefault="002A66BB" w:rsidP="00D04389">
            <w:pPr>
              <w:pStyle w:val="TableText0"/>
              <w:jc w:val="right"/>
            </w:pPr>
            <w:r w:rsidRPr="00AD5A27">
              <w:t>$</w:t>
            </w:r>
            <w:r w:rsidR="00860BB2" w:rsidRPr="00860BB2">
              <w:rPr>
                <w:color w:val="000000"/>
                <w:shd w:val="solid" w:color="000000" w:fill="000000"/>
                <w14:textFill>
                  <w14:solidFill>
                    <w14:srgbClr w14:val="000000">
                      <w14:alpha w14:val="100000"/>
                    </w14:srgbClr>
                  </w14:solidFill>
                </w14:textFill>
              </w:rPr>
              <w:t>|</w:t>
            </w:r>
          </w:p>
        </w:tc>
        <w:tc>
          <w:tcPr>
            <w:tcW w:w="449" w:type="pct"/>
            <w:tcBorders>
              <w:bottom w:val="single" w:sz="4" w:space="0" w:color="auto"/>
            </w:tcBorders>
            <w:vAlign w:val="center"/>
          </w:tcPr>
          <w:p w14:paraId="14F281A9" w14:textId="77777777" w:rsidR="002A66BB" w:rsidRPr="00AD5A27" w:rsidRDefault="002A66BB" w:rsidP="00D04389">
            <w:pPr>
              <w:pStyle w:val="TableText0"/>
              <w:jc w:val="center"/>
            </w:pPr>
            <w:r w:rsidRPr="00AD5A27">
              <w:t>5.4</w:t>
            </w:r>
          </w:p>
        </w:tc>
        <w:tc>
          <w:tcPr>
            <w:tcW w:w="674" w:type="pct"/>
            <w:tcBorders>
              <w:bottom w:val="single" w:sz="4" w:space="0" w:color="auto"/>
            </w:tcBorders>
            <w:vAlign w:val="center"/>
          </w:tcPr>
          <w:p w14:paraId="3664E7EB" w14:textId="77777777" w:rsidR="002A66BB" w:rsidRPr="004113CC" w:rsidRDefault="002A66BB" w:rsidP="00D04389">
            <w:pPr>
              <w:pStyle w:val="TableText0"/>
              <w:jc w:val="right"/>
            </w:pPr>
            <w:r w:rsidRPr="004113CC">
              <w:t>$4,009.55</w:t>
            </w:r>
          </w:p>
        </w:tc>
        <w:tc>
          <w:tcPr>
            <w:tcW w:w="524" w:type="pct"/>
            <w:tcBorders>
              <w:bottom w:val="single" w:sz="4" w:space="0" w:color="auto"/>
            </w:tcBorders>
            <w:vAlign w:val="center"/>
          </w:tcPr>
          <w:p w14:paraId="5821ECB3" w14:textId="77777777" w:rsidR="002A66BB" w:rsidRPr="00AD5A27" w:rsidRDefault="002A66BB" w:rsidP="00D04389">
            <w:pPr>
              <w:pStyle w:val="TableText0"/>
              <w:jc w:val="center"/>
            </w:pPr>
            <w:r w:rsidRPr="00AD5A27">
              <w:t>6.5</w:t>
            </w:r>
          </w:p>
        </w:tc>
        <w:tc>
          <w:tcPr>
            <w:tcW w:w="674" w:type="pct"/>
            <w:tcBorders>
              <w:bottom w:val="single" w:sz="4" w:space="0" w:color="auto"/>
            </w:tcBorders>
            <w:vAlign w:val="center"/>
          </w:tcPr>
          <w:p w14:paraId="28827010" w14:textId="22245AEA" w:rsidR="002A66BB" w:rsidRPr="00AD5A27" w:rsidRDefault="008C4897" w:rsidP="00D04389">
            <w:pPr>
              <w:pStyle w:val="TableText0"/>
              <w:jc w:val="right"/>
            </w:pPr>
            <w:r>
              <w:t>-</w:t>
            </w:r>
            <w:r w:rsidR="002A66BB" w:rsidRPr="00AD5A27">
              <w:t>$</w:t>
            </w:r>
            <w:r w:rsidR="00860BB2" w:rsidRPr="00860BB2">
              <w:rPr>
                <w:color w:val="000000"/>
                <w:shd w:val="solid" w:color="000000" w:fill="000000"/>
                <w14:textFill>
                  <w14:solidFill>
                    <w14:srgbClr w14:val="000000">
                      <w14:alpha w14:val="100000"/>
                    </w14:srgbClr>
                  </w14:solidFill>
                </w14:textFill>
              </w:rPr>
              <w:t>|</w:t>
            </w:r>
          </w:p>
        </w:tc>
        <w:tc>
          <w:tcPr>
            <w:tcW w:w="659" w:type="pct"/>
            <w:tcBorders>
              <w:bottom w:val="single" w:sz="4" w:space="0" w:color="auto"/>
            </w:tcBorders>
            <w:vAlign w:val="center"/>
          </w:tcPr>
          <w:p w14:paraId="2F11D1E8" w14:textId="77777777" w:rsidR="002A66BB" w:rsidRPr="00AD5A27" w:rsidRDefault="002A66BB" w:rsidP="00D04389">
            <w:pPr>
              <w:pStyle w:val="TableText0"/>
              <w:jc w:val="center"/>
            </w:pPr>
            <w:r w:rsidRPr="00AD5A27">
              <w:t>2.4</w:t>
            </w:r>
          </w:p>
        </w:tc>
      </w:tr>
      <w:tr w:rsidR="002A66BB" w:rsidRPr="00AD5A27" w14:paraId="614096CE" w14:textId="77777777" w:rsidTr="00771261">
        <w:tc>
          <w:tcPr>
            <w:tcW w:w="1422" w:type="pct"/>
            <w:tcBorders>
              <w:top w:val="single" w:sz="4" w:space="0" w:color="auto"/>
              <w:left w:val="single" w:sz="4" w:space="0" w:color="auto"/>
              <w:bottom w:val="single" w:sz="4" w:space="0" w:color="auto"/>
              <w:right w:val="nil"/>
            </w:tcBorders>
            <w:vAlign w:val="center"/>
          </w:tcPr>
          <w:p w14:paraId="163ECB68" w14:textId="77777777" w:rsidR="002A66BB" w:rsidRPr="00AD5A27" w:rsidRDefault="002A66BB" w:rsidP="00D04389">
            <w:pPr>
              <w:pStyle w:val="TableText0"/>
              <w:rPr>
                <w:snapToGrid w:val="0"/>
                <w:szCs w:val="20"/>
              </w:rPr>
            </w:pPr>
            <w:r w:rsidRPr="00AD5A27">
              <w:rPr>
                <w:b/>
                <w:bCs w:val="0"/>
              </w:rPr>
              <w:t>Acute ocular complications</w:t>
            </w:r>
          </w:p>
        </w:tc>
        <w:tc>
          <w:tcPr>
            <w:tcW w:w="599" w:type="pct"/>
            <w:tcBorders>
              <w:top w:val="single" w:sz="4" w:space="0" w:color="auto"/>
              <w:left w:val="nil"/>
              <w:bottom w:val="single" w:sz="4" w:space="0" w:color="auto"/>
              <w:right w:val="nil"/>
            </w:tcBorders>
            <w:vAlign w:val="center"/>
          </w:tcPr>
          <w:p w14:paraId="020E015E" w14:textId="77777777" w:rsidR="002A66BB" w:rsidRPr="00AD5A27" w:rsidRDefault="002A66BB" w:rsidP="00D04389">
            <w:pPr>
              <w:pStyle w:val="TableText0"/>
              <w:jc w:val="right"/>
              <w:rPr>
                <w:snapToGrid w:val="0"/>
                <w:szCs w:val="20"/>
              </w:rPr>
            </w:pPr>
          </w:p>
        </w:tc>
        <w:tc>
          <w:tcPr>
            <w:tcW w:w="449" w:type="pct"/>
            <w:tcBorders>
              <w:top w:val="single" w:sz="4" w:space="0" w:color="auto"/>
              <w:left w:val="nil"/>
              <w:bottom w:val="single" w:sz="4" w:space="0" w:color="auto"/>
              <w:right w:val="nil"/>
            </w:tcBorders>
            <w:vAlign w:val="center"/>
          </w:tcPr>
          <w:p w14:paraId="6E57298B" w14:textId="77777777" w:rsidR="002A66BB" w:rsidRPr="00AD5A27" w:rsidRDefault="002A66BB" w:rsidP="00D04389">
            <w:pPr>
              <w:pStyle w:val="TableText0"/>
              <w:jc w:val="center"/>
              <w:rPr>
                <w:snapToGrid w:val="0"/>
                <w:szCs w:val="20"/>
              </w:rPr>
            </w:pPr>
          </w:p>
        </w:tc>
        <w:tc>
          <w:tcPr>
            <w:tcW w:w="674" w:type="pct"/>
            <w:tcBorders>
              <w:top w:val="single" w:sz="4" w:space="0" w:color="auto"/>
              <w:left w:val="nil"/>
              <w:bottom w:val="single" w:sz="4" w:space="0" w:color="auto"/>
              <w:right w:val="nil"/>
            </w:tcBorders>
            <w:vAlign w:val="center"/>
          </w:tcPr>
          <w:p w14:paraId="20E1B4C2" w14:textId="77777777" w:rsidR="002A66BB" w:rsidRPr="004113CC" w:rsidRDefault="002A66BB" w:rsidP="00D04389">
            <w:pPr>
              <w:pStyle w:val="TableText0"/>
              <w:jc w:val="right"/>
              <w:rPr>
                <w:snapToGrid w:val="0"/>
                <w:szCs w:val="20"/>
              </w:rPr>
            </w:pPr>
          </w:p>
        </w:tc>
        <w:tc>
          <w:tcPr>
            <w:tcW w:w="524" w:type="pct"/>
            <w:tcBorders>
              <w:top w:val="single" w:sz="4" w:space="0" w:color="auto"/>
              <w:left w:val="nil"/>
              <w:bottom w:val="single" w:sz="4" w:space="0" w:color="auto"/>
              <w:right w:val="nil"/>
            </w:tcBorders>
            <w:vAlign w:val="center"/>
          </w:tcPr>
          <w:p w14:paraId="0DE0393E" w14:textId="77777777" w:rsidR="002A66BB" w:rsidRPr="00AD5A27" w:rsidRDefault="002A66BB" w:rsidP="00D04389">
            <w:pPr>
              <w:pStyle w:val="TableText0"/>
              <w:jc w:val="center"/>
              <w:rPr>
                <w:snapToGrid w:val="0"/>
                <w:szCs w:val="20"/>
              </w:rPr>
            </w:pPr>
          </w:p>
        </w:tc>
        <w:tc>
          <w:tcPr>
            <w:tcW w:w="674" w:type="pct"/>
            <w:tcBorders>
              <w:top w:val="single" w:sz="4" w:space="0" w:color="auto"/>
              <w:left w:val="nil"/>
              <w:bottom w:val="single" w:sz="4" w:space="0" w:color="auto"/>
              <w:right w:val="nil"/>
            </w:tcBorders>
            <w:vAlign w:val="center"/>
          </w:tcPr>
          <w:p w14:paraId="6E00ACED" w14:textId="77777777" w:rsidR="002A66BB" w:rsidRPr="00AD5A27" w:rsidRDefault="002A66BB" w:rsidP="00D04389">
            <w:pPr>
              <w:pStyle w:val="TableText0"/>
              <w:jc w:val="right"/>
              <w:rPr>
                <w:snapToGrid w:val="0"/>
                <w:szCs w:val="20"/>
              </w:rPr>
            </w:pPr>
          </w:p>
        </w:tc>
        <w:tc>
          <w:tcPr>
            <w:tcW w:w="659" w:type="pct"/>
            <w:tcBorders>
              <w:left w:val="nil"/>
              <w:bottom w:val="single" w:sz="4" w:space="0" w:color="auto"/>
            </w:tcBorders>
            <w:vAlign w:val="center"/>
          </w:tcPr>
          <w:p w14:paraId="2AF70326" w14:textId="77777777" w:rsidR="002A66BB" w:rsidRPr="00AD5A27" w:rsidRDefault="002A66BB" w:rsidP="00D04389">
            <w:pPr>
              <w:pStyle w:val="TableText0"/>
              <w:jc w:val="center"/>
            </w:pPr>
          </w:p>
        </w:tc>
      </w:tr>
      <w:tr w:rsidR="002A66BB" w:rsidRPr="00AD5A27" w14:paraId="2E817114" w14:textId="77777777" w:rsidTr="00771261">
        <w:tc>
          <w:tcPr>
            <w:tcW w:w="1422" w:type="pct"/>
            <w:tcBorders>
              <w:top w:val="single" w:sz="4" w:space="0" w:color="auto"/>
              <w:left w:val="single" w:sz="4" w:space="0" w:color="auto"/>
              <w:bottom w:val="nil"/>
              <w:right w:val="single" w:sz="4" w:space="0" w:color="auto"/>
            </w:tcBorders>
            <w:vAlign w:val="center"/>
          </w:tcPr>
          <w:p w14:paraId="05E63A0D" w14:textId="77777777" w:rsidR="002A66BB" w:rsidRPr="00AD5A27" w:rsidRDefault="002A66BB" w:rsidP="00D04389">
            <w:pPr>
              <w:pStyle w:val="TableText0"/>
            </w:pPr>
            <w:r w:rsidRPr="00AD5A27">
              <w:rPr>
                <w:snapToGrid w:val="0"/>
                <w:szCs w:val="20"/>
              </w:rPr>
              <w:t>Retinal detachment</w:t>
            </w:r>
          </w:p>
        </w:tc>
        <w:tc>
          <w:tcPr>
            <w:tcW w:w="599" w:type="pct"/>
            <w:tcBorders>
              <w:top w:val="single" w:sz="4" w:space="0" w:color="auto"/>
              <w:left w:val="single" w:sz="4" w:space="0" w:color="auto"/>
              <w:bottom w:val="nil"/>
              <w:right w:val="single" w:sz="4" w:space="0" w:color="auto"/>
            </w:tcBorders>
            <w:vAlign w:val="center"/>
          </w:tcPr>
          <w:p w14:paraId="6C4DB6B3" w14:textId="2F338622" w:rsidR="002A66BB" w:rsidRPr="00AD5A27" w:rsidRDefault="002A66BB" w:rsidP="00D04389">
            <w:pPr>
              <w:pStyle w:val="TableText0"/>
              <w:jc w:val="right"/>
            </w:pPr>
            <w:r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449" w:type="pct"/>
            <w:tcBorders>
              <w:top w:val="single" w:sz="4" w:space="0" w:color="auto"/>
              <w:left w:val="single" w:sz="4" w:space="0" w:color="auto"/>
              <w:bottom w:val="nil"/>
              <w:right w:val="single" w:sz="4" w:space="0" w:color="auto"/>
            </w:tcBorders>
            <w:vAlign w:val="center"/>
          </w:tcPr>
          <w:p w14:paraId="7C66D0C8" w14:textId="77777777" w:rsidR="002A66BB" w:rsidRPr="00AD5A27" w:rsidRDefault="002A66BB" w:rsidP="00D04389">
            <w:pPr>
              <w:pStyle w:val="TableText0"/>
              <w:jc w:val="center"/>
              <w:rPr>
                <w:snapToGrid w:val="0"/>
                <w:szCs w:val="20"/>
              </w:rPr>
            </w:pPr>
            <w:r w:rsidRPr="00AD5A27">
              <w:rPr>
                <w:snapToGrid w:val="0"/>
                <w:szCs w:val="20"/>
              </w:rPr>
              <w:t>0.5</w:t>
            </w:r>
          </w:p>
        </w:tc>
        <w:tc>
          <w:tcPr>
            <w:tcW w:w="674" w:type="pct"/>
            <w:tcBorders>
              <w:top w:val="single" w:sz="4" w:space="0" w:color="auto"/>
              <w:left w:val="single" w:sz="4" w:space="0" w:color="auto"/>
              <w:bottom w:val="nil"/>
              <w:right w:val="single" w:sz="4" w:space="0" w:color="auto"/>
            </w:tcBorders>
            <w:vAlign w:val="center"/>
          </w:tcPr>
          <w:p w14:paraId="0F648E42" w14:textId="77777777" w:rsidR="002A66BB" w:rsidRPr="004113CC" w:rsidRDefault="002A66BB" w:rsidP="00D04389">
            <w:pPr>
              <w:pStyle w:val="TableText0"/>
              <w:jc w:val="right"/>
            </w:pPr>
            <w:r w:rsidRPr="004113CC">
              <w:rPr>
                <w:snapToGrid w:val="0"/>
                <w:szCs w:val="20"/>
              </w:rPr>
              <w:t>$444.89</w:t>
            </w:r>
          </w:p>
        </w:tc>
        <w:tc>
          <w:tcPr>
            <w:tcW w:w="524" w:type="pct"/>
            <w:tcBorders>
              <w:top w:val="single" w:sz="4" w:space="0" w:color="auto"/>
              <w:left w:val="single" w:sz="4" w:space="0" w:color="auto"/>
              <w:bottom w:val="nil"/>
              <w:right w:val="single" w:sz="4" w:space="0" w:color="auto"/>
            </w:tcBorders>
            <w:vAlign w:val="center"/>
          </w:tcPr>
          <w:p w14:paraId="1FB2285C" w14:textId="77777777" w:rsidR="002A66BB" w:rsidRPr="00AD5A27" w:rsidRDefault="002A66BB" w:rsidP="00D04389">
            <w:pPr>
              <w:pStyle w:val="TableText0"/>
              <w:jc w:val="center"/>
              <w:rPr>
                <w:snapToGrid w:val="0"/>
                <w:szCs w:val="20"/>
              </w:rPr>
            </w:pPr>
            <w:r w:rsidRPr="00AD5A27">
              <w:rPr>
                <w:snapToGrid w:val="0"/>
                <w:szCs w:val="20"/>
              </w:rPr>
              <w:t>0.7</w:t>
            </w:r>
          </w:p>
        </w:tc>
        <w:tc>
          <w:tcPr>
            <w:tcW w:w="674" w:type="pct"/>
            <w:tcBorders>
              <w:top w:val="single" w:sz="4" w:space="0" w:color="auto"/>
              <w:left w:val="single" w:sz="4" w:space="0" w:color="auto"/>
              <w:bottom w:val="nil"/>
              <w:right w:val="single" w:sz="4" w:space="0" w:color="auto"/>
            </w:tcBorders>
            <w:vAlign w:val="center"/>
          </w:tcPr>
          <w:p w14:paraId="10C3159C" w14:textId="69AC9B9B" w:rsidR="002A66BB" w:rsidRPr="00AD5A27" w:rsidRDefault="008C4897" w:rsidP="00D04389">
            <w:pPr>
              <w:pStyle w:val="TableText0"/>
              <w:jc w:val="right"/>
            </w:pPr>
            <w:r>
              <w:rPr>
                <w:snapToGrid w:val="0"/>
                <w:szCs w:val="20"/>
              </w:rPr>
              <w:t>-</w:t>
            </w:r>
            <w:r w:rsidR="002A66BB"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659" w:type="pct"/>
            <w:tcBorders>
              <w:top w:val="single" w:sz="4" w:space="0" w:color="auto"/>
              <w:bottom w:val="nil"/>
            </w:tcBorders>
            <w:vAlign w:val="center"/>
          </w:tcPr>
          <w:p w14:paraId="2720C064" w14:textId="77777777" w:rsidR="002A66BB" w:rsidRPr="00AD5A27" w:rsidRDefault="002A66BB" w:rsidP="00D04389">
            <w:pPr>
              <w:pStyle w:val="TableText0"/>
              <w:jc w:val="center"/>
            </w:pPr>
            <w:r w:rsidRPr="00AD5A27">
              <w:t>0.7</w:t>
            </w:r>
          </w:p>
        </w:tc>
      </w:tr>
      <w:tr w:rsidR="002A66BB" w:rsidRPr="00AD5A27" w14:paraId="5291278B" w14:textId="77777777" w:rsidTr="00771261">
        <w:tc>
          <w:tcPr>
            <w:tcW w:w="1422" w:type="pct"/>
            <w:tcBorders>
              <w:top w:val="nil"/>
              <w:left w:val="single" w:sz="4" w:space="0" w:color="auto"/>
              <w:bottom w:val="nil"/>
              <w:right w:val="single" w:sz="4" w:space="0" w:color="auto"/>
            </w:tcBorders>
            <w:vAlign w:val="center"/>
          </w:tcPr>
          <w:p w14:paraId="36DBE14F" w14:textId="77777777" w:rsidR="002A66BB" w:rsidRPr="00AD5A27" w:rsidRDefault="002A66BB" w:rsidP="00D04389">
            <w:pPr>
              <w:pStyle w:val="TableText0"/>
            </w:pPr>
            <w:r w:rsidRPr="00AD5A27">
              <w:rPr>
                <w:snapToGrid w:val="0"/>
                <w:szCs w:val="20"/>
              </w:rPr>
              <w:t>Visual disturbance</w:t>
            </w:r>
          </w:p>
        </w:tc>
        <w:tc>
          <w:tcPr>
            <w:tcW w:w="599" w:type="pct"/>
            <w:tcBorders>
              <w:top w:val="nil"/>
              <w:left w:val="single" w:sz="4" w:space="0" w:color="auto"/>
              <w:bottom w:val="nil"/>
              <w:right w:val="single" w:sz="4" w:space="0" w:color="auto"/>
            </w:tcBorders>
            <w:vAlign w:val="center"/>
          </w:tcPr>
          <w:p w14:paraId="2C5F73C2" w14:textId="770DC3BD" w:rsidR="002A66BB" w:rsidRPr="00AD5A27" w:rsidRDefault="002A66BB" w:rsidP="00D04389">
            <w:pPr>
              <w:pStyle w:val="TableText0"/>
              <w:jc w:val="right"/>
            </w:pPr>
            <w:r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449" w:type="pct"/>
            <w:tcBorders>
              <w:top w:val="nil"/>
              <w:left w:val="single" w:sz="4" w:space="0" w:color="auto"/>
              <w:bottom w:val="nil"/>
              <w:right w:val="single" w:sz="4" w:space="0" w:color="auto"/>
            </w:tcBorders>
            <w:vAlign w:val="center"/>
          </w:tcPr>
          <w:p w14:paraId="64E8AE12" w14:textId="77777777" w:rsidR="002A66BB" w:rsidRPr="00AD5A27" w:rsidRDefault="002A66BB" w:rsidP="00D04389">
            <w:pPr>
              <w:pStyle w:val="TableText0"/>
              <w:jc w:val="center"/>
              <w:rPr>
                <w:snapToGrid w:val="0"/>
                <w:szCs w:val="20"/>
              </w:rPr>
            </w:pPr>
            <w:r w:rsidRPr="00AD5A27">
              <w:rPr>
                <w:snapToGrid w:val="0"/>
                <w:szCs w:val="20"/>
              </w:rPr>
              <w:t>0.0</w:t>
            </w:r>
          </w:p>
        </w:tc>
        <w:tc>
          <w:tcPr>
            <w:tcW w:w="674" w:type="pct"/>
            <w:tcBorders>
              <w:top w:val="nil"/>
              <w:left w:val="single" w:sz="4" w:space="0" w:color="auto"/>
              <w:bottom w:val="nil"/>
              <w:right w:val="single" w:sz="4" w:space="0" w:color="auto"/>
            </w:tcBorders>
            <w:vAlign w:val="center"/>
          </w:tcPr>
          <w:p w14:paraId="4D6AC526" w14:textId="77777777" w:rsidR="002A66BB" w:rsidRPr="004113CC" w:rsidRDefault="002A66BB" w:rsidP="00D04389">
            <w:pPr>
              <w:pStyle w:val="TableText0"/>
              <w:jc w:val="right"/>
            </w:pPr>
            <w:r w:rsidRPr="004113CC">
              <w:rPr>
                <w:snapToGrid w:val="0"/>
                <w:szCs w:val="20"/>
              </w:rPr>
              <w:t>$18.09</w:t>
            </w:r>
          </w:p>
        </w:tc>
        <w:tc>
          <w:tcPr>
            <w:tcW w:w="524" w:type="pct"/>
            <w:tcBorders>
              <w:top w:val="nil"/>
              <w:left w:val="single" w:sz="4" w:space="0" w:color="auto"/>
              <w:bottom w:val="nil"/>
              <w:right w:val="single" w:sz="4" w:space="0" w:color="auto"/>
            </w:tcBorders>
            <w:vAlign w:val="center"/>
          </w:tcPr>
          <w:p w14:paraId="141A3021" w14:textId="77777777" w:rsidR="002A66BB" w:rsidRPr="00AD5A27" w:rsidRDefault="002A66BB" w:rsidP="00D04389">
            <w:pPr>
              <w:pStyle w:val="TableText0"/>
              <w:jc w:val="center"/>
              <w:rPr>
                <w:snapToGrid w:val="0"/>
                <w:szCs w:val="20"/>
              </w:rPr>
            </w:pPr>
            <w:r w:rsidRPr="00AD5A27">
              <w:rPr>
                <w:snapToGrid w:val="0"/>
                <w:szCs w:val="20"/>
              </w:rPr>
              <w:t>0.0</w:t>
            </w:r>
          </w:p>
        </w:tc>
        <w:tc>
          <w:tcPr>
            <w:tcW w:w="674" w:type="pct"/>
            <w:tcBorders>
              <w:top w:val="nil"/>
              <w:left w:val="single" w:sz="4" w:space="0" w:color="auto"/>
              <w:bottom w:val="nil"/>
              <w:right w:val="single" w:sz="4" w:space="0" w:color="auto"/>
            </w:tcBorders>
            <w:vAlign w:val="center"/>
          </w:tcPr>
          <w:p w14:paraId="4BB515FD" w14:textId="5DC8C8D7" w:rsidR="002A66BB" w:rsidRPr="00AD5A27" w:rsidRDefault="008C4897" w:rsidP="00D04389">
            <w:pPr>
              <w:pStyle w:val="TableText0"/>
              <w:jc w:val="right"/>
            </w:pPr>
            <w:r>
              <w:rPr>
                <w:snapToGrid w:val="0"/>
                <w:szCs w:val="20"/>
              </w:rPr>
              <w:t>-</w:t>
            </w:r>
            <w:r w:rsidR="002A66BB"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659" w:type="pct"/>
            <w:tcBorders>
              <w:top w:val="nil"/>
              <w:bottom w:val="nil"/>
            </w:tcBorders>
            <w:vAlign w:val="center"/>
          </w:tcPr>
          <w:p w14:paraId="7D1966FE" w14:textId="77777777" w:rsidR="002A66BB" w:rsidRPr="00AD5A27" w:rsidRDefault="002A66BB" w:rsidP="00D04389">
            <w:pPr>
              <w:pStyle w:val="TableText0"/>
              <w:jc w:val="center"/>
            </w:pPr>
            <w:r w:rsidRPr="00AD5A27">
              <w:t>0.0</w:t>
            </w:r>
          </w:p>
        </w:tc>
      </w:tr>
      <w:tr w:rsidR="002A66BB" w:rsidRPr="00AD5A27" w14:paraId="2F587CB1" w14:textId="77777777" w:rsidTr="00771261">
        <w:tc>
          <w:tcPr>
            <w:tcW w:w="1422" w:type="pct"/>
            <w:tcBorders>
              <w:top w:val="nil"/>
              <w:left w:val="single" w:sz="4" w:space="0" w:color="auto"/>
              <w:bottom w:val="single" w:sz="4" w:space="0" w:color="auto"/>
              <w:right w:val="single" w:sz="4" w:space="0" w:color="auto"/>
            </w:tcBorders>
            <w:vAlign w:val="center"/>
          </w:tcPr>
          <w:p w14:paraId="25A6D058" w14:textId="77777777" w:rsidR="002A66BB" w:rsidRPr="00AD5A27" w:rsidRDefault="002A66BB" w:rsidP="00D04389">
            <w:pPr>
              <w:pStyle w:val="TableText0"/>
            </w:pPr>
            <w:r w:rsidRPr="00AD5A27">
              <w:rPr>
                <w:snapToGrid w:val="0"/>
                <w:szCs w:val="20"/>
              </w:rPr>
              <w:t>Cataract</w:t>
            </w:r>
          </w:p>
        </w:tc>
        <w:tc>
          <w:tcPr>
            <w:tcW w:w="599" w:type="pct"/>
            <w:tcBorders>
              <w:top w:val="nil"/>
              <w:left w:val="single" w:sz="4" w:space="0" w:color="auto"/>
              <w:bottom w:val="single" w:sz="4" w:space="0" w:color="auto"/>
              <w:right w:val="single" w:sz="4" w:space="0" w:color="auto"/>
            </w:tcBorders>
            <w:vAlign w:val="center"/>
          </w:tcPr>
          <w:p w14:paraId="0B939970" w14:textId="770F43F1" w:rsidR="002A66BB" w:rsidRPr="00AD5A27" w:rsidRDefault="002A66BB" w:rsidP="00D04389">
            <w:pPr>
              <w:pStyle w:val="TableText0"/>
              <w:jc w:val="right"/>
            </w:pPr>
            <w:r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449" w:type="pct"/>
            <w:tcBorders>
              <w:top w:val="nil"/>
              <w:left w:val="single" w:sz="4" w:space="0" w:color="auto"/>
              <w:bottom w:val="single" w:sz="4" w:space="0" w:color="auto"/>
              <w:right w:val="single" w:sz="4" w:space="0" w:color="auto"/>
            </w:tcBorders>
            <w:vAlign w:val="center"/>
          </w:tcPr>
          <w:p w14:paraId="38720C85" w14:textId="77777777" w:rsidR="002A66BB" w:rsidRPr="00AD5A27" w:rsidRDefault="002A66BB" w:rsidP="00D04389">
            <w:pPr>
              <w:pStyle w:val="TableText0"/>
              <w:jc w:val="center"/>
              <w:rPr>
                <w:snapToGrid w:val="0"/>
                <w:szCs w:val="20"/>
              </w:rPr>
            </w:pPr>
            <w:r w:rsidRPr="00AD5A27">
              <w:rPr>
                <w:snapToGrid w:val="0"/>
                <w:szCs w:val="20"/>
              </w:rPr>
              <w:t>1.4</w:t>
            </w:r>
          </w:p>
        </w:tc>
        <w:tc>
          <w:tcPr>
            <w:tcW w:w="674" w:type="pct"/>
            <w:tcBorders>
              <w:top w:val="nil"/>
              <w:left w:val="single" w:sz="4" w:space="0" w:color="auto"/>
              <w:bottom w:val="single" w:sz="4" w:space="0" w:color="auto"/>
              <w:right w:val="single" w:sz="4" w:space="0" w:color="auto"/>
            </w:tcBorders>
            <w:vAlign w:val="center"/>
          </w:tcPr>
          <w:p w14:paraId="0A5711F4" w14:textId="77777777" w:rsidR="002A66BB" w:rsidRPr="004113CC" w:rsidRDefault="002A66BB" w:rsidP="00D04389">
            <w:pPr>
              <w:pStyle w:val="TableText0"/>
              <w:jc w:val="right"/>
            </w:pPr>
            <w:r w:rsidRPr="004113CC">
              <w:rPr>
                <w:snapToGrid w:val="0"/>
                <w:szCs w:val="20"/>
              </w:rPr>
              <w:t>$1,280.00</w:t>
            </w:r>
          </w:p>
        </w:tc>
        <w:tc>
          <w:tcPr>
            <w:tcW w:w="524" w:type="pct"/>
            <w:tcBorders>
              <w:top w:val="nil"/>
              <w:left w:val="single" w:sz="4" w:space="0" w:color="auto"/>
              <w:bottom w:val="single" w:sz="4" w:space="0" w:color="auto"/>
              <w:right w:val="single" w:sz="4" w:space="0" w:color="auto"/>
            </w:tcBorders>
            <w:vAlign w:val="center"/>
          </w:tcPr>
          <w:p w14:paraId="495863A1" w14:textId="77777777" w:rsidR="002A66BB" w:rsidRPr="00AD5A27" w:rsidRDefault="002A66BB" w:rsidP="00D04389">
            <w:pPr>
              <w:pStyle w:val="TableText0"/>
              <w:jc w:val="center"/>
              <w:rPr>
                <w:snapToGrid w:val="0"/>
                <w:szCs w:val="20"/>
              </w:rPr>
            </w:pPr>
            <w:r w:rsidRPr="00AD5A27">
              <w:rPr>
                <w:snapToGrid w:val="0"/>
                <w:szCs w:val="20"/>
              </w:rPr>
              <w:t>2.1</w:t>
            </w:r>
          </w:p>
        </w:tc>
        <w:tc>
          <w:tcPr>
            <w:tcW w:w="674" w:type="pct"/>
            <w:tcBorders>
              <w:top w:val="nil"/>
              <w:left w:val="single" w:sz="4" w:space="0" w:color="auto"/>
              <w:bottom w:val="single" w:sz="4" w:space="0" w:color="auto"/>
              <w:right w:val="single" w:sz="4" w:space="0" w:color="auto"/>
            </w:tcBorders>
            <w:vAlign w:val="center"/>
          </w:tcPr>
          <w:p w14:paraId="5EF2F4D9" w14:textId="4B69537C" w:rsidR="002A66BB" w:rsidRPr="00AD5A27" w:rsidRDefault="008C4897" w:rsidP="00D04389">
            <w:pPr>
              <w:pStyle w:val="TableText0"/>
              <w:jc w:val="right"/>
            </w:pPr>
            <w:r>
              <w:rPr>
                <w:snapToGrid w:val="0"/>
                <w:szCs w:val="20"/>
              </w:rPr>
              <w:t>-</w:t>
            </w:r>
            <w:r w:rsidR="002A66BB"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659" w:type="pct"/>
            <w:tcBorders>
              <w:top w:val="nil"/>
            </w:tcBorders>
            <w:vAlign w:val="center"/>
          </w:tcPr>
          <w:p w14:paraId="29A80F1C" w14:textId="77777777" w:rsidR="002A66BB" w:rsidRPr="00AD5A27" w:rsidRDefault="002A66BB" w:rsidP="00D04389">
            <w:pPr>
              <w:pStyle w:val="TableText0"/>
              <w:jc w:val="center"/>
            </w:pPr>
            <w:r w:rsidRPr="00AD5A27">
              <w:t>2.1</w:t>
            </w:r>
          </w:p>
        </w:tc>
      </w:tr>
      <w:tr w:rsidR="002A66BB" w:rsidRPr="00AD5A27" w14:paraId="0274DF65" w14:textId="77777777" w:rsidTr="00771261">
        <w:tc>
          <w:tcPr>
            <w:tcW w:w="1422" w:type="pct"/>
            <w:tcBorders>
              <w:top w:val="single" w:sz="4" w:space="0" w:color="auto"/>
              <w:left w:val="single" w:sz="4" w:space="0" w:color="auto"/>
              <w:bottom w:val="single" w:sz="4" w:space="0" w:color="auto"/>
              <w:right w:val="single" w:sz="4" w:space="0" w:color="auto"/>
            </w:tcBorders>
            <w:vAlign w:val="center"/>
          </w:tcPr>
          <w:p w14:paraId="70B44BC5" w14:textId="77777777" w:rsidR="002A66BB" w:rsidRPr="00AD5A27" w:rsidRDefault="002A66BB" w:rsidP="00D04389">
            <w:pPr>
              <w:pStyle w:val="TableText0"/>
              <w:rPr>
                <w:snapToGrid w:val="0"/>
                <w:szCs w:val="20"/>
              </w:rPr>
            </w:pPr>
            <w:r w:rsidRPr="00AD5A27">
              <w:rPr>
                <w:snapToGrid w:val="0"/>
                <w:szCs w:val="20"/>
              </w:rPr>
              <w:t>Total</w:t>
            </w:r>
          </w:p>
        </w:tc>
        <w:tc>
          <w:tcPr>
            <w:tcW w:w="599" w:type="pct"/>
            <w:tcBorders>
              <w:top w:val="single" w:sz="4" w:space="0" w:color="auto"/>
              <w:left w:val="single" w:sz="4" w:space="0" w:color="auto"/>
              <w:bottom w:val="single" w:sz="4" w:space="0" w:color="auto"/>
              <w:right w:val="single" w:sz="4" w:space="0" w:color="auto"/>
            </w:tcBorders>
            <w:vAlign w:val="center"/>
          </w:tcPr>
          <w:p w14:paraId="4FCBAA9E" w14:textId="56C546AA" w:rsidR="002A66BB" w:rsidRPr="00AD5A27" w:rsidRDefault="002A66BB" w:rsidP="00D04389">
            <w:pPr>
              <w:pStyle w:val="TableText0"/>
              <w:jc w:val="right"/>
              <w:rPr>
                <w:snapToGrid w:val="0"/>
                <w:szCs w:val="20"/>
              </w:rPr>
            </w:pPr>
            <w:r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449" w:type="pct"/>
            <w:tcBorders>
              <w:top w:val="single" w:sz="4" w:space="0" w:color="auto"/>
              <w:left w:val="single" w:sz="4" w:space="0" w:color="auto"/>
              <w:bottom w:val="single" w:sz="4" w:space="0" w:color="auto"/>
              <w:right w:val="single" w:sz="4" w:space="0" w:color="auto"/>
            </w:tcBorders>
            <w:vAlign w:val="center"/>
          </w:tcPr>
          <w:p w14:paraId="535D5886" w14:textId="77777777" w:rsidR="002A66BB" w:rsidRPr="00AD5A27" w:rsidRDefault="002A66BB" w:rsidP="00D04389">
            <w:pPr>
              <w:pStyle w:val="TableText0"/>
              <w:jc w:val="center"/>
              <w:rPr>
                <w:snapToGrid w:val="0"/>
                <w:szCs w:val="20"/>
              </w:rPr>
            </w:pPr>
            <w:r w:rsidRPr="00AD5A27">
              <w:rPr>
                <w:snapToGrid w:val="0"/>
                <w:szCs w:val="20"/>
              </w:rPr>
              <w:t>2.0</w:t>
            </w:r>
          </w:p>
        </w:tc>
        <w:tc>
          <w:tcPr>
            <w:tcW w:w="674" w:type="pct"/>
            <w:tcBorders>
              <w:top w:val="single" w:sz="4" w:space="0" w:color="auto"/>
              <w:left w:val="single" w:sz="4" w:space="0" w:color="auto"/>
              <w:bottom w:val="single" w:sz="4" w:space="0" w:color="auto"/>
              <w:right w:val="single" w:sz="4" w:space="0" w:color="auto"/>
            </w:tcBorders>
            <w:vAlign w:val="center"/>
          </w:tcPr>
          <w:p w14:paraId="3F19E073" w14:textId="77777777" w:rsidR="002A66BB" w:rsidRPr="004113CC" w:rsidRDefault="002A66BB" w:rsidP="00D04389">
            <w:pPr>
              <w:pStyle w:val="TableText0"/>
              <w:jc w:val="right"/>
              <w:rPr>
                <w:snapToGrid w:val="0"/>
                <w:szCs w:val="20"/>
              </w:rPr>
            </w:pPr>
            <w:r w:rsidRPr="004113CC">
              <w:rPr>
                <w:snapToGrid w:val="0"/>
                <w:szCs w:val="20"/>
              </w:rPr>
              <w:t>$1,742.97</w:t>
            </w:r>
          </w:p>
        </w:tc>
        <w:tc>
          <w:tcPr>
            <w:tcW w:w="524" w:type="pct"/>
            <w:tcBorders>
              <w:top w:val="single" w:sz="4" w:space="0" w:color="auto"/>
              <w:left w:val="single" w:sz="4" w:space="0" w:color="auto"/>
              <w:bottom w:val="single" w:sz="4" w:space="0" w:color="auto"/>
              <w:right w:val="single" w:sz="4" w:space="0" w:color="auto"/>
            </w:tcBorders>
            <w:vAlign w:val="center"/>
          </w:tcPr>
          <w:p w14:paraId="5EC47876" w14:textId="77777777" w:rsidR="002A66BB" w:rsidRPr="00AD5A27" w:rsidRDefault="002A66BB" w:rsidP="00D04389">
            <w:pPr>
              <w:pStyle w:val="TableText0"/>
              <w:jc w:val="center"/>
              <w:rPr>
                <w:snapToGrid w:val="0"/>
                <w:szCs w:val="20"/>
              </w:rPr>
            </w:pPr>
            <w:r w:rsidRPr="00AD5A27">
              <w:rPr>
                <w:snapToGrid w:val="0"/>
                <w:szCs w:val="20"/>
              </w:rPr>
              <w:t>2.8</w:t>
            </w:r>
          </w:p>
        </w:tc>
        <w:tc>
          <w:tcPr>
            <w:tcW w:w="674" w:type="pct"/>
            <w:tcBorders>
              <w:top w:val="single" w:sz="4" w:space="0" w:color="auto"/>
              <w:left w:val="single" w:sz="4" w:space="0" w:color="auto"/>
              <w:bottom w:val="single" w:sz="4" w:space="0" w:color="auto"/>
              <w:right w:val="single" w:sz="4" w:space="0" w:color="auto"/>
            </w:tcBorders>
            <w:vAlign w:val="center"/>
          </w:tcPr>
          <w:p w14:paraId="324E3B28" w14:textId="2CB75423" w:rsidR="002A66BB" w:rsidRPr="00AD5A27" w:rsidRDefault="008C4897" w:rsidP="00D04389">
            <w:pPr>
              <w:pStyle w:val="TableText0"/>
              <w:jc w:val="right"/>
              <w:rPr>
                <w:snapToGrid w:val="0"/>
                <w:szCs w:val="20"/>
              </w:rPr>
            </w:pPr>
            <w:r>
              <w:rPr>
                <w:snapToGrid w:val="0"/>
                <w:szCs w:val="20"/>
              </w:rPr>
              <w:t>-</w:t>
            </w:r>
            <w:r w:rsidR="002A66BB"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659" w:type="pct"/>
            <w:tcBorders>
              <w:bottom w:val="single" w:sz="4" w:space="0" w:color="auto"/>
            </w:tcBorders>
            <w:vAlign w:val="center"/>
          </w:tcPr>
          <w:p w14:paraId="7E4043C5" w14:textId="77777777" w:rsidR="002A66BB" w:rsidRPr="00AD5A27" w:rsidRDefault="002A66BB" w:rsidP="00D04389">
            <w:pPr>
              <w:pStyle w:val="TableText0"/>
              <w:jc w:val="center"/>
            </w:pPr>
            <w:r w:rsidRPr="00AD5A27">
              <w:t>2.9</w:t>
            </w:r>
          </w:p>
        </w:tc>
      </w:tr>
      <w:tr w:rsidR="002A66BB" w:rsidRPr="00AD5A27" w14:paraId="6CC1D55D" w14:textId="77777777" w:rsidTr="00771261">
        <w:tc>
          <w:tcPr>
            <w:tcW w:w="1422" w:type="pct"/>
            <w:tcBorders>
              <w:top w:val="single" w:sz="4" w:space="0" w:color="auto"/>
              <w:left w:val="single" w:sz="4" w:space="0" w:color="auto"/>
              <w:bottom w:val="single" w:sz="4" w:space="0" w:color="auto"/>
              <w:right w:val="nil"/>
            </w:tcBorders>
            <w:vAlign w:val="center"/>
          </w:tcPr>
          <w:p w14:paraId="58AADEDC" w14:textId="77777777" w:rsidR="002A66BB" w:rsidRPr="00AD5A27" w:rsidRDefault="002A66BB" w:rsidP="00D04389">
            <w:pPr>
              <w:pStyle w:val="TableText0"/>
              <w:rPr>
                <w:snapToGrid w:val="0"/>
                <w:szCs w:val="20"/>
              </w:rPr>
            </w:pPr>
            <w:r w:rsidRPr="00AD5A27">
              <w:rPr>
                <w:b/>
                <w:bCs w:val="0"/>
              </w:rPr>
              <w:t>Chronic ocular complications</w:t>
            </w:r>
          </w:p>
        </w:tc>
        <w:tc>
          <w:tcPr>
            <w:tcW w:w="599" w:type="pct"/>
            <w:tcBorders>
              <w:top w:val="single" w:sz="4" w:space="0" w:color="auto"/>
              <w:left w:val="nil"/>
              <w:bottom w:val="single" w:sz="4" w:space="0" w:color="auto"/>
              <w:right w:val="nil"/>
            </w:tcBorders>
            <w:vAlign w:val="center"/>
          </w:tcPr>
          <w:p w14:paraId="2E348E78" w14:textId="77777777" w:rsidR="002A66BB" w:rsidRPr="00AD5A27" w:rsidRDefault="002A66BB" w:rsidP="00D04389">
            <w:pPr>
              <w:pStyle w:val="TableText0"/>
              <w:jc w:val="right"/>
              <w:rPr>
                <w:snapToGrid w:val="0"/>
                <w:szCs w:val="20"/>
              </w:rPr>
            </w:pPr>
          </w:p>
        </w:tc>
        <w:tc>
          <w:tcPr>
            <w:tcW w:w="449" w:type="pct"/>
            <w:tcBorders>
              <w:top w:val="single" w:sz="4" w:space="0" w:color="auto"/>
              <w:left w:val="nil"/>
              <w:bottom w:val="single" w:sz="4" w:space="0" w:color="auto"/>
              <w:right w:val="nil"/>
            </w:tcBorders>
            <w:vAlign w:val="center"/>
          </w:tcPr>
          <w:p w14:paraId="314A5555" w14:textId="77777777" w:rsidR="002A66BB" w:rsidRPr="00AD5A27" w:rsidRDefault="002A66BB" w:rsidP="00D04389">
            <w:pPr>
              <w:pStyle w:val="TableText0"/>
              <w:jc w:val="center"/>
              <w:rPr>
                <w:snapToGrid w:val="0"/>
                <w:szCs w:val="20"/>
              </w:rPr>
            </w:pPr>
          </w:p>
        </w:tc>
        <w:tc>
          <w:tcPr>
            <w:tcW w:w="674" w:type="pct"/>
            <w:tcBorders>
              <w:top w:val="single" w:sz="4" w:space="0" w:color="auto"/>
              <w:left w:val="nil"/>
              <w:bottom w:val="single" w:sz="4" w:space="0" w:color="auto"/>
              <w:right w:val="nil"/>
            </w:tcBorders>
            <w:vAlign w:val="center"/>
          </w:tcPr>
          <w:p w14:paraId="0BB85927" w14:textId="77777777" w:rsidR="002A66BB" w:rsidRPr="004113CC" w:rsidRDefault="002A66BB" w:rsidP="00D04389">
            <w:pPr>
              <w:pStyle w:val="TableText0"/>
              <w:jc w:val="right"/>
              <w:rPr>
                <w:snapToGrid w:val="0"/>
                <w:szCs w:val="20"/>
              </w:rPr>
            </w:pPr>
          </w:p>
        </w:tc>
        <w:tc>
          <w:tcPr>
            <w:tcW w:w="524" w:type="pct"/>
            <w:tcBorders>
              <w:top w:val="single" w:sz="4" w:space="0" w:color="auto"/>
              <w:left w:val="nil"/>
              <w:bottom w:val="single" w:sz="4" w:space="0" w:color="auto"/>
              <w:right w:val="nil"/>
            </w:tcBorders>
            <w:vAlign w:val="center"/>
          </w:tcPr>
          <w:p w14:paraId="3A40D448" w14:textId="77777777" w:rsidR="002A66BB" w:rsidRPr="00AD5A27" w:rsidRDefault="002A66BB" w:rsidP="00D04389">
            <w:pPr>
              <w:pStyle w:val="TableText0"/>
              <w:jc w:val="center"/>
              <w:rPr>
                <w:snapToGrid w:val="0"/>
                <w:szCs w:val="20"/>
              </w:rPr>
            </w:pPr>
          </w:p>
        </w:tc>
        <w:tc>
          <w:tcPr>
            <w:tcW w:w="674" w:type="pct"/>
            <w:tcBorders>
              <w:top w:val="single" w:sz="4" w:space="0" w:color="auto"/>
              <w:left w:val="nil"/>
              <w:bottom w:val="single" w:sz="4" w:space="0" w:color="auto"/>
              <w:right w:val="nil"/>
            </w:tcBorders>
            <w:vAlign w:val="center"/>
          </w:tcPr>
          <w:p w14:paraId="641CA0F3" w14:textId="77777777" w:rsidR="002A66BB" w:rsidRPr="00AD5A27" w:rsidRDefault="002A66BB" w:rsidP="00D04389">
            <w:pPr>
              <w:pStyle w:val="TableText0"/>
              <w:jc w:val="right"/>
              <w:rPr>
                <w:snapToGrid w:val="0"/>
                <w:szCs w:val="20"/>
              </w:rPr>
            </w:pPr>
          </w:p>
        </w:tc>
        <w:tc>
          <w:tcPr>
            <w:tcW w:w="659" w:type="pct"/>
            <w:tcBorders>
              <w:left w:val="nil"/>
              <w:bottom w:val="single" w:sz="4" w:space="0" w:color="auto"/>
            </w:tcBorders>
            <w:vAlign w:val="center"/>
          </w:tcPr>
          <w:p w14:paraId="39577F77" w14:textId="77777777" w:rsidR="002A66BB" w:rsidRPr="00AD5A27" w:rsidRDefault="002A66BB" w:rsidP="00D04389">
            <w:pPr>
              <w:pStyle w:val="TableText0"/>
              <w:jc w:val="center"/>
            </w:pPr>
          </w:p>
        </w:tc>
      </w:tr>
      <w:tr w:rsidR="002A66BB" w:rsidRPr="00AD5A27" w14:paraId="3CDE6170" w14:textId="77777777" w:rsidTr="00771261">
        <w:tc>
          <w:tcPr>
            <w:tcW w:w="1422" w:type="pct"/>
            <w:tcBorders>
              <w:top w:val="single" w:sz="4" w:space="0" w:color="auto"/>
              <w:left w:val="single" w:sz="4" w:space="0" w:color="auto"/>
              <w:bottom w:val="nil"/>
              <w:right w:val="single" w:sz="4" w:space="0" w:color="auto"/>
            </w:tcBorders>
            <w:vAlign w:val="center"/>
          </w:tcPr>
          <w:p w14:paraId="63234885" w14:textId="77777777" w:rsidR="002A66BB" w:rsidRPr="00AD5A27" w:rsidRDefault="002A66BB" w:rsidP="00D04389">
            <w:pPr>
              <w:pStyle w:val="TableText0"/>
            </w:pPr>
            <w:r w:rsidRPr="00AD5A27">
              <w:rPr>
                <w:snapToGrid w:val="0"/>
                <w:szCs w:val="20"/>
              </w:rPr>
              <w:t>Glaucoma</w:t>
            </w:r>
          </w:p>
        </w:tc>
        <w:tc>
          <w:tcPr>
            <w:tcW w:w="599" w:type="pct"/>
            <w:tcBorders>
              <w:top w:val="single" w:sz="4" w:space="0" w:color="auto"/>
              <w:left w:val="single" w:sz="4" w:space="0" w:color="auto"/>
              <w:bottom w:val="nil"/>
              <w:right w:val="single" w:sz="4" w:space="0" w:color="auto"/>
            </w:tcBorders>
            <w:vAlign w:val="center"/>
          </w:tcPr>
          <w:p w14:paraId="5BA1FA58" w14:textId="2FEA843E" w:rsidR="002A66BB" w:rsidRPr="00AD5A27" w:rsidRDefault="002A66BB" w:rsidP="00D04389">
            <w:pPr>
              <w:pStyle w:val="TableText0"/>
              <w:jc w:val="right"/>
            </w:pPr>
            <w:r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449" w:type="pct"/>
            <w:tcBorders>
              <w:top w:val="single" w:sz="4" w:space="0" w:color="auto"/>
              <w:left w:val="single" w:sz="4" w:space="0" w:color="auto"/>
              <w:bottom w:val="nil"/>
              <w:right w:val="single" w:sz="4" w:space="0" w:color="auto"/>
            </w:tcBorders>
            <w:vAlign w:val="center"/>
          </w:tcPr>
          <w:p w14:paraId="700DEE9D" w14:textId="77777777" w:rsidR="002A66BB" w:rsidRPr="00AD5A27" w:rsidRDefault="002A66BB" w:rsidP="00D04389">
            <w:pPr>
              <w:pStyle w:val="TableText0"/>
              <w:jc w:val="center"/>
              <w:rPr>
                <w:snapToGrid w:val="0"/>
                <w:szCs w:val="20"/>
              </w:rPr>
            </w:pPr>
            <w:r w:rsidRPr="00AD5A27">
              <w:rPr>
                <w:snapToGrid w:val="0"/>
                <w:szCs w:val="20"/>
              </w:rPr>
              <w:t>35.0</w:t>
            </w:r>
          </w:p>
        </w:tc>
        <w:tc>
          <w:tcPr>
            <w:tcW w:w="674" w:type="pct"/>
            <w:tcBorders>
              <w:top w:val="single" w:sz="4" w:space="0" w:color="auto"/>
              <w:left w:val="single" w:sz="4" w:space="0" w:color="auto"/>
              <w:bottom w:val="nil"/>
              <w:right w:val="single" w:sz="4" w:space="0" w:color="auto"/>
            </w:tcBorders>
            <w:vAlign w:val="center"/>
          </w:tcPr>
          <w:p w14:paraId="6187E569" w14:textId="77777777" w:rsidR="002A66BB" w:rsidRPr="004113CC" w:rsidRDefault="002A66BB" w:rsidP="00D04389">
            <w:pPr>
              <w:pStyle w:val="TableText0"/>
              <w:jc w:val="right"/>
            </w:pPr>
            <w:r w:rsidRPr="004113CC">
              <w:rPr>
                <w:snapToGrid w:val="0"/>
                <w:szCs w:val="20"/>
              </w:rPr>
              <w:t>$31,243.82</w:t>
            </w:r>
          </w:p>
        </w:tc>
        <w:tc>
          <w:tcPr>
            <w:tcW w:w="524" w:type="pct"/>
            <w:tcBorders>
              <w:top w:val="single" w:sz="4" w:space="0" w:color="auto"/>
              <w:left w:val="single" w:sz="4" w:space="0" w:color="auto"/>
              <w:bottom w:val="nil"/>
              <w:right w:val="single" w:sz="4" w:space="0" w:color="auto"/>
            </w:tcBorders>
            <w:vAlign w:val="center"/>
          </w:tcPr>
          <w:p w14:paraId="3578C809" w14:textId="77777777" w:rsidR="002A66BB" w:rsidRPr="00AD5A27" w:rsidRDefault="002A66BB" w:rsidP="00D04389">
            <w:pPr>
              <w:pStyle w:val="TableText0"/>
              <w:jc w:val="center"/>
              <w:rPr>
                <w:snapToGrid w:val="0"/>
                <w:szCs w:val="20"/>
              </w:rPr>
            </w:pPr>
            <w:r w:rsidRPr="00AD5A27">
              <w:rPr>
                <w:snapToGrid w:val="0"/>
                <w:szCs w:val="20"/>
              </w:rPr>
              <w:t>50.7</w:t>
            </w:r>
          </w:p>
        </w:tc>
        <w:tc>
          <w:tcPr>
            <w:tcW w:w="674" w:type="pct"/>
            <w:tcBorders>
              <w:top w:val="single" w:sz="4" w:space="0" w:color="auto"/>
              <w:left w:val="single" w:sz="4" w:space="0" w:color="auto"/>
              <w:bottom w:val="nil"/>
              <w:right w:val="single" w:sz="4" w:space="0" w:color="auto"/>
            </w:tcBorders>
            <w:vAlign w:val="center"/>
          </w:tcPr>
          <w:p w14:paraId="759EC168" w14:textId="3006AD7C" w:rsidR="002A66BB" w:rsidRPr="00AD5A27" w:rsidRDefault="008C4897" w:rsidP="00D04389">
            <w:pPr>
              <w:pStyle w:val="TableText0"/>
              <w:jc w:val="right"/>
            </w:pPr>
            <w:r>
              <w:rPr>
                <w:snapToGrid w:val="0"/>
                <w:szCs w:val="20"/>
              </w:rPr>
              <w:t>-</w:t>
            </w:r>
            <w:r w:rsidR="002A66BB"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659" w:type="pct"/>
            <w:tcBorders>
              <w:top w:val="single" w:sz="4" w:space="0" w:color="auto"/>
              <w:bottom w:val="nil"/>
            </w:tcBorders>
            <w:vAlign w:val="center"/>
          </w:tcPr>
          <w:p w14:paraId="666E9F33" w14:textId="77777777" w:rsidR="002A66BB" w:rsidRPr="00AD5A27" w:rsidRDefault="002A66BB" w:rsidP="00D04389">
            <w:pPr>
              <w:pStyle w:val="TableText0"/>
              <w:jc w:val="center"/>
            </w:pPr>
            <w:r w:rsidRPr="00AD5A27">
              <w:t>53.0</w:t>
            </w:r>
          </w:p>
        </w:tc>
      </w:tr>
      <w:tr w:rsidR="002A66BB" w:rsidRPr="00AD5A27" w14:paraId="058A1C1C" w14:textId="77777777" w:rsidTr="00771261">
        <w:tc>
          <w:tcPr>
            <w:tcW w:w="1422" w:type="pct"/>
            <w:tcBorders>
              <w:top w:val="nil"/>
              <w:left w:val="single" w:sz="4" w:space="0" w:color="auto"/>
              <w:bottom w:val="nil"/>
              <w:right w:val="single" w:sz="4" w:space="0" w:color="auto"/>
            </w:tcBorders>
            <w:vAlign w:val="center"/>
          </w:tcPr>
          <w:p w14:paraId="3A4CCD78" w14:textId="77777777" w:rsidR="002A66BB" w:rsidRPr="00AD5A27" w:rsidRDefault="002A66BB" w:rsidP="00D04389">
            <w:pPr>
              <w:pStyle w:val="TableText0"/>
            </w:pPr>
            <w:r w:rsidRPr="00AD5A27">
              <w:rPr>
                <w:snapToGrid w:val="0"/>
                <w:szCs w:val="20"/>
              </w:rPr>
              <w:t>Retinal disorder</w:t>
            </w:r>
          </w:p>
        </w:tc>
        <w:tc>
          <w:tcPr>
            <w:tcW w:w="599" w:type="pct"/>
            <w:tcBorders>
              <w:top w:val="nil"/>
              <w:left w:val="single" w:sz="4" w:space="0" w:color="auto"/>
              <w:bottom w:val="nil"/>
              <w:right w:val="single" w:sz="4" w:space="0" w:color="auto"/>
            </w:tcBorders>
            <w:vAlign w:val="center"/>
          </w:tcPr>
          <w:p w14:paraId="2F734EE2" w14:textId="47A31683" w:rsidR="002A66BB" w:rsidRPr="00AD5A27" w:rsidRDefault="002A66BB" w:rsidP="00D04389">
            <w:pPr>
              <w:pStyle w:val="TableText0"/>
              <w:jc w:val="right"/>
            </w:pPr>
            <w:r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449" w:type="pct"/>
            <w:tcBorders>
              <w:top w:val="nil"/>
              <w:left w:val="single" w:sz="4" w:space="0" w:color="auto"/>
              <w:bottom w:val="nil"/>
              <w:right w:val="single" w:sz="4" w:space="0" w:color="auto"/>
            </w:tcBorders>
            <w:vAlign w:val="center"/>
          </w:tcPr>
          <w:p w14:paraId="75A60938" w14:textId="77777777" w:rsidR="002A66BB" w:rsidRPr="00AD5A27" w:rsidRDefault="002A66BB" w:rsidP="00D04389">
            <w:pPr>
              <w:pStyle w:val="TableText0"/>
              <w:jc w:val="center"/>
              <w:rPr>
                <w:snapToGrid w:val="0"/>
                <w:szCs w:val="20"/>
              </w:rPr>
            </w:pPr>
            <w:r w:rsidRPr="00AD5A27">
              <w:rPr>
                <w:snapToGrid w:val="0"/>
                <w:szCs w:val="20"/>
              </w:rPr>
              <w:t>26.1</w:t>
            </w:r>
          </w:p>
        </w:tc>
        <w:tc>
          <w:tcPr>
            <w:tcW w:w="674" w:type="pct"/>
            <w:tcBorders>
              <w:top w:val="nil"/>
              <w:left w:val="single" w:sz="4" w:space="0" w:color="auto"/>
              <w:bottom w:val="nil"/>
              <w:right w:val="single" w:sz="4" w:space="0" w:color="auto"/>
            </w:tcBorders>
            <w:vAlign w:val="center"/>
          </w:tcPr>
          <w:p w14:paraId="7DBC905E" w14:textId="77777777" w:rsidR="002A66BB" w:rsidRPr="004113CC" w:rsidRDefault="002A66BB" w:rsidP="00D04389">
            <w:pPr>
              <w:pStyle w:val="TableText0"/>
              <w:jc w:val="right"/>
            </w:pPr>
            <w:r w:rsidRPr="004113CC">
              <w:rPr>
                <w:snapToGrid w:val="0"/>
                <w:szCs w:val="20"/>
              </w:rPr>
              <w:t>$23,224.72</w:t>
            </w:r>
          </w:p>
        </w:tc>
        <w:tc>
          <w:tcPr>
            <w:tcW w:w="524" w:type="pct"/>
            <w:tcBorders>
              <w:top w:val="nil"/>
              <w:left w:val="single" w:sz="4" w:space="0" w:color="auto"/>
              <w:bottom w:val="nil"/>
              <w:right w:val="single" w:sz="4" w:space="0" w:color="auto"/>
            </w:tcBorders>
            <w:vAlign w:val="center"/>
          </w:tcPr>
          <w:p w14:paraId="45FB5D0F" w14:textId="77777777" w:rsidR="002A66BB" w:rsidRPr="00AD5A27" w:rsidRDefault="002A66BB" w:rsidP="00D04389">
            <w:pPr>
              <w:pStyle w:val="TableText0"/>
              <w:jc w:val="center"/>
              <w:rPr>
                <w:snapToGrid w:val="0"/>
                <w:szCs w:val="20"/>
              </w:rPr>
            </w:pPr>
            <w:r w:rsidRPr="00AD5A27">
              <w:rPr>
                <w:snapToGrid w:val="0"/>
                <w:szCs w:val="20"/>
              </w:rPr>
              <w:t>37.7</w:t>
            </w:r>
          </w:p>
        </w:tc>
        <w:tc>
          <w:tcPr>
            <w:tcW w:w="674" w:type="pct"/>
            <w:tcBorders>
              <w:top w:val="nil"/>
              <w:left w:val="single" w:sz="4" w:space="0" w:color="auto"/>
              <w:bottom w:val="nil"/>
              <w:right w:val="single" w:sz="4" w:space="0" w:color="auto"/>
            </w:tcBorders>
            <w:vAlign w:val="center"/>
          </w:tcPr>
          <w:p w14:paraId="572DEC7A" w14:textId="0B7FEDF3" w:rsidR="002A66BB" w:rsidRPr="00AD5A27" w:rsidRDefault="008C4897" w:rsidP="00D04389">
            <w:pPr>
              <w:pStyle w:val="TableText0"/>
              <w:jc w:val="right"/>
            </w:pPr>
            <w:r>
              <w:rPr>
                <w:snapToGrid w:val="0"/>
                <w:szCs w:val="20"/>
              </w:rPr>
              <w:t>-</w:t>
            </w:r>
            <w:r w:rsidR="002A66BB"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659" w:type="pct"/>
            <w:tcBorders>
              <w:top w:val="nil"/>
              <w:bottom w:val="nil"/>
            </w:tcBorders>
            <w:vAlign w:val="center"/>
          </w:tcPr>
          <w:p w14:paraId="17D5F0F8" w14:textId="77777777" w:rsidR="002A66BB" w:rsidRPr="00AD5A27" w:rsidRDefault="002A66BB" w:rsidP="00D04389">
            <w:pPr>
              <w:pStyle w:val="TableText0"/>
              <w:jc w:val="center"/>
            </w:pPr>
            <w:r w:rsidRPr="00AD5A27">
              <w:t>39.3</w:t>
            </w:r>
          </w:p>
        </w:tc>
      </w:tr>
      <w:tr w:rsidR="002A66BB" w:rsidRPr="00AD5A27" w14:paraId="4178A206" w14:textId="77777777" w:rsidTr="00771261">
        <w:tc>
          <w:tcPr>
            <w:tcW w:w="1422" w:type="pct"/>
            <w:tcBorders>
              <w:top w:val="nil"/>
              <w:left w:val="single" w:sz="4" w:space="0" w:color="auto"/>
              <w:bottom w:val="single" w:sz="4" w:space="0" w:color="auto"/>
              <w:right w:val="single" w:sz="4" w:space="0" w:color="auto"/>
            </w:tcBorders>
            <w:vAlign w:val="center"/>
          </w:tcPr>
          <w:p w14:paraId="1E6512A0" w14:textId="77777777" w:rsidR="002A66BB" w:rsidRPr="00AD5A27" w:rsidRDefault="002A66BB" w:rsidP="00D04389">
            <w:pPr>
              <w:pStyle w:val="TableText0"/>
            </w:pPr>
            <w:r w:rsidRPr="00AD5A27">
              <w:rPr>
                <w:snapToGrid w:val="0"/>
                <w:szCs w:val="20"/>
              </w:rPr>
              <w:t>Blindness</w:t>
            </w:r>
          </w:p>
        </w:tc>
        <w:tc>
          <w:tcPr>
            <w:tcW w:w="599" w:type="pct"/>
            <w:tcBorders>
              <w:top w:val="nil"/>
              <w:left w:val="single" w:sz="4" w:space="0" w:color="auto"/>
              <w:bottom w:val="single" w:sz="4" w:space="0" w:color="auto"/>
              <w:right w:val="single" w:sz="4" w:space="0" w:color="auto"/>
            </w:tcBorders>
            <w:vAlign w:val="center"/>
          </w:tcPr>
          <w:p w14:paraId="26883D4C" w14:textId="048A5BFD" w:rsidR="002A66BB" w:rsidRPr="00AD5A27" w:rsidRDefault="002A66BB" w:rsidP="00D04389">
            <w:pPr>
              <w:pStyle w:val="TableText0"/>
              <w:jc w:val="right"/>
            </w:pPr>
            <w:r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449" w:type="pct"/>
            <w:tcBorders>
              <w:top w:val="nil"/>
              <w:left w:val="single" w:sz="4" w:space="0" w:color="auto"/>
              <w:bottom w:val="single" w:sz="4" w:space="0" w:color="auto"/>
              <w:right w:val="single" w:sz="4" w:space="0" w:color="auto"/>
            </w:tcBorders>
            <w:vAlign w:val="center"/>
          </w:tcPr>
          <w:p w14:paraId="53A456CA" w14:textId="0568BFCE" w:rsidR="002A66BB" w:rsidRPr="00AD5A27" w:rsidRDefault="002A66BB" w:rsidP="00D04389">
            <w:pPr>
              <w:pStyle w:val="TableText0"/>
              <w:jc w:val="center"/>
              <w:rPr>
                <w:snapToGrid w:val="0"/>
                <w:szCs w:val="20"/>
              </w:rPr>
            </w:pPr>
            <w:r w:rsidRPr="00AD5A27">
              <w:rPr>
                <w:snapToGrid w:val="0"/>
                <w:szCs w:val="20"/>
              </w:rPr>
              <w:t>15</w:t>
            </w:r>
            <w:r w:rsidR="00146548" w:rsidRPr="00AD5A27">
              <w:rPr>
                <w:snapToGrid w:val="0"/>
                <w:szCs w:val="20"/>
              </w:rPr>
              <w:t>.0</w:t>
            </w:r>
          </w:p>
        </w:tc>
        <w:tc>
          <w:tcPr>
            <w:tcW w:w="674" w:type="pct"/>
            <w:tcBorders>
              <w:top w:val="nil"/>
              <w:left w:val="single" w:sz="4" w:space="0" w:color="auto"/>
              <w:bottom w:val="single" w:sz="4" w:space="0" w:color="auto"/>
              <w:right w:val="single" w:sz="4" w:space="0" w:color="auto"/>
            </w:tcBorders>
            <w:vAlign w:val="center"/>
          </w:tcPr>
          <w:p w14:paraId="62A2567A" w14:textId="77777777" w:rsidR="002A66BB" w:rsidRPr="004113CC" w:rsidRDefault="002A66BB" w:rsidP="00D04389">
            <w:pPr>
              <w:pStyle w:val="TableText0"/>
              <w:jc w:val="right"/>
            </w:pPr>
            <w:r w:rsidRPr="004113CC">
              <w:rPr>
                <w:snapToGrid w:val="0"/>
                <w:szCs w:val="20"/>
              </w:rPr>
              <w:t>$1,303.44</w:t>
            </w:r>
          </w:p>
        </w:tc>
        <w:tc>
          <w:tcPr>
            <w:tcW w:w="524" w:type="pct"/>
            <w:tcBorders>
              <w:top w:val="nil"/>
              <w:left w:val="single" w:sz="4" w:space="0" w:color="auto"/>
              <w:bottom w:val="single" w:sz="4" w:space="0" w:color="auto"/>
              <w:right w:val="single" w:sz="4" w:space="0" w:color="auto"/>
            </w:tcBorders>
            <w:vAlign w:val="center"/>
          </w:tcPr>
          <w:p w14:paraId="08DC7106" w14:textId="77777777" w:rsidR="002A66BB" w:rsidRPr="00AD5A27" w:rsidRDefault="002A66BB" w:rsidP="00D04389">
            <w:pPr>
              <w:pStyle w:val="TableText0"/>
              <w:jc w:val="center"/>
              <w:rPr>
                <w:snapToGrid w:val="0"/>
                <w:szCs w:val="20"/>
              </w:rPr>
            </w:pPr>
            <w:r w:rsidRPr="00AD5A27">
              <w:rPr>
                <w:snapToGrid w:val="0"/>
                <w:szCs w:val="20"/>
              </w:rPr>
              <w:t>2.1</w:t>
            </w:r>
          </w:p>
        </w:tc>
        <w:tc>
          <w:tcPr>
            <w:tcW w:w="674" w:type="pct"/>
            <w:tcBorders>
              <w:top w:val="nil"/>
              <w:left w:val="single" w:sz="4" w:space="0" w:color="auto"/>
              <w:bottom w:val="single" w:sz="4" w:space="0" w:color="auto"/>
              <w:right w:val="single" w:sz="4" w:space="0" w:color="auto"/>
            </w:tcBorders>
            <w:vAlign w:val="center"/>
          </w:tcPr>
          <w:p w14:paraId="0BE89979" w14:textId="68C0E3A6" w:rsidR="002A66BB" w:rsidRPr="00AD5A27" w:rsidRDefault="008C4897" w:rsidP="00D04389">
            <w:pPr>
              <w:pStyle w:val="TableText0"/>
              <w:jc w:val="right"/>
            </w:pPr>
            <w:r>
              <w:rPr>
                <w:snapToGrid w:val="0"/>
                <w:szCs w:val="20"/>
              </w:rPr>
              <w:t>-</w:t>
            </w:r>
            <w:r w:rsidR="002A66BB"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659" w:type="pct"/>
            <w:tcBorders>
              <w:top w:val="nil"/>
            </w:tcBorders>
            <w:vAlign w:val="center"/>
          </w:tcPr>
          <w:p w14:paraId="75546376" w14:textId="77777777" w:rsidR="002A66BB" w:rsidRPr="00AD5A27" w:rsidRDefault="002A66BB" w:rsidP="00D04389">
            <w:pPr>
              <w:pStyle w:val="TableText0"/>
              <w:jc w:val="center"/>
            </w:pPr>
            <w:r w:rsidRPr="00AD5A27">
              <w:t>2.2</w:t>
            </w:r>
          </w:p>
        </w:tc>
      </w:tr>
      <w:tr w:rsidR="002A66BB" w:rsidRPr="00AD5A27" w14:paraId="78C39995" w14:textId="77777777" w:rsidTr="00771261">
        <w:tc>
          <w:tcPr>
            <w:tcW w:w="1422" w:type="pct"/>
            <w:vAlign w:val="center"/>
          </w:tcPr>
          <w:p w14:paraId="4BEC9945" w14:textId="77777777" w:rsidR="002A66BB" w:rsidRPr="00AD5A27" w:rsidRDefault="002A66BB" w:rsidP="00D04389">
            <w:pPr>
              <w:pStyle w:val="TableText0"/>
            </w:pPr>
            <w:r w:rsidRPr="00AD5A27">
              <w:t>Total</w:t>
            </w:r>
          </w:p>
        </w:tc>
        <w:tc>
          <w:tcPr>
            <w:tcW w:w="599" w:type="pct"/>
            <w:tcBorders>
              <w:bottom w:val="single" w:sz="4" w:space="0" w:color="auto"/>
            </w:tcBorders>
            <w:vAlign w:val="center"/>
          </w:tcPr>
          <w:p w14:paraId="4EC0C4C8" w14:textId="6F757C3F" w:rsidR="002A66BB" w:rsidRPr="00AD5A27" w:rsidRDefault="002A66BB" w:rsidP="00D04389">
            <w:pPr>
              <w:pStyle w:val="TableText0"/>
              <w:jc w:val="right"/>
            </w:pPr>
            <w:r w:rsidRPr="00AD5A27">
              <w:t>$</w:t>
            </w:r>
            <w:r w:rsidR="00860BB2" w:rsidRPr="00860BB2">
              <w:rPr>
                <w:color w:val="000000"/>
                <w:shd w:val="solid" w:color="000000" w:fill="000000"/>
                <w14:textFill>
                  <w14:solidFill>
                    <w14:srgbClr w14:val="000000">
                      <w14:alpha w14:val="100000"/>
                    </w14:srgbClr>
                  </w14:solidFill>
                </w14:textFill>
              </w:rPr>
              <w:t>|</w:t>
            </w:r>
          </w:p>
        </w:tc>
        <w:tc>
          <w:tcPr>
            <w:tcW w:w="449" w:type="pct"/>
            <w:vAlign w:val="center"/>
          </w:tcPr>
          <w:p w14:paraId="544A08E4" w14:textId="77777777" w:rsidR="002A66BB" w:rsidRPr="00AD5A27" w:rsidRDefault="002A66BB" w:rsidP="00D04389">
            <w:pPr>
              <w:pStyle w:val="TableText0"/>
              <w:jc w:val="center"/>
            </w:pPr>
            <w:r w:rsidRPr="00AD5A27">
              <w:t>62.5</w:t>
            </w:r>
          </w:p>
        </w:tc>
        <w:tc>
          <w:tcPr>
            <w:tcW w:w="674" w:type="pct"/>
            <w:vAlign w:val="center"/>
          </w:tcPr>
          <w:p w14:paraId="374403AC" w14:textId="77777777" w:rsidR="002A66BB" w:rsidRPr="004113CC" w:rsidRDefault="002A66BB" w:rsidP="00D04389">
            <w:pPr>
              <w:pStyle w:val="TableText0"/>
              <w:jc w:val="right"/>
            </w:pPr>
            <w:r w:rsidRPr="004113CC">
              <w:t>$55,771.98</w:t>
            </w:r>
          </w:p>
        </w:tc>
        <w:tc>
          <w:tcPr>
            <w:tcW w:w="524" w:type="pct"/>
            <w:vAlign w:val="center"/>
          </w:tcPr>
          <w:p w14:paraId="474DA617" w14:textId="77777777" w:rsidR="002A66BB" w:rsidRPr="00AD5A27" w:rsidRDefault="002A66BB" w:rsidP="00D04389">
            <w:pPr>
              <w:pStyle w:val="TableText0"/>
              <w:jc w:val="center"/>
              <w:rPr>
                <w:snapToGrid w:val="0"/>
                <w:szCs w:val="20"/>
              </w:rPr>
            </w:pPr>
            <w:r w:rsidRPr="00AD5A27">
              <w:rPr>
                <w:snapToGrid w:val="0"/>
                <w:szCs w:val="20"/>
              </w:rPr>
              <w:t>90.4</w:t>
            </w:r>
          </w:p>
        </w:tc>
        <w:tc>
          <w:tcPr>
            <w:tcW w:w="674" w:type="pct"/>
            <w:vAlign w:val="center"/>
          </w:tcPr>
          <w:p w14:paraId="08E99A93" w14:textId="0468969F" w:rsidR="002A66BB" w:rsidRPr="00AD5A27" w:rsidRDefault="008C4897" w:rsidP="00D04389">
            <w:pPr>
              <w:pStyle w:val="TableText0"/>
              <w:jc w:val="right"/>
            </w:pPr>
            <w:r>
              <w:t>-</w:t>
            </w:r>
            <w:r w:rsidR="002A66BB" w:rsidRPr="00AD5A27">
              <w:t>$</w:t>
            </w:r>
            <w:r w:rsidR="00860BB2" w:rsidRPr="00860BB2">
              <w:rPr>
                <w:color w:val="000000"/>
                <w:shd w:val="solid" w:color="000000" w:fill="000000"/>
                <w14:textFill>
                  <w14:solidFill>
                    <w14:srgbClr w14:val="000000">
                      <w14:alpha w14:val="100000"/>
                    </w14:srgbClr>
                  </w14:solidFill>
                </w14:textFill>
              </w:rPr>
              <w:t>|</w:t>
            </w:r>
          </w:p>
        </w:tc>
        <w:tc>
          <w:tcPr>
            <w:tcW w:w="659" w:type="pct"/>
            <w:vAlign w:val="center"/>
          </w:tcPr>
          <w:p w14:paraId="04DBA131" w14:textId="77777777" w:rsidR="002A66BB" w:rsidRPr="00AD5A27" w:rsidRDefault="002A66BB" w:rsidP="00D04389">
            <w:pPr>
              <w:pStyle w:val="TableText0"/>
              <w:jc w:val="center"/>
            </w:pPr>
            <w:r w:rsidRPr="00AD5A27">
              <w:t>94.4</w:t>
            </w:r>
          </w:p>
        </w:tc>
      </w:tr>
      <w:tr w:rsidR="00771261" w:rsidRPr="00AD5A27" w14:paraId="3F78C2D0" w14:textId="77777777" w:rsidTr="00771261">
        <w:tc>
          <w:tcPr>
            <w:tcW w:w="1422" w:type="pct"/>
            <w:vAlign w:val="center"/>
          </w:tcPr>
          <w:p w14:paraId="02E7DF98" w14:textId="77777777" w:rsidR="00771261" w:rsidRPr="00AD5A27" w:rsidRDefault="00771261" w:rsidP="00771261">
            <w:pPr>
              <w:pStyle w:val="TableText0"/>
              <w:rPr>
                <w:b/>
                <w:bCs w:val="0"/>
              </w:rPr>
            </w:pPr>
            <w:r w:rsidRPr="00AD5A27">
              <w:rPr>
                <w:b/>
                <w:bCs w:val="0"/>
              </w:rPr>
              <w:t>Overall total</w:t>
            </w:r>
          </w:p>
        </w:tc>
        <w:tc>
          <w:tcPr>
            <w:tcW w:w="599" w:type="pct"/>
            <w:shd w:val="clear" w:color="auto" w:fill="auto"/>
          </w:tcPr>
          <w:p w14:paraId="14798471" w14:textId="562686E1" w:rsidR="00771261" w:rsidRPr="00AD5A27" w:rsidRDefault="00771261" w:rsidP="00771261">
            <w:pPr>
              <w:pStyle w:val="TableText0"/>
              <w:jc w:val="right"/>
              <w:rPr>
                <w:b/>
                <w:bCs w:val="0"/>
              </w:rPr>
            </w:pPr>
            <w:r w:rsidRPr="007B1644">
              <w:t>$</w:t>
            </w:r>
            <w:r w:rsidRPr="007B1644">
              <w:rPr>
                <w:color w:val="000000"/>
                <w:shd w:val="solid" w:color="000000" w:fill="000000"/>
                <w14:textFill>
                  <w14:solidFill>
                    <w14:srgbClr w14:val="000000">
                      <w14:alpha w14:val="100000"/>
                    </w14:srgbClr>
                  </w14:solidFill>
                </w14:textFill>
              </w:rPr>
              <w:t>|</w:t>
            </w:r>
          </w:p>
        </w:tc>
        <w:tc>
          <w:tcPr>
            <w:tcW w:w="449" w:type="pct"/>
          </w:tcPr>
          <w:p w14:paraId="14DA9BB4" w14:textId="37E0BE44" w:rsidR="00771261" w:rsidRPr="00AD5A27" w:rsidRDefault="00771261" w:rsidP="00771261">
            <w:pPr>
              <w:pStyle w:val="TableText0"/>
              <w:jc w:val="center"/>
              <w:rPr>
                <w:b/>
                <w:bCs w:val="0"/>
              </w:rPr>
            </w:pPr>
            <w:r w:rsidRPr="007B1644">
              <w:rPr>
                <w:color w:val="000000"/>
                <w:shd w:val="solid" w:color="000000" w:fill="000000"/>
                <w14:textFill>
                  <w14:solidFill>
                    <w14:srgbClr w14:val="000000">
                      <w14:alpha w14:val="100000"/>
                    </w14:srgbClr>
                  </w14:solidFill>
                </w14:textFill>
              </w:rPr>
              <w:t>|</w:t>
            </w:r>
          </w:p>
        </w:tc>
        <w:tc>
          <w:tcPr>
            <w:tcW w:w="674" w:type="pct"/>
            <w:vAlign w:val="center"/>
          </w:tcPr>
          <w:p w14:paraId="2193F8CC" w14:textId="77777777" w:rsidR="00771261" w:rsidRPr="004113CC" w:rsidRDefault="00771261" w:rsidP="00771261">
            <w:pPr>
              <w:pStyle w:val="TableText0"/>
              <w:jc w:val="right"/>
              <w:rPr>
                <w:b/>
                <w:bCs w:val="0"/>
              </w:rPr>
            </w:pPr>
            <w:r w:rsidRPr="004113CC">
              <w:rPr>
                <w:b/>
                <w:bCs w:val="0"/>
              </w:rPr>
              <w:t>$61,679.37</w:t>
            </w:r>
          </w:p>
        </w:tc>
        <w:tc>
          <w:tcPr>
            <w:tcW w:w="524" w:type="pct"/>
            <w:vAlign w:val="center"/>
          </w:tcPr>
          <w:p w14:paraId="44BC6A9F" w14:textId="77777777" w:rsidR="00771261" w:rsidRPr="00AD5A27" w:rsidRDefault="00771261" w:rsidP="00771261">
            <w:pPr>
              <w:pStyle w:val="TableText0"/>
              <w:jc w:val="center"/>
              <w:rPr>
                <w:b/>
                <w:bCs w:val="0"/>
              </w:rPr>
            </w:pPr>
            <w:r w:rsidRPr="00AD5A27">
              <w:rPr>
                <w:b/>
                <w:bCs w:val="0"/>
              </w:rPr>
              <w:t>100</w:t>
            </w:r>
          </w:p>
        </w:tc>
        <w:tc>
          <w:tcPr>
            <w:tcW w:w="674" w:type="pct"/>
            <w:vAlign w:val="center"/>
          </w:tcPr>
          <w:p w14:paraId="0B533EAA" w14:textId="3300225F" w:rsidR="00771261" w:rsidRPr="00AD5A27" w:rsidRDefault="00771261" w:rsidP="00771261">
            <w:pPr>
              <w:pStyle w:val="TableText0"/>
              <w:jc w:val="right"/>
              <w:rPr>
                <w:b/>
                <w:bCs w:val="0"/>
              </w:rPr>
            </w:pPr>
            <w:r w:rsidRPr="00AD5A27">
              <w:rPr>
                <w:b/>
                <w:bCs w:val="0"/>
              </w:rPr>
              <w:t>$</w:t>
            </w:r>
            <w:r w:rsidRPr="00860BB2">
              <w:rPr>
                <w:b/>
                <w:bCs w:val="0"/>
                <w:color w:val="000000"/>
                <w:shd w:val="solid" w:color="000000" w:fill="000000"/>
                <w14:textFill>
                  <w14:solidFill>
                    <w14:srgbClr w14:val="000000">
                      <w14:alpha w14:val="100000"/>
                    </w14:srgbClr>
                  </w14:solidFill>
                </w14:textFill>
              </w:rPr>
              <w:t>|</w:t>
            </w:r>
          </w:p>
        </w:tc>
        <w:tc>
          <w:tcPr>
            <w:tcW w:w="659" w:type="pct"/>
            <w:vAlign w:val="center"/>
          </w:tcPr>
          <w:p w14:paraId="1397BEA0" w14:textId="4DA17AAE" w:rsidR="00771261" w:rsidRPr="00AD5A27" w:rsidRDefault="00771261" w:rsidP="00771261">
            <w:pPr>
              <w:pStyle w:val="TableText0"/>
              <w:jc w:val="center"/>
              <w:rPr>
                <w:b/>
                <w:bCs w:val="0"/>
              </w:rPr>
            </w:pPr>
            <w:r>
              <w:rPr>
                <w:b/>
                <w:bCs w:val="0"/>
              </w:rPr>
              <w:t>-</w:t>
            </w:r>
            <w:r w:rsidRPr="00AD5A27">
              <w:rPr>
                <w:b/>
                <w:bCs w:val="0"/>
              </w:rPr>
              <w:t>$</w:t>
            </w:r>
            <w:r w:rsidRPr="00860BB2">
              <w:rPr>
                <w:b/>
                <w:bCs w:val="0"/>
                <w:color w:val="000000"/>
                <w:spacing w:val="96"/>
                <w:shd w:val="solid" w:color="000000" w:fill="000000"/>
                <w:fitText w:val="188" w:id="-961901307"/>
                <w14:textFill>
                  <w14:solidFill>
                    <w14:srgbClr w14:val="000000">
                      <w14:alpha w14:val="100000"/>
                    </w14:srgbClr>
                  </w14:solidFill>
                </w14:textFill>
              </w:rPr>
              <w:t>|</w:t>
            </w:r>
            <w:r w:rsidRPr="00860BB2">
              <w:rPr>
                <w:b/>
                <w:bCs w:val="0"/>
                <w:color w:val="000000"/>
                <w:spacing w:val="1"/>
                <w:shd w:val="solid" w:color="000000" w:fill="000000"/>
                <w:fitText w:val="188" w:id="-961901307"/>
                <w14:textFill>
                  <w14:solidFill>
                    <w14:srgbClr w14:val="000000">
                      <w14:alpha w14:val="100000"/>
                    </w14:srgbClr>
                  </w14:solidFill>
                </w14:textFill>
              </w:rPr>
              <w:t>|</w:t>
            </w:r>
            <w:r w:rsidRPr="00AD5A27">
              <w:rPr>
                <w:b/>
                <w:bCs w:val="0"/>
              </w:rPr>
              <w:t xml:space="preserve"> (100%)</w:t>
            </w:r>
          </w:p>
        </w:tc>
      </w:tr>
    </w:tbl>
    <w:p w14:paraId="16D6725E" w14:textId="00EC7CAF" w:rsidR="002A66BB" w:rsidRPr="00AD5A27" w:rsidRDefault="002A66BB" w:rsidP="00D04389">
      <w:pPr>
        <w:pStyle w:val="FooterTableFigure"/>
        <w:keepNext/>
      </w:pPr>
      <w:r w:rsidRPr="00AD5A27">
        <w:t>Source: Table 3-20, p187 of the resubmission</w:t>
      </w:r>
    </w:p>
    <w:p w14:paraId="3BEE3A98" w14:textId="77777777" w:rsidR="002A66BB" w:rsidRPr="00AD5A27" w:rsidRDefault="002A66BB" w:rsidP="00D04389">
      <w:pPr>
        <w:pStyle w:val="FooterTableFigure"/>
        <w:keepNext/>
        <w:rPr>
          <w:sz w:val="20"/>
        </w:rPr>
      </w:pPr>
      <w:r w:rsidRPr="00AD5A27">
        <w:t>ADA = adalimumab; AE = adverse event; BSC = best supportive care; OCS = oral corticosteroid.</w:t>
      </w:r>
    </w:p>
    <w:p w14:paraId="106D3DDA" w14:textId="207197CC" w:rsidR="00BA2F1D" w:rsidRPr="00AD5A27" w:rsidRDefault="00BA2F1D" w:rsidP="0055660E">
      <w:pPr>
        <w:pStyle w:val="3-BodyText"/>
      </w:pPr>
      <w:r w:rsidRPr="00AD5A27">
        <w:t>The cost of adalimumab treatment ($</w:t>
      </w:r>
      <w:r w:rsidR="00860BB2" w:rsidRPr="00860BB2">
        <w:rPr>
          <w:color w:val="000000"/>
          <w:w w:val="60"/>
          <w:shd w:val="solid" w:color="000000" w:fill="000000"/>
          <w:fitText w:val="468" w:id="-961901306"/>
          <w14:textFill>
            <w14:solidFill>
              <w14:srgbClr w14:val="000000">
                <w14:alpha w14:val="100000"/>
              </w14:srgbClr>
            </w14:solidFill>
          </w14:textFill>
        </w:rPr>
        <w:t>|||  ||</w:t>
      </w:r>
      <w:r w:rsidR="00860BB2" w:rsidRPr="00860BB2">
        <w:rPr>
          <w:color w:val="000000"/>
          <w:spacing w:val="4"/>
          <w:w w:val="60"/>
          <w:shd w:val="solid" w:color="000000" w:fill="000000"/>
          <w:fitText w:val="468" w:id="-961901306"/>
          <w14:textFill>
            <w14:solidFill>
              <w14:srgbClr w14:val="000000">
                <w14:alpha w14:val="100000"/>
              </w14:srgbClr>
            </w14:solidFill>
          </w14:textFill>
        </w:rPr>
        <w:t>|</w:t>
      </w:r>
      <w:r w:rsidRPr="00AD5A27">
        <w:t>) was offset significantly by the cost</w:t>
      </w:r>
      <w:r w:rsidR="00614480" w:rsidRPr="00AD5A27">
        <w:t xml:space="preserve"> </w:t>
      </w:r>
      <w:r w:rsidRPr="00AD5A27">
        <w:t>savings from the modelled reduction in chronic ocular complications (-$</w:t>
      </w:r>
      <w:r w:rsidR="00860BB2" w:rsidRPr="004050E4">
        <w:rPr>
          <w:color w:val="000000"/>
          <w:w w:val="15"/>
          <w:shd w:val="solid" w:color="000000" w:fill="000000"/>
          <w:fitText w:val="-20" w:id="-961901305"/>
          <w14:textFill>
            <w14:solidFill>
              <w14:srgbClr w14:val="000000">
                <w14:alpha w14:val="100000"/>
              </w14:srgbClr>
            </w14:solidFill>
          </w14:textFill>
        </w:rPr>
        <w:t xml:space="preserve">|  </w:t>
      </w:r>
      <w:r w:rsidR="00860BB2" w:rsidRPr="004050E4">
        <w:rPr>
          <w:color w:val="000000"/>
          <w:spacing w:val="-69"/>
          <w:w w:val="15"/>
          <w:shd w:val="solid" w:color="000000" w:fill="000000"/>
          <w:fitText w:val="-20" w:id="-961901305"/>
          <w14:textFill>
            <w14:solidFill>
              <w14:srgbClr w14:val="000000">
                <w14:alpha w14:val="100000"/>
              </w14:srgbClr>
            </w14:solidFill>
          </w14:textFill>
        </w:rPr>
        <w:t>|</w:t>
      </w:r>
      <w:r w:rsidRPr="00AD5A27">
        <w:t xml:space="preserve">), </w:t>
      </w:r>
      <w:r w:rsidR="007374F1">
        <w:t>resulting in an</w:t>
      </w:r>
      <w:r w:rsidRPr="00AD5A27">
        <w:t xml:space="preserve"> overall incremental cost </w:t>
      </w:r>
      <w:r w:rsidR="007374F1">
        <w:t>of</w:t>
      </w:r>
      <w:r w:rsidR="007374F1" w:rsidRPr="00AD5A27">
        <w:t xml:space="preserve"> </w:t>
      </w:r>
      <w:r w:rsidRPr="00AD5A27">
        <w:t>$</w:t>
      </w:r>
      <w:r w:rsidR="00860BB2" w:rsidRPr="004050E4">
        <w:rPr>
          <w:color w:val="000000"/>
          <w:w w:val="15"/>
          <w:shd w:val="solid" w:color="000000" w:fill="000000"/>
          <w:fitText w:val="-20" w:id="-961901304"/>
          <w14:textFill>
            <w14:solidFill>
              <w14:srgbClr w14:val="000000">
                <w14:alpha w14:val="100000"/>
              </w14:srgbClr>
            </w14:solidFill>
          </w14:textFill>
        </w:rPr>
        <w:t xml:space="preserve">|  </w:t>
      </w:r>
      <w:r w:rsidR="00860BB2" w:rsidRPr="004050E4">
        <w:rPr>
          <w:color w:val="000000"/>
          <w:spacing w:val="-69"/>
          <w:w w:val="15"/>
          <w:shd w:val="solid" w:color="000000" w:fill="000000"/>
          <w:fitText w:val="-20" w:id="-961901304"/>
          <w14:textFill>
            <w14:solidFill>
              <w14:srgbClr w14:val="000000">
                <w14:alpha w14:val="100000"/>
              </w14:srgbClr>
            </w14:solidFill>
          </w14:textFill>
        </w:rPr>
        <w:t>|</w:t>
      </w:r>
      <w:r w:rsidRPr="00AD5A27">
        <w:t xml:space="preserve">. </w:t>
      </w:r>
    </w:p>
    <w:p w14:paraId="73ECAD54" w14:textId="179167C0" w:rsidR="002A66BB" w:rsidRPr="00AD5A27" w:rsidRDefault="002A66BB">
      <w:pPr>
        <w:pStyle w:val="3-BodyText"/>
      </w:pPr>
      <w:r w:rsidRPr="00AD5A27">
        <w:fldChar w:fldCharType="begin" w:fldLock="1"/>
      </w:r>
      <w:r w:rsidRPr="00AD5A27">
        <w:instrText xml:space="preserve"> REF _Ref152435605 \h </w:instrText>
      </w:r>
      <w:r w:rsidR="003C063D" w:rsidRPr="00AD5A27">
        <w:instrText xml:space="preserve"> \* MERGEFORMAT </w:instrText>
      </w:r>
      <w:r w:rsidRPr="00AD5A27">
        <w:fldChar w:fldCharType="separate"/>
      </w:r>
      <w:r w:rsidR="00B510E9" w:rsidRPr="00AD5A27">
        <w:t>Table 11</w:t>
      </w:r>
      <w:r w:rsidRPr="00AD5A27">
        <w:fldChar w:fldCharType="end"/>
      </w:r>
      <w:r w:rsidRPr="00AD5A27">
        <w:t xml:space="preserve"> presents the disaggregated health outcomes by treatment arm. </w:t>
      </w:r>
    </w:p>
    <w:p w14:paraId="59C26095" w14:textId="6CD57CEF" w:rsidR="002A66BB" w:rsidRPr="00AD5A27" w:rsidRDefault="002A66BB">
      <w:pPr>
        <w:pStyle w:val="Caption"/>
        <w:jc w:val="left"/>
        <w:rPr>
          <w:rStyle w:val="CommentReference"/>
          <w:b/>
          <w:szCs w:val="24"/>
        </w:rPr>
      </w:pPr>
      <w:bookmarkStart w:id="62" w:name="_Ref152435605"/>
      <w:r w:rsidRPr="00AD5A27">
        <w:lastRenderedPageBreak/>
        <w:t xml:space="preserve">Table </w:t>
      </w:r>
      <w:r w:rsidR="004050E4">
        <w:fldChar w:fldCharType="begin" w:fldLock="1"/>
      </w:r>
      <w:r w:rsidR="004050E4">
        <w:instrText xml:space="preserve"> SEQ Table \* ARABIC </w:instrText>
      </w:r>
      <w:r w:rsidR="004050E4">
        <w:fldChar w:fldCharType="separate"/>
      </w:r>
      <w:r w:rsidR="00B510E9" w:rsidRPr="00AD5A27">
        <w:t>11</w:t>
      </w:r>
      <w:r w:rsidR="004050E4">
        <w:fldChar w:fldCharType="end"/>
      </w:r>
      <w:bookmarkEnd w:id="62"/>
      <w:r w:rsidRPr="00AD5A27">
        <w:rPr>
          <w:rStyle w:val="CommentReference"/>
          <w:b/>
          <w:szCs w:val="24"/>
        </w:rPr>
        <w:t>: Disaggregated summary of health outcomes included in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Disaggregated summary of health outcomes included in the economic evaluation"/>
      </w:tblPr>
      <w:tblGrid>
        <w:gridCol w:w="3058"/>
        <w:gridCol w:w="1558"/>
        <w:gridCol w:w="1701"/>
        <w:gridCol w:w="1558"/>
        <w:gridCol w:w="1142"/>
      </w:tblGrid>
      <w:tr w:rsidR="002A66BB" w:rsidRPr="00AD5A27" w14:paraId="0E970ACC" w14:textId="77777777" w:rsidTr="0053697A">
        <w:trPr>
          <w:cantSplit/>
        </w:trPr>
        <w:tc>
          <w:tcPr>
            <w:tcW w:w="169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0011B8" w14:textId="77777777" w:rsidR="002A66BB" w:rsidRPr="00AD5A27" w:rsidRDefault="002A66BB">
            <w:pPr>
              <w:pStyle w:val="In-tableHeading"/>
              <w:jc w:val="center"/>
              <w:rPr>
                <w:lang w:val="en-AU"/>
              </w:rPr>
            </w:pPr>
            <w:r w:rsidRPr="00AD5A27">
              <w:rPr>
                <w:lang w:val="en-AU"/>
              </w:rPr>
              <w:t>Outcome</w:t>
            </w:r>
          </w:p>
        </w:tc>
        <w:tc>
          <w:tcPr>
            <w:tcW w:w="86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B46E4D" w14:textId="77777777" w:rsidR="002A66BB" w:rsidRPr="00AD5A27" w:rsidRDefault="002A66BB">
            <w:pPr>
              <w:pStyle w:val="In-tableHeading"/>
              <w:jc w:val="center"/>
              <w:rPr>
                <w:lang w:val="en-AU"/>
              </w:rPr>
            </w:pPr>
            <w:r w:rsidRPr="00AD5A27">
              <w:rPr>
                <w:lang w:val="en-AU"/>
              </w:rPr>
              <w:t xml:space="preserve">Outcome for </w:t>
            </w:r>
          </w:p>
          <w:p w14:paraId="06F84B21" w14:textId="77777777" w:rsidR="002A66BB" w:rsidRPr="00AD5A27" w:rsidRDefault="002A66BB">
            <w:pPr>
              <w:pStyle w:val="In-tableHeading"/>
              <w:jc w:val="center"/>
              <w:rPr>
                <w:lang w:val="en-AU"/>
              </w:rPr>
            </w:pPr>
            <w:r w:rsidRPr="00AD5A27">
              <w:rPr>
                <w:lang w:val="en-AU"/>
              </w:rPr>
              <w:t>ADA ± OCS</w:t>
            </w:r>
          </w:p>
        </w:tc>
        <w:tc>
          <w:tcPr>
            <w:tcW w:w="94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66EB94" w14:textId="77777777" w:rsidR="002A66BB" w:rsidRPr="00AD5A27" w:rsidRDefault="002A66BB">
            <w:pPr>
              <w:pStyle w:val="In-tableHeading"/>
              <w:jc w:val="center"/>
              <w:rPr>
                <w:lang w:val="en-AU"/>
              </w:rPr>
            </w:pPr>
            <w:r w:rsidRPr="00AD5A27">
              <w:rPr>
                <w:lang w:val="en-AU"/>
              </w:rPr>
              <w:t xml:space="preserve">Outcome for </w:t>
            </w:r>
          </w:p>
          <w:p w14:paraId="4D688E9E" w14:textId="77777777" w:rsidR="002A66BB" w:rsidRPr="00AD5A27" w:rsidRDefault="002A66BB">
            <w:pPr>
              <w:pStyle w:val="In-tableHeading"/>
              <w:jc w:val="center"/>
              <w:rPr>
                <w:lang w:val="en-AU"/>
              </w:rPr>
            </w:pPr>
            <w:r w:rsidRPr="00AD5A27">
              <w:rPr>
                <w:lang w:val="en-AU"/>
              </w:rPr>
              <w:t>BSC ± OCS</w:t>
            </w:r>
          </w:p>
        </w:tc>
        <w:tc>
          <w:tcPr>
            <w:tcW w:w="864" w:type="pct"/>
            <w:tcBorders>
              <w:top w:val="single" w:sz="4" w:space="0" w:color="auto"/>
              <w:left w:val="single" w:sz="4" w:space="0" w:color="auto"/>
              <w:bottom w:val="single" w:sz="4" w:space="0" w:color="auto"/>
              <w:right w:val="single" w:sz="4" w:space="0" w:color="auto"/>
            </w:tcBorders>
            <w:vAlign w:val="center"/>
          </w:tcPr>
          <w:p w14:paraId="3F3414FF" w14:textId="77777777" w:rsidR="002A66BB" w:rsidRPr="00AD5A27" w:rsidRDefault="002A66BB">
            <w:pPr>
              <w:pStyle w:val="In-tableHeading"/>
              <w:jc w:val="center"/>
              <w:rPr>
                <w:lang w:val="en-AU"/>
              </w:rPr>
            </w:pPr>
            <w:r w:rsidRPr="00AD5A27">
              <w:rPr>
                <w:lang w:val="en-AU"/>
              </w:rPr>
              <w:t>Incremental outcome</w:t>
            </w:r>
          </w:p>
        </w:tc>
        <w:tc>
          <w:tcPr>
            <w:tcW w:w="63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164D0F" w14:textId="77777777" w:rsidR="002A66BB" w:rsidRPr="00AD5A27" w:rsidRDefault="002A66BB">
            <w:pPr>
              <w:pStyle w:val="In-tableHeading"/>
              <w:jc w:val="center"/>
              <w:rPr>
                <w:lang w:val="en-AU"/>
              </w:rPr>
            </w:pPr>
            <w:r w:rsidRPr="00AD5A27">
              <w:rPr>
                <w:lang w:val="en-AU"/>
              </w:rPr>
              <w:t>NNT</w:t>
            </w:r>
          </w:p>
        </w:tc>
      </w:tr>
      <w:tr w:rsidR="002A66BB" w:rsidRPr="00AD5A27" w14:paraId="3BC6E207" w14:textId="77777777" w:rsidTr="0053697A">
        <w:trPr>
          <w:cantSplit/>
        </w:trPr>
        <w:tc>
          <w:tcPr>
            <w:tcW w:w="1696" w:type="pct"/>
            <w:tcBorders>
              <w:top w:val="single" w:sz="4" w:space="0" w:color="auto"/>
              <w:left w:val="single" w:sz="4" w:space="0" w:color="auto"/>
              <w:bottom w:val="single" w:sz="4" w:space="0" w:color="auto"/>
              <w:right w:val="single" w:sz="4" w:space="0" w:color="auto"/>
            </w:tcBorders>
            <w:tcMar>
              <w:left w:w="57" w:type="dxa"/>
              <w:right w:w="57" w:type="dxa"/>
            </w:tcMar>
          </w:tcPr>
          <w:p w14:paraId="5385FF7D" w14:textId="77777777" w:rsidR="002A66BB" w:rsidRPr="00AD5A27" w:rsidRDefault="002A66BB">
            <w:pPr>
              <w:pStyle w:val="TableText0"/>
            </w:pPr>
            <w:r w:rsidRPr="00AD5A27">
              <w:rPr>
                <w:snapToGrid w:val="0"/>
                <w:szCs w:val="20"/>
              </w:rPr>
              <w:t>LYs (undiscounted)</w:t>
            </w:r>
          </w:p>
        </w:tc>
        <w:tc>
          <w:tcPr>
            <w:tcW w:w="864" w:type="pct"/>
            <w:tcBorders>
              <w:top w:val="single" w:sz="4" w:space="0" w:color="auto"/>
              <w:left w:val="single" w:sz="4" w:space="0" w:color="auto"/>
              <w:bottom w:val="single" w:sz="4" w:space="0" w:color="auto"/>
              <w:right w:val="single" w:sz="4" w:space="0" w:color="auto"/>
            </w:tcBorders>
            <w:tcMar>
              <w:left w:w="57" w:type="dxa"/>
              <w:right w:w="57" w:type="dxa"/>
            </w:tcMar>
          </w:tcPr>
          <w:p w14:paraId="56A72DE8" w14:textId="77777777" w:rsidR="002A66BB" w:rsidRPr="00AD5A27" w:rsidRDefault="002A66BB">
            <w:pPr>
              <w:pStyle w:val="TableText0"/>
              <w:jc w:val="center"/>
            </w:pPr>
            <w:r w:rsidRPr="00AD5A27">
              <w:rPr>
                <w:snapToGrid w:val="0"/>
                <w:szCs w:val="20"/>
              </w:rPr>
              <w:t>41.6859</w:t>
            </w:r>
          </w:p>
        </w:tc>
        <w:tc>
          <w:tcPr>
            <w:tcW w:w="943" w:type="pct"/>
            <w:tcBorders>
              <w:top w:val="single" w:sz="4" w:space="0" w:color="auto"/>
              <w:left w:val="single" w:sz="4" w:space="0" w:color="auto"/>
              <w:bottom w:val="single" w:sz="4" w:space="0" w:color="auto"/>
              <w:right w:val="single" w:sz="4" w:space="0" w:color="auto"/>
            </w:tcBorders>
            <w:tcMar>
              <w:left w:w="57" w:type="dxa"/>
              <w:right w:w="57" w:type="dxa"/>
            </w:tcMar>
          </w:tcPr>
          <w:p w14:paraId="669912C4" w14:textId="77777777" w:rsidR="002A66BB" w:rsidRPr="00AD5A27" w:rsidRDefault="002A66BB">
            <w:pPr>
              <w:pStyle w:val="TableText0"/>
              <w:jc w:val="center"/>
            </w:pPr>
            <w:r w:rsidRPr="00AD5A27">
              <w:rPr>
                <w:snapToGrid w:val="0"/>
                <w:szCs w:val="20"/>
              </w:rPr>
              <w:t>41.6859</w:t>
            </w:r>
          </w:p>
        </w:tc>
        <w:tc>
          <w:tcPr>
            <w:tcW w:w="864" w:type="pct"/>
            <w:tcBorders>
              <w:top w:val="single" w:sz="4" w:space="0" w:color="auto"/>
              <w:left w:val="single" w:sz="4" w:space="0" w:color="auto"/>
              <w:bottom w:val="single" w:sz="4" w:space="0" w:color="auto"/>
              <w:right w:val="single" w:sz="4" w:space="0" w:color="auto"/>
            </w:tcBorders>
          </w:tcPr>
          <w:p w14:paraId="1971E237" w14:textId="77777777" w:rsidR="002A66BB" w:rsidRPr="00AD5A27" w:rsidRDefault="002A66BB">
            <w:pPr>
              <w:pStyle w:val="TableText0"/>
              <w:jc w:val="center"/>
            </w:pPr>
            <w:r w:rsidRPr="00AD5A27">
              <w:rPr>
                <w:snapToGrid w:val="0"/>
                <w:szCs w:val="20"/>
              </w:rPr>
              <w:t>0.0000</w:t>
            </w:r>
          </w:p>
        </w:tc>
        <w:tc>
          <w:tcPr>
            <w:tcW w:w="63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0018DE" w14:textId="77777777" w:rsidR="002A66BB" w:rsidRPr="00AD5A27" w:rsidRDefault="002A66BB">
            <w:pPr>
              <w:pStyle w:val="TableText0"/>
              <w:jc w:val="center"/>
            </w:pPr>
          </w:p>
        </w:tc>
      </w:tr>
      <w:tr w:rsidR="002A66BB" w:rsidRPr="00AD5A27" w14:paraId="25F3021D" w14:textId="77777777" w:rsidTr="0053697A">
        <w:trPr>
          <w:cantSplit/>
        </w:trPr>
        <w:tc>
          <w:tcPr>
            <w:tcW w:w="1696" w:type="pct"/>
            <w:tcBorders>
              <w:top w:val="single" w:sz="4" w:space="0" w:color="auto"/>
              <w:left w:val="single" w:sz="4" w:space="0" w:color="auto"/>
              <w:bottom w:val="single" w:sz="4" w:space="0" w:color="auto"/>
              <w:right w:val="single" w:sz="4" w:space="0" w:color="auto"/>
            </w:tcBorders>
            <w:tcMar>
              <w:left w:w="57" w:type="dxa"/>
              <w:right w:w="57" w:type="dxa"/>
            </w:tcMar>
          </w:tcPr>
          <w:p w14:paraId="57D9F72A" w14:textId="77777777" w:rsidR="002A66BB" w:rsidRPr="00AD5A27" w:rsidRDefault="002A66BB">
            <w:pPr>
              <w:pStyle w:val="TableText0"/>
            </w:pPr>
            <w:r w:rsidRPr="00AD5A27">
              <w:rPr>
                <w:snapToGrid w:val="0"/>
                <w:szCs w:val="20"/>
              </w:rPr>
              <w:t>LYs (discounted)</w:t>
            </w:r>
          </w:p>
        </w:tc>
        <w:tc>
          <w:tcPr>
            <w:tcW w:w="864" w:type="pct"/>
            <w:tcBorders>
              <w:top w:val="single" w:sz="4" w:space="0" w:color="auto"/>
              <w:left w:val="single" w:sz="4" w:space="0" w:color="auto"/>
              <w:bottom w:val="single" w:sz="4" w:space="0" w:color="auto"/>
              <w:right w:val="single" w:sz="4" w:space="0" w:color="auto"/>
            </w:tcBorders>
            <w:tcMar>
              <w:left w:w="57" w:type="dxa"/>
              <w:right w:w="57" w:type="dxa"/>
            </w:tcMar>
          </w:tcPr>
          <w:p w14:paraId="5FEBF12E" w14:textId="77777777" w:rsidR="002A66BB" w:rsidRPr="00AD5A27" w:rsidRDefault="002A66BB">
            <w:pPr>
              <w:pStyle w:val="TableText0"/>
              <w:jc w:val="center"/>
            </w:pPr>
            <w:r w:rsidRPr="00AD5A27">
              <w:rPr>
                <w:snapToGrid w:val="0"/>
                <w:szCs w:val="20"/>
              </w:rPr>
              <w:t>17.2881</w:t>
            </w:r>
          </w:p>
        </w:tc>
        <w:tc>
          <w:tcPr>
            <w:tcW w:w="943" w:type="pct"/>
            <w:tcBorders>
              <w:top w:val="single" w:sz="4" w:space="0" w:color="auto"/>
              <w:left w:val="single" w:sz="4" w:space="0" w:color="auto"/>
              <w:bottom w:val="single" w:sz="4" w:space="0" w:color="auto"/>
              <w:right w:val="single" w:sz="4" w:space="0" w:color="auto"/>
            </w:tcBorders>
            <w:tcMar>
              <w:left w:w="57" w:type="dxa"/>
              <w:right w:w="57" w:type="dxa"/>
            </w:tcMar>
          </w:tcPr>
          <w:p w14:paraId="79905344" w14:textId="77777777" w:rsidR="002A66BB" w:rsidRPr="00AD5A27" w:rsidRDefault="002A66BB">
            <w:pPr>
              <w:pStyle w:val="TableText0"/>
              <w:jc w:val="center"/>
            </w:pPr>
            <w:r w:rsidRPr="00AD5A27">
              <w:rPr>
                <w:snapToGrid w:val="0"/>
                <w:szCs w:val="20"/>
              </w:rPr>
              <w:t>17.2881</w:t>
            </w:r>
          </w:p>
        </w:tc>
        <w:tc>
          <w:tcPr>
            <w:tcW w:w="864" w:type="pct"/>
            <w:tcBorders>
              <w:top w:val="single" w:sz="4" w:space="0" w:color="auto"/>
              <w:left w:val="single" w:sz="4" w:space="0" w:color="auto"/>
              <w:bottom w:val="single" w:sz="4" w:space="0" w:color="auto"/>
              <w:right w:val="single" w:sz="4" w:space="0" w:color="auto"/>
            </w:tcBorders>
          </w:tcPr>
          <w:p w14:paraId="30D74493" w14:textId="77777777" w:rsidR="002A66BB" w:rsidRPr="00AD5A27" w:rsidRDefault="002A66BB">
            <w:pPr>
              <w:pStyle w:val="TableText0"/>
              <w:jc w:val="center"/>
            </w:pPr>
            <w:r w:rsidRPr="00AD5A27">
              <w:rPr>
                <w:snapToGrid w:val="0"/>
                <w:szCs w:val="20"/>
              </w:rPr>
              <w:t>0.0000</w:t>
            </w:r>
          </w:p>
        </w:tc>
        <w:tc>
          <w:tcPr>
            <w:tcW w:w="63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6E9265" w14:textId="77777777" w:rsidR="002A66BB" w:rsidRPr="00AD5A27" w:rsidRDefault="002A66BB">
            <w:pPr>
              <w:pStyle w:val="TableText0"/>
              <w:jc w:val="center"/>
            </w:pPr>
          </w:p>
        </w:tc>
      </w:tr>
      <w:tr w:rsidR="002A66BB" w:rsidRPr="00AD5A27" w14:paraId="435B4290" w14:textId="77777777" w:rsidTr="0053697A">
        <w:trPr>
          <w:cantSplit/>
        </w:trPr>
        <w:tc>
          <w:tcPr>
            <w:tcW w:w="1696" w:type="pct"/>
            <w:tcBorders>
              <w:top w:val="single" w:sz="4" w:space="0" w:color="auto"/>
              <w:left w:val="single" w:sz="4" w:space="0" w:color="auto"/>
              <w:bottom w:val="single" w:sz="4" w:space="0" w:color="auto"/>
              <w:right w:val="single" w:sz="4" w:space="0" w:color="auto"/>
            </w:tcBorders>
            <w:tcMar>
              <w:left w:w="57" w:type="dxa"/>
              <w:right w:w="57" w:type="dxa"/>
            </w:tcMar>
          </w:tcPr>
          <w:p w14:paraId="76A4C8B5" w14:textId="77777777" w:rsidR="002A66BB" w:rsidRPr="00AD5A27" w:rsidRDefault="002A66BB">
            <w:pPr>
              <w:pStyle w:val="TableText0"/>
            </w:pPr>
            <w:r w:rsidRPr="00AD5A27">
              <w:rPr>
                <w:snapToGrid w:val="0"/>
                <w:szCs w:val="20"/>
              </w:rPr>
              <w:t>QALYs (discounted)</w:t>
            </w:r>
          </w:p>
        </w:tc>
        <w:tc>
          <w:tcPr>
            <w:tcW w:w="864" w:type="pct"/>
            <w:tcBorders>
              <w:top w:val="single" w:sz="4" w:space="0" w:color="auto"/>
              <w:left w:val="single" w:sz="4" w:space="0" w:color="auto"/>
              <w:bottom w:val="single" w:sz="4" w:space="0" w:color="auto"/>
              <w:right w:val="single" w:sz="4" w:space="0" w:color="auto"/>
            </w:tcBorders>
            <w:tcMar>
              <w:left w:w="57" w:type="dxa"/>
              <w:right w:w="57" w:type="dxa"/>
            </w:tcMar>
          </w:tcPr>
          <w:p w14:paraId="2AB4AE1C" w14:textId="77777777" w:rsidR="002A66BB" w:rsidRPr="00AD5A27" w:rsidRDefault="002A66BB">
            <w:pPr>
              <w:pStyle w:val="TableText0"/>
              <w:jc w:val="center"/>
            </w:pPr>
            <w:r w:rsidRPr="00AD5A27">
              <w:rPr>
                <w:snapToGrid w:val="0"/>
                <w:szCs w:val="20"/>
              </w:rPr>
              <w:t>13.9602</w:t>
            </w:r>
          </w:p>
        </w:tc>
        <w:tc>
          <w:tcPr>
            <w:tcW w:w="943" w:type="pct"/>
            <w:tcBorders>
              <w:top w:val="single" w:sz="4" w:space="0" w:color="auto"/>
              <w:left w:val="single" w:sz="4" w:space="0" w:color="auto"/>
              <w:bottom w:val="single" w:sz="4" w:space="0" w:color="auto"/>
              <w:right w:val="single" w:sz="4" w:space="0" w:color="auto"/>
            </w:tcBorders>
            <w:tcMar>
              <w:left w:w="57" w:type="dxa"/>
              <w:right w:w="57" w:type="dxa"/>
            </w:tcMar>
          </w:tcPr>
          <w:p w14:paraId="70882071" w14:textId="77777777" w:rsidR="002A66BB" w:rsidRPr="00AD5A27" w:rsidRDefault="002A66BB">
            <w:pPr>
              <w:pStyle w:val="TableText0"/>
              <w:jc w:val="center"/>
            </w:pPr>
            <w:r w:rsidRPr="00AD5A27">
              <w:rPr>
                <w:snapToGrid w:val="0"/>
                <w:szCs w:val="20"/>
              </w:rPr>
              <w:t>13.7333</w:t>
            </w:r>
          </w:p>
        </w:tc>
        <w:tc>
          <w:tcPr>
            <w:tcW w:w="864" w:type="pct"/>
            <w:tcBorders>
              <w:top w:val="single" w:sz="4" w:space="0" w:color="auto"/>
              <w:left w:val="single" w:sz="4" w:space="0" w:color="auto"/>
              <w:bottom w:val="single" w:sz="4" w:space="0" w:color="auto"/>
              <w:right w:val="single" w:sz="4" w:space="0" w:color="auto"/>
            </w:tcBorders>
          </w:tcPr>
          <w:p w14:paraId="315178B3" w14:textId="77777777" w:rsidR="002A66BB" w:rsidRPr="00AD5A27" w:rsidRDefault="002A66BB">
            <w:pPr>
              <w:pStyle w:val="TableText0"/>
              <w:jc w:val="center"/>
            </w:pPr>
            <w:r w:rsidRPr="00AD5A27">
              <w:rPr>
                <w:snapToGrid w:val="0"/>
                <w:szCs w:val="20"/>
              </w:rPr>
              <w:t>0.2268</w:t>
            </w:r>
          </w:p>
        </w:tc>
        <w:tc>
          <w:tcPr>
            <w:tcW w:w="63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D90495D" w14:textId="77777777" w:rsidR="002A66BB" w:rsidRPr="00AD5A27" w:rsidRDefault="002A66BB">
            <w:pPr>
              <w:pStyle w:val="TableText0"/>
              <w:jc w:val="center"/>
            </w:pPr>
          </w:p>
        </w:tc>
      </w:tr>
      <w:tr w:rsidR="002A66BB" w:rsidRPr="00AD5A27" w14:paraId="60B2DD00" w14:textId="77777777" w:rsidTr="0053697A">
        <w:trPr>
          <w:cantSplit/>
        </w:trPr>
        <w:tc>
          <w:tcPr>
            <w:tcW w:w="1696" w:type="pct"/>
            <w:tcBorders>
              <w:top w:val="single" w:sz="4" w:space="0" w:color="auto"/>
              <w:left w:val="single" w:sz="4" w:space="0" w:color="auto"/>
              <w:bottom w:val="single" w:sz="4" w:space="0" w:color="auto"/>
              <w:right w:val="single" w:sz="4" w:space="0" w:color="auto"/>
            </w:tcBorders>
            <w:tcMar>
              <w:left w:w="57" w:type="dxa"/>
              <w:right w:w="57" w:type="dxa"/>
            </w:tcMar>
          </w:tcPr>
          <w:p w14:paraId="1F15569F" w14:textId="77777777" w:rsidR="002A66BB" w:rsidRPr="00AD5A27" w:rsidRDefault="002A66BB">
            <w:pPr>
              <w:pStyle w:val="TableText0"/>
            </w:pPr>
            <w:r w:rsidRPr="00AD5A27">
              <w:rPr>
                <w:snapToGrid w:val="0"/>
                <w:szCs w:val="20"/>
              </w:rPr>
              <w:t>ADA treatment duration</w:t>
            </w:r>
          </w:p>
        </w:tc>
        <w:tc>
          <w:tcPr>
            <w:tcW w:w="864" w:type="pct"/>
            <w:tcBorders>
              <w:top w:val="single" w:sz="4" w:space="0" w:color="auto"/>
              <w:left w:val="single" w:sz="4" w:space="0" w:color="auto"/>
              <w:bottom w:val="single" w:sz="4" w:space="0" w:color="auto"/>
              <w:right w:val="single" w:sz="4" w:space="0" w:color="auto"/>
            </w:tcBorders>
            <w:tcMar>
              <w:left w:w="57" w:type="dxa"/>
              <w:right w:w="57" w:type="dxa"/>
            </w:tcMar>
          </w:tcPr>
          <w:p w14:paraId="10A8D01B" w14:textId="77777777" w:rsidR="002A66BB" w:rsidRPr="00AD5A27" w:rsidRDefault="002A66BB">
            <w:pPr>
              <w:pStyle w:val="TableText0"/>
              <w:jc w:val="center"/>
            </w:pPr>
            <w:r w:rsidRPr="00AD5A27">
              <w:rPr>
                <w:snapToGrid w:val="0"/>
                <w:szCs w:val="20"/>
              </w:rPr>
              <w:t>3.1410</w:t>
            </w:r>
          </w:p>
        </w:tc>
        <w:tc>
          <w:tcPr>
            <w:tcW w:w="943" w:type="pct"/>
            <w:tcBorders>
              <w:top w:val="single" w:sz="4" w:space="0" w:color="auto"/>
              <w:left w:val="single" w:sz="4" w:space="0" w:color="auto"/>
              <w:bottom w:val="single" w:sz="4" w:space="0" w:color="auto"/>
              <w:right w:val="single" w:sz="4" w:space="0" w:color="auto"/>
            </w:tcBorders>
            <w:tcMar>
              <w:left w:w="57" w:type="dxa"/>
              <w:right w:w="57" w:type="dxa"/>
            </w:tcMar>
          </w:tcPr>
          <w:p w14:paraId="37445415" w14:textId="77777777" w:rsidR="002A66BB" w:rsidRPr="00AD5A27" w:rsidRDefault="002A66BB">
            <w:pPr>
              <w:pStyle w:val="TableText0"/>
              <w:jc w:val="center"/>
            </w:pPr>
            <w:r w:rsidRPr="00AD5A27">
              <w:rPr>
                <w:snapToGrid w:val="0"/>
                <w:szCs w:val="20"/>
              </w:rPr>
              <w:t>0</w:t>
            </w:r>
          </w:p>
        </w:tc>
        <w:tc>
          <w:tcPr>
            <w:tcW w:w="864" w:type="pct"/>
            <w:tcBorders>
              <w:top w:val="single" w:sz="4" w:space="0" w:color="auto"/>
              <w:left w:val="single" w:sz="4" w:space="0" w:color="auto"/>
              <w:bottom w:val="single" w:sz="4" w:space="0" w:color="auto"/>
              <w:right w:val="single" w:sz="4" w:space="0" w:color="auto"/>
            </w:tcBorders>
          </w:tcPr>
          <w:p w14:paraId="535A6CEA" w14:textId="77777777" w:rsidR="002A66BB" w:rsidRPr="00AD5A27" w:rsidRDefault="002A66BB">
            <w:pPr>
              <w:pStyle w:val="TableText0"/>
              <w:jc w:val="center"/>
            </w:pPr>
            <w:r w:rsidRPr="00AD5A27">
              <w:rPr>
                <w:snapToGrid w:val="0"/>
                <w:szCs w:val="20"/>
              </w:rPr>
              <w:t>3.1410</w:t>
            </w:r>
          </w:p>
        </w:tc>
        <w:tc>
          <w:tcPr>
            <w:tcW w:w="63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112B31" w14:textId="77777777" w:rsidR="002A66BB" w:rsidRPr="00AD5A27" w:rsidRDefault="002A66BB">
            <w:pPr>
              <w:pStyle w:val="TableText0"/>
              <w:jc w:val="center"/>
            </w:pPr>
          </w:p>
        </w:tc>
      </w:tr>
      <w:tr w:rsidR="002A66BB" w:rsidRPr="00AD5A27" w14:paraId="506281BF" w14:textId="77777777" w:rsidTr="0053697A">
        <w:trPr>
          <w:cantSplit/>
        </w:trPr>
        <w:tc>
          <w:tcPr>
            <w:tcW w:w="1696" w:type="pct"/>
            <w:tcBorders>
              <w:top w:val="single" w:sz="4" w:space="0" w:color="auto"/>
              <w:left w:val="single" w:sz="4" w:space="0" w:color="auto"/>
              <w:bottom w:val="single" w:sz="4" w:space="0" w:color="auto"/>
              <w:right w:val="single" w:sz="4" w:space="0" w:color="auto"/>
            </w:tcBorders>
            <w:tcMar>
              <w:left w:w="57" w:type="dxa"/>
              <w:right w:w="57" w:type="dxa"/>
            </w:tcMar>
          </w:tcPr>
          <w:p w14:paraId="48D53FE9" w14:textId="77777777" w:rsidR="002A66BB" w:rsidRPr="00AD5A27" w:rsidRDefault="002A66BB">
            <w:pPr>
              <w:pStyle w:val="TableText0"/>
            </w:pPr>
            <w:r w:rsidRPr="00AD5A27">
              <w:rPr>
                <w:snapToGrid w:val="0"/>
                <w:szCs w:val="20"/>
              </w:rPr>
              <w:t>OCS treatment duration</w:t>
            </w:r>
          </w:p>
        </w:tc>
        <w:tc>
          <w:tcPr>
            <w:tcW w:w="864" w:type="pct"/>
            <w:tcBorders>
              <w:top w:val="single" w:sz="4" w:space="0" w:color="auto"/>
              <w:left w:val="single" w:sz="4" w:space="0" w:color="auto"/>
              <w:bottom w:val="single" w:sz="4" w:space="0" w:color="auto"/>
              <w:right w:val="single" w:sz="4" w:space="0" w:color="auto"/>
            </w:tcBorders>
            <w:tcMar>
              <w:left w:w="57" w:type="dxa"/>
              <w:right w:w="57" w:type="dxa"/>
            </w:tcMar>
          </w:tcPr>
          <w:p w14:paraId="3801B19A" w14:textId="77777777" w:rsidR="002A66BB" w:rsidRPr="00AD5A27" w:rsidRDefault="002A66BB">
            <w:pPr>
              <w:pStyle w:val="TableText0"/>
              <w:jc w:val="center"/>
            </w:pPr>
            <w:r w:rsidRPr="00AD5A27">
              <w:rPr>
                <w:snapToGrid w:val="0"/>
                <w:szCs w:val="20"/>
              </w:rPr>
              <w:t>0.5387</w:t>
            </w:r>
          </w:p>
        </w:tc>
        <w:tc>
          <w:tcPr>
            <w:tcW w:w="943" w:type="pct"/>
            <w:tcBorders>
              <w:top w:val="single" w:sz="4" w:space="0" w:color="auto"/>
              <w:left w:val="single" w:sz="4" w:space="0" w:color="auto"/>
              <w:bottom w:val="single" w:sz="4" w:space="0" w:color="auto"/>
              <w:right w:val="single" w:sz="4" w:space="0" w:color="auto"/>
            </w:tcBorders>
            <w:tcMar>
              <w:left w:w="57" w:type="dxa"/>
              <w:right w:w="57" w:type="dxa"/>
            </w:tcMar>
          </w:tcPr>
          <w:p w14:paraId="34072043" w14:textId="77777777" w:rsidR="002A66BB" w:rsidRPr="00AD5A27" w:rsidRDefault="002A66BB">
            <w:pPr>
              <w:pStyle w:val="TableText0"/>
              <w:jc w:val="center"/>
            </w:pPr>
            <w:r w:rsidRPr="00AD5A27">
              <w:rPr>
                <w:snapToGrid w:val="0"/>
                <w:szCs w:val="20"/>
              </w:rPr>
              <w:t>0.6089</w:t>
            </w:r>
          </w:p>
        </w:tc>
        <w:tc>
          <w:tcPr>
            <w:tcW w:w="864" w:type="pct"/>
            <w:tcBorders>
              <w:top w:val="single" w:sz="4" w:space="0" w:color="auto"/>
              <w:left w:val="single" w:sz="4" w:space="0" w:color="auto"/>
              <w:bottom w:val="single" w:sz="4" w:space="0" w:color="auto"/>
              <w:right w:val="single" w:sz="4" w:space="0" w:color="auto"/>
            </w:tcBorders>
          </w:tcPr>
          <w:p w14:paraId="106D707A" w14:textId="77777777" w:rsidR="002A66BB" w:rsidRPr="00AD5A27" w:rsidRDefault="002A66BB">
            <w:pPr>
              <w:pStyle w:val="TableText0"/>
              <w:jc w:val="center"/>
            </w:pPr>
            <w:r w:rsidRPr="00AD5A27">
              <w:rPr>
                <w:snapToGrid w:val="0"/>
                <w:szCs w:val="20"/>
              </w:rPr>
              <w:t>−0.0702</w:t>
            </w:r>
          </w:p>
        </w:tc>
        <w:tc>
          <w:tcPr>
            <w:tcW w:w="63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80AC65" w14:textId="77777777" w:rsidR="002A66BB" w:rsidRPr="00AD5A27" w:rsidRDefault="002A66BB">
            <w:pPr>
              <w:pStyle w:val="TableText0"/>
              <w:jc w:val="center"/>
            </w:pPr>
          </w:p>
        </w:tc>
      </w:tr>
      <w:tr w:rsidR="0053697A" w:rsidRPr="00AD5A27" w14:paraId="28FFA087" w14:textId="77777777" w:rsidTr="0053697A">
        <w:trPr>
          <w:cantSplit/>
        </w:trPr>
        <w:tc>
          <w:tcPr>
            <w:tcW w:w="5000" w:type="pct"/>
            <w:gridSpan w:val="5"/>
            <w:tcBorders>
              <w:top w:val="single" w:sz="4" w:space="0" w:color="auto"/>
              <w:left w:val="single" w:sz="4" w:space="0" w:color="auto"/>
              <w:bottom w:val="single" w:sz="4" w:space="0" w:color="auto"/>
              <w:right w:val="single" w:sz="4" w:space="0" w:color="auto"/>
            </w:tcBorders>
            <w:tcMar>
              <w:left w:w="57" w:type="dxa"/>
              <w:right w:w="57" w:type="dxa"/>
            </w:tcMar>
          </w:tcPr>
          <w:p w14:paraId="569B9067" w14:textId="65793336" w:rsidR="0053697A" w:rsidRPr="00AD5A27" w:rsidRDefault="0053697A" w:rsidP="0053697A">
            <w:pPr>
              <w:pStyle w:val="TableText0"/>
              <w:rPr>
                <w:b/>
                <w:bCs w:val="0"/>
              </w:rPr>
            </w:pPr>
            <w:r w:rsidRPr="00AD5A27">
              <w:rPr>
                <w:b/>
                <w:bCs w:val="0"/>
                <w:snapToGrid w:val="0"/>
                <w:szCs w:val="20"/>
              </w:rPr>
              <w:t>Acute ocular complications, average number of events per patient over a lifetime time horizon</w:t>
            </w:r>
          </w:p>
        </w:tc>
      </w:tr>
      <w:tr w:rsidR="002A66BB" w:rsidRPr="00AD5A27" w14:paraId="3A13CEE5" w14:textId="77777777" w:rsidTr="0053697A">
        <w:trPr>
          <w:cantSplit/>
        </w:trPr>
        <w:tc>
          <w:tcPr>
            <w:tcW w:w="1696" w:type="pct"/>
            <w:tcBorders>
              <w:top w:val="single" w:sz="4" w:space="0" w:color="auto"/>
              <w:left w:val="single" w:sz="4" w:space="0" w:color="auto"/>
              <w:bottom w:val="single" w:sz="4" w:space="0" w:color="auto"/>
              <w:right w:val="single" w:sz="4" w:space="0" w:color="auto"/>
            </w:tcBorders>
            <w:tcMar>
              <w:left w:w="57" w:type="dxa"/>
              <w:right w:w="57" w:type="dxa"/>
            </w:tcMar>
          </w:tcPr>
          <w:p w14:paraId="71BE1E1A" w14:textId="77777777" w:rsidR="002A66BB" w:rsidRPr="00AD5A27" w:rsidRDefault="002A66BB">
            <w:pPr>
              <w:pStyle w:val="TableText0"/>
            </w:pPr>
            <w:r w:rsidRPr="00AD5A27">
              <w:rPr>
                <w:snapToGrid w:val="0"/>
                <w:szCs w:val="20"/>
              </w:rPr>
              <w:t>Retinal detachment</w:t>
            </w:r>
          </w:p>
        </w:tc>
        <w:tc>
          <w:tcPr>
            <w:tcW w:w="864" w:type="pct"/>
            <w:tcBorders>
              <w:top w:val="single" w:sz="4" w:space="0" w:color="auto"/>
              <w:left w:val="single" w:sz="4" w:space="0" w:color="auto"/>
              <w:bottom w:val="single" w:sz="4" w:space="0" w:color="auto"/>
              <w:right w:val="single" w:sz="4" w:space="0" w:color="auto"/>
            </w:tcBorders>
            <w:tcMar>
              <w:left w:w="57" w:type="dxa"/>
              <w:right w:w="57" w:type="dxa"/>
            </w:tcMar>
          </w:tcPr>
          <w:p w14:paraId="2595BB17" w14:textId="77777777" w:rsidR="002A66BB" w:rsidRPr="00AD5A27" w:rsidRDefault="002A66BB">
            <w:pPr>
              <w:pStyle w:val="TableText0"/>
              <w:jc w:val="center"/>
            </w:pPr>
            <w:r w:rsidRPr="00AD5A27">
              <w:rPr>
                <w:snapToGrid w:val="0"/>
                <w:szCs w:val="20"/>
              </w:rPr>
              <w:t>0.0404</w:t>
            </w:r>
          </w:p>
        </w:tc>
        <w:tc>
          <w:tcPr>
            <w:tcW w:w="943" w:type="pct"/>
            <w:tcBorders>
              <w:top w:val="single" w:sz="4" w:space="0" w:color="auto"/>
              <w:left w:val="single" w:sz="4" w:space="0" w:color="auto"/>
              <w:bottom w:val="single" w:sz="4" w:space="0" w:color="auto"/>
              <w:right w:val="single" w:sz="4" w:space="0" w:color="auto"/>
            </w:tcBorders>
            <w:tcMar>
              <w:left w:w="57" w:type="dxa"/>
              <w:right w:w="57" w:type="dxa"/>
            </w:tcMar>
          </w:tcPr>
          <w:p w14:paraId="7C372DB4" w14:textId="77777777" w:rsidR="002A66BB" w:rsidRPr="00AD5A27" w:rsidRDefault="002A66BB">
            <w:pPr>
              <w:pStyle w:val="TableText0"/>
              <w:jc w:val="center"/>
            </w:pPr>
            <w:r w:rsidRPr="00AD5A27">
              <w:rPr>
                <w:snapToGrid w:val="0"/>
                <w:szCs w:val="20"/>
              </w:rPr>
              <w:t>0.0465</w:t>
            </w:r>
          </w:p>
        </w:tc>
        <w:tc>
          <w:tcPr>
            <w:tcW w:w="864" w:type="pct"/>
            <w:tcBorders>
              <w:top w:val="single" w:sz="4" w:space="0" w:color="auto"/>
              <w:left w:val="single" w:sz="4" w:space="0" w:color="auto"/>
              <w:bottom w:val="single" w:sz="4" w:space="0" w:color="auto"/>
              <w:right w:val="single" w:sz="4" w:space="0" w:color="auto"/>
            </w:tcBorders>
          </w:tcPr>
          <w:p w14:paraId="6BE1561D" w14:textId="77777777" w:rsidR="002A66BB" w:rsidRPr="00AD5A27" w:rsidRDefault="002A66BB">
            <w:pPr>
              <w:pStyle w:val="TableText0"/>
              <w:jc w:val="center"/>
            </w:pPr>
            <w:r w:rsidRPr="00AD5A27">
              <w:rPr>
                <w:snapToGrid w:val="0"/>
                <w:szCs w:val="20"/>
              </w:rPr>
              <w:t>−0.0061</w:t>
            </w:r>
          </w:p>
        </w:tc>
        <w:tc>
          <w:tcPr>
            <w:tcW w:w="63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B17CF6" w14:textId="77777777" w:rsidR="002A66BB" w:rsidRPr="00AD5A27" w:rsidRDefault="002A66BB">
            <w:pPr>
              <w:pStyle w:val="TableText0"/>
              <w:jc w:val="center"/>
            </w:pPr>
            <w:r w:rsidRPr="00AD5A27">
              <w:t>165</w:t>
            </w:r>
          </w:p>
        </w:tc>
      </w:tr>
      <w:tr w:rsidR="002A66BB" w:rsidRPr="00AD5A27" w14:paraId="0D8A4085" w14:textId="77777777" w:rsidTr="0053697A">
        <w:trPr>
          <w:cantSplit/>
        </w:trPr>
        <w:tc>
          <w:tcPr>
            <w:tcW w:w="1696" w:type="pct"/>
            <w:tcBorders>
              <w:top w:val="single" w:sz="4" w:space="0" w:color="auto"/>
              <w:left w:val="single" w:sz="4" w:space="0" w:color="auto"/>
              <w:bottom w:val="single" w:sz="4" w:space="0" w:color="auto"/>
              <w:right w:val="single" w:sz="4" w:space="0" w:color="auto"/>
            </w:tcBorders>
            <w:tcMar>
              <w:left w:w="57" w:type="dxa"/>
              <w:right w:w="57" w:type="dxa"/>
            </w:tcMar>
          </w:tcPr>
          <w:p w14:paraId="24F505C1" w14:textId="77777777" w:rsidR="002A66BB" w:rsidRPr="00AD5A27" w:rsidRDefault="002A66BB">
            <w:pPr>
              <w:pStyle w:val="TableText0"/>
            </w:pPr>
            <w:r w:rsidRPr="00AD5A27">
              <w:rPr>
                <w:snapToGrid w:val="0"/>
                <w:szCs w:val="20"/>
              </w:rPr>
              <w:t>Visual disturbance</w:t>
            </w:r>
          </w:p>
        </w:tc>
        <w:tc>
          <w:tcPr>
            <w:tcW w:w="864" w:type="pct"/>
            <w:tcBorders>
              <w:top w:val="single" w:sz="4" w:space="0" w:color="auto"/>
              <w:left w:val="single" w:sz="4" w:space="0" w:color="auto"/>
              <w:bottom w:val="single" w:sz="4" w:space="0" w:color="auto"/>
              <w:right w:val="single" w:sz="4" w:space="0" w:color="auto"/>
            </w:tcBorders>
            <w:tcMar>
              <w:left w:w="57" w:type="dxa"/>
              <w:right w:w="57" w:type="dxa"/>
            </w:tcMar>
          </w:tcPr>
          <w:p w14:paraId="66EA796E" w14:textId="77777777" w:rsidR="002A66BB" w:rsidRPr="00AD5A27" w:rsidRDefault="002A66BB">
            <w:pPr>
              <w:pStyle w:val="TableText0"/>
              <w:jc w:val="center"/>
            </w:pPr>
            <w:r w:rsidRPr="00AD5A27">
              <w:rPr>
                <w:snapToGrid w:val="0"/>
                <w:szCs w:val="20"/>
              </w:rPr>
              <w:t>0.1232</w:t>
            </w:r>
          </w:p>
        </w:tc>
        <w:tc>
          <w:tcPr>
            <w:tcW w:w="943" w:type="pct"/>
            <w:tcBorders>
              <w:top w:val="single" w:sz="4" w:space="0" w:color="auto"/>
              <w:left w:val="single" w:sz="4" w:space="0" w:color="auto"/>
              <w:bottom w:val="single" w:sz="4" w:space="0" w:color="auto"/>
              <w:right w:val="single" w:sz="4" w:space="0" w:color="auto"/>
            </w:tcBorders>
            <w:tcMar>
              <w:left w:w="57" w:type="dxa"/>
              <w:right w:w="57" w:type="dxa"/>
            </w:tcMar>
          </w:tcPr>
          <w:p w14:paraId="4C415344" w14:textId="77777777" w:rsidR="002A66BB" w:rsidRPr="00AD5A27" w:rsidRDefault="002A66BB">
            <w:pPr>
              <w:pStyle w:val="TableText0"/>
              <w:jc w:val="center"/>
            </w:pPr>
            <w:r w:rsidRPr="00AD5A27">
              <w:rPr>
                <w:snapToGrid w:val="0"/>
                <w:szCs w:val="20"/>
              </w:rPr>
              <w:t>0.1616</w:t>
            </w:r>
          </w:p>
        </w:tc>
        <w:tc>
          <w:tcPr>
            <w:tcW w:w="864" w:type="pct"/>
            <w:tcBorders>
              <w:top w:val="single" w:sz="4" w:space="0" w:color="auto"/>
              <w:left w:val="single" w:sz="4" w:space="0" w:color="auto"/>
              <w:bottom w:val="single" w:sz="4" w:space="0" w:color="auto"/>
              <w:right w:val="single" w:sz="4" w:space="0" w:color="auto"/>
            </w:tcBorders>
          </w:tcPr>
          <w:p w14:paraId="01243D89" w14:textId="77777777" w:rsidR="002A66BB" w:rsidRPr="00AD5A27" w:rsidRDefault="002A66BB">
            <w:pPr>
              <w:pStyle w:val="TableText0"/>
              <w:jc w:val="center"/>
            </w:pPr>
            <w:r w:rsidRPr="00AD5A27">
              <w:rPr>
                <w:snapToGrid w:val="0"/>
                <w:szCs w:val="20"/>
              </w:rPr>
              <w:t>−0.0383</w:t>
            </w:r>
          </w:p>
        </w:tc>
        <w:tc>
          <w:tcPr>
            <w:tcW w:w="63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6595E79" w14:textId="77777777" w:rsidR="002A66BB" w:rsidRPr="00AD5A27" w:rsidRDefault="002A66BB">
            <w:pPr>
              <w:pStyle w:val="TableText0"/>
              <w:jc w:val="center"/>
            </w:pPr>
            <w:r w:rsidRPr="00AD5A27">
              <w:t>26</w:t>
            </w:r>
          </w:p>
        </w:tc>
      </w:tr>
      <w:tr w:rsidR="002A66BB" w:rsidRPr="00AD5A27" w14:paraId="3D1BD12E" w14:textId="77777777" w:rsidTr="0053697A">
        <w:trPr>
          <w:cantSplit/>
        </w:trPr>
        <w:tc>
          <w:tcPr>
            <w:tcW w:w="1696" w:type="pct"/>
            <w:tcBorders>
              <w:top w:val="single" w:sz="4" w:space="0" w:color="auto"/>
              <w:left w:val="single" w:sz="4" w:space="0" w:color="auto"/>
              <w:bottom w:val="single" w:sz="4" w:space="0" w:color="auto"/>
              <w:right w:val="single" w:sz="4" w:space="0" w:color="auto"/>
            </w:tcBorders>
            <w:tcMar>
              <w:left w:w="57" w:type="dxa"/>
              <w:right w:w="57" w:type="dxa"/>
            </w:tcMar>
          </w:tcPr>
          <w:p w14:paraId="0BD9F73A" w14:textId="77777777" w:rsidR="002A66BB" w:rsidRPr="00AD5A27" w:rsidRDefault="002A66BB">
            <w:pPr>
              <w:pStyle w:val="TableText0"/>
            </w:pPr>
            <w:r w:rsidRPr="00AD5A27">
              <w:rPr>
                <w:snapToGrid w:val="0"/>
                <w:szCs w:val="20"/>
              </w:rPr>
              <w:t>Cataract</w:t>
            </w:r>
          </w:p>
        </w:tc>
        <w:tc>
          <w:tcPr>
            <w:tcW w:w="864" w:type="pct"/>
            <w:tcBorders>
              <w:top w:val="single" w:sz="4" w:space="0" w:color="auto"/>
              <w:left w:val="single" w:sz="4" w:space="0" w:color="auto"/>
              <w:bottom w:val="single" w:sz="4" w:space="0" w:color="auto"/>
              <w:right w:val="single" w:sz="4" w:space="0" w:color="auto"/>
            </w:tcBorders>
            <w:tcMar>
              <w:left w:w="57" w:type="dxa"/>
              <w:right w:w="57" w:type="dxa"/>
            </w:tcMar>
          </w:tcPr>
          <w:p w14:paraId="43EE156E" w14:textId="77777777" w:rsidR="002A66BB" w:rsidRPr="00AD5A27" w:rsidRDefault="002A66BB">
            <w:pPr>
              <w:pStyle w:val="TableText0"/>
              <w:jc w:val="center"/>
            </w:pPr>
            <w:r w:rsidRPr="00AD5A27">
              <w:rPr>
                <w:snapToGrid w:val="0"/>
                <w:szCs w:val="20"/>
              </w:rPr>
              <w:t>0.2201</w:t>
            </w:r>
          </w:p>
        </w:tc>
        <w:tc>
          <w:tcPr>
            <w:tcW w:w="943" w:type="pct"/>
            <w:tcBorders>
              <w:top w:val="single" w:sz="4" w:space="0" w:color="auto"/>
              <w:left w:val="single" w:sz="4" w:space="0" w:color="auto"/>
              <w:bottom w:val="single" w:sz="4" w:space="0" w:color="auto"/>
              <w:right w:val="single" w:sz="4" w:space="0" w:color="auto"/>
            </w:tcBorders>
            <w:tcMar>
              <w:left w:w="57" w:type="dxa"/>
              <w:right w:w="57" w:type="dxa"/>
            </w:tcMar>
          </w:tcPr>
          <w:p w14:paraId="1FB900FE" w14:textId="77777777" w:rsidR="002A66BB" w:rsidRPr="00AD5A27" w:rsidRDefault="002A66BB">
            <w:pPr>
              <w:pStyle w:val="TableText0"/>
              <w:jc w:val="center"/>
            </w:pPr>
            <w:r w:rsidRPr="00AD5A27">
              <w:rPr>
                <w:snapToGrid w:val="0"/>
                <w:szCs w:val="20"/>
              </w:rPr>
              <w:t>0.2523</w:t>
            </w:r>
          </w:p>
        </w:tc>
        <w:tc>
          <w:tcPr>
            <w:tcW w:w="864" w:type="pct"/>
            <w:tcBorders>
              <w:top w:val="single" w:sz="4" w:space="0" w:color="auto"/>
              <w:left w:val="single" w:sz="4" w:space="0" w:color="auto"/>
              <w:bottom w:val="single" w:sz="4" w:space="0" w:color="auto"/>
              <w:right w:val="single" w:sz="4" w:space="0" w:color="auto"/>
            </w:tcBorders>
          </w:tcPr>
          <w:p w14:paraId="1767D68F" w14:textId="77777777" w:rsidR="002A66BB" w:rsidRPr="00AD5A27" w:rsidRDefault="002A66BB">
            <w:pPr>
              <w:pStyle w:val="TableText0"/>
              <w:jc w:val="center"/>
            </w:pPr>
            <w:r w:rsidRPr="00AD5A27">
              <w:rPr>
                <w:snapToGrid w:val="0"/>
                <w:szCs w:val="20"/>
              </w:rPr>
              <w:t>−0.0322</w:t>
            </w:r>
          </w:p>
        </w:tc>
        <w:tc>
          <w:tcPr>
            <w:tcW w:w="63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9EEDF7" w14:textId="77777777" w:rsidR="002A66BB" w:rsidRPr="00AD5A27" w:rsidRDefault="002A66BB">
            <w:pPr>
              <w:pStyle w:val="TableText0"/>
              <w:jc w:val="center"/>
            </w:pPr>
            <w:r w:rsidRPr="00AD5A27">
              <w:t>31</w:t>
            </w:r>
          </w:p>
        </w:tc>
      </w:tr>
      <w:tr w:rsidR="0053697A" w:rsidRPr="00AD5A27" w14:paraId="6AE4CFD5" w14:textId="77777777" w:rsidTr="0053697A">
        <w:trPr>
          <w:cantSplit/>
        </w:trPr>
        <w:tc>
          <w:tcPr>
            <w:tcW w:w="5000" w:type="pct"/>
            <w:gridSpan w:val="5"/>
            <w:tcBorders>
              <w:top w:val="single" w:sz="4" w:space="0" w:color="auto"/>
              <w:left w:val="single" w:sz="4" w:space="0" w:color="auto"/>
              <w:bottom w:val="single" w:sz="4" w:space="0" w:color="auto"/>
              <w:right w:val="single" w:sz="4" w:space="0" w:color="auto"/>
            </w:tcBorders>
            <w:tcMar>
              <w:left w:w="57" w:type="dxa"/>
              <w:right w:w="57" w:type="dxa"/>
            </w:tcMar>
          </w:tcPr>
          <w:p w14:paraId="5FC6DBA2" w14:textId="1C7DE03F" w:rsidR="0053697A" w:rsidRPr="00AD5A27" w:rsidRDefault="0053697A" w:rsidP="0053697A">
            <w:pPr>
              <w:pStyle w:val="TableText0"/>
              <w:rPr>
                <w:b/>
                <w:bCs w:val="0"/>
              </w:rPr>
            </w:pPr>
            <w:r w:rsidRPr="00AD5A27">
              <w:rPr>
                <w:b/>
                <w:bCs w:val="0"/>
                <w:snapToGrid w:val="0"/>
                <w:szCs w:val="20"/>
              </w:rPr>
              <w:t>Chronic ocular complications, average number of events per patient over a lifetime time horizon</w:t>
            </w:r>
          </w:p>
        </w:tc>
      </w:tr>
      <w:tr w:rsidR="002A66BB" w:rsidRPr="00AD5A27" w14:paraId="62D0ADF1" w14:textId="77777777" w:rsidTr="0053697A">
        <w:trPr>
          <w:cantSplit/>
        </w:trPr>
        <w:tc>
          <w:tcPr>
            <w:tcW w:w="1696" w:type="pct"/>
            <w:tcBorders>
              <w:top w:val="single" w:sz="4" w:space="0" w:color="auto"/>
              <w:left w:val="single" w:sz="4" w:space="0" w:color="auto"/>
              <w:bottom w:val="single" w:sz="4" w:space="0" w:color="auto"/>
              <w:right w:val="single" w:sz="4" w:space="0" w:color="auto"/>
            </w:tcBorders>
            <w:tcMar>
              <w:left w:w="57" w:type="dxa"/>
              <w:right w:w="57" w:type="dxa"/>
            </w:tcMar>
          </w:tcPr>
          <w:p w14:paraId="6706137D" w14:textId="77777777" w:rsidR="002A66BB" w:rsidRPr="00AD5A27" w:rsidRDefault="002A66BB">
            <w:pPr>
              <w:pStyle w:val="TableText0"/>
            </w:pPr>
            <w:r w:rsidRPr="00AD5A27">
              <w:rPr>
                <w:snapToGrid w:val="0"/>
                <w:szCs w:val="20"/>
              </w:rPr>
              <w:t>Glaucoma</w:t>
            </w:r>
          </w:p>
        </w:tc>
        <w:tc>
          <w:tcPr>
            <w:tcW w:w="864" w:type="pct"/>
            <w:tcBorders>
              <w:top w:val="single" w:sz="4" w:space="0" w:color="auto"/>
              <w:left w:val="single" w:sz="4" w:space="0" w:color="auto"/>
              <w:bottom w:val="single" w:sz="4" w:space="0" w:color="auto"/>
              <w:right w:val="single" w:sz="4" w:space="0" w:color="auto"/>
            </w:tcBorders>
            <w:tcMar>
              <w:left w:w="57" w:type="dxa"/>
              <w:right w:w="57" w:type="dxa"/>
            </w:tcMar>
          </w:tcPr>
          <w:p w14:paraId="6F269F03" w14:textId="77777777" w:rsidR="002A66BB" w:rsidRPr="00AD5A27" w:rsidRDefault="002A66BB">
            <w:pPr>
              <w:pStyle w:val="TableText0"/>
              <w:jc w:val="center"/>
            </w:pPr>
            <w:r w:rsidRPr="00AD5A27">
              <w:rPr>
                <w:snapToGrid w:val="0"/>
                <w:szCs w:val="20"/>
              </w:rPr>
              <w:t>0.2369</w:t>
            </w:r>
          </w:p>
        </w:tc>
        <w:tc>
          <w:tcPr>
            <w:tcW w:w="943" w:type="pct"/>
            <w:tcBorders>
              <w:top w:val="single" w:sz="4" w:space="0" w:color="auto"/>
              <w:left w:val="single" w:sz="4" w:space="0" w:color="auto"/>
              <w:bottom w:val="single" w:sz="4" w:space="0" w:color="auto"/>
              <w:right w:val="single" w:sz="4" w:space="0" w:color="auto"/>
            </w:tcBorders>
            <w:tcMar>
              <w:left w:w="57" w:type="dxa"/>
              <w:right w:w="57" w:type="dxa"/>
            </w:tcMar>
          </w:tcPr>
          <w:p w14:paraId="37AF38EA" w14:textId="77777777" w:rsidR="002A66BB" w:rsidRPr="00AD5A27" w:rsidRDefault="002A66BB">
            <w:pPr>
              <w:pStyle w:val="TableText0"/>
              <w:jc w:val="center"/>
            </w:pPr>
            <w:r w:rsidRPr="00AD5A27">
              <w:rPr>
                <w:snapToGrid w:val="0"/>
                <w:szCs w:val="20"/>
              </w:rPr>
              <w:t>0.2991</w:t>
            </w:r>
          </w:p>
        </w:tc>
        <w:tc>
          <w:tcPr>
            <w:tcW w:w="864" w:type="pct"/>
            <w:tcBorders>
              <w:top w:val="single" w:sz="4" w:space="0" w:color="auto"/>
              <w:left w:val="single" w:sz="4" w:space="0" w:color="auto"/>
              <w:bottom w:val="single" w:sz="4" w:space="0" w:color="auto"/>
              <w:right w:val="single" w:sz="4" w:space="0" w:color="auto"/>
            </w:tcBorders>
          </w:tcPr>
          <w:p w14:paraId="5827488A" w14:textId="77777777" w:rsidR="002A66BB" w:rsidRPr="00AD5A27" w:rsidRDefault="002A66BB">
            <w:pPr>
              <w:pStyle w:val="TableText0"/>
              <w:jc w:val="center"/>
            </w:pPr>
            <w:r w:rsidRPr="00AD5A27">
              <w:rPr>
                <w:snapToGrid w:val="0"/>
                <w:szCs w:val="20"/>
              </w:rPr>
              <w:t>−0.0623</w:t>
            </w:r>
          </w:p>
        </w:tc>
        <w:tc>
          <w:tcPr>
            <w:tcW w:w="63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16C6AC" w14:textId="77777777" w:rsidR="002A66BB" w:rsidRPr="00AD5A27" w:rsidRDefault="002A66BB">
            <w:pPr>
              <w:pStyle w:val="TableText0"/>
              <w:jc w:val="center"/>
            </w:pPr>
            <w:r w:rsidRPr="00AD5A27">
              <w:t>16</w:t>
            </w:r>
          </w:p>
        </w:tc>
      </w:tr>
      <w:tr w:rsidR="002A66BB" w:rsidRPr="00AD5A27" w14:paraId="75D4CC53" w14:textId="77777777" w:rsidTr="0053697A">
        <w:trPr>
          <w:cantSplit/>
        </w:trPr>
        <w:tc>
          <w:tcPr>
            <w:tcW w:w="1696" w:type="pct"/>
            <w:tcBorders>
              <w:top w:val="single" w:sz="4" w:space="0" w:color="auto"/>
              <w:left w:val="single" w:sz="4" w:space="0" w:color="auto"/>
              <w:bottom w:val="single" w:sz="4" w:space="0" w:color="auto"/>
              <w:right w:val="single" w:sz="4" w:space="0" w:color="auto"/>
            </w:tcBorders>
            <w:tcMar>
              <w:left w:w="57" w:type="dxa"/>
              <w:right w:w="57" w:type="dxa"/>
            </w:tcMar>
          </w:tcPr>
          <w:p w14:paraId="7AADE152" w14:textId="77777777" w:rsidR="002A66BB" w:rsidRPr="00AD5A27" w:rsidRDefault="002A66BB">
            <w:pPr>
              <w:pStyle w:val="TableText0"/>
            </w:pPr>
            <w:r w:rsidRPr="00AD5A27">
              <w:rPr>
                <w:snapToGrid w:val="0"/>
                <w:szCs w:val="20"/>
              </w:rPr>
              <w:t>Retinal disorder</w:t>
            </w:r>
          </w:p>
        </w:tc>
        <w:tc>
          <w:tcPr>
            <w:tcW w:w="864" w:type="pct"/>
            <w:tcBorders>
              <w:top w:val="single" w:sz="4" w:space="0" w:color="auto"/>
              <w:left w:val="single" w:sz="4" w:space="0" w:color="auto"/>
              <w:bottom w:val="single" w:sz="4" w:space="0" w:color="auto"/>
              <w:right w:val="single" w:sz="4" w:space="0" w:color="auto"/>
            </w:tcBorders>
            <w:tcMar>
              <w:left w:w="57" w:type="dxa"/>
              <w:right w:w="57" w:type="dxa"/>
            </w:tcMar>
          </w:tcPr>
          <w:p w14:paraId="7BAA00C5" w14:textId="77777777" w:rsidR="002A66BB" w:rsidRPr="00AD5A27" w:rsidRDefault="002A66BB">
            <w:pPr>
              <w:pStyle w:val="TableText0"/>
              <w:jc w:val="center"/>
            </w:pPr>
            <w:r w:rsidRPr="00AD5A27">
              <w:rPr>
                <w:snapToGrid w:val="0"/>
                <w:szCs w:val="20"/>
              </w:rPr>
              <w:t>0.2791</w:t>
            </w:r>
          </w:p>
        </w:tc>
        <w:tc>
          <w:tcPr>
            <w:tcW w:w="943" w:type="pct"/>
            <w:tcBorders>
              <w:top w:val="single" w:sz="4" w:space="0" w:color="auto"/>
              <w:left w:val="single" w:sz="4" w:space="0" w:color="auto"/>
              <w:bottom w:val="single" w:sz="4" w:space="0" w:color="auto"/>
              <w:right w:val="single" w:sz="4" w:space="0" w:color="auto"/>
            </w:tcBorders>
            <w:tcMar>
              <w:left w:w="57" w:type="dxa"/>
              <w:right w:w="57" w:type="dxa"/>
            </w:tcMar>
          </w:tcPr>
          <w:p w14:paraId="43EC7AAE" w14:textId="77777777" w:rsidR="002A66BB" w:rsidRPr="00AD5A27" w:rsidRDefault="002A66BB">
            <w:pPr>
              <w:pStyle w:val="TableText0"/>
              <w:jc w:val="center"/>
            </w:pPr>
            <w:r w:rsidRPr="00AD5A27">
              <w:rPr>
                <w:snapToGrid w:val="0"/>
                <w:szCs w:val="20"/>
              </w:rPr>
              <w:t>0.3524</w:t>
            </w:r>
          </w:p>
        </w:tc>
        <w:tc>
          <w:tcPr>
            <w:tcW w:w="864" w:type="pct"/>
            <w:tcBorders>
              <w:top w:val="single" w:sz="4" w:space="0" w:color="auto"/>
              <w:left w:val="single" w:sz="4" w:space="0" w:color="auto"/>
              <w:bottom w:val="single" w:sz="4" w:space="0" w:color="auto"/>
              <w:right w:val="single" w:sz="4" w:space="0" w:color="auto"/>
            </w:tcBorders>
          </w:tcPr>
          <w:p w14:paraId="622B3B74" w14:textId="77777777" w:rsidR="002A66BB" w:rsidRPr="00AD5A27" w:rsidRDefault="002A66BB">
            <w:pPr>
              <w:pStyle w:val="TableText0"/>
              <w:jc w:val="center"/>
            </w:pPr>
            <w:r w:rsidRPr="00AD5A27">
              <w:rPr>
                <w:snapToGrid w:val="0"/>
                <w:szCs w:val="20"/>
              </w:rPr>
              <w:t>−0.0733</w:t>
            </w:r>
          </w:p>
        </w:tc>
        <w:tc>
          <w:tcPr>
            <w:tcW w:w="63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F94AD9A" w14:textId="77777777" w:rsidR="002A66BB" w:rsidRPr="00AD5A27" w:rsidRDefault="002A66BB">
            <w:pPr>
              <w:pStyle w:val="TableText0"/>
              <w:jc w:val="center"/>
            </w:pPr>
            <w:r w:rsidRPr="00AD5A27">
              <w:t>14</w:t>
            </w:r>
          </w:p>
        </w:tc>
      </w:tr>
      <w:tr w:rsidR="002A66BB" w:rsidRPr="00AD5A27" w14:paraId="18D69D96" w14:textId="77777777" w:rsidTr="0053697A">
        <w:trPr>
          <w:cantSplit/>
        </w:trPr>
        <w:tc>
          <w:tcPr>
            <w:tcW w:w="1696" w:type="pct"/>
            <w:tcBorders>
              <w:top w:val="single" w:sz="4" w:space="0" w:color="auto"/>
              <w:left w:val="single" w:sz="4" w:space="0" w:color="auto"/>
              <w:bottom w:val="single" w:sz="4" w:space="0" w:color="auto"/>
              <w:right w:val="single" w:sz="4" w:space="0" w:color="auto"/>
            </w:tcBorders>
            <w:tcMar>
              <w:left w:w="57" w:type="dxa"/>
              <w:right w:w="57" w:type="dxa"/>
            </w:tcMar>
          </w:tcPr>
          <w:p w14:paraId="7FAF951E" w14:textId="77777777" w:rsidR="002A66BB" w:rsidRPr="00AD5A27" w:rsidRDefault="002A66BB">
            <w:pPr>
              <w:pStyle w:val="TableText0"/>
            </w:pPr>
            <w:r w:rsidRPr="00AD5A27">
              <w:rPr>
                <w:snapToGrid w:val="0"/>
                <w:szCs w:val="20"/>
              </w:rPr>
              <w:t>Blindness</w:t>
            </w:r>
          </w:p>
        </w:tc>
        <w:tc>
          <w:tcPr>
            <w:tcW w:w="864" w:type="pct"/>
            <w:tcBorders>
              <w:top w:val="single" w:sz="4" w:space="0" w:color="auto"/>
              <w:left w:val="single" w:sz="4" w:space="0" w:color="auto"/>
              <w:bottom w:val="single" w:sz="4" w:space="0" w:color="auto"/>
              <w:right w:val="single" w:sz="4" w:space="0" w:color="auto"/>
            </w:tcBorders>
            <w:tcMar>
              <w:left w:w="57" w:type="dxa"/>
              <w:right w:w="57" w:type="dxa"/>
            </w:tcMar>
          </w:tcPr>
          <w:p w14:paraId="0DF8A19A" w14:textId="77777777" w:rsidR="002A66BB" w:rsidRPr="00AD5A27" w:rsidRDefault="002A66BB">
            <w:pPr>
              <w:pStyle w:val="TableText0"/>
              <w:jc w:val="center"/>
            </w:pPr>
            <w:r w:rsidRPr="00AD5A27">
              <w:rPr>
                <w:snapToGrid w:val="0"/>
                <w:szCs w:val="20"/>
              </w:rPr>
              <w:t>0.0130</w:t>
            </w:r>
          </w:p>
        </w:tc>
        <w:tc>
          <w:tcPr>
            <w:tcW w:w="943" w:type="pct"/>
            <w:tcBorders>
              <w:top w:val="single" w:sz="4" w:space="0" w:color="auto"/>
              <w:left w:val="single" w:sz="4" w:space="0" w:color="auto"/>
              <w:bottom w:val="single" w:sz="4" w:space="0" w:color="auto"/>
              <w:right w:val="single" w:sz="4" w:space="0" w:color="auto"/>
            </w:tcBorders>
            <w:tcMar>
              <w:left w:w="57" w:type="dxa"/>
              <w:right w:w="57" w:type="dxa"/>
            </w:tcMar>
          </w:tcPr>
          <w:p w14:paraId="165C549C" w14:textId="77777777" w:rsidR="002A66BB" w:rsidRPr="00AD5A27" w:rsidRDefault="002A66BB">
            <w:pPr>
              <w:pStyle w:val="TableText0"/>
              <w:jc w:val="center"/>
            </w:pPr>
            <w:r w:rsidRPr="00AD5A27">
              <w:rPr>
                <w:snapToGrid w:val="0"/>
                <w:szCs w:val="20"/>
              </w:rPr>
              <w:t>0.0164</w:t>
            </w:r>
          </w:p>
        </w:tc>
        <w:tc>
          <w:tcPr>
            <w:tcW w:w="864" w:type="pct"/>
            <w:tcBorders>
              <w:top w:val="single" w:sz="4" w:space="0" w:color="auto"/>
              <w:left w:val="single" w:sz="4" w:space="0" w:color="auto"/>
              <w:bottom w:val="single" w:sz="4" w:space="0" w:color="auto"/>
              <w:right w:val="single" w:sz="4" w:space="0" w:color="auto"/>
            </w:tcBorders>
          </w:tcPr>
          <w:p w14:paraId="6F2698F8" w14:textId="77777777" w:rsidR="002A66BB" w:rsidRPr="00AD5A27" w:rsidRDefault="002A66BB">
            <w:pPr>
              <w:pStyle w:val="TableText0"/>
              <w:jc w:val="center"/>
            </w:pPr>
            <w:r w:rsidRPr="00AD5A27">
              <w:rPr>
                <w:snapToGrid w:val="0"/>
                <w:szCs w:val="20"/>
              </w:rPr>
              <w:t>−0.0034</w:t>
            </w:r>
          </w:p>
        </w:tc>
        <w:tc>
          <w:tcPr>
            <w:tcW w:w="63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C75A0E" w14:textId="77777777" w:rsidR="002A66BB" w:rsidRPr="00AD5A27" w:rsidRDefault="002A66BB">
            <w:pPr>
              <w:pStyle w:val="TableText0"/>
              <w:jc w:val="center"/>
            </w:pPr>
            <w:r w:rsidRPr="00AD5A27">
              <w:t>291</w:t>
            </w:r>
          </w:p>
        </w:tc>
      </w:tr>
    </w:tbl>
    <w:p w14:paraId="7C683671" w14:textId="77777777" w:rsidR="002A66BB" w:rsidRPr="00AD5A27" w:rsidRDefault="002A66BB">
      <w:pPr>
        <w:pStyle w:val="FooterTableFigure"/>
      </w:pPr>
      <w:r w:rsidRPr="00AD5A27">
        <w:t>Source: Table 3-21, p188 of the resubmission.</w:t>
      </w:r>
    </w:p>
    <w:p w14:paraId="44FD7AAC" w14:textId="77777777" w:rsidR="002A66BB" w:rsidRPr="00AD5A27" w:rsidRDefault="002A66BB">
      <w:pPr>
        <w:pStyle w:val="FooterTableFigure"/>
      </w:pPr>
      <w:r w:rsidRPr="00AD5A27">
        <w:t>ADA = adalimumab; BSC = best supportive care; LY = life year; NNT = number needed to treat; OCS = oral corticosteroid; QALY = quality-adjusted life year.</w:t>
      </w:r>
    </w:p>
    <w:p w14:paraId="4B57E86F" w14:textId="4C861EE9" w:rsidR="002A66BB" w:rsidRPr="00AD5A27" w:rsidRDefault="002A66BB">
      <w:pPr>
        <w:pStyle w:val="3-BodyText"/>
      </w:pPr>
      <w:r w:rsidRPr="00AD5A27">
        <w:t>There was no change in life years gained</w:t>
      </w:r>
      <w:r w:rsidR="00C238C4" w:rsidRPr="00AD5A27">
        <w:t xml:space="preserve"> between treatment groups</w:t>
      </w:r>
      <w:r w:rsidRPr="00AD5A27">
        <w:t>, and so the QALYs gained were due to improvements in quality of life. The resubmission did not report QALYs disaggregated by health state.</w:t>
      </w:r>
    </w:p>
    <w:p w14:paraId="067CBCE6" w14:textId="6DC31DEC" w:rsidR="002A66BB" w:rsidRPr="00AD5A27" w:rsidRDefault="002A66BB" w:rsidP="00BB00B3">
      <w:pPr>
        <w:pStyle w:val="3-BodyText"/>
      </w:pPr>
      <w:r w:rsidRPr="00AD5A27">
        <w:fldChar w:fldCharType="begin" w:fldLock="1"/>
      </w:r>
      <w:r w:rsidRPr="00AD5A27">
        <w:instrText xml:space="preserve"> REF _Ref153184709 \h </w:instrText>
      </w:r>
      <w:r w:rsidR="003C063D" w:rsidRPr="00AD5A27">
        <w:instrText xml:space="preserve"> \* MERGEFORMAT </w:instrText>
      </w:r>
      <w:r w:rsidRPr="00AD5A27">
        <w:fldChar w:fldCharType="separate"/>
      </w:r>
      <w:r w:rsidR="00B510E9" w:rsidRPr="00AD5A27">
        <w:t>Table 12</w:t>
      </w:r>
      <w:r w:rsidRPr="00AD5A27">
        <w:fldChar w:fldCharType="end"/>
      </w:r>
      <w:r w:rsidRPr="00AD5A27">
        <w:t xml:space="preserve"> presents the key model drivers of the model</w:t>
      </w:r>
      <w:r w:rsidR="00AD5A27">
        <w:t xml:space="preserve">. </w:t>
      </w:r>
    </w:p>
    <w:p w14:paraId="7A677D79" w14:textId="7A5567A4" w:rsidR="002A66BB" w:rsidRPr="00AD5A27" w:rsidRDefault="002A66BB" w:rsidP="00E16AD8">
      <w:pPr>
        <w:pStyle w:val="Caption"/>
        <w:jc w:val="left"/>
        <w:rPr>
          <w:rStyle w:val="CommentReference"/>
          <w:b/>
          <w:szCs w:val="24"/>
        </w:rPr>
      </w:pPr>
      <w:bookmarkStart w:id="63" w:name="_Ref153184709"/>
      <w:r w:rsidRPr="00AD5A27">
        <w:t xml:space="preserve">Table </w:t>
      </w:r>
      <w:r w:rsidR="004050E4">
        <w:fldChar w:fldCharType="begin" w:fldLock="1"/>
      </w:r>
      <w:r w:rsidR="004050E4">
        <w:instrText xml:space="preserve"> SEQ Table \* ARABIC </w:instrText>
      </w:r>
      <w:r w:rsidR="004050E4">
        <w:fldChar w:fldCharType="separate"/>
      </w:r>
      <w:r w:rsidR="00B510E9" w:rsidRPr="00AD5A27">
        <w:t>12</w:t>
      </w:r>
      <w:r w:rsidR="004050E4">
        <w:fldChar w:fldCharType="end"/>
      </w:r>
      <w:bookmarkEnd w:id="63"/>
      <w:r w:rsidRPr="00AD5A27">
        <w:rPr>
          <w:rStyle w:val="CommentReference"/>
          <w:b/>
          <w:szCs w:val="24"/>
        </w:rPr>
        <w:t>: Key drivers of the model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Key drivers of the model in the resubmission"/>
      </w:tblPr>
      <w:tblGrid>
        <w:gridCol w:w="1555"/>
        <w:gridCol w:w="2833"/>
        <w:gridCol w:w="4629"/>
      </w:tblGrid>
      <w:tr w:rsidR="002A66BB" w:rsidRPr="00AD5A27" w14:paraId="5A9FEB41" w14:textId="77777777">
        <w:trPr>
          <w:tblHeader/>
        </w:trPr>
        <w:tc>
          <w:tcPr>
            <w:tcW w:w="862" w:type="pct"/>
            <w:shd w:val="clear" w:color="auto" w:fill="auto"/>
            <w:vAlign w:val="center"/>
          </w:tcPr>
          <w:p w14:paraId="6F457474" w14:textId="77777777" w:rsidR="002A66BB" w:rsidRPr="00AD5A27" w:rsidRDefault="002A66BB" w:rsidP="009B08AC">
            <w:pPr>
              <w:pStyle w:val="In-tableHeading"/>
              <w:jc w:val="center"/>
              <w:rPr>
                <w:lang w:val="en-AU"/>
              </w:rPr>
            </w:pPr>
            <w:r w:rsidRPr="00AD5A27">
              <w:rPr>
                <w:lang w:val="en-AU"/>
              </w:rPr>
              <w:t>Description</w:t>
            </w:r>
          </w:p>
        </w:tc>
        <w:tc>
          <w:tcPr>
            <w:tcW w:w="1571" w:type="pct"/>
            <w:shd w:val="clear" w:color="auto" w:fill="auto"/>
            <w:vAlign w:val="center"/>
          </w:tcPr>
          <w:p w14:paraId="56917CC0" w14:textId="77777777" w:rsidR="002A66BB" w:rsidRPr="00AD5A27" w:rsidRDefault="002A66BB" w:rsidP="000A7453">
            <w:pPr>
              <w:pStyle w:val="In-tableHeading"/>
              <w:jc w:val="center"/>
              <w:rPr>
                <w:lang w:val="en-AU"/>
              </w:rPr>
            </w:pPr>
            <w:r w:rsidRPr="00AD5A27">
              <w:rPr>
                <w:lang w:val="en-AU"/>
              </w:rPr>
              <w:t>Method/Value</w:t>
            </w:r>
          </w:p>
        </w:tc>
        <w:tc>
          <w:tcPr>
            <w:tcW w:w="2566" w:type="pct"/>
            <w:shd w:val="clear" w:color="auto" w:fill="auto"/>
            <w:vAlign w:val="center"/>
          </w:tcPr>
          <w:p w14:paraId="266BC045" w14:textId="77777777" w:rsidR="002A66BB" w:rsidRPr="00AD5A27" w:rsidRDefault="002A66BB" w:rsidP="000A7453">
            <w:pPr>
              <w:pStyle w:val="In-tableHeading"/>
              <w:jc w:val="center"/>
              <w:rPr>
                <w:lang w:val="en-AU"/>
              </w:rPr>
            </w:pPr>
            <w:r w:rsidRPr="00AD5A27">
              <w:rPr>
                <w:lang w:val="en-AU"/>
              </w:rPr>
              <w:t>Impact</w:t>
            </w:r>
          </w:p>
          <w:p w14:paraId="0EBBEDD6" w14:textId="682A816F" w:rsidR="002A66BB" w:rsidRPr="00AD5A27" w:rsidRDefault="002A66BB" w:rsidP="000A7453">
            <w:pPr>
              <w:pStyle w:val="In-tableHeading"/>
              <w:jc w:val="center"/>
              <w:rPr>
                <w:lang w:val="en-AU"/>
              </w:rPr>
            </w:pPr>
            <w:r w:rsidRPr="00AD5A27">
              <w:rPr>
                <w:rFonts w:cs="Arial"/>
                <w:szCs w:val="20"/>
                <w:lang w:val="en-AU"/>
              </w:rPr>
              <w:t xml:space="preserve">Base case: </w:t>
            </w:r>
            <w:r w:rsidR="00860BB2" w:rsidRPr="00860BB2">
              <w:rPr>
                <w:rFonts w:cs="Arial"/>
                <w:color w:val="000000"/>
                <w:szCs w:val="20"/>
                <w:shd w:val="solid" w:color="000000" w:fill="000000"/>
                <w:lang w:val="en-AU"/>
                <w14:textFill>
                  <w14:solidFill>
                    <w14:srgbClr w14:val="000000">
                      <w14:alpha w14:val="100000"/>
                    </w14:srgbClr>
                  </w14:solidFill>
                </w14:textFill>
              </w:rPr>
              <w:t>|</w:t>
            </w:r>
            <w:r w:rsidR="00A015EC">
              <w:rPr>
                <w:rFonts w:cs="Arial"/>
                <w:szCs w:val="20"/>
                <w:vertAlign w:val="superscript"/>
                <w:lang w:val="en-AU"/>
              </w:rPr>
              <w:t>1</w:t>
            </w:r>
            <w:r w:rsidRPr="00AD5A27">
              <w:rPr>
                <w:rFonts w:cs="Arial"/>
                <w:szCs w:val="20"/>
                <w:lang w:val="en-AU"/>
              </w:rPr>
              <w:t>/QALY gained</w:t>
            </w:r>
          </w:p>
        </w:tc>
      </w:tr>
      <w:tr w:rsidR="002A66BB" w:rsidRPr="00AD5A27" w14:paraId="1393A4A0" w14:textId="77777777">
        <w:tc>
          <w:tcPr>
            <w:tcW w:w="862" w:type="pct"/>
            <w:shd w:val="clear" w:color="auto" w:fill="auto"/>
            <w:vAlign w:val="center"/>
          </w:tcPr>
          <w:p w14:paraId="44110583" w14:textId="77777777" w:rsidR="002A66BB" w:rsidRPr="00AD5A27" w:rsidRDefault="002A66BB" w:rsidP="00C127B9">
            <w:pPr>
              <w:pStyle w:val="TableText0"/>
            </w:pPr>
            <w:r w:rsidRPr="00AD5A27">
              <w:t>Time horizon</w:t>
            </w:r>
          </w:p>
        </w:tc>
        <w:tc>
          <w:tcPr>
            <w:tcW w:w="1571" w:type="pct"/>
            <w:shd w:val="clear" w:color="auto" w:fill="auto"/>
            <w:vAlign w:val="center"/>
          </w:tcPr>
          <w:p w14:paraId="5C0D57D1" w14:textId="57361EDC" w:rsidR="002A66BB" w:rsidRPr="00AD5A27" w:rsidRDefault="002A66BB" w:rsidP="00BB00B3">
            <w:pPr>
              <w:pStyle w:val="TableText0"/>
            </w:pPr>
            <w:r w:rsidRPr="00AD5A27">
              <w:t>Lifetime (model duration 57 years based on entry age of 43 years and up to a maximum of 100 years of age)</w:t>
            </w:r>
            <w:r w:rsidR="005357CC" w:rsidRPr="00AD5A27">
              <w:t>.</w:t>
            </w:r>
          </w:p>
        </w:tc>
        <w:tc>
          <w:tcPr>
            <w:tcW w:w="2566" w:type="pct"/>
            <w:shd w:val="clear" w:color="auto" w:fill="auto"/>
            <w:vAlign w:val="center"/>
          </w:tcPr>
          <w:p w14:paraId="06EED5FB" w14:textId="2A598579" w:rsidR="002A66BB" w:rsidRPr="00AD5A27" w:rsidRDefault="002A66BB" w:rsidP="008D743C">
            <w:pPr>
              <w:pStyle w:val="TableText0"/>
            </w:pPr>
            <w:r w:rsidRPr="00AD5A27">
              <w:t>High. A longer model duration favours adalimumab. Using a 10-year time horizon</w:t>
            </w:r>
            <w:r w:rsidR="00E155EB" w:rsidRPr="00AD5A27">
              <w:t>, that was previously suggested by the PBAC,</w:t>
            </w:r>
            <w:r w:rsidRPr="00AD5A27">
              <w:t xml:space="preserve"> increased the ICER to </w:t>
            </w:r>
            <w:r w:rsidR="00860BB2" w:rsidRPr="00860BB2">
              <w:rPr>
                <w:color w:val="000000"/>
                <w:spacing w:val="55"/>
                <w:shd w:val="solid" w:color="000000" w:fill="000000"/>
                <w:fitText w:val="338" w:id="-961901303"/>
                <w14:textFill>
                  <w14:solidFill>
                    <w14:srgbClr w14:val="000000">
                      <w14:alpha w14:val="100000"/>
                    </w14:srgbClr>
                  </w14:solidFill>
                </w14:textFill>
              </w:rPr>
              <w:t>|||</w:t>
            </w:r>
            <w:r w:rsidR="00860BB2" w:rsidRPr="00860BB2">
              <w:rPr>
                <w:color w:val="000000"/>
                <w:spacing w:val="3"/>
                <w:shd w:val="solid" w:color="000000" w:fill="000000"/>
                <w:fitText w:val="338" w:id="-961901303"/>
                <w14:textFill>
                  <w14:solidFill>
                    <w14:srgbClr w14:val="000000">
                      <w14:alpha w14:val="100000"/>
                    </w14:srgbClr>
                  </w14:solidFill>
                </w14:textFill>
              </w:rPr>
              <w:t>|</w:t>
            </w:r>
            <w:r w:rsidR="00A015EC">
              <w:rPr>
                <w:vertAlign w:val="superscript"/>
              </w:rPr>
              <w:t>2</w:t>
            </w:r>
            <w:r w:rsidRPr="00AD5A27">
              <w:t xml:space="preserve">/QALY gained. </w:t>
            </w:r>
          </w:p>
        </w:tc>
      </w:tr>
      <w:tr w:rsidR="002A66BB" w:rsidRPr="00AD5A27" w14:paraId="664B16DF" w14:textId="77777777">
        <w:tc>
          <w:tcPr>
            <w:tcW w:w="862" w:type="pct"/>
            <w:shd w:val="clear" w:color="auto" w:fill="auto"/>
            <w:vAlign w:val="center"/>
          </w:tcPr>
          <w:p w14:paraId="221F4892" w14:textId="77777777" w:rsidR="002A66BB" w:rsidRPr="00AD5A27" w:rsidRDefault="002A66BB" w:rsidP="00C127B9">
            <w:pPr>
              <w:pStyle w:val="TableText0"/>
            </w:pPr>
            <w:r w:rsidRPr="00AD5A27">
              <w:t>Treatment effect of adalimumab on the risk of ocular complications</w:t>
            </w:r>
          </w:p>
        </w:tc>
        <w:tc>
          <w:tcPr>
            <w:tcW w:w="1571" w:type="pct"/>
            <w:shd w:val="clear" w:color="auto" w:fill="auto"/>
            <w:vAlign w:val="center"/>
          </w:tcPr>
          <w:p w14:paraId="252FD698" w14:textId="44E41798" w:rsidR="002A66BB" w:rsidRPr="00AD5A27" w:rsidRDefault="002A66BB" w:rsidP="00BB00B3">
            <w:pPr>
              <w:pStyle w:val="TableText0"/>
            </w:pPr>
            <w:r w:rsidRPr="00AD5A27">
              <w:t xml:space="preserve">Risk of flares (HR= 0.53, 95% CI 0.41-0.68), pooled estimate taken from the VISUAL I and II trials and applied a 1:1 relationship (linkage coefficient 1) to the risk of ocular complication in model. </w:t>
            </w:r>
          </w:p>
        </w:tc>
        <w:tc>
          <w:tcPr>
            <w:tcW w:w="2566" w:type="pct"/>
            <w:shd w:val="clear" w:color="auto" w:fill="auto"/>
            <w:vAlign w:val="center"/>
          </w:tcPr>
          <w:p w14:paraId="3748389F" w14:textId="77777777" w:rsidR="002A66BB" w:rsidRPr="00AD5A27" w:rsidRDefault="002A66BB" w:rsidP="008D743C">
            <w:pPr>
              <w:pStyle w:val="TableText0"/>
            </w:pPr>
            <w:r w:rsidRPr="00AD5A27">
              <w:t xml:space="preserve">High. A greater reduction in risk of flares for adalimumab and/or assuming a stronger linking relationship between risk of flares and ocular complications favours adalimumab. </w:t>
            </w:r>
          </w:p>
          <w:p w14:paraId="68B0F677" w14:textId="29B74CE5" w:rsidR="002A66BB" w:rsidRPr="00AD5A27" w:rsidRDefault="002A66BB" w:rsidP="005B3215">
            <w:pPr>
              <w:pStyle w:val="TableText0"/>
              <w:numPr>
                <w:ilvl w:val="0"/>
                <w:numId w:val="8"/>
              </w:numPr>
            </w:pPr>
            <w:r w:rsidRPr="00AD5A27">
              <w:t>Using the</w:t>
            </w:r>
            <w:r w:rsidR="00F14BB1" w:rsidRPr="00AD5A27">
              <w:t xml:space="preserve"> upper bound of the</w:t>
            </w:r>
            <w:r w:rsidRPr="00AD5A27">
              <w:t xml:space="preserve"> 95% CI of the pooled HR increased the ICER to </w:t>
            </w:r>
            <w:r w:rsidR="00860BB2" w:rsidRPr="00860BB2">
              <w:rPr>
                <w:color w:val="000000"/>
                <w:shd w:val="solid" w:color="000000" w:fill="000000"/>
                <w14:textFill>
                  <w14:solidFill>
                    <w14:srgbClr w14:val="000000">
                      <w14:alpha w14:val="100000"/>
                    </w14:srgbClr>
                  </w14:solidFill>
                </w14:textFill>
              </w:rPr>
              <w:t>|</w:t>
            </w:r>
            <w:r w:rsidR="00A015EC">
              <w:rPr>
                <w:vertAlign w:val="superscript"/>
              </w:rPr>
              <w:t>3</w:t>
            </w:r>
            <w:r w:rsidRPr="00AD5A27">
              <w:t>/QALY gained.</w:t>
            </w:r>
            <w:r w:rsidRPr="00AD5A27">
              <w:rPr>
                <w:rFonts w:cs="Arial"/>
                <w:color w:val="3366FF"/>
              </w:rPr>
              <w:t xml:space="preserve"> </w:t>
            </w:r>
          </w:p>
          <w:p w14:paraId="67EC10BD" w14:textId="2681A180" w:rsidR="002A66BB" w:rsidRPr="00AD5A27" w:rsidRDefault="002A66BB" w:rsidP="005B3215">
            <w:pPr>
              <w:pStyle w:val="TableText0"/>
              <w:numPr>
                <w:ilvl w:val="0"/>
                <w:numId w:val="8"/>
              </w:numPr>
            </w:pPr>
            <w:r w:rsidRPr="00AD5A27">
              <w:rPr>
                <w:rFonts w:cs="Arial"/>
                <w:color w:val="000000" w:themeColor="text1"/>
              </w:rPr>
              <w:t xml:space="preserve">Lowering the linkage coefficient to 0.85 increased the ICER to </w:t>
            </w:r>
            <w:r w:rsidR="00860BB2" w:rsidRPr="00860BB2">
              <w:rPr>
                <w:rFonts w:cs="Arial"/>
                <w:color w:val="000000" w:themeColor="text1"/>
                <w:shd w:val="solid" w:color="000000" w:fill="000000"/>
                <w14:textFill>
                  <w14:solidFill>
                    <w14:schemeClr w14:val="tx1">
                      <w14:alpha w14:val="100000"/>
                    </w14:schemeClr>
                  </w14:solidFill>
                </w14:textFill>
              </w:rPr>
              <w:t>|</w:t>
            </w:r>
            <w:r w:rsidR="00A015EC">
              <w:rPr>
                <w:rFonts w:cs="Arial"/>
                <w:color w:val="000000" w:themeColor="text1"/>
                <w:vertAlign w:val="superscript"/>
              </w:rPr>
              <w:t>4</w:t>
            </w:r>
            <w:r w:rsidRPr="00AD5A27">
              <w:rPr>
                <w:rFonts w:cs="Arial"/>
                <w:color w:val="000000" w:themeColor="text1"/>
              </w:rPr>
              <w:t xml:space="preserve">/QALY gained. </w:t>
            </w:r>
          </w:p>
        </w:tc>
      </w:tr>
      <w:tr w:rsidR="002A66BB" w:rsidRPr="00AD5A27" w14:paraId="3C4C1516" w14:textId="77777777">
        <w:tc>
          <w:tcPr>
            <w:tcW w:w="862" w:type="pct"/>
            <w:shd w:val="clear" w:color="auto" w:fill="auto"/>
            <w:vAlign w:val="center"/>
          </w:tcPr>
          <w:p w14:paraId="69B95EA6" w14:textId="77777777" w:rsidR="002A66BB" w:rsidRPr="00AD5A27" w:rsidRDefault="002A66BB" w:rsidP="00C127B9">
            <w:pPr>
              <w:pStyle w:val="TableText0"/>
            </w:pPr>
            <w:r w:rsidRPr="00AD5A27">
              <w:t xml:space="preserve">Maximum disease duration </w:t>
            </w:r>
          </w:p>
        </w:tc>
        <w:tc>
          <w:tcPr>
            <w:tcW w:w="1571" w:type="pct"/>
            <w:shd w:val="clear" w:color="auto" w:fill="auto"/>
            <w:vAlign w:val="center"/>
          </w:tcPr>
          <w:p w14:paraId="0770E6E4" w14:textId="77777777" w:rsidR="002A66BB" w:rsidRPr="00AD5A27" w:rsidRDefault="002A66BB" w:rsidP="00BB00B3">
            <w:pPr>
              <w:pStyle w:val="TableText0"/>
            </w:pPr>
            <w:r w:rsidRPr="00AD5A27">
              <w:t>Five years</w:t>
            </w:r>
          </w:p>
        </w:tc>
        <w:tc>
          <w:tcPr>
            <w:tcW w:w="2566" w:type="pct"/>
            <w:shd w:val="clear" w:color="auto" w:fill="auto"/>
            <w:vAlign w:val="center"/>
          </w:tcPr>
          <w:p w14:paraId="1156717A" w14:textId="4680EE3E" w:rsidR="002A66BB" w:rsidRPr="00AD5A27" w:rsidRDefault="002A66BB" w:rsidP="008D743C">
            <w:pPr>
              <w:pStyle w:val="TableText0"/>
            </w:pPr>
            <w:r w:rsidRPr="00AD5A27">
              <w:t xml:space="preserve">Moderate. A shorter disease duration favours adalimumab (earlier transitioning to remission state, avoiding ocular complications). </w:t>
            </w:r>
            <w:r w:rsidR="00A726E4" w:rsidRPr="00AD5A27">
              <w:t>Assuming</w:t>
            </w:r>
            <w:r w:rsidRPr="00AD5A27">
              <w:t xml:space="preserve"> no maximum </w:t>
            </w:r>
            <w:r w:rsidR="00A726E4" w:rsidRPr="00AD5A27">
              <w:t xml:space="preserve">duration </w:t>
            </w:r>
            <w:r w:rsidRPr="00AD5A27">
              <w:t xml:space="preserve">increased the ICER to </w:t>
            </w:r>
            <w:r w:rsidR="00860BB2" w:rsidRPr="00860BB2">
              <w:rPr>
                <w:color w:val="000000"/>
                <w:spacing w:val="51"/>
                <w:shd w:val="solid" w:color="000000" w:fill="000000"/>
                <w:fitText w:val="326" w:id="-961901302"/>
                <w14:textFill>
                  <w14:solidFill>
                    <w14:srgbClr w14:val="000000">
                      <w14:alpha w14:val="100000"/>
                    </w14:srgbClr>
                  </w14:solidFill>
                </w14:textFill>
              </w:rPr>
              <w:t>|||</w:t>
            </w:r>
            <w:r w:rsidR="00860BB2" w:rsidRPr="00860BB2">
              <w:rPr>
                <w:color w:val="000000"/>
                <w:spacing w:val="3"/>
                <w:shd w:val="solid" w:color="000000" w:fill="000000"/>
                <w:fitText w:val="326" w:id="-961901302"/>
                <w14:textFill>
                  <w14:solidFill>
                    <w14:srgbClr w14:val="000000">
                      <w14:alpha w14:val="100000"/>
                    </w14:srgbClr>
                  </w14:solidFill>
                </w14:textFill>
              </w:rPr>
              <w:t>|</w:t>
            </w:r>
            <w:r w:rsidR="00A015EC">
              <w:rPr>
                <w:vertAlign w:val="superscript"/>
              </w:rPr>
              <w:t>5</w:t>
            </w:r>
            <w:r w:rsidRPr="00AD5A27">
              <w:t>/QALY gained.</w:t>
            </w:r>
          </w:p>
        </w:tc>
      </w:tr>
    </w:tbl>
    <w:p w14:paraId="4DD1B692" w14:textId="77777777" w:rsidR="002A66BB" w:rsidRPr="00AD5A27" w:rsidRDefault="002A66BB" w:rsidP="00BB00B3">
      <w:pPr>
        <w:pStyle w:val="FooterTableFigure"/>
      </w:pPr>
      <w:r w:rsidRPr="00AD5A27">
        <w:t>Source: p189 of the resubmission.</w:t>
      </w:r>
    </w:p>
    <w:p w14:paraId="0155E71E" w14:textId="77777777" w:rsidR="002A66BB" w:rsidRDefault="002A66BB" w:rsidP="00015FF3">
      <w:pPr>
        <w:pStyle w:val="FooterTableFigure"/>
        <w:spacing w:after="0"/>
      </w:pPr>
      <w:r w:rsidRPr="00AD5A27">
        <w:t>CI = Confidence Interval; HR = hazard ratio; ICER = incremental cost-effectiveness ratio; QALY = quality-adjusted life year.</w:t>
      </w:r>
    </w:p>
    <w:p w14:paraId="15F8755F" w14:textId="77777777" w:rsidR="00A015EC" w:rsidRPr="009A6D58" w:rsidRDefault="00A015EC" w:rsidP="00A015EC">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7BB7016" w14:textId="0BC959C1" w:rsidR="00A015EC" w:rsidRPr="009A6D58" w:rsidRDefault="00A015EC" w:rsidP="00A015EC">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A015EC">
        <w:rPr>
          <w:rFonts w:ascii="Arial Narrow" w:hAnsi="Arial Narrow"/>
          <w:i/>
          <w:sz w:val="18"/>
          <w:szCs w:val="18"/>
        </w:rPr>
        <w:t>$25,000 to &lt; $35,000</w:t>
      </w:r>
    </w:p>
    <w:p w14:paraId="6CC7ED22" w14:textId="70F50F42" w:rsidR="00A015EC" w:rsidRPr="009A6D58" w:rsidRDefault="00A015EC" w:rsidP="00A015EC">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A015EC">
        <w:rPr>
          <w:rFonts w:ascii="Arial Narrow" w:hAnsi="Arial Narrow"/>
          <w:i/>
          <w:sz w:val="18"/>
          <w:szCs w:val="18"/>
        </w:rPr>
        <w:t>115,000 to &lt; $135,000</w:t>
      </w:r>
    </w:p>
    <w:p w14:paraId="4CE115FB" w14:textId="70E034BC" w:rsidR="00A015EC" w:rsidRDefault="00A015EC" w:rsidP="00A015EC">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A015EC">
        <w:rPr>
          <w:rFonts w:ascii="Arial Narrow" w:hAnsi="Arial Narrow"/>
          <w:i/>
          <w:sz w:val="18"/>
          <w:szCs w:val="18"/>
        </w:rPr>
        <w:t>$75,000 to &lt; $95,000</w:t>
      </w:r>
    </w:p>
    <w:p w14:paraId="721515EC" w14:textId="0B730772" w:rsidR="00A015EC" w:rsidRDefault="00A015EC" w:rsidP="00A015EC">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A015EC">
        <w:rPr>
          <w:rFonts w:ascii="Arial Narrow" w:hAnsi="Arial Narrow"/>
          <w:i/>
          <w:sz w:val="18"/>
          <w:szCs w:val="18"/>
        </w:rPr>
        <w:t>$45,000 to &lt; $55,000</w:t>
      </w:r>
    </w:p>
    <w:p w14:paraId="3B05841E" w14:textId="43F011BE" w:rsidR="00A015EC" w:rsidRPr="00AD5A27" w:rsidRDefault="00A015EC" w:rsidP="00015FF3">
      <w:pPr>
        <w:spacing w:after="120"/>
      </w:pPr>
      <w:r>
        <w:rPr>
          <w:rFonts w:ascii="Arial Narrow" w:hAnsi="Arial Narrow"/>
          <w:i/>
          <w:sz w:val="18"/>
          <w:szCs w:val="18"/>
          <w:vertAlign w:val="superscript"/>
        </w:rPr>
        <w:t>5</w:t>
      </w:r>
      <w:r>
        <w:rPr>
          <w:rFonts w:ascii="Arial Narrow" w:hAnsi="Arial Narrow"/>
          <w:i/>
          <w:sz w:val="18"/>
          <w:szCs w:val="18"/>
        </w:rPr>
        <w:t xml:space="preserve"> </w:t>
      </w:r>
      <w:r w:rsidRPr="00A015EC">
        <w:rPr>
          <w:rFonts w:ascii="Arial Narrow" w:hAnsi="Arial Narrow"/>
          <w:i/>
          <w:sz w:val="18"/>
          <w:szCs w:val="18"/>
        </w:rPr>
        <w:t>$55,000 to &lt; $75,000</w:t>
      </w:r>
    </w:p>
    <w:p w14:paraId="507B89C3" w14:textId="3E7A4758" w:rsidR="002A66BB" w:rsidRPr="00AD5A27" w:rsidRDefault="002A66BB">
      <w:pPr>
        <w:pStyle w:val="3-BodyText"/>
      </w:pPr>
      <w:r w:rsidRPr="00AD5A27">
        <w:fldChar w:fldCharType="begin" w:fldLock="1"/>
      </w:r>
      <w:r w:rsidRPr="00AD5A27">
        <w:instrText xml:space="preserve"> REF _Ref153196635 \h </w:instrText>
      </w:r>
      <w:r w:rsidR="003C063D" w:rsidRPr="00AD5A27">
        <w:instrText xml:space="preserve"> \* MERGEFORMAT </w:instrText>
      </w:r>
      <w:r w:rsidRPr="00AD5A27">
        <w:fldChar w:fldCharType="separate"/>
      </w:r>
      <w:r w:rsidR="00B510E9" w:rsidRPr="00AD5A27">
        <w:t>Table 13</w:t>
      </w:r>
      <w:r w:rsidRPr="00AD5A27">
        <w:fldChar w:fldCharType="end"/>
      </w:r>
      <w:r w:rsidRPr="00AD5A27">
        <w:t xml:space="preserve"> presents the results of the stepped economic evaluation in the resubmission.</w:t>
      </w:r>
    </w:p>
    <w:p w14:paraId="2E60D1FC" w14:textId="6BE57419" w:rsidR="002A66BB" w:rsidRPr="00AD5A27" w:rsidRDefault="002A66BB">
      <w:pPr>
        <w:jc w:val="left"/>
        <w:rPr>
          <w:rFonts w:ascii="Arial Narrow" w:hAnsi="Arial Narrow"/>
          <w:b/>
          <w:bCs/>
          <w:sz w:val="20"/>
          <w:szCs w:val="18"/>
        </w:rPr>
      </w:pPr>
      <w:bookmarkStart w:id="64" w:name="_Ref104805160"/>
    </w:p>
    <w:p w14:paraId="536489B6" w14:textId="0A02E814" w:rsidR="002A66BB" w:rsidRPr="00AD5A27" w:rsidRDefault="002A66BB">
      <w:pPr>
        <w:pStyle w:val="Caption"/>
      </w:pPr>
      <w:bookmarkStart w:id="65" w:name="_Ref153196635"/>
      <w:r w:rsidRPr="00AD5A27">
        <w:lastRenderedPageBreak/>
        <w:t xml:space="preserve">Table </w:t>
      </w:r>
      <w:r w:rsidR="004050E4">
        <w:fldChar w:fldCharType="begin" w:fldLock="1"/>
      </w:r>
      <w:r w:rsidR="004050E4">
        <w:instrText xml:space="preserve"> SEQ Table </w:instrText>
      </w:r>
      <w:r w:rsidR="004050E4">
        <w:instrText xml:space="preserve">\* ARABIC </w:instrText>
      </w:r>
      <w:r w:rsidR="004050E4">
        <w:fldChar w:fldCharType="separate"/>
      </w:r>
      <w:r w:rsidR="00B510E9" w:rsidRPr="00AD5A27">
        <w:t>13</w:t>
      </w:r>
      <w:r w:rsidR="004050E4">
        <w:fldChar w:fldCharType="end"/>
      </w:r>
      <w:bookmarkEnd w:id="64"/>
      <w:bookmarkEnd w:id="65"/>
      <w:r w:rsidRPr="00AD5A27">
        <w:t>: Results of the stepped economic evaluation in the resubmission</w:t>
      </w:r>
    </w:p>
    <w:tbl>
      <w:tblPr>
        <w:tblW w:w="5018"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Results of the stepped economic evaluation in the resubmission"/>
      </w:tblPr>
      <w:tblGrid>
        <w:gridCol w:w="4564"/>
        <w:gridCol w:w="1560"/>
        <w:gridCol w:w="1417"/>
        <w:gridCol w:w="1508"/>
      </w:tblGrid>
      <w:tr w:rsidR="002A66BB" w:rsidRPr="00AD5A27" w14:paraId="0DC26C81" w14:textId="77777777" w:rsidTr="006C24C0">
        <w:trPr>
          <w:tblHeader/>
        </w:trPr>
        <w:tc>
          <w:tcPr>
            <w:tcW w:w="2522" w:type="pct"/>
            <w:vAlign w:val="center"/>
          </w:tcPr>
          <w:p w14:paraId="5303EACD" w14:textId="2AEEB71B" w:rsidR="002A66BB" w:rsidRPr="00AD5A27" w:rsidRDefault="002A66BB">
            <w:pPr>
              <w:pStyle w:val="In-tableHeading"/>
              <w:keepNext w:val="0"/>
              <w:rPr>
                <w:lang w:val="en-AU"/>
              </w:rPr>
            </w:pPr>
            <w:r w:rsidRPr="00AD5A27">
              <w:rPr>
                <w:lang w:val="en-AU"/>
              </w:rPr>
              <w:t>Step and component</w:t>
            </w:r>
          </w:p>
        </w:tc>
        <w:tc>
          <w:tcPr>
            <w:tcW w:w="862" w:type="pct"/>
            <w:vAlign w:val="center"/>
          </w:tcPr>
          <w:p w14:paraId="58539296" w14:textId="77777777" w:rsidR="002A66BB" w:rsidRPr="00AD5A27" w:rsidRDefault="002A66BB">
            <w:pPr>
              <w:pStyle w:val="In-tableHeading"/>
              <w:keepNext w:val="0"/>
              <w:jc w:val="center"/>
              <w:rPr>
                <w:lang w:val="en-AU"/>
              </w:rPr>
            </w:pPr>
            <w:r w:rsidRPr="00AD5A27">
              <w:rPr>
                <w:lang w:val="en-AU"/>
              </w:rPr>
              <w:t>ADA (± OCS)</w:t>
            </w:r>
          </w:p>
        </w:tc>
        <w:tc>
          <w:tcPr>
            <w:tcW w:w="783" w:type="pct"/>
            <w:vAlign w:val="center"/>
          </w:tcPr>
          <w:p w14:paraId="192B75B6" w14:textId="77777777" w:rsidR="002A66BB" w:rsidRPr="00AD5A27" w:rsidRDefault="002A66BB">
            <w:pPr>
              <w:pStyle w:val="In-tableHeading"/>
              <w:keepNext w:val="0"/>
              <w:jc w:val="center"/>
              <w:rPr>
                <w:lang w:val="en-AU"/>
              </w:rPr>
            </w:pPr>
            <w:r w:rsidRPr="00AD5A27">
              <w:rPr>
                <w:lang w:val="en-AU"/>
              </w:rPr>
              <w:t>BSC (± OCS)</w:t>
            </w:r>
          </w:p>
        </w:tc>
        <w:tc>
          <w:tcPr>
            <w:tcW w:w="833" w:type="pct"/>
            <w:vAlign w:val="center"/>
          </w:tcPr>
          <w:p w14:paraId="334F8C34" w14:textId="77777777" w:rsidR="002A66BB" w:rsidRPr="00AD5A27" w:rsidRDefault="002A66BB">
            <w:pPr>
              <w:pStyle w:val="In-tableHeading"/>
              <w:keepNext w:val="0"/>
              <w:jc w:val="center"/>
              <w:rPr>
                <w:lang w:val="en-AU"/>
              </w:rPr>
            </w:pPr>
            <w:r w:rsidRPr="00AD5A27">
              <w:rPr>
                <w:lang w:val="en-AU"/>
              </w:rPr>
              <w:t>Increment</w:t>
            </w:r>
          </w:p>
        </w:tc>
      </w:tr>
      <w:tr w:rsidR="002A66BB" w:rsidRPr="00AD5A27" w14:paraId="20D70039" w14:textId="77777777" w:rsidTr="006C24C0">
        <w:tc>
          <w:tcPr>
            <w:tcW w:w="5000" w:type="pct"/>
            <w:gridSpan w:val="4"/>
            <w:tcBorders>
              <w:bottom w:val="single" w:sz="4" w:space="0" w:color="auto"/>
            </w:tcBorders>
            <w:vAlign w:val="center"/>
          </w:tcPr>
          <w:p w14:paraId="76C93A85" w14:textId="77777777" w:rsidR="002A66BB" w:rsidRPr="00AD5A27" w:rsidRDefault="002A66BB">
            <w:pPr>
              <w:pStyle w:val="TableText0"/>
              <w:keepNext w:val="0"/>
            </w:pPr>
            <w:r w:rsidRPr="00AD5A27">
              <w:rPr>
                <w:b/>
                <w:bCs w:val="0"/>
              </w:rPr>
              <w:t>Step 1a: Trial-based costs and outcomes (VISUAL I) (time horizon 12 months)</w:t>
            </w:r>
          </w:p>
        </w:tc>
      </w:tr>
      <w:tr w:rsidR="002A66BB" w:rsidRPr="00AD5A27" w14:paraId="09C3BBD0" w14:textId="77777777" w:rsidTr="006C24C0">
        <w:tc>
          <w:tcPr>
            <w:tcW w:w="2522" w:type="pct"/>
            <w:tcBorders>
              <w:bottom w:val="nil"/>
            </w:tcBorders>
            <w:vAlign w:val="center"/>
          </w:tcPr>
          <w:p w14:paraId="73304094" w14:textId="77777777" w:rsidR="002A66BB" w:rsidRPr="00AD5A27" w:rsidRDefault="002A66BB">
            <w:pPr>
              <w:pStyle w:val="TableText0"/>
              <w:keepNext w:val="0"/>
              <w:rPr>
                <w:rFonts w:ascii="Times" w:hAnsi="Times"/>
              </w:rPr>
            </w:pPr>
            <w:r w:rsidRPr="00AD5A27">
              <w:t>Costs (ADA/OCS costs only)</w:t>
            </w:r>
          </w:p>
        </w:tc>
        <w:tc>
          <w:tcPr>
            <w:tcW w:w="862" w:type="pct"/>
            <w:tcBorders>
              <w:bottom w:val="nil"/>
            </w:tcBorders>
            <w:vAlign w:val="center"/>
          </w:tcPr>
          <w:p w14:paraId="1D2A5E9C" w14:textId="4A9D1803" w:rsidR="002A66BB" w:rsidRPr="00AD5A27" w:rsidRDefault="002A66BB">
            <w:pPr>
              <w:pStyle w:val="TableText0"/>
              <w:keepNext w:val="0"/>
              <w:jc w:val="center"/>
              <w:rPr>
                <w:rFonts w:ascii="Times" w:hAnsi="Times"/>
                <w:vertAlign w:val="superscript"/>
              </w:rPr>
            </w:pPr>
            <w:r w:rsidRPr="00AD5A27">
              <w:rPr>
                <w:szCs w:val="20"/>
              </w:rPr>
              <w:t>$</w:t>
            </w:r>
            <w:r w:rsidR="00860BB2" w:rsidRPr="00860BB2">
              <w:rPr>
                <w:color w:val="000000"/>
                <w:szCs w:val="20"/>
                <w:shd w:val="solid" w:color="000000" w:fill="000000"/>
                <w14:textFill>
                  <w14:solidFill>
                    <w14:srgbClr w14:val="000000">
                      <w14:alpha w14:val="100000"/>
                    </w14:srgbClr>
                  </w14:solidFill>
                </w14:textFill>
              </w:rPr>
              <w:t>|</w:t>
            </w:r>
            <w:r w:rsidRPr="00AD5A27">
              <w:rPr>
                <w:szCs w:val="20"/>
                <w:vertAlign w:val="superscript"/>
              </w:rPr>
              <w:t>a</w:t>
            </w:r>
          </w:p>
        </w:tc>
        <w:tc>
          <w:tcPr>
            <w:tcW w:w="783" w:type="pct"/>
            <w:tcBorders>
              <w:bottom w:val="nil"/>
            </w:tcBorders>
            <w:vAlign w:val="center"/>
          </w:tcPr>
          <w:p w14:paraId="7D7C4F6C" w14:textId="44D9E402" w:rsidR="002A66BB" w:rsidRPr="00AD5A27" w:rsidRDefault="002A66BB">
            <w:pPr>
              <w:pStyle w:val="TableText0"/>
              <w:keepNext w:val="0"/>
              <w:jc w:val="center"/>
              <w:rPr>
                <w:rFonts w:ascii="Times" w:hAnsi="Times"/>
              </w:rPr>
            </w:pPr>
            <w:r w:rsidRPr="00AD5A27">
              <w:rPr>
                <w:szCs w:val="20"/>
              </w:rPr>
              <w:t>$</w:t>
            </w:r>
            <w:r w:rsidR="00860BB2" w:rsidRPr="00860BB2">
              <w:rPr>
                <w:color w:val="000000"/>
                <w:szCs w:val="20"/>
                <w:shd w:val="solid" w:color="000000" w:fill="000000"/>
                <w14:textFill>
                  <w14:solidFill>
                    <w14:srgbClr w14:val="000000">
                      <w14:alpha w14:val="100000"/>
                    </w14:srgbClr>
                  </w14:solidFill>
                </w14:textFill>
              </w:rPr>
              <w:t>|</w:t>
            </w:r>
          </w:p>
        </w:tc>
        <w:tc>
          <w:tcPr>
            <w:tcW w:w="833" w:type="pct"/>
            <w:tcBorders>
              <w:bottom w:val="nil"/>
            </w:tcBorders>
            <w:vAlign w:val="center"/>
          </w:tcPr>
          <w:p w14:paraId="24FFF0C0" w14:textId="0DED29FB" w:rsidR="002A66BB" w:rsidRPr="00AD5A27" w:rsidRDefault="002A66BB">
            <w:pPr>
              <w:pStyle w:val="TableText0"/>
              <w:keepNext w:val="0"/>
              <w:jc w:val="center"/>
              <w:rPr>
                <w:rFonts w:ascii="Times" w:hAnsi="Times"/>
              </w:rPr>
            </w:pPr>
            <w:r w:rsidRPr="00AD5A27">
              <w:t>$</w:t>
            </w:r>
            <w:r w:rsidR="00860BB2" w:rsidRPr="00860BB2">
              <w:rPr>
                <w:color w:val="000000"/>
                <w:shd w:val="solid" w:color="000000" w:fill="000000"/>
                <w14:textFill>
                  <w14:solidFill>
                    <w14:srgbClr w14:val="000000">
                      <w14:alpha w14:val="100000"/>
                    </w14:srgbClr>
                  </w14:solidFill>
                </w14:textFill>
              </w:rPr>
              <w:t>|</w:t>
            </w:r>
          </w:p>
        </w:tc>
      </w:tr>
      <w:tr w:rsidR="002A66BB" w:rsidRPr="00AD5A27" w14:paraId="7A43087E" w14:textId="77777777" w:rsidTr="00A713B0">
        <w:tc>
          <w:tcPr>
            <w:tcW w:w="2522" w:type="pct"/>
            <w:tcBorders>
              <w:top w:val="nil"/>
            </w:tcBorders>
            <w:vAlign w:val="center"/>
          </w:tcPr>
          <w:p w14:paraId="3508C7AC" w14:textId="77777777" w:rsidR="002A66BB" w:rsidRPr="00AD5A27" w:rsidRDefault="002A66BB">
            <w:pPr>
              <w:pStyle w:val="TableText0"/>
              <w:keepNext w:val="0"/>
              <w:rPr>
                <w:rFonts w:ascii="Times" w:hAnsi="Times"/>
              </w:rPr>
            </w:pPr>
            <w:r w:rsidRPr="00AD5A27">
              <w:t xml:space="preserve">Patient free of flare / failure </w:t>
            </w:r>
          </w:p>
        </w:tc>
        <w:tc>
          <w:tcPr>
            <w:tcW w:w="862" w:type="pct"/>
            <w:tcBorders>
              <w:top w:val="nil"/>
            </w:tcBorders>
            <w:shd w:val="clear" w:color="auto" w:fill="B8CCE4" w:themeFill="accent1" w:themeFillTint="66"/>
            <w:vAlign w:val="center"/>
          </w:tcPr>
          <w:p w14:paraId="2CE0D24D" w14:textId="77777777" w:rsidR="002A66BB" w:rsidRPr="00A713B0" w:rsidRDefault="002A66BB">
            <w:pPr>
              <w:pStyle w:val="TableText0"/>
              <w:keepNext w:val="0"/>
              <w:jc w:val="center"/>
              <w:rPr>
                <w:szCs w:val="20"/>
              </w:rPr>
            </w:pPr>
            <w:r w:rsidRPr="00AD5A27">
              <w:rPr>
                <w:szCs w:val="20"/>
              </w:rPr>
              <w:t>0.344</w:t>
            </w:r>
          </w:p>
        </w:tc>
        <w:tc>
          <w:tcPr>
            <w:tcW w:w="783" w:type="pct"/>
            <w:tcBorders>
              <w:top w:val="nil"/>
            </w:tcBorders>
            <w:shd w:val="clear" w:color="auto" w:fill="B8CCE4" w:themeFill="accent1" w:themeFillTint="66"/>
            <w:vAlign w:val="center"/>
          </w:tcPr>
          <w:p w14:paraId="47F08C05" w14:textId="77777777" w:rsidR="002A66BB" w:rsidRPr="00A713B0" w:rsidRDefault="002A66BB">
            <w:pPr>
              <w:pStyle w:val="TableText0"/>
              <w:keepNext w:val="0"/>
              <w:jc w:val="center"/>
              <w:rPr>
                <w:szCs w:val="20"/>
              </w:rPr>
            </w:pPr>
            <w:r w:rsidRPr="00AD5A27">
              <w:rPr>
                <w:szCs w:val="20"/>
              </w:rPr>
              <w:t>0.138</w:t>
            </w:r>
          </w:p>
        </w:tc>
        <w:tc>
          <w:tcPr>
            <w:tcW w:w="833" w:type="pct"/>
            <w:tcBorders>
              <w:top w:val="nil"/>
            </w:tcBorders>
            <w:shd w:val="clear" w:color="auto" w:fill="B8CCE4" w:themeFill="accent1" w:themeFillTint="66"/>
            <w:vAlign w:val="center"/>
          </w:tcPr>
          <w:p w14:paraId="7238708F" w14:textId="77777777" w:rsidR="002A66BB" w:rsidRPr="00AD5A27" w:rsidRDefault="002A66BB">
            <w:pPr>
              <w:pStyle w:val="TableText0"/>
              <w:keepNext w:val="0"/>
              <w:jc w:val="center"/>
            </w:pPr>
            <w:r w:rsidRPr="00AD5A27">
              <w:rPr>
                <w:szCs w:val="20"/>
              </w:rPr>
              <w:t>0.206</w:t>
            </w:r>
          </w:p>
        </w:tc>
      </w:tr>
      <w:tr w:rsidR="002A66BB" w:rsidRPr="00AD5A27" w14:paraId="7A99737C" w14:textId="77777777" w:rsidTr="006C24C0">
        <w:tc>
          <w:tcPr>
            <w:tcW w:w="4167" w:type="pct"/>
            <w:gridSpan w:val="3"/>
            <w:vAlign w:val="center"/>
          </w:tcPr>
          <w:p w14:paraId="78A9D55D" w14:textId="77777777" w:rsidR="002A66BB" w:rsidRPr="00AD5A27" w:rsidRDefault="002A66BB">
            <w:pPr>
              <w:pStyle w:val="TableText0"/>
              <w:keepNext w:val="0"/>
              <w:rPr>
                <w:rFonts w:ascii="Times" w:hAnsi="Times"/>
              </w:rPr>
            </w:pPr>
            <w:r w:rsidRPr="00AD5A27">
              <w:t xml:space="preserve">Incremental cost/extra patient free of flare / failure </w:t>
            </w:r>
          </w:p>
        </w:tc>
        <w:tc>
          <w:tcPr>
            <w:tcW w:w="833" w:type="pct"/>
            <w:vAlign w:val="center"/>
          </w:tcPr>
          <w:p w14:paraId="266B39E9" w14:textId="11B27860" w:rsidR="002A66BB" w:rsidRPr="00AD5A27" w:rsidRDefault="002A66BB">
            <w:pPr>
              <w:pStyle w:val="TableText0"/>
              <w:keepNext w:val="0"/>
              <w:jc w:val="center"/>
              <w:rPr>
                <w:rFonts w:ascii="Times" w:hAnsi="Times"/>
              </w:rPr>
            </w:pPr>
            <w:r w:rsidRPr="00AD5A27">
              <w:t>$</w:t>
            </w:r>
            <w:r w:rsidR="00860BB2" w:rsidRPr="00860BB2">
              <w:rPr>
                <w:color w:val="000000"/>
                <w:shd w:val="solid" w:color="000000" w:fill="000000"/>
                <w14:textFill>
                  <w14:solidFill>
                    <w14:srgbClr w14:val="000000">
                      <w14:alpha w14:val="100000"/>
                    </w14:srgbClr>
                  </w14:solidFill>
                </w14:textFill>
              </w:rPr>
              <w:t>|</w:t>
            </w:r>
            <w:r w:rsidR="007B084D" w:rsidRPr="007B084D">
              <w:rPr>
                <w:vertAlign w:val="superscript"/>
              </w:rPr>
              <w:t>1</w:t>
            </w:r>
          </w:p>
        </w:tc>
      </w:tr>
      <w:tr w:rsidR="002A66BB" w:rsidRPr="00AD5A27" w14:paraId="00886422" w14:textId="77777777" w:rsidTr="006C24C0">
        <w:tc>
          <w:tcPr>
            <w:tcW w:w="5000" w:type="pct"/>
            <w:gridSpan w:val="4"/>
            <w:tcBorders>
              <w:bottom w:val="single" w:sz="4" w:space="0" w:color="auto"/>
            </w:tcBorders>
            <w:vAlign w:val="center"/>
          </w:tcPr>
          <w:p w14:paraId="6BF06610" w14:textId="77777777" w:rsidR="002A66BB" w:rsidRPr="00AD5A27" w:rsidRDefault="002A66BB">
            <w:pPr>
              <w:pStyle w:val="TableText0"/>
              <w:keepNext w:val="0"/>
              <w:rPr>
                <w:b/>
                <w:bCs w:val="0"/>
              </w:rPr>
            </w:pPr>
            <w:r w:rsidRPr="00AD5A27">
              <w:rPr>
                <w:b/>
                <w:bCs w:val="0"/>
              </w:rPr>
              <w:t>Step 1b: Trial-based costs and outcomes (VISUAL II (time horizon 12 months)</w:t>
            </w:r>
          </w:p>
        </w:tc>
      </w:tr>
      <w:tr w:rsidR="002A66BB" w:rsidRPr="00AD5A27" w14:paraId="20C5AA11" w14:textId="77777777" w:rsidTr="006C24C0">
        <w:tc>
          <w:tcPr>
            <w:tcW w:w="2522" w:type="pct"/>
            <w:tcBorders>
              <w:bottom w:val="nil"/>
            </w:tcBorders>
            <w:vAlign w:val="center"/>
          </w:tcPr>
          <w:p w14:paraId="0B762A9F" w14:textId="77777777" w:rsidR="002A66BB" w:rsidRPr="00AD5A27" w:rsidRDefault="002A66BB">
            <w:pPr>
              <w:pStyle w:val="TableText0"/>
              <w:keepNext w:val="0"/>
            </w:pPr>
            <w:r w:rsidRPr="00AD5A27">
              <w:t>Costs (ADA/OCS costs only)</w:t>
            </w:r>
          </w:p>
        </w:tc>
        <w:tc>
          <w:tcPr>
            <w:tcW w:w="862" w:type="pct"/>
            <w:tcBorders>
              <w:bottom w:val="nil"/>
            </w:tcBorders>
            <w:vAlign w:val="center"/>
          </w:tcPr>
          <w:p w14:paraId="4F4DC711" w14:textId="20C45284" w:rsidR="002A66BB" w:rsidRPr="00AD5A27" w:rsidRDefault="002A66BB">
            <w:pPr>
              <w:pStyle w:val="TableText0"/>
              <w:keepNext w:val="0"/>
              <w:jc w:val="center"/>
            </w:pPr>
            <w:r w:rsidRPr="00AD5A27">
              <w:rPr>
                <w:szCs w:val="20"/>
              </w:rPr>
              <w:t>$</w:t>
            </w:r>
            <w:r w:rsidR="00860BB2" w:rsidRPr="00860BB2">
              <w:rPr>
                <w:color w:val="000000"/>
                <w:szCs w:val="20"/>
                <w:shd w:val="solid" w:color="000000" w:fill="000000"/>
                <w14:textFill>
                  <w14:solidFill>
                    <w14:srgbClr w14:val="000000">
                      <w14:alpha w14:val="100000"/>
                    </w14:srgbClr>
                  </w14:solidFill>
                </w14:textFill>
              </w:rPr>
              <w:t>|</w:t>
            </w:r>
          </w:p>
        </w:tc>
        <w:tc>
          <w:tcPr>
            <w:tcW w:w="783" w:type="pct"/>
            <w:tcBorders>
              <w:bottom w:val="nil"/>
            </w:tcBorders>
            <w:vAlign w:val="center"/>
          </w:tcPr>
          <w:p w14:paraId="75DAAA15" w14:textId="2838143B" w:rsidR="002A66BB" w:rsidRPr="00AD5A27" w:rsidRDefault="002A66BB">
            <w:pPr>
              <w:pStyle w:val="TableText0"/>
              <w:keepNext w:val="0"/>
              <w:jc w:val="center"/>
            </w:pPr>
            <w:r w:rsidRPr="00AD5A27">
              <w:rPr>
                <w:szCs w:val="20"/>
              </w:rPr>
              <w:t>$</w:t>
            </w:r>
            <w:r w:rsidR="00860BB2" w:rsidRPr="00860BB2">
              <w:rPr>
                <w:color w:val="000000"/>
                <w:szCs w:val="20"/>
                <w:shd w:val="solid" w:color="000000" w:fill="000000"/>
                <w14:textFill>
                  <w14:solidFill>
                    <w14:srgbClr w14:val="000000">
                      <w14:alpha w14:val="100000"/>
                    </w14:srgbClr>
                  </w14:solidFill>
                </w14:textFill>
              </w:rPr>
              <w:t>|</w:t>
            </w:r>
          </w:p>
        </w:tc>
        <w:tc>
          <w:tcPr>
            <w:tcW w:w="833" w:type="pct"/>
            <w:tcBorders>
              <w:bottom w:val="nil"/>
            </w:tcBorders>
            <w:vAlign w:val="center"/>
          </w:tcPr>
          <w:p w14:paraId="60BBD420" w14:textId="5D9557CA" w:rsidR="002A66BB" w:rsidRPr="00AD5A27" w:rsidRDefault="002A66BB">
            <w:pPr>
              <w:pStyle w:val="TableText0"/>
              <w:keepNext w:val="0"/>
              <w:jc w:val="center"/>
            </w:pPr>
            <w:r w:rsidRPr="00AD5A27">
              <w:t>$</w:t>
            </w:r>
            <w:r w:rsidR="00860BB2" w:rsidRPr="00860BB2">
              <w:rPr>
                <w:color w:val="000000"/>
                <w:shd w:val="solid" w:color="000000" w:fill="000000"/>
                <w14:textFill>
                  <w14:solidFill>
                    <w14:srgbClr w14:val="000000">
                      <w14:alpha w14:val="100000"/>
                    </w14:srgbClr>
                  </w14:solidFill>
                </w14:textFill>
              </w:rPr>
              <w:t>|</w:t>
            </w:r>
          </w:p>
        </w:tc>
      </w:tr>
      <w:tr w:rsidR="002A66BB" w:rsidRPr="00AD5A27" w14:paraId="05E1536E" w14:textId="77777777" w:rsidTr="006C24C0">
        <w:tc>
          <w:tcPr>
            <w:tcW w:w="2522" w:type="pct"/>
            <w:tcBorders>
              <w:top w:val="nil"/>
            </w:tcBorders>
            <w:vAlign w:val="center"/>
          </w:tcPr>
          <w:p w14:paraId="5A1A0ADE" w14:textId="77777777" w:rsidR="002A66BB" w:rsidRPr="00AD5A27" w:rsidRDefault="002A66BB">
            <w:pPr>
              <w:pStyle w:val="TableText0"/>
              <w:keepNext w:val="0"/>
              <w:rPr>
                <w:rFonts w:ascii="Times" w:hAnsi="Times"/>
              </w:rPr>
            </w:pPr>
            <w:r w:rsidRPr="00AD5A27">
              <w:t>Patient free of flare / failure</w:t>
            </w:r>
          </w:p>
        </w:tc>
        <w:tc>
          <w:tcPr>
            <w:tcW w:w="862" w:type="pct"/>
            <w:tcBorders>
              <w:top w:val="nil"/>
            </w:tcBorders>
            <w:vAlign w:val="center"/>
          </w:tcPr>
          <w:p w14:paraId="341FC56F" w14:textId="77777777" w:rsidR="002A66BB" w:rsidRPr="00AD5A27" w:rsidRDefault="002A66BB">
            <w:pPr>
              <w:pStyle w:val="TableText0"/>
              <w:keepNext w:val="0"/>
              <w:jc w:val="center"/>
              <w:rPr>
                <w:rFonts w:ascii="Times" w:hAnsi="Times"/>
              </w:rPr>
            </w:pPr>
            <w:r w:rsidRPr="00AD5A27">
              <w:rPr>
                <w:szCs w:val="20"/>
              </w:rPr>
              <w:t>0.559</w:t>
            </w:r>
          </w:p>
        </w:tc>
        <w:tc>
          <w:tcPr>
            <w:tcW w:w="783" w:type="pct"/>
            <w:tcBorders>
              <w:top w:val="nil"/>
            </w:tcBorders>
            <w:vAlign w:val="center"/>
          </w:tcPr>
          <w:p w14:paraId="41E6048C" w14:textId="77777777" w:rsidR="002A66BB" w:rsidRPr="00AD5A27" w:rsidRDefault="002A66BB">
            <w:pPr>
              <w:pStyle w:val="TableText0"/>
              <w:keepNext w:val="0"/>
              <w:jc w:val="center"/>
              <w:rPr>
                <w:rFonts w:ascii="Times" w:hAnsi="Times"/>
              </w:rPr>
            </w:pPr>
            <w:r w:rsidRPr="00AD5A27">
              <w:rPr>
                <w:szCs w:val="20"/>
              </w:rPr>
              <w:t>0.397</w:t>
            </w:r>
          </w:p>
        </w:tc>
        <w:tc>
          <w:tcPr>
            <w:tcW w:w="833" w:type="pct"/>
            <w:tcBorders>
              <w:top w:val="nil"/>
            </w:tcBorders>
            <w:vAlign w:val="center"/>
          </w:tcPr>
          <w:p w14:paraId="304944CE" w14:textId="77777777" w:rsidR="002A66BB" w:rsidRPr="00AD5A27" w:rsidRDefault="002A66BB">
            <w:pPr>
              <w:pStyle w:val="TableText0"/>
              <w:keepNext w:val="0"/>
              <w:jc w:val="center"/>
            </w:pPr>
            <w:r w:rsidRPr="00AD5A27">
              <w:rPr>
                <w:szCs w:val="20"/>
              </w:rPr>
              <w:t>0.162</w:t>
            </w:r>
          </w:p>
        </w:tc>
      </w:tr>
      <w:tr w:rsidR="002A66BB" w:rsidRPr="00AD5A27" w14:paraId="679CEEA5" w14:textId="77777777" w:rsidTr="006C24C0">
        <w:tc>
          <w:tcPr>
            <w:tcW w:w="4167" w:type="pct"/>
            <w:gridSpan w:val="3"/>
            <w:vAlign w:val="center"/>
          </w:tcPr>
          <w:p w14:paraId="304A461B" w14:textId="77777777" w:rsidR="002A66BB" w:rsidRPr="00AD5A27" w:rsidRDefault="002A66BB">
            <w:pPr>
              <w:pStyle w:val="TableText0"/>
              <w:keepNext w:val="0"/>
              <w:rPr>
                <w:rFonts w:ascii="Times" w:hAnsi="Times"/>
              </w:rPr>
            </w:pPr>
            <w:r w:rsidRPr="00AD5A27">
              <w:t xml:space="preserve">Incremental cost/extra patient free of flare / failure </w:t>
            </w:r>
          </w:p>
        </w:tc>
        <w:tc>
          <w:tcPr>
            <w:tcW w:w="833" w:type="pct"/>
            <w:vAlign w:val="center"/>
          </w:tcPr>
          <w:p w14:paraId="2C70348E" w14:textId="63AF9A02" w:rsidR="002A66BB" w:rsidRPr="00AD5A27" w:rsidRDefault="002A66BB">
            <w:pPr>
              <w:pStyle w:val="TableText0"/>
              <w:keepNext w:val="0"/>
              <w:jc w:val="center"/>
              <w:rPr>
                <w:rFonts w:ascii="Times" w:hAnsi="Times"/>
              </w:rPr>
            </w:pPr>
            <w:r w:rsidRPr="00AD5A27">
              <w:t>$</w:t>
            </w:r>
            <w:r w:rsidR="00860BB2" w:rsidRPr="00860BB2">
              <w:rPr>
                <w:color w:val="000000"/>
                <w:shd w:val="solid" w:color="000000" w:fill="000000"/>
                <w14:textFill>
                  <w14:solidFill>
                    <w14:srgbClr w14:val="000000">
                      <w14:alpha w14:val="100000"/>
                    </w14:srgbClr>
                  </w14:solidFill>
                </w14:textFill>
              </w:rPr>
              <w:t>|</w:t>
            </w:r>
            <w:r w:rsidR="007B084D">
              <w:rPr>
                <w:vertAlign w:val="superscript"/>
              </w:rPr>
              <w:t>2</w:t>
            </w:r>
          </w:p>
        </w:tc>
      </w:tr>
      <w:tr w:rsidR="002A66BB" w:rsidRPr="00AD5A27" w14:paraId="56D489B1" w14:textId="77777777" w:rsidTr="006C24C0">
        <w:tc>
          <w:tcPr>
            <w:tcW w:w="5000" w:type="pct"/>
            <w:gridSpan w:val="4"/>
            <w:tcBorders>
              <w:bottom w:val="single" w:sz="4" w:space="0" w:color="auto"/>
            </w:tcBorders>
            <w:vAlign w:val="center"/>
          </w:tcPr>
          <w:p w14:paraId="0A7C1F97" w14:textId="77777777" w:rsidR="002A66BB" w:rsidRPr="00AD5A27" w:rsidRDefault="002A66BB">
            <w:pPr>
              <w:pStyle w:val="TableText0"/>
              <w:keepNext w:val="0"/>
              <w:rPr>
                <w:b/>
                <w:bCs w:val="0"/>
              </w:rPr>
            </w:pPr>
            <w:r w:rsidRPr="00AD5A27">
              <w:rPr>
                <w:b/>
                <w:bCs w:val="0"/>
              </w:rPr>
              <w:t>Step 2a: Modelled analysis (time horizon 12 months)</w:t>
            </w:r>
          </w:p>
        </w:tc>
      </w:tr>
      <w:tr w:rsidR="002A66BB" w:rsidRPr="00AD5A27" w14:paraId="5760E9CC" w14:textId="77777777" w:rsidTr="006C24C0">
        <w:tc>
          <w:tcPr>
            <w:tcW w:w="2522" w:type="pct"/>
            <w:tcBorders>
              <w:bottom w:val="nil"/>
            </w:tcBorders>
            <w:vAlign w:val="center"/>
          </w:tcPr>
          <w:p w14:paraId="32B34117" w14:textId="77777777" w:rsidR="002A66BB" w:rsidRPr="00AD5A27" w:rsidRDefault="002A66BB">
            <w:pPr>
              <w:pStyle w:val="TableText0"/>
              <w:keepNext w:val="0"/>
              <w:rPr>
                <w:rFonts w:ascii="Times" w:hAnsi="Times"/>
              </w:rPr>
            </w:pPr>
            <w:r w:rsidRPr="00AD5A27">
              <w:t>Costs (ADA/OCS costs only)</w:t>
            </w:r>
          </w:p>
        </w:tc>
        <w:tc>
          <w:tcPr>
            <w:tcW w:w="862" w:type="pct"/>
            <w:tcBorders>
              <w:bottom w:val="nil"/>
            </w:tcBorders>
            <w:vAlign w:val="center"/>
          </w:tcPr>
          <w:p w14:paraId="21D4D783" w14:textId="5B85972C" w:rsidR="002A66BB" w:rsidRPr="00AD5A27" w:rsidRDefault="002A66BB">
            <w:pPr>
              <w:pStyle w:val="TableText0"/>
              <w:keepNext w:val="0"/>
              <w:jc w:val="center"/>
              <w:rPr>
                <w:rFonts w:ascii="Times" w:hAnsi="Times"/>
              </w:rPr>
            </w:pPr>
            <w:r w:rsidRPr="00AD5A27">
              <w:rPr>
                <w:szCs w:val="20"/>
              </w:rPr>
              <w:t>$</w:t>
            </w:r>
            <w:r w:rsidR="00860BB2" w:rsidRPr="00860BB2">
              <w:rPr>
                <w:color w:val="000000"/>
                <w:szCs w:val="20"/>
                <w:shd w:val="solid" w:color="000000" w:fill="000000"/>
                <w14:textFill>
                  <w14:solidFill>
                    <w14:srgbClr w14:val="000000">
                      <w14:alpha w14:val="100000"/>
                    </w14:srgbClr>
                  </w14:solidFill>
                </w14:textFill>
              </w:rPr>
              <w:t>|</w:t>
            </w:r>
          </w:p>
        </w:tc>
        <w:tc>
          <w:tcPr>
            <w:tcW w:w="783" w:type="pct"/>
            <w:tcBorders>
              <w:bottom w:val="nil"/>
            </w:tcBorders>
            <w:vAlign w:val="center"/>
          </w:tcPr>
          <w:p w14:paraId="7D5C935A" w14:textId="7C8AC860" w:rsidR="002A66BB" w:rsidRPr="00AD5A27" w:rsidRDefault="002A66BB">
            <w:pPr>
              <w:pStyle w:val="TableText0"/>
              <w:keepNext w:val="0"/>
              <w:jc w:val="center"/>
            </w:pPr>
            <w:r w:rsidRPr="00AD5A27">
              <w:rPr>
                <w:szCs w:val="20"/>
              </w:rPr>
              <w:t>$</w:t>
            </w:r>
            <w:r w:rsidR="00860BB2" w:rsidRPr="00860BB2">
              <w:rPr>
                <w:color w:val="000000"/>
                <w:szCs w:val="20"/>
                <w:shd w:val="solid" w:color="000000" w:fill="000000"/>
                <w14:textFill>
                  <w14:solidFill>
                    <w14:srgbClr w14:val="000000">
                      <w14:alpha w14:val="100000"/>
                    </w14:srgbClr>
                  </w14:solidFill>
                </w14:textFill>
              </w:rPr>
              <w:t>|</w:t>
            </w:r>
          </w:p>
        </w:tc>
        <w:tc>
          <w:tcPr>
            <w:tcW w:w="833" w:type="pct"/>
            <w:tcBorders>
              <w:bottom w:val="nil"/>
            </w:tcBorders>
            <w:vAlign w:val="center"/>
          </w:tcPr>
          <w:p w14:paraId="638DF0EF" w14:textId="3988D20B" w:rsidR="002A66BB" w:rsidRPr="00AD5A27" w:rsidRDefault="002A66BB">
            <w:pPr>
              <w:pStyle w:val="TableText0"/>
              <w:keepNext w:val="0"/>
              <w:jc w:val="center"/>
              <w:rPr>
                <w:rFonts w:ascii="Times" w:hAnsi="Times"/>
              </w:rPr>
            </w:pPr>
            <w:r w:rsidRPr="00AD5A27">
              <w:t>$</w:t>
            </w:r>
            <w:r w:rsidR="00860BB2" w:rsidRPr="00860BB2">
              <w:rPr>
                <w:color w:val="000000"/>
                <w:shd w:val="solid" w:color="000000" w:fill="000000"/>
                <w14:textFill>
                  <w14:solidFill>
                    <w14:srgbClr w14:val="000000">
                      <w14:alpha w14:val="100000"/>
                    </w14:srgbClr>
                  </w14:solidFill>
                </w14:textFill>
              </w:rPr>
              <w:t>|</w:t>
            </w:r>
          </w:p>
        </w:tc>
      </w:tr>
      <w:tr w:rsidR="002A66BB" w:rsidRPr="00AD5A27" w14:paraId="4CDDC73B" w14:textId="77777777" w:rsidTr="006C24C0">
        <w:tc>
          <w:tcPr>
            <w:tcW w:w="2522" w:type="pct"/>
            <w:tcBorders>
              <w:top w:val="nil"/>
            </w:tcBorders>
            <w:vAlign w:val="center"/>
          </w:tcPr>
          <w:p w14:paraId="3BF6234E" w14:textId="77777777" w:rsidR="002A66BB" w:rsidRPr="00AD5A27" w:rsidRDefault="002A66BB">
            <w:pPr>
              <w:pStyle w:val="TableText0"/>
              <w:keepNext w:val="0"/>
              <w:rPr>
                <w:rFonts w:ascii="Times" w:hAnsi="Times"/>
              </w:rPr>
            </w:pPr>
            <w:r w:rsidRPr="00AD5A27">
              <w:t xml:space="preserve">Patient free of flare / failure </w:t>
            </w:r>
          </w:p>
        </w:tc>
        <w:tc>
          <w:tcPr>
            <w:tcW w:w="862" w:type="pct"/>
            <w:tcBorders>
              <w:top w:val="nil"/>
            </w:tcBorders>
            <w:vAlign w:val="center"/>
          </w:tcPr>
          <w:p w14:paraId="6CB54C43" w14:textId="77777777" w:rsidR="002A66BB" w:rsidRPr="00AD5A27" w:rsidRDefault="002A66BB">
            <w:pPr>
              <w:pStyle w:val="TableText0"/>
              <w:keepNext w:val="0"/>
              <w:jc w:val="center"/>
            </w:pPr>
            <w:r w:rsidRPr="00AD5A27">
              <w:t>0.772</w:t>
            </w:r>
          </w:p>
        </w:tc>
        <w:tc>
          <w:tcPr>
            <w:tcW w:w="783" w:type="pct"/>
            <w:tcBorders>
              <w:top w:val="nil"/>
            </w:tcBorders>
            <w:vAlign w:val="center"/>
          </w:tcPr>
          <w:p w14:paraId="023B99E2" w14:textId="77777777" w:rsidR="002A66BB" w:rsidRPr="00AD5A27" w:rsidRDefault="002A66BB">
            <w:pPr>
              <w:pStyle w:val="TableText0"/>
              <w:keepNext w:val="0"/>
              <w:jc w:val="center"/>
              <w:rPr>
                <w:rFonts w:ascii="Times" w:hAnsi="Times"/>
              </w:rPr>
            </w:pPr>
            <w:r w:rsidRPr="00AD5A27">
              <w:rPr>
                <w:szCs w:val="20"/>
              </w:rPr>
              <w:t>0.612</w:t>
            </w:r>
          </w:p>
        </w:tc>
        <w:tc>
          <w:tcPr>
            <w:tcW w:w="833" w:type="pct"/>
            <w:tcBorders>
              <w:top w:val="nil"/>
            </w:tcBorders>
            <w:vAlign w:val="center"/>
          </w:tcPr>
          <w:p w14:paraId="438B2A2D" w14:textId="77777777" w:rsidR="002A66BB" w:rsidRPr="00AD5A27" w:rsidRDefault="002A66BB">
            <w:pPr>
              <w:pStyle w:val="TableText0"/>
              <w:keepNext w:val="0"/>
              <w:jc w:val="center"/>
            </w:pPr>
            <w:r w:rsidRPr="00AD5A27">
              <w:t>0.160</w:t>
            </w:r>
          </w:p>
        </w:tc>
      </w:tr>
      <w:tr w:rsidR="002A66BB" w:rsidRPr="00AD5A27" w14:paraId="3A8DB7BF" w14:textId="77777777" w:rsidTr="006C24C0">
        <w:tc>
          <w:tcPr>
            <w:tcW w:w="4167" w:type="pct"/>
            <w:gridSpan w:val="3"/>
            <w:vAlign w:val="center"/>
          </w:tcPr>
          <w:p w14:paraId="73310CD4" w14:textId="77777777" w:rsidR="002A66BB" w:rsidRPr="00AD5A27" w:rsidRDefault="002A66BB">
            <w:pPr>
              <w:pStyle w:val="TableText0"/>
              <w:keepNext w:val="0"/>
              <w:rPr>
                <w:rFonts w:ascii="Times" w:hAnsi="Times"/>
              </w:rPr>
            </w:pPr>
            <w:r w:rsidRPr="00AD5A27">
              <w:t xml:space="preserve">Incremental cost/extra patient free of flare / failure </w:t>
            </w:r>
          </w:p>
        </w:tc>
        <w:tc>
          <w:tcPr>
            <w:tcW w:w="833" w:type="pct"/>
            <w:vAlign w:val="center"/>
          </w:tcPr>
          <w:p w14:paraId="3BC61E85" w14:textId="575AA8B3" w:rsidR="002A66BB" w:rsidRPr="00AD5A27" w:rsidRDefault="002A66BB">
            <w:pPr>
              <w:pStyle w:val="TableText0"/>
              <w:keepNext w:val="0"/>
              <w:jc w:val="center"/>
              <w:rPr>
                <w:rFonts w:ascii="Times" w:hAnsi="Times"/>
              </w:rPr>
            </w:pPr>
            <w:r w:rsidRPr="00AD5A27">
              <w:t>$</w:t>
            </w:r>
            <w:r w:rsidR="00860BB2" w:rsidRPr="00860BB2">
              <w:rPr>
                <w:color w:val="000000"/>
                <w:shd w:val="solid" w:color="000000" w:fill="000000"/>
                <w14:textFill>
                  <w14:solidFill>
                    <w14:srgbClr w14:val="000000">
                      <w14:alpha w14:val="100000"/>
                    </w14:srgbClr>
                  </w14:solidFill>
                </w14:textFill>
              </w:rPr>
              <w:t>|</w:t>
            </w:r>
            <w:r w:rsidR="005A6F92">
              <w:rPr>
                <w:vertAlign w:val="superscript"/>
              </w:rPr>
              <w:t>2</w:t>
            </w:r>
          </w:p>
        </w:tc>
      </w:tr>
      <w:tr w:rsidR="002A66BB" w:rsidRPr="00AD5A27" w14:paraId="43B2C449" w14:textId="77777777" w:rsidTr="006C24C0">
        <w:tc>
          <w:tcPr>
            <w:tcW w:w="5000" w:type="pct"/>
            <w:gridSpan w:val="4"/>
            <w:tcBorders>
              <w:bottom w:val="single" w:sz="4" w:space="0" w:color="auto"/>
            </w:tcBorders>
            <w:vAlign w:val="center"/>
          </w:tcPr>
          <w:p w14:paraId="69CEF5A6" w14:textId="77777777" w:rsidR="002A66BB" w:rsidRPr="00AD5A27" w:rsidRDefault="002A66BB">
            <w:pPr>
              <w:pStyle w:val="TableText0"/>
              <w:keepNext w:val="0"/>
              <w:rPr>
                <w:b/>
                <w:bCs w:val="0"/>
              </w:rPr>
            </w:pPr>
            <w:r w:rsidRPr="00AD5A27">
              <w:rPr>
                <w:b/>
                <w:bCs w:val="0"/>
              </w:rPr>
              <w:t>Step 2b: Modelled analysis (time horizon 12 months)</w:t>
            </w:r>
          </w:p>
        </w:tc>
      </w:tr>
      <w:tr w:rsidR="002A66BB" w:rsidRPr="00AD5A27" w14:paraId="642444D8" w14:textId="77777777" w:rsidTr="006C24C0">
        <w:tc>
          <w:tcPr>
            <w:tcW w:w="2522" w:type="pct"/>
            <w:tcBorders>
              <w:bottom w:val="nil"/>
            </w:tcBorders>
            <w:vAlign w:val="center"/>
          </w:tcPr>
          <w:p w14:paraId="3C20FC56" w14:textId="77777777" w:rsidR="002A66BB" w:rsidRPr="00AD5A27" w:rsidRDefault="002A66BB">
            <w:pPr>
              <w:pStyle w:val="TableText0"/>
              <w:keepNext w:val="0"/>
              <w:rPr>
                <w:rFonts w:ascii="Times" w:hAnsi="Times"/>
              </w:rPr>
            </w:pPr>
            <w:r w:rsidRPr="00AD5A27">
              <w:t>Costs (ADA/OCS costs only)</w:t>
            </w:r>
          </w:p>
        </w:tc>
        <w:tc>
          <w:tcPr>
            <w:tcW w:w="862" w:type="pct"/>
            <w:tcBorders>
              <w:bottom w:val="nil"/>
            </w:tcBorders>
            <w:vAlign w:val="center"/>
          </w:tcPr>
          <w:p w14:paraId="587D4496" w14:textId="7E0879EB" w:rsidR="002A66BB" w:rsidRPr="00AD5A27" w:rsidRDefault="002A66BB">
            <w:pPr>
              <w:pStyle w:val="TableText0"/>
              <w:keepNext w:val="0"/>
              <w:jc w:val="center"/>
              <w:rPr>
                <w:rFonts w:ascii="Times" w:hAnsi="Times"/>
              </w:rPr>
            </w:pPr>
            <w:r w:rsidRPr="00AD5A27">
              <w:rPr>
                <w:szCs w:val="20"/>
              </w:rPr>
              <w:t>$</w:t>
            </w:r>
            <w:r w:rsidR="00860BB2" w:rsidRPr="00860BB2">
              <w:rPr>
                <w:color w:val="000000"/>
                <w:szCs w:val="20"/>
                <w:shd w:val="solid" w:color="000000" w:fill="000000"/>
                <w14:textFill>
                  <w14:solidFill>
                    <w14:srgbClr w14:val="000000">
                      <w14:alpha w14:val="100000"/>
                    </w14:srgbClr>
                  </w14:solidFill>
                </w14:textFill>
              </w:rPr>
              <w:t>|</w:t>
            </w:r>
          </w:p>
        </w:tc>
        <w:tc>
          <w:tcPr>
            <w:tcW w:w="783" w:type="pct"/>
            <w:tcBorders>
              <w:bottom w:val="nil"/>
            </w:tcBorders>
            <w:vAlign w:val="center"/>
          </w:tcPr>
          <w:p w14:paraId="58BD040F" w14:textId="2D3181F1" w:rsidR="002A66BB" w:rsidRPr="00AD5A27" w:rsidRDefault="002A66BB">
            <w:pPr>
              <w:pStyle w:val="TableText0"/>
              <w:keepNext w:val="0"/>
              <w:jc w:val="center"/>
              <w:rPr>
                <w:rFonts w:ascii="Times" w:hAnsi="Times"/>
              </w:rPr>
            </w:pPr>
            <w:r w:rsidRPr="00AD5A27">
              <w:rPr>
                <w:szCs w:val="20"/>
              </w:rPr>
              <w:t>$</w:t>
            </w:r>
            <w:r w:rsidR="00860BB2" w:rsidRPr="00860BB2">
              <w:rPr>
                <w:color w:val="000000"/>
                <w:szCs w:val="20"/>
                <w:shd w:val="solid" w:color="000000" w:fill="000000"/>
                <w14:textFill>
                  <w14:solidFill>
                    <w14:srgbClr w14:val="000000">
                      <w14:alpha w14:val="100000"/>
                    </w14:srgbClr>
                  </w14:solidFill>
                </w14:textFill>
              </w:rPr>
              <w:t>|</w:t>
            </w:r>
          </w:p>
        </w:tc>
        <w:tc>
          <w:tcPr>
            <w:tcW w:w="833" w:type="pct"/>
            <w:tcBorders>
              <w:bottom w:val="nil"/>
            </w:tcBorders>
            <w:vAlign w:val="center"/>
          </w:tcPr>
          <w:p w14:paraId="66519DEC" w14:textId="7A4A8903" w:rsidR="002A66BB" w:rsidRPr="00AD5A27" w:rsidRDefault="002A66BB">
            <w:pPr>
              <w:pStyle w:val="TableText0"/>
              <w:keepNext w:val="0"/>
              <w:jc w:val="center"/>
              <w:rPr>
                <w:rFonts w:ascii="Times" w:hAnsi="Times"/>
              </w:rPr>
            </w:pPr>
            <w:r w:rsidRPr="00AD5A27">
              <w:t>$</w:t>
            </w:r>
            <w:r w:rsidR="00860BB2" w:rsidRPr="00860BB2">
              <w:rPr>
                <w:color w:val="000000"/>
                <w:shd w:val="solid" w:color="000000" w:fill="000000"/>
                <w14:textFill>
                  <w14:solidFill>
                    <w14:srgbClr w14:val="000000">
                      <w14:alpha w14:val="100000"/>
                    </w14:srgbClr>
                  </w14:solidFill>
                </w14:textFill>
              </w:rPr>
              <w:t>|</w:t>
            </w:r>
          </w:p>
        </w:tc>
      </w:tr>
      <w:tr w:rsidR="002A66BB" w:rsidRPr="00AD5A27" w14:paraId="080696C4" w14:textId="77777777" w:rsidTr="006C24C0">
        <w:tc>
          <w:tcPr>
            <w:tcW w:w="2522" w:type="pct"/>
            <w:tcBorders>
              <w:top w:val="nil"/>
            </w:tcBorders>
            <w:vAlign w:val="center"/>
          </w:tcPr>
          <w:p w14:paraId="5E71F1B3" w14:textId="77777777" w:rsidR="002A66BB" w:rsidRPr="00AD5A27" w:rsidRDefault="002A66BB">
            <w:pPr>
              <w:pStyle w:val="TableText0"/>
              <w:keepNext w:val="0"/>
              <w:rPr>
                <w:rFonts w:ascii="Times" w:hAnsi="Times"/>
              </w:rPr>
            </w:pPr>
            <w:r w:rsidRPr="00AD5A27">
              <w:t xml:space="preserve">Flare / failure avoided </w:t>
            </w:r>
          </w:p>
        </w:tc>
        <w:tc>
          <w:tcPr>
            <w:tcW w:w="862" w:type="pct"/>
            <w:tcBorders>
              <w:top w:val="nil"/>
            </w:tcBorders>
            <w:vAlign w:val="center"/>
          </w:tcPr>
          <w:p w14:paraId="54525B0F" w14:textId="77777777" w:rsidR="002A66BB" w:rsidRPr="00AD5A27" w:rsidRDefault="002A66BB">
            <w:pPr>
              <w:pStyle w:val="TableText0"/>
              <w:keepNext w:val="0"/>
              <w:jc w:val="center"/>
              <w:rPr>
                <w:rFonts w:ascii="Times" w:hAnsi="Times"/>
              </w:rPr>
            </w:pPr>
            <w:r w:rsidRPr="00AD5A27">
              <w:rPr>
                <w:szCs w:val="20"/>
              </w:rPr>
              <w:t>0.241</w:t>
            </w:r>
          </w:p>
        </w:tc>
        <w:tc>
          <w:tcPr>
            <w:tcW w:w="783" w:type="pct"/>
            <w:tcBorders>
              <w:top w:val="nil"/>
            </w:tcBorders>
            <w:vAlign w:val="center"/>
          </w:tcPr>
          <w:p w14:paraId="767C3207" w14:textId="77777777" w:rsidR="002A66BB" w:rsidRPr="00AD5A27" w:rsidRDefault="002A66BB">
            <w:pPr>
              <w:pStyle w:val="TableText0"/>
              <w:keepNext w:val="0"/>
              <w:jc w:val="center"/>
              <w:rPr>
                <w:rFonts w:ascii="Times" w:hAnsi="Times"/>
              </w:rPr>
            </w:pPr>
            <w:r w:rsidRPr="00AD5A27">
              <w:rPr>
                <w:szCs w:val="20"/>
              </w:rPr>
              <w:t>0.430</w:t>
            </w:r>
          </w:p>
        </w:tc>
        <w:tc>
          <w:tcPr>
            <w:tcW w:w="833" w:type="pct"/>
            <w:tcBorders>
              <w:top w:val="nil"/>
            </w:tcBorders>
            <w:vAlign w:val="center"/>
          </w:tcPr>
          <w:p w14:paraId="15981FBF" w14:textId="77777777" w:rsidR="002A66BB" w:rsidRPr="00AD5A27" w:rsidRDefault="002A66BB">
            <w:pPr>
              <w:pStyle w:val="TableText0"/>
              <w:keepNext w:val="0"/>
              <w:jc w:val="center"/>
            </w:pPr>
            <w:r w:rsidRPr="00AD5A27">
              <w:t>0.189</w:t>
            </w:r>
          </w:p>
        </w:tc>
      </w:tr>
      <w:tr w:rsidR="002A66BB" w:rsidRPr="00AD5A27" w14:paraId="2C1D936D" w14:textId="77777777" w:rsidTr="006C24C0">
        <w:tc>
          <w:tcPr>
            <w:tcW w:w="4167" w:type="pct"/>
            <w:gridSpan w:val="3"/>
            <w:vAlign w:val="center"/>
          </w:tcPr>
          <w:p w14:paraId="7FD28F67" w14:textId="77777777" w:rsidR="002A66BB" w:rsidRPr="00AD5A27" w:rsidRDefault="002A66BB">
            <w:pPr>
              <w:pStyle w:val="TableText0"/>
              <w:keepNext w:val="0"/>
              <w:rPr>
                <w:rFonts w:ascii="Times" w:hAnsi="Times"/>
              </w:rPr>
            </w:pPr>
            <w:r w:rsidRPr="00AD5A27">
              <w:t xml:space="preserve">Incremental cost/extra flare / failure avoided </w:t>
            </w:r>
          </w:p>
        </w:tc>
        <w:tc>
          <w:tcPr>
            <w:tcW w:w="833" w:type="pct"/>
            <w:vAlign w:val="center"/>
          </w:tcPr>
          <w:p w14:paraId="4BD45715" w14:textId="4DFABE3F" w:rsidR="002A66BB" w:rsidRPr="00AD5A27" w:rsidRDefault="002A66BB">
            <w:pPr>
              <w:pStyle w:val="TableText0"/>
              <w:keepNext w:val="0"/>
              <w:jc w:val="center"/>
              <w:rPr>
                <w:rFonts w:ascii="Times" w:hAnsi="Times"/>
              </w:rPr>
            </w:pPr>
            <w:r w:rsidRPr="00AD5A27">
              <w:t>$</w:t>
            </w:r>
            <w:r w:rsidR="00860BB2" w:rsidRPr="00860BB2">
              <w:rPr>
                <w:color w:val="000000"/>
                <w:shd w:val="solid" w:color="000000" w:fill="000000"/>
                <w14:textFill>
                  <w14:solidFill>
                    <w14:srgbClr w14:val="000000">
                      <w14:alpha w14:val="100000"/>
                    </w14:srgbClr>
                  </w14:solidFill>
                </w14:textFill>
              </w:rPr>
              <w:t>|</w:t>
            </w:r>
            <w:r w:rsidR="007B084D" w:rsidRPr="007B084D">
              <w:rPr>
                <w:vertAlign w:val="superscript"/>
              </w:rPr>
              <w:t>1</w:t>
            </w:r>
          </w:p>
        </w:tc>
      </w:tr>
      <w:tr w:rsidR="002A66BB" w:rsidRPr="00AD5A27" w14:paraId="6DCA8B5E" w14:textId="77777777" w:rsidTr="006C24C0">
        <w:tc>
          <w:tcPr>
            <w:tcW w:w="5000" w:type="pct"/>
            <w:gridSpan w:val="4"/>
            <w:tcBorders>
              <w:bottom w:val="single" w:sz="4" w:space="0" w:color="auto"/>
            </w:tcBorders>
            <w:vAlign w:val="center"/>
          </w:tcPr>
          <w:p w14:paraId="05AD8B6D" w14:textId="77777777" w:rsidR="002A66BB" w:rsidRPr="00AD5A27" w:rsidRDefault="002A66BB">
            <w:pPr>
              <w:pStyle w:val="In-tableHeading"/>
              <w:keepNext w:val="0"/>
              <w:rPr>
                <w:lang w:val="en-AU"/>
              </w:rPr>
            </w:pPr>
            <w:r w:rsidRPr="00AD5A27">
              <w:rPr>
                <w:lang w:val="en-AU"/>
              </w:rPr>
              <w:t>Step 3: Transform to QALYs (time horizon 12 months)</w:t>
            </w:r>
          </w:p>
        </w:tc>
      </w:tr>
      <w:tr w:rsidR="002A66BB" w:rsidRPr="00AD5A27" w14:paraId="05E002E3" w14:textId="77777777" w:rsidTr="006C24C0">
        <w:tc>
          <w:tcPr>
            <w:tcW w:w="2522" w:type="pct"/>
            <w:tcBorders>
              <w:bottom w:val="nil"/>
            </w:tcBorders>
            <w:vAlign w:val="center"/>
          </w:tcPr>
          <w:p w14:paraId="0E518CE3" w14:textId="77777777" w:rsidR="002A66BB" w:rsidRPr="00AD5A27" w:rsidRDefault="002A66BB">
            <w:pPr>
              <w:pStyle w:val="TableText0"/>
              <w:keepNext w:val="0"/>
              <w:rPr>
                <w:rFonts w:ascii="Times" w:hAnsi="Times"/>
              </w:rPr>
            </w:pPr>
            <w:r w:rsidRPr="00AD5A27">
              <w:t>Costs (ADA/OCS costs only)</w:t>
            </w:r>
          </w:p>
        </w:tc>
        <w:tc>
          <w:tcPr>
            <w:tcW w:w="862" w:type="pct"/>
            <w:tcBorders>
              <w:bottom w:val="nil"/>
            </w:tcBorders>
            <w:vAlign w:val="center"/>
          </w:tcPr>
          <w:p w14:paraId="69969E21" w14:textId="4889F4CC" w:rsidR="002A66BB" w:rsidRPr="00AD5A27" w:rsidRDefault="002A66BB">
            <w:pPr>
              <w:pStyle w:val="TableText0"/>
              <w:keepNext w:val="0"/>
              <w:jc w:val="center"/>
              <w:rPr>
                <w:rFonts w:ascii="Times" w:hAnsi="Times"/>
              </w:rPr>
            </w:pPr>
            <w:r w:rsidRPr="00AD5A27">
              <w:rPr>
                <w:szCs w:val="20"/>
              </w:rPr>
              <w:t>$</w:t>
            </w:r>
            <w:r w:rsidR="00860BB2" w:rsidRPr="00860BB2">
              <w:rPr>
                <w:color w:val="000000"/>
                <w:szCs w:val="20"/>
                <w:shd w:val="solid" w:color="000000" w:fill="000000"/>
                <w14:textFill>
                  <w14:solidFill>
                    <w14:srgbClr w14:val="000000">
                      <w14:alpha w14:val="100000"/>
                    </w14:srgbClr>
                  </w14:solidFill>
                </w14:textFill>
              </w:rPr>
              <w:t>|</w:t>
            </w:r>
          </w:p>
        </w:tc>
        <w:tc>
          <w:tcPr>
            <w:tcW w:w="783" w:type="pct"/>
            <w:tcBorders>
              <w:bottom w:val="nil"/>
            </w:tcBorders>
            <w:vAlign w:val="center"/>
          </w:tcPr>
          <w:p w14:paraId="523D44A2" w14:textId="23F9B216" w:rsidR="002A66BB" w:rsidRPr="00AD5A27" w:rsidRDefault="002A66BB">
            <w:pPr>
              <w:pStyle w:val="TableText0"/>
              <w:keepNext w:val="0"/>
              <w:jc w:val="center"/>
              <w:rPr>
                <w:rFonts w:ascii="Times" w:hAnsi="Times"/>
              </w:rPr>
            </w:pPr>
            <w:r w:rsidRPr="00AD5A27">
              <w:rPr>
                <w:szCs w:val="20"/>
              </w:rPr>
              <w:t>$</w:t>
            </w:r>
            <w:r w:rsidR="00860BB2" w:rsidRPr="00860BB2">
              <w:rPr>
                <w:color w:val="000000"/>
                <w:szCs w:val="20"/>
                <w:shd w:val="solid" w:color="000000" w:fill="000000"/>
                <w14:textFill>
                  <w14:solidFill>
                    <w14:srgbClr w14:val="000000">
                      <w14:alpha w14:val="100000"/>
                    </w14:srgbClr>
                  </w14:solidFill>
                </w14:textFill>
              </w:rPr>
              <w:t>|</w:t>
            </w:r>
          </w:p>
        </w:tc>
        <w:tc>
          <w:tcPr>
            <w:tcW w:w="833" w:type="pct"/>
            <w:tcBorders>
              <w:bottom w:val="nil"/>
            </w:tcBorders>
            <w:vAlign w:val="center"/>
          </w:tcPr>
          <w:p w14:paraId="137EE33B" w14:textId="0780F8DE" w:rsidR="002A66BB" w:rsidRPr="00AD5A27" w:rsidRDefault="002A66BB">
            <w:pPr>
              <w:pStyle w:val="TableText0"/>
              <w:keepNext w:val="0"/>
              <w:jc w:val="center"/>
              <w:rPr>
                <w:rFonts w:ascii="Times" w:hAnsi="Times"/>
              </w:rPr>
            </w:pPr>
            <w:r w:rsidRPr="00AD5A27">
              <w:rPr>
                <w:szCs w:val="20"/>
              </w:rPr>
              <w:t>$</w:t>
            </w:r>
            <w:r w:rsidR="00860BB2" w:rsidRPr="00860BB2">
              <w:rPr>
                <w:color w:val="000000"/>
                <w:szCs w:val="20"/>
                <w:shd w:val="solid" w:color="000000" w:fill="000000"/>
                <w14:textFill>
                  <w14:solidFill>
                    <w14:srgbClr w14:val="000000">
                      <w14:alpha w14:val="100000"/>
                    </w14:srgbClr>
                  </w14:solidFill>
                </w14:textFill>
              </w:rPr>
              <w:t>|</w:t>
            </w:r>
          </w:p>
        </w:tc>
      </w:tr>
      <w:tr w:rsidR="002A66BB" w:rsidRPr="00AD5A27" w14:paraId="4E410F47" w14:textId="77777777" w:rsidTr="006C24C0">
        <w:tc>
          <w:tcPr>
            <w:tcW w:w="2522" w:type="pct"/>
            <w:tcBorders>
              <w:top w:val="nil"/>
            </w:tcBorders>
            <w:vAlign w:val="center"/>
          </w:tcPr>
          <w:p w14:paraId="7DDB77A2" w14:textId="77777777" w:rsidR="002A66BB" w:rsidRPr="00AD5A27" w:rsidRDefault="002A66BB">
            <w:pPr>
              <w:pStyle w:val="TableText0"/>
              <w:keepNext w:val="0"/>
              <w:rPr>
                <w:rFonts w:ascii="Times" w:hAnsi="Times"/>
              </w:rPr>
            </w:pPr>
            <w:r w:rsidRPr="00AD5A27">
              <w:t xml:space="preserve">QALYs </w:t>
            </w:r>
          </w:p>
        </w:tc>
        <w:tc>
          <w:tcPr>
            <w:tcW w:w="862" w:type="pct"/>
            <w:tcBorders>
              <w:top w:val="nil"/>
            </w:tcBorders>
            <w:vAlign w:val="center"/>
          </w:tcPr>
          <w:p w14:paraId="67897264" w14:textId="77777777" w:rsidR="002A66BB" w:rsidRPr="00AD5A27" w:rsidRDefault="002A66BB">
            <w:pPr>
              <w:pStyle w:val="TableText0"/>
              <w:keepNext w:val="0"/>
              <w:jc w:val="center"/>
              <w:rPr>
                <w:rFonts w:ascii="Times" w:hAnsi="Times"/>
              </w:rPr>
            </w:pPr>
            <w:r w:rsidRPr="00AD5A27">
              <w:rPr>
                <w:szCs w:val="20"/>
              </w:rPr>
              <w:t>0.8848</w:t>
            </w:r>
          </w:p>
        </w:tc>
        <w:tc>
          <w:tcPr>
            <w:tcW w:w="783" w:type="pct"/>
            <w:tcBorders>
              <w:top w:val="nil"/>
            </w:tcBorders>
          </w:tcPr>
          <w:p w14:paraId="1EF65FF0" w14:textId="77777777" w:rsidR="002A66BB" w:rsidRPr="00AD5A27" w:rsidRDefault="002A66BB">
            <w:pPr>
              <w:pStyle w:val="TableText0"/>
              <w:keepNext w:val="0"/>
              <w:jc w:val="center"/>
              <w:rPr>
                <w:rFonts w:ascii="Times" w:hAnsi="Times"/>
              </w:rPr>
            </w:pPr>
            <w:r w:rsidRPr="00AD5A27">
              <w:rPr>
                <w:snapToGrid w:val="0"/>
                <w:szCs w:val="20"/>
              </w:rPr>
              <w:t>0.8756</w:t>
            </w:r>
          </w:p>
        </w:tc>
        <w:tc>
          <w:tcPr>
            <w:tcW w:w="833" w:type="pct"/>
            <w:tcBorders>
              <w:top w:val="nil"/>
            </w:tcBorders>
            <w:vAlign w:val="center"/>
          </w:tcPr>
          <w:p w14:paraId="6CCB4C75" w14:textId="77777777" w:rsidR="002A66BB" w:rsidRPr="00AD5A27" w:rsidRDefault="002A66BB">
            <w:pPr>
              <w:pStyle w:val="TableText0"/>
              <w:keepNext w:val="0"/>
              <w:jc w:val="center"/>
            </w:pPr>
            <w:r w:rsidRPr="00AD5A27">
              <w:rPr>
                <w:szCs w:val="20"/>
              </w:rPr>
              <w:t>0.0092</w:t>
            </w:r>
          </w:p>
        </w:tc>
      </w:tr>
      <w:tr w:rsidR="002A66BB" w:rsidRPr="00AD5A27" w14:paraId="3E542B09" w14:textId="77777777" w:rsidTr="006C24C0">
        <w:tc>
          <w:tcPr>
            <w:tcW w:w="4167" w:type="pct"/>
            <w:gridSpan w:val="3"/>
            <w:vAlign w:val="center"/>
          </w:tcPr>
          <w:p w14:paraId="30F3EA7D" w14:textId="77777777" w:rsidR="002A66BB" w:rsidRPr="00AD5A27" w:rsidRDefault="002A66BB">
            <w:pPr>
              <w:pStyle w:val="TableText0"/>
              <w:keepNext w:val="0"/>
              <w:rPr>
                <w:rFonts w:ascii="Times" w:hAnsi="Times"/>
                <w:bCs w:val="0"/>
              </w:rPr>
            </w:pPr>
            <w:r w:rsidRPr="00AD5A27">
              <w:rPr>
                <w:bCs w:val="0"/>
              </w:rPr>
              <w:t xml:space="preserve">Incremental cost/extra QALY gained </w:t>
            </w:r>
          </w:p>
        </w:tc>
        <w:tc>
          <w:tcPr>
            <w:tcW w:w="833" w:type="pct"/>
            <w:vAlign w:val="center"/>
          </w:tcPr>
          <w:p w14:paraId="18779322" w14:textId="6C8517A7" w:rsidR="002A66BB" w:rsidRPr="00AD5A27" w:rsidRDefault="002A66BB">
            <w:pPr>
              <w:pStyle w:val="TableText0"/>
              <w:keepNext w:val="0"/>
              <w:jc w:val="center"/>
              <w:rPr>
                <w:rFonts w:ascii="Times" w:hAnsi="Times"/>
                <w:bCs w:val="0"/>
              </w:rPr>
            </w:pPr>
            <w:r w:rsidRPr="00AD5A27">
              <w:rPr>
                <w:bCs w:val="0"/>
                <w:szCs w:val="20"/>
              </w:rPr>
              <w:t>$</w:t>
            </w:r>
            <w:r w:rsidR="00860BB2" w:rsidRPr="00860BB2">
              <w:rPr>
                <w:bCs w:val="0"/>
                <w:color w:val="000000"/>
                <w:szCs w:val="20"/>
                <w:shd w:val="solid" w:color="000000" w:fill="000000"/>
                <w14:textFill>
                  <w14:solidFill>
                    <w14:srgbClr w14:val="000000">
                      <w14:alpha w14:val="100000"/>
                    </w14:srgbClr>
                  </w14:solidFill>
                </w14:textFill>
              </w:rPr>
              <w:t>|</w:t>
            </w:r>
            <w:r w:rsidRPr="00AD5A27">
              <w:rPr>
                <w:bCs w:val="0"/>
                <w:szCs w:val="20"/>
              </w:rPr>
              <w:t xml:space="preserve"> </w:t>
            </w:r>
            <w:r w:rsidR="005A6F92" w:rsidRPr="005A6F92">
              <w:rPr>
                <w:bCs w:val="0"/>
                <w:szCs w:val="20"/>
                <w:vertAlign w:val="superscript"/>
              </w:rPr>
              <w:t>3</w:t>
            </w:r>
          </w:p>
        </w:tc>
      </w:tr>
      <w:tr w:rsidR="002A66BB" w:rsidRPr="00AD5A27" w14:paraId="3307F4B3" w14:textId="77777777" w:rsidTr="006C24C0">
        <w:tc>
          <w:tcPr>
            <w:tcW w:w="5000" w:type="pct"/>
            <w:gridSpan w:val="4"/>
            <w:tcBorders>
              <w:bottom w:val="single" w:sz="4" w:space="0" w:color="auto"/>
            </w:tcBorders>
            <w:vAlign w:val="center"/>
          </w:tcPr>
          <w:p w14:paraId="3E03CE23" w14:textId="77777777" w:rsidR="002A66BB" w:rsidRPr="00AD5A27" w:rsidRDefault="002A66BB">
            <w:pPr>
              <w:pStyle w:val="In-tableHeading"/>
              <w:keepNext w:val="0"/>
              <w:rPr>
                <w:lang w:val="en-AU"/>
              </w:rPr>
            </w:pPr>
            <w:r w:rsidRPr="00AD5A27">
              <w:rPr>
                <w:lang w:val="en-AU"/>
              </w:rPr>
              <w:t>Step 4: Introduce cost of flares (time horizon 12 months)</w:t>
            </w:r>
          </w:p>
        </w:tc>
      </w:tr>
      <w:tr w:rsidR="002A66BB" w:rsidRPr="00AD5A27" w14:paraId="522984CB" w14:textId="77777777" w:rsidTr="006C24C0">
        <w:tc>
          <w:tcPr>
            <w:tcW w:w="2522" w:type="pct"/>
            <w:tcBorders>
              <w:bottom w:val="nil"/>
            </w:tcBorders>
            <w:vAlign w:val="center"/>
          </w:tcPr>
          <w:p w14:paraId="534344A7" w14:textId="77777777" w:rsidR="002A66BB" w:rsidRPr="00AD5A27" w:rsidRDefault="002A66BB">
            <w:pPr>
              <w:pStyle w:val="TableText0"/>
              <w:keepNext w:val="0"/>
              <w:rPr>
                <w:rFonts w:ascii="Times" w:hAnsi="Times"/>
              </w:rPr>
            </w:pPr>
            <w:r w:rsidRPr="00AD5A27">
              <w:t>Costs (ADA/OCS, OC costs)</w:t>
            </w:r>
          </w:p>
        </w:tc>
        <w:tc>
          <w:tcPr>
            <w:tcW w:w="862" w:type="pct"/>
            <w:tcBorders>
              <w:bottom w:val="nil"/>
            </w:tcBorders>
          </w:tcPr>
          <w:p w14:paraId="56AD9B66" w14:textId="349F8C47" w:rsidR="002A66BB" w:rsidRPr="00AD5A27" w:rsidRDefault="002A66BB">
            <w:pPr>
              <w:pStyle w:val="TableText0"/>
              <w:keepNext w:val="0"/>
              <w:jc w:val="center"/>
              <w:rPr>
                <w:rFonts w:ascii="Times" w:hAnsi="Times"/>
              </w:rPr>
            </w:pPr>
            <w:r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783" w:type="pct"/>
            <w:tcBorders>
              <w:bottom w:val="nil"/>
            </w:tcBorders>
          </w:tcPr>
          <w:p w14:paraId="5D2F8500" w14:textId="3E8A239A" w:rsidR="002A66BB" w:rsidRPr="00AD5A27" w:rsidRDefault="002A66BB">
            <w:pPr>
              <w:pStyle w:val="TableText0"/>
              <w:keepNext w:val="0"/>
              <w:jc w:val="center"/>
              <w:rPr>
                <w:rFonts w:ascii="Times" w:hAnsi="Times"/>
              </w:rPr>
            </w:pPr>
            <w:r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833" w:type="pct"/>
            <w:tcBorders>
              <w:bottom w:val="nil"/>
            </w:tcBorders>
            <w:vAlign w:val="center"/>
          </w:tcPr>
          <w:p w14:paraId="030E2EE4" w14:textId="408371BD" w:rsidR="002A66BB" w:rsidRPr="00AD5A27" w:rsidRDefault="002A66BB">
            <w:pPr>
              <w:pStyle w:val="TableText0"/>
              <w:keepNext w:val="0"/>
              <w:jc w:val="center"/>
              <w:rPr>
                <w:rFonts w:ascii="Times" w:hAnsi="Times"/>
              </w:rPr>
            </w:pPr>
            <w:r w:rsidRPr="00AD5A27">
              <w:t>$</w:t>
            </w:r>
            <w:r w:rsidR="00860BB2" w:rsidRPr="00860BB2">
              <w:rPr>
                <w:color w:val="000000"/>
                <w:shd w:val="solid" w:color="000000" w:fill="000000"/>
                <w14:textFill>
                  <w14:solidFill>
                    <w14:srgbClr w14:val="000000">
                      <w14:alpha w14:val="100000"/>
                    </w14:srgbClr>
                  </w14:solidFill>
                </w14:textFill>
              </w:rPr>
              <w:t>|</w:t>
            </w:r>
          </w:p>
        </w:tc>
      </w:tr>
      <w:tr w:rsidR="002A66BB" w:rsidRPr="00AD5A27" w14:paraId="7B9B9DD4" w14:textId="77777777" w:rsidTr="006C24C0">
        <w:tc>
          <w:tcPr>
            <w:tcW w:w="2522" w:type="pct"/>
            <w:tcBorders>
              <w:top w:val="nil"/>
            </w:tcBorders>
            <w:vAlign w:val="center"/>
          </w:tcPr>
          <w:p w14:paraId="1DD840C8" w14:textId="77777777" w:rsidR="002A66BB" w:rsidRPr="00AD5A27" w:rsidRDefault="002A66BB">
            <w:pPr>
              <w:pStyle w:val="TableText0"/>
              <w:keepNext w:val="0"/>
              <w:rPr>
                <w:rFonts w:ascii="Times" w:hAnsi="Times"/>
              </w:rPr>
            </w:pPr>
            <w:r w:rsidRPr="00AD5A27">
              <w:t xml:space="preserve">QALYs </w:t>
            </w:r>
          </w:p>
        </w:tc>
        <w:tc>
          <w:tcPr>
            <w:tcW w:w="862" w:type="pct"/>
            <w:tcBorders>
              <w:top w:val="nil"/>
            </w:tcBorders>
            <w:vAlign w:val="center"/>
          </w:tcPr>
          <w:p w14:paraId="0C3A0BC1" w14:textId="77777777" w:rsidR="002A66BB" w:rsidRPr="00AD5A27" w:rsidRDefault="002A66BB">
            <w:pPr>
              <w:pStyle w:val="TableText0"/>
              <w:keepNext w:val="0"/>
              <w:jc w:val="center"/>
              <w:rPr>
                <w:rFonts w:ascii="Times" w:hAnsi="Times"/>
              </w:rPr>
            </w:pPr>
            <w:r w:rsidRPr="00AD5A27">
              <w:rPr>
                <w:szCs w:val="20"/>
              </w:rPr>
              <w:t>0.8848</w:t>
            </w:r>
          </w:p>
        </w:tc>
        <w:tc>
          <w:tcPr>
            <w:tcW w:w="783" w:type="pct"/>
            <w:tcBorders>
              <w:top w:val="nil"/>
            </w:tcBorders>
          </w:tcPr>
          <w:p w14:paraId="29E1AF73" w14:textId="77777777" w:rsidR="002A66BB" w:rsidRPr="00AD5A27" w:rsidRDefault="002A66BB">
            <w:pPr>
              <w:pStyle w:val="TableText0"/>
              <w:keepNext w:val="0"/>
              <w:jc w:val="center"/>
              <w:rPr>
                <w:rFonts w:ascii="Times" w:hAnsi="Times"/>
              </w:rPr>
            </w:pPr>
            <w:r w:rsidRPr="00AD5A27">
              <w:rPr>
                <w:snapToGrid w:val="0"/>
                <w:szCs w:val="20"/>
              </w:rPr>
              <w:t>0.8756</w:t>
            </w:r>
          </w:p>
        </w:tc>
        <w:tc>
          <w:tcPr>
            <w:tcW w:w="833" w:type="pct"/>
            <w:tcBorders>
              <w:top w:val="nil"/>
            </w:tcBorders>
            <w:vAlign w:val="center"/>
          </w:tcPr>
          <w:p w14:paraId="52149B6E" w14:textId="77777777" w:rsidR="002A66BB" w:rsidRPr="00AD5A27" w:rsidRDefault="002A66BB">
            <w:pPr>
              <w:pStyle w:val="TableText0"/>
              <w:keepNext w:val="0"/>
              <w:jc w:val="center"/>
            </w:pPr>
            <w:r w:rsidRPr="00AD5A27">
              <w:rPr>
                <w:szCs w:val="20"/>
              </w:rPr>
              <w:t>0.0092</w:t>
            </w:r>
          </w:p>
        </w:tc>
      </w:tr>
      <w:tr w:rsidR="002A66BB" w:rsidRPr="00AD5A27" w14:paraId="1738589F" w14:textId="77777777" w:rsidTr="006C24C0">
        <w:tc>
          <w:tcPr>
            <w:tcW w:w="4167" w:type="pct"/>
            <w:gridSpan w:val="3"/>
            <w:vAlign w:val="center"/>
          </w:tcPr>
          <w:p w14:paraId="1C02CA2D" w14:textId="77777777" w:rsidR="002A66BB" w:rsidRPr="00AD5A27" w:rsidRDefault="002A66BB">
            <w:pPr>
              <w:pStyle w:val="TableText0"/>
              <w:keepNext w:val="0"/>
              <w:rPr>
                <w:rFonts w:ascii="Times" w:hAnsi="Times"/>
                <w:bCs w:val="0"/>
              </w:rPr>
            </w:pPr>
            <w:r w:rsidRPr="00AD5A27">
              <w:rPr>
                <w:bCs w:val="0"/>
              </w:rPr>
              <w:t xml:space="preserve">Incremental cost/extra QALY gained </w:t>
            </w:r>
          </w:p>
        </w:tc>
        <w:tc>
          <w:tcPr>
            <w:tcW w:w="833" w:type="pct"/>
            <w:vAlign w:val="center"/>
          </w:tcPr>
          <w:p w14:paraId="3212D313" w14:textId="21292E5C" w:rsidR="002A66BB" w:rsidRPr="00AD5A27" w:rsidRDefault="002A66BB">
            <w:pPr>
              <w:pStyle w:val="TableText0"/>
              <w:keepNext w:val="0"/>
              <w:jc w:val="center"/>
              <w:rPr>
                <w:rFonts w:ascii="Times" w:hAnsi="Times"/>
                <w:bCs w:val="0"/>
              </w:rPr>
            </w:pPr>
            <w:r w:rsidRPr="00AD5A27">
              <w:rPr>
                <w:bCs w:val="0"/>
              </w:rPr>
              <w:t>$</w:t>
            </w:r>
            <w:r w:rsidR="00860BB2" w:rsidRPr="00860BB2">
              <w:rPr>
                <w:bCs w:val="0"/>
                <w:color w:val="000000"/>
                <w:shd w:val="solid" w:color="000000" w:fill="000000"/>
                <w14:textFill>
                  <w14:solidFill>
                    <w14:srgbClr w14:val="000000">
                      <w14:alpha w14:val="100000"/>
                    </w14:srgbClr>
                  </w14:solidFill>
                </w14:textFill>
              </w:rPr>
              <w:t>|</w:t>
            </w:r>
            <w:r w:rsidRPr="00AD5A27">
              <w:rPr>
                <w:bCs w:val="0"/>
              </w:rPr>
              <w:t xml:space="preserve"> </w:t>
            </w:r>
            <w:r w:rsidR="005A6F92" w:rsidRPr="005A6F92">
              <w:rPr>
                <w:bCs w:val="0"/>
                <w:szCs w:val="20"/>
                <w:vertAlign w:val="superscript"/>
              </w:rPr>
              <w:t>3</w:t>
            </w:r>
          </w:p>
        </w:tc>
      </w:tr>
      <w:tr w:rsidR="002A66BB" w:rsidRPr="00AD5A27" w14:paraId="5FF614B1" w14:textId="77777777" w:rsidTr="006C24C0">
        <w:tc>
          <w:tcPr>
            <w:tcW w:w="5000" w:type="pct"/>
            <w:gridSpan w:val="4"/>
            <w:tcBorders>
              <w:bottom w:val="single" w:sz="4" w:space="0" w:color="auto"/>
            </w:tcBorders>
            <w:vAlign w:val="center"/>
          </w:tcPr>
          <w:p w14:paraId="67AC81A2" w14:textId="77777777" w:rsidR="002A66BB" w:rsidRPr="00AD5A27" w:rsidRDefault="002A66BB">
            <w:pPr>
              <w:pStyle w:val="In-tableHeading"/>
              <w:keepNext w:val="0"/>
              <w:rPr>
                <w:lang w:val="en-AU"/>
              </w:rPr>
            </w:pPr>
            <w:r w:rsidRPr="00AD5A27">
              <w:rPr>
                <w:lang w:val="en-AU"/>
              </w:rPr>
              <w:t>Step 5: Introduce AE impacts for ADA and OCS (time horizon 12 months)</w:t>
            </w:r>
          </w:p>
        </w:tc>
      </w:tr>
      <w:tr w:rsidR="002A66BB" w:rsidRPr="00AD5A27" w14:paraId="0C560A26" w14:textId="77777777" w:rsidTr="006C24C0">
        <w:tc>
          <w:tcPr>
            <w:tcW w:w="2522" w:type="pct"/>
            <w:tcBorders>
              <w:bottom w:val="nil"/>
            </w:tcBorders>
            <w:vAlign w:val="center"/>
          </w:tcPr>
          <w:p w14:paraId="7E84B944" w14:textId="77777777" w:rsidR="002A66BB" w:rsidRPr="00AD5A27" w:rsidRDefault="002A66BB">
            <w:pPr>
              <w:pStyle w:val="TableText0"/>
              <w:keepNext w:val="0"/>
              <w:rPr>
                <w:rFonts w:ascii="Times" w:hAnsi="Times"/>
              </w:rPr>
            </w:pPr>
            <w:r w:rsidRPr="00AD5A27">
              <w:t>Costs (ADA/OCS, OC, AE costs)</w:t>
            </w:r>
          </w:p>
        </w:tc>
        <w:tc>
          <w:tcPr>
            <w:tcW w:w="862" w:type="pct"/>
            <w:tcBorders>
              <w:bottom w:val="nil"/>
            </w:tcBorders>
          </w:tcPr>
          <w:p w14:paraId="44C46648" w14:textId="6614B8CB" w:rsidR="002A66BB" w:rsidRPr="00AD5A27" w:rsidRDefault="002A66BB">
            <w:pPr>
              <w:pStyle w:val="TableText0"/>
              <w:keepNext w:val="0"/>
              <w:jc w:val="center"/>
              <w:rPr>
                <w:rFonts w:ascii="Times" w:hAnsi="Times"/>
              </w:rPr>
            </w:pPr>
            <w:r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783" w:type="pct"/>
            <w:tcBorders>
              <w:bottom w:val="nil"/>
            </w:tcBorders>
          </w:tcPr>
          <w:p w14:paraId="3D94A64F" w14:textId="5BB345D7" w:rsidR="002A66BB" w:rsidRPr="00AD5A27" w:rsidRDefault="002A66BB">
            <w:pPr>
              <w:pStyle w:val="TableText0"/>
              <w:keepNext w:val="0"/>
              <w:jc w:val="center"/>
              <w:rPr>
                <w:rFonts w:ascii="Times" w:hAnsi="Times"/>
              </w:rPr>
            </w:pPr>
            <w:r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833" w:type="pct"/>
            <w:tcBorders>
              <w:bottom w:val="nil"/>
            </w:tcBorders>
            <w:vAlign w:val="center"/>
          </w:tcPr>
          <w:p w14:paraId="0ABCE97D" w14:textId="4EB13A4F" w:rsidR="002A66BB" w:rsidRPr="00AD5A27" w:rsidRDefault="002A66BB">
            <w:pPr>
              <w:pStyle w:val="TableText0"/>
              <w:keepNext w:val="0"/>
              <w:jc w:val="center"/>
              <w:rPr>
                <w:rFonts w:ascii="Times" w:hAnsi="Times"/>
              </w:rPr>
            </w:pPr>
            <w:r w:rsidRPr="00AD5A27">
              <w:t>$</w:t>
            </w:r>
            <w:r w:rsidR="00860BB2" w:rsidRPr="00860BB2">
              <w:rPr>
                <w:color w:val="000000"/>
                <w:shd w:val="solid" w:color="000000" w:fill="000000"/>
                <w14:textFill>
                  <w14:solidFill>
                    <w14:srgbClr w14:val="000000">
                      <w14:alpha w14:val="100000"/>
                    </w14:srgbClr>
                  </w14:solidFill>
                </w14:textFill>
              </w:rPr>
              <w:t>|</w:t>
            </w:r>
          </w:p>
        </w:tc>
      </w:tr>
      <w:tr w:rsidR="002A66BB" w:rsidRPr="00AD5A27" w14:paraId="63031851" w14:textId="77777777" w:rsidTr="006C24C0">
        <w:tc>
          <w:tcPr>
            <w:tcW w:w="2522" w:type="pct"/>
            <w:tcBorders>
              <w:top w:val="nil"/>
            </w:tcBorders>
            <w:vAlign w:val="center"/>
          </w:tcPr>
          <w:p w14:paraId="5BD00DF3" w14:textId="77777777" w:rsidR="002A66BB" w:rsidRPr="00AD5A27" w:rsidRDefault="002A66BB">
            <w:pPr>
              <w:pStyle w:val="TableText0"/>
              <w:keepNext w:val="0"/>
              <w:rPr>
                <w:rFonts w:ascii="Times" w:hAnsi="Times"/>
              </w:rPr>
            </w:pPr>
            <w:r w:rsidRPr="00AD5A27">
              <w:t xml:space="preserve">QALYs </w:t>
            </w:r>
          </w:p>
        </w:tc>
        <w:tc>
          <w:tcPr>
            <w:tcW w:w="862" w:type="pct"/>
            <w:tcBorders>
              <w:top w:val="nil"/>
            </w:tcBorders>
            <w:vAlign w:val="center"/>
          </w:tcPr>
          <w:p w14:paraId="57B3FB51" w14:textId="77777777" w:rsidR="002A66BB" w:rsidRPr="00AD5A27" w:rsidRDefault="002A66BB">
            <w:pPr>
              <w:pStyle w:val="TableText0"/>
              <w:keepNext w:val="0"/>
              <w:jc w:val="center"/>
              <w:rPr>
                <w:rFonts w:ascii="Times" w:hAnsi="Times"/>
              </w:rPr>
            </w:pPr>
            <w:r w:rsidRPr="00AD5A27">
              <w:rPr>
                <w:szCs w:val="20"/>
              </w:rPr>
              <w:t>0.8848</w:t>
            </w:r>
          </w:p>
        </w:tc>
        <w:tc>
          <w:tcPr>
            <w:tcW w:w="783" w:type="pct"/>
            <w:tcBorders>
              <w:top w:val="nil"/>
            </w:tcBorders>
          </w:tcPr>
          <w:p w14:paraId="2EBD3CAD" w14:textId="77777777" w:rsidR="002A66BB" w:rsidRPr="00AD5A27" w:rsidRDefault="002A66BB">
            <w:pPr>
              <w:pStyle w:val="TableText0"/>
              <w:keepNext w:val="0"/>
              <w:jc w:val="center"/>
              <w:rPr>
                <w:rFonts w:ascii="Times" w:hAnsi="Times"/>
              </w:rPr>
            </w:pPr>
            <w:r w:rsidRPr="00AD5A27">
              <w:rPr>
                <w:snapToGrid w:val="0"/>
                <w:szCs w:val="20"/>
              </w:rPr>
              <w:t>0.8756</w:t>
            </w:r>
          </w:p>
        </w:tc>
        <w:tc>
          <w:tcPr>
            <w:tcW w:w="833" w:type="pct"/>
            <w:tcBorders>
              <w:top w:val="nil"/>
            </w:tcBorders>
            <w:vAlign w:val="center"/>
          </w:tcPr>
          <w:p w14:paraId="2CCD820E" w14:textId="77777777" w:rsidR="002A66BB" w:rsidRPr="00AD5A27" w:rsidRDefault="002A66BB">
            <w:pPr>
              <w:pStyle w:val="TableText0"/>
              <w:keepNext w:val="0"/>
              <w:jc w:val="center"/>
            </w:pPr>
            <w:r w:rsidRPr="00AD5A27">
              <w:rPr>
                <w:szCs w:val="20"/>
              </w:rPr>
              <w:t>0.0092</w:t>
            </w:r>
          </w:p>
        </w:tc>
      </w:tr>
      <w:tr w:rsidR="002A66BB" w:rsidRPr="00AD5A27" w14:paraId="58B31C78" w14:textId="77777777" w:rsidTr="006C24C0">
        <w:tc>
          <w:tcPr>
            <w:tcW w:w="4167" w:type="pct"/>
            <w:gridSpan w:val="3"/>
            <w:vAlign w:val="center"/>
          </w:tcPr>
          <w:p w14:paraId="08C8D556" w14:textId="77777777" w:rsidR="002A66BB" w:rsidRPr="00AD5A27" w:rsidRDefault="002A66BB">
            <w:pPr>
              <w:pStyle w:val="TableText0"/>
              <w:keepNext w:val="0"/>
              <w:rPr>
                <w:rFonts w:ascii="Times" w:hAnsi="Times"/>
                <w:bCs w:val="0"/>
              </w:rPr>
            </w:pPr>
            <w:r w:rsidRPr="00AD5A27">
              <w:rPr>
                <w:bCs w:val="0"/>
              </w:rPr>
              <w:t xml:space="preserve">Incremental cost/extra QALY gained </w:t>
            </w:r>
          </w:p>
        </w:tc>
        <w:tc>
          <w:tcPr>
            <w:tcW w:w="833" w:type="pct"/>
            <w:vAlign w:val="center"/>
          </w:tcPr>
          <w:p w14:paraId="1BAD0C07" w14:textId="2037C228" w:rsidR="002A66BB" w:rsidRPr="00AD5A27" w:rsidRDefault="002A66BB">
            <w:pPr>
              <w:pStyle w:val="TableText0"/>
              <w:keepNext w:val="0"/>
              <w:jc w:val="center"/>
              <w:rPr>
                <w:rFonts w:ascii="Times" w:hAnsi="Times"/>
                <w:bCs w:val="0"/>
              </w:rPr>
            </w:pPr>
            <w:r w:rsidRPr="00AD5A27">
              <w:rPr>
                <w:bCs w:val="0"/>
                <w:szCs w:val="20"/>
              </w:rPr>
              <w:t>$</w:t>
            </w:r>
            <w:r w:rsidR="00860BB2" w:rsidRPr="00860BB2">
              <w:rPr>
                <w:bCs w:val="0"/>
                <w:color w:val="000000"/>
                <w:szCs w:val="20"/>
                <w:shd w:val="solid" w:color="000000" w:fill="000000"/>
                <w14:textFill>
                  <w14:solidFill>
                    <w14:srgbClr w14:val="000000">
                      <w14:alpha w14:val="100000"/>
                    </w14:srgbClr>
                  </w14:solidFill>
                </w14:textFill>
              </w:rPr>
              <w:t>|</w:t>
            </w:r>
            <w:r w:rsidRPr="00AD5A27">
              <w:rPr>
                <w:bCs w:val="0"/>
                <w:szCs w:val="20"/>
              </w:rPr>
              <w:t xml:space="preserve"> </w:t>
            </w:r>
            <w:r w:rsidR="005A6F92" w:rsidRPr="005A6F92">
              <w:rPr>
                <w:bCs w:val="0"/>
                <w:szCs w:val="20"/>
                <w:vertAlign w:val="superscript"/>
              </w:rPr>
              <w:t>3</w:t>
            </w:r>
          </w:p>
        </w:tc>
      </w:tr>
      <w:tr w:rsidR="002A66BB" w:rsidRPr="00AD5A27" w14:paraId="4C86B925" w14:textId="77777777" w:rsidTr="006C24C0">
        <w:tc>
          <w:tcPr>
            <w:tcW w:w="5000" w:type="pct"/>
            <w:gridSpan w:val="4"/>
            <w:tcBorders>
              <w:bottom w:val="single" w:sz="4" w:space="0" w:color="auto"/>
            </w:tcBorders>
            <w:vAlign w:val="center"/>
          </w:tcPr>
          <w:p w14:paraId="6A57FCB6" w14:textId="77777777" w:rsidR="002A66BB" w:rsidRPr="00AD5A27" w:rsidRDefault="002A66BB">
            <w:pPr>
              <w:pStyle w:val="In-tableHeading"/>
              <w:keepNext w:val="0"/>
              <w:rPr>
                <w:lang w:val="en-AU"/>
              </w:rPr>
            </w:pPr>
            <w:r w:rsidRPr="00AD5A27">
              <w:rPr>
                <w:lang w:val="en-AU"/>
              </w:rPr>
              <w:t xml:space="preserve">Step 6: Extrapolate to lifetime horizon </w:t>
            </w:r>
          </w:p>
        </w:tc>
      </w:tr>
      <w:tr w:rsidR="002A66BB" w:rsidRPr="00AD5A27" w14:paraId="7825125A" w14:textId="77777777" w:rsidTr="006C24C0">
        <w:tc>
          <w:tcPr>
            <w:tcW w:w="2522" w:type="pct"/>
            <w:tcBorders>
              <w:bottom w:val="nil"/>
            </w:tcBorders>
            <w:vAlign w:val="center"/>
          </w:tcPr>
          <w:p w14:paraId="677990EA" w14:textId="77777777" w:rsidR="002A66BB" w:rsidRPr="00AD5A27" w:rsidRDefault="002A66BB">
            <w:pPr>
              <w:pStyle w:val="TableText0"/>
              <w:keepNext w:val="0"/>
              <w:rPr>
                <w:rFonts w:ascii="Times" w:hAnsi="Times"/>
              </w:rPr>
            </w:pPr>
            <w:r w:rsidRPr="00AD5A27">
              <w:t>Costs (ADA/OCS, OC, AE costs)</w:t>
            </w:r>
          </w:p>
        </w:tc>
        <w:tc>
          <w:tcPr>
            <w:tcW w:w="862" w:type="pct"/>
            <w:tcBorders>
              <w:bottom w:val="nil"/>
            </w:tcBorders>
          </w:tcPr>
          <w:p w14:paraId="3DB93DFF" w14:textId="66453742" w:rsidR="002A66BB" w:rsidRPr="00AD5A27" w:rsidRDefault="002A66BB">
            <w:pPr>
              <w:pStyle w:val="TableText0"/>
              <w:keepNext w:val="0"/>
              <w:jc w:val="center"/>
              <w:rPr>
                <w:rFonts w:ascii="Times" w:hAnsi="Times"/>
              </w:rPr>
            </w:pPr>
            <w:r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783" w:type="pct"/>
            <w:tcBorders>
              <w:bottom w:val="nil"/>
            </w:tcBorders>
          </w:tcPr>
          <w:p w14:paraId="068C2313" w14:textId="13D3CA16" w:rsidR="002A66BB" w:rsidRPr="00AD5A27" w:rsidRDefault="002A66BB">
            <w:pPr>
              <w:pStyle w:val="TableText0"/>
              <w:keepNext w:val="0"/>
              <w:jc w:val="center"/>
              <w:rPr>
                <w:rFonts w:ascii="Times" w:hAnsi="Times"/>
              </w:rPr>
            </w:pPr>
            <w:r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833" w:type="pct"/>
            <w:tcBorders>
              <w:bottom w:val="nil"/>
            </w:tcBorders>
            <w:vAlign w:val="center"/>
          </w:tcPr>
          <w:p w14:paraId="492A55A9" w14:textId="404DA067" w:rsidR="002A66BB" w:rsidRPr="00AD5A27" w:rsidRDefault="002A66BB">
            <w:pPr>
              <w:pStyle w:val="TableText0"/>
              <w:keepNext w:val="0"/>
              <w:jc w:val="center"/>
              <w:rPr>
                <w:rFonts w:ascii="Times" w:hAnsi="Times"/>
                <w:highlight w:val="yellow"/>
              </w:rPr>
            </w:pPr>
            <w:r w:rsidRPr="00AD5A27">
              <w:t>$</w:t>
            </w:r>
            <w:r w:rsidR="00860BB2" w:rsidRPr="00860BB2">
              <w:rPr>
                <w:color w:val="000000"/>
                <w:shd w:val="solid" w:color="000000" w:fill="000000"/>
                <w14:textFill>
                  <w14:solidFill>
                    <w14:srgbClr w14:val="000000">
                      <w14:alpha w14:val="100000"/>
                    </w14:srgbClr>
                  </w14:solidFill>
                </w14:textFill>
              </w:rPr>
              <w:t>|</w:t>
            </w:r>
          </w:p>
        </w:tc>
      </w:tr>
      <w:tr w:rsidR="002A66BB" w:rsidRPr="00AD5A27" w14:paraId="482AF99D" w14:textId="77777777" w:rsidTr="006C24C0">
        <w:tc>
          <w:tcPr>
            <w:tcW w:w="2522" w:type="pct"/>
            <w:tcBorders>
              <w:top w:val="nil"/>
            </w:tcBorders>
            <w:vAlign w:val="center"/>
          </w:tcPr>
          <w:p w14:paraId="413DFE5B" w14:textId="77777777" w:rsidR="002A66BB" w:rsidRPr="00AD5A27" w:rsidRDefault="002A66BB">
            <w:pPr>
              <w:pStyle w:val="TableText0"/>
              <w:keepNext w:val="0"/>
              <w:rPr>
                <w:rFonts w:ascii="Times" w:hAnsi="Times"/>
              </w:rPr>
            </w:pPr>
            <w:r w:rsidRPr="00AD5A27">
              <w:t xml:space="preserve">QALYs </w:t>
            </w:r>
          </w:p>
        </w:tc>
        <w:tc>
          <w:tcPr>
            <w:tcW w:w="862" w:type="pct"/>
            <w:tcBorders>
              <w:top w:val="nil"/>
            </w:tcBorders>
          </w:tcPr>
          <w:p w14:paraId="0253C60C" w14:textId="77777777" w:rsidR="002A66BB" w:rsidRPr="00AD5A27" w:rsidRDefault="002A66BB">
            <w:pPr>
              <w:pStyle w:val="TableText0"/>
              <w:keepNext w:val="0"/>
              <w:jc w:val="center"/>
              <w:rPr>
                <w:rFonts w:ascii="Times" w:hAnsi="Times"/>
              </w:rPr>
            </w:pPr>
            <w:r w:rsidRPr="00AD5A27">
              <w:rPr>
                <w:snapToGrid w:val="0"/>
                <w:szCs w:val="20"/>
              </w:rPr>
              <w:t>13.6340</w:t>
            </w:r>
          </w:p>
        </w:tc>
        <w:tc>
          <w:tcPr>
            <w:tcW w:w="783" w:type="pct"/>
            <w:tcBorders>
              <w:top w:val="nil"/>
            </w:tcBorders>
          </w:tcPr>
          <w:p w14:paraId="62E17DCB" w14:textId="77777777" w:rsidR="002A66BB" w:rsidRPr="00AD5A27" w:rsidRDefault="002A66BB">
            <w:pPr>
              <w:pStyle w:val="TableText0"/>
              <w:keepNext w:val="0"/>
              <w:jc w:val="center"/>
              <w:rPr>
                <w:rFonts w:ascii="Times" w:hAnsi="Times"/>
              </w:rPr>
            </w:pPr>
            <w:r w:rsidRPr="00AD5A27">
              <w:rPr>
                <w:snapToGrid w:val="0"/>
                <w:szCs w:val="20"/>
              </w:rPr>
              <w:t>13.4026</w:t>
            </w:r>
          </w:p>
        </w:tc>
        <w:tc>
          <w:tcPr>
            <w:tcW w:w="833" w:type="pct"/>
            <w:tcBorders>
              <w:top w:val="nil"/>
            </w:tcBorders>
            <w:vAlign w:val="center"/>
          </w:tcPr>
          <w:p w14:paraId="7FA3C0DE" w14:textId="77777777" w:rsidR="002A66BB" w:rsidRPr="00AD5A27" w:rsidRDefault="002A66BB">
            <w:pPr>
              <w:pStyle w:val="TableText0"/>
              <w:keepNext w:val="0"/>
              <w:jc w:val="center"/>
            </w:pPr>
            <w:r w:rsidRPr="00AD5A27">
              <w:t>0.2314</w:t>
            </w:r>
          </w:p>
        </w:tc>
      </w:tr>
      <w:tr w:rsidR="002A66BB" w:rsidRPr="00AD5A27" w14:paraId="120C0F56" w14:textId="77777777" w:rsidTr="006C24C0">
        <w:tc>
          <w:tcPr>
            <w:tcW w:w="4167" w:type="pct"/>
            <w:gridSpan w:val="3"/>
            <w:vAlign w:val="center"/>
          </w:tcPr>
          <w:p w14:paraId="33B6C458" w14:textId="77777777" w:rsidR="002A66BB" w:rsidRPr="00AD5A27" w:rsidRDefault="002A66BB">
            <w:pPr>
              <w:pStyle w:val="TableText0"/>
              <w:keepNext w:val="0"/>
              <w:rPr>
                <w:rFonts w:ascii="Times" w:hAnsi="Times"/>
                <w:bCs w:val="0"/>
              </w:rPr>
            </w:pPr>
            <w:r w:rsidRPr="00AD5A27">
              <w:rPr>
                <w:bCs w:val="0"/>
              </w:rPr>
              <w:t xml:space="preserve">Incremental cost/extra QALY gained </w:t>
            </w:r>
          </w:p>
        </w:tc>
        <w:tc>
          <w:tcPr>
            <w:tcW w:w="833" w:type="pct"/>
            <w:vAlign w:val="center"/>
          </w:tcPr>
          <w:p w14:paraId="05972250" w14:textId="6BFA2610" w:rsidR="002A66BB" w:rsidRPr="00AD5A27" w:rsidRDefault="002A66BB">
            <w:pPr>
              <w:pStyle w:val="TableText0"/>
              <w:keepNext w:val="0"/>
              <w:jc w:val="center"/>
              <w:rPr>
                <w:rFonts w:ascii="Times" w:hAnsi="Times"/>
                <w:bCs w:val="0"/>
              </w:rPr>
            </w:pPr>
            <w:r w:rsidRPr="00AD5A27">
              <w:rPr>
                <w:bCs w:val="0"/>
              </w:rPr>
              <w:t>$</w:t>
            </w:r>
            <w:r w:rsidR="00860BB2" w:rsidRPr="00860BB2">
              <w:rPr>
                <w:bCs w:val="0"/>
                <w:color w:val="000000"/>
                <w:shd w:val="solid" w:color="000000" w:fill="000000"/>
                <w14:textFill>
                  <w14:solidFill>
                    <w14:srgbClr w14:val="000000">
                      <w14:alpha w14:val="100000"/>
                    </w14:srgbClr>
                  </w14:solidFill>
                </w14:textFill>
              </w:rPr>
              <w:t>|</w:t>
            </w:r>
            <w:r w:rsidRPr="00AD5A27">
              <w:rPr>
                <w:bCs w:val="0"/>
              </w:rPr>
              <w:t xml:space="preserve"> </w:t>
            </w:r>
            <w:r w:rsidR="005A6F92" w:rsidRPr="005A6F92">
              <w:rPr>
                <w:bCs w:val="0"/>
                <w:vertAlign w:val="superscript"/>
              </w:rPr>
              <w:t>4</w:t>
            </w:r>
          </w:p>
        </w:tc>
      </w:tr>
      <w:tr w:rsidR="002A66BB" w:rsidRPr="00AD5A27" w14:paraId="05A12E3B" w14:textId="77777777" w:rsidTr="006C24C0">
        <w:tc>
          <w:tcPr>
            <w:tcW w:w="5000" w:type="pct"/>
            <w:gridSpan w:val="4"/>
            <w:tcBorders>
              <w:bottom w:val="single" w:sz="4" w:space="0" w:color="auto"/>
            </w:tcBorders>
            <w:vAlign w:val="center"/>
          </w:tcPr>
          <w:p w14:paraId="73B51986" w14:textId="77777777" w:rsidR="002A66BB" w:rsidRPr="00AD5A27" w:rsidRDefault="002A66BB">
            <w:pPr>
              <w:pStyle w:val="In-tableHeading"/>
              <w:keepNext w:val="0"/>
              <w:rPr>
                <w:lang w:val="en-AU"/>
              </w:rPr>
            </w:pPr>
            <w:r w:rsidRPr="00AD5A27">
              <w:rPr>
                <w:lang w:val="en-AU"/>
              </w:rPr>
              <w:t>Step 7: Introduce ADA discontinuations</w:t>
            </w:r>
          </w:p>
        </w:tc>
      </w:tr>
      <w:tr w:rsidR="002A66BB" w:rsidRPr="00AD5A27" w14:paraId="35B9B32D" w14:textId="77777777" w:rsidTr="006C24C0">
        <w:tc>
          <w:tcPr>
            <w:tcW w:w="2522" w:type="pct"/>
            <w:tcBorders>
              <w:bottom w:val="nil"/>
            </w:tcBorders>
            <w:vAlign w:val="center"/>
          </w:tcPr>
          <w:p w14:paraId="13774D5A" w14:textId="77777777" w:rsidR="002A66BB" w:rsidRPr="00AD5A27" w:rsidRDefault="002A66BB">
            <w:pPr>
              <w:pStyle w:val="TableText0"/>
              <w:keepNext w:val="0"/>
              <w:rPr>
                <w:rFonts w:ascii="Times" w:hAnsi="Times"/>
              </w:rPr>
            </w:pPr>
            <w:r w:rsidRPr="00AD5A27">
              <w:t>Costs (ADA/OCS, OC, AE costs)</w:t>
            </w:r>
          </w:p>
        </w:tc>
        <w:tc>
          <w:tcPr>
            <w:tcW w:w="862" w:type="pct"/>
            <w:tcBorders>
              <w:bottom w:val="nil"/>
            </w:tcBorders>
          </w:tcPr>
          <w:p w14:paraId="62DF26D9" w14:textId="276374CE" w:rsidR="002A66BB" w:rsidRPr="00AD5A27" w:rsidRDefault="002A66BB">
            <w:pPr>
              <w:pStyle w:val="TableText0"/>
              <w:keepNext w:val="0"/>
              <w:jc w:val="center"/>
              <w:rPr>
                <w:rFonts w:ascii="Times" w:hAnsi="Times"/>
              </w:rPr>
            </w:pPr>
            <w:r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783" w:type="pct"/>
            <w:tcBorders>
              <w:bottom w:val="nil"/>
            </w:tcBorders>
          </w:tcPr>
          <w:p w14:paraId="25E232AB" w14:textId="16D62498" w:rsidR="002A66BB" w:rsidRPr="00AD5A27" w:rsidRDefault="002A66BB">
            <w:pPr>
              <w:pStyle w:val="TableText0"/>
              <w:keepNext w:val="0"/>
              <w:jc w:val="center"/>
              <w:rPr>
                <w:rFonts w:ascii="Times" w:hAnsi="Times"/>
              </w:rPr>
            </w:pPr>
            <w:r w:rsidRPr="00AD5A27">
              <w:rPr>
                <w:snapToGrid w:val="0"/>
                <w:szCs w:val="20"/>
              </w:rPr>
              <w:t>$</w:t>
            </w:r>
            <w:r w:rsidR="00860BB2" w:rsidRPr="00860BB2">
              <w:rPr>
                <w:snapToGrid w:val="0"/>
                <w:color w:val="000000"/>
                <w:szCs w:val="20"/>
                <w:shd w:val="solid" w:color="000000" w:fill="000000"/>
                <w14:textFill>
                  <w14:solidFill>
                    <w14:srgbClr w14:val="000000">
                      <w14:alpha w14:val="100000"/>
                    </w14:srgbClr>
                  </w14:solidFill>
                </w14:textFill>
              </w:rPr>
              <w:t>|</w:t>
            </w:r>
          </w:p>
        </w:tc>
        <w:tc>
          <w:tcPr>
            <w:tcW w:w="833" w:type="pct"/>
            <w:tcBorders>
              <w:bottom w:val="nil"/>
            </w:tcBorders>
            <w:vAlign w:val="center"/>
          </w:tcPr>
          <w:p w14:paraId="71BE89CF" w14:textId="765BD2F3" w:rsidR="002A66BB" w:rsidRPr="00AD5A27" w:rsidRDefault="002A66BB">
            <w:pPr>
              <w:pStyle w:val="TableText0"/>
              <w:keepNext w:val="0"/>
              <w:jc w:val="center"/>
              <w:rPr>
                <w:rFonts w:ascii="Times" w:hAnsi="Times"/>
              </w:rPr>
            </w:pPr>
            <w:r w:rsidRPr="00AD5A27">
              <w:t>$</w:t>
            </w:r>
            <w:r w:rsidR="00860BB2" w:rsidRPr="00860BB2">
              <w:rPr>
                <w:color w:val="000000"/>
                <w:shd w:val="solid" w:color="000000" w:fill="000000"/>
                <w14:textFill>
                  <w14:solidFill>
                    <w14:srgbClr w14:val="000000">
                      <w14:alpha w14:val="100000"/>
                    </w14:srgbClr>
                  </w14:solidFill>
                </w14:textFill>
              </w:rPr>
              <w:t>|</w:t>
            </w:r>
          </w:p>
        </w:tc>
      </w:tr>
      <w:tr w:rsidR="002A66BB" w:rsidRPr="00AD5A27" w14:paraId="1ECDCCBC" w14:textId="77777777" w:rsidTr="006C24C0">
        <w:tc>
          <w:tcPr>
            <w:tcW w:w="2522" w:type="pct"/>
            <w:tcBorders>
              <w:top w:val="nil"/>
            </w:tcBorders>
            <w:vAlign w:val="center"/>
          </w:tcPr>
          <w:p w14:paraId="301B8B42" w14:textId="77777777" w:rsidR="002A66BB" w:rsidRPr="00AD5A27" w:rsidRDefault="002A66BB">
            <w:pPr>
              <w:pStyle w:val="TableText0"/>
              <w:keepNext w:val="0"/>
              <w:rPr>
                <w:rFonts w:ascii="Times" w:hAnsi="Times"/>
              </w:rPr>
            </w:pPr>
            <w:r w:rsidRPr="00AD5A27">
              <w:t xml:space="preserve">QALYs </w:t>
            </w:r>
          </w:p>
        </w:tc>
        <w:tc>
          <w:tcPr>
            <w:tcW w:w="862" w:type="pct"/>
            <w:tcBorders>
              <w:top w:val="nil"/>
            </w:tcBorders>
          </w:tcPr>
          <w:p w14:paraId="2BBA2883" w14:textId="77777777" w:rsidR="002A66BB" w:rsidRPr="00AD5A27" w:rsidRDefault="002A66BB">
            <w:pPr>
              <w:pStyle w:val="TableText0"/>
              <w:keepNext w:val="0"/>
              <w:jc w:val="center"/>
              <w:rPr>
                <w:rFonts w:ascii="Times" w:hAnsi="Times"/>
              </w:rPr>
            </w:pPr>
            <w:r w:rsidRPr="00AD5A27">
              <w:rPr>
                <w:snapToGrid w:val="0"/>
                <w:szCs w:val="20"/>
              </w:rPr>
              <w:t>13.5443</w:t>
            </w:r>
          </w:p>
        </w:tc>
        <w:tc>
          <w:tcPr>
            <w:tcW w:w="783" w:type="pct"/>
            <w:tcBorders>
              <w:top w:val="nil"/>
            </w:tcBorders>
          </w:tcPr>
          <w:p w14:paraId="1FB0F2A6" w14:textId="77777777" w:rsidR="002A66BB" w:rsidRPr="00AD5A27" w:rsidRDefault="002A66BB">
            <w:pPr>
              <w:pStyle w:val="TableText0"/>
              <w:keepNext w:val="0"/>
              <w:jc w:val="center"/>
              <w:rPr>
                <w:rFonts w:ascii="Times" w:hAnsi="Times"/>
              </w:rPr>
            </w:pPr>
            <w:r w:rsidRPr="00AD5A27">
              <w:rPr>
                <w:snapToGrid w:val="0"/>
                <w:szCs w:val="20"/>
              </w:rPr>
              <w:t>13.4026</w:t>
            </w:r>
          </w:p>
        </w:tc>
        <w:tc>
          <w:tcPr>
            <w:tcW w:w="833" w:type="pct"/>
            <w:tcBorders>
              <w:top w:val="nil"/>
            </w:tcBorders>
            <w:vAlign w:val="center"/>
          </w:tcPr>
          <w:p w14:paraId="6259819A" w14:textId="77777777" w:rsidR="002A66BB" w:rsidRPr="00AD5A27" w:rsidRDefault="002A66BB">
            <w:pPr>
              <w:pStyle w:val="TableText0"/>
              <w:keepNext w:val="0"/>
              <w:jc w:val="center"/>
            </w:pPr>
            <w:r w:rsidRPr="00AD5A27">
              <w:t>0.1416</w:t>
            </w:r>
          </w:p>
        </w:tc>
      </w:tr>
      <w:tr w:rsidR="002A66BB" w:rsidRPr="00AD5A27" w14:paraId="1C0A5ECD" w14:textId="77777777" w:rsidTr="006C24C0">
        <w:tc>
          <w:tcPr>
            <w:tcW w:w="4167" w:type="pct"/>
            <w:gridSpan w:val="3"/>
            <w:vAlign w:val="center"/>
          </w:tcPr>
          <w:p w14:paraId="58340F54" w14:textId="77777777" w:rsidR="002A66BB" w:rsidRPr="00AD5A27" w:rsidRDefault="002A66BB">
            <w:pPr>
              <w:pStyle w:val="TableText0"/>
              <w:keepNext w:val="0"/>
              <w:rPr>
                <w:rFonts w:ascii="Times" w:hAnsi="Times"/>
                <w:bCs w:val="0"/>
              </w:rPr>
            </w:pPr>
            <w:r w:rsidRPr="00AD5A27">
              <w:rPr>
                <w:bCs w:val="0"/>
              </w:rPr>
              <w:t xml:space="preserve">Incremental cost/extra QALY gained </w:t>
            </w:r>
          </w:p>
        </w:tc>
        <w:tc>
          <w:tcPr>
            <w:tcW w:w="833" w:type="pct"/>
            <w:vAlign w:val="center"/>
          </w:tcPr>
          <w:p w14:paraId="603CEAD9" w14:textId="5457F33D" w:rsidR="002A66BB" w:rsidRPr="00AD5A27" w:rsidRDefault="002A66BB">
            <w:pPr>
              <w:pStyle w:val="TableText0"/>
              <w:keepNext w:val="0"/>
              <w:jc w:val="center"/>
              <w:rPr>
                <w:rFonts w:ascii="Times" w:hAnsi="Times"/>
                <w:bCs w:val="0"/>
              </w:rPr>
            </w:pPr>
            <w:r w:rsidRPr="00AD5A27">
              <w:rPr>
                <w:bCs w:val="0"/>
              </w:rPr>
              <w:t>$</w:t>
            </w:r>
            <w:r w:rsidR="00860BB2" w:rsidRPr="00860BB2">
              <w:rPr>
                <w:bCs w:val="0"/>
                <w:color w:val="000000"/>
                <w:shd w:val="solid" w:color="000000" w:fill="000000"/>
                <w14:textFill>
                  <w14:solidFill>
                    <w14:srgbClr w14:val="000000">
                      <w14:alpha w14:val="100000"/>
                    </w14:srgbClr>
                  </w14:solidFill>
                </w14:textFill>
              </w:rPr>
              <w:t>|</w:t>
            </w:r>
            <w:r w:rsidRPr="00AD5A27">
              <w:rPr>
                <w:bCs w:val="0"/>
              </w:rPr>
              <w:t xml:space="preserve"> </w:t>
            </w:r>
            <w:r w:rsidR="005A6F92" w:rsidRPr="005A6F92">
              <w:rPr>
                <w:bCs w:val="0"/>
                <w:vertAlign w:val="superscript"/>
              </w:rPr>
              <w:t>4</w:t>
            </w:r>
          </w:p>
        </w:tc>
      </w:tr>
      <w:tr w:rsidR="002A66BB" w:rsidRPr="00AD5A27" w14:paraId="3ACD18A8" w14:textId="77777777" w:rsidTr="006C24C0">
        <w:tc>
          <w:tcPr>
            <w:tcW w:w="5000" w:type="pct"/>
            <w:gridSpan w:val="4"/>
            <w:tcBorders>
              <w:bottom w:val="single" w:sz="4" w:space="0" w:color="auto"/>
            </w:tcBorders>
            <w:vAlign w:val="center"/>
          </w:tcPr>
          <w:p w14:paraId="54E39B63" w14:textId="77777777" w:rsidR="002A66BB" w:rsidRPr="00AD5A27" w:rsidRDefault="002A66BB">
            <w:pPr>
              <w:pStyle w:val="In-tableHeading"/>
              <w:keepNext w:val="0"/>
              <w:rPr>
                <w:lang w:val="en-AU"/>
              </w:rPr>
            </w:pPr>
            <w:r w:rsidRPr="00AD5A27">
              <w:rPr>
                <w:lang w:val="en-AU"/>
              </w:rPr>
              <w:t>Step 8: Introduce disease remission per cycle</w:t>
            </w:r>
          </w:p>
        </w:tc>
      </w:tr>
      <w:tr w:rsidR="002A66BB" w:rsidRPr="00AD5A27" w14:paraId="68174C6F" w14:textId="77777777" w:rsidTr="006C24C0">
        <w:tc>
          <w:tcPr>
            <w:tcW w:w="2522" w:type="pct"/>
            <w:tcBorders>
              <w:bottom w:val="nil"/>
            </w:tcBorders>
            <w:vAlign w:val="center"/>
          </w:tcPr>
          <w:p w14:paraId="6937A9E3" w14:textId="77777777" w:rsidR="002A66BB" w:rsidRPr="00AD5A27" w:rsidRDefault="002A66BB">
            <w:pPr>
              <w:pStyle w:val="TableText0"/>
              <w:keepNext w:val="0"/>
              <w:rPr>
                <w:rFonts w:ascii="Times" w:hAnsi="Times"/>
              </w:rPr>
            </w:pPr>
            <w:r w:rsidRPr="00AD5A27">
              <w:t>Costs (ADA/OCS, OC, AE costs)</w:t>
            </w:r>
          </w:p>
        </w:tc>
        <w:tc>
          <w:tcPr>
            <w:tcW w:w="862" w:type="pct"/>
            <w:tcBorders>
              <w:bottom w:val="nil"/>
            </w:tcBorders>
            <w:vAlign w:val="center"/>
          </w:tcPr>
          <w:p w14:paraId="177D66E6" w14:textId="62B09040" w:rsidR="002A66BB" w:rsidRPr="00AD5A27" w:rsidRDefault="002A66BB">
            <w:pPr>
              <w:pStyle w:val="TableText0"/>
              <w:keepNext w:val="0"/>
              <w:jc w:val="center"/>
              <w:rPr>
                <w:rFonts w:ascii="Times" w:hAnsi="Times"/>
              </w:rPr>
            </w:pPr>
            <w:r w:rsidRPr="00AD5A27">
              <w:rPr>
                <w:szCs w:val="20"/>
              </w:rPr>
              <w:t>$</w:t>
            </w:r>
            <w:r w:rsidR="00860BB2" w:rsidRPr="00860BB2">
              <w:rPr>
                <w:color w:val="000000"/>
                <w:szCs w:val="20"/>
                <w:shd w:val="solid" w:color="000000" w:fill="000000"/>
                <w14:textFill>
                  <w14:solidFill>
                    <w14:srgbClr w14:val="000000">
                      <w14:alpha w14:val="100000"/>
                    </w14:srgbClr>
                  </w14:solidFill>
                </w14:textFill>
              </w:rPr>
              <w:t>|</w:t>
            </w:r>
          </w:p>
        </w:tc>
        <w:tc>
          <w:tcPr>
            <w:tcW w:w="783" w:type="pct"/>
            <w:tcBorders>
              <w:bottom w:val="nil"/>
            </w:tcBorders>
            <w:vAlign w:val="center"/>
          </w:tcPr>
          <w:p w14:paraId="40E13B94" w14:textId="3B752CBD" w:rsidR="002A66BB" w:rsidRPr="00AD5A27" w:rsidRDefault="002A66BB">
            <w:pPr>
              <w:pStyle w:val="TableText0"/>
              <w:keepNext w:val="0"/>
              <w:jc w:val="center"/>
              <w:rPr>
                <w:rFonts w:ascii="Times" w:hAnsi="Times"/>
              </w:rPr>
            </w:pPr>
            <w:r w:rsidRPr="00AD5A27">
              <w:rPr>
                <w:szCs w:val="20"/>
              </w:rPr>
              <w:t>$</w:t>
            </w:r>
            <w:r w:rsidR="00860BB2" w:rsidRPr="00860BB2">
              <w:rPr>
                <w:color w:val="000000"/>
                <w:szCs w:val="20"/>
                <w:shd w:val="solid" w:color="000000" w:fill="000000"/>
                <w14:textFill>
                  <w14:solidFill>
                    <w14:srgbClr w14:val="000000">
                      <w14:alpha w14:val="100000"/>
                    </w14:srgbClr>
                  </w14:solidFill>
                </w14:textFill>
              </w:rPr>
              <w:t>|</w:t>
            </w:r>
          </w:p>
        </w:tc>
        <w:tc>
          <w:tcPr>
            <w:tcW w:w="833" w:type="pct"/>
            <w:tcBorders>
              <w:bottom w:val="nil"/>
            </w:tcBorders>
            <w:vAlign w:val="center"/>
          </w:tcPr>
          <w:p w14:paraId="1BB7752F" w14:textId="114B68A8" w:rsidR="002A66BB" w:rsidRPr="00AD5A27" w:rsidRDefault="002A66BB">
            <w:pPr>
              <w:pStyle w:val="TableText0"/>
              <w:keepNext w:val="0"/>
              <w:jc w:val="center"/>
              <w:rPr>
                <w:rFonts w:ascii="Times" w:hAnsi="Times"/>
              </w:rPr>
            </w:pPr>
            <w:r w:rsidRPr="00AD5A27">
              <w:t>$</w:t>
            </w:r>
            <w:r w:rsidR="00860BB2" w:rsidRPr="00860BB2">
              <w:rPr>
                <w:color w:val="000000"/>
                <w:shd w:val="solid" w:color="000000" w:fill="000000"/>
                <w14:textFill>
                  <w14:solidFill>
                    <w14:srgbClr w14:val="000000">
                      <w14:alpha w14:val="100000"/>
                    </w14:srgbClr>
                  </w14:solidFill>
                </w14:textFill>
              </w:rPr>
              <w:t>|</w:t>
            </w:r>
          </w:p>
        </w:tc>
      </w:tr>
      <w:tr w:rsidR="002A66BB" w:rsidRPr="00AD5A27" w14:paraId="71184A72" w14:textId="77777777" w:rsidTr="006C24C0">
        <w:tc>
          <w:tcPr>
            <w:tcW w:w="2522" w:type="pct"/>
            <w:tcBorders>
              <w:top w:val="nil"/>
            </w:tcBorders>
            <w:vAlign w:val="center"/>
          </w:tcPr>
          <w:p w14:paraId="60DC3FA6" w14:textId="77777777" w:rsidR="002A66BB" w:rsidRPr="00AD5A27" w:rsidRDefault="002A66BB">
            <w:pPr>
              <w:pStyle w:val="TableText0"/>
              <w:keepNext w:val="0"/>
              <w:rPr>
                <w:rFonts w:ascii="Times" w:hAnsi="Times"/>
              </w:rPr>
            </w:pPr>
            <w:r w:rsidRPr="00AD5A27">
              <w:t xml:space="preserve">QALYs </w:t>
            </w:r>
          </w:p>
        </w:tc>
        <w:tc>
          <w:tcPr>
            <w:tcW w:w="862" w:type="pct"/>
            <w:tcBorders>
              <w:top w:val="nil"/>
            </w:tcBorders>
            <w:vAlign w:val="center"/>
          </w:tcPr>
          <w:p w14:paraId="7C82B0C6" w14:textId="77777777" w:rsidR="002A66BB" w:rsidRPr="00AD5A27" w:rsidRDefault="002A66BB">
            <w:pPr>
              <w:pStyle w:val="TableText0"/>
              <w:keepNext w:val="0"/>
              <w:jc w:val="center"/>
              <w:rPr>
                <w:rFonts w:ascii="Times" w:hAnsi="Times"/>
              </w:rPr>
            </w:pPr>
            <w:r w:rsidRPr="00AD5A27">
              <w:rPr>
                <w:szCs w:val="20"/>
              </w:rPr>
              <w:t>13.8336</w:t>
            </w:r>
          </w:p>
        </w:tc>
        <w:tc>
          <w:tcPr>
            <w:tcW w:w="783" w:type="pct"/>
            <w:tcBorders>
              <w:top w:val="nil"/>
            </w:tcBorders>
            <w:vAlign w:val="center"/>
          </w:tcPr>
          <w:p w14:paraId="3CC4843B" w14:textId="77777777" w:rsidR="002A66BB" w:rsidRPr="00AD5A27" w:rsidRDefault="002A66BB">
            <w:pPr>
              <w:pStyle w:val="TableText0"/>
              <w:keepNext w:val="0"/>
              <w:jc w:val="center"/>
              <w:rPr>
                <w:rFonts w:ascii="Times" w:hAnsi="Times"/>
              </w:rPr>
            </w:pPr>
            <w:r w:rsidRPr="00AD5A27">
              <w:rPr>
                <w:szCs w:val="20"/>
              </w:rPr>
              <w:t>13.6504</w:t>
            </w:r>
          </w:p>
        </w:tc>
        <w:tc>
          <w:tcPr>
            <w:tcW w:w="833" w:type="pct"/>
            <w:tcBorders>
              <w:top w:val="nil"/>
            </w:tcBorders>
            <w:vAlign w:val="center"/>
          </w:tcPr>
          <w:p w14:paraId="5A119F47" w14:textId="77777777" w:rsidR="002A66BB" w:rsidRPr="00AD5A27" w:rsidRDefault="002A66BB">
            <w:pPr>
              <w:pStyle w:val="TableText0"/>
              <w:keepNext w:val="0"/>
              <w:jc w:val="center"/>
            </w:pPr>
            <w:r w:rsidRPr="00AD5A27">
              <w:t>0.183</w:t>
            </w:r>
          </w:p>
        </w:tc>
      </w:tr>
      <w:tr w:rsidR="002A66BB" w:rsidRPr="00AD5A27" w14:paraId="0BBAF933" w14:textId="77777777" w:rsidTr="006C24C0">
        <w:tc>
          <w:tcPr>
            <w:tcW w:w="4167" w:type="pct"/>
            <w:gridSpan w:val="3"/>
            <w:vAlign w:val="center"/>
          </w:tcPr>
          <w:p w14:paraId="4BECE795" w14:textId="77777777" w:rsidR="002A66BB" w:rsidRPr="00AD5A27" w:rsidRDefault="002A66BB">
            <w:pPr>
              <w:pStyle w:val="TableText0"/>
              <w:keepNext w:val="0"/>
              <w:rPr>
                <w:rFonts w:ascii="Times" w:hAnsi="Times"/>
                <w:bCs w:val="0"/>
              </w:rPr>
            </w:pPr>
            <w:r w:rsidRPr="00AD5A27">
              <w:rPr>
                <w:bCs w:val="0"/>
              </w:rPr>
              <w:t xml:space="preserve">Incremental cost/extra QALY gained </w:t>
            </w:r>
          </w:p>
        </w:tc>
        <w:tc>
          <w:tcPr>
            <w:tcW w:w="833" w:type="pct"/>
            <w:vAlign w:val="center"/>
          </w:tcPr>
          <w:p w14:paraId="5A7D15D2" w14:textId="58A4CCFA" w:rsidR="002A66BB" w:rsidRPr="00AD5A27" w:rsidRDefault="002A66BB">
            <w:pPr>
              <w:pStyle w:val="TableText0"/>
              <w:keepNext w:val="0"/>
              <w:jc w:val="center"/>
              <w:rPr>
                <w:rFonts w:ascii="Times" w:hAnsi="Times"/>
                <w:bCs w:val="0"/>
              </w:rPr>
            </w:pPr>
            <w:r w:rsidRPr="00AD5A27">
              <w:rPr>
                <w:bCs w:val="0"/>
                <w:szCs w:val="20"/>
              </w:rPr>
              <w:t>$</w:t>
            </w:r>
            <w:r w:rsidR="00860BB2" w:rsidRPr="00860BB2">
              <w:rPr>
                <w:bCs w:val="0"/>
                <w:color w:val="000000"/>
                <w:szCs w:val="20"/>
                <w:shd w:val="solid" w:color="000000" w:fill="000000"/>
                <w14:textFill>
                  <w14:solidFill>
                    <w14:srgbClr w14:val="000000">
                      <w14:alpha w14:val="100000"/>
                    </w14:srgbClr>
                  </w14:solidFill>
                </w14:textFill>
              </w:rPr>
              <w:t>|</w:t>
            </w:r>
            <w:r w:rsidRPr="00AD5A27">
              <w:rPr>
                <w:bCs w:val="0"/>
                <w:szCs w:val="20"/>
              </w:rPr>
              <w:t xml:space="preserve"> </w:t>
            </w:r>
            <w:r w:rsidR="005A6F92" w:rsidRPr="005A6F92">
              <w:rPr>
                <w:bCs w:val="0"/>
                <w:szCs w:val="20"/>
                <w:vertAlign w:val="superscript"/>
              </w:rPr>
              <w:t>5</w:t>
            </w:r>
          </w:p>
        </w:tc>
      </w:tr>
      <w:tr w:rsidR="002A66BB" w:rsidRPr="00AD5A27" w14:paraId="00034FEF" w14:textId="77777777" w:rsidTr="006C24C0">
        <w:tc>
          <w:tcPr>
            <w:tcW w:w="5000" w:type="pct"/>
            <w:gridSpan w:val="4"/>
            <w:tcBorders>
              <w:bottom w:val="single" w:sz="4" w:space="0" w:color="auto"/>
            </w:tcBorders>
            <w:vAlign w:val="center"/>
          </w:tcPr>
          <w:p w14:paraId="1EF6E030" w14:textId="77777777" w:rsidR="002A66BB" w:rsidRPr="00AD5A27" w:rsidRDefault="002A66BB">
            <w:pPr>
              <w:pStyle w:val="In-tableHeading"/>
              <w:keepNext w:val="0"/>
              <w:rPr>
                <w:lang w:val="en-AU"/>
              </w:rPr>
            </w:pPr>
            <w:r w:rsidRPr="00AD5A27">
              <w:rPr>
                <w:lang w:val="en-AU"/>
              </w:rPr>
              <w:t>Step 9: Introduce maximum disease duration of 5 years</w:t>
            </w:r>
          </w:p>
        </w:tc>
      </w:tr>
      <w:tr w:rsidR="002A66BB" w:rsidRPr="00AD5A27" w14:paraId="148255B7" w14:textId="77777777" w:rsidTr="006C24C0">
        <w:tc>
          <w:tcPr>
            <w:tcW w:w="2522" w:type="pct"/>
            <w:tcBorders>
              <w:bottom w:val="nil"/>
            </w:tcBorders>
            <w:vAlign w:val="center"/>
          </w:tcPr>
          <w:p w14:paraId="1A1E23AC" w14:textId="77777777" w:rsidR="002A66BB" w:rsidRPr="00AD5A27" w:rsidRDefault="002A66BB">
            <w:pPr>
              <w:pStyle w:val="TableText0"/>
              <w:keepNext w:val="0"/>
              <w:rPr>
                <w:rFonts w:ascii="Times" w:hAnsi="Times"/>
              </w:rPr>
            </w:pPr>
            <w:r w:rsidRPr="00AD5A27">
              <w:t>Costs (ADA/OCS, OC, AE costs)</w:t>
            </w:r>
          </w:p>
        </w:tc>
        <w:tc>
          <w:tcPr>
            <w:tcW w:w="862" w:type="pct"/>
            <w:tcBorders>
              <w:bottom w:val="nil"/>
            </w:tcBorders>
            <w:vAlign w:val="center"/>
          </w:tcPr>
          <w:p w14:paraId="114B3888" w14:textId="2A63B44B" w:rsidR="002A66BB" w:rsidRPr="00AD5A27" w:rsidRDefault="002A66BB">
            <w:pPr>
              <w:pStyle w:val="TableText0"/>
              <w:keepNext w:val="0"/>
              <w:jc w:val="center"/>
              <w:rPr>
                <w:rFonts w:ascii="Times" w:hAnsi="Times"/>
              </w:rPr>
            </w:pPr>
            <w:r w:rsidRPr="00AD5A27">
              <w:t>$</w:t>
            </w:r>
            <w:r w:rsidR="00860BB2" w:rsidRPr="00860BB2">
              <w:rPr>
                <w:color w:val="000000"/>
                <w:shd w:val="solid" w:color="000000" w:fill="000000"/>
                <w14:textFill>
                  <w14:solidFill>
                    <w14:srgbClr w14:val="000000">
                      <w14:alpha w14:val="100000"/>
                    </w14:srgbClr>
                  </w14:solidFill>
                </w14:textFill>
              </w:rPr>
              <w:t>|</w:t>
            </w:r>
          </w:p>
        </w:tc>
        <w:tc>
          <w:tcPr>
            <w:tcW w:w="783" w:type="pct"/>
            <w:tcBorders>
              <w:bottom w:val="nil"/>
            </w:tcBorders>
            <w:vAlign w:val="center"/>
          </w:tcPr>
          <w:p w14:paraId="0DC47FCE" w14:textId="78558E56" w:rsidR="002A66BB" w:rsidRPr="00AD5A27" w:rsidRDefault="002A66BB">
            <w:pPr>
              <w:pStyle w:val="TableText0"/>
              <w:keepNext w:val="0"/>
              <w:jc w:val="center"/>
              <w:rPr>
                <w:rFonts w:ascii="Times" w:hAnsi="Times"/>
              </w:rPr>
            </w:pPr>
            <w:r w:rsidRPr="00AD5A27">
              <w:t>$</w:t>
            </w:r>
            <w:r w:rsidR="00860BB2" w:rsidRPr="00860BB2">
              <w:rPr>
                <w:color w:val="000000"/>
                <w:shd w:val="solid" w:color="000000" w:fill="000000"/>
                <w14:textFill>
                  <w14:solidFill>
                    <w14:srgbClr w14:val="000000">
                      <w14:alpha w14:val="100000"/>
                    </w14:srgbClr>
                  </w14:solidFill>
                </w14:textFill>
              </w:rPr>
              <w:t>|</w:t>
            </w:r>
          </w:p>
        </w:tc>
        <w:tc>
          <w:tcPr>
            <w:tcW w:w="833" w:type="pct"/>
            <w:tcBorders>
              <w:bottom w:val="nil"/>
            </w:tcBorders>
            <w:vAlign w:val="center"/>
          </w:tcPr>
          <w:p w14:paraId="4667BB1E" w14:textId="3438AA41" w:rsidR="002A66BB" w:rsidRPr="00AD5A27" w:rsidRDefault="002A66BB">
            <w:pPr>
              <w:pStyle w:val="TableText0"/>
              <w:keepNext w:val="0"/>
              <w:jc w:val="center"/>
              <w:rPr>
                <w:rFonts w:ascii="Times" w:hAnsi="Times"/>
              </w:rPr>
            </w:pPr>
            <w:r w:rsidRPr="00AD5A27">
              <w:t>$</w:t>
            </w:r>
            <w:r w:rsidR="00860BB2" w:rsidRPr="00860BB2">
              <w:rPr>
                <w:color w:val="000000"/>
                <w:shd w:val="solid" w:color="000000" w:fill="000000"/>
                <w14:textFill>
                  <w14:solidFill>
                    <w14:srgbClr w14:val="000000">
                      <w14:alpha w14:val="100000"/>
                    </w14:srgbClr>
                  </w14:solidFill>
                </w14:textFill>
              </w:rPr>
              <w:t>|</w:t>
            </w:r>
            <w:r w:rsidRPr="00AD5A27">
              <w:t xml:space="preserve"> </w:t>
            </w:r>
          </w:p>
        </w:tc>
      </w:tr>
      <w:tr w:rsidR="002A66BB" w:rsidRPr="00AD5A27" w14:paraId="014C7D6C" w14:textId="77777777" w:rsidTr="006C24C0">
        <w:tc>
          <w:tcPr>
            <w:tcW w:w="2522" w:type="pct"/>
            <w:tcBorders>
              <w:top w:val="nil"/>
            </w:tcBorders>
            <w:vAlign w:val="center"/>
          </w:tcPr>
          <w:p w14:paraId="671F072C" w14:textId="77777777" w:rsidR="002A66BB" w:rsidRPr="00AD5A27" w:rsidRDefault="002A66BB">
            <w:pPr>
              <w:pStyle w:val="TableText0"/>
              <w:keepNext w:val="0"/>
              <w:rPr>
                <w:rFonts w:ascii="Times" w:hAnsi="Times"/>
              </w:rPr>
            </w:pPr>
            <w:r w:rsidRPr="00AD5A27">
              <w:t xml:space="preserve">QALYs </w:t>
            </w:r>
          </w:p>
        </w:tc>
        <w:tc>
          <w:tcPr>
            <w:tcW w:w="862" w:type="pct"/>
            <w:tcBorders>
              <w:top w:val="nil"/>
            </w:tcBorders>
            <w:vAlign w:val="center"/>
          </w:tcPr>
          <w:p w14:paraId="2C631DF1" w14:textId="77777777" w:rsidR="002A66BB" w:rsidRPr="00AD5A27" w:rsidRDefault="002A66BB">
            <w:pPr>
              <w:pStyle w:val="TableText0"/>
              <w:keepNext w:val="0"/>
              <w:jc w:val="center"/>
              <w:rPr>
                <w:rFonts w:ascii="Times" w:hAnsi="Times"/>
              </w:rPr>
            </w:pPr>
            <w:r w:rsidRPr="00AD5A27">
              <w:t>13.9602</w:t>
            </w:r>
          </w:p>
        </w:tc>
        <w:tc>
          <w:tcPr>
            <w:tcW w:w="783" w:type="pct"/>
            <w:tcBorders>
              <w:top w:val="nil"/>
            </w:tcBorders>
            <w:vAlign w:val="center"/>
          </w:tcPr>
          <w:p w14:paraId="71808329" w14:textId="77777777" w:rsidR="002A66BB" w:rsidRPr="00AD5A27" w:rsidRDefault="002A66BB">
            <w:pPr>
              <w:pStyle w:val="TableText0"/>
              <w:keepNext w:val="0"/>
              <w:jc w:val="center"/>
              <w:rPr>
                <w:rFonts w:ascii="Times" w:hAnsi="Times"/>
              </w:rPr>
            </w:pPr>
            <w:r w:rsidRPr="00AD5A27">
              <w:t>13.7333</w:t>
            </w:r>
          </w:p>
        </w:tc>
        <w:tc>
          <w:tcPr>
            <w:tcW w:w="833" w:type="pct"/>
            <w:tcBorders>
              <w:top w:val="nil"/>
            </w:tcBorders>
            <w:vAlign w:val="center"/>
          </w:tcPr>
          <w:p w14:paraId="6A34A936" w14:textId="77777777" w:rsidR="002A66BB" w:rsidRPr="00AD5A27" w:rsidRDefault="002A66BB">
            <w:pPr>
              <w:pStyle w:val="TableText0"/>
              <w:keepNext w:val="0"/>
              <w:jc w:val="center"/>
            </w:pPr>
            <w:r w:rsidRPr="00AD5A27">
              <w:t xml:space="preserve">0.2268 </w:t>
            </w:r>
          </w:p>
        </w:tc>
      </w:tr>
      <w:tr w:rsidR="002A66BB" w:rsidRPr="00AD5A27" w14:paraId="71A848EF" w14:textId="77777777" w:rsidTr="006C24C0">
        <w:tc>
          <w:tcPr>
            <w:tcW w:w="4167" w:type="pct"/>
            <w:gridSpan w:val="3"/>
            <w:vAlign w:val="center"/>
          </w:tcPr>
          <w:p w14:paraId="6E7454EC" w14:textId="77777777" w:rsidR="002A66BB" w:rsidRPr="00AD5A27" w:rsidRDefault="002A66BB">
            <w:pPr>
              <w:pStyle w:val="TableText0"/>
              <w:keepNext w:val="0"/>
              <w:rPr>
                <w:rFonts w:ascii="Times" w:hAnsi="Times"/>
                <w:b/>
              </w:rPr>
            </w:pPr>
            <w:r w:rsidRPr="00AD5A27">
              <w:rPr>
                <w:b/>
              </w:rPr>
              <w:t>Incremental cost/extra QALY gained (base case)</w:t>
            </w:r>
          </w:p>
        </w:tc>
        <w:tc>
          <w:tcPr>
            <w:tcW w:w="833" w:type="pct"/>
            <w:vAlign w:val="center"/>
          </w:tcPr>
          <w:p w14:paraId="7FEAE6E1" w14:textId="2448414C" w:rsidR="002A66BB" w:rsidRPr="00AD5A27" w:rsidRDefault="002A66BB">
            <w:pPr>
              <w:pStyle w:val="TableText0"/>
              <w:keepNext w:val="0"/>
              <w:jc w:val="center"/>
              <w:rPr>
                <w:rFonts w:ascii="Times" w:hAnsi="Times"/>
                <w:b/>
              </w:rPr>
            </w:pPr>
            <w:r w:rsidRPr="00AD5A27">
              <w:rPr>
                <w:b/>
              </w:rPr>
              <w:t>$</w:t>
            </w:r>
            <w:r w:rsidR="00860BB2" w:rsidRPr="00860BB2">
              <w:rPr>
                <w:b/>
                <w:color w:val="000000"/>
                <w:shd w:val="solid" w:color="000000" w:fill="000000"/>
                <w14:textFill>
                  <w14:solidFill>
                    <w14:srgbClr w14:val="000000">
                      <w14:alpha w14:val="100000"/>
                    </w14:srgbClr>
                  </w14:solidFill>
                </w14:textFill>
              </w:rPr>
              <w:t>|</w:t>
            </w:r>
            <w:r w:rsidRPr="00AD5A27">
              <w:rPr>
                <w:b/>
              </w:rPr>
              <w:t xml:space="preserve"> </w:t>
            </w:r>
            <w:r w:rsidR="005A6F92" w:rsidRPr="005A6F92">
              <w:rPr>
                <w:b/>
                <w:vertAlign w:val="superscript"/>
              </w:rPr>
              <w:t>6</w:t>
            </w:r>
          </w:p>
        </w:tc>
      </w:tr>
      <w:tr w:rsidR="002A66BB" w:rsidRPr="00AD5A27" w14:paraId="68F3B32D" w14:textId="77777777" w:rsidTr="00971CA8">
        <w:tc>
          <w:tcPr>
            <w:tcW w:w="4167" w:type="pct"/>
            <w:gridSpan w:val="3"/>
            <w:tcBorders>
              <w:bottom w:val="single" w:sz="4" w:space="0" w:color="auto"/>
              <w:right w:val="nil"/>
            </w:tcBorders>
            <w:shd w:val="clear" w:color="auto" w:fill="B8CCE4" w:themeFill="accent1" w:themeFillTint="66"/>
            <w:vAlign w:val="center"/>
          </w:tcPr>
          <w:p w14:paraId="6002FB1F" w14:textId="77777777" w:rsidR="002A66BB" w:rsidRPr="00AD5A27" w:rsidRDefault="002A66BB">
            <w:pPr>
              <w:pStyle w:val="TableText0"/>
              <w:keepNext w:val="0"/>
              <w:rPr>
                <w:b/>
                <w:szCs w:val="20"/>
              </w:rPr>
            </w:pPr>
            <w:r w:rsidRPr="00AD5A27">
              <w:rPr>
                <w:b/>
                <w:szCs w:val="20"/>
              </w:rPr>
              <w:t>Previous consideration (March 2017 PBAC meeting)</w:t>
            </w:r>
          </w:p>
        </w:tc>
        <w:tc>
          <w:tcPr>
            <w:tcW w:w="833" w:type="pct"/>
            <w:tcBorders>
              <w:left w:val="nil"/>
              <w:bottom w:val="single" w:sz="4" w:space="0" w:color="auto"/>
            </w:tcBorders>
            <w:shd w:val="clear" w:color="auto" w:fill="B8CCE4" w:themeFill="accent1" w:themeFillTint="66"/>
            <w:vAlign w:val="center"/>
          </w:tcPr>
          <w:p w14:paraId="6D68CFAB" w14:textId="77777777" w:rsidR="002A66BB" w:rsidRPr="00AD5A27" w:rsidRDefault="002A66BB">
            <w:pPr>
              <w:pStyle w:val="TableText0"/>
              <w:keepNext w:val="0"/>
              <w:jc w:val="center"/>
              <w:rPr>
                <w:b/>
                <w:szCs w:val="20"/>
              </w:rPr>
            </w:pPr>
          </w:p>
        </w:tc>
      </w:tr>
      <w:tr w:rsidR="002A66BB" w:rsidRPr="00AD5A27" w14:paraId="05951CB9" w14:textId="77777777" w:rsidTr="00971CA8">
        <w:tc>
          <w:tcPr>
            <w:tcW w:w="2522" w:type="pct"/>
            <w:tcBorders>
              <w:bottom w:val="nil"/>
            </w:tcBorders>
            <w:shd w:val="clear" w:color="auto" w:fill="B8CCE4" w:themeFill="accent1" w:themeFillTint="66"/>
            <w:vAlign w:val="center"/>
          </w:tcPr>
          <w:p w14:paraId="682DC074" w14:textId="77777777" w:rsidR="002A66BB" w:rsidRPr="00AD5A27" w:rsidRDefault="002A66BB">
            <w:pPr>
              <w:pStyle w:val="TableText0"/>
              <w:keepNext w:val="0"/>
              <w:rPr>
                <w:szCs w:val="20"/>
              </w:rPr>
            </w:pPr>
            <w:r w:rsidRPr="00AD5A27">
              <w:rPr>
                <w:szCs w:val="20"/>
              </w:rPr>
              <w:t xml:space="preserve">Costs </w:t>
            </w:r>
          </w:p>
        </w:tc>
        <w:tc>
          <w:tcPr>
            <w:tcW w:w="862" w:type="pct"/>
            <w:tcBorders>
              <w:bottom w:val="nil"/>
            </w:tcBorders>
            <w:shd w:val="clear" w:color="auto" w:fill="B8CCE4" w:themeFill="accent1" w:themeFillTint="66"/>
            <w:vAlign w:val="center"/>
          </w:tcPr>
          <w:p w14:paraId="3E3D0CB0" w14:textId="4DD5BA52" w:rsidR="002A66BB" w:rsidRPr="00AD5A27" w:rsidRDefault="002A66BB">
            <w:pPr>
              <w:pStyle w:val="TableText0"/>
              <w:keepNext w:val="0"/>
              <w:jc w:val="center"/>
              <w:rPr>
                <w:szCs w:val="20"/>
              </w:rPr>
            </w:pPr>
            <w:r w:rsidRPr="00AD5A27">
              <w:rPr>
                <w:szCs w:val="20"/>
              </w:rPr>
              <w:t>$</w:t>
            </w:r>
            <w:r w:rsidR="00860BB2" w:rsidRPr="00860BB2">
              <w:rPr>
                <w:color w:val="000000"/>
                <w:szCs w:val="20"/>
                <w:shd w:val="solid" w:color="000000" w:fill="000000"/>
                <w14:textFill>
                  <w14:solidFill>
                    <w14:srgbClr w14:val="000000">
                      <w14:alpha w14:val="100000"/>
                    </w14:srgbClr>
                  </w14:solidFill>
                </w14:textFill>
              </w:rPr>
              <w:t>|</w:t>
            </w:r>
          </w:p>
        </w:tc>
        <w:tc>
          <w:tcPr>
            <w:tcW w:w="783" w:type="pct"/>
            <w:tcBorders>
              <w:bottom w:val="nil"/>
            </w:tcBorders>
            <w:shd w:val="clear" w:color="auto" w:fill="B8CCE4" w:themeFill="accent1" w:themeFillTint="66"/>
            <w:vAlign w:val="center"/>
          </w:tcPr>
          <w:p w14:paraId="471CA104" w14:textId="1F3319D9" w:rsidR="002A66BB" w:rsidRPr="00AD5A27" w:rsidRDefault="002A66BB">
            <w:pPr>
              <w:pStyle w:val="TableText0"/>
              <w:keepNext w:val="0"/>
              <w:jc w:val="center"/>
              <w:rPr>
                <w:szCs w:val="20"/>
              </w:rPr>
            </w:pPr>
            <w:r w:rsidRPr="00AD5A27">
              <w:rPr>
                <w:szCs w:val="20"/>
              </w:rPr>
              <w:t>$</w:t>
            </w:r>
            <w:r w:rsidR="00860BB2" w:rsidRPr="00860BB2">
              <w:rPr>
                <w:color w:val="000000"/>
                <w:szCs w:val="20"/>
                <w:shd w:val="solid" w:color="000000" w:fill="000000"/>
                <w14:textFill>
                  <w14:solidFill>
                    <w14:srgbClr w14:val="000000">
                      <w14:alpha w14:val="100000"/>
                    </w14:srgbClr>
                  </w14:solidFill>
                </w14:textFill>
              </w:rPr>
              <w:t>|</w:t>
            </w:r>
          </w:p>
        </w:tc>
        <w:tc>
          <w:tcPr>
            <w:tcW w:w="833" w:type="pct"/>
            <w:tcBorders>
              <w:bottom w:val="nil"/>
            </w:tcBorders>
            <w:shd w:val="clear" w:color="auto" w:fill="B8CCE4" w:themeFill="accent1" w:themeFillTint="66"/>
            <w:vAlign w:val="center"/>
          </w:tcPr>
          <w:p w14:paraId="3059F191" w14:textId="4377820C" w:rsidR="002A66BB" w:rsidRPr="00AD5A27" w:rsidRDefault="002A66BB">
            <w:pPr>
              <w:pStyle w:val="TableText0"/>
              <w:keepNext w:val="0"/>
              <w:jc w:val="center"/>
              <w:rPr>
                <w:szCs w:val="20"/>
              </w:rPr>
            </w:pPr>
            <w:r w:rsidRPr="00AD5A27">
              <w:t>$</w:t>
            </w:r>
            <w:r w:rsidR="00860BB2" w:rsidRPr="00860BB2">
              <w:rPr>
                <w:color w:val="000000"/>
                <w:shd w:val="solid" w:color="000000" w:fill="000000"/>
                <w14:textFill>
                  <w14:solidFill>
                    <w14:srgbClr w14:val="000000">
                      <w14:alpha w14:val="100000"/>
                    </w14:srgbClr>
                  </w14:solidFill>
                </w14:textFill>
              </w:rPr>
              <w:t>|</w:t>
            </w:r>
          </w:p>
        </w:tc>
      </w:tr>
      <w:tr w:rsidR="002A66BB" w:rsidRPr="00AD5A27" w14:paraId="3F303245" w14:textId="77777777" w:rsidTr="00971CA8">
        <w:tc>
          <w:tcPr>
            <w:tcW w:w="2522" w:type="pct"/>
            <w:tcBorders>
              <w:top w:val="nil"/>
            </w:tcBorders>
            <w:shd w:val="clear" w:color="auto" w:fill="B8CCE4" w:themeFill="accent1" w:themeFillTint="66"/>
            <w:vAlign w:val="center"/>
          </w:tcPr>
          <w:p w14:paraId="447B9EE7" w14:textId="77777777" w:rsidR="002A66BB" w:rsidRPr="00AD5A27" w:rsidRDefault="002A66BB">
            <w:pPr>
              <w:pStyle w:val="TableText0"/>
              <w:keepNext w:val="0"/>
              <w:rPr>
                <w:szCs w:val="20"/>
              </w:rPr>
            </w:pPr>
            <w:r w:rsidRPr="00AD5A27">
              <w:rPr>
                <w:szCs w:val="20"/>
              </w:rPr>
              <w:t xml:space="preserve">QALYs </w:t>
            </w:r>
          </w:p>
        </w:tc>
        <w:tc>
          <w:tcPr>
            <w:tcW w:w="862" w:type="pct"/>
            <w:tcBorders>
              <w:top w:val="nil"/>
            </w:tcBorders>
            <w:shd w:val="clear" w:color="auto" w:fill="B8CCE4" w:themeFill="accent1" w:themeFillTint="66"/>
            <w:vAlign w:val="center"/>
          </w:tcPr>
          <w:p w14:paraId="558BD883" w14:textId="77777777" w:rsidR="002A66BB" w:rsidRPr="00AD5A27" w:rsidRDefault="002A66BB">
            <w:pPr>
              <w:pStyle w:val="TableText0"/>
              <w:keepNext w:val="0"/>
              <w:jc w:val="center"/>
              <w:rPr>
                <w:szCs w:val="20"/>
              </w:rPr>
            </w:pPr>
            <w:r w:rsidRPr="00AD5A27">
              <w:rPr>
                <w:szCs w:val="20"/>
              </w:rPr>
              <w:t>13.401</w:t>
            </w:r>
          </w:p>
        </w:tc>
        <w:tc>
          <w:tcPr>
            <w:tcW w:w="783" w:type="pct"/>
            <w:tcBorders>
              <w:top w:val="nil"/>
            </w:tcBorders>
            <w:shd w:val="clear" w:color="auto" w:fill="B8CCE4" w:themeFill="accent1" w:themeFillTint="66"/>
            <w:vAlign w:val="center"/>
          </w:tcPr>
          <w:p w14:paraId="70FDF633" w14:textId="77777777" w:rsidR="002A66BB" w:rsidRPr="00AD5A27" w:rsidRDefault="002A66BB">
            <w:pPr>
              <w:pStyle w:val="TableText0"/>
              <w:keepNext w:val="0"/>
              <w:jc w:val="center"/>
              <w:rPr>
                <w:szCs w:val="20"/>
              </w:rPr>
            </w:pPr>
            <w:r w:rsidRPr="00AD5A27">
              <w:rPr>
                <w:szCs w:val="20"/>
              </w:rPr>
              <w:t>13.031</w:t>
            </w:r>
          </w:p>
        </w:tc>
        <w:tc>
          <w:tcPr>
            <w:tcW w:w="833" w:type="pct"/>
            <w:tcBorders>
              <w:top w:val="nil"/>
            </w:tcBorders>
            <w:shd w:val="clear" w:color="auto" w:fill="B8CCE4" w:themeFill="accent1" w:themeFillTint="66"/>
            <w:vAlign w:val="center"/>
          </w:tcPr>
          <w:p w14:paraId="59DAEFD9" w14:textId="77777777" w:rsidR="002A66BB" w:rsidRPr="00AD5A27" w:rsidRDefault="002A66BB">
            <w:pPr>
              <w:pStyle w:val="TableText0"/>
              <w:keepNext w:val="0"/>
              <w:jc w:val="center"/>
              <w:rPr>
                <w:szCs w:val="20"/>
              </w:rPr>
            </w:pPr>
            <w:r w:rsidRPr="00AD5A27">
              <w:t>0.370</w:t>
            </w:r>
          </w:p>
        </w:tc>
      </w:tr>
      <w:tr w:rsidR="002A66BB" w:rsidRPr="00AD5A27" w14:paraId="54131595" w14:textId="77777777" w:rsidTr="00971CA8">
        <w:tc>
          <w:tcPr>
            <w:tcW w:w="4167" w:type="pct"/>
            <w:gridSpan w:val="3"/>
            <w:tcBorders>
              <w:bottom w:val="single" w:sz="4" w:space="0" w:color="auto"/>
            </w:tcBorders>
            <w:shd w:val="clear" w:color="auto" w:fill="B8CCE4" w:themeFill="accent1" w:themeFillTint="66"/>
            <w:vAlign w:val="center"/>
          </w:tcPr>
          <w:p w14:paraId="3705641F" w14:textId="77777777" w:rsidR="002A66BB" w:rsidRPr="00AD5A27" w:rsidRDefault="002A66BB">
            <w:pPr>
              <w:pStyle w:val="TableText0"/>
              <w:keepNext w:val="0"/>
              <w:rPr>
                <w:bCs w:val="0"/>
                <w:szCs w:val="20"/>
              </w:rPr>
            </w:pPr>
            <w:r w:rsidRPr="00AD5A27">
              <w:rPr>
                <w:bCs w:val="0"/>
                <w:szCs w:val="20"/>
              </w:rPr>
              <w:t>Incremental cost/extra QALY gained (base case)</w:t>
            </w:r>
          </w:p>
        </w:tc>
        <w:tc>
          <w:tcPr>
            <w:tcW w:w="833" w:type="pct"/>
            <w:tcBorders>
              <w:bottom w:val="single" w:sz="4" w:space="0" w:color="auto"/>
            </w:tcBorders>
            <w:shd w:val="clear" w:color="auto" w:fill="B8CCE4" w:themeFill="accent1" w:themeFillTint="66"/>
            <w:vAlign w:val="center"/>
          </w:tcPr>
          <w:p w14:paraId="64DED80B" w14:textId="35EA1DF2" w:rsidR="002A66BB" w:rsidRPr="00AD5A27" w:rsidRDefault="002A66BB">
            <w:pPr>
              <w:pStyle w:val="TableText0"/>
              <w:keepNext w:val="0"/>
              <w:jc w:val="center"/>
              <w:rPr>
                <w:b/>
                <w:szCs w:val="20"/>
              </w:rPr>
            </w:pPr>
            <w:r w:rsidRPr="00AD5A27">
              <w:rPr>
                <w:b/>
                <w:szCs w:val="20"/>
              </w:rPr>
              <w:t>$</w:t>
            </w:r>
            <w:r w:rsidR="00860BB2" w:rsidRPr="00860BB2">
              <w:rPr>
                <w:b/>
                <w:color w:val="000000"/>
                <w:szCs w:val="20"/>
                <w:shd w:val="solid" w:color="000000" w:fill="000000"/>
                <w14:textFill>
                  <w14:solidFill>
                    <w14:srgbClr w14:val="000000">
                      <w14:alpha w14:val="100000"/>
                    </w14:srgbClr>
                  </w14:solidFill>
                </w14:textFill>
              </w:rPr>
              <w:t>|</w:t>
            </w:r>
            <w:r w:rsidR="00F97AC0">
              <w:rPr>
                <w:b/>
                <w:szCs w:val="20"/>
                <w:vertAlign w:val="superscript"/>
              </w:rPr>
              <w:t>2</w:t>
            </w:r>
          </w:p>
        </w:tc>
      </w:tr>
    </w:tbl>
    <w:p w14:paraId="7B2FCB12" w14:textId="77777777" w:rsidR="002A66BB" w:rsidRPr="00AD5A27" w:rsidRDefault="002A66BB" w:rsidP="00614480">
      <w:pPr>
        <w:pStyle w:val="FooterTableFigure"/>
        <w:jc w:val="left"/>
      </w:pPr>
      <w:r w:rsidRPr="00AD5A27">
        <w:t>Source: Tables 3-19 and 3-22, pp186 and 188 of the resubmission; Excel workbook titled “StepEconEval_extrainformation_Abbvie_ADA_Uveitis” supplied upon request during the evaluation.</w:t>
      </w:r>
    </w:p>
    <w:p w14:paraId="738E587D" w14:textId="77777777" w:rsidR="002A66BB" w:rsidRPr="00AD5A27" w:rsidRDefault="002A66BB">
      <w:pPr>
        <w:pStyle w:val="FooterTableFigure"/>
      </w:pPr>
      <w:r w:rsidRPr="00AD5A27">
        <w:t>ADA = adalimumab; AE = adverse event; BSC = best supportive care; OC = ocular complication; OCS = oral corticosteroid; QALY = quality-adjusted life year.</w:t>
      </w:r>
    </w:p>
    <w:p w14:paraId="36E5A36E" w14:textId="0F26846E" w:rsidR="002A66BB" w:rsidRPr="00AD5A27" w:rsidRDefault="002A66BB">
      <w:pPr>
        <w:pStyle w:val="FooterTableFigure"/>
      </w:pPr>
      <w:r w:rsidRPr="00AD5A27">
        <w:rPr>
          <w:vertAlign w:val="superscript"/>
        </w:rPr>
        <w:lastRenderedPageBreak/>
        <w:t xml:space="preserve">a </w:t>
      </w:r>
      <w:r w:rsidRPr="00AD5A27">
        <w:t>$</w:t>
      </w:r>
      <w:r w:rsidR="00860BB2" w:rsidRPr="00860BB2">
        <w:rPr>
          <w:color w:val="000000"/>
          <w:spacing w:val="40"/>
          <w:shd w:val="solid" w:color="000000" w:fill="000000"/>
          <w:fitText w:val="280" w:id="-961901301"/>
          <w14:textFill>
            <w14:solidFill>
              <w14:srgbClr w14:val="000000">
                <w14:alpha w14:val="100000"/>
              </w14:srgbClr>
            </w14:solidFill>
          </w14:textFill>
        </w:rPr>
        <w:t xml:space="preserve">|  </w:t>
      </w:r>
      <w:r w:rsidR="00860BB2" w:rsidRPr="00860BB2">
        <w:rPr>
          <w:color w:val="000000"/>
          <w:spacing w:val="2"/>
          <w:shd w:val="solid" w:color="000000" w:fill="000000"/>
          <w:fitText w:val="280" w:id="-961901301"/>
          <w14:textFill>
            <w14:solidFill>
              <w14:srgbClr w14:val="000000">
                <w14:alpha w14:val="100000"/>
              </w14:srgbClr>
            </w14:solidFill>
          </w14:textFill>
        </w:rPr>
        <w:t>|</w:t>
      </w:r>
      <w:r w:rsidRPr="00AD5A27">
        <w:t xml:space="preserve"> = ($</w:t>
      </w:r>
      <w:r w:rsidR="00860BB2" w:rsidRPr="00860BB2">
        <w:rPr>
          <w:color w:val="000000"/>
          <w:spacing w:val="40"/>
          <w:shd w:val="solid" w:color="000000" w:fill="000000"/>
          <w:fitText w:val="280" w:id="-961901300"/>
          <w14:textFill>
            <w14:solidFill>
              <w14:srgbClr w14:val="000000">
                <w14:alpha w14:val="100000"/>
              </w14:srgbClr>
            </w14:solidFill>
          </w14:textFill>
        </w:rPr>
        <w:t xml:space="preserve">|  </w:t>
      </w:r>
      <w:r w:rsidR="00860BB2" w:rsidRPr="00860BB2">
        <w:rPr>
          <w:color w:val="000000"/>
          <w:spacing w:val="2"/>
          <w:shd w:val="solid" w:color="000000" w:fill="000000"/>
          <w:fitText w:val="280" w:id="-961901300"/>
          <w14:textFill>
            <w14:solidFill>
              <w14:srgbClr w14:val="000000">
                <w14:alpha w14:val="100000"/>
              </w14:srgbClr>
            </w14:solidFill>
          </w14:textFill>
        </w:rPr>
        <w:t>|</w:t>
      </w:r>
      <w:r w:rsidRPr="00AD5A27">
        <w:t>/2)*28</w:t>
      </w:r>
    </w:p>
    <w:p w14:paraId="22BB7BB8" w14:textId="77777777" w:rsidR="002A66BB" w:rsidRDefault="002A66BB">
      <w:pPr>
        <w:pStyle w:val="FooterTableFigure"/>
      </w:pPr>
      <w:r w:rsidRPr="00AD5A27">
        <w:rPr>
          <w:shd w:val="clear" w:color="auto" w:fill="B8CCE4" w:themeFill="accent1" w:themeFillTint="66"/>
        </w:rPr>
        <w:t>Blue shading</w:t>
      </w:r>
      <w:r w:rsidRPr="00AD5A27">
        <w:t xml:space="preserve"> indicates data previously seen by the PBAC. </w:t>
      </w:r>
    </w:p>
    <w:p w14:paraId="6BD473A1" w14:textId="77777777" w:rsidR="007B084D" w:rsidRPr="00430084" w:rsidRDefault="007B084D" w:rsidP="007B084D">
      <w:pPr>
        <w:pStyle w:val="FooterTableFigure"/>
        <w:rPr>
          <w:i/>
          <w:iCs/>
        </w:rPr>
      </w:pPr>
      <w:r w:rsidRPr="00430084">
        <w:rPr>
          <w:i/>
          <w:iCs/>
        </w:rPr>
        <w:t>The redacted values correspond to the following ranges:</w:t>
      </w:r>
    </w:p>
    <w:p w14:paraId="5C708C84" w14:textId="5CF822F4" w:rsidR="007B084D" w:rsidRPr="00430084" w:rsidRDefault="007B084D" w:rsidP="007B084D">
      <w:pPr>
        <w:pStyle w:val="FooterTableFigure"/>
        <w:rPr>
          <w:i/>
          <w:iCs/>
        </w:rPr>
      </w:pPr>
      <w:r w:rsidRPr="00430084">
        <w:rPr>
          <w:i/>
          <w:iCs/>
          <w:vertAlign w:val="superscript"/>
        </w:rPr>
        <w:t>1</w:t>
      </w:r>
      <w:r w:rsidRPr="00430084">
        <w:rPr>
          <w:i/>
          <w:iCs/>
        </w:rPr>
        <w:t>$35,000 to &lt; $45,000</w:t>
      </w:r>
    </w:p>
    <w:p w14:paraId="5064DC13" w14:textId="38117E24" w:rsidR="007B084D" w:rsidRPr="00430084" w:rsidRDefault="005A6F92" w:rsidP="007B084D">
      <w:pPr>
        <w:pStyle w:val="FooterTableFigure"/>
        <w:rPr>
          <w:i/>
          <w:iCs/>
        </w:rPr>
      </w:pPr>
      <w:r w:rsidRPr="00430084">
        <w:rPr>
          <w:i/>
          <w:iCs/>
          <w:vertAlign w:val="superscript"/>
        </w:rPr>
        <w:t>2</w:t>
      </w:r>
      <w:r w:rsidR="007B084D" w:rsidRPr="00430084">
        <w:rPr>
          <w:i/>
          <w:iCs/>
        </w:rPr>
        <w:t>$</w:t>
      </w:r>
      <w:r w:rsidRPr="00430084">
        <w:rPr>
          <w:i/>
          <w:iCs/>
        </w:rPr>
        <w:t>45</w:t>
      </w:r>
      <w:r w:rsidR="007B084D" w:rsidRPr="00430084">
        <w:rPr>
          <w:i/>
          <w:iCs/>
        </w:rPr>
        <w:t>,000 to &lt; $</w:t>
      </w:r>
      <w:r w:rsidRPr="00430084">
        <w:rPr>
          <w:i/>
          <w:iCs/>
        </w:rPr>
        <w:t>55</w:t>
      </w:r>
      <w:r w:rsidR="007B084D" w:rsidRPr="00430084">
        <w:rPr>
          <w:i/>
          <w:iCs/>
        </w:rPr>
        <w:t>,000</w:t>
      </w:r>
    </w:p>
    <w:p w14:paraId="77600B06" w14:textId="17011806" w:rsidR="005A6F92" w:rsidRPr="00430084" w:rsidRDefault="005A6F92" w:rsidP="007B084D">
      <w:pPr>
        <w:pStyle w:val="FooterTableFigure"/>
        <w:rPr>
          <w:i/>
          <w:iCs/>
        </w:rPr>
      </w:pPr>
      <w:r w:rsidRPr="00430084">
        <w:rPr>
          <w:i/>
          <w:iCs/>
          <w:vertAlign w:val="superscript"/>
        </w:rPr>
        <w:t>3</w:t>
      </w:r>
      <w:r w:rsidRPr="00430084">
        <w:rPr>
          <w:i/>
          <w:iCs/>
        </w:rPr>
        <w:t>$755,000 to &lt; $855,000</w:t>
      </w:r>
    </w:p>
    <w:p w14:paraId="686E8630" w14:textId="14E988BF" w:rsidR="005A6F92" w:rsidRPr="00430084" w:rsidRDefault="005A6F92" w:rsidP="007B084D">
      <w:pPr>
        <w:pStyle w:val="FooterTableFigure"/>
        <w:rPr>
          <w:i/>
          <w:iCs/>
        </w:rPr>
      </w:pPr>
      <w:r w:rsidRPr="00430084">
        <w:rPr>
          <w:i/>
          <w:iCs/>
          <w:vertAlign w:val="superscript"/>
        </w:rPr>
        <w:t>4</w:t>
      </w:r>
      <w:r w:rsidRPr="00430084">
        <w:rPr>
          <w:i/>
          <w:iCs/>
        </w:rPr>
        <w:t>$135,000 to &lt; $155,000</w:t>
      </w:r>
    </w:p>
    <w:p w14:paraId="73ED1EEB" w14:textId="785C98B4" w:rsidR="005A6F92" w:rsidRPr="00430084" w:rsidRDefault="005A6F92" w:rsidP="007B084D">
      <w:pPr>
        <w:pStyle w:val="FooterTableFigure"/>
        <w:rPr>
          <w:i/>
          <w:iCs/>
        </w:rPr>
      </w:pPr>
      <w:r w:rsidRPr="00430084">
        <w:rPr>
          <w:i/>
          <w:iCs/>
          <w:vertAlign w:val="superscript"/>
        </w:rPr>
        <w:t>5</w:t>
      </w:r>
      <w:r w:rsidRPr="00430084">
        <w:rPr>
          <w:i/>
          <w:iCs/>
        </w:rPr>
        <w:t>$55,000 to &lt; $75,000</w:t>
      </w:r>
    </w:p>
    <w:p w14:paraId="694623C2" w14:textId="7662554D" w:rsidR="002A66BB" w:rsidRDefault="002A66BB">
      <w:pPr>
        <w:pStyle w:val="3-BodyText"/>
      </w:pPr>
      <w:r w:rsidRPr="00AD5A27">
        <w:t>The resubmission reported that over the lifetime horizon, adalimumab was associated with an incremental cost of $</w:t>
      </w:r>
      <w:r w:rsidR="00860BB2" w:rsidRPr="004050E4">
        <w:rPr>
          <w:color w:val="000000"/>
          <w:w w:val="15"/>
          <w:shd w:val="solid" w:color="000000" w:fill="000000"/>
          <w:fitText w:val="-20" w:id="-961901299"/>
          <w14:textFill>
            <w14:solidFill>
              <w14:srgbClr w14:val="000000">
                <w14:alpha w14:val="100000"/>
              </w14:srgbClr>
            </w14:solidFill>
          </w14:textFill>
        </w:rPr>
        <w:t xml:space="preserve">|  </w:t>
      </w:r>
      <w:r w:rsidR="00860BB2" w:rsidRPr="004050E4">
        <w:rPr>
          <w:color w:val="000000"/>
          <w:spacing w:val="-69"/>
          <w:w w:val="15"/>
          <w:shd w:val="solid" w:color="000000" w:fill="000000"/>
          <w:fitText w:val="-20" w:id="-961901299"/>
          <w14:textFill>
            <w14:solidFill>
              <w14:srgbClr w14:val="000000">
                <w14:alpha w14:val="100000"/>
              </w14:srgbClr>
            </w14:solidFill>
          </w14:textFill>
        </w:rPr>
        <w:t>|</w:t>
      </w:r>
      <w:r w:rsidRPr="00AD5A27">
        <w:t xml:space="preserve"> per patient, and 0.2268 QALYs. The ICER was $</w:t>
      </w:r>
      <w:r w:rsidR="00430084">
        <w:t>2</w:t>
      </w:r>
      <w:r w:rsidR="005A6F92" w:rsidRPr="005A6F92">
        <w:t>5,000 to &lt; $35,000</w:t>
      </w:r>
      <w:r w:rsidRPr="00AD5A27">
        <w:t>per QALY gained.</w:t>
      </w:r>
    </w:p>
    <w:p w14:paraId="64394D76" w14:textId="77777777" w:rsidR="001D0084" w:rsidRPr="00AD5A27" w:rsidRDefault="001D0084" w:rsidP="001D0084">
      <w:pPr>
        <w:pStyle w:val="3-BodyText"/>
        <w:rPr>
          <w:iCs/>
        </w:rPr>
      </w:pPr>
      <w:r w:rsidRPr="00AD5A27">
        <w:rPr>
          <w:iCs/>
        </w:rPr>
        <w:t>The resubmission (vs. March 2017 submission) reported that for every 1,000 patients modelled to be treated with adalimumab, there will be:</w:t>
      </w:r>
    </w:p>
    <w:p w14:paraId="055D8801" w14:textId="77777777" w:rsidR="001D0084" w:rsidRPr="00AD5A27" w:rsidRDefault="001D0084" w:rsidP="001D0084">
      <w:pPr>
        <w:pStyle w:val="ListParagraph"/>
        <w:numPr>
          <w:ilvl w:val="0"/>
          <w:numId w:val="17"/>
        </w:numPr>
        <w:rPr>
          <w:iCs/>
        </w:rPr>
      </w:pPr>
      <w:r w:rsidRPr="00AD5A27">
        <w:rPr>
          <w:iCs/>
        </w:rPr>
        <w:t>3 (vs. 9) fewer patients with blindness as a complication.</w:t>
      </w:r>
    </w:p>
    <w:p w14:paraId="7037438F" w14:textId="77777777" w:rsidR="001D0084" w:rsidRPr="00AD5A27" w:rsidRDefault="001D0084" w:rsidP="001D0084">
      <w:pPr>
        <w:pStyle w:val="ListParagraph"/>
        <w:numPr>
          <w:ilvl w:val="0"/>
          <w:numId w:val="17"/>
        </w:numPr>
        <w:rPr>
          <w:iCs/>
        </w:rPr>
      </w:pPr>
      <w:r w:rsidRPr="00AD5A27">
        <w:rPr>
          <w:iCs/>
        </w:rPr>
        <w:t>32 (vs. 203) cataract procedures avoided.</w:t>
      </w:r>
    </w:p>
    <w:p w14:paraId="1327C3CE" w14:textId="77777777" w:rsidR="001D0084" w:rsidRPr="00AD5A27" w:rsidRDefault="001D0084" w:rsidP="001D0084">
      <w:pPr>
        <w:pStyle w:val="ListParagraph"/>
        <w:numPr>
          <w:ilvl w:val="0"/>
          <w:numId w:val="17"/>
        </w:numPr>
        <w:rPr>
          <w:iCs/>
        </w:rPr>
      </w:pPr>
      <w:r w:rsidRPr="00AD5A27">
        <w:rPr>
          <w:iCs/>
        </w:rPr>
        <w:t>62 (vs. 91) fewer patients developing glaucoma.</w:t>
      </w:r>
    </w:p>
    <w:p w14:paraId="778F7D3D" w14:textId="77777777" w:rsidR="001D0084" w:rsidRPr="00AD5A27" w:rsidRDefault="001D0084" w:rsidP="001D0084">
      <w:pPr>
        <w:pStyle w:val="ListParagraph"/>
        <w:numPr>
          <w:ilvl w:val="0"/>
          <w:numId w:val="17"/>
        </w:numPr>
        <w:rPr>
          <w:iCs/>
        </w:rPr>
      </w:pPr>
      <w:r w:rsidRPr="00AD5A27">
        <w:rPr>
          <w:iCs/>
        </w:rPr>
        <w:t>38 (vs. 132) fewer patients experiencing a visual disturbance.</w:t>
      </w:r>
    </w:p>
    <w:p w14:paraId="56C49155" w14:textId="77777777" w:rsidR="001D0084" w:rsidRPr="00AD5A27" w:rsidRDefault="001D0084" w:rsidP="001D0084">
      <w:pPr>
        <w:pStyle w:val="ListParagraph"/>
        <w:numPr>
          <w:ilvl w:val="0"/>
          <w:numId w:val="17"/>
        </w:numPr>
        <w:rPr>
          <w:iCs/>
        </w:rPr>
      </w:pPr>
      <w:r w:rsidRPr="00AD5A27">
        <w:rPr>
          <w:iCs/>
        </w:rPr>
        <w:t>73 (vs. 133) fewer patients developing a retinal disorder.</w:t>
      </w:r>
    </w:p>
    <w:p w14:paraId="4E08539A" w14:textId="77777777" w:rsidR="001D0084" w:rsidRPr="00AD5A27" w:rsidRDefault="001D0084" w:rsidP="001D0084">
      <w:pPr>
        <w:pStyle w:val="ListParagraph"/>
        <w:numPr>
          <w:ilvl w:val="0"/>
          <w:numId w:val="17"/>
        </w:numPr>
        <w:rPr>
          <w:iCs/>
        </w:rPr>
      </w:pPr>
      <w:r w:rsidRPr="00AD5A27">
        <w:rPr>
          <w:iCs/>
        </w:rPr>
        <w:t>6 (vs. 34) fewer patients experiencing a retinal detachment.</w:t>
      </w:r>
    </w:p>
    <w:p w14:paraId="42D6B560" w14:textId="35F82DEE" w:rsidR="002A66BB" w:rsidRPr="00AD5A27" w:rsidRDefault="002A66BB">
      <w:pPr>
        <w:pStyle w:val="3-BodyText"/>
      </w:pPr>
      <w:r w:rsidRPr="00AD5A27">
        <w:t>The</w:t>
      </w:r>
      <w:r w:rsidR="007572E4" w:rsidRPr="00AD5A27">
        <w:t xml:space="preserve"> evaluation considered these</w:t>
      </w:r>
      <w:r w:rsidRPr="00AD5A27">
        <w:t xml:space="preserve"> results should be interpreted with caution: </w:t>
      </w:r>
    </w:p>
    <w:p w14:paraId="41F8ECEE" w14:textId="3545FD61" w:rsidR="002A66BB" w:rsidRPr="00AD5A27" w:rsidRDefault="00A97222" w:rsidP="00015FF3">
      <w:pPr>
        <w:pStyle w:val="ListParagraph"/>
        <w:numPr>
          <w:ilvl w:val="0"/>
          <w:numId w:val="18"/>
        </w:numPr>
        <w:ind w:left="1077" w:hanging="357"/>
      </w:pPr>
      <w:r w:rsidRPr="00AD5A27">
        <w:t>Correcting</w:t>
      </w:r>
      <w:r w:rsidR="002A66BB" w:rsidRPr="00AD5A27">
        <w:t xml:space="preserve"> the monthly probability of glaucoma in the BSC +/- OCS arm to 0.0044 increased the ICER to $</w:t>
      </w:r>
      <w:r w:rsidR="005A6F92" w:rsidRPr="005A6F92">
        <w:t>35,000 to &lt; $45,000</w:t>
      </w:r>
      <w:r w:rsidR="002A66BB" w:rsidRPr="00AD5A27">
        <w:t xml:space="preserve">/QALY gained. </w:t>
      </w:r>
    </w:p>
    <w:p w14:paraId="05A64420" w14:textId="55929686" w:rsidR="002A66BB" w:rsidRPr="00AD5A27" w:rsidRDefault="002A66BB" w:rsidP="00015FF3">
      <w:pPr>
        <w:pStyle w:val="ListParagraph"/>
        <w:numPr>
          <w:ilvl w:val="0"/>
          <w:numId w:val="18"/>
        </w:numPr>
        <w:ind w:left="1077" w:hanging="357"/>
      </w:pPr>
      <w:r w:rsidRPr="00AD5A27">
        <w:t>The resubmission did not provide</w:t>
      </w:r>
      <w:r w:rsidRPr="00AD5A27" w:rsidDel="003658CA">
        <w:t xml:space="preserve"> </w:t>
      </w:r>
      <w:r w:rsidRPr="00AD5A27">
        <w:t xml:space="preserve">clinical evidence directly linking adalimumab treatment with ocular complications. </w:t>
      </w:r>
    </w:p>
    <w:p w14:paraId="5690350C" w14:textId="77777777" w:rsidR="002A66BB" w:rsidRPr="00AD5A27" w:rsidRDefault="002A66BB" w:rsidP="00015FF3">
      <w:pPr>
        <w:pStyle w:val="ListBullet"/>
        <w:tabs>
          <w:tab w:val="clear" w:pos="360"/>
          <w:tab w:val="num" w:pos="1080"/>
        </w:tabs>
        <w:spacing w:after="120"/>
        <w:ind w:left="1080"/>
        <w:contextualSpacing w:val="0"/>
      </w:pPr>
      <w:r w:rsidRPr="00AD5A27">
        <w:t>The resubmission assumed that the disease resolves after 5 years.</w:t>
      </w:r>
    </w:p>
    <w:p w14:paraId="754FFAC0" w14:textId="6B0CF110" w:rsidR="002A66BB" w:rsidRPr="00AD5A27" w:rsidRDefault="002A66BB" w:rsidP="00015FF3">
      <w:pPr>
        <w:pStyle w:val="ListBullet"/>
        <w:tabs>
          <w:tab w:val="clear" w:pos="360"/>
          <w:tab w:val="num" w:pos="1080"/>
        </w:tabs>
        <w:spacing w:after="120"/>
        <w:ind w:left="1080"/>
        <w:contextualSpacing w:val="0"/>
      </w:pPr>
      <w:r w:rsidRPr="00AD5A27">
        <w:t>The proposed DPMQ for adalimumab was $</w:t>
      </w:r>
      <w:r w:rsidRPr="00A21E4E">
        <w:t>706.70</w:t>
      </w:r>
      <w:r w:rsidRPr="00AD5A27">
        <w:t xml:space="preserve"> for 2 x 20</w:t>
      </w:r>
      <w:r w:rsidR="00AD5A27">
        <w:t xml:space="preserve"> </w:t>
      </w:r>
      <w:r w:rsidRPr="00AD5A27">
        <w:t>mg and $</w:t>
      </w:r>
      <w:r w:rsidRPr="00DC6641">
        <w:t>676.79</w:t>
      </w:r>
      <w:r w:rsidRPr="00AD5A27">
        <w:t xml:space="preserve"> for adalimumab 2 x 40</w:t>
      </w:r>
      <w:r w:rsidR="00AD5A27">
        <w:t xml:space="preserve"> </w:t>
      </w:r>
      <w:r w:rsidRPr="00AD5A27">
        <w:t>mg or 1 x 80</w:t>
      </w:r>
      <w:r w:rsidR="00AD5A27">
        <w:t xml:space="preserve"> </w:t>
      </w:r>
      <w:r w:rsidRPr="00AD5A27">
        <w:t>mg. However, the economic evaluation results were based on an assumed DPMQ of $</w:t>
      </w:r>
      <w:r w:rsidR="00860BB2" w:rsidRPr="004050E4">
        <w:rPr>
          <w:color w:val="000000"/>
          <w:w w:val="15"/>
          <w:shd w:val="solid" w:color="000000" w:fill="000000"/>
          <w:fitText w:val="-20" w:id="-961901298"/>
          <w14:textFill>
            <w14:solidFill>
              <w14:srgbClr w14:val="000000">
                <w14:alpha w14:val="100000"/>
              </w14:srgbClr>
            </w14:solidFill>
          </w14:textFill>
        </w:rPr>
        <w:t xml:space="preserve">|  </w:t>
      </w:r>
      <w:r w:rsidR="00860BB2" w:rsidRPr="004050E4">
        <w:rPr>
          <w:color w:val="000000"/>
          <w:spacing w:val="-69"/>
          <w:w w:val="15"/>
          <w:shd w:val="solid" w:color="000000" w:fill="000000"/>
          <w:fitText w:val="-20" w:id="-961901298"/>
          <w14:textFill>
            <w14:solidFill>
              <w14:srgbClr w14:val="000000">
                <w14:alpha w14:val="100000"/>
              </w14:srgbClr>
            </w14:solidFill>
          </w14:textFill>
        </w:rPr>
        <w:t>|</w:t>
      </w:r>
      <w:r w:rsidRPr="00AD5A27">
        <w:t xml:space="preserve"> for 2 x 40 mg, which the resubmission calculated based on a proposed flat ex-manufacturer price of $</w:t>
      </w:r>
      <w:r w:rsidR="00860BB2" w:rsidRPr="004050E4">
        <w:rPr>
          <w:color w:val="000000"/>
          <w:w w:val="15"/>
          <w:shd w:val="solid" w:color="000000" w:fill="000000"/>
          <w:fitText w:val="-20" w:id="-961901297"/>
          <w14:textFill>
            <w14:solidFill>
              <w14:srgbClr w14:val="000000">
                <w14:alpha w14:val="100000"/>
              </w14:srgbClr>
            </w14:solidFill>
          </w14:textFill>
        </w:rPr>
        <w:t xml:space="preserve">|  </w:t>
      </w:r>
      <w:r w:rsidR="00860BB2" w:rsidRPr="004050E4">
        <w:rPr>
          <w:color w:val="000000"/>
          <w:spacing w:val="-69"/>
          <w:w w:val="15"/>
          <w:shd w:val="solid" w:color="000000" w:fill="000000"/>
          <w:fitText w:val="-20" w:id="-961901297"/>
          <w14:textFill>
            <w14:solidFill>
              <w14:srgbClr w14:val="000000">
                <w14:alpha w14:val="100000"/>
              </w14:srgbClr>
            </w14:solidFill>
          </w14:textFill>
        </w:rPr>
        <w:t>|</w:t>
      </w:r>
      <w:r w:rsidRPr="00AD5A27">
        <w:t xml:space="preserve"> per script for the 20 mg, 40 mg and 80 mg strengths, plus an assumed </w:t>
      </w:r>
      <w:r w:rsidR="00860BB2" w:rsidRPr="004050E4">
        <w:rPr>
          <w:color w:val="000000"/>
          <w:w w:val="15"/>
          <w:shd w:val="solid" w:color="000000" w:fill="000000"/>
          <w:fitText w:val="-20" w:id="-961901296"/>
          <w14:textFill>
            <w14:solidFill>
              <w14:srgbClr w14:val="000000">
                <w14:alpha w14:val="100000"/>
              </w14:srgbClr>
            </w14:solidFill>
          </w14:textFill>
        </w:rPr>
        <w:t xml:space="preserve">|  </w:t>
      </w:r>
      <w:r w:rsidR="00860BB2" w:rsidRPr="004050E4">
        <w:rPr>
          <w:color w:val="000000"/>
          <w:spacing w:val="-69"/>
          <w:w w:val="15"/>
          <w:shd w:val="solid" w:color="000000" w:fill="000000"/>
          <w:fitText w:val="-20" w:id="-961901296"/>
          <w14:textFill>
            <w14:solidFill>
              <w14:srgbClr w14:val="000000">
                <w14:alpha w14:val="100000"/>
              </w14:srgbClr>
            </w14:solidFill>
          </w14:textFill>
        </w:rPr>
        <w:t>|</w:t>
      </w:r>
      <w:r w:rsidRPr="00AD5A27">
        <w:t>% future price reduction from price disclosure and a lower wholesale margin of $</w:t>
      </w:r>
      <w:r w:rsidR="00860BB2" w:rsidRPr="004050E4">
        <w:rPr>
          <w:color w:val="000000"/>
          <w:w w:val="15"/>
          <w:shd w:val="solid" w:color="000000" w:fill="000000"/>
          <w:fitText w:val="-20" w:id="-961901312"/>
          <w14:textFill>
            <w14:solidFill>
              <w14:srgbClr w14:val="000000">
                <w14:alpha w14:val="100000"/>
              </w14:srgbClr>
            </w14:solidFill>
          </w14:textFill>
        </w:rPr>
        <w:t xml:space="preserve">|  </w:t>
      </w:r>
      <w:r w:rsidR="00860BB2" w:rsidRPr="004050E4">
        <w:rPr>
          <w:color w:val="000000"/>
          <w:spacing w:val="-69"/>
          <w:w w:val="15"/>
          <w:shd w:val="solid" w:color="000000" w:fill="000000"/>
          <w:fitText w:val="-20" w:id="-961901312"/>
          <w14:textFill>
            <w14:solidFill>
              <w14:srgbClr w14:val="000000">
                <w14:alpha w14:val="100000"/>
              </w14:srgbClr>
            </w14:solidFill>
          </w14:textFill>
        </w:rPr>
        <w:t>|</w:t>
      </w:r>
      <w:r w:rsidRPr="00AD5A27">
        <w:t xml:space="preserve"> for the 40 mg and 80 mg scripts. </w:t>
      </w:r>
      <w:r w:rsidR="00BA2F1D" w:rsidRPr="00AD5A27">
        <w:t>The price disclosure-related assumptions were speculative</w:t>
      </w:r>
      <w:r w:rsidR="00411CF3" w:rsidRPr="00AD5A27">
        <w:t xml:space="preserve"> at time of submission</w:t>
      </w:r>
      <w:r w:rsidR="00BA2F1D" w:rsidRPr="00AD5A27">
        <w:t xml:space="preserve"> and price reductions through this policy cannot be prospectively determined.</w:t>
      </w:r>
      <w:r w:rsidR="00B07778" w:rsidRPr="00AD5A27">
        <w:t xml:space="preserve"> The PSCR stated the indicative April 2024 price disclosure cycle had determined an adalimumab AEMP (for the relevant dose form) of $</w:t>
      </w:r>
      <w:r w:rsidR="00B07778" w:rsidRPr="00D65114">
        <w:t>505.95</w:t>
      </w:r>
      <w:r w:rsidR="00B07778" w:rsidRPr="00AD5A27">
        <w:t xml:space="preserve">. At time of ESC advice, the Department advised these prices had not been finalised; </w:t>
      </w:r>
      <w:r w:rsidR="00AD5A27" w:rsidRPr="00AD5A27">
        <w:t>however,</w:t>
      </w:r>
      <w:r w:rsidR="003C655C" w:rsidRPr="00AD5A27">
        <w:t xml:space="preserve"> </w:t>
      </w:r>
      <w:r w:rsidR="007572E4" w:rsidRPr="00AD5A27">
        <w:t>they were</w:t>
      </w:r>
      <w:r w:rsidR="00411CF3" w:rsidRPr="00AD5A27">
        <w:t xml:space="preserve"> finalised prior to consideration by the PBAC, with an AEMP of $</w:t>
      </w:r>
      <w:r w:rsidR="00411CF3" w:rsidRPr="00D65114">
        <w:t>505.95</w:t>
      </w:r>
      <w:r w:rsidR="00411CF3" w:rsidRPr="00AD5A27">
        <w:t xml:space="preserve"> for the 2 x 40 mg form confirmed.</w:t>
      </w:r>
    </w:p>
    <w:p w14:paraId="5B18B074" w14:textId="706C7255" w:rsidR="002A66BB" w:rsidRPr="00AD5A27" w:rsidRDefault="002A66BB" w:rsidP="008B5470">
      <w:pPr>
        <w:pStyle w:val="3-BodyText"/>
        <w:spacing w:before="120"/>
      </w:pPr>
      <w:r w:rsidRPr="00AD5A27">
        <w:lastRenderedPageBreak/>
        <w:t xml:space="preserve">The results of key univariate and multivariate sensitivity analyses are summarised in </w:t>
      </w:r>
      <w:r w:rsidR="001F670C" w:rsidRPr="00AD5A27">
        <w:fldChar w:fldCharType="begin" w:fldLock="1"/>
      </w:r>
      <w:r w:rsidR="001F670C" w:rsidRPr="00AD5A27">
        <w:instrText xml:space="preserve"> REF _Ref153208998 \h </w:instrText>
      </w:r>
      <w:r w:rsidR="003C063D" w:rsidRPr="00AD5A27">
        <w:instrText xml:space="preserve"> \* MERGEFORMAT </w:instrText>
      </w:r>
      <w:r w:rsidR="001F670C" w:rsidRPr="00AD5A27">
        <w:fldChar w:fldCharType="separate"/>
      </w:r>
      <w:r w:rsidR="00B510E9" w:rsidRPr="00AD5A27">
        <w:t>Table 14</w:t>
      </w:r>
      <w:r w:rsidR="001F670C" w:rsidRPr="00AD5A27">
        <w:fldChar w:fldCharType="end"/>
      </w:r>
      <w:r w:rsidRPr="00AD5A27">
        <w:t>.</w:t>
      </w:r>
    </w:p>
    <w:p w14:paraId="5D363C63" w14:textId="60895EE3" w:rsidR="002A66BB" w:rsidRPr="00AD5A27" w:rsidRDefault="003C36D2" w:rsidP="003C36D2">
      <w:pPr>
        <w:pStyle w:val="Caption"/>
      </w:pPr>
      <w:bookmarkStart w:id="66" w:name="_Ref153208998"/>
      <w:r w:rsidRPr="00AD5A27">
        <w:t xml:space="preserve">Table </w:t>
      </w:r>
      <w:r w:rsidR="004050E4">
        <w:fldChar w:fldCharType="begin" w:fldLock="1"/>
      </w:r>
      <w:r w:rsidR="004050E4">
        <w:instrText xml:space="preserve"> SEQ Table \* ARABIC </w:instrText>
      </w:r>
      <w:r w:rsidR="004050E4">
        <w:fldChar w:fldCharType="separate"/>
      </w:r>
      <w:r w:rsidR="00B510E9" w:rsidRPr="00AD5A27">
        <w:t>14</w:t>
      </w:r>
      <w:r w:rsidR="004050E4">
        <w:fldChar w:fldCharType="end"/>
      </w:r>
      <w:bookmarkEnd w:id="66"/>
      <w:r w:rsidR="002A66BB" w:rsidRPr="00AD5A27">
        <w:t>: Results of key univariate and multivariate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4: Results of key univariate and multivariate sensitivity analyses"/>
      </w:tblPr>
      <w:tblGrid>
        <w:gridCol w:w="280"/>
        <w:gridCol w:w="3967"/>
        <w:gridCol w:w="1277"/>
        <w:gridCol w:w="1417"/>
        <w:gridCol w:w="994"/>
        <w:gridCol w:w="1082"/>
      </w:tblGrid>
      <w:tr w:rsidR="002A66BB" w:rsidRPr="00AD5A27" w14:paraId="1DDD2C28" w14:textId="77777777" w:rsidTr="002D4C2A">
        <w:trPr>
          <w:cantSplit/>
          <w:tblHeader/>
        </w:trPr>
        <w:tc>
          <w:tcPr>
            <w:tcW w:w="155" w:type="pct"/>
          </w:tcPr>
          <w:p w14:paraId="04B79189" w14:textId="77777777" w:rsidR="002A66BB" w:rsidRPr="00AD5A27" w:rsidRDefault="002A66BB" w:rsidP="009D798F">
            <w:pPr>
              <w:pStyle w:val="In-tableHeading"/>
              <w:jc w:val="center"/>
              <w:rPr>
                <w:lang w:val="en-AU"/>
              </w:rPr>
            </w:pPr>
          </w:p>
        </w:tc>
        <w:tc>
          <w:tcPr>
            <w:tcW w:w="2200" w:type="pct"/>
          </w:tcPr>
          <w:p w14:paraId="1156FA02" w14:textId="77777777" w:rsidR="002A66BB" w:rsidRPr="00AD5A27" w:rsidRDefault="002A66BB" w:rsidP="009D798F">
            <w:pPr>
              <w:pStyle w:val="In-tableHeading"/>
              <w:jc w:val="center"/>
              <w:rPr>
                <w:lang w:val="en-AU"/>
              </w:rPr>
            </w:pPr>
            <w:r w:rsidRPr="00AD5A27">
              <w:rPr>
                <w:lang w:val="en-AU"/>
              </w:rPr>
              <w:t>Analyses</w:t>
            </w:r>
          </w:p>
        </w:tc>
        <w:tc>
          <w:tcPr>
            <w:tcW w:w="708" w:type="pct"/>
          </w:tcPr>
          <w:p w14:paraId="50C1CBE8" w14:textId="77777777" w:rsidR="002A66BB" w:rsidRPr="00AD5A27" w:rsidRDefault="002A66BB" w:rsidP="00BB732D">
            <w:pPr>
              <w:pStyle w:val="In-tableHeading"/>
              <w:jc w:val="center"/>
              <w:rPr>
                <w:lang w:val="en-AU"/>
              </w:rPr>
            </w:pPr>
            <w:r w:rsidRPr="00AD5A27">
              <w:rPr>
                <w:lang w:val="en-AU"/>
              </w:rPr>
              <w:t>Incremental cost</w:t>
            </w:r>
          </w:p>
        </w:tc>
        <w:tc>
          <w:tcPr>
            <w:tcW w:w="786" w:type="pct"/>
          </w:tcPr>
          <w:p w14:paraId="35B8716D" w14:textId="77777777" w:rsidR="002A66BB" w:rsidRPr="00AD5A27" w:rsidRDefault="002A66BB" w:rsidP="00BB732D">
            <w:pPr>
              <w:pStyle w:val="In-tableHeading"/>
              <w:jc w:val="center"/>
              <w:rPr>
                <w:lang w:val="en-AU"/>
              </w:rPr>
            </w:pPr>
            <w:r w:rsidRPr="00AD5A27">
              <w:rPr>
                <w:lang w:val="en-AU"/>
              </w:rPr>
              <w:t>Incremental QALY</w:t>
            </w:r>
          </w:p>
        </w:tc>
        <w:tc>
          <w:tcPr>
            <w:tcW w:w="551" w:type="pct"/>
          </w:tcPr>
          <w:p w14:paraId="7FE43CE2" w14:textId="77777777" w:rsidR="002A66BB" w:rsidRPr="00AD5A27" w:rsidRDefault="002A66BB" w:rsidP="00BB732D">
            <w:pPr>
              <w:pStyle w:val="In-tableHeading"/>
              <w:jc w:val="center"/>
              <w:rPr>
                <w:lang w:val="en-AU"/>
              </w:rPr>
            </w:pPr>
            <w:r w:rsidRPr="00AD5A27">
              <w:rPr>
                <w:lang w:val="en-AU"/>
              </w:rPr>
              <w:t>ICER</w:t>
            </w:r>
          </w:p>
        </w:tc>
        <w:tc>
          <w:tcPr>
            <w:tcW w:w="600" w:type="pct"/>
          </w:tcPr>
          <w:p w14:paraId="7200A595" w14:textId="77777777" w:rsidR="002A66BB" w:rsidRPr="00AD5A27" w:rsidRDefault="002A66BB" w:rsidP="00BB732D">
            <w:pPr>
              <w:pStyle w:val="In-tableHeading"/>
              <w:jc w:val="center"/>
              <w:rPr>
                <w:lang w:val="en-AU"/>
              </w:rPr>
            </w:pPr>
            <w:r w:rsidRPr="00AD5A27">
              <w:rPr>
                <w:lang w:val="en-AU"/>
              </w:rPr>
              <w:t>% change to ICER</w:t>
            </w:r>
          </w:p>
        </w:tc>
      </w:tr>
      <w:tr w:rsidR="002A66BB" w:rsidRPr="00AD5A27" w14:paraId="537DE25F" w14:textId="77777777" w:rsidTr="002D4C2A">
        <w:trPr>
          <w:cantSplit/>
        </w:trPr>
        <w:tc>
          <w:tcPr>
            <w:tcW w:w="155" w:type="pct"/>
          </w:tcPr>
          <w:p w14:paraId="48F3CB14" w14:textId="77777777" w:rsidR="002A66BB" w:rsidRPr="00AD5A27" w:rsidRDefault="002A66BB" w:rsidP="00BB732D">
            <w:pPr>
              <w:pStyle w:val="TableText0"/>
              <w:rPr>
                <w:b/>
              </w:rPr>
            </w:pPr>
          </w:p>
        </w:tc>
        <w:tc>
          <w:tcPr>
            <w:tcW w:w="2200" w:type="pct"/>
          </w:tcPr>
          <w:p w14:paraId="4BC2A238" w14:textId="77777777" w:rsidR="002A66BB" w:rsidRPr="00AD5A27" w:rsidRDefault="002A66BB" w:rsidP="00BB732D">
            <w:pPr>
              <w:pStyle w:val="TableText0"/>
              <w:rPr>
                <w:b/>
              </w:rPr>
            </w:pPr>
            <w:r w:rsidRPr="00AD5A27">
              <w:rPr>
                <w:b/>
              </w:rPr>
              <w:t>Base case (BC)</w:t>
            </w:r>
          </w:p>
        </w:tc>
        <w:tc>
          <w:tcPr>
            <w:tcW w:w="708" w:type="pct"/>
          </w:tcPr>
          <w:p w14:paraId="04D62406" w14:textId="5D397920" w:rsidR="002A66BB" w:rsidRPr="00AD5A27" w:rsidRDefault="002A66BB" w:rsidP="00BB732D">
            <w:pPr>
              <w:pStyle w:val="TableText0"/>
              <w:jc w:val="center"/>
              <w:rPr>
                <w:b/>
                <w:highlight w:val="black"/>
              </w:rPr>
            </w:pPr>
            <w:r w:rsidRPr="00AD5A27">
              <w:rPr>
                <w:rFonts w:eastAsia="Calibri"/>
                <w:b/>
                <w:szCs w:val="20"/>
              </w:rPr>
              <w:t>$</w:t>
            </w:r>
            <w:r w:rsidR="00860BB2" w:rsidRPr="00860BB2">
              <w:rPr>
                <w:rFonts w:eastAsia="Calibri" w:hint="eastAsia"/>
                <w:b/>
                <w:color w:val="000000"/>
                <w:w w:val="22"/>
                <w:szCs w:val="20"/>
                <w:shd w:val="solid" w:color="000000" w:fill="000000"/>
                <w:fitText w:val="100" w:id="-961901311"/>
                <w14:textFill>
                  <w14:solidFill>
                    <w14:srgbClr w14:val="000000">
                      <w14:alpha w14:val="100000"/>
                    </w14:srgbClr>
                  </w14:solidFill>
                </w14:textFill>
              </w:rPr>
              <w:t xml:space="preserve">　</w:t>
            </w:r>
            <w:r w:rsidR="00860BB2" w:rsidRPr="00860BB2">
              <w:rPr>
                <w:rFonts w:eastAsia="Calibri"/>
                <w:b/>
                <w:color w:val="000000"/>
                <w:w w:val="22"/>
                <w:szCs w:val="20"/>
                <w:shd w:val="solid" w:color="000000" w:fill="000000"/>
                <w:fitText w:val="100" w:id="-961901311"/>
                <w14:textFill>
                  <w14:solidFill>
                    <w14:srgbClr w14:val="000000">
                      <w14:alpha w14:val="100000"/>
                    </w14:srgbClr>
                  </w14:solidFill>
                </w14:textFill>
              </w:rPr>
              <w:t>|</w:t>
            </w:r>
            <w:r w:rsidR="00860BB2" w:rsidRPr="00860BB2">
              <w:rPr>
                <w:rFonts w:eastAsia="Calibri" w:hint="eastAsia"/>
                <w:b/>
                <w:color w:val="000000"/>
                <w:spacing w:val="2"/>
                <w:w w:val="22"/>
                <w:szCs w:val="20"/>
                <w:shd w:val="solid" w:color="000000" w:fill="000000"/>
                <w:fitText w:val="100" w:id="-961901311"/>
                <w14:textFill>
                  <w14:solidFill>
                    <w14:srgbClr w14:val="000000">
                      <w14:alpha w14:val="100000"/>
                    </w14:srgbClr>
                  </w14:solidFill>
                </w14:textFill>
              </w:rPr>
              <w:t xml:space="preserve">　</w:t>
            </w:r>
          </w:p>
        </w:tc>
        <w:tc>
          <w:tcPr>
            <w:tcW w:w="786" w:type="pct"/>
          </w:tcPr>
          <w:p w14:paraId="2630C051" w14:textId="77777777" w:rsidR="002A66BB" w:rsidRPr="00AD5A27" w:rsidRDefault="002A66BB" w:rsidP="00BB732D">
            <w:pPr>
              <w:pStyle w:val="TableText0"/>
              <w:jc w:val="center"/>
              <w:rPr>
                <w:b/>
              </w:rPr>
            </w:pPr>
            <w:r w:rsidRPr="00AD5A27">
              <w:rPr>
                <w:rFonts w:eastAsia="Calibri"/>
                <w:b/>
                <w:szCs w:val="20"/>
              </w:rPr>
              <w:t>0.2268</w:t>
            </w:r>
          </w:p>
        </w:tc>
        <w:tc>
          <w:tcPr>
            <w:tcW w:w="551" w:type="pct"/>
          </w:tcPr>
          <w:p w14:paraId="374E9780" w14:textId="4599C3BB" w:rsidR="002A66BB" w:rsidRPr="004815AB" w:rsidRDefault="00860BB2" w:rsidP="00BB732D">
            <w:pPr>
              <w:pStyle w:val="TableText0"/>
              <w:jc w:val="center"/>
              <w:rPr>
                <w:b/>
                <w:highlight w:val="lightGray"/>
              </w:rPr>
            </w:pPr>
            <w:r w:rsidRPr="00860BB2">
              <w:rPr>
                <w:rFonts w:eastAsia="Calibri"/>
                <w:b/>
                <w:color w:val="000000"/>
                <w:spacing w:val="50"/>
                <w:szCs w:val="20"/>
                <w:shd w:val="solid" w:color="000000" w:fill="000000"/>
                <w:fitText w:val="238" w:id="-961901310"/>
                <w14:textFill>
                  <w14:solidFill>
                    <w14:srgbClr w14:val="000000">
                      <w14:alpha w14:val="100000"/>
                    </w14:srgbClr>
                  </w14:solidFill>
                </w14:textFill>
              </w:rPr>
              <w:t>||</w:t>
            </w:r>
            <w:r w:rsidRPr="00860BB2">
              <w:rPr>
                <w:rFonts w:eastAsia="Calibri"/>
                <w:b/>
                <w:color w:val="000000"/>
                <w:spacing w:val="1"/>
                <w:szCs w:val="20"/>
                <w:shd w:val="solid" w:color="000000" w:fill="000000"/>
                <w:fitText w:val="238" w:id="-961901310"/>
                <w14:textFill>
                  <w14:solidFill>
                    <w14:srgbClr w14:val="000000">
                      <w14:alpha w14:val="100000"/>
                    </w14:srgbClr>
                  </w14:solidFill>
                </w14:textFill>
              </w:rPr>
              <w:t>|</w:t>
            </w:r>
            <w:r w:rsidR="00E37473" w:rsidRPr="00E37473">
              <w:rPr>
                <w:rFonts w:eastAsia="Calibri"/>
                <w:b/>
                <w:szCs w:val="20"/>
                <w:vertAlign w:val="superscript"/>
              </w:rPr>
              <w:t>1</w:t>
            </w:r>
          </w:p>
        </w:tc>
        <w:tc>
          <w:tcPr>
            <w:tcW w:w="600" w:type="pct"/>
          </w:tcPr>
          <w:p w14:paraId="5D16EC8E" w14:textId="77777777" w:rsidR="002A66BB" w:rsidRPr="00AD5A27" w:rsidRDefault="002A66BB">
            <w:pPr>
              <w:pStyle w:val="TableText0"/>
              <w:jc w:val="center"/>
              <w:rPr>
                <w:rFonts w:eastAsia="Calibri"/>
                <w:b/>
                <w:szCs w:val="20"/>
              </w:rPr>
            </w:pPr>
            <w:r w:rsidRPr="00AD5A27">
              <w:rPr>
                <w:rFonts w:eastAsia="Calibri"/>
                <w:b/>
                <w:szCs w:val="20"/>
              </w:rPr>
              <w:t>−</w:t>
            </w:r>
          </w:p>
        </w:tc>
      </w:tr>
      <w:tr w:rsidR="002A66BB" w:rsidRPr="00AD5A27" w14:paraId="10228F5A" w14:textId="77777777" w:rsidTr="002D4C2A">
        <w:trPr>
          <w:cantSplit/>
          <w:trHeight w:val="203"/>
        </w:trPr>
        <w:tc>
          <w:tcPr>
            <w:tcW w:w="155" w:type="pct"/>
            <w:tcBorders>
              <w:right w:val="nil"/>
            </w:tcBorders>
          </w:tcPr>
          <w:p w14:paraId="1F6227BC" w14:textId="77777777" w:rsidR="002A66BB" w:rsidRPr="00AD5A27" w:rsidRDefault="002A66BB">
            <w:pPr>
              <w:pStyle w:val="TableText0"/>
              <w:rPr>
                <w:b/>
                <w:bCs w:val="0"/>
              </w:rPr>
            </w:pPr>
          </w:p>
        </w:tc>
        <w:tc>
          <w:tcPr>
            <w:tcW w:w="2200" w:type="pct"/>
            <w:tcBorders>
              <w:left w:val="nil"/>
              <w:right w:val="nil"/>
            </w:tcBorders>
          </w:tcPr>
          <w:p w14:paraId="139B2D3E" w14:textId="77777777" w:rsidR="002A66BB" w:rsidRPr="00AD5A27" w:rsidRDefault="002A66BB">
            <w:pPr>
              <w:pStyle w:val="TableText0"/>
              <w:rPr>
                <w:b/>
                <w:bCs w:val="0"/>
              </w:rPr>
            </w:pPr>
            <w:r w:rsidRPr="00AD5A27">
              <w:rPr>
                <w:b/>
                <w:bCs w:val="0"/>
              </w:rPr>
              <w:t>Univariate sensitivity analyses</w:t>
            </w:r>
          </w:p>
        </w:tc>
        <w:tc>
          <w:tcPr>
            <w:tcW w:w="708" w:type="pct"/>
            <w:tcBorders>
              <w:left w:val="nil"/>
              <w:right w:val="nil"/>
            </w:tcBorders>
          </w:tcPr>
          <w:p w14:paraId="4323641D" w14:textId="77777777" w:rsidR="002A66BB" w:rsidRPr="00AD5A27" w:rsidRDefault="002A66BB">
            <w:pPr>
              <w:pStyle w:val="TableText0"/>
              <w:jc w:val="center"/>
              <w:rPr>
                <w:rFonts w:eastAsia="Calibri"/>
                <w:b/>
                <w:bCs w:val="0"/>
                <w:szCs w:val="20"/>
              </w:rPr>
            </w:pPr>
          </w:p>
        </w:tc>
        <w:tc>
          <w:tcPr>
            <w:tcW w:w="786" w:type="pct"/>
            <w:tcBorders>
              <w:left w:val="nil"/>
              <w:right w:val="nil"/>
            </w:tcBorders>
          </w:tcPr>
          <w:p w14:paraId="3FC4760A" w14:textId="77777777" w:rsidR="002A66BB" w:rsidRPr="00AD5A27" w:rsidRDefault="002A66BB">
            <w:pPr>
              <w:pStyle w:val="TableText0"/>
              <w:jc w:val="center"/>
              <w:rPr>
                <w:rFonts w:eastAsia="Calibri"/>
                <w:b/>
                <w:bCs w:val="0"/>
                <w:szCs w:val="20"/>
              </w:rPr>
            </w:pPr>
          </w:p>
        </w:tc>
        <w:tc>
          <w:tcPr>
            <w:tcW w:w="551" w:type="pct"/>
            <w:tcBorders>
              <w:left w:val="nil"/>
              <w:right w:val="nil"/>
            </w:tcBorders>
          </w:tcPr>
          <w:p w14:paraId="6EF13EBD" w14:textId="77777777" w:rsidR="002A66BB" w:rsidRPr="004815AB" w:rsidRDefault="002A66BB">
            <w:pPr>
              <w:pStyle w:val="TableText0"/>
              <w:jc w:val="center"/>
              <w:rPr>
                <w:rFonts w:eastAsia="Calibri"/>
                <w:b/>
                <w:bCs w:val="0"/>
                <w:szCs w:val="20"/>
                <w:highlight w:val="lightGray"/>
              </w:rPr>
            </w:pPr>
          </w:p>
        </w:tc>
        <w:tc>
          <w:tcPr>
            <w:tcW w:w="600" w:type="pct"/>
            <w:tcBorders>
              <w:left w:val="nil"/>
            </w:tcBorders>
          </w:tcPr>
          <w:p w14:paraId="3800C216" w14:textId="77777777" w:rsidR="002A66BB" w:rsidRPr="00AD5A27" w:rsidRDefault="002A66BB">
            <w:pPr>
              <w:pStyle w:val="TableText0"/>
              <w:jc w:val="center"/>
              <w:rPr>
                <w:rFonts w:eastAsia="Calibri"/>
                <w:b/>
                <w:bCs w:val="0"/>
                <w:szCs w:val="20"/>
              </w:rPr>
            </w:pPr>
          </w:p>
        </w:tc>
      </w:tr>
      <w:tr w:rsidR="002A66BB" w:rsidRPr="00AD5A27" w14:paraId="622169CB" w14:textId="77777777" w:rsidTr="002D4C2A">
        <w:trPr>
          <w:cantSplit/>
        </w:trPr>
        <w:tc>
          <w:tcPr>
            <w:tcW w:w="155" w:type="pct"/>
          </w:tcPr>
          <w:p w14:paraId="18E21C81" w14:textId="77777777" w:rsidR="002A66BB" w:rsidRPr="00AD5A27" w:rsidRDefault="002A66BB">
            <w:pPr>
              <w:pStyle w:val="TableText0"/>
            </w:pPr>
            <w:r w:rsidRPr="00AD5A27">
              <w:t>A</w:t>
            </w:r>
          </w:p>
        </w:tc>
        <w:tc>
          <w:tcPr>
            <w:tcW w:w="2200" w:type="pct"/>
            <w:tcBorders>
              <w:bottom w:val="single" w:sz="4" w:space="0" w:color="auto"/>
            </w:tcBorders>
          </w:tcPr>
          <w:p w14:paraId="356C4C2B" w14:textId="6D9913C3" w:rsidR="002A66BB" w:rsidRPr="00AD5A27" w:rsidRDefault="002A66BB">
            <w:pPr>
              <w:pStyle w:val="TableText0"/>
              <w:rPr>
                <w:vertAlign w:val="superscript"/>
              </w:rPr>
            </w:pPr>
            <w:r w:rsidRPr="00AD5A27">
              <w:t>Probability of glaucoma = 0.0044 (base case 0.0073)</w:t>
            </w:r>
            <w:r w:rsidRPr="00AD5A27">
              <w:rPr>
                <w:vertAlign w:val="superscript"/>
              </w:rPr>
              <w:t>a</w:t>
            </w:r>
          </w:p>
        </w:tc>
        <w:tc>
          <w:tcPr>
            <w:tcW w:w="708" w:type="pct"/>
            <w:tcBorders>
              <w:bottom w:val="single" w:sz="4" w:space="0" w:color="auto"/>
            </w:tcBorders>
          </w:tcPr>
          <w:p w14:paraId="16B2D628" w14:textId="51F2B81D" w:rsidR="002A66BB" w:rsidRPr="00AD5A27" w:rsidRDefault="002A66BB">
            <w:pPr>
              <w:pStyle w:val="TableText0"/>
              <w:jc w:val="center"/>
            </w:pPr>
            <w:r w:rsidRPr="00AD5A27">
              <w:t>$</w:t>
            </w:r>
            <w:r w:rsidR="00860BB2" w:rsidRPr="00860BB2">
              <w:rPr>
                <w:rFonts w:hint="eastAsia"/>
                <w:color w:val="000000"/>
                <w:w w:val="15"/>
                <w:shd w:val="solid" w:color="000000" w:fill="000000"/>
                <w:fitText w:val="62" w:id="-961901309"/>
                <w14:textFill>
                  <w14:solidFill>
                    <w14:srgbClr w14:val="000000">
                      <w14:alpha w14:val="100000"/>
                    </w14:srgbClr>
                  </w14:solidFill>
                </w14:textFill>
              </w:rPr>
              <w:t xml:space="preserve">　</w:t>
            </w:r>
            <w:r w:rsidR="00860BB2" w:rsidRPr="00860BB2">
              <w:rPr>
                <w:color w:val="000000"/>
                <w:w w:val="15"/>
                <w:shd w:val="solid" w:color="000000" w:fill="000000"/>
                <w:fitText w:val="62" w:id="-961901309"/>
                <w14:textFill>
                  <w14:solidFill>
                    <w14:srgbClr w14:val="000000">
                      <w14:alpha w14:val="100000"/>
                    </w14:srgbClr>
                  </w14:solidFill>
                </w14:textFill>
              </w:rPr>
              <w:t>|</w:t>
            </w:r>
            <w:r w:rsidR="00860BB2" w:rsidRPr="00860BB2">
              <w:rPr>
                <w:rFonts w:hint="eastAsia"/>
                <w:color w:val="000000"/>
                <w:spacing w:val="-3"/>
                <w:w w:val="15"/>
                <w:shd w:val="solid" w:color="000000" w:fill="000000"/>
                <w:fitText w:val="62" w:id="-961901309"/>
                <w14:textFill>
                  <w14:solidFill>
                    <w14:srgbClr w14:val="000000">
                      <w14:alpha w14:val="100000"/>
                    </w14:srgbClr>
                  </w14:solidFill>
                </w14:textFill>
              </w:rPr>
              <w:t xml:space="preserve">　</w:t>
            </w:r>
          </w:p>
        </w:tc>
        <w:tc>
          <w:tcPr>
            <w:tcW w:w="786" w:type="pct"/>
            <w:tcBorders>
              <w:bottom w:val="single" w:sz="4" w:space="0" w:color="auto"/>
            </w:tcBorders>
          </w:tcPr>
          <w:p w14:paraId="65CE6969" w14:textId="77777777" w:rsidR="002A66BB" w:rsidRPr="00AD5A27" w:rsidRDefault="002A66BB">
            <w:pPr>
              <w:pStyle w:val="TableText0"/>
              <w:jc w:val="center"/>
            </w:pPr>
            <w:r w:rsidRPr="00AD5A27">
              <w:t>0.2174</w:t>
            </w:r>
          </w:p>
        </w:tc>
        <w:tc>
          <w:tcPr>
            <w:tcW w:w="551" w:type="pct"/>
            <w:tcBorders>
              <w:bottom w:val="single" w:sz="4" w:space="0" w:color="auto"/>
            </w:tcBorders>
          </w:tcPr>
          <w:p w14:paraId="3AAED9C8" w14:textId="5C9CF23B" w:rsidR="002A66BB" w:rsidRPr="004815AB" w:rsidRDefault="00860BB2">
            <w:pPr>
              <w:pStyle w:val="TableText0"/>
              <w:jc w:val="center"/>
              <w:rPr>
                <w:highlight w:val="lightGray"/>
              </w:rPr>
            </w:pPr>
            <w:r w:rsidRPr="00860BB2">
              <w:rPr>
                <w:color w:val="000000"/>
                <w:spacing w:val="102"/>
                <w:shd w:val="solid" w:color="000000" w:fill="000000"/>
                <w:fitText w:val="188" w:id="-961901308"/>
                <w14:textFill>
                  <w14:solidFill>
                    <w14:srgbClr w14:val="000000">
                      <w14:alpha w14:val="100000"/>
                    </w14:srgbClr>
                  </w14:solidFill>
                </w14:textFill>
              </w:rPr>
              <w:t>|</w:t>
            </w:r>
            <w:r w:rsidRPr="00860BB2">
              <w:rPr>
                <w:color w:val="000000"/>
                <w:spacing w:val="1"/>
                <w:shd w:val="solid" w:color="000000" w:fill="000000"/>
                <w:fitText w:val="188" w:id="-961901308"/>
                <w14:textFill>
                  <w14:solidFill>
                    <w14:srgbClr w14:val="000000">
                      <w14:alpha w14:val="100000"/>
                    </w14:srgbClr>
                  </w14:solidFill>
                </w14:textFill>
              </w:rPr>
              <w:t>|</w:t>
            </w:r>
            <w:r w:rsidR="00E37473" w:rsidRPr="00E37473">
              <w:rPr>
                <w:vertAlign w:val="superscript"/>
              </w:rPr>
              <w:t>2</w:t>
            </w:r>
          </w:p>
        </w:tc>
        <w:tc>
          <w:tcPr>
            <w:tcW w:w="600" w:type="pct"/>
            <w:tcBorders>
              <w:bottom w:val="single" w:sz="4" w:space="0" w:color="auto"/>
            </w:tcBorders>
            <w:shd w:val="clear" w:color="auto" w:fill="auto"/>
          </w:tcPr>
          <w:p w14:paraId="60E59210" w14:textId="45A2A7DA" w:rsidR="002A66BB" w:rsidRPr="00AD5A27" w:rsidRDefault="00860BB2">
            <w:pPr>
              <w:pStyle w:val="TableText0"/>
              <w:jc w:val="center"/>
              <w:rPr>
                <w:rFonts w:eastAsia="Calibri"/>
                <w:szCs w:val="20"/>
              </w:rPr>
            </w:pPr>
            <w:r w:rsidRPr="00860BB2">
              <w:rPr>
                <w:rFonts w:eastAsia="Calibri"/>
                <w:color w:val="000000"/>
                <w:spacing w:val="102"/>
                <w:szCs w:val="20"/>
                <w:shd w:val="solid" w:color="000000" w:fill="000000"/>
                <w:fitText w:val="188" w:id="-961901307"/>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307"/>
                <w14:textFill>
                  <w14:solidFill>
                    <w14:srgbClr w14:val="000000">
                      <w14:alpha w14:val="100000"/>
                    </w14:srgbClr>
                  </w14:solidFill>
                </w14:textFill>
              </w:rPr>
              <w:t>|</w:t>
            </w:r>
            <w:r w:rsidR="002A66BB" w:rsidRPr="00AD5A27">
              <w:rPr>
                <w:rFonts w:eastAsia="Calibri"/>
                <w:szCs w:val="20"/>
              </w:rPr>
              <w:t>%</w:t>
            </w:r>
          </w:p>
        </w:tc>
      </w:tr>
      <w:tr w:rsidR="002A66BB" w:rsidRPr="00AD5A27" w14:paraId="6E0C8A69" w14:textId="77777777" w:rsidTr="002D4C2A">
        <w:trPr>
          <w:cantSplit/>
        </w:trPr>
        <w:tc>
          <w:tcPr>
            <w:tcW w:w="155" w:type="pct"/>
          </w:tcPr>
          <w:p w14:paraId="36E485DC" w14:textId="77777777" w:rsidR="002A66BB" w:rsidRPr="00AD5A27" w:rsidRDefault="002A66BB" w:rsidP="00BB732D">
            <w:pPr>
              <w:pStyle w:val="TableText0"/>
            </w:pPr>
          </w:p>
        </w:tc>
        <w:tc>
          <w:tcPr>
            <w:tcW w:w="4245" w:type="pct"/>
            <w:gridSpan w:val="4"/>
            <w:tcBorders>
              <w:right w:val="nil"/>
            </w:tcBorders>
          </w:tcPr>
          <w:p w14:paraId="77F01F16" w14:textId="0007A904" w:rsidR="002A66BB" w:rsidRPr="00AD5A27" w:rsidRDefault="002A66BB" w:rsidP="00BB732D">
            <w:pPr>
              <w:pStyle w:val="TableText0"/>
              <w:rPr>
                <w:b/>
                <w:bCs w:val="0"/>
              </w:rPr>
            </w:pPr>
            <w:r w:rsidRPr="00AD5A27">
              <w:rPr>
                <w:b/>
                <w:bCs w:val="0"/>
              </w:rPr>
              <w:t>Time horizon (</w:t>
            </w:r>
            <w:r w:rsidR="00CB117F" w:rsidRPr="00AD5A27">
              <w:rPr>
                <w:b/>
                <w:bCs w:val="0"/>
              </w:rPr>
              <w:t>BC =</w:t>
            </w:r>
            <w:r w:rsidRPr="00AD5A27">
              <w:rPr>
                <w:b/>
                <w:bCs w:val="0"/>
              </w:rPr>
              <w:t xml:space="preserve"> 57 years)</w:t>
            </w:r>
          </w:p>
        </w:tc>
        <w:tc>
          <w:tcPr>
            <w:tcW w:w="600" w:type="pct"/>
            <w:tcBorders>
              <w:left w:val="nil"/>
            </w:tcBorders>
          </w:tcPr>
          <w:p w14:paraId="51E58AD9" w14:textId="77777777" w:rsidR="002A66BB" w:rsidRPr="00AD5A27" w:rsidRDefault="002A66BB" w:rsidP="00BB732D">
            <w:pPr>
              <w:pStyle w:val="TableText0"/>
            </w:pPr>
          </w:p>
        </w:tc>
      </w:tr>
      <w:tr w:rsidR="002A66BB" w:rsidRPr="00AD5A27" w14:paraId="434276E3" w14:textId="77777777" w:rsidTr="002D4C2A">
        <w:trPr>
          <w:cantSplit/>
        </w:trPr>
        <w:tc>
          <w:tcPr>
            <w:tcW w:w="155" w:type="pct"/>
          </w:tcPr>
          <w:p w14:paraId="7226C757" w14:textId="63DEDAA6" w:rsidR="002A66BB" w:rsidRPr="00AD5A27" w:rsidRDefault="00B25FC6" w:rsidP="002A7943">
            <w:pPr>
              <w:pStyle w:val="TableText0"/>
            </w:pPr>
            <w:r>
              <w:t>B</w:t>
            </w:r>
          </w:p>
        </w:tc>
        <w:tc>
          <w:tcPr>
            <w:tcW w:w="2200" w:type="pct"/>
          </w:tcPr>
          <w:p w14:paraId="54BA55B5" w14:textId="77777777" w:rsidR="002A66BB" w:rsidRPr="00AD5A27" w:rsidRDefault="002A66BB" w:rsidP="002A7943">
            <w:pPr>
              <w:pStyle w:val="TableText0"/>
            </w:pPr>
            <w:r w:rsidRPr="00AD5A27">
              <w:t>20 years</w:t>
            </w:r>
          </w:p>
        </w:tc>
        <w:tc>
          <w:tcPr>
            <w:tcW w:w="708" w:type="pct"/>
          </w:tcPr>
          <w:p w14:paraId="0B76D966" w14:textId="5017D0AC" w:rsidR="002A66BB" w:rsidRPr="00AD5A27" w:rsidRDefault="002A66BB" w:rsidP="002A7943">
            <w:pPr>
              <w:pStyle w:val="TableText0"/>
              <w:jc w:val="center"/>
              <w:rPr>
                <w:highlight w:val="black"/>
              </w:rPr>
            </w:pPr>
            <w:r w:rsidRPr="00AD5A27">
              <w:rPr>
                <w:rFonts w:eastAsia="Calibri"/>
                <w:szCs w:val="20"/>
              </w:rPr>
              <w:t>$</w:t>
            </w:r>
            <w:r w:rsidR="00860BB2" w:rsidRPr="00860BB2">
              <w:rPr>
                <w:rFonts w:eastAsia="Calibri" w:hint="eastAsia"/>
                <w:color w:val="000000"/>
                <w:w w:val="15"/>
                <w:szCs w:val="20"/>
                <w:shd w:val="solid" w:color="000000" w:fill="000000"/>
                <w:fitText w:val="62" w:id="-961901306"/>
                <w14:textFill>
                  <w14:solidFill>
                    <w14:srgbClr w14:val="000000">
                      <w14:alpha w14:val="100000"/>
                    </w14:srgbClr>
                  </w14:solidFill>
                </w14:textFill>
              </w:rPr>
              <w:t xml:space="preserve">　</w:t>
            </w:r>
            <w:r w:rsidR="00860BB2" w:rsidRPr="00860BB2">
              <w:rPr>
                <w:rFonts w:eastAsia="Calibri"/>
                <w:color w:val="000000"/>
                <w:w w:val="15"/>
                <w:szCs w:val="20"/>
                <w:shd w:val="solid" w:color="000000" w:fill="000000"/>
                <w:fitText w:val="62" w:id="-961901306"/>
                <w14:textFill>
                  <w14:solidFill>
                    <w14:srgbClr w14:val="000000">
                      <w14:alpha w14:val="100000"/>
                    </w14:srgbClr>
                  </w14:solidFill>
                </w14:textFill>
              </w:rPr>
              <w:t>|</w:t>
            </w:r>
            <w:r w:rsidR="00860BB2" w:rsidRPr="00860BB2">
              <w:rPr>
                <w:rFonts w:eastAsia="Calibri" w:hint="eastAsia"/>
                <w:color w:val="000000"/>
                <w:spacing w:val="-3"/>
                <w:w w:val="15"/>
                <w:szCs w:val="20"/>
                <w:shd w:val="solid" w:color="000000" w:fill="000000"/>
                <w:fitText w:val="62" w:id="-961901306"/>
                <w14:textFill>
                  <w14:solidFill>
                    <w14:srgbClr w14:val="000000">
                      <w14:alpha w14:val="100000"/>
                    </w14:srgbClr>
                  </w14:solidFill>
                </w14:textFill>
              </w:rPr>
              <w:t xml:space="preserve">　</w:t>
            </w:r>
          </w:p>
        </w:tc>
        <w:tc>
          <w:tcPr>
            <w:tcW w:w="786" w:type="pct"/>
          </w:tcPr>
          <w:p w14:paraId="697ECCF5" w14:textId="77777777" w:rsidR="002A66BB" w:rsidRPr="00AD5A27" w:rsidRDefault="002A66BB" w:rsidP="002A7943">
            <w:pPr>
              <w:pStyle w:val="TableText0"/>
              <w:jc w:val="center"/>
            </w:pPr>
            <w:r w:rsidRPr="00AD5A27">
              <w:rPr>
                <w:rFonts w:eastAsia="Calibri"/>
                <w:szCs w:val="20"/>
              </w:rPr>
              <w:t>0.1650</w:t>
            </w:r>
          </w:p>
        </w:tc>
        <w:tc>
          <w:tcPr>
            <w:tcW w:w="551" w:type="pct"/>
          </w:tcPr>
          <w:p w14:paraId="4089C7F8" w14:textId="78260297" w:rsidR="002A66BB" w:rsidRPr="004815AB" w:rsidRDefault="00860BB2" w:rsidP="002A7943">
            <w:pPr>
              <w:pStyle w:val="TableText0"/>
              <w:jc w:val="center"/>
              <w:rPr>
                <w:highlight w:val="lightGray"/>
              </w:rPr>
            </w:pPr>
            <w:r w:rsidRPr="00860BB2">
              <w:rPr>
                <w:rFonts w:eastAsia="Calibri"/>
                <w:color w:val="000000"/>
                <w:spacing w:val="102"/>
                <w:szCs w:val="20"/>
                <w:shd w:val="solid" w:color="000000" w:fill="000000"/>
                <w:fitText w:val="188" w:id="-961901305"/>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305"/>
                <w14:textFill>
                  <w14:solidFill>
                    <w14:srgbClr w14:val="000000">
                      <w14:alpha w14:val="100000"/>
                    </w14:srgbClr>
                  </w14:solidFill>
                </w14:textFill>
              </w:rPr>
              <w:t>|</w:t>
            </w:r>
            <w:r w:rsidR="00E37473" w:rsidRPr="00E37473">
              <w:rPr>
                <w:rFonts w:eastAsia="Calibri"/>
                <w:szCs w:val="20"/>
                <w:vertAlign w:val="superscript"/>
              </w:rPr>
              <w:t>3</w:t>
            </w:r>
          </w:p>
        </w:tc>
        <w:tc>
          <w:tcPr>
            <w:tcW w:w="600" w:type="pct"/>
          </w:tcPr>
          <w:p w14:paraId="00C93D54" w14:textId="4847F4E1" w:rsidR="002A66BB" w:rsidRPr="00AD5A27" w:rsidRDefault="00860BB2" w:rsidP="002A7943">
            <w:pPr>
              <w:pStyle w:val="TableText0"/>
              <w:jc w:val="center"/>
              <w:rPr>
                <w:rFonts w:eastAsia="Calibri"/>
                <w:szCs w:val="20"/>
              </w:rPr>
            </w:pPr>
            <w:r w:rsidRPr="00860BB2">
              <w:rPr>
                <w:rFonts w:eastAsia="Calibri"/>
                <w:color w:val="000000"/>
                <w:spacing w:val="102"/>
                <w:szCs w:val="20"/>
                <w:shd w:val="solid" w:color="000000" w:fill="000000"/>
                <w:fitText w:val="188" w:id="-961901304"/>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304"/>
                <w14:textFill>
                  <w14:solidFill>
                    <w14:srgbClr w14:val="000000">
                      <w14:alpha w14:val="100000"/>
                    </w14:srgbClr>
                  </w14:solidFill>
                </w14:textFill>
              </w:rPr>
              <w:t>|</w:t>
            </w:r>
            <w:r w:rsidR="002A66BB" w:rsidRPr="00AD5A27">
              <w:rPr>
                <w:rFonts w:eastAsia="Calibri"/>
                <w:szCs w:val="20"/>
              </w:rPr>
              <w:t>%</w:t>
            </w:r>
          </w:p>
        </w:tc>
      </w:tr>
      <w:tr w:rsidR="002A66BB" w:rsidRPr="00AD5A27" w14:paraId="112D1AEF" w14:textId="77777777" w:rsidTr="002D4C2A">
        <w:trPr>
          <w:cantSplit/>
          <w:trHeight w:val="70"/>
        </w:trPr>
        <w:tc>
          <w:tcPr>
            <w:tcW w:w="155" w:type="pct"/>
          </w:tcPr>
          <w:p w14:paraId="67D7C538" w14:textId="2AB81D4F" w:rsidR="002A66BB" w:rsidRPr="00AD5A27" w:rsidRDefault="00B25FC6" w:rsidP="002A7943">
            <w:pPr>
              <w:pStyle w:val="TableText0"/>
            </w:pPr>
            <w:r>
              <w:t>C</w:t>
            </w:r>
          </w:p>
        </w:tc>
        <w:tc>
          <w:tcPr>
            <w:tcW w:w="2200" w:type="pct"/>
          </w:tcPr>
          <w:p w14:paraId="5BB5EA15" w14:textId="7F3D7503" w:rsidR="002A66BB" w:rsidRPr="00AD5A27" w:rsidRDefault="002A66BB" w:rsidP="002A7943">
            <w:pPr>
              <w:pStyle w:val="TableText0"/>
              <w:rPr>
                <w:vertAlign w:val="superscript"/>
              </w:rPr>
            </w:pPr>
            <w:r w:rsidRPr="00AD5A27">
              <w:t>10 years</w:t>
            </w:r>
            <w:r w:rsidR="00986EEE" w:rsidRPr="00AD5A27">
              <w:rPr>
                <w:vertAlign w:val="superscript"/>
              </w:rPr>
              <w:t>b</w:t>
            </w:r>
          </w:p>
        </w:tc>
        <w:tc>
          <w:tcPr>
            <w:tcW w:w="708" w:type="pct"/>
          </w:tcPr>
          <w:p w14:paraId="6CE20151" w14:textId="1B9B16FA" w:rsidR="002A66BB" w:rsidRPr="00AD5A27" w:rsidRDefault="002A66BB" w:rsidP="002A7943">
            <w:pPr>
              <w:pStyle w:val="TableText0"/>
              <w:jc w:val="center"/>
              <w:rPr>
                <w:highlight w:val="black"/>
              </w:rPr>
            </w:pPr>
            <w:r w:rsidRPr="00AD5A27">
              <w:rPr>
                <w:rFonts w:eastAsia="Calibri"/>
                <w:szCs w:val="20"/>
              </w:rPr>
              <w:t>$</w:t>
            </w:r>
            <w:r w:rsidR="00860BB2" w:rsidRPr="00860BB2">
              <w:rPr>
                <w:rFonts w:eastAsia="Calibri" w:hint="eastAsia"/>
                <w:color w:val="000000"/>
                <w:w w:val="15"/>
                <w:szCs w:val="20"/>
                <w:shd w:val="solid" w:color="000000" w:fill="000000"/>
                <w:fitText w:val="62" w:id="-961901303"/>
                <w14:textFill>
                  <w14:solidFill>
                    <w14:srgbClr w14:val="000000">
                      <w14:alpha w14:val="100000"/>
                    </w14:srgbClr>
                  </w14:solidFill>
                </w14:textFill>
              </w:rPr>
              <w:t xml:space="preserve">　</w:t>
            </w:r>
            <w:r w:rsidR="00860BB2" w:rsidRPr="00860BB2">
              <w:rPr>
                <w:rFonts w:eastAsia="Calibri"/>
                <w:color w:val="000000"/>
                <w:w w:val="15"/>
                <w:szCs w:val="20"/>
                <w:shd w:val="solid" w:color="000000" w:fill="000000"/>
                <w:fitText w:val="62" w:id="-961901303"/>
                <w14:textFill>
                  <w14:solidFill>
                    <w14:srgbClr w14:val="000000">
                      <w14:alpha w14:val="100000"/>
                    </w14:srgbClr>
                  </w14:solidFill>
                </w14:textFill>
              </w:rPr>
              <w:t>|</w:t>
            </w:r>
            <w:r w:rsidR="00860BB2" w:rsidRPr="00860BB2">
              <w:rPr>
                <w:rFonts w:eastAsia="Calibri" w:hint="eastAsia"/>
                <w:color w:val="000000"/>
                <w:spacing w:val="-3"/>
                <w:w w:val="15"/>
                <w:szCs w:val="20"/>
                <w:shd w:val="solid" w:color="000000" w:fill="000000"/>
                <w:fitText w:val="62" w:id="-961901303"/>
                <w14:textFill>
                  <w14:solidFill>
                    <w14:srgbClr w14:val="000000">
                      <w14:alpha w14:val="100000"/>
                    </w14:srgbClr>
                  </w14:solidFill>
                </w14:textFill>
              </w:rPr>
              <w:t xml:space="preserve">　</w:t>
            </w:r>
          </w:p>
        </w:tc>
        <w:tc>
          <w:tcPr>
            <w:tcW w:w="786" w:type="pct"/>
          </w:tcPr>
          <w:p w14:paraId="35596A86" w14:textId="77777777" w:rsidR="002A66BB" w:rsidRPr="00AD5A27" w:rsidRDefault="002A66BB" w:rsidP="002A7943">
            <w:pPr>
              <w:pStyle w:val="TableText0"/>
              <w:jc w:val="center"/>
            </w:pPr>
            <w:r w:rsidRPr="00AD5A27">
              <w:rPr>
                <w:rFonts w:eastAsia="Calibri"/>
                <w:szCs w:val="20"/>
              </w:rPr>
              <w:t>0.1032</w:t>
            </w:r>
          </w:p>
        </w:tc>
        <w:tc>
          <w:tcPr>
            <w:tcW w:w="551" w:type="pct"/>
          </w:tcPr>
          <w:p w14:paraId="42587850" w14:textId="3A5B7374" w:rsidR="002A66BB" w:rsidRPr="004815AB" w:rsidRDefault="00860BB2" w:rsidP="002A7943">
            <w:pPr>
              <w:pStyle w:val="TableText0"/>
              <w:jc w:val="center"/>
              <w:rPr>
                <w:highlight w:val="lightGray"/>
              </w:rPr>
            </w:pPr>
            <w:r w:rsidRPr="00860BB2">
              <w:rPr>
                <w:rFonts w:eastAsia="Calibri"/>
                <w:color w:val="000000"/>
                <w:spacing w:val="102"/>
                <w:szCs w:val="20"/>
                <w:shd w:val="solid" w:color="000000" w:fill="000000"/>
                <w:fitText w:val="188" w:id="-961901302"/>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302"/>
                <w14:textFill>
                  <w14:solidFill>
                    <w14:srgbClr w14:val="000000">
                      <w14:alpha w14:val="100000"/>
                    </w14:srgbClr>
                  </w14:solidFill>
                </w14:textFill>
              </w:rPr>
              <w:t>|</w:t>
            </w:r>
            <w:r w:rsidR="00914A47" w:rsidRPr="00914A47">
              <w:rPr>
                <w:rFonts w:eastAsia="Calibri"/>
                <w:szCs w:val="20"/>
                <w:vertAlign w:val="superscript"/>
              </w:rPr>
              <w:t>4</w:t>
            </w:r>
          </w:p>
        </w:tc>
        <w:tc>
          <w:tcPr>
            <w:tcW w:w="600" w:type="pct"/>
          </w:tcPr>
          <w:p w14:paraId="570C628A" w14:textId="7BE2CEDD" w:rsidR="002A66BB" w:rsidRPr="00AD5A27" w:rsidRDefault="00860BB2" w:rsidP="002A7943">
            <w:pPr>
              <w:pStyle w:val="TableText0"/>
              <w:jc w:val="center"/>
              <w:rPr>
                <w:rFonts w:eastAsia="Calibri"/>
                <w:szCs w:val="20"/>
              </w:rPr>
            </w:pPr>
            <w:r w:rsidRPr="00860BB2">
              <w:rPr>
                <w:rFonts w:eastAsia="Calibri"/>
                <w:color w:val="000000"/>
                <w:spacing w:val="102"/>
                <w:szCs w:val="20"/>
                <w:shd w:val="solid" w:color="000000" w:fill="000000"/>
                <w:fitText w:val="188" w:id="-961901301"/>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301"/>
                <w14:textFill>
                  <w14:solidFill>
                    <w14:srgbClr w14:val="000000">
                      <w14:alpha w14:val="100000"/>
                    </w14:srgbClr>
                  </w14:solidFill>
                </w14:textFill>
              </w:rPr>
              <w:t>|</w:t>
            </w:r>
            <w:r w:rsidR="002A66BB" w:rsidRPr="00AD5A27">
              <w:rPr>
                <w:rFonts w:eastAsia="Calibri"/>
                <w:szCs w:val="20"/>
              </w:rPr>
              <w:t>%</w:t>
            </w:r>
          </w:p>
        </w:tc>
      </w:tr>
      <w:tr w:rsidR="002A66BB" w:rsidRPr="00AD5A27" w14:paraId="7DDE4F0E" w14:textId="77777777" w:rsidTr="002D4C2A">
        <w:trPr>
          <w:cantSplit/>
          <w:trHeight w:val="70"/>
        </w:trPr>
        <w:tc>
          <w:tcPr>
            <w:tcW w:w="155" w:type="pct"/>
          </w:tcPr>
          <w:p w14:paraId="0A6EEB4A" w14:textId="77777777" w:rsidR="002A66BB" w:rsidRPr="00AD5A27" w:rsidRDefault="002A66BB" w:rsidP="002A7943">
            <w:pPr>
              <w:pStyle w:val="TableText0"/>
            </w:pPr>
          </w:p>
        </w:tc>
        <w:tc>
          <w:tcPr>
            <w:tcW w:w="2200" w:type="pct"/>
          </w:tcPr>
          <w:p w14:paraId="5C452CA7" w14:textId="77777777" w:rsidR="002A66BB" w:rsidRPr="00AD5A27" w:rsidRDefault="002A66BB" w:rsidP="002A7943">
            <w:pPr>
              <w:pStyle w:val="TableText0"/>
            </w:pPr>
            <w:r w:rsidRPr="00AD5A27">
              <w:t>5 years</w:t>
            </w:r>
          </w:p>
        </w:tc>
        <w:tc>
          <w:tcPr>
            <w:tcW w:w="708" w:type="pct"/>
          </w:tcPr>
          <w:p w14:paraId="64CEFA67" w14:textId="68430230" w:rsidR="002A66BB" w:rsidRPr="00AD5A27" w:rsidRDefault="002A66BB" w:rsidP="002A7943">
            <w:pPr>
              <w:pStyle w:val="TableText0"/>
              <w:jc w:val="center"/>
              <w:rPr>
                <w:rFonts w:eastAsia="Calibri"/>
                <w:szCs w:val="20"/>
              </w:rPr>
            </w:pPr>
            <w:r w:rsidRPr="00AD5A27">
              <w:rPr>
                <w:rFonts w:eastAsia="Calibri"/>
                <w:szCs w:val="20"/>
              </w:rPr>
              <w:t>$</w:t>
            </w:r>
            <w:r w:rsidR="00860BB2" w:rsidRPr="00860BB2">
              <w:rPr>
                <w:rFonts w:eastAsia="Calibri" w:hint="eastAsia"/>
                <w:color w:val="000000"/>
                <w:w w:val="15"/>
                <w:szCs w:val="20"/>
                <w:shd w:val="solid" w:color="000000" w:fill="000000"/>
                <w:fitText w:val="62" w:id="-961901300"/>
                <w14:textFill>
                  <w14:solidFill>
                    <w14:srgbClr w14:val="000000">
                      <w14:alpha w14:val="100000"/>
                    </w14:srgbClr>
                  </w14:solidFill>
                </w14:textFill>
              </w:rPr>
              <w:t xml:space="preserve">　</w:t>
            </w:r>
            <w:r w:rsidR="00860BB2" w:rsidRPr="00860BB2">
              <w:rPr>
                <w:rFonts w:eastAsia="Calibri"/>
                <w:color w:val="000000"/>
                <w:w w:val="15"/>
                <w:szCs w:val="20"/>
                <w:shd w:val="solid" w:color="000000" w:fill="000000"/>
                <w:fitText w:val="62" w:id="-961901300"/>
                <w14:textFill>
                  <w14:solidFill>
                    <w14:srgbClr w14:val="000000">
                      <w14:alpha w14:val="100000"/>
                    </w14:srgbClr>
                  </w14:solidFill>
                </w14:textFill>
              </w:rPr>
              <w:t>|</w:t>
            </w:r>
            <w:r w:rsidR="00860BB2" w:rsidRPr="00860BB2">
              <w:rPr>
                <w:rFonts w:eastAsia="Calibri" w:hint="eastAsia"/>
                <w:color w:val="000000"/>
                <w:spacing w:val="-3"/>
                <w:w w:val="15"/>
                <w:szCs w:val="20"/>
                <w:shd w:val="solid" w:color="000000" w:fill="000000"/>
                <w:fitText w:val="62" w:id="-961901300"/>
                <w14:textFill>
                  <w14:solidFill>
                    <w14:srgbClr w14:val="000000">
                      <w14:alpha w14:val="100000"/>
                    </w14:srgbClr>
                  </w14:solidFill>
                </w14:textFill>
              </w:rPr>
              <w:t xml:space="preserve">　</w:t>
            </w:r>
          </w:p>
        </w:tc>
        <w:tc>
          <w:tcPr>
            <w:tcW w:w="786" w:type="pct"/>
          </w:tcPr>
          <w:p w14:paraId="7369254B" w14:textId="77777777" w:rsidR="002A66BB" w:rsidRPr="00AD5A27" w:rsidRDefault="002A66BB" w:rsidP="002A7943">
            <w:pPr>
              <w:pStyle w:val="TableText0"/>
              <w:jc w:val="center"/>
              <w:rPr>
                <w:rFonts w:eastAsia="Calibri"/>
                <w:szCs w:val="20"/>
              </w:rPr>
            </w:pPr>
            <w:r w:rsidRPr="00AD5A27">
              <w:rPr>
                <w:rFonts w:eastAsia="Calibri"/>
                <w:szCs w:val="20"/>
              </w:rPr>
              <w:t>0.0554</w:t>
            </w:r>
          </w:p>
        </w:tc>
        <w:tc>
          <w:tcPr>
            <w:tcW w:w="551" w:type="pct"/>
          </w:tcPr>
          <w:p w14:paraId="23C8B352" w14:textId="7F8BE76A" w:rsidR="002A66BB" w:rsidRPr="004815AB" w:rsidRDefault="00860BB2" w:rsidP="002A7943">
            <w:pPr>
              <w:pStyle w:val="TableText0"/>
              <w:jc w:val="center"/>
              <w:rPr>
                <w:rFonts w:eastAsia="Calibri"/>
                <w:szCs w:val="20"/>
                <w:highlight w:val="lightGray"/>
              </w:rPr>
            </w:pPr>
            <w:r w:rsidRPr="00860BB2">
              <w:rPr>
                <w:rFonts w:eastAsia="Calibri"/>
                <w:color w:val="000000"/>
                <w:spacing w:val="102"/>
                <w:szCs w:val="20"/>
                <w:shd w:val="solid" w:color="000000" w:fill="000000"/>
                <w:fitText w:val="188" w:id="-961901299"/>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299"/>
                <w14:textFill>
                  <w14:solidFill>
                    <w14:srgbClr w14:val="000000">
                      <w14:alpha w14:val="100000"/>
                    </w14:srgbClr>
                  </w14:solidFill>
                </w14:textFill>
              </w:rPr>
              <w:t>|</w:t>
            </w:r>
            <w:r w:rsidR="00914A47" w:rsidRPr="00914A47">
              <w:rPr>
                <w:rFonts w:eastAsia="Calibri"/>
                <w:szCs w:val="20"/>
                <w:vertAlign w:val="superscript"/>
              </w:rPr>
              <w:t>5</w:t>
            </w:r>
          </w:p>
        </w:tc>
        <w:tc>
          <w:tcPr>
            <w:tcW w:w="600" w:type="pct"/>
          </w:tcPr>
          <w:p w14:paraId="65941B0B" w14:textId="1BC5CF15" w:rsidR="002A66BB" w:rsidRPr="00AD5A27" w:rsidRDefault="00860BB2" w:rsidP="002A7943">
            <w:pPr>
              <w:pStyle w:val="TableText0"/>
              <w:jc w:val="center"/>
              <w:rPr>
                <w:rFonts w:eastAsia="Calibri"/>
                <w:szCs w:val="20"/>
              </w:rPr>
            </w:pPr>
            <w:r w:rsidRPr="00860BB2">
              <w:rPr>
                <w:rFonts w:eastAsia="Calibri"/>
                <w:color w:val="000000"/>
                <w:spacing w:val="102"/>
                <w:szCs w:val="20"/>
                <w:shd w:val="solid" w:color="000000" w:fill="000000"/>
                <w:fitText w:val="188" w:id="-961901298"/>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298"/>
                <w14:textFill>
                  <w14:solidFill>
                    <w14:srgbClr w14:val="000000">
                      <w14:alpha w14:val="100000"/>
                    </w14:srgbClr>
                  </w14:solidFill>
                </w14:textFill>
              </w:rPr>
              <w:t>|</w:t>
            </w:r>
            <w:r w:rsidR="002A66BB" w:rsidRPr="00AD5A27">
              <w:rPr>
                <w:rFonts w:eastAsia="Calibri"/>
                <w:szCs w:val="20"/>
              </w:rPr>
              <w:t>%</w:t>
            </w:r>
          </w:p>
        </w:tc>
      </w:tr>
      <w:tr w:rsidR="00C664A8" w:rsidRPr="00AD5A27" w14:paraId="09A43FDD" w14:textId="77777777" w:rsidTr="002D4C2A">
        <w:trPr>
          <w:cantSplit/>
          <w:trHeight w:val="70"/>
        </w:trPr>
        <w:tc>
          <w:tcPr>
            <w:tcW w:w="155" w:type="pct"/>
          </w:tcPr>
          <w:p w14:paraId="08F8A0B7" w14:textId="77777777" w:rsidR="00C664A8" w:rsidRPr="00AD5A27" w:rsidRDefault="00C664A8" w:rsidP="002A7943">
            <w:pPr>
              <w:pStyle w:val="TableText0"/>
            </w:pPr>
          </w:p>
        </w:tc>
        <w:tc>
          <w:tcPr>
            <w:tcW w:w="4845" w:type="pct"/>
            <w:gridSpan w:val="5"/>
          </w:tcPr>
          <w:p w14:paraId="779AD32C" w14:textId="0D02841B" w:rsidR="00C664A8" w:rsidRPr="00AD5A27" w:rsidRDefault="00C664A8" w:rsidP="00C664A8">
            <w:pPr>
              <w:pStyle w:val="TableText0"/>
              <w:rPr>
                <w:rFonts w:eastAsia="Calibri"/>
                <w:b/>
                <w:bCs w:val="0"/>
                <w:szCs w:val="20"/>
              </w:rPr>
            </w:pPr>
            <w:r w:rsidRPr="00AD5A27">
              <w:rPr>
                <w:b/>
                <w:bCs w:val="0"/>
              </w:rPr>
              <w:t>Adalimumab efficacy (BC = 0.53)</w:t>
            </w:r>
          </w:p>
        </w:tc>
      </w:tr>
      <w:tr w:rsidR="002A66BB" w:rsidRPr="00AD5A27" w14:paraId="2215F8B7" w14:textId="77777777" w:rsidTr="002D4C2A">
        <w:trPr>
          <w:cantSplit/>
          <w:trHeight w:val="70"/>
        </w:trPr>
        <w:tc>
          <w:tcPr>
            <w:tcW w:w="155" w:type="pct"/>
          </w:tcPr>
          <w:p w14:paraId="548BD906" w14:textId="3795FBCA" w:rsidR="002A66BB" w:rsidRPr="00AD5A27" w:rsidRDefault="00B25FC6">
            <w:pPr>
              <w:pStyle w:val="TableText0"/>
            </w:pPr>
            <w:r>
              <w:t>D</w:t>
            </w:r>
          </w:p>
        </w:tc>
        <w:tc>
          <w:tcPr>
            <w:tcW w:w="2200" w:type="pct"/>
          </w:tcPr>
          <w:p w14:paraId="1411AEA6" w14:textId="7FF9E72E" w:rsidR="002A66BB" w:rsidRPr="00AD5A27" w:rsidRDefault="000632AC">
            <w:pPr>
              <w:pStyle w:val="TableText0"/>
              <w:rPr>
                <w:vertAlign w:val="superscript"/>
              </w:rPr>
            </w:pPr>
            <w:r w:rsidRPr="00AD5A27">
              <w:t>U</w:t>
            </w:r>
            <w:r w:rsidR="002A66BB" w:rsidRPr="00AD5A27">
              <w:t xml:space="preserve">pper 95% </w:t>
            </w:r>
            <w:r w:rsidRPr="00AD5A27">
              <w:t xml:space="preserve">CI </w:t>
            </w:r>
            <w:r w:rsidR="002A66BB" w:rsidRPr="00AD5A27">
              <w:t xml:space="preserve">of HR of pooled VISUAL I/II </w:t>
            </w:r>
            <w:r w:rsidRPr="00AD5A27">
              <w:t>(</w:t>
            </w:r>
            <w:r w:rsidR="002A66BB" w:rsidRPr="00AD5A27">
              <w:t>0.68</w:t>
            </w:r>
            <w:r w:rsidRPr="00AD5A27">
              <w:t>)</w:t>
            </w:r>
            <w:r w:rsidR="00986EEE" w:rsidRPr="00AD5A27">
              <w:rPr>
                <w:vertAlign w:val="superscript"/>
              </w:rPr>
              <w:t>c</w:t>
            </w:r>
          </w:p>
        </w:tc>
        <w:tc>
          <w:tcPr>
            <w:tcW w:w="708" w:type="pct"/>
            <w:tcBorders>
              <w:top w:val="single" w:sz="4" w:space="0" w:color="auto"/>
              <w:left w:val="single" w:sz="4" w:space="0" w:color="auto"/>
              <w:bottom w:val="nil"/>
              <w:right w:val="single" w:sz="4" w:space="0" w:color="auto"/>
            </w:tcBorders>
            <w:shd w:val="clear" w:color="auto" w:fill="auto"/>
          </w:tcPr>
          <w:p w14:paraId="0565C643" w14:textId="6E1A5155" w:rsidR="002A66BB" w:rsidRPr="00AD5A27" w:rsidRDefault="002A66BB">
            <w:pPr>
              <w:pStyle w:val="TableText0"/>
              <w:jc w:val="center"/>
              <w:rPr>
                <w:rFonts w:eastAsia="Calibri"/>
                <w:szCs w:val="20"/>
              </w:rPr>
            </w:pPr>
            <w:r w:rsidRPr="00AD5A27">
              <w:rPr>
                <w:szCs w:val="20"/>
              </w:rPr>
              <w:t>$</w:t>
            </w:r>
            <w:r w:rsidR="00860BB2" w:rsidRPr="00860BB2">
              <w:rPr>
                <w:rFonts w:hint="eastAsia"/>
                <w:color w:val="000000"/>
                <w:w w:val="15"/>
                <w:szCs w:val="20"/>
                <w:shd w:val="solid" w:color="000000" w:fill="000000"/>
                <w:fitText w:val="62" w:id="-961901297"/>
                <w14:textFill>
                  <w14:solidFill>
                    <w14:srgbClr w14:val="000000">
                      <w14:alpha w14:val="100000"/>
                    </w14:srgbClr>
                  </w14:solidFill>
                </w14:textFill>
              </w:rPr>
              <w:t xml:space="preserve">　</w:t>
            </w:r>
            <w:r w:rsidR="00860BB2" w:rsidRPr="00860BB2">
              <w:rPr>
                <w:color w:val="000000"/>
                <w:w w:val="15"/>
                <w:szCs w:val="20"/>
                <w:shd w:val="solid" w:color="000000" w:fill="000000"/>
                <w:fitText w:val="62" w:id="-961901297"/>
                <w14:textFill>
                  <w14:solidFill>
                    <w14:srgbClr w14:val="000000">
                      <w14:alpha w14:val="100000"/>
                    </w14:srgbClr>
                  </w14:solidFill>
                </w14:textFill>
              </w:rPr>
              <w:t>|</w:t>
            </w:r>
            <w:r w:rsidR="00860BB2" w:rsidRPr="00860BB2">
              <w:rPr>
                <w:rFonts w:hint="eastAsia"/>
                <w:color w:val="000000"/>
                <w:spacing w:val="-3"/>
                <w:w w:val="15"/>
                <w:szCs w:val="20"/>
                <w:shd w:val="solid" w:color="000000" w:fill="000000"/>
                <w:fitText w:val="62" w:id="-961901297"/>
                <w14:textFill>
                  <w14:solidFill>
                    <w14:srgbClr w14:val="000000">
                      <w14:alpha w14:val="100000"/>
                    </w14:srgbClr>
                  </w14:solidFill>
                </w14:textFill>
              </w:rPr>
              <w:t xml:space="preserve">　</w:t>
            </w:r>
          </w:p>
        </w:tc>
        <w:tc>
          <w:tcPr>
            <w:tcW w:w="786" w:type="pct"/>
            <w:tcBorders>
              <w:top w:val="single" w:sz="4" w:space="0" w:color="auto"/>
              <w:left w:val="single" w:sz="4" w:space="0" w:color="auto"/>
              <w:bottom w:val="nil"/>
              <w:right w:val="single" w:sz="4" w:space="0" w:color="auto"/>
            </w:tcBorders>
            <w:shd w:val="clear" w:color="auto" w:fill="auto"/>
          </w:tcPr>
          <w:p w14:paraId="2C73B568" w14:textId="77777777" w:rsidR="002A66BB" w:rsidRPr="00AD5A27" w:rsidRDefault="002A66BB">
            <w:pPr>
              <w:pStyle w:val="TableText0"/>
              <w:jc w:val="center"/>
              <w:rPr>
                <w:rFonts w:eastAsia="Calibri"/>
                <w:szCs w:val="20"/>
              </w:rPr>
            </w:pPr>
            <w:r w:rsidRPr="00AD5A27">
              <w:rPr>
                <w:szCs w:val="20"/>
              </w:rPr>
              <w:t>0.1350</w:t>
            </w:r>
          </w:p>
        </w:tc>
        <w:tc>
          <w:tcPr>
            <w:tcW w:w="551" w:type="pct"/>
            <w:tcBorders>
              <w:top w:val="single" w:sz="4" w:space="0" w:color="auto"/>
              <w:left w:val="single" w:sz="4" w:space="0" w:color="auto"/>
              <w:bottom w:val="nil"/>
              <w:right w:val="single" w:sz="4" w:space="0" w:color="auto"/>
            </w:tcBorders>
            <w:shd w:val="clear" w:color="auto" w:fill="auto"/>
          </w:tcPr>
          <w:p w14:paraId="6E03320B" w14:textId="2DE0B95D" w:rsidR="002A66BB" w:rsidRPr="004815AB" w:rsidRDefault="00860BB2">
            <w:pPr>
              <w:pStyle w:val="TableText0"/>
              <w:jc w:val="center"/>
              <w:rPr>
                <w:rFonts w:eastAsia="Calibri"/>
                <w:szCs w:val="20"/>
                <w:highlight w:val="lightGray"/>
              </w:rPr>
            </w:pPr>
            <w:r w:rsidRPr="00860BB2">
              <w:rPr>
                <w:color w:val="000000"/>
                <w:spacing w:val="102"/>
                <w:szCs w:val="20"/>
                <w:shd w:val="solid" w:color="000000" w:fill="000000"/>
                <w:fitText w:val="188" w:id="-961901296"/>
                <w14:textFill>
                  <w14:solidFill>
                    <w14:srgbClr w14:val="000000">
                      <w14:alpha w14:val="100000"/>
                    </w14:srgbClr>
                  </w14:solidFill>
                </w14:textFill>
              </w:rPr>
              <w:t>|</w:t>
            </w:r>
            <w:r w:rsidRPr="00860BB2">
              <w:rPr>
                <w:color w:val="000000"/>
                <w:spacing w:val="1"/>
                <w:szCs w:val="20"/>
                <w:shd w:val="solid" w:color="000000" w:fill="000000"/>
                <w:fitText w:val="188" w:id="-961901296"/>
                <w14:textFill>
                  <w14:solidFill>
                    <w14:srgbClr w14:val="000000">
                      <w14:alpha w14:val="100000"/>
                    </w14:srgbClr>
                  </w14:solidFill>
                </w14:textFill>
              </w:rPr>
              <w:t>|</w:t>
            </w:r>
            <w:r w:rsidR="00892E82" w:rsidRPr="00892E82">
              <w:rPr>
                <w:szCs w:val="20"/>
                <w:vertAlign w:val="superscript"/>
              </w:rPr>
              <w:t>6</w:t>
            </w:r>
          </w:p>
        </w:tc>
        <w:tc>
          <w:tcPr>
            <w:tcW w:w="600" w:type="pct"/>
          </w:tcPr>
          <w:p w14:paraId="0BA3B2FB" w14:textId="3B0E40C3" w:rsidR="002A66BB" w:rsidRPr="00AD5A27" w:rsidRDefault="00860BB2">
            <w:pPr>
              <w:pStyle w:val="TableText0"/>
              <w:jc w:val="center"/>
              <w:rPr>
                <w:rFonts w:eastAsia="Calibri"/>
                <w:szCs w:val="20"/>
              </w:rPr>
            </w:pPr>
            <w:r w:rsidRPr="00860BB2">
              <w:rPr>
                <w:rFonts w:eastAsia="Calibri"/>
                <w:color w:val="000000"/>
                <w:spacing w:val="102"/>
                <w:szCs w:val="20"/>
                <w:shd w:val="solid" w:color="000000" w:fill="000000"/>
                <w:fitText w:val="188" w:id="-961901312"/>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312"/>
                <w14:textFill>
                  <w14:solidFill>
                    <w14:srgbClr w14:val="000000">
                      <w14:alpha w14:val="100000"/>
                    </w14:srgbClr>
                  </w14:solidFill>
                </w14:textFill>
              </w:rPr>
              <w:t>|</w:t>
            </w:r>
            <w:r w:rsidR="002A66BB" w:rsidRPr="00AD5A27">
              <w:rPr>
                <w:rFonts w:eastAsia="Calibri"/>
                <w:szCs w:val="20"/>
              </w:rPr>
              <w:t>%</w:t>
            </w:r>
          </w:p>
        </w:tc>
      </w:tr>
      <w:tr w:rsidR="00AE722F" w:rsidRPr="00AD5A27" w14:paraId="366083AD" w14:textId="77777777" w:rsidTr="002D4C2A">
        <w:trPr>
          <w:cantSplit/>
          <w:trHeight w:val="70"/>
        </w:trPr>
        <w:tc>
          <w:tcPr>
            <w:tcW w:w="155" w:type="pct"/>
          </w:tcPr>
          <w:p w14:paraId="34FD2FEF" w14:textId="77777777" w:rsidR="00AE722F" w:rsidRPr="00AD5A27" w:rsidRDefault="00AE722F" w:rsidP="00AE722F">
            <w:pPr>
              <w:pStyle w:val="TableText0"/>
            </w:pPr>
          </w:p>
        </w:tc>
        <w:tc>
          <w:tcPr>
            <w:tcW w:w="2200" w:type="pct"/>
          </w:tcPr>
          <w:p w14:paraId="7024C0F5" w14:textId="3126D383" w:rsidR="00AE722F" w:rsidRPr="00AD5A27" w:rsidRDefault="000632AC" w:rsidP="00AE722F">
            <w:pPr>
              <w:pStyle w:val="TableText0"/>
              <w:rPr>
                <w:vertAlign w:val="superscript"/>
              </w:rPr>
            </w:pPr>
            <w:r w:rsidRPr="00AD5A27">
              <w:rPr>
                <w:szCs w:val="20"/>
              </w:rPr>
              <w:t>Lower 95% CI of HR of p</w:t>
            </w:r>
            <w:r w:rsidR="00AE722F" w:rsidRPr="00AD5A27">
              <w:rPr>
                <w:szCs w:val="20"/>
              </w:rPr>
              <w:t>ooled VISUAL I/II (0.41)</w:t>
            </w:r>
            <w:r w:rsidR="00986EEE" w:rsidRPr="00AD5A27">
              <w:rPr>
                <w:szCs w:val="20"/>
                <w:vertAlign w:val="superscript"/>
              </w:rPr>
              <w:t>c</w:t>
            </w:r>
          </w:p>
        </w:tc>
        <w:tc>
          <w:tcPr>
            <w:tcW w:w="708" w:type="pct"/>
            <w:tcBorders>
              <w:top w:val="single" w:sz="4" w:space="0" w:color="auto"/>
              <w:left w:val="single" w:sz="4" w:space="0" w:color="auto"/>
              <w:bottom w:val="nil"/>
              <w:right w:val="single" w:sz="4" w:space="0" w:color="auto"/>
            </w:tcBorders>
            <w:shd w:val="clear" w:color="auto" w:fill="auto"/>
          </w:tcPr>
          <w:p w14:paraId="4D0B6EBD" w14:textId="1BC33866" w:rsidR="00AE722F" w:rsidRPr="00AD5A27" w:rsidRDefault="00AE722F" w:rsidP="00AE722F">
            <w:pPr>
              <w:pStyle w:val="TableText0"/>
              <w:jc w:val="center"/>
              <w:rPr>
                <w:szCs w:val="20"/>
              </w:rPr>
            </w:pPr>
            <w:r w:rsidRPr="00AD5A27">
              <w:rPr>
                <w:szCs w:val="20"/>
              </w:rPr>
              <w:t>$</w:t>
            </w:r>
            <w:r w:rsidR="00860BB2" w:rsidRPr="00860BB2">
              <w:rPr>
                <w:rFonts w:hint="eastAsia"/>
                <w:color w:val="000000"/>
                <w:w w:val="15"/>
                <w:szCs w:val="20"/>
                <w:shd w:val="solid" w:color="000000" w:fill="000000"/>
                <w:fitText w:val="62" w:id="-961901311"/>
                <w14:textFill>
                  <w14:solidFill>
                    <w14:srgbClr w14:val="000000">
                      <w14:alpha w14:val="100000"/>
                    </w14:srgbClr>
                  </w14:solidFill>
                </w14:textFill>
              </w:rPr>
              <w:t xml:space="preserve">　</w:t>
            </w:r>
            <w:r w:rsidR="00860BB2" w:rsidRPr="00860BB2">
              <w:rPr>
                <w:color w:val="000000"/>
                <w:w w:val="15"/>
                <w:szCs w:val="20"/>
                <w:shd w:val="solid" w:color="000000" w:fill="000000"/>
                <w:fitText w:val="62" w:id="-961901311"/>
                <w14:textFill>
                  <w14:solidFill>
                    <w14:srgbClr w14:val="000000">
                      <w14:alpha w14:val="100000"/>
                    </w14:srgbClr>
                  </w14:solidFill>
                </w14:textFill>
              </w:rPr>
              <w:t>|</w:t>
            </w:r>
            <w:r w:rsidR="00860BB2" w:rsidRPr="00860BB2">
              <w:rPr>
                <w:rFonts w:hint="eastAsia"/>
                <w:color w:val="000000"/>
                <w:spacing w:val="-3"/>
                <w:w w:val="15"/>
                <w:szCs w:val="20"/>
                <w:shd w:val="solid" w:color="000000" w:fill="000000"/>
                <w:fitText w:val="62" w:id="-961901311"/>
                <w14:textFill>
                  <w14:solidFill>
                    <w14:srgbClr w14:val="000000">
                      <w14:alpha w14:val="100000"/>
                    </w14:srgbClr>
                  </w14:solidFill>
                </w14:textFill>
              </w:rPr>
              <w:t xml:space="preserve">　</w:t>
            </w:r>
          </w:p>
        </w:tc>
        <w:tc>
          <w:tcPr>
            <w:tcW w:w="786" w:type="pct"/>
            <w:tcBorders>
              <w:top w:val="single" w:sz="4" w:space="0" w:color="auto"/>
              <w:left w:val="single" w:sz="4" w:space="0" w:color="auto"/>
              <w:bottom w:val="nil"/>
              <w:right w:val="single" w:sz="4" w:space="0" w:color="auto"/>
            </w:tcBorders>
            <w:shd w:val="clear" w:color="auto" w:fill="auto"/>
          </w:tcPr>
          <w:p w14:paraId="4AA42CB0" w14:textId="4961C97C" w:rsidR="00AE722F" w:rsidRPr="00AD5A27" w:rsidRDefault="00AE722F" w:rsidP="00AE722F">
            <w:pPr>
              <w:pStyle w:val="TableText0"/>
              <w:jc w:val="center"/>
              <w:rPr>
                <w:szCs w:val="20"/>
              </w:rPr>
            </w:pPr>
            <w:r w:rsidRPr="00AD5A27">
              <w:rPr>
                <w:szCs w:val="20"/>
              </w:rPr>
              <w:t>0.3109</w:t>
            </w:r>
          </w:p>
        </w:tc>
        <w:tc>
          <w:tcPr>
            <w:tcW w:w="551" w:type="pct"/>
            <w:tcBorders>
              <w:top w:val="single" w:sz="4" w:space="0" w:color="auto"/>
              <w:left w:val="single" w:sz="4" w:space="0" w:color="auto"/>
              <w:bottom w:val="nil"/>
              <w:right w:val="single" w:sz="4" w:space="0" w:color="auto"/>
            </w:tcBorders>
            <w:shd w:val="clear" w:color="auto" w:fill="auto"/>
          </w:tcPr>
          <w:p w14:paraId="17534896" w14:textId="2CCD5F0C" w:rsidR="00AE722F" w:rsidRPr="004815AB" w:rsidRDefault="00860BB2" w:rsidP="00AE722F">
            <w:pPr>
              <w:pStyle w:val="TableText0"/>
              <w:jc w:val="center"/>
              <w:rPr>
                <w:szCs w:val="20"/>
                <w:highlight w:val="lightGray"/>
              </w:rPr>
            </w:pPr>
            <w:r w:rsidRPr="00860BB2">
              <w:rPr>
                <w:color w:val="000000"/>
                <w:spacing w:val="102"/>
                <w:szCs w:val="20"/>
                <w:shd w:val="solid" w:color="000000" w:fill="000000"/>
                <w:fitText w:val="188" w:id="-961901310"/>
                <w14:textFill>
                  <w14:solidFill>
                    <w14:srgbClr w14:val="000000">
                      <w14:alpha w14:val="100000"/>
                    </w14:srgbClr>
                  </w14:solidFill>
                </w14:textFill>
              </w:rPr>
              <w:t>|</w:t>
            </w:r>
            <w:r w:rsidRPr="00860BB2">
              <w:rPr>
                <w:color w:val="000000"/>
                <w:spacing w:val="1"/>
                <w:szCs w:val="20"/>
                <w:shd w:val="solid" w:color="000000" w:fill="000000"/>
                <w:fitText w:val="188" w:id="-961901310"/>
                <w14:textFill>
                  <w14:solidFill>
                    <w14:srgbClr w14:val="000000">
                      <w14:alpha w14:val="100000"/>
                    </w14:srgbClr>
                  </w14:solidFill>
                </w14:textFill>
              </w:rPr>
              <w:t>|</w:t>
            </w:r>
            <w:r w:rsidR="00892E82" w:rsidRPr="00892E82">
              <w:rPr>
                <w:szCs w:val="20"/>
                <w:vertAlign w:val="superscript"/>
              </w:rPr>
              <w:t>7</w:t>
            </w:r>
          </w:p>
        </w:tc>
        <w:tc>
          <w:tcPr>
            <w:tcW w:w="600" w:type="pct"/>
          </w:tcPr>
          <w:p w14:paraId="71146480" w14:textId="5FC363DE" w:rsidR="00AE722F" w:rsidRPr="00AD5A27" w:rsidRDefault="00FE68CD" w:rsidP="00AE722F">
            <w:pPr>
              <w:pStyle w:val="TableText0"/>
              <w:jc w:val="center"/>
              <w:rPr>
                <w:rFonts w:eastAsia="Calibri"/>
                <w:szCs w:val="20"/>
              </w:rPr>
            </w:pPr>
            <w:r w:rsidRPr="00AD5A27">
              <w:rPr>
                <w:rFonts w:eastAsia="Calibri"/>
                <w:szCs w:val="20"/>
              </w:rPr>
              <w:t>-</w:t>
            </w:r>
            <w:r w:rsidR="00860BB2" w:rsidRPr="00860BB2">
              <w:rPr>
                <w:rFonts w:eastAsia="Calibri"/>
                <w:color w:val="000000"/>
                <w:spacing w:val="42"/>
                <w:szCs w:val="20"/>
                <w:shd w:val="solid" w:color="000000" w:fill="000000"/>
                <w:fitText w:val="213" w:id="-961901309"/>
                <w14:textFill>
                  <w14:solidFill>
                    <w14:srgbClr w14:val="000000">
                      <w14:alpha w14:val="100000"/>
                    </w14:srgbClr>
                  </w14:solidFill>
                </w14:textFill>
              </w:rPr>
              <w:t>||</w:t>
            </w:r>
            <w:r w:rsidR="00860BB2" w:rsidRPr="00860BB2">
              <w:rPr>
                <w:rFonts w:eastAsia="Calibri"/>
                <w:color w:val="000000"/>
                <w:spacing w:val="2"/>
                <w:szCs w:val="20"/>
                <w:shd w:val="solid" w:color="000000" w:fill="000000"/>
                <w:fitText w:val="213" w:id="-961901309"/>
                <w14:textFill>
                  <w14:solidFill>
                    <w14:srgbClr w14:val="000000">
                      <w14:alpha w14:val="100000"/>
                    </w14:srgbClr>
                  </w14:solidFill>
                </w14:textFill>
              </w:rPr>
              <w:t>|</w:t>
            </w:r>
            <w:r w:rsidRPr="00AD5A27">
              <w:rPr>
                <w:rFonts w:eastAsia="Calibri"/>
                <w:szCs w:val="20"/>
              </w:rPr>
              <w:t>%</w:t>
            </w:r>
          </w:p>
        </w:tc>
      </w:tr>
      <w:tr w:rsidR="000632AC" w:rsidRPr="00AD5A27" w14:paraId="5CC218A5" w14:textId="77777777" w:rsidTr="002D4C2A">
        <w:trPr>
          <w:cantSplit/>
          <w:trHeight w:val="70"/>
        </w:trPr>
        <w:tc>
          <w:tcPr>
            <w:tcW w:w="155" w:type="pct"/>
          </w:tcPr>
          <w:p w14:paraId="06E76E03" w14:textId="77777777" w:rsidR="000632AC" w:rsidRPr="00AD5A27" w:rsidRDefault="000632AC" w:rsidP="00AE722F">
            <w:pPr>
              <w:pStyle w:val="TableText0"/>
            </w:pPr>
          </w:p>
        </w:tc>
        <w:tc>
          <w:tcPr>
            <w:tcW w:w="4845" w:type="pct"/>
            <w:gridSpan w:val="5"/>
          </w:tcPr>
          <w:p w14:paraId="46E866F1" w14:textId="7F115EAD" w:rsidR="000632AC" w:rsidRPr="00AD5A27" w:rsidRDefault="000632AC" w:rsidP="00DD44C6">
            <w:pPr>
              <w:pStyle w:val="TableText0"/>
              <w:rPr>
                <w:rFonts w:eastAsia="Calibri"/>
                <w:b/>
                <w:szCs w:val="20"/>
              </w:rPr>
            </w:pPr>
            <w:r w:rsidRPr="00AD5A27">
              <w:rPr>
                <w:b/>
              </w:rPr>
              <w:t>Link co-efficient (BC</w:t>
            </w:r>
            <w:r w:rsidR="00160DB9">
              <w:rPr>
                <w:b/>
              </w:rPr>
              <w:t xml:space="preserve"> =</w:t>
            </w:r>
            <w:r w:rsidRPr="00AD5A27">
              <w:rPr>
                <w:b/>
              </w:rPr>
              <w:t xml:space="preserve"> 1:1 relationship between the reduction in the time to treatment failure and the reduction in the risk of ocular complications)</w:t>
            </w:r>
          </w:p>
        </w:tc>
      </w:tr>
      <w:tr w:rsidR="002A66BB" w:rsidRPr="00AD5A27" w14:paraId="3A98F4C0" w14:textId="77777777" w:rsidTr="002D4C2A">
        <w:trPr>
          <w:cantSplit/>
          <w:trHeight w:val="60"/>
        </w:trPr>
        <w:tc>
          <w:tcPr>
            <w:tcW w:w="155" w:type="pct"/>
          </w:tcPr>
          <w:p w14:paraId="3FF33A6E" w14:textId="0334405A" w:rsidR="002A66BB" w:rsidRPr="00AD5A27" w:rsidRDefault="00B25FC6">
            <w:pPr>
              <w:pStyle w:val="TableText0"/>
            </w:pPr>
            <w:r>
              <w:t>E</w:t>
            </w:r>
          </w:p>
        </w:tc>
        <w:tc>
          <w:tcPr>
            <w:tcW w:w="2200" w:type="pct"/>
          </w:tcPr>
          <w:p w14:paraId="71155F68" w14:textId="68CDBBB2" w:rsidR="002A66BB" w:rsidRPr="00AD5A27" w:rsidRDefault="002A66BB">
            <w:pPr>
              <w:pStyle w:val="TableText0"/>
              <w:rPr>
                <w:vertAlign w:val="superscript"/>
              </w:rPr>
            </w:pPr>
            <w:r w:rsidRPr="00AD5A27">
              <w:t>Link co-efficient 1:0.85</w:t>
            </w:r>
            <w:r w:rsidR="00366BAA" w:rsidRPr="00AD5A27">
              <w:rPr>
                <w:vertAlign w:val="superscript"/>
              </w:rPr>
              <w:t>d</w:t>
            </w:r>
          </w:p>
        </w:tc>
        <w:tc>
          <w:tcPr>
            <w:tcW w:w="708" w:type="pct"/>
            <w:tcBorders>
              <w:top w:val="single" w:sz="4" w:space="0" w:color="auto"/>
              <w:left w:val="single" w:sz="4" w:space="0" w:color="auto"/>
              <w:bottom w:val="single" w:sz="4" w:space="0" w:color="auto"/>
              <w:right w:val="single" w:sz="4" w:space="0" w:color="auto"/>
            </w:tcBorders>
            <w:shd w:val="clear" w:color="auto" w:fill="auto"/>
          </w:tcPr>
          <w:p w14:paraId="5BFA03A1" w14:textId="363CF27D" w:rsidR="002A66BB" w:rsidRPr="00AD5A27" w:rsidRDefault="002A66BB">
            <w:pPr>
              <w:pStyle w:val="TableText0"/>
              <w:jc w:val="center"/>
              <w:rPr>
                <w:szCs w:val="20"/>
              </w:rPr>
            </w:pPr>
            <w:r w:rsidRPr="00AD5A27">
              <w:rPr>
                <w:szCs w:val="20"/>
              </w:rPr>
              <w:t>$</w:t>
            </w:r>
            <w:r w:rsidR="00860BB2" w:rsidRPr="00860BB2">
              <w:rPr>
                <w:rFonts w:hint="eastAsia"/>
                <w:color w:val="000000"/>
                <w:w w:val="15"/>
                <w:szCs w:val="20"/>
                <w:shd w:val="solid" w:color="000000" w:fill="000000"/>
                <w:fitText w:val="62" w:id="-961901308"/>
                <w14:textFill>
                  <w14:solidFill>
                    <w14:srgbClr w14:val="000000">
                      <w14:alpha w14:val="100000"/>
                    </w14:srgbClr>
                  </w14:solidFill>
                </w14:textFill>
              </w:rPr>
              <w:t xml:space="preserve">　</w:t>
            </w:r>
            <w:r w:rsidR="00860BB2" w:rsidRPr="00860BB2">
              <w:rPr>
                <w:color w:val="000000"/>
                <w:w w:val="15"/>
                <w:szCs w:val="20"/>
                <w:shd w:val="solid" w:color="000000" w:fill="000000"/>
                <w:fitText w:val="62" w:id="-961901308"/>
                <w14:textFill>
                  <w14:solidFill>
                    <w14:srgbClr w14:val="000000">
                      <w14:alpha w14:val="100000"/>
                    </w14:srgbClr>
                  </w14:solidFill>
                </w14:textFill>
              </w:rPr>
              <w:t>|</w:t>
            </w:r>
            <w:r w:rsidR="00860BB2" w:rsidRPr="00860BB2">
              <w:rPr>
                <w:rFonts w:hint="eastAsia"/>
                <w:color w:val="000000"/>
                <w:spacing w:val="-3"/>
                <w:w w:val="15"/>
                <w:szCs w:val="20"/>
                <w:shd w:val="solid" w:color="000000" w:fill="000000"/>
                <w:fitText w:val="62" w:id="-961901308"/>
                <w14:textFill>
                  <w14:solidFill>
                    <w14:srgbClr w14:val="000000">
                      <w14:alpha w14:val="100000"/>
                    </w14:srgbClr>
                  </w14:solidFill>
                </w14:textFill>
              </w:rPr>
              <w:t xml:space="preserve">　</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216A123B" w14:textId="77777777" w:rsidR="002A66BB" w:rsidRPr="00AD5A27" w:rsidRDefault="002A66BB">
            <w:pPr>
              <w:pStyle w:val="TableText0"/>
              <w:jc w:val="center"/>
              <w:rPr>
                <w:szCs w:val="20"/>
              </w:rPr>
            </w:pPr>
            <w:r w:rsidRPr="00AD5A27">
              <w:rPr>
                <w:szCs w:val="20"/>
              </w:rPr>
              <w:t>0.1819</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D4A13A2" w14:textId="3E46E438" w:rsidR="002A66BB" w:rsidRPr="004815AB" w:rsidRDefault="00860BB2">
            <w:pPr>
              <w:pStyle w:val="TableText0"/>
              <w:jc w:val="center"/>
              <w:rPr>
                <w:szCs w:val="20"/>
                <w:highlight w:val="lightGray"/>
              </w:rPr>
            </w:pPr>
            <w:r w:rsidRPr="00860BB2">
              <w:rPr>
                <w:color w:val="000000"/>
                <w:spacing w:val="102"/>
                <w:szCs w:val="20"/>
                <w:shd w:val="solid" w:color="000000" w:fill="000000"/>
                <w:fitText w:val="188" w:id="-961901307"/>
                <w14:textFill>
                  <w14:solidFill>
                    <w14:srgbClr w14:val="000000">
                      <w14:alpha w14:val="100000"/>
                    </w14:srgbClr>
                  </w14:solidFill>
                </w14:textFill>
              </w:rPr>
              <w:t>|</w:t>
            </w:r>
            <w:r w:rsidRPr="00860BB2">
              <w:rPr>
                <w:color w:val="000000"/>
                <w:spacing w:val="1"/>
                <w:szCs w:val="20"/>
                <w:shd w:val="solid" w:color="000000" w:fill="000000"/>
                <w:fitText w:val="188" w:id="-961901307"/>
                <w14:textFill>
                  <w14:solidFill>
                    <w14:srgbClr w14:val="000000">
                      <w14:alpha w14:val="100000"/>
                    </w14:srgbClr>
                  </w14:solidFill>
                </w14:textFill>
              </w:rPr>
              <w:t>|</w:t>
            </w:r>
            <w:r w:rsidR="00892E82" w:rsidRPr="00892E82">
              <w:rPr>
                <w:szCs w:val="20"/>
                <w:vertAlign w:val="superscript"/>
              </w:rPr>
              <w:t>8</w:t>
            </w:r>
          </w:p>
        </w:tc>
        <w:tc>
          <w:tcPr>
            <w:tcW w:w="600" w:type="pct"/>
          </w:tcPr>
          <w:p w14:paraId="1DE02284" w14:textId="0828E970" w:rsidR="002A66BB" w:rsidRPr="00AD5A27" w:rsidRDefault="00860BB2">
            <w:pPr>
              <w:pStyle w:val="TableText0"/>
              <w:jc w:val="center"/>
              <w:rPr>
                <w:rFonts w:eastAsia="Calibri"/>
                <w:szCs w:val="20"/>
              </w:rPr>
            </w:pPr>
            <w:r w:rsidRPr="00860BB2">
              <w:rPr>
                <w:rFonts w:eastAsia="Calibri"/>
                <w:color w:val="000000"/>
                <w:spacing w:val="102"/>
                <w:szCs w:val="20"/>
                <w:shd w:val="solid" w:color="000000" w:fill="000000"/>
                <w:fitText w:val="188" w:id="-961901306"/>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306"/>
                <w14:textFill>
                  <w14:solidFill>
                    <w14:srgbClr w14:val="000000">
                      <w14:alpha w14:val="100000"/>
                    </w14:srgbClr>
                  </w14:solidFill>
                </w14:textFill>
              </w:rPr>
              <w:t>|</w:t>
            </w:r>
            <w:r w:rsidR="002A66BB" w:rsidRPr="00AD5A27">
              <w:rPr>
                <w:rFonts w:eastAsia="Calibri"/>
                <w:szCs w:val="20"/>
              </w:rPr>
              <w:t>%</w:t>
            </w:r>
          </w:p>
        </w:tc>
      </w:tr>
      <w:tr w:rsidR="00356859" w:rsidRPr="00AD5A27" w14:paraId="694816CE" w14:textId="77777777" w:rsidTr="002D4C2A">
        <w:trPr>
          <w:cantSplit/>
          <w:trHeight w:val="70"/>
        </w:trPr>
        <w:tc>
          <w:tcPr>
            <w:tcW w:w="155" w:type="pct"/>
          </w:tcPr>
          <w:p w14:paraId="32476FFB" w14:textId="77777777" w:rsidR="00356859" w:rsidRPr="00AD5A27" w:rsidRDefault="00356859" w:rsidP="00356859">
            <w:pPr>
              <w:pStyle w:val="TableText0"/>
            </w:pPr>
          </w:p>
        </w:tc>
        <w:tc>
          <w:tcPr>
            <w:tcW w:w="2200" w:type="pct"/>
          </w:tcPr>
          <w:p w14:paraId="799FB111" w14:textId="37A68D1B" w:rsidR="00356859" w:rsidRPr="00AD5A27" w:rsidRDefault="00356859" w:rsidP="00356859">
            <w:pPr>
              <w:pStyle w:val="TableText0"/>
              <w:rPr>
                <w:vertAlign w:val="superscript"/>
              </w:rPr>
            </w:pPr>
            <w:r w:rsidRPr="00AD5A27">
              <w:t>Link co-efficient 1:0.75</w:t>
            </w:r>
            <w:r w:rsidR="00366BAA" w:rsidRPr="00AD5A27">
              <w:rPr>
                <w:vertAlign w:val="superscript"/>
              </w:rPr>
              <w:t>d</w:t>
            </w:r>
          </w:p>
        </w:tc>
        <w:tc>
          <w:tcPr>
            <w:tcW w:w="708" w:type="pct"/>
            <w:tcBorders>
              <w:top w:val="single" w:sz="4" w:space="0" w:color="auto"/>
              <w:left w:val="single" w:sz="4" w:space="0" w:color="auto"/>
              <w:bottom w:val="single" w:sz="4" w:space="0" w:color="auto"/>
              <w:right w:val="single" w:sz="4" w:space="0" w:color="auto"/>
            </w:tcBorders>
            <w:shd w:val="clear" w:color="auto" w:fill="auto"/>
          </w:tcPr>
          <w:p w14:paraId="7E58E4EA" w14:textId="5347A64F" w:rsidR="00356859" w:rsidRPr="00AD5A27" w:rsidRDefault="00356859" w:rsidP="00356859">
            <w:pPr>
              <w:pStyle w:val="TableText0"/>
              <w:jc w:val="center"/>
              <w:rPr>
                <w:szCs w:val="20"/>
              </w:rPr>
            </w:pPr>
            <w:r w:rsidRPr="00AD5A27">
              <w:rPr>
                <w:szCs w:val="20"/>
              </w:rPr>
              <w:t>$</w:t>
            </w:r>
            <w:r w:rsidR="00860BB2" w:rsidRPr="00860BB2">
              <w:rPr>
                <w:rFonts w:hint="eastAsia"/>
                <w:color w:val="000000"/>
                <w:w w:val="15"/>
                <w:szCs w:val="20"/>
                <w:shd w:val="solid" w:color="000000" w:fill="000000"/>
                <w:fitText w:val="62" w:id="-961901305"/>
                <w14:textFill>
                  <w14:solidFill>
                    <w14:srgbClr w14:val="000000">
                      <w14:alpha w14:val="100000"/>
                    </w14:srgbClr>
                  </w14:solidFill>
                </w14:textFill>
              </w:rPr>
              <w:t xml:space="preserve">　</w:t>
            </w:r>
            <w:r w:rsidR="00860BB2" w:rsidRPr="00860BB2">
              <w:rPr>
                <w:color w:val="000000"/>
                <w:w w:val="15"/>
                <w:szCs w:val="20"/>
                <w:shd w:val="solid" w:color="000000" w:fill="000000"/>
                <w:fitText w:val="62" w:id="-961901305"/>
                <w14:textFill>
                  <w14:solidFill>
                    <w14:srgbClr w14:val="000000">
                      <w14:alpha w14:val="100000"/>
                    </w14:srgbClr>
                  </w14:solidFill>
                </w14:textFill>
              </w:rPr>
              <w:t>|</w:t>
            </w:r>
            <w:r w:rsidR="00860BB2" w:rsidRPr="00860BB2">
              <w:rPr>
                <w:rFonts w:hint="eastAsia"/>
                <w:color w:val="000000"/>
                <w:spacing w:val="-3"/>
                <w:w w:val="15"/>
                <w:szCs w:val="20"/>
                <w:shd w:val="solid" w:color="000000" w:fill="000000"/>
                <w:fitText w:val="62" w:id="-961901305"/>
                <w14:textFill>
                  <w14:solidFill>
                    <w14:srgbClr w14:val="000000">
                      <w14:alpha w14:val="100000"/>
                    </w14:srgbClr>
                  </w14:solidFill>
                </w14:textFill>
              </w:rPr>
              <w:t xml:space="preserve">　</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3352DC12" w14:textId="25807979" w:rsidR="00356859" w:rsidRPr="00AD5A27" w:rsidRDefault="00356859" w:rsidP="00356859">
            <w:pPr>
              <w:pStyle w:val="TableText0"/>
              <w:jc w:val="center"/>
              <w:rPr>
                <w:szCs w:val="20"/>
              </w:rPr>
            </w:pPr>
            <w:r w:rsidRPr="00AD5A27">
              <w:rPr>
                <w:szCs w:val="20"/>
              </w:rPr>
              <w:t>0.1537</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0CD16A25" w14:textId="2277B49C" w:rsidR="00356859" w:rsidRPr="004815AB" w:rsidRDefault="00860BB2" w:rsidP="00356859">
            <w:pPr>
              <w:pStyle w:val="TableText0"/>
              <w:jc w:val="center"/>
              <w:rPr>
                <w:szCs w:val="20"/>
                <w:highlight w:val="lightGray"/>
              </w:rPr>
            </w:pPr>
            <w:r w:rsidRPr="00860BB2">
              <w:rPr>
                <w:color w:val="000000"/>
                <w:spacing w:val="102"/>
                <w:szCs w:val="20"/>
                <w:shd w:val="solid" w:color="000000" w:fill="000000"/>
                <w:fitText w:val="188" w:id="-961901304"/>
                <w14:textFill>
                  <w14:solidFill>
                    <w14:srgbClr w14:val="000000">
                      <w14:alpha w14:val="100000"/>
                    </w14:srgbClr>
                  </w14:solidFill>
                </w14:textFill>
              </w:rPr>
              <w:t>|</w:t>
            </w:r>
            <w:r w:rsidRPr="00860BB2">
              <w:rPr>
                <w:color w:val="000000"/>
                <w:spacing w:val="1"/>
                <w:szCs w:val="20"/>
                <w:shd w:val="solid" w:color="000000" w:fill="000000"/>
                <w:fitText w:val="188" w:id="-961901304"/>
                <w14:textFill>
                  <w14:solidFill>
                    <w14:srgbClr w14:val="000000">
                      <w14:alpha w14:val="100000"/>
                    </w14:srgbClr>
                  </w14:solidFill>
                </w14:textFill>
              </w:rPr>
              <w:t>|</w:t>
            </w:r>
            <w:r w:rsidR="00892E82" w:rsidRPr="00E37473">
              <w:rPr>
                <w:rFonts w:eastAsia="Calibri"/>
                <w:szCs w:val="20"/>
                <w:vertAlign w:val="superscript"/>
              </w:rPr>
              <w:t>3</w:t>
            </w:r>
          </w:p>
        </w:tc>
        <w:tc>
          <w:tcPr>
            <w:tcW w:w="600" w:type="pct"/>
          </w:tcPr>
          <w:p w14:paraId="58E1CB7B" w14:textId="34494696" w:rsidR="00356859" w:rsidRPr="00AD5A27" w:rsidRDefault="00860BB2" w:rsidP="00356859">
            <w:pPr>
              <w:pStyle w:val="TableText0"/>
              <w:jc w:val="center"/>
              <w:rPr>
                <w:rFonts w:eastAsia="Calibri"/>
                <w:szCs w:val="20"/>
              </w:rPr>
            </w:pPr>
            <w:r w:rsidRPr="00860BB2">
              <w:rPr>
                <w:rFonts w:eastAsia="Calibri"/>
                <w:color w:val="000000"/>
                <w:spacing w:val="48"/>
                <w:szCs w:val="20"/>
                <w:shd w:val="solid" w:color="000000" w:fill="000000"/>
                <w:fitText w:val="225" w:id="-961901303"/>
                <w14:textFill>
                  <w14:solidFill>
                    <w14:srgbClr w14:val="000000">
                      <w14:alpha w14:val="100000"/>
                    </w14:srgbClr>
                  </w14:solidFill>
                </w14:textFill>
              </w:rPr>
              <w:t>||</w:t>
            </w:r>
            <w:r w:rsidRPr="00860BB2">
              <w:rPr>
                <w:rFonts w:eastAsia="Calibri"/>
                <w:color w:val="000000"/>
                <w:spacing w:val="2"/>
                <w:szCs w:val="20"/>
                <w:shd w:val="solid" w:color="000000" w:fill="000000"/>
                <w:fitText w:val="225" w:id="-961901303"/>
                <w14:textFill>
                  <w14:solidFill>
                    <w14:srgbClr w14:val="000000">
                      <w14:alpha w14:val="100000"/>
                    </w14:srgbClr>
                  </w14:solidFill>
                </w14:textFill>
              </w:rPr>
              <w:t>|</w:t>
            </w:r>
            <w:r w:rsidR="00356859" w:rsidRPr="00AD5A27">
              <w:rPr>
                <w:rFonts w:eastAsia="Calibri"/>
                <w:szCs w:val="20"/>
              </w:rPr>
              <w:t>%</w:t>
            </w:r>
          </w:p>
        </w:tc>
      </w:tr>
      <w:tr w:rsidR="00356859" w:rsidRPr="00AD5A27" w14:paraId="2BBFE8DC" w14:textId="77777777" w:rsidTr="002D4C2A">
        <w:trPr>
          <w:cantSplit/>
          <w:trHeight w:val="70"/>
        </w:trPr>
        <w:tc>
          <w:tcPr>
            <w:tcW w:w="155" w:type="pct"/>
          </w:tcPr>
          <w:p w14:paraId="7E32C071" w14:textId="77777777" w:rsidR="00356859" w:rsidRPr="00AD5A27" w:rsidRDefault="00356859" w:rsidP="00356859">
            <w:pPr>
              <w:pStyle w:val="TableText0"/>
            </w:pPr>
          </w:p>
        </w:tc>
        <w:tc>
          <w:tcPr>
            <w:tcW w:w="2200" w:type="pct"/>
          </w:tcPr>
          <w:p w14:paraId="7C0DBB3D" w14:textId="0B801ECD" w:rsidR="00356859" w:rsidRPr="00AD5A27" w:rsidRDefault="00356859" w:rsidP="00356859">
            <w:pPr>
              <w:pStyle w:val="TableText0"/>
              <w:rPr>
                <w:vertAlign w:val="superscript"/>
              </w:rPr>
            </w:pPr>
            <w:r w:rsidRPr="00AD5A27">
              <w:t>Link co-efficient 1:0.5</w:t>
            </w:r>
            <w:r w:rsidR="00366BAA" w:rsidRPr="00AD5A27">
              <w:rPr>
                <w:vertAlign w:val="superscript"/>
              </w:rPr>
              <w:t>d</w:t>
            </w:r>
          </w:p>
        </w:tc>
        <w:tc>
          <w:tcPr>
            <w:tcW w:w="708" w:type="pct"/>
            <w:tcBorders>
              <w:top w:val="single" w:sz="4" w:space="0" w:color="auto"/>
              <w:left w:val="single" w:sz="4" w:space="0" w:color="auto"/>
              <w:bottom w:val="single" w:sz="4" w:space="0" w:color="auto"/>
              <w:right w:val="single" w:sz="4" w:space="0" w:color="auto"/>
            </w:tcBorders>
            <w:shd w:val="clear" w:color="auto" w:fill="auto"/>
          </w:tcPr>
          <w:p w14:paraId="35D50DAB" w14:textId="3DF7AB0D" w:rsidR="00356859" w:rsidRPr="00AD5A27" w:rsidRDefault="00356859" w:rsidP="00356859">
            <w:pPr>
              <w:pStyle w:val="TableText0"/>
              <w:jc w:val="center"/>
              <w:rPr>
                <w:szCs w:val="20"/>
              </w:rPr>
            </w:pPr>
            <w:r w:rsidRPr="00AD5A27">
              <w:rPr>
                <w:szCs w:val="20"/>
              </w:rPr>
              <w:t>$</w:t>
            </w:r>
            <w:r w:rsidR="00860BB2" w:rsidRPr="00860BB2">
              <w:rPr>
                <w:rFonts w:hint="eastAsia"/>
                <w:color w:val="000000"/>
                <w:w w:val="15"/>
                <w:szCs w:val="20"/>
                <w:shd w:val="solid" w:color="000000" w:fill="000000"/>
                <w:fitText w:val="62" w:id="-961901302"/>
                <w14:textFill>
                  <w14:solidFill>
                    <w14:srgbClr w14:val="000000">
                      <w14:alpha w14:val="100000"/>
                    </w14:srgbClr>
                  </w14:solidFill>
                </w14:textFill>
              </w:rPr>
              <w:t xml:space="preserve">　</w:t>
            </w:r>
            <w:r w:rsidR="00860BB2" w:rsidRPr="00860BB2">
              <w:rPr>
                <w:color w:val="000000"/>
                <w:w w:val="15"/>
                <w:szCs w:val="20"/>
                <w:shd w:val="solid" w:color="000000" w:fill="000000"/>
                <w:fitText w:val="62" w:id="-961901302"/>
                <w14:textFill>
                  <w14:solidFill>
                    <w14:srgbClr w14:val="000000">
                      <w14:alpha w14:val="100000"/>
                    </w14:srgbClr>
                  </w14:solidFill>
                </w14:textFill>
              </w:rPr>
              <w:t>|</w:t>
            </w:r>
            <w:r w:rsidR="00860BB2" w:rsidRPr="00860BB2">
              <w:rPr>
                <w:rFonts w:hint="eastAsia"/>
                <w:color w:val="000000"/>
                <w:spacing w:val="-3"/>
                <w:w w:val="15"/>
                <w:szCs w:val="20"/>
                <w:shd w:val="solid" w:color="000000" w:fill="000000"/>
                <w:fitText w:val="62" w:id="-961901302"/>
                <w14:textFill>
                  <w14:solidFill>
                    <w14:srgbClr w14:val="000000">
                      <w14:alpha w14:val="100000"/>
                    </w14:srgbClr>
                  </w14:solidFill>
                </w14:textFill>
              </w:rPr>
              <w:t xml:space="preserve">　</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497A325C" w14:textId="1A223222" w:rsidR="00356859" w:rsidRPr="00AD5A27" w:rsidRDefault="00356859" w:rsidP="00356859">
            <w:pPr>
              <w:pStyle w:val="TableText0"/>
              <w:jc w:val="center"/>
              <w:rPr>
                <w:szCs w:val="20"/>
              </w:rPr>
            </w:pPr>
            <w:r w:rsidRPr="00AD5A27">
              <w:rPr>
                <w:szCs w:val="20"/>
              </w:rPr>
              <w:t>0.0890</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FEADA12" w14:textId="17BD9B0D" w:rsidR="00356859" w:rsidRPr="004815AB" w:rsidRDefault="00860BB2" w:rsidP="00356859">
            <w:pPr>
              <w:pStyle w:val="TableText0"/>
              <w:jc w:val="center"/>
              <w:rPr>
                <w:szCs w:val="20"/>
                <w:highlight w:val="lightGray"/>
              </w:rPr>
            </w:pPr>
            <w:r w:rsidRPr="00860BB2">
              <w:rPr>
                <w:color w:val="000000"/>
                <w:spacing w:val="102"/>
                <w:szCs w:val="20"/>
                <w:shd w:val="solid" w:color="000000" w:fill="000000"/>
                <w:fitText w:val="188" w:id="-961901301"/>
                <w14:textFill>
                  <w14:solidFill>
                    <w14:srgbClr w14:val="000000">
                      <w14:alpha w14:val="100000"/>
                    </w14:srgbClr>
                  </w14:solidFill>
                </w14:textFill>
              </w:rPr>
              <w:t>|</w:t>
            </w:r>
            <w:r w:rsidRPr="00860BB2">
              <w:rPr>
                <w:color w:val="000000"/>
                <w:spacing w:val="1"/>
                <w:szCs w:val="20"/>
                <w:shd w:val="solid" w:color="000000" w:fill="000000"/>
                <w:fitText w:val="188" w:id="-961901301"/>
                <w14:textFill>
                  <w14:solidFill>
                    <w14:srgbClr w14:val="000000">
                      <w14:alpha w14:val="100000"/>
                    </w14:srgbClr>
                  </w14:solidFill>
                </w14:textFill>
              </w:rPr>
              <w:t>|</w:t>
            </w:r>
            <w:r w:rsidR="001B356A" w:rsidRPr="001B356A">
              <w:rPr>
                <w:szCs w:val="20"/>
                <w:vertAlign w:val="superscript"/>
              </w:rPr>
              <w:t>9</w:t>
            </w:r>
          </w:p>
        </w:tc>
        <w:tc>
          <w:tcPr>
            <w:tcW w:w="600" w:type="pct"/>
          </w:tcPr>
          <w:p w14:paraId="1FBCDEE6" w14:textId="41AF45FC" w:rsidR="00356859" w:rsidRPr="00AD5A27" w:rsidRDefault="00860BB2" w:rsidP="00356859">
            <w:pPr>
              <w:pStyle w:val="TableText0"/>
              <w:jc w:val="center"/>
              <w:rPr>
                <w:rFonts w:eastAsia="Calibri"/>
                <w:szCs w:val="20"/>
              </w:rPr>
            </w:pPr>
            <w:r w:rsidRPr="00860BB2">
              <w:rPr>
                <w:rFonts w:eastAsia="Calibri"/>
                <w:color w:val="000000"/>
                <w:spacing w:val="102"/>
                <w:szCs w:val="20"/>
                <w:shd w:val="solid" w:color="000000" w:fill="000000"/>
                <w:fitText w:val="188" w:id="-961901300"/>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300"/>
                <w14:textFill>
                  <w14:solidFill>
                    <w14:srgbClr w14:val="000000">
                      <w14:alpha w14:val="100000"/>
                    </w14:srgbClr>
                  </w14:solidFill>
                </w14:textFill>
              </w:rPr>
              <w:t>|</w:t>
            </w:r>
            <w:r w:rsidR="00356859" w:rsidRPr="00AD5A27">
              <w:rPr>
                <w:rFonts w:eastAsia="Calibri"/>
                <w:szCs w:val="20"/>
              </w:rPr>
              <w:t>%</w:t>
            </w:r>
          </w:p>
        </w:tc>
      </w:tr>
      <w:tr w:rsidR="00BA2E83" w:rsidRPr="00AD5A27" w14:paraId="3037B609" w14:textId="77777777" w:rsidTr="002D4C2A">
        <w:trPr>
          <w:cantSplit/>
          <w:trHeight w:val="135"/>
        </w:trPr>
        <w:tc>
          <w:tcPr>
            <w:tcW w:w="155" w:type="pct"/>
          </w:tcPr>
          <w:p w14:paraId="65363495" w14:textId="77777777" w:rsidR="00BA2E83" w:rsidRPr="00AD5A27" w:rsidRDefault="00BA2E83" w:rsidP="00BA2E83">
            <w:pPr>
              <w:pStyle w:val="TableText0"/>
            </w:pPr>
          </w:p>
        </w:tc>
        <w:tc>
          <w:tcPr>
            <w:tcW w:w="4845" w:type="pct"/>
            <w:gridSpan w:val="5"/>
          </w:tcPr>
          <w:p w14:paraId="4D4020D0" w14:textId="72CCF11D" w:rsidR="00BA2E83" w:rsidRPr="00AD5A27" w:rsidRDefault="00BA2E83" w:rsidP="00BA2E83">
            <w:pPr>
              <w:pStyle w:val="TableText0"/>
              <w:rPr>
                <w:rFonts w:eastAsia="Calibri"/>
                <w:szCs w:val="20"/>
              </w:rPr>
            </w:pPr>
            <w:r w:rsidRPr="00AD5A27">
              <w:rPr>
                <w:b/>
                <w:bCs w:val="0"/>
                <w:szCs w:val="20"/>
              </w:rPr>
              <w:t>Maximum disease duration (</w:t>
            </w:r>
            <w:r w:rsidR="00160DB9">
              <w:rPr>
                <w:b/>
                <w:bCs w:val="0"/>
                <w:szCs w:val="20"/>
              </w:rPr>
              <w:t xml:space="preserve">BC = </w:t>
            </w:r>
            <w:r w:rsidRPr="00AD5A27">
              <w:rPr>
                <w:b/>
                <w:bCs w:val="0"/>
                <w:szCs w:val="20"/>
              </w:rPr>
              <w:t>5 years)</w:t>
            </w:r>
          </w:p>
        </w:tc>
      </w:tr>
      <w:tr w:rsidR="00BA2E83" w:rsidRPr="00AD5A27" w14:paraId="175DCEFA" w14:textId="77777777" w:rsidTr="002D4C2A">
        <w:trPr>
          <w:cantSplit/>
          <w:trHeight w:val="70"/>
        </w:trPr>
        <w:tc>
          <w:tcPr>
            <w:tcW w:w="155" w:type="pct"/>
          </w:tcPr>
          <w:p w14:paraId="4BBD17A6" w14:textId="2BA174D2" w:rsidR="00BA2E83" w:rsidRPr="00AD5A27" w:rsidRDefault="00B25FC6" w:rsidP="00BA2E83">
            <w:pPr>
              <w:pStyle w:val="TableText0"/>
            </w:pPr>
            <w:r>
              <w:t>F</w:t>
            </w:r>
          </w:p>
        </w:tc>
        <w:tc>
          <w:tcPr>
            <w:tcW w:w="2200" w:type="pct"/>
          </w:tcPr>
          <w:p w14:paraId="30410A48" w14:textId="4E13D464" w:rsidR="00BA2E83" w:rsidRPr="00AD5A27" w:rsidRDefault="00BA2E83" w:rsidP="00BA2E83">
            <w:pPr>
              <w:pStyle w:val="TableText0"/>
              <w:rPr>
                <w:vertAlign w:val="superscript"/>
              </w:rPr>
            </w:pPr>
            <w:r w:rsidRPr="00AD5A27">
              <w:rPr>
                <w:szCs w:val="20"/>
              </w:rPr>
              <w:t>No maximum (99 years)</w:t>
            </w:r>
            <w:r w:rsidR="001A6E58" w:rsidRPr="00AD5A27">
              <w:rPr>
                <w:szCs w:val="20"/>
                <w:vertAlign w:val="superscript"/>
              </w:rPr>
              <w:t>e</w:t>
            </w:r>
          </w:p>
        </w:tc>
        <w:tc>
          <w:tcPr>
            <w:tcW w:w="708" w:type="pct"/>
            <w:tcBorders>
              <w:top w:val="single" w:sz="4" w:space="0" w:color="auto"/>
              <w:left w:val="single" w:sz="4" w:space="0" w:color="auto"/>
              <w:bottom w:val="single" w:sz="4" w:space="0" w:color="auto"/>
              <w:right w:val="single" w:sz="4" w:space="0" w:color="auto"/>
            </w:tcBorders>
            <w:shd w:val="clear" w:color="auto" w:fill="auto"/>
          </w:tcPr>
          <w:p w14:paraId="4A3430DD" w14:textId="47F5822F" w:rsidR="00BA2E83" w:rsidRPr="00AD5A27" w:rsidRDefault="00BA2E83" w:rsidP="00BA2E83">
            <w:pPr>
              <w:pStyle w:val="TableText0"/>
              <w:jc w:val="center"/>
              <w:rPr>
                <w:szCs w:val="20"/>
              </w:rPr>
            </w:pPr>
            <w:r w:rsidRPr="00AD5A27">
              <w:rPr>
                <w:szCs w:val="20"/>
              </w:rPr>
              <w:t>$</w:t>
            </w:r>
            <w:r w:rsidR="00860BB2" w:rsidRPr="00860BB2">
              <w:rPr>
                <w:rFonts w:hint="eastAsia"/>
                <w:color w:val="000000"/>
                <w:w w:val="15"/>
                <w:szCs w:val="20"/>
                <w:shd w:val="solid" w:color="000000" w:fill="000000"/>
                <w:fitText w:val="62" w:id="-961901299"/>
                <w14:textFill>
                  <w14:solidFill>
                    <w14:srgbClr w14:val="000000">
                      <w14:alpha w14:val="100000"/>
                    </w14:srgbClr>
                  </w14:solidFill>
                </w14:textFill>
              </w:rPr>
              <w:t xml:space="preserve">　</w:t>
            </w:r>
            <w:r w:rsidR="00860BB2" w:rsidRPr="00860BB2">
              <w:rPr>
                <w:color w:val="000000"/>
                <w:w w:val="15"/>
                <w:szCs w:val="20"/>
                <w:shd w:val="solid" w:color="000000" w:fill="000000"/>
                <w:fitText w:val="62" w:id="-961901299"/>
                <w14:textFill>
                  <w14:solidFill>
                    <w14:srgbClr w14:val="000000">
                      <w14:alpha w14:val="100000"/>
                    </w14:srgbClr>
                  </w14:solidFill>
                </w14:textFill>
              </w:rPr>
              <w:t>|</w:t>
            </w:r>
            <w:r w:rsidR="00860BB2" w:rsidRPr="00860BB2">
              <w:rPr>
                <w:rFonts w:hint="eastAsia"/>
                <w:color w:val="000000"/>
                <w:spacing w:val="-3"/>
                <w:w w:val="15"/>
                <w:szCs w:val="20"/>
                <w:shd w:val="solid" w:color="000000" w:fill="000000"/>
                <w:fitText w:val="62" w:id="-961901299"/>
                <w14:textFill>
                  <w14:solidFill>
                    <w14:srgbClr w14:val="000000">
                      <w14:alpha w14:val="100000"/>
                    </w14:srgbClr>
                  </w14:solidFill>
                </w14:textFill>
              </w:rPr>
              <w:t xml:space="preserve">　</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4F437DC7" w14:textId="2D5F4AC4" w:rsidR="00BA2E83" w:rsidRPr="00AD5A27" w:rsidRDefault="00BA2E83" w:rsidP="00BA2E83">
            <w:pPr>
              <w:pStyle w:val="TableText0"/>
              <w:jc w:val="center"/>
              <w:rPr>
                <w:szCs w:val="20"/>
              </w:rPr>
            </w:pPr>
            <w:r w:rsidRPr="00AD5A27">
              <w:rPr>
                <w:szCs w:val="20"/>
              </w:rPr>
              <w:t>0.1831</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B3D1FEB" w14:textId="787F76F0" w:rsidR="00BA2E83" w:rsidRPr="004815AB" w:rsidRDefault="00860BB2" w:rsidP="00BA2E83">
            <w:pPr>
              <w:pStyle w:val="TableText0"/>
              <w:jc w:val="center"/>
              <w:rPr>
                <w:szCs w:val="20"/>
                <w:highlight w:val="lightGray"/>
              </w:rPr>
            </w:pPr>
            <w:r w:rsidRPr="00860BB2">
              <w:rPr>
                <w:color w:val="000000"/>
                <w:spacing w:val="102"/>
                <w:szCs w:val="20"/>
                <w:shd w:val="solid" w:color="000000" w:fill="000000"/>
                <w:fitText w:val="188" w:id="-961901298"/>
                <w14:textFill>
                  <w14:solidFill>
                    <w14:srgbClr w14:val="000000">
                      <w14:alpha w14:val="100000"/>
                    </w14:srgbClr>
                  </w14:solidFill>
                </w14:textFill>
              </w:rPr>
              <w:t>|</w:t>
            </w:r>
            <w:r w:rsidRPr="00860BB2">
              <w:rPr>
                <w:color w:val="000000"/>
                <w:spacing w:val="1"/>
                <w:szCs w:val="20"/>
                <w:shd w:val="solid" w:color="000000" w:fill="000000"/>
                <w:fitText w:val="188" w:id="-961901298"/>
                <w14:textFill>
                  <w14:solidFill>
                    <w14:srgbClr w14:val="000000">
                      <w14:alpha w14:val="100000"/>
                    </w14:srgbClr>
                  </w14:solidFill>
                </w14:textFill>
              </w:rPr>
              <w:t>|</w:t>
            </w:r>
            <w:r w:rsidR="00914A47" w:rsidRPr="00E37473">
              <w:rPr>
                <w:rFonts w:eastAsia="Calibri"/>
                <w:szCs w:val="20"/>
                <w:vertAlign w:val="superscript"/>
              </w:rPr>
              <w:t>3</w:t>
            </w:r>
          </w:p>
        </w:tc>
        <w:tc>
          <w:tcPr>
            <w:tcW w:w="600" w:type="pct"/>
          </w:tcPr>
          <w:p w14:paraId="22FE7867" w14:textId="63E6337B" w:rsidR="00BA2E83" w:rsidRPr="00AD5A27" w:rsidRDefault="00860BB2" w:rsidP="00BA2E83">
            <w:pPr>
              <w:pStyle w:val="TableText0"/>
              <w:jc w:val="center"/>
              <w:rPr>
                <w:rFonts w:eastAsia="Calibri"/>
                <w:szCs w:val="20"/>
              </w:rPr>
            </w:pPr>
            <w:r w:rsidRPr="00860BB2">
              <w:rPr>
                <w:rFonts w:eastAsia="Calibri"/>
                <w:color w:val="000000"/>
                <w:spacing w:val="102"/>
                <w:szCs w:val="20"/>
                <w:shd w:val="solid" w:color="000000" w:fill="000000"/>
                <w:fitText w:val="188" w:id="-961901297"/>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297"/>
                <w14:textFill>
                  <w14:solidFill>
                    <w14:srgbClr w14:val="000000">
                      <w14:alpha w14:val="100000"/>
                    </w14:srgbClr>
                  </w14:solidFill>
                </w14:textFill>
              </w:rPr>
              <w:t>|</w:t>
            </w:r>
            <w:r w:rsidR="00935F96" w:rsidRPr="00AD5A27">
              <w:rPr>
                <w:rFonts w:eastAsia="Calibri"/>
                <w:szCs w:val="20"/>
              </w:rPr>
              <w:t>%</w:t>
            </w:r>
          </w:p>
        </w:tc>
      </w:tr>
      <w:tr w:rsidR="00BA2E83" w:rsidRPr="00AD5A27" w14:paraId="3E67B017" w14:textId="77777777" w:rsidTr="002D4C2A">
        <w:trPr>
          <w:cantSplit/>
          <w:trHeight w:val="85"/>
        </w:trPr>
        <w:tc>
          <w:tcPr>
            <w:tcW w:w="155" w:type="pct"/>
          </w:tcPr>
          <w:p w14:paraId="0D76E8C4" w14:textId="77777777" w:rsidR="00BA2E83" w:rsidRPr="00AD5A27" w:rsidRDefault="00BA2E83" w:rsidP="00BA2E83">
            <w:pPr>
              <w:pStyle w:val="TableText0"/>
            </w:pPr>
          </w:p>
        </w:tc>
        <w:tc>
          <w:tcPr>
            <w:tcW w:w="2200" w:type="pct"/>
          </w:tcPr>
          <w:p w14:paraId="25CC5AAE" w14:textId="69C7ED46" w:rsidR="00BA2E83" w:rsidRPr="00AD5A27" w:rsidRDefault="00BA2E83" w:rsidP="00BA2E83">
            <w:pPr>
              <w:pStyle w:val="TableText0"/>
              <w:rPr>
                <w:vertAlign w:val="superscript"/>
              </w:rPr>
            </w:pPr>
            <w:r w:rsidRPr="00AD5A27">
              <w:rPr>
                <w:szCs w:val="20"/>
              </w:rPr>
              <w:t>10 years</w:t>
            </w:r>
            <w:r w:rsidR="001A6E58" w:rsidRPr="00AD5A27">
              <w:rPr>
                <w:szCs w:val="20"/>
                <w:vertAlign w:val="superscript"/>
              </w:rPr>
              <w:t>e</w:t>
            </w:r>
          </w:p>
        </w:tc>
        <w:tc>
          <w:tcPr>
            <w:tcW w:w="708" w:type="pct"/>
            <w:tcBorders>
              <w:top w:val="single" w:sz="4" w:space="0" w:color="auto"/>
              <w:left w:val="single" w:sz="4" w:space="0" w:color="auto"/>
              <w:bottom w:val="single" w:sz="4" w:space="0" w:color="auto"/>
              <w:right w:val="single" w:sz="4" w:space="0" w:color="auto"/>
            </w:tcBorders>
            <w:shd w:val="clear" w:color="auto" w:fill="auto"/>
          </w:tcPr>
          <w:p w14:paraId="2BBF96E2" w14:textId="27593C00" w:rsidR="00BA2E83" w:rsidRPr="00AD5A27" w:rsidRDefault="00BA2E83" w:rsidP="00BA2E83">
            <w:pPr>
              <w:pStyle w:val="TableText0"/>
              <w:jc w:val="center"/>
              <w:rPr>
                <w:szCs w:val="20"/>
              </w:rPr>
            </w:pPr>
            <w:r w:rsidRPr="00AD5A27">
              <w:rPr>
                <w:szCs w:val="20"/>
              </w:rPr>
              <w:t>$</w:t>
            </w:r>
            <w:r w:rsidR="00860BB2" w:rsidRPr="00860BB2">
              <w:rPr>
                <w:rFonts w:hint="eastAsia"/>
                <w:color w:val="000000"/>
                <w:w w:val="15"/>
                <w:szCs w:val="20"/>
                <w:shd w:val="solid" w:color="000000" w:fill="000000"/>
                <w:fitText w:val="62" w:id="-961901296"/>
                <w14:textFill>
                  <w14:solidFill>
                    <w14:srgbClr w14:val="000000">
                      <w14:alpha w14:val="100000"/>
                    </w14:srgbClr>
                  </w14:solidFill>
                </w14:textFill>
              </w:rPr>
              <w:t xml:space="preserve">　</w:t>
            </w:r>
            <w:r w:rsidR="00860BB2" w:rsidRPr="00860BB2">
              <w:rPr>
                <w:color w:val="000000"/>
                <w:w w:val="15"/>
                <w:szCs w:val="20"/>
                <w:shd w:val="solid" w:color="000000" w:fill="000000"/>
                <w:fitText w:val="62" w:id="-961901296"/>
                <w14:textFill>
                  <w14:solidFill>
                    <w14:srgbClr w14:val="000000">
                      <w14:alpha w14:val="100000"/>
                    </w14:srgbClr>
                  </w14:solidFill>
                </w14:textFill>
              </w:rPr>
              <w:t>|</w:t>
            </w:r>
            <w:r w:rsidR="00860BB2" w:rsidRPr="00860BB2">
              <w:rPr>
                <w:rFonts w:hint="eastAsia"/>
                <w:color w:val="000000"/>
                <w:spacing w:val="-3"/>
                <w:w w:val="15"/>
                <w:szCs w:val="20"/>
                <w:shd w:val="solid" w:color="000000" w:fill="000000"/>
                <w:fitText w:val="62" w:id="-961901296"/>
                <w14:textFill>
                  <w14:solidFill>
                    <w14:srgbClr w14:val="000000">
                      <w14:alpha w14:val="100000"/>
                    </w14:srgbClr>
                  </w14:solidFill>
                </w14:textFill>
              </w:rPr>
              <w:t xml:space="preserve">　</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700C357D" w14:textId="7DBAD4F0" w:rsidR="00BA2E83" w:rsidRPr="00AD5A27" w:rsidRDefault="00BA2E83" w:rsidP="00BA2E83">
            <w:pPr>
              <w:pStyle w:val="TableText0"/>
              <w:jc w:val="center"/>
              <w:rPr>
                <w:szCs w:val="20"/>
              </w:rPr>
            </w:pPr>
            <w:r w:rsidRPr="00AD5A27">
              <w:rPr>
                <w:szCs w:val="20"/>
              </w:rPr>
              <w:t>0.1903</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F6CF100" w14:textId="5A179F6C" w:rsidR="00BA2E83" w:rsidRPr="004815AB" w:rsidRDefault="00860BB2" w:rsidP="00BA2E83">
            <w:pPr>
              <w:pStyle w:val="TableText0"/>
              <w:jc w:val="center"/>
              <w:rPr>
                <w:szCs w:val="20"/>
                <w:highlight w:val="lightGray"/>
              </w:rPr>
            </w:pPr>
            <w:r w:rsidRPr="00860BB2">
              <w:rPr>
                <w:color w:val="000000"/>
                <w:spacing w:val="102"/>
                <w:szCs w:val="20"/>
                <w:shd w:val="solid" w:color="000000" w:fill="000000"/>
                <w:fitText w:val="188" w:id="-961901312"/>
                <w14:textFill>
                  <w14:solidFill>
                    <w14:srgbClr w14:val="000000">
                      <w14:alpha w14:val="100000"/>
                    </w14:srgbClr>
                  </w14:solidFill>
                </w14:textFill>
              </w:rPr>
              <w:t>|</w:t>
            </w:r>
            <w:r w:rsidRPr="00860BB2">
              <w:rPr>
                <w:color w:val="000000"/>
                <w:spacing w:val="1"/>
                <w:szCs w:val="20"/>
                <w:shd w:val="solid" w:color="000000" w:fill="000000"/>
                <w:fitText w:val="188" w:id="-961901312"/>
                <w14:textFill>
                  <w14:solidFill>
                    <w14:srgbClr w14:val="000000">
                      <w14:alpha w14:val="100000"/>
                    </w14:srgbClr>
                  </w14:solidFill>
                </w14:textFill>
              </w:rPr>
              <w:t>|</w:t>
            </w:r>
            <w:r w:rsidR="00914A47" w:rsidRPr="00E37473">
              <w:rPr>
                <w:rFonts w:eastAsia="Calibri"/>
                <w:szCs w:val="20"/>
                <w:vertAlign w:val="superscript"/>
              </w:rPr>
              <w:t>3</w:t>
            </w:r>
          </w:p>
        </w:tc>
        <w:tc>
          <w:tcPr>
            <w:tcW w:w="600" w:type="pct"/>
          </w:tcPr>
          <w:p w14:paraId="316658C1" w14:textId="0EF9018E" w:rsidR="00BA2E83" w:rsidRPr="00AD5A27" w:rsidRDefault="00860BB2" w:rsidP="00BA2E83">
            <w:pPr>
              <w:pStyle w:val="TableText0"/>
              <w:jc w:val="center"/>
              <w:rPr>
                <w:rFonts w:eastAsia="Calibri"/>
                <w:szCs w:val="20"/>
              </w:rPr>
            </w:pPr>
            <w:r w:rsidRPr="00860BB2">
              <w:rPr>
                <w:rFonts w:eastAsia="Calibri"/>
                <w:color w:val="000000"/>
                <w:spacing w:val="102"/>
                <w:szCs w:val="20"/>
                <w:shd w:val="solid" w:color="000000" w:fill="000000"/>
                <w:fitText w:val="188" w:id="-961901311"/>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311"/>
                <w14:textFill>
                  <w14:solidFill>
                    <w14:srgbClr w14:val="000000">
                      <w14:alpha w14:val="100000"/>
                    </w14:srgbClr>
                  </w14:solidFill>
                </w14:textFill>
              </w:rPr>
              <w:t>|</w:t>
            </w:r>
            <w:r w:rsidR="00E728FD" w:rsidRPr="00AD5A27">
              <w:rPr>
                <w:rFonts w:eastAsia="Calibri"/>
                <w:szCs w:val="20"/>
              </w:rPr>
              <w:t>%</w:t>
            </w:r>
          </w:p>
        </w:tc>
      </w:tr>
      <w:tr w:rsidR="00BA2E83" w:rsidRPr="00AD5A27" w14:paraId="394622B3" w14:textId="77777777" w:rsidTr="002D4C2A">
        <w:trPr>
          <w:cantSplit/>
          <w:trHeight w:val="70"/>
        </w:trPr>
        <w:tc>
          <w:tcPr>
            <w:tcW w:w="155" w:type="pct"/>
          </w:tcPr>
          <w:p w14:paraId="0EC8023B" w14:textId="77777777" w:rsidR="00BA2E83" w:rsidRPr="00AD5A27" w:rsidRDefault="00BA2E83" w:rsidP="00BA2E83">
            <w:pPr>
              <w:pStyle w:val="TableText0"/>
            </w:pPr>
          </w:p>
        </w:tc>
        <w:tc>
          <w:tcPr>
            <w:tcW w:w="2200" w:type="pct"/>
          </w:tcPr>
          <w:p w14:paraId="2A0A401E" w14:textId="35E67451" w:rsidR="00BA2E83" w:rsidRPr="00AD5A27" w:rsidRDefault="00BA2E83" w:rsidP="00BA2E83">
            <w:pPr>
              <w:pStyle w:val="TableText0"/>
              <w:rPr>
                <w:vertAlign w:val="superscript"/>
              </w:rPr>
            </w:pPr>
            <w:r w:rsidRPr="00AD5A27">
              <w:rPr>
                <w:szCs w:val="20"/>
              </w:rPr>
              <w:t>3 years</w:t>
            </w:r>
            <w:r w:rsidR="001A6E58" w:rsidRPr="00AD5A27">
              <w:rPr>
                <w:szCs w:val="20"/>
                <w:vertAlign w:val="superscript"/>
              </w:rPr>
              <w:t>e</w:t>
            </w:r>
          </w:p>
        </w:tc>
        <w:tc>
          <w:tcPr>
            <w:tcW w:w="708" w:type="pct"/>
            <w:tcBorders>
              <w:top w:val="single" w:sz="4" w:space="0" w:color="auto"/>
              <w:left w:val="single" w:sz="4" w:space="0" w:color="auto"/>
              <w:bottom w:val="single" w:sz="4" w:space="0" w:color="auto"/>
              <w:right w:val="single" w:sz="4" w:space="0" w:color="auto"/>
            </w:tcBorders>
            <w:shd w:val="clear" w:color="auto" w:fill="auto"/>
          </w:tcPr>
          <w:p w14:paraId="664A7897" w14:textId="52BCB304" w:rsidR="00BA2E83" w:rsidRPr="00AD5A27" w:rsidRDefault="00BA2E83" w:rsidP="00BA2E83">
            <w:pPr>
              <w:pStyle w:val="TableText0"/>
              <w:jc w:val="center"/>
              <w:rPr>
                <w:szCs w:val="20"/>
              </w:rPr>
            </w:pPr>
            <w:r w:rsidRPr="00AD5A27">
              <w:rPr>
                <w:szCs w:val="20"/>
              </w:rPr>
              <w:t>$</w:t>
            </w:r>
            <w:r w:rsidR="00860BB2" w:rsidRPr="00860BB2">
              <w:rPr>
                <w:rFonts w:hint="eastAsia"/>
                <w:color w:val="000000"/>
                <w:w w:val="15"/>
                <w:szCs w:val="20"/>
                <w:shd w:val="solid" w:color="000000" w:fill="000000"/>
                <w:fitText w:val="62" w:id="-961901310"/>
                <w14:textFill>
                  <w14:solidFill>
                    <w14:srgbClr w14:val="000000">
                      <w14:alpha w14:val="100000"/>
                    </w14:srgbClr>
                  </w14:solidFill>
                </w14:textFill>
              </w:rPr>
              <w:t xml:space="preserve">　</w:t>
            </w:r>
            <w:r w:rsidR="00860BB2" w:rsidRPr="00860BB2">
              <w:rPr>
                <w:color w:val="000000"/>
                <w:w w:val="15"/>
                <w:szCs w:val="20"/>
                <w:shd w:val="solid" w:color="000000" w:fill="000000"/>
                <w:fitText w:val="62" w:id="-961901310"/>
                <w14:textFill>
                  <w14:solidFill>
                    <w14:srgbClr w14:val="000000">
                      <w14:alpha w14:val="100000"/>
                    </w14:srgbClr>
                  </w14:solidFill>
                </w14:textFill>
              </w:rPr>
              <w:t>|</w:t>
            </w:r>
            <w:r w:rsidR="00860BB2" w:rsidRPr="00860BB2">
              <w:rPr>
                <w:rFonts w:hint="eastAsia"/>
                <w:color w:val="000000"/>
                <w:spacing w:val="-3"/>
                <w:w w:val="15"/>
                <w:szCs w:val="20"/>
                <w:shd w:val="solid" w:color="000000" w:fill="000000"/>
                <w:fitText w:val="62" w:id="-961901310"/>
                <w14:textFill>
                  <w14:solidFill>
                    <w14:srgbClr w14:val="000000">
                      <w14:alpha w14:val="100000"/>
                    </w14:srgbClr>
                  </w14:solidFill>
                </w14:textFill>
              </w:rPr>
              <w:t xml:space="preserve">　</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520133D0" w14:textId="38D2DC53" w:rsidR="00BA2E83" w:rsidRPr="00AD5A27" w:rsidRDefault="00BA2E83" w:rsidP="00BA2E83">
            <w:pPr>
              <w:pStyle w:val="TableText0"/>
              <w:jc w:val="center"/>
              <w:rPr>
                <w:szCs w:val="20"/>
              </w:rPr>
            </w:pPr>
            <w:r w:rsidRPr="00AD5A27">
              <w:rPr>
                <w:szCs w:val="20"/>
              </w:rPr>
              <w:t>0.2393</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32D8F2D" w14:textId="6D250375" w:rsidR="00BA2E83" w:rsidRPr="004815AB" w:rsidRDefault="00860BB2" w:rsidP="00BA2E83">
            <w:pPr>
              <w:pStyle w:val="TableText0"/>
              <w:jc w:val="center"/>
              <w:rPr>
                <w:szCs w:val="20"/>
                <w:highlight w:val="lightGray"/>
              </w:rPr>
            </w:pPr>
            <w:r w:rsidRPr="00860BB2">
              <w:rPr>
                <w:color w:val="000000"/>
                <w:spacing w:val="102"/>
                <w:szCs w:val="20"/>
                <w:shd w:val="solid" w:color="000000" w:fill="000000"/>
                <w:fitText w:val="188" w:id="-961901309"/>
                <w14:textFill>
                  <w14:solidFill>
                    <w14:srgbClr w14:val="000000">
                      <w14:alpha w14:val="100000"/>
                    </w14:srgbClr>
                  </w14:solidFill>
                </w14:textFill>
              </w:rPr>
              <w:t>|</w:t>
            </w:r>
            <w:r w:rsidRPr="00860BB2">
              <w:rPr>
                <w:color w:val="000000"/>
                <w:spacing w:val="1"/>
                <w:szCs w:val="20"/>
                <w:shd w:val="solid" w:color="000000" w:fill="000000"/>
                <w:fitText w:val="188" w:id="-961901309"/>
                <w14:textFill>
                  <w14:solidFill>
                    <w14:srgbClr w14:val="000000">
                      <w14:alpha w14:val="100000"/>
                    </w14:srgbClr>
                  </w14:solidFill>
                </w14:textFill>
              </w:rPr>
              <w:t>|</w:t>
            </w:r>
            <w:r w:rsidR="00892E82" w:rsidRPr="00892E82">
              <w:rPr>
                <w:szCs w:val="20"/>
                <w:vertAlign w:val="superscript"/>
              </w:rPr>
              <w:t>7</w:t>
            </w:r>
          </w:p>
        </w:tc>
        <w:tc>
          <w:tcPr>
            <w:tcW w:w="600" w:type="pct"/>
          </w:tcPr>
          <w:p w14:paraId="55DA784E" w14:textId="074D12D4" w:rsidR="00BA2E83" w:rsidRPr="00AD5A27" w:rsidRDefault="00D46646" w:rsidP="00BA2E83">
            <w:pPr>
              <w:pStyle w:val="TableText0"/>
              <w:jc w:val="center"/>
              <w:rPr>
                <w:rFonts w:eastAsia="Calibri"/>
                <w:szCs w:val="20"/>
              </w:rPr>
            </w:pPr>
            <w:r w:rsidRPr="00AD5A27">
              <w:rPr>
                <w:rFonts w:eastAsia="Calibri"/>
                <w:szCs w:val="20"/>
              </w:rPr>
              <w:t>-</w:t>
            </w:r>
            <w:r w:rsidR="00860BB2" w:rsidRPr="00860BB2">
              <w:rPr>
                <w:rFonts w:eastAsia="Calibri"/>
                <w:color w:val="000000"/>
                <w:spacing w:val="42"/>
                <w:szCs w:val="20"/>
                <w:shd w:val="solid" w:color="000000" w:fill="000000"/>
                <w:fitText w:val="213" w:id="-961901308"/>
                <w14:textFill>
                  <w14:solidFill>
                    <w14:srgbClr w14:val="000000">
                      <w14:alpha w14:val="100000"/>
                    </w14:srgbClr>
                  </w14:solidFill>
                </w14:textFill>
              </w:rPr>
              <w:t>||</w:t>
            </w:r>
            <w:r w:rsidR="00860BB2" w:rsidRPr="00860BB2">
              <w:rPr>
                <w:rFonts w:eastAsia="Calibri"/>
                <w:color w:val="000000"/>
                <w:spacing w:val="2"/>
                <w:szCs w:val="20"/>
                <w:shd w:val="solid" w:color="000000" w:fill="000000"/>
                <w:fitText w:val="213" w:id="-961901308"/>
                <w14:textFill>
                  <w14:solidFill>
                    <w14:srgbClr w14:val="000000">
                      <w14:alpha w14:val="100000"/>
                    </w14:srgbClr>
                  </w14:solidFill>
                </w14:textFill>
              </w:rPr>
              <w:t>|</w:t>
            </w:r>
            <w:r w:rsidRPr="00AD5A27">
              <w:rPr>
                <w:rFonts w:eastAsia="Calibri"/>
                <w:szCs w:val="20"/>
              </w:rPr>
              <w:t>%</w:t>
            </w:r>
          </w:p>
        </w:tc>
      </w:tr>
      <w:tr w:rsidR="002A66BB" w:rsidRPr="00AD5A27" w14:paraId="562C4B81" w14:textId="77777777" w:rsidTr="002D4C2A">
        <w:trPr>
          <w:cantSplit/>
          <w:trHeight w:val="70"/>
        </w:trPr>
        <w:tc>
          <w:tcPr>
            <w:tcW w:w="155" w:type="pct"/>
          </w:tcPr>
          <w:p w14:paraId="18F23894" w14:textId="77777777" w:rsidR="002A66BB" w:rsidRPr="00AD5A27" w:rsidRDefault="002A66BB">
            <w:pPr>
              <w:pStyle w:val="TableText0"/>
            </w:pPr>
          </w:p>
        </w:tc>
        <w:tc>
          <w:tcPr>
            <w:tcW w:w="4845" w:type="pct"/>
            <w:gridSpan w:val="5"/>
          </w:tcPr>
          <w:p w14:paraId="1F713C8A" w14:textId="424E2190" w:rsidR="002A66BB" w:rsidRPr="00AD5A27" w:rsidRDefault="002A66BB" w:rsidP="002A7943">
            <w:pPr>
              <w:pStyle w:val="TableText0"/>
              <w:rPr>
                <w:rFonts w:eastAsia="Calibri"/>
                <w:b/>
                <w:bCs w:val="0"/>
                <w:szCs w:val="20"/>
              </w:rPr>
            </w:pPr>
            <w:r w:rsidRPr="00AD5A27">
              <w:rPr>
                <w:b/>
                <w:bCs w:val="0"/>
              </w:rPr>
              <w:t>Discount rate (</w:t>
            </w:r>
            <w:r w:rsidR="00160DB9">
              <w:rPr>
                <w:b/>
                <w:bCs w:val="0"/>
              </w:rPr>
              <w:t>BC</w:t>
            </w:r>
            <w:r w:rsidRPr="00AD5A27">
              <w:rPr>
                <w:b/>
                <w:bCs w:val="0"/>
              </w:rPr>
              <w:t xml:space="preserve"> </w:t>
            </w:r>
            <w:r w:rsidR="00160DB9">
              <w:rPr>
                <w:b/>
                <w:bCs w:val="0"/>
              </w:rPr>
              <w:t xml:space="preserve">= </w:t>
            </w:r>
            <w:r w:rsidRPr="00AD5A27">
              <w:rPr>
                <w:b/>
                <w:bCs w:val="0"/>
              </w:rPr>
              <w:t>5%</w:t>
            </w:r>
            <w:r w:rsidR="00160DB9">
              <w:rPr>
                <w:b/>
                <w:bCs w:val="0"/>
              </w:rPr>
              <w:t xml:space="preserve"> per annum</w:t>
            </w:r>
            <w:r w:rsidRPr="00AD5A27">
              <w:rPr>
                <w:b/>
                <w:bCs w:val="0"/>
              </w:rPr>
              <w:t>)</w:t>
            </w:r>
          </w:p>
        </w:tc>
      </w:tr>
      <w:tr w:rsidR="002A66BB" w:rsidRPr="00AD5A27" w14:paraId="55119385" w14:textId="77777777" w:rsidTr="002D4C2A">
        <w:trPr>
          <w:cantSplit/>
          <w:trHeight w:val="70"/>
        </w:trPr>
        <w:tc>
          <w:tcPr>
            <w:tcW w:w="155" w:type="pct"/>
          </w:tcPr>
          <w:p w14:paraId="7C5977BD" w14:textId="77777777" w:rsidR="002A66BB" w:rsidRPr="00AD5A27" w:rsidRDefault="002A66BB">
            <w:pPr>
              <w:pStyle w:val="TableText0"/>
            </w:pPr>
          </w:p>
        </w:tc>
        <w:tc>
          <w:tcPr>
            <w:tcW w:w="2200" w:type="pct"/>
          </w:tcPr>
          <w:p w14:paraId="0F5392BC" w14:textId="77777777" w:rsidR="002A66BB" w:rsidRPr="00AD5A27" w:rsidRDefault="002A66BB" w:rsidP="002A7943">
            <w:pPr>
              <w:pStyle w:val="TableText0"/>
            </w:pPr>
            <w:r w:rsidRPr="00AD5A27">
              <w:t>0%</w:t>
            </w:r>
          </w:p>
        </w:tc>
        <w:tc>
          <w:tcPr>
            <w:tcW w:w="708" w:type="pct"/>
          </w:tcPr>
          <w:p w14:paraId="1431008E" w14:textId="51FF56D1" w:rsidR="002A66BB" w:rsidRPr="00AD5A27" w:rsidRDefault="00EA4950" w:rsidP="002A7943">
            <w:pPr>
              <w:pStyle w:val="TableText0"/>
              <w:jc w:val="center"/>
              <w:rPr>
                <w:rFonts w:eastAsia="Calibri"/>
                <w:szCs w:val="20"/>
              </w:rPr>
            </w:pPr>
            <w:r>
              <w:rPr>
                <w:rFonts w:eastAsia="Calibri"/>
                <w:szCs w:val="20"/>
              </w:rPr>
              <w:t>-</w:t>
            </w:r>
            <w:r w:rsidR="002A66BB" w:rsidRPr="00AD5A27">
              <w:rPr>
                <w:rFonts w:eastAsia="Calibri"/>
                <w:szCs w:val="20"/>
              </w:rPr>
              <w:t>$</w:t>
            </w:r>
            <w:r w:rsidR="00860BB2" w:rsidRPr="00860BB2">
              <w:rPr>
                <w:rFonts w:eastAsia="Calibri" w:hint="eastAsia"/>
                <w:color w:val="000000"/>
                <w:w w:val="22"/>
                <w:szCs w:val="20"/>
                <w:shd w:val="solid" w:color="000000" w:fill="000000"/>
                <w:fitText w:val="100" w:id="-961901307"/>
                <w14:textFill>
                  <w14:solidFill>
                    <w14:srgbClr w14:val="000000">
                      <w14:alpha w14:val="100000"/>
                    </w14:srgbClr>
                  </w14:solidFill>
                </w14:textFill>
              </w:rPr>
              <w:t xml:space="preserve">　</w:t>
            </w:r>
            <w:r w:rsidR="00860BB2" w:rsidRPr="00860BB2">
              <w:rPr>
                <w:rFonts w:eastAsia="Calibri"/>
                <w:color w:val="000000"/>
                <w:w w:val="22"/>
                <w:szCs w:val="20"/>
                <w:shd w:val="solid" w:color="000000" w:fill="000000"/>
                <w:fitText w:val="100" w:id="-961901307"/>
                <w14:textFill>
                  <w14:solidFill>
                    <w14:srgbClr w14:val="000000">
                      <w14:alpha w14:val="100000"/>
                    </w14:srgbClr>
                  </w14:solidFill>
                </w14:textFill>
              </w:rPr>
              <w:t>|</w:t>
            </w:r>
            <w:r w:rsidR="00860BB2" w:rsidRPr="00860BB2">
              <w:rPr>
                <w:rFonts w:eastAsia="Calibri" w:hint="eastAsia"/>
                <w:color w:val="000000"/>
                <w:spacing w:val="3"/>
                <w:w w:val="22"/>
                <w:szCs w:val="20"/>
                <w:shd w:val="solid" w:color="000000" w:fill="000000"/>
                <w:fitText w:val="100" w:id="-961901307"/>
                <w14:textFill>
                  <w14:solidFill>
                    <w14:srgbClr w14:val="000000">
                      <w14:alpha w14:val="100000"/>
                    </w14:srgbClr>
                  </w14:solidFill>
                </w14:textFill>
              </w:rPr>
              <w:t xml:space="preserve">　</w:t>
            </w:r>
          </w:p>
        </w:tc>
        <w:tc>
          <w:tcPr>
            <w:tcW w:w="786" w:type="pct"/>
          </w:tcPr>
          <w:p w14:paraId="36EEFB4A" w14:textId="77777777" w:rsidR="002A66BB" w:rsidRPr="00AD5A27" w:rsidRDefault="002A66BB" w:rsidP="002A7943">
            <w:pPr>
              <w:pStyle w:val="TableText0"/>
              <w:jc w:val="center"/>
              <w:rPr>
                <w:rFonts w:eastAsia="Calibri"/>
                <w:szCs w:val="20"/>
              </w:rPr>
            </w:pPr>
            <w:r w:rsidRPr="00AD5A27">
              <w:rPr>
                <w:rFonts w:eastAsia="Calibri"/>
                <w:szCs w:val="20"/>
              </w:rPr>
              <w:t>0.5493</w:t>
            </w:r>
          </w:p>
        </w:tc>
        <w:tc>
          <w:tcPr>
            <w:tcW w:w="551" w:type="pct"/>
          </w:tcPr>
          <w:p w14:paraId="092B061A" w14:textId="77777777" w:rsidR="002A66BB" w:rsidRPr="00AD5A27" w:rsidRDefault="002A66BB" w:rsidP="002A7943">
            <w:pPr>
              <w:pStyle w:val="TableText0"/>
              <w:jc w:val="center"/>
              <w:rPr>
                <w:rFonts w:eastAsia="Calibri"/>
                <w:szCs w:val="20"/>
              </w:rPr>
            </w:pPr>
            <w:r w:rsidRPr="00AD5A27">
              <w:rPr>
                <w:rFonts w:eastAsia="Calibri"/>
                <w:szCs w:val="20"/>
              </w:rPr>
              <w:t>Dominant</w:t>
            </w:r>
          </w:p>
        </w:tc>
        <w:tc>
          <w:tcPr>
            <w:tcW w:w="600" w:type="pct"/>
          </w:tcPr>
          <w:p w14:paraId="5295BA1C" w14:textId="77777777" w:rsidR="002A66BB" w:rsidRPr="00AD5A27" w:rsidRDefault="002A66BB" w:rsidP="002A7943">
            <w:pPr>
              <w:pStyle w:val="TableText0"/>
              <w:jc w:val="center"/>
              <w:rPr>
                <w:rFonts w:eastAsia="Calibri"/>
                <w:szCs w:val="20"/>
              </w:rPr>
            </w:pPr>
            <w:r w:rsidRPr="00AD5A27">
              <w:rPr>
                <w:rFonts w:eastAsia="Calibri"/>
                <w:szCs w:val="20"/>
              </w:rPr>
              <w:t>−</w:t>
            </w:r>
          </w:p>
        </w:tc>
      </w:tr>
      <w:tr w:rsidR="002A66BB" w:rsidRPr="00AD5A27" w14:paraId="34127F6B" w14:textId="77777777" w:rsidTr="002D4C2A">
        <w:trPr>
          <w:cantSplit/>
          <w:trHeight w:val="70"/>
        </w:trPr>
        <w:tc>
          <w:tcPr>
            <w:tcW w:w="155" w:type="pct"/>
          </w:tcPr>
          <w:p w14:paraId="1E553CDF" w14:textId="77777777" w:rsidR="002A66BB" w:rsidRPr="00AD5A27" w:rsidRDefault="002A66BB">
            <w:pPr>
              <w:pStyle w:val="TableText0"/>
            </w:pPr>
          </w:p>
        </w:tc>
        <w:tc>
          <w:tcPr>
            <w:tcW w:w="2200" w:type="pct"/>
          </w:tcPr>
          <w:p w14:paraId="470CEB89" w14:textId="77777777" w:rsidR="002A66BB" w:rsidRPr="00AD5A27" w:rsidRDefault="002A66BB" w:rsidP="002A7943">
            <w:pPr>
              <w:pStyle w:val="TableText0"/>
            </w:pPr>
            <w:r w:rsidRPr="00AD5A27">
              <w:t>3.5%</w:t>
            </w:r>
          </w:p>
        </w:tc>
        <w:tc>
          <w:tcPr>
            <w:tcW w:w="708" w:type="pct"/>
          </w:tcPr>
          <w:p w14:paraId="55B4CD45" w14:textId="553B79F2" w:rsidR="002A66BB" w:rsidRPr="00AD5A27" w:rsidRDefault="002A66BB" w:rsidP="002A7943">
            <w:pPr>
              <w:pStyle w:val="TableText0"/>
              <w:jc w:val="center"/>
              <w:rPr>
                <w:rFonts w:eastAsia="Calibri"/>
                <w:szCs w:val="20"/>
              </w:rPr>
            </w:pPr>
            <w:r w:rsidRPr="00AD5A27">
              <w:rPr>
                <w:rFonts w:eastAsia="Calibri"/>
                <w:szCs w:val="20"/>
              </w:rPr>
              <w:t>$</w:t>
            </w:r>
            <w:r w:rsidR="00860BB2" w:rsidRPr="00860BB2">
              <w:rPr>
                <w:rFonts w:eastAsia="Calibri" w:hint="eastAsia"/>
                <w:color w:val="000000"/>
                <w:w w:val="15"/>
                <w:szCs w:val="20"/>
                <w:shd w:val="solid" w:color="000000" w:fill="000000"/>
                <w:fitText w:val="62" w:id="-961901306"/>
                <w14:textFill>
                  <w14:solidFill>
                    <w14:srgbClr w14:val="000000">
                      <w14:alpha w14:val="100000"/>
                    </w14:srgbClr>
                  </w14:solidFill>
                </w14:textFill>
              </w:rPr>
              <w:t xml:space="preserve">　</w:t>
            </w:r>
            <w:r w:rsidR="00860BB2" w:rsidRPr="00860BB2">
              <w:rPr>
                <w:rFonts w:eastAsia="Calibri"/>
                <w:color w:val="000000"/>
                <w:w w:val="15"/>
                <w:szCs w:val="20"/>
                <w:shd w:val="solid" w:color="000000" w:fill="000000"/>
                <w:fitText w:val="62" w:id="-961901306"/>
                <w14:textFill>
                  <w14:solidFill>
                    <w14:srgbClr w14:val="000000">
                      <w14:alpha w14:val="100000"/>
                    </w14:srgbClr>
                  </w14:solidFill>
                </w14:textFill>
              </w:rPr>
              <w:t>|</w:t>
            </w:r>
            <w:r w:rsidR="00860BB2" w:rsidRPr="00860BB2">
              <w:rPr>
                <w:rFonts w:eastAsia="Calibri" w:hint="eastAsia"/>
                <w:color w:val="000000"/>
                <w:spacing w:val="-3"/>
                <w:w w:val="15"/>
                <w:szCs w:val="20"/>
                <w:shd w:val="solid" w:color="000000" w:fill="000000"/>
                <w:fitText w:val="62" w:id="-961901306"/>
                <w14:textFill>
                  <w14:solidFill>
                    <w14:srgbClr w14:val="000000">
                      <w14:alpha w14:val="100000"/>
                    </w14:srgbClr>
                  </w14:solidFill>
                </w14:textFill>
              </w:rPr>
              <w:t xml:space="preserve">　</w:t>
            </w:r>
          </w:p>
        </w:tc>
        <w:tc>
          <w:tcPr>
            <w:tcW w:w="786" w:type="pct"/>
          </w:tcPr>
          <w:p w14:paraId="1433BC7E" w14:textId="77777777" w:rsidR="002A66BB" w:rsidRPr="00AD5A27" w:rsidRDefault="002A66BB" w:rsidP="002A7943">
            <w:pPr>
              <w:pStyle w:val="TableText0"/>
              <w:jc w:val="center"/>
              <w:rPr>
                <w:rFonts w:eastAsia="Calibri"/>
                <w:szCs w:val="20"/>
              </w:rPr>
            </w:pPr>
            <w:r w:rsidRPr="00AD5A27">
              <w:rPr>
                <w:rFonts w:eastAsia="Calibri"/>
                <w:szCs w:val="20"/>
              </w:rPr>
              <w:t>0.2831</w:t>
            </w:r>
          </w:p>
        </w:tc>
        <w:tc>
          <w:tcPr>
            <w:tcW w:w="551" w:type="pct"/>
          </w:tcPr>
          <w:p w14:paraId="1FD2DAE2" w14:textId="69837614" w:rsidR="002A66BB" w:rsidRPr="00AD5A27" w:rsidRDefault="00860BB2" w:rsidP="002A7943">
            <w:pPr>
              <w:pStyle w:val="TableText0"/>
              <w:jc w:val="center"/>
              <w:rPr>
                <w:rFonts w:eastAsia="Calibri"/>
                <w:szCs w:val="20"/>
              </w:rPr>
            </w:pPr>
            <w:r w:rsidRPr="00860BB2">
              <w:rPr>
                <w:rFonts w:eastAsia="Calibri"/>
                <w:color w:val="000000"/>
                <w:spacing w:val="102"/>
                <w:szCs w:val="20"/>
                <w:shd w:val="solid" w:color="000000" w:fill="000000"/>
                <w:fitText w:val="188" w:id="-961901305"/>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305"/>
                <w14:textFill>
                  <w14:solidFill>
                    <w14:srgbClr w14:val="000000">
                      <w14:alpha w14:val="100000"/>
                    </w14:srgbClr>
                  </w14:solidFill>
                </w14:textFill>
              </w:rPr>
              <w:t>|</w:t>
            </w:r>
            <w:r w:rsidR="00892E82" w:rsidRPr="00892E82">
              <w:rPr>
                <w:szCs w:val="20"/>
                <w:vertAlign w:val="superscript"/>
              </w:rPr>
              <w:t>7</w:t>
            </w:r>
          </w:p>
        </w:tc>
        <w:tc>
          <w:tcPr>
            <w:tcW w:w="600" w:type="pct"/>
          </w:tcPr>
          <w:p w14:paraId="7723D0E9" w14:textId="66442F96" w:rsidR="002A66BB" w:rsidRPr="00AD5A27" w:rsidRDefault="002476F3" w:rsidP="002A7943">
            <w:pPr>
              <w:pStyle w:val="TableText0"/>
              <w:jc w:val="center"/>
              <w:rPr>
                <w:rFonts w:eastAsia="Calibri"/>
                <w:szCs w:val="20"/>
              </w:rPr>
            </w:pPr>
            <w:r w:rsidRPr="00AD5A27">
              <w:rPr>
                <w:rFonts w:eastAsia="Calibri"/>
                <w:szCs w:val="20"/>
              </w:rPr>
              <w:t>-</w:t>
            </w:r>
            <w:r w:rsidR="00860BB2" w:rsidRPr="00860BB2">
              <w:rPr>
                <w:rFonts w:eastAsia="Calibri"/>
                <w:color w:val="000000"/>
                <w:spacing w:val="42"/>
                <w:szCs w:val="20"/>
                <w:shd w:val="solid" w:color="000000" w:fill="000000"/>
                <w:fitText w:val="213" w:id="-961901304"/>
                <w14:textFill>
                  <w14:solidFill>
                    <w14:srgbClr w14:val="000000">
                      <w14:alpha w14:val="100000"/>
                    </w14:srgbClr>
                  </w14:solidFill>
                </w14:textFill>
              </w:rPr>
              <w:t>||</w:t>
            </w:r>
            <w:r w:rsidR="00860BB2" w:rsidRPr="00860BB2">
              <w:rPr>
                <w:rFonts w:eastAsia="Calibri"/>
                <w:color w:val="000000"/>
                <w:spacing w:val="2"/>
                <w:szCs w:val="20"/>
                <w:shd w:val="solid" w:color="000000" w:fill="000000"/>
                <w:fitText w:val="213" w:id="-961901304"/>
                <w14:textFill>
                  <w14:solidFill>
                    <w14:srgbClr w14:val="000000">
                      <w14:alpha w14:val="100000"/>
                    </w14:srgbClr>
                  </w14:solidFill>
                </w14:textFill>
              </w:rPr>
              <w:t>|</w:t>
            </w:r>
            <w:r w:rsidR="002A66BB" w:rsidRPr="00AD5A27">
              <w:rPr>
                <w:rFonts w:eastAsia="Calibri"/>
                <w:szCs w:val="20"/>
              </w:rPr>
              <w:t>%</w:t>
            </w:r>
          </w:p>
        </w:tc>
      </w:tr>
      <w:tr w:rsidR="00F74BA9" w:rsidRPr="00AD5A27" w14:paraId="7241C51F" w14:textId="77777777" w:rsidTr="00F74BA9">
        <w:trPr>
          <w:cantSplit/>
          <w:trHeight w:val="70"/>
        </w:trPr>
        <w:tc>
          <w:tcPr>
            <w:tcW w:w="155" w:type="pct"/>
          </w:tcPr>
          <w:p w14:paraId="1EBBC8BF" w14:textId="651FC023" w:rsidR="00F74BA9" w:rsidRPr="00AD5A27" w:rsidRDefault="00F74BA9" w:rsidP="00F629DE">
            <w:pPr>
              <w:pStyle w:val="TableText0"/>
            </w:pPr>
          </w:p>
        </w:tc>
        <w:tc>
          <w:tcPr>
            <w:tcW w:w="4845" w:type="pct"/>
            <w:gridSpan w:val="5"/>
          </w:tcPr>
          <w:p w14:paraId="209E4174" w14:textId="0060DBF7" w:rsidR="00F74BA9" w:rsidRPr="00AD5A27" w:rsidRDefault="00F74BA9" w:rsidP="00F74BA9">
            <w:pPr>
              <w:pStyle w:val="TableText0"/>
              <w:rPr>
                <w:rFonts w:eastAsia="Calibri"/>
                <w:szCs w:val="20"/>
              </w:rPr>
            </w:pPr>
            <w:r w:rsidRPr="00AD5A27">
              <w:rPr>
                <w:b/>
                <w:bCs w:val="0"/>
              </w:rPr>
              <w:t xml:space="preserve">Adalimumab DPMQ (BC </w:t>
            </w:r>
            <w:r w:rsidR="00160DB9">
              <w:rPr>
                <w:b/>
                <w:bCs w:val="0"/>
              </w:rPr>
              <w:t xml:space="preserve">= </w:t>
            </w:r>
            <w:r w:rsidRPr="00AD5A27">
              <w:rPr>
                <w:b/>
                <w:bCs w:val="0"/>
              </w:rPr>
              <w:t>$</w:t>
            </w:r>
            <w:r w:rsidR="00860BB2" w:rsidRPr="00860BB2">
              <w:rPr>
                <w:b/>
                <w:bCs w:val="0"/>
                <w:color w:val="000000"/>
                <w:spacing w:val="55"/>
                <w:shd w:val="solid" w:color="000000" w:fill="000000"/>
                <w:fitText w:val="351" w:id="-961901303"/>
                <w14:textFill>
                  <w14:solidFill>
                    <w14:srgbClr w14:val="000000">
                      <w14:alpha w14:val="100000"/>
                    </w14:srgbClr>
                  </w14:solidFill>
                </w14:textFill>
              </w:rPr>
              <w:t>|||</w:t>
            </w:r>
            <w:r w:rsidR="00860BB2" w:rsidRPr="00860BB2">
              <w:rPr>
                <w:b/>
                <w:bCs w:val="0"/>
                <w:color w:val="000000"/>
                <w:spacing w:val="3"/>
                <w:shd w:val="solid" w:color="000000" w:fill="000000"/>
                <w:fitText w:val="351" w:id="-961901303"/>
                <w14:textFill>
                  <w14:solidFill>
                    <w14:srgbClr w14:val="000000">
                      <w14:alpha w14:val="100000"/>
                    </w14:srgbClr>
                  </w14:solidFill>
                </w14:textFill>
              </w:rPr>
              <w:t>|</w:t>
            </w:r>
            <w:r w:rsidRPr="00AD5A27">
              <w:rPr>
                <w:b/>
                <w:bCs w:val="0"/>
              </w:rPr>
              <w:t>)</w:t>
            </w:r>
          </w:p>
        </w:tc>
      </w:tr>
      <w:tr w:rsidR="00F629DE" w:rsidRPr="00AD5A27" w14:paraId="790CEF84" w14:textId="77777777" w:rsidTr="002D4C2A">
        <w:trPr>
          <w:cantSplit/>
          <w:trHeight w:val="70"/>
        </w:trPr>
        <w:tc>
          <w:tcPr>
            <w:tcW w:w="155" w:type="pct"/>
          </w:tcPr>
          <w:p w14:paraId="75B57BB9" w14:textId="09D71E34" w:rsidR="00F629DE" w:rsidRPr="00AD5A27" w:rsidRDefault="00B25FC6" w:rsidP="00F629DE">
            <w:pPr>
              <w:pStyle w:val="TableText0"/>
            </w:pPr>
            <w:r>
              <w:t>G</w:t>
            </w:r>
          </w:p>
        </w:tc>
        <w:tc>
          <w:tcPr>
            <w:tcW w:w="2200" w:type="pct"/>
          </w:tcPr>
          <w:p w14:paraId="4E58506F" w14:textId="0BA5D00D" w:rsidR="00F629DE" w:rsidRPr="00AD5A27" w:rsidRDefault="00F629DE" w:rsidP="00F629DE">
            <w:pPr>
              <w:pStyle w:val="TableText0"/>
            </w:pPr>
            <w:r w:rsidRPr="00AD5A27">
              <w:t>$</w:t>
            </w:r>
            <w:r w:rsidRPr="00DC6641">
              <w:t>676.79</w:t>
            </w:r>
            <w:r w:rsidRPr="00AD5A27">
              <w:t xml:space="preserve"> </w:t>
            </w:r>
            <w:r w:rsidR="00EA630A" w:rsidRPr="00AD5A27">
              <w:t>(requested DPMQ)</w:t>
            </w:r>
          </w:p>
        </w:tc>
        <w:tc>
          <w:tcPr>
            <w:tcW w:w="708" w:type="pct"/>
            <w:vAlign w:val="center"/>
          </w:tcPr>
          <w:p w14:paraId="2D127F47" w14:textId="489C131D" w:rsidR="00F629DE" w:rsidRPr="00AD5A27" w:rsidRDefault="00F629DE" w:rsidP="00F629DE">
            <w:pPr>
              <w:pStyle w:val="TableText0"/>
              <w:jc w:val="center"/>
              <w:rPr>
                <w:rFonts w:eastAsia="Calibri"/>
                <w:szCs w:val="20"/>
              </w:rPr>
            </w:pPr>
            <w:r w:rsidRPr="00AD5A27">
              <w:rPr>
                <w:rFonts w:eastAsia="Calibri"/>
                <w:szCs w:val="20"/>
              </w:rPr>
              <w:t>$</w:t>
            </w:r>
            <w:r w:rsidR="00860BB2" w:rsidRPr="00860BB2">
              <w:rPr>
                <w:rFonts w:eastAsia="Calibri" w:hint="eastAsia"/>
                <w:color w:val="000000"/>
                <w:w w:val="15"/>
                <w:szCs w:val="20"/>
                <w:shd w:val="solid" w:color="000000" w:fill="000000"/>
                <w:fitText w:val="62" w:id="-961901302"/>
                <w14:textFill>
                  <w14:solidFill>
                    <w14:srgbClr w14:val="000000">
                      <w14:alpha w14:val="100000"/>
                    </w14:srgbClr>
                  </w14:solidFill>
                </w14:textFill>
              </w:rPr>
              <w:t xml:space="preserve">　</w:t>
            </w:r>
            <w:r w:rsidR="00860BB2" w:rsidRPr="00860BB2">
              <w:rPr>
                <w:rFonts w:eastAsia="Calibri"/>
                <w:color w:val="000000"/>
                <w:w w:val="15"/>
                <w:szCs w:val="20"/>
                <w:shd w:val="solid" w:color="000000" w:fill="000000"/>
                <w:fitText w:val="62" w:id="-961901302"/>
                <w14:textFill>
                  <w14:solidFill>
                    <w14:srgbClr w14:val="000000">
                      <w14:alpha w14:val="100000"/>
                    </w14:srgbClr>
                  </w14:solidFill>
                </w14:textFill>
              </w:rPr>
              <w:t>|</w:t>
            </w:r>
            <w:r w:rsidR="00860BB2" w:rsidRPr="00860BB2">
              <w:rPr>
                <w:rFonts w:eastAsia="Calibri" w:hint="eastAsia"/>
                <w:color w:val="000000"/>
                <w:spacing w:val="-3"/>
                <w:w w:val="15"/>
                <w:szCs w:val="20"/>
                <w:shd w:val="solid" w:color="000000" w:fill="000000"/>
                <w:fitText w:val="62" w:id="-961901302"/>
                <w14:textFill>
                  <w14:solidFill>
                    <w14:srgbClr w14:val="000000">
                      <w14:alpha w14:val="100000"/>
                    </w14:srgbClr>
                  </w14:solidFill>
                </w14:textFill>
              </w:rPr>
              <w:t xml:space="preserve">　</w:t>
            </w:r>
          </w:p>
        </w:tc>
        <w:tc>
          <w:tcPr>
            <w:tcW w:w="786" w:type="pct"/>
            <w:vAlign w:val="center"/>
          </w:tcPr>
          <w:p w14:paraId="39A98F2D" w14:textId="01571C23" w:rsidR="00F629DE" w:rsidRPr="00AD5A27" w:rsidRDefault="00F629DE" w:rsidP="00F629DE">
            <w:pPr>
              <w:pStyle w:val="TableText0"/>
              <w:jc w:val="center"/>
              <w:rPr>
                <w:rFonts w:eastAsia="Calibri"/>
                <w:szCs w:val="20"/>
              </w:rPr>
            </w:pPr>
            <w:r w:rsidRPr="00AD5A27">
              <w:rPr>
                <w:rFonts w:eastAsia="Calibri"/>
                <w:szCs w:val="20"/>
              </w:rPr>
              <w:t>0.2268</w:t>
            </w:r>
          </w:p>
        </w:tc>
        <w:tc>
          <w:tcPr>
            <w:tcW w:w="551" w:type="pct"/>
            <w:vAlign w:val="center"/>
          </w:tcPr>
          <w:p w14:paraId="38E676A8" w14:textId="770C5007" w:rsidR="00F629DE" w:rsidRPr="004815AB" w:rsidRDefault="00860BB2" w:rsidP="00A905E7">
            <w:pPr>
              <w:pStyle w:val="TableText0"/>
              <w:jc w:val="center"/>
              <w:rPr>
                <w:rFonts w:eastAsia="Calibri"/>
                <w:szCs w:val="20"/>
                <w:highlight w:val="lightGray"/>
              </w:rPr>
            </w:pPr>
            <w:r w:rsidRPr="00860BB2">
              <w:rPr>
                <w:rFonts w:eastAsia="Calibri"/>
                <w:color w:val="000000"/>
                <w:spacing w:val="102"/>
                <w:szCs w:val="20"/>
                <w:shd w:val="solid" w:color="000000" w:fill="000000"/>
                <w:fitText w:val="188" w:id="-961901301"/>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301"/>
                <w14:textFill>
                  <w14:solidFill>
                    <w14:srgbClr w14:val="000000">
                      <w14:alpha w14:val="100000"/>
                    </w14:srgbClr>
                  </w14:solidFill>
                </w14:textFill>
              </w:rPr>
              <w:t>|</w:t>
            </w:r>
            <w:r w:rsidR="00892E82" w:rsidRPr="00892E82">
              <w:rPr>
                <w:szCs w:val="20"/>
                <w:vertAlign w:val="superscript"/>
              </w:rPr>
              <w:t>8</w:t>
            </w:r>
          </w:p>
        </w:tc>
        <w:tc>
          <w:tcPr>
            <w:tcW w:w="600" w:type="pct"/>
            <w:vAlign w:val="center"/>
          </w:tcPr>
          <w:p w14:paraId="7C62E58B" w14:textId="7B344D48" w:rsidR="00F629DE" w:rsidRPr="00AD5A27" w:rsidRDefault="00860BB2" w:rsidP="00A905E7">
            <w:pPr>
              <w:pStyle w:val="TableText0"/>
              <w:jc w:val="center"/>
              <w:rPr>
                <w:rFonts w:eastAsia="Calibri"/>
                <w:szCs w:val="20"/>
              </w:rPr>
            </w:pPr>
            <w:r w:rsidRPr="00860BB2">
              <w:rPr>
                <w:rFonts w:eastAsia="Calibri"/>
                <w:color w:val="000000"/>
                <w:spacing w:val="102"/>
                <w:szCs w:val="20"/>
                <w:shd w:val="solid" w:color="000000" w:fill="000000"/>
                <w:fitText w:val="188" w:id="-961901300"/>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300"/>
                <w14:textFill>
                  <w14:solidFill>
                    <w14:srgbClr w14:val="000000">
                      <w14:alpha w14:val="100000"/>
                    </w14:srgbClr>
                  </w14:solidFill>
                </w14:textFill>
              </w:rPr>
              <w:t>|</w:t>
            </w:r>
            <w:r w:rsidR="00A905E7" w:rsidRPr="00AD5A27">
              <w:rPr>
                <w:rFonts w:eastAsia="Calibri"/>
                <w:szCs w:val="20"/>
              </w:rPr>
              <w:t>%</w:t>
            </w:r>
          </w:p>
        </w:tc>
      </w:tr>
      <w:tr w:rsidR="0017292B" w:rsidRPr="00AD5A27" w14:paraId="5AF9C217" w14:textId="77777777" w:rsidTr="002D4C2A">
        <w:trPr>
          <w:cantSplit/>
          <w:trHeight w:val="70"/>
        </w:trPr>
        <w:tc>
          <w:tcPr>
            <w:tcW w:w="155" w:type="pct"/>
          </w:tcPr>
          <w:p w14:paraId="6FCC69D7" w14:textId="6BFF1CC8" w:rsidR="0017292B" w:rsidRPr="00AD5A27" w:rsidRDefault="00B25FC6" w:rsidP="00F629DE">
            <w:pPr>
              <w:pStyle w:val="TableText0"/>
            </w:pPr>
            <w:r>
              <w:t>H</w:t>
            </w:r>
          </w:p>
        </w:tc>
        <w:tc>
          <w:tcPr>
            <w:tcW w:w="2200" w:type="pct"/>
          </w:tcPr>
          <w:p w14:paraId="10053D51" w14:textId="7B0731AA" w:rsidR="0017292B" w:rsidRPr="00AD5A27" w:rsidRDefault="0017292B" w:rsidP="00F629DE">
            <w:pPr>
              <w:pStyle w:val="TableText0"/>
              <w:rPr>
                <w:vertAlign w:val="superscript"/>
              </w:rPr>
            </w:pPr>
            <w:r w:rsidRPr="00AD5A27">
              <w:t>$579.19 ($505.95 AEMP)</w:t>
            </w:r>
            <w:r w:rsidR="00AF25F2" w:rsidRPr="00AD5A27">
              <w:rPr>
                <w:vertAlign w:val="superscript"/>
              </w:rPr>
              <w:t>f</w:t>
            </w:r>
          </w:p>
        </w:tc>
        <w:tc>
          <w:tcPr>
            <w:tcW w:w="708" w:type="pct"/>
            <w:vAlign w:val="center"/>
          </w:tcPr>
          <w:p w14:paraId="340E0898" w14:textId="655C81F4" w:rsidR="0017292B" w:rsidRPr="00AD5A27" w:rsidRDefault="00AF25F2" w:rsidP="00F629DE">
            <w:pPr>
              <w:pStyle w:val="TableText0"/>
              <w:jc w:val="center"/>
              <w:rPr>
                <w:rFonts w:eastAsia="Calibri"/>
                <w:szCs w:val="20"/>
              </w:rPr>
            </w:pPr>
            <w:r w:rsidRPr="00AD5A27">
              <w:rPr>
                <w:rFonts w:eastAsia="Calibri"/>
                <w:szCs w:val="20"/>
              </w:rPr>
              <w:t>$</w:t>
            </w:r>
            <w:r w:rsidR="00860BB2" w:rsidRPr="00860BB2">
              <w:rPr>
                <w:rFonts w:eastAsia="Calibri" w:hint="eastAsia"/>
                <w:color w:val="000000"/>
                <w:w w:val="15"/>
                <w:szCs w:val="20"/>
                <w:shd w:val="solid" w:color="000000" w:fill="000000"/>
                <w:fitText w:val="62" w:id="-961901299"/>
                <w14:textFill>
                  <w14:solidFill>
                    <w14:srgbClr w14:val="000000">
                      <w14:alpha w14:val="100000"/>
                    </w14:srgbClr>
                  </w14:solidFill>
                </w14:textFill>
              </w:rPr>
              <w:t xml:space="preserve">　</w:t>
            </w:r>
            <w:r w:rsidR="00860BB2" w:rsidRPr="00860BB2">
              <w:rPr>
                <w:rFonts w:eastAsia="Calibri"/>
                <w:color w:val="000000"/>
                <w:w w:val="15"/>
                <w:szCs w:val="20"/>
                <w:shd w:val="solid" w:color="000000" w:fill="000000"/>
                <w:fitText w:val="62" w:id="-961901299"/>
                <w14:textFill>
                  <w14:solidFill>
                    <w14:srgbClr w14:val="000000">
                      <w14:alpha w14:val="100000"/>
                    </w14:srgbClr>
                  </w14:solidFill>
                </w14:textFill>
              </w:rPr>
              <w:t>|</w:t>
            </w:r>
            <w:r w:rsidR="00860BB2" w:rsidRPr="00860BB2">
              <w:rPr>
                <w:rFonts w:eastAsia="Calibri" w:hint="eastAsia"/>
                <w:color w:val="000000"/>
                <w:spacing w:val="-3"/>
                <w:w w:val="15"/>
                <w:szCs w:val="20"/>
                <w:shd w:val="solid" w:color="000000" w:fill="000000"/>
                <w:fitText w:val="62" w:id="-961901299"/>
                <w14:textFill>
                  <w14:solidFill>
                    <w14:srgbClr w14:val="000000">
                      <w14:alpha w14:val="100000"/>
                    </w14:srgbClr>
                  </w14:solidFill>
                </w14:textFill>
              </w:rPr>
              <w:t xml:space="preserve">　</w:t>
            </w:r>
          </w:p>
        </w:tc>
        <w:tc>
          <w:tcPr>
            <w:tcW w:w="786" w:type="pct"/>
            <w:vAlign w:val="center"/>
          </w:tcPr>
          <w:p w14:paraId="196C8397" w14:textId="194F22FB" w:rsidR="0017292B" w:rsidRPr="00AD5A27" w:rsidRDefault="00AF25F2" w:rsidP="00F629DE">
            <w:pPr>
              <w:pStyle w:val="TableText0"/>
              <w:jc w:val="center"/>
              <w:rPr>
                <w:rFonts w:eastAsia="Calibri"/>
                <w:szCs w:val="20"/>
              </w:rPr>
            </w:pPr>
            <w:r w:rsidRPr="00AD5A27">
              <w:rPr>
                <w:rFonts w:eastAsia="Calibri"/>
                <w:szCs w:val="20"/>
              </w:rPr>
              <w:t>0.2268</w:t>
            </w:r>
          </w:p>
        </w:tc>
        <w:tc>
          <w:tcPr>
            <w:tcW w:w="551" w:type="pct"/>
            <w:vAlign w:val="center"/>
          </w:tcPr>
          <w:p w14:paraId="7300FF8F" w14:textId="6770FFA7" w:rsidR="0017292B" w:rsidRPr="004815AB" w:rsidRDefault="00860BB2" w:rsidP="00A905E7">
            <w:pPr>
              <w:pStyle w:val="TableText0"/>
              <w:jc w:val="center"/>
              <w:rPr>
                <w:rFonts w:eastAsia="Calibri"/>
                <w:szCs w:val="20"/>
                <w:highlight w:val="lightGray"/>
              </w:rPr>
            </w:pPr>
            <w:r w:rsidRPr="00860BB2">
              <w:rPr>
                <w:rFonts w:eastAsia="Calibri"/>
                <w:color w:val="000000"/>
                <w:spacing w:val="102"/>
                <w:szCs w:val="20"/>
                <w:shd w:val="solid" w:color="000000" w:fill="000000"/>
                <w:fitText w:val="188" w:id="-961901298"/>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298"/>
                <w14:textFill>
                  <w14:solidFill>
                    <w14:srgbClr w14:val="000000">
                      <w14:alpha w14:val="100000"/>
                    </w14:srgbClr>
                  </w14:solidFill>
                </w14:textFill>
              </w:rPr>
              <w:t>|</w:t>
            </w:r>
            <w:r w:rsidR="00E37473" w:rsidRPr="00E37473">
              <w:rPr>
                <w:rFonts w:eastAsia="Calibri"/>
                <w:b/>
                <w:szCs w:val="20"/>
                <w:vertAlign w:val="superscript"/>
              </w:rPr>
              <w:t>1</w:t>
            </w:r>
          </w:p>
        </w:tc>
        <w:tc>
          <w:tcPr>
            <w:tcW w:w="600" w:type="pct"/>
            <w:vAlign w:val="center"/>
          </w:tcPr>
          <w:p w14:paraId="08590AA3" w14:textId="293AE712" w:rsidR="0017292B" w:rsidRPr="00AD5A27" w:rsidRDefault="00860BB2" w:rsidP="00A905E7">
            <w:pPr>
              <w:pStyle w:val="TableText0"/>
              <w:jc w:val="center"/>
              <w:rPr>
                <w:rFonts w:eastAsia="Calibri"/>
                <w:szCs w:val="20"/>
              </w:rPr>
            </w:pPr>
            <w:r w:rsidRPr="00860BB2">
              <w:rPr>
                <w:rFonts w:eastAsia="Calibri"/>
                <w:color w:val="000000"/>
                <w:spacing w:val="102"/>
                <w:szCs w:val="20"/>
                <w:shd w:val="solid" w:color="000000" w:fill="000000"/>
                <w:fitText w:val="188" w:id="-961901297"/>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297"/>
                <w14:textFill>
                  <w14:solidFill>
                    <w14:srgbClr w14:val="000000">
                      <w14:alpha w14:val="100000"/>
                    </w14:srgbClr>
                  </w14:solidFill>
                </w14:textFill>
              </w:rPr>
              <w:t>|</w:t>
            </w:r>
            <w:r w:rsidR="00CD71CE" w:rsidRPr="00AD5A27">
              <w:rPr>
                <w:rFonts w:eastAsia="Calibri"/>
                <w:szCs w:val="20"/>
              </w:rPr>
              <w:t>%</w:t>
            </w:r>
          </w:p>
        </w:tc>
      </w:tr>
      <w:tr w:rsidR="002A66BB" w:rsidRPr="00AD5A27" w14:paraId="655138CD" w14:textId="77777777" w:rsidTr="002D4C2A">
        <w:trPr>
          <w:cantSplit/>
          <w:trHeight w:val="203"/>
        </w:trPr>
        <w:tc>
          <w:tcPr>
            <w:tcW w:w="155" w:type="pct"/>
            <w:tcBorders>
              <w:right w:val="nil"/>
            </w:tcBorders>
          </w:tcPr>
          <w:p w14:paraId="44AF009D" w14:textId="77777777" w:rsidR="002A66BB" w:rsidRPr="00AD5A27" w:rsidRDefault="002A66BB">
            <w:pPr>
              <w:pStyle w:val="TableText0"/>
              <w:rPr>
                <w:b/>
                <w:bCs w:val="0"/>
              </w:rPr>
            </w:pPr>
            <w:bookmarkStart w:id="67" w:name="_Hlk152216084"/>
          </w:p>
        </w:tc>
        <w:tc>
          <w:tcPr>
            <w:tcW w:w="2200" w:type="pct"/>
            <w:tcBorders>
              <w:left w:val="nil"/>
              <w:right w:val="nil"/>
            </w:tcBorders>
          </w:tcPr>
          <w:p w14:paraId="08B77196" w14:textId="4DA10C97" w:rsidR="002A66BB" w:rsidRPr="00AD5A27" w:rsidRDefault="002A66BB">
            <w:pPr>
              <w:pStyle w:val="TableText0"/>
              <w:rPr>
                <w:b/>
                <w:bCs w:val="0"/>
              </w:rPr>
            </w:pPr>
            <w:r w:rsidRPr="00AD5A27">
              <w:rPr>
                <w:b/>
                <w:bCs w:val="0"/>
              </w:rPr>
              <w:t>Multivariate sensitivity analyses</w:t>
            </w:r>
            <w:r w:rsidR="00C47499">
              <w:rPr>
                <w:b/>
                <w:bCs w:val="0"/>
              </w:rPr>
              <w:t xml:space="preserve"> (exploratory)</w:t>
            </w:r>
          </w:p>
        </w:tc>
        <w:tc>
          <w:tcPr>
            <w:tcW w:w="708" w:type="pct"/>
            <w:tcBorders>
              <w:left w:val="nil"/>
              <w:right w:val="nil"/>
            </w:tcBorders>
          </w:tcPr>
          <w:p w14:paraId="008D4636" w14:textId="77777777" w:rsidR="002A66BB" w:rsidRPr="00AD5A27" w:rsidRDefault="002A66BB">
            <w:pPr>
              <w:pStyle w:val="TableText0"/>
              <w:jc w:val="center"/>
              <w:rPr>
                <w:rFonts w:eastAsia="Calibri"/>
                <w:b/>
                <w:bCs w:val="0"/>
                <w:szCs w:val="20"/>
              </w:rPr>
            </w:pPr>
          </w:p>
        </w:tc>
        <w:tc>
          <w:tcPr>
            <w:tcW w:w="786" w:type="pct"/>
            <w:tcBorders>
              <w:left w:val="nil"/>
              <w:right w:val="nil"/>
            </w:tcBorders>
          </w:tcPr>
          <w:p w14:paraId="46CB3A5E" w14:textId="77777777" w:rsidR="002A66BB" w:rsidRPr="00AD5A27" w:rsidRDefault="002A66BB">
            <w:pPr>
              <w:pStyle w:val="TableText0"/>
              <w:jc w:val="center"/>
              <w:rPr>
                <w:rFonts w:eastAsia="Calibri"/>
                <w:b/>
                <w:bCs w:val="0"/>
                <w:szCs w:val="20"/>
              </w:rPr>
            </w:pPr>
          </w:p>
        </w:tc>
        <w:tc>
          <w:tcPr>
            <w:tcW w:w="551" w:type="pct"/>
            <w:tcBorders>
              <w:left w:val="nil"/>
              <w:right w:val="nil"/>
            </w:tcBorders>
          </w:tcPr>
          <w:p w14:paraId="7D8AFD31" w14:textId="77777777" w:rsidR="002A66BB" w:rsidRPr="00AD5A27" w:rsidRDefault="002A66BB">
            <w:pPr>
              <w:pStyle w:val="TableText0"/>
              <w:jc w:val="center"/>
              <w:rPr>
                <w:rFonts w:eastAsia="Calibri"/>
                <w:b/>
                <w:bCs w:val="0"/>
                <w:szCs w:val="20"/>
              </w:rPr>
            </w:pPr>
          </w:p>
        </w:tc>
        <w:tc>
          <w:tcPr>
            <w:tcW w:w="600" w:type="pct"/>
            <w:tcBorders>
              <w:left w:val="nil"/>
            </w:tcBorders>
          </w:tcPr>
          <w:p w14:paraId="58202C52" w14:textId="77777777" w:rsidR="002A66BB" w:rsidRPr="00AD5A27" w:rsidRDefault="002A66BB">
            <w:pPr>
              <w:pStyle w:val="TableText0"/>
              <w:jc w:val="center"/>
              <w:rPr>
                <w:rFonts w:eastAsia="Calibri"/>
                <w:b/>
                <w:bCs w:val="0"/>
                <w:szCs w:val="20"/>
              </w:rPr>
            </w:pPr>
          </w:p>
        </w:tc>
      </w:tr>
      <w:tr w:rsidR="002A66BB" w:rsidRPr="00AD5A27" w14:paraId="570E4225" w14:textId="77777777" w:rsidTr="002D4C2A">
        <w:trPr>
          <w:cantSplit/>
          <w:trHeight w:val="70"/>
        </w:trPr>
        <w:tc>
          <w:tcPr>
            <w:tcW w:w="155" w:type="pct"/>
          </w:tcPr>
          <w:p w14:paraId="77FD09B4" w14:textId="77777777" w:rsidR="002A66BB" w:rsidRPr="00AD5A27" w:rsidRDefault="002A66BB">
            <w:pPr>
              <w:pStyle w:val="TableText0"/>
            </w:pPr>
          </w:p>
        </w:tc>
        <w:tc>
          <w:tcPr>
            <w:tcW w:w="2200" w:type="pct"/>
          </w:tcPr>
          <w:p w14:paraId="416A3A8C" w14:textId="0513A529" w:rsidR="002A66BB" w:rsidRPr="00AD5A27" w:rsidRDefault="002A66BB">
            <w:pPr>
              <w:pStyle w:val="TableText0"/>
              <w:rPr>
                <w:vertAlign w:val="superscript"/>
              </w:rPr>
            </w:pPr>
            <w:r w:rsidRPr="00AD5A27">
              <w:t xml:space="preserve">A and </w:t>
            </w:r>
            <w:r w:rsidR="00B25FC6">
              <w:t>C</w:t>
            </w:r>
          </w:p>
        </w:tc>
        <w:tc>
          <w:tcPr>
            <w:tcW w:w="708" w:type="pct"/>
          </w:tcPr>
          <w:p w14:paraId="2354E5F4" w14:textId="5FB2B7FA" w:rsidR="002A66BB" w:rsidRPr="00AD5A27" w:rsidRDefault="002A66BB">
            <w:pPr>
              <w:pStyle w:val="TableText0"/>
              <w:jc w:val="center"/>
              <w:rPr>
                <w:rFonts w:eastAsia="Calibri"/>
                <w:szCs w:val="20"/>
              </w:rPr>
            </w:pPr>
            <w:r w:rsidRPr="00AD5A27">
              <w:rPr>
                <w:rFonts w:eastAsia="Calibri"/>
                <w:szCs w:val="20"/>
              </w:rPr>
              <w:t>$</w:t>
            </w:r>
            <w:r w:rsidR="00860BB2" w:rsidRPr="00860BB2">
              <w:rPr>
                <w:rFonts w:eastAsia="Calibri" w:hint="eastAsia"/>
                <w:color w:val="000000"/>
                <w:w w:val="15"/>
                <w:szCs w:val="20"/>
                <w:shd w:val="solid" w:color="000000" w:fill="000000"/>
                <w:fitText w:val="62" w:id="-961901296"/>
                <w14:textFill>
                  <w14:solidFill>
                    <w14:srgbClr w14:val="000000">
                      <w14:alpha w14:val="100000"/>
                    </w14:srgbClr>
                  </w14:solidFill>
                </w14:textFill>
              </w:rPr>
              <w:t xml:space="preserve">　</w:t>
            </w:r>
            <w:r w:rsidR="00860BB2" w:rsidRPr="00860BB2">
              <w:rPr>
                <w:rFonts w:eastAsia="Calibri"/>
                <w:color w:val="000000"/>
                <w:w w:val="15"/>
                <w:szCs w:val="20"/>
                <w:shd w:val="solid" w:color="000000" w:fill="000000"/>
                <w:fitText w:val="62" w:id="-961901296"/>
                <w14:textFill>
                  <w14:solidFill>
                    <w14:srgbClr w14:val="000000">
                      <w14:alpha w14:val="100000"/>
                    </w14:srgbClr>
                  </w14:solidFill>
                </w14:textFill>
              </w:rPr>
              <w:t>|</w:t>
            </w:r>
            <w:r w:rsidR="00860BB2" w:rsidRPr="00860BB2">
              <w:rPr>
                <w:rFonts w:eastAsia="Calibri" w:hint="eastAsia"/>
                <w:color w:val="000000"/>
                <w:spacing w:val="-3"/>
                <w:w w:val="15"/>
                <w:szCs w:val="20"/>
                <w:shd w:val="solid" w:color="000000" w:fill="000000"/>
                <w:fitText w:val="62" w:id="-961901296"/>
                <w14:textFill>
                  <w14:solidFill>
                    <w14:srgbClr w14:val="000000">
                      <w14:alpha w14:val="100000"/>
                    </w14:srgbClr>
                  </w14:solidFill>
                </w14:textFill>
              </w:rPr>
              <w:t xml:space="preserve">　</w:t>
            </w:r>
          </w:p>
        </w:tc>
        <w:tc>
          <w:tcPr>
            <w:tcW w:w="786" w:type="pct"/>
          </w:tcPr>
          <w:p w14:paraId="0B0673FF" w14:textId="77777777" w:rsidR="002A66BB" w:rsidRPr="00AD5A27" w:rsidRDefault="002A66BB">
            <w:pPr>
              <w:pStyle w:val="TableText0"/>
              <w:jc w:val="center"/>
              <w:rPr>
                <w:rFonts w:eastAsia="Calibri"/>
                <w:szCs w:val="20"/>
              </w:rPr>
            </w:pPr>
            <w:r w:rsidRPr="00AD5A27">
              <w:rPr>
                <w:rFonts w:eastAsia="Calibri"/>
                <w:szCs w:val="20"/>
              </w:rPr>
              <w:t>0.0963</w:t>
            </w:r>
          </w:p>
        </w:tc>
        <w:tc>
          <w:tcPr>
            <w:tcW w:w="551" w:type="pct"/>
          </w:tcPr>
          <w:p w14:paraId="119CB383" w14:textId="6CE9E794" w:rsidR="002A66BB" w:rsidRPr="004815AB" w:rsidRDefault="00860BB2">
            <w:pPr>
              <w:pStyle w:val="TableText0"/>
              <w:jc w:val="center"/>
              <w:rPr>
                <w:rFonts w:eastAsia="Calibri"/>
                <w:szCs w:val="20"/>
                <w:highlight w:val="lightGray"/>
              </w:rPr>
            </w:pPr>
            <w:r w:rsidRPr="00860BB2">
              <w:rPr>
                <w:rFonts w:eastAsia="Calibri"/>
                <w:color w:val="000000"/>
                <w:spacing w:val="42"/>
                <w:szCs w:val="20"/>
                <w:shd w:val="solid" w:color="000000" w:fill="000000"/>
                <w:fitText w:val="213" w:id="-961901312"/>
                <w14:textFill>
                  <w14:solidFill>
                    <w14:srgbClr w14:val="000000">
                      <w14:alpha w14:val="100000"/>
                    </w14:srgbClr>
                  </w14:solidFill>
                </w14:textFill>
              </w:rPr>
              <w:t>||</w:t>
            </w:r>
            <w:r w:rsidRPr="00860BB2">
              <w:rPr>
                <w:rFonts w:eastAsia="Calibri"/>
                <w:color w:val="000000"/>
                <w:spacing w:val="2"/>
                <w:szCs w:val="20"/>
                <w:shd w:val="solid" w:color="000000" w:fill="000000"/>
                <w:fitText w:val="213" w:id="-961901312"/>
                <w14:textFill>
                  <w14:solidFill>
                    <w14:srgbClr w14:val="000000">
                      <w14:alpha w14:val="100000"/>
                    </w14:srgbClr>
                  </w14:solidFill>
                </w14:textFill>
              </w:rPr>
              <w:t>|</w:t>
            </w:r>
            <w:r w:rsidR="001B356A">
              <w:rPr>
                <w:rFonts w:eastAsia="Calibri"/>
                <w:szCs w:val="20"/>
                <w:vertAlign w:val="superscript"/>
              </w:rPr>
              <w:t>10</w:t>
            </w:r>
          </w:p>
        </w:tc>
        <w:tc>
          <w:tcPr>
            <w:tcW w:w="600" w:type="pct"/>
          </w:tcPr>
          <w:p w14:paraId="439F7312" w14:textId="38D31394" w:rsidR="002A66BB" w:rsidRPr="00AD5A27" w:rsidRDefault="00860BB2">
            <w:pPr>
              <w:pStyle w:val="TableText0"/>
              <w:jc w:val="center"/>
              <w:rPr>
                <w:rFonts w:eastAsia="Calibri"/>
                <w:szCs w:val="20"/>
              </w:rPr>
            </w:pPr>
            <w:r w:rsidRPr="00860BB2">
              <w:rPr>
                <w:rFonts w:eastAsia="Calibri"/>
                <w:color w:val="000000"/>
                <w:spacing w:val="102"/>
                <w:szCs w:val="20"/>
                <w:shd w:val="solid" w:color="000000" w:fill="000000"/>
                <w:fitText w:val="188" w:id="-961901311"/>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311"/>
                <w14:textFill>
                  <w14:solidFill>
                    <w14:srgbClr w14:val="000000">
                      <w14:alpha w14:val="100000"/>
                    </w14:srgbClr>
                  </w14:solidFill>
                </w14:textFill>
              </w:rPr>
              <w:t>|</w:t>
            </w:r>
            <w:r w:rsidR="002A66BB" w:rsidRPr="00AD5A27">
              <w:rPr>
                <w:rFonts w:eastAsia="Calibri"/>
                <w:szCs w:val="20"/>
              </w:rPr>
              <w:t>%</w:t>
            </w:r>
          </w:p>
        </w:tc>
      </w:tr>
      <w:tr w:rsidR="002A66BB" w:rsidRPr="00AD5A27" w14:paraId="3342970D" w14:textId="77777777" w:rsidTr="002D4C2A">
        <w:trPr>
          <w:cantSplit/>
          <w:trHeight w:val="70"/>
        </w:trPr>
        <w:tc>
          <w:tcPr>
            <w:tcW w:w="155" w:type="pct"/>
          </w:tcPr>
          <w:p w14:paraId="590C5FA7" w14:textId="77777777" w:rsidR="002A66BB" w:rsidRPr="00AD5A27" w:rsidRDefault="002A66BB">
            <w:pPr>
              <w:pStyle w:val="TableText0"/>
            </w:pPr>
          </w:p>
        </w:tc>
        <w:tc>
          <w:tcPr>
            <w:tcW w:w="2200" w:type="pct"/>
          </w:tcPr>
          <w:p w14:paraId="4ABE7E2E" w14:textId="56D0A135" w:rsidR="002A66BB" w:rsidRPr="00AD5A27" w:rsidRDefault="002A66BB">
            <w:pPr>
              <w:pStyle w:val="TableText0"/>
              <w:rPr>
                <w:vertAlign w:val="superscript"/>
              </w:rPr>
            </w:pPr>
            <w:r w:rsidRPr="00AD5A27">
              <w:t xml:space="preserve">A and </w:t>
            </w:r>
            <w:r w:rsidR="00B25FC6">
              <w:t>D</w:t>
            </w:r>
          </w:p>
        </w:tc>
        <w:tc>
          <w:tcPr>
            <w:tcW w:w="708" w:type="pct"/>
          </w:tcPr>
          <w:p w14:paraId="08FB95DD" w14:textId="71E26794" w:rsidR="002A66BB" w:rsidRPr="00AD5A27" w:rsidRDefault="002A66BB">
            <w:pPr>
              <w:pStyle w:val="TableText0"/>
              <w:jc w:val="center"/>
              <w:rPr>
                <w:rFonts w:eastAsia="Calibri"/>
                <w:szCs w:val="20"/>
              </w:rPr>
            </w:pPr>
            <w:r w:rsidRPr="00AD5A27">
              <w:t>$</w:t>
            </w:r>
            <w:r w:rsidR="00860BB2" w:rsidRPr="00860BB2">
              <w:rPr>
                <w:rFonts w:hint="eastAsia"/>
                <w:color w:val="000000"/>
                <w:w w:val="15"/>
                <w:shd w:val="solid" w:color="000000" w:fill="000000"/>
                <w:fitText w:val="62" w:id="-961901310"/>
                <w14:textFill>
                  <w14:solidFill>
                    <w14:srgbClr w14:val="000000">
                      <w14:alpha w14:val="100000"/>
                    </w14:srgbClr>
                  </w14:solidFill>
                </w14:textFill>
              </w:rPr>
              <w:t xml:space="preserve">　</w:t>
            </w:r>
            <w:r w:rsidR="00860BB2" w:rsidRPr="00860BB2">
              <w:rPr>
                <w:color w:val="000000"/>
                <w:w w:val="15"/>
                <w:shd w:val="solid" w:color="000000" w:fill="000000"/>
                <w:fitText w:val="62" w:id="-961901310"/>
                <w14:textFill>
                  <w14:solidFill>
                    <w14:srgbClr w14:val="000000">
                      <w14:alpha w14:val="100000"/>
                    </w14:srgbClr>
                  </w14:solidFill>
                </w14:textFill>
              </w:rPr>
              <w:t>|</w:t>
            </w:r>
            <w:r w:rsidR="00860BB2" w:rsidRPr="00860BB2">
              <w:rPr>
                <w:rFonts w:hint="eastAsia"/>
                <w:color w:val="000000"/>
                <w:spacing w:val="-3"/>
                <w:w w:val="15"/>
                <w:shd w:val="solid" w:color="000000" w:fill="000000"/>
                <w:fitText w:val="62" w:id="-961901310"/>
                <w14:textFill>
                  <w14:solidFill>
                    <w14:srgbClr w14:val="000000">
                      <w14:alpha w14:val="100000"/>
                    </w14:srgbClr>
                  </w14:solidFill>
                </w14:textFill>
              </w:rPr>
              <w:t xml:space="preserve">　</w:t>
            </w:r>
          </w:p>
        </w:tc>
        <w:tc>
          <w:tcPr>
            <w:tcW w:w="786" w:type="pct"/>
          </w:tcPr>
          <w:p w14:paraId="36B0E905" w14:textId="77777777" w:rsidR="002A66BB" w:rsidRPr="00AD5A27" w:rsidRDefault="002A66BB">
            <w:pPr>
              <w:pStyle w:val="TableText0"/>
              <w:jc w:val="center"/>
              <w:rPr>
                <w:rFonts w:eastAsia="Calibri"/>
                <w:szCs w:val="20"/>
              </w:rPr>
            </w:pPr>
            <w:r w:rsidRPr="00AD5A27">
              <w:t>0.1306</w:t>
            </w:r>
          </w:p>
        </w:tc>
        <w:tc>
          <w:tcPr>
            <w:tcW w:w="551" w:type="pct"/>
          </w:tcPr>
          <w:p w14:paraId="3BE84553" w14:textId="4E9204C5" w:rsidR="002A66BB" w:rsidRPr="004815AB" w:rsidRDefault="00860BB2">
            <w:pPr>
              <w:pStyle w:val="TableText0"/>
              <w:jc w:val="center"/>
              <w:rPr>
                <w:rFonts w:eastAsia="Calibri"/>
                <w:szCs w:val="20"/>
                <w:highlight w:val="lightGray"/>
              </w:rPr>
            </w:pPr>
            <w:r w:rsidRPr="00860BB2">
              <w:rPr>
                <w:color w:val="000000"/>
                <w:spacing w:val="42"/>
                <w:shd w:val="solid" w:color="000000" w:fill="000000"/>
                <w:fitText w:val="213" w:id="-961901309"/>
                <w14:textFill>
                  <w14:solidFill>
                    <w14:srgbClr w14:val="000000">
                      <w14:alpha w14:val="100000"/>
                    </w14:srgbClr>
                  </w14:solidFill>
                </w14:textFill>
              </w:rPr>
              <w:t>||</w:t>
            </w:r>
            <w:r w:rsidRPr="00860BB2">
              <w:rPr>
                <w:color w:val="000000"/>
                <w:spacing w:val="2"/>
                <w:shd w:val="solid" w:color="000000" w:fill="000000"/>
                <w:fitText w:val="213" w:id="-961901309"/>
                <w14:textFill>
                  <w14:solidFill>
                    <w14:srgbClr w14:val="000000">
                      <w14:alpha w14:val="100000"/>
                    </w14:srgbClr>
                  </w14:solidFill>
                </w14:textFill>
              </w:rPr>
              <w:t>|</w:t>
            </w:r>
            <w:r w:rsidR="001B356A" w:rsidRPr="001B356A">
              <w:rPr>
                <w:vertAlign w:val="superscript"/>
              </w:rPr>
              <w:t>11</w:t>
            </w:r>
          </w:p>
        </w:tc>
        <w:tc>
          <w:tcPr>
            <w:tcW w:w="600" w:type="pct"/>
          </w:tcPr>
          <w:p w14:paraId="58B85931" w14:textId="5EF5A62F" w:rsidR="002A66BB" w:rsidRPr="00AD5A27" w:rsidRDefault="00860BB2">
            <w:pPr>
              <w:pStyle w:val="TableText0"/>
              <w:jc w:val="center"/>
              <w:rPr>
                <w:rFonts w:eastAsia="Calibri"/>
                <w:szCs w:val="20"/>
              </w:rPr>
            </w:pPr>
            <w:r w:rsidRPr="00860BB2">
              <w:rPr>
                <w:rFonts w:eastAsia="Calibri"/>
                <w:color w:val="000000"/>
                <w:spacing w:val="102"/>
                <w:szCs w:val="20"/>
                <w:shd w:val="solid" w:color="000000" w:fill="000000"/>
                <w:fitText w:val="188" w:id="-961901308"/>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308"/>
                <w14:textFill>
                  <w14:solidFill>
                    <w14:srgbClr w14:val="000000">
                      <w14:alpha w14:val="100000"/>
                    </w14:srgbClr>
                  </w14:solidFill>
                </w14:textFill>
              </w:rPr>
              <w:t>|</w:t>
            </w:r>
            <w:r w:rsidR="002A66BB" w:rsidRPr="00AD5A27">
              <w:rPr>
                <w:rFonts w:eastAsia="Calibri"/>
                <w:szCs w:val="20"/>
              </w:rPr>
              <w:t>%</w:t>
            </w:r>
          </w:p>
        </w:tc>
      </w:tr>
      <w:tr w:rsidR="002A66BB" w:rsidRPr="00AD5A27" w14:paraId="625DA2E3" w14:textId="77777777" w:rsidTr="002D4C2A">
        <w:trPr>
          <w:cantSplit/>
          <w:trHeight w:val="70"/>
        </w:trPr>
        <w:tc>
          <w:tcPr>
            <w:tcW w:w="155" w:type="pct"/>
          </w:tcPr>
          <w:p w14:paraId="1CA996EE" w14:textId="77777777" w:rsidR="002A66BB" w:rsidRPr="00AD5A27" w:rsidRDefault="002A66BB">
            <w:pPr>
              <w:pStyle w:val="TableText0"/>
            </w:pPr>
          </w:p>
        </w:tc>
        <w:tc>
          <w:tcPr>
            <w:tcW w:w="2200" w:type="pct"/>
          </w:tcPr>
          <w:p w14:paraId="310FEDB2" w14:textId="57BEEEA4" w:rsidR="002A66BB" w:rsidRPr="00AD5A27" w:rsidRDefault="002A66BB">
            <w:pPr>
              <w:pStyle w:val="TableText0"/>
              <w:rPr>
                <w:vertAlign w:val="superscript"/>
              </w:rPr>
            </w:pPr>
            <w:r w:rsidRPr="00AD5A27">
              <w:t xml:space="preserve">A and </w:t>
            </w:r>
            <w:r w:rsidR="00B25FC6">
              <w:t>E</w:t>
            </w:r>
          </w:p>
        </w:tc>
        <w:tc>
          <w:tcPr>
            <w:tcW w:w="708" w:type="pct"/>
          </w:tcPr>
          <w:p w14:paraId="4B1E9935" w14:textId="252C5778" w:rsidR="002A66BB" w:rsidRPr="00AD5A27" w:rsidRDefault="002A66BB">
            <w:pPr>
              <w:pStyle w:val="TableText0"/>
              <w:jc w:val="center"/>
              <w:rPr>
                <w:rFonts w:eastAsia="Calibri"/>
                <w:szCs w:val="20"/>
              </w:rPr>
            </w:pPr>
            <w:r w:rsidRPr="00AD5A27">
              <w:t>$</w:t>
            </w:r>
            <w:r w:rsidR="00860BB2" w:rsidRPr="00860BB2">
              <w:rPr>
                <w:rFonts w:hint="eastAsia"/>
                <w:color w:val="000000"/>
                <w:w w:val="15"/>
                <w:shd w:val="solid" w:color="000000" w:fill="000000"/>
                <w:fitText w:val="62" w:id="-961901307"/>
                <w14:textFill>
                  <w14:solidFill>
                    <w14:srgbClr w14:val="000000">
                      <w14:alpha w14:val="100000"/>
                    </w14:srgbClr>
                  </w14:solidFill>
                </w14:textFill>
              </w:rPr>
              <w:t xml:space="preserve">　</w:t>
            </w:r>
            <w:r w:rsidR="00860BB2" w:rsidRPr="00860BB2">
              <w:rPr>
                <w:color w:val="000000"/>
                <w:w w:val="15"/>
                <w:shd w:val="solid" w:color="000000" w:fill="000000"/>
                <w:fitText w:val="62" w:id="-961901307"/>
                <w14:textFill>
                  <w14:solidFill>
                    <w14:srgbClr w14:val="000000">
                      <w14:alpha w14:val="100000"/>
                    </w14:srgbClr>
                  </w14:solidFill>
                </w14:textFill>
              </w:rPr>
              <w:t>|</w:t>
            </w:r>
            <w:r w:rsidR="00860BB2" w:rsidRPr="00860BB2">
              <w:rPr>
                <w:rFonts w:hint="eastAsia"/>
                <w:color w:val="000000"/>
                <w:spacing w:val="-3"/>
                <w:w w:val="15"/>
                <w:shd w:val="solid" w:color="000000" w:fill="000000"/>
                <w:fitText w:val="62" w:id="-961901307"/>
                <w14:textFill>
                  <w14:solidFill>
                    <w14:srgbClr w14:val="000000">
                      <w14:alpha w14:val="100000"/>
                    </w14:srgbClr>
                  </w14:solidFill>
                </w14:textFill>
              </w:rPr>
              <w:t xml:space="preserve">　</w:t>
            </w:r>
          </w:p>
        </w:tc>
        <w:tc>
          <w:tcPr>
            <w:tcW w:w="786" w:type="pct"/>
          </w:tcPr>
          <w:p w14:paraId="6FE87465" w14:textId="77777777" w:rsidR="002A66BB" w:rsidRPr="00AD5A27" w:rsidRDefault="002A66BB">
            <w:pPr>
              <w:pStyle w:val="TableText0"/>
              <w:jc w:val="center"/>
              <w:rPr>
                <w:rFonts w:eastAsia="Calibri"/>
                <w:szCs w:val="20"/>
              </w:rPr>
            </w:pPr>
            <w:r w:rsidRPr="00AD5A27">
              <w:t>0.1753</w:t>
            </w:r>
          </w:p>
        </w:tc>
        <w:tc>
          <w:tcPr>
            <w:tcW w:w="551" w:type="pct"/>
          </w:tcPr>
          <w:p w14:paraId="43C64758" w14:textId="654950A4" w:rsidR="002A66BB" w:rsidRPr="004815AB" w:rsidRDefault="00860BB2">
            <w:pPr>
              <w:pStyle w:val="TableText0"/>
              <w:jc w:val="center"/>
              <w:rPr>
                <w:rFonts w:eastAsia="Calibri"/>
                <w:szCs w:val="20"/>
                <w:highlight w:val="lightGray"/>
              </w:rPr>
            </w:pPr>
            <w:r w:rsidRPr="00860BB2">
              <w:rPr>
                <w:color w:val="000000"/>
                <w:spacing w:val="102"/>
                <w:shd w:val="solid" w:color="000000" w:fill="000000"/>
                <w:fitText w:val="188" w:id="-961901306"/>
                <w14:textFill>
                  <w14:solidFill>
                    <w14:srgbClr w14:val="000000">
                      <w14:alpha w14:val="100000"/>
                    </w14:srgbClr>
                  </w14:solidFill>
                </w14:textFill>
              </w:rPr>
              <w:t>|</w:t>
            </w:r>
            <w:r w:rsidRPr="00860BB2">
              <w:rPr>
                <w:color w:val="000000"/>
                <w:spacing w:val="1"/>
                <w:shd w:val="solid" w:color="000000" w:fill="000000"/>
                <w:fitText w:val="188" w:id="-961901306"/>
                <w14:textFill>
                  <w14:solidFill>
                    <w14:srgbClr w14:val="000000">
                      <w14:alpha w14:val="100000"/>
                    </w14:srgbClr>
                  </w14:solidFill>
                </w14:textFill>
              </w:rPr>
              <w:t>|</w:t>
            </w:r>
            <w:r w:rsidR="00914A47" w:rsidRPr="00E37473">
              <w:rPr>
                <w:rFonts w:eastAsia="Calibri"/>
                <w:szCs w:val="20"/>
                <w:vertAlign w:val="superscript"/>
              </w:rPr>
              <w:t>3</w:t>
            </w:r>
          </w:p>
        </w:tc>
        <w:tc>
          <w:tcPr>
            <w:tcW w:w="600" w:type="pct"/>
          </w:tcPr>
          <w:p w14:paraId="28ABD02A" w14:textId="38A10DC5" w:rsidR="002A66BB" w:rsidRPr="00AD5A27" w:rsidRDefault="00860BB2">
            <w:pPr>
              <w:pStyle w:val="TableText0"/>
              <w:jc w:val="center"/>
              <w:rPr>
                <w:rFonts w:eastAsia="Calibri"/>
                <w:szCs w:val="20"/>
              </w:rPr>
            </w:pPr>
            <w:r w:rsidRPr="00860BB2">
              <w:rPr>
                <w:rFonts w:eastAsia="Calibri"/>
                <w:color w:val="000000"/>
                <w:spacing w:val="102"/>
                <w:szCs w:val="20"/>
                <w:shd w:val="solid" w:color="000000" w:fill="000000"/>
                <w:fitText w:val="188" w:id="-961901305"/>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305"/>
                <w14:textFill>
                  <w14:solidFill>
                    <w14:srgbClr w14:val="000000">
                      <w14:alpha w14:val="100000"/>
                    </w14:srgbClr>
                  </w14:solidFill>
                </w14:textFill>
              </w:rPr>
              <w:t>|</w:t>
            </w:r>
            <w:r w:rsidR="002A66BB" w:rsidRPr="00AD5A27">
              <w:rPr>
                <w:rFonts w:eastAsia="Calibri"/>
                <w:szCs w:val="20"/>
              </w:rPr>
              <w:t>%</w:t>
            </w:r>
          </w:p>
        </w:tc>
      </w:tr>
      <w:tr w:rsidR="002A66BB" w:rsidRPr="00AD5A27" w14:paraId="24219B4B" w14:textId="77777777" w:rsidTr="002D4C2A">
        <w:trPr>
          <w:cantSplit/>
          <w:trHeight w:val="70"/>
        </w:trPr>
        <w:tc>
          <w:tcPr>
            <w:tcW w:w="155" w:type="pct"/>
          </w:tcPr>
          <w:p w14:paraId="3D3ED12E" w14:textId="77777777" w:rsidR="002A66BB" w:rsidRPr="00AD5A27" w:rsidRDefault="002A66BB">
            <w:pPr>
              <w:pStyle w:val="TableText0"/>
            </w:pPr>
          </w:p>
        </w:tc>
        <w:tc>
          <w:tcPr>
            <w:tcW w:w="2200" w:type="pct"/>
          </w:tcPr>
          <w:p w14:paraId="2DEBAF13" w14:textId="2CD6E783" w:rsidR="002A66BB" w:rsidRPr="00AD5A27" w:rsidRDefault="002A66BB">
            <w:pPr>
              <w:pStyle w:val="TableText0"/>
            </w:pPr>
            <w:r w:rsidRPr="00AD5A27">
              <w:t xml:space="preserve">A, </w:t>
            </w:r>
            <w:r w:rsidR="00B25FC6">
              <w:t>C</w:t>
            </w:r>
            <w:r w:rsidRPr="00AD5A27">
              <w:t xml:space="preserve"> and </w:t>
            </w:r>
            <w:r w:rsidR="00B25FC6">
              <w:t>E</w:t>
            </w:r>
          </w:p>
        </w:tc>
        <w:tc>
          <w:tcPr>
            <w:tcW w:w="708" w:type="pct"/>
          </w:tcPr>
          <w:p w14:paraId="45A82BD1" w14:textId="738A8E2F" w:rsidR="002A66BB" w:rsidRPr="00AD5A27" w:rsidRDefault="002A66BB">
            <w:pPr>
              <w:pStyle w:val="TableText0"/>
              <w:jc w:val="center"/>
              <w:rPr>
                <w:rFonts w:eastAsia="Calibri"/>
                <w:szCs w:val="20"/>
              </w:rPr>
            </w:pPr>
            <w:r w:rsidRPr="00AD5A27">
              <w:t>$</w:t>
            </w:r>
            <w:r w:rsidR="00860BB2" w:rsidRPr="00860BB2">
              <w:rPr>
                <w:rFonts w:hint="eastAsia"/>
                <w:color w:val="000000"/>
                <w:w w:val="15"/>
                <w:shd w:val="solid" w:color="000000" w:fill="000000"/>
                <w:fitText w:val="62" w:id="-961901304"/>
                <w14:textFill>
                  <w14:solidFill>
                    <w14:srgbClr w14:val="000000">
                      <w14:alpha w14:val="100000"/>
                    </w14:srgbClr>
                  </w14:solidFill>
                </w14:textFill>
              </w:rPr>
              <w:t xml:space="preserve">　</w:t>
            </w:r>
            <w:r w:rsidR="00860BB2" w:rsidRPr="00860BB2">
              <w:rPr>
                <w:color w:val="000000"/>
                <w:w w:val="15"/>
                <w:shd w:val="solid" w:color="000000" w:fill="000000"/>
                <w:fitText w:val="62" w:id="-961901304"/>
                <w14:textFill>
                  <w14:solidFill>
                    <w14:srgbClr w14:val="000000">
                      <w14:alpha w14:val="100000"/>
                    </w14:srgbClr>
                  </w14:solidFill>
                </w14:textFill>
              </w:rPr>
              <w:t>|</w:t>
            </w:r>
            <w:r w:rsidR="00860BB2" w:rsidRPr="00860BB2">
              <w:rPr>
                <w:rFonts w:hint="eastAsia"/>
                <w:color w:val="000000"/>
                <w:spacing w:val="-3"/>
                <w:w w:val="15"/>
                <w:shd w:val="solid" w:color="000000" w:fill="000000"/>
                <w:fitText w:val="62" w:id="-961901304"/>
                <w14:textFill>
                  <w14:solidFill>
                    <w14:srgbClr w14:val="000000">
                      <w14:alpha w14:val="100000"/>
                    </w14:srgbClr>
                  </w14:solidFill>
                </w14:textFill>
              </w:rPr>
              <w:t xml:space="preserve">　</w:t>
            </w:r>
          </w:p>
        </w:tc>
        <w:tc>
          <w:tcPr>
            <w:tcW w:w="786" w:type="pct"/>
          </w:tcPr>
          <w:p w14:paraId="5FA5C871" w14:textId="77777777" w:rsidR="002A66BB" w:rsidRPr="00AD5A27" w:rsidRDefault="002A66BB">
            <w:pPr>
              <w:pStyle w:val="TableText0"/>
              <w:jc w:val="center"/>
              <w:rPr>
                <w:rFonts w:eastAsia="Calibri"/>
                <w:szCs w:val="20"/>
              </w:rPr>
            </w:pPr>
            <w:r w:rsidRPr="00AD5A27">
              <w:t>0.0793</w:t>
            </w:r>
          </w:p>
        </w:tc>
        <w:tc>
          <w:tcPr>
            <w:tcW w:w="551" w:type="pct"/>
          </w:tcPr>
          <w:p w14:paraId="760776E2" w14:textId="547770FA" w:rsidR="002A66BB" w:rsidRPr="004815AB" w:rsidRDefault="00860BB2">
            <w:pPr>
              <w:pStyle w:val="TableText0"/>
              <w:jc w:val="center"/>
              <w:rPr>
                <w:rFonts w:eastAsia="Calibri"/>
                <w:szCs w:val="20"/>
                <w:highlight w:val="lightGray"/>
              </w:rPr>
            </w:pPr>
            <w:r w:rsidRPr="00860BB2">
              <w:rPr>
                <w:color w:val="000000"/>
                <w:spacing w:val="42"/>
                <w:shd w:val="solid" w:color="000000" w:fill="000000"/>
                <w:fitText w:val="213" w:id="-961901303"/>
                <w14:textFill>
                  <w14:solidFill>
                    <w14:srgbClr w14:val="000000">
                      <w14:alpha w14:val="100000"/>
                    </w14:srgbClr>
                  </w14:solidFill>
                </w14:textFill>
              </w:rPr>
              <w:t>||</w:t>
            </w:r>
            <w:r w:rsidRPr="00860BB2">
              <w:rPr>
                <w:color w:val="000000"/>
                <w:spacing w:val="2"/>
                <w:shd w:val="solid" w:color="000000" w:fill="000000"/>
                <w:fitText w:val="213" w:id="-961901303"/>
                <w14:textFill>
                  <w14:solidFill>
                    <w14:srgbClr w14:val="000000">
                      <w14:alpha w14:val="100000"/>
                    </w14:srgbClr>
                  </w14:solidFill>
                </w14:textFill>
              </w:rPr>
              <w:t>|</w:t>
            </w:r>
            <w:r w:rsidR="001B356A">
              <w:rPr>
                <w:rFonts w:eastAsia="Calibri"/>
                <w:szCs w:val="20"/>
                <w:vertAlign w:val="superscript"/>
              </w:rPr>
              <w:t>10</w:t>
            </w:r>
          </w:p>
        </w:tc>
        <w:tc>
          <w:tcPr>
            <w:tcW w:w="600" w:type="pct"/>
          </w:tcPr>
          <w:p w14:paraId="1768A228" w14:textId="141F46E6" w:rsidR="002A66BB" w:rsidRPr="00AD5A27" w:rsidRDefault="00860BB2">
            <w:pPr>
              <w:pStyle w:val="TableText0"/>
              <w:jc w:val="center"/>
              <w:rPr>
                <w:rFonts w:eastAsia="Calibri"/>
                <w:szCs w:val="20"/>
              </w:rPr>
            </w:pPr>
            <w:r w:rsidRPr="00860BB2">
              <w:rPr>
                <w:rFonts w:eastAsia="Calibri"/>
                <w:color w:val="000000"/>
                <w:spacing w:val="102"/>
                <w:szCs w:val="20"/>
                <w:shd w:val="solid" w:color="000000" w:fill="000000"/>
                <w:fitText w:val="188" w:id="-961901302"/>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302"/>
                <w14:textFill>
                  <w14:solidFill>
                    <w14:srgbClr w14:val="000000">
                      <w14:alpha w14:val="100000"/>
                    </w14:srgbClr>
                  </w14:solidFill>
                </w14:textFill>
              </w:rPr>
              <w:t>|</w:t>
            </w:r>
            <w:r w:rsidR="002A66BB" w:rsidRPr="00AD5A27">
              <w:rPr>
                <w:rFonts w:eastAsia="Calibri"/>
                <w:szCs w:val="20"/>
              </w:rPr>
              <w:t>%</w:t>
            </w:r>
          </w:p>
        </w:tc>
      </w:tr>
      <w:tr w:rsidR="00E230AF" w:rsidRPr="00AD5A27" w14:paraId="3BE56C94" w14:textId="77777777" w:rsidTr="00E230AF">
        <w:trPr>
          <w:cantSplit/>
          <w:trHeight w:val="70"/>
        </w:trPr>
        <w:tc>
          <w:tcPr>
            <w:tcW w:w="155" w:type="pct"/>
          </w:tcPr>
          <w:p w14:paraId="31508C31" w14:textId="77777777" w:rsidR="00E230AF" w:rsidRPr="00E230AF" w:rsidRDefault="00E230AF">
            <w:pPr>
              <w:pStyle w:val="TableText0"/>
              <w:rPr>
                <w:b/>
                <w:bCs w:val="0"/>
              </w:rPr>
            </w:pPr>
          </w:p>
        </w:tc>
        <w:tc>
          <w:tcPr>
            <w:tcW w:w="4845" w:type="pct"/>
            <w:gridSpan w:val="5"/>
          </w:tcPr>
          <w:p w14:paraId="02135D0D" w14:textId="4499B0D3" w:rsidR="00E230AF" w:rsidRPr="00E230AF" w:rsidRDefault="00E230AF" w:rsidP="00E230AF">
            <w:pPr>
              <w:pStyle w:val="TableText0"/>
              <w:rPr>
                <w:rFonts w:eastAsia="Calibri"/>
                <w:b/>
                <w:bCs w:val="0"/>
                <w:szCs w:val="20"/>
              </w:rPr>
            </w:pPr>
            <w:r w:rsidRPr="00E230AF">
              <w:rPr>
                <w:b/>
                <w:bCs w:val="0"/>
              </w:rPr>
              <w:t>ESC requested</w:t>
            </w:r>
          </w:p>
        </w:tc>
      </w:tr>
      <w:tr w:rsidR="005021D9" w:rsidRPr="00AD5A27" w14:paraId="1CCE7F72" w14:textId="77777777" w:rsidTr="00015FF3">
        <w:trPr>
          <w:cantSplit/>
          <w:trHeight w:val="70"/>
        </w:trPr>
        <w:tc>
          <w:tcPr>
            <w:tcW w:w="155" w:type="pct"/>
          </w:tcPr>
          <w:p w14:paraId="1DA497F6" w14:textId="77777777" w:rsidR="005021D9" w:rsidRPr="00AD5A27" w:rsidRDefault="005021D9">
            <w:pPr>
              <w:pStyle w:val="TableText0"/>
            </w:pPr>
          </w:p>
        </w:tc>
        <w:tc>
          <w:tcPr>
            <w:tcW w:w="2200" w:type="pct"/>
          </w:tcPr>
          <w:p w14:paraId="4E668518" w14:textId="676C8FC8" w:rsidR="00EA630A" w:rsidRPr="00AD5A27" w:rsidRDefault="00753C25">
            <w:pPr>
              <w:pStyle w:val="TableText0"/>
            </w:pPr>
            <w:r w:rsidRPr="00AD5A27">
              <w:t xml:space="preserve">A, </w:t>
            </w:r>
            <w:r w:rsidR="00B25FC6">
              <w:t>C</w:t>
            </w:r>
            <w:r w:rsidRPr="00AD5A27">
              <w:t xml:space="preserve">, </w:t>
            </w:r>
            <w:r w:rsidR="00B25FC6">
              <w:t>D</w:t>
            </w:r>
            <w:r w:rsidRPr="00AD5A27">
              <w:t xml:space="preserve">, </w:t>
            </w:r>
            <w:r w:rsidR="00B25FC6">
              <w:t>E</w:t>
            </w:r>
            <w:r w:rsidRPr="00AD5A27">
              <w:t xml:space="preserve">, and </w:t>
            </w:r>
            <w:r w:rsidR="00B25FC6">
              <w:t>F</w:t>
            </w:r>
          </w:p>
        </w:tc>
        <w:tc>
          <w:tcPr>
            <w:tcW w:w="708" w:type="pct"/>
          </w:tcPr>
          <w:p w14:paraId="4E0CC38F" w14:textId="208059CB" w:rsidR="0093657F" w:rsidRPr="00AD5A27" w:rsidRDefault="0093657F" w:rsidP="005B626D">
            <w:pPr>
              <w:pStyle w:val="TableText0"/>
              <w:jc w:val="center"/>
            </w:pPr>
            <w:r w:rsidRPr="00AD5A27">
              <w:t>$</w:t>
            </w:r>
            <w:r w:rsidR="00860BB2" w:rsidRPr="00860BB2">
              <w:rPr>
                <w:rFonts w:hint="eastAsia"/>
                <w:color w:val="000000"/>
                <w:w w:val="15"/>
                <w:shd w:val="solid" w:color="000000" w:fill="000000"/>
                <w:fitText w:val="62" w:id="-961901301"/>
                <w14:textFill>
                  <w14:solidFill>
                    <w14:srgbClr w14:val="000000">
                      <w14:alpha w14:val="100000"/>
                    </w14:srgbClr>
                  </w14:solidFill>
                </w14:textFill>
              </w:rPr>
              <w:t xml:space="preserve">　</w:t>
            </w:r>
            <w:r w:rsidR="00860BB2" w:rsidRPr="00860BB2">
              <w:rPr>
                <w:color w:val="000000"/>
                <w:w w:val="15"/>
                <w:shd w:val="solid" w:color="000000" w:fill="000000"/>
                <w:fitText w:val="62" w:id="-961901301"/>
                <w14:textFill>
                  <w14:solidFill>
                    <w14:srgbClr w14:val="000000">
                      <w14:alpha w14:val="100000"/>
                    </w14:srgbClr>
                  </w14:solidFill>
                </w14:textFill>
              </w:rPr>
              <w:t>|</w:t>
            </w:r>
            <w:r w:rsidR="00860BB2" w:rsidRPr="00860BB2">
              <w:rPr>
                <w:rFonts w:hint="eastAsia"/>
                <w:color w:val="000000"/>
                <w:spacing w:val="-3"/>
                <w:w w:val="15"/>
                <w:shd w:val="solid" w:color="000000" w:fill="000000"/>
                <w:fitText w:val="62" w:id="-961901301"/>
                <w14:textFill>
                  <w14:solidFill>
                    <w14:srgbClr w14:val="000000">
                      <w14:alpha w14:val="100000"/>
                    </w14:srgbClr>
                  </w14:solidFill>
                </w14:textFill>
              </w:rPr>
              <w:t xml:space="preserve">　</w:t>
            </w:r>
          </w:p>
        </w:tc>
        <w:tc>
          <w:tcPr>
            <w:tcW w:w="786" w:type="pct"/>
          </w:tcPr>
          <w:p w14:paraId="5AB7169F" w14:textId="29CABC03" w:rsidR="0093657F" w:rsidRPr="00AD5A27" w:rsidRDefault="0093657F" w:rsidP="005B626D">
            <w:pPr>
              <w:pStyle w:val="TableText0"/>
              <w:jc w:val="center"/>
            </w:pPr>
            <w:r w:rsidRPr="00AD5A27">
              <w:t>0.0509</w:t>
            </w:r>
          </w:p>
        </w:tc>
        <w:tc>
          <w:tcPr>
            <w:tcW w:w="551" w:type="pct"/>
            <w:shd w:val="clear" w:color="auto" w:fill="auto"/>
          </w:tcPr>
          <w:p w14:paraId="3CEBAB27" w14:textId="5F210624" w:rsidR="0093657F" w:rsidRPr="004815AB" w:rsidRDefault="00015FF3" w:rsidP="005B626D">
            <w:pPr>
              <w:pStyle w:val="TableText0"/>
              <w:jc w:val="center"/>
              <w:rPr>
                <w:highlight w:val="lightGray"/>
              </w:rPr>
            </w:pPr>
            <w:r w:rsidRPr="00860BB2">
              <w:rPr>
                <w:color w:val="000000"/>
                <w:spacing w:val="42"/>
                <w:shd w:val="solid" w:color="000000" w:fill="000000"/>
                <w:fitText w:val="213" w:id="-961901305"/>
                <w14:textFill>
                  <w14:solidFill>
                    <w14:srgbClr w14:val="000000">
                      <w14:alpha w14:val="100000"/>
                    </w14:srgbClr>
                  </w14:solidFill>
                </w14:textFill>
              </w:rPr>
              <w:t>||</w:t>
            </w:r>
            <w:r w:rsidRPr="00860BB2">
              <w:rPr>
                <w:color w:val="000000"/>
                <w:spacing w:val="2"/>
                <w:shd w:val="solid" w:color="000000" w:fill="000000"/>
                <w:fitText w:val="213" w:id="-961901305"/>
                <w14:textFill>
                  <w14:solidFill>
                    <w14:srgbClr w14:val="000000">
                      <w14:alpha w14:val="100000"/>
                    </w14:srgbClr>
                  </w14:solidFill>
                </w14:textFill>
              </w:rPr>
              <w:t>|</w:t>
            </w:r>
            <w:r w:rsidRPr="001B356A">
              <w:rPr>
                <w:vertAlign w:val="superscript"/>
              </w:rPr>
              <w:t>1</w:t>
            </w:r>
            <w:r>
              <w:rPr>
                <w:vertAlign w:val="superscript"/>
              </w:rPr>
              <w:t>2</w:t>
            </w:r>
          </w:p>
        </w:tc>
        <w:tc>
          <w:tcPr>
            <w:tcW w:w="600" w:type="pct"/>
          </w:tcPr>
          <w:p w14:paraId="3811C565" w14:textId="38D96104" w:rsidR="005021D9" w:rsidRPr="00AD5A27" w:rsidRDefault="00860BB2">
            <w:pPr>
              <w:pStyle w:val="TableText0"/>
              <w:jc w:val="center"/>
              <w:rPr>
                <w:rFonts w:eastAsia="Calibri"/>
                <w:szCs w:val="20"/>
              </w:rPr>
            </w:pPr>
            <w:r w:rsidRPr="00860BB2">
              <w:rPr>
                <w:rFonts w:eastAsia="Calibri"/>
                <w:color w:val="000000"/>
                <w:spacing w:val="102"/>
                <w:szCs w:val="20"/>
                <w:shd w:val="solid" w:color="000000" w:fill="000000"/>
                <w:fitText w:val="188" w:id="-961901299"/>
                <w14:textFill>
                  <w14:solidFill>
                    <w14:srgbClr w14:val="000000">
                      <w14:alpha w14:val="100000"/>
                    </w14:srgbClr>
                  </w14:solidFill>
                </w14:textFill>
              </w:rPr>
              <w:t>|</w:t>
            </w:r>
            <w:r w:rsidRPr="00860BB2">
              <w:rPr>
                <w:rFonts w:eastAsia="Calibri"/>
                <w:color w:val="000000"/>
                <w:spacing w:val="1"/>
                <w:szCs w:val="20"/>
                <w:shd w:val="solid" w:color="000000" w:fill="000000"/>
                <w:fitText w:val="188" w:id="-961901299"/>
                <w14:textFill>
                  <w14:solidFill>
                    <w14:srgbClr w14:val="000000">
                      <w14:alpha w14:val="100000"/>
                    </w14:srgbClr>
                  </w14:solidFill>
                </w14:textFill>
              </w:rPr>
              <w:t>|</w:t>
            </w:r>
            <w:r w:rsidR="00CD71CE" w:rsidRPr="00AD5A27">
              <w:rPr>
                <w:rFonts w:eastAsia="Calibri"/>
                <w:szCs w:val="20"/>
              </w:rPr>
              <w:t>%</w:t>
            </w:r>
          </w:p>
        </w:tc>
      </w:tr>
      <w:tr w:rsidR="005D315B" w:rsidRPr="00AD5A27" w14:paraId="0B2C67C5" w14:textId="77777777" w:rsidTr="002D4C2A">
        <w:trPr>
          <w:cantSplit/>
          <w:trHeight w:val="70"/>
        </w:trPr>
        <w:tc>
          <w:tcPr>
            <w:tcW w:w="155" w:type="pct"/>
          </w:tcPr>
          <w:p w14:paraId="76021038" w14:textId="77777777" w:rsidR="005D315B" w:rsidRPr="00AD5A27" w:rsidRDefault="005D315B" w:rsidP="005D315B">
            <w:pPr>
              <w:pStyle w:val="TableText0"/>
            </w:pPr>
          </w:p>
        </w:tc>
        <w:tc>
          <w:tcPr>
            <w:tcW w:w="2200" w:type="pct"/>
          </w:tcPr>
          <w:p w14:paraId="483532D3" w14:textId="21BD6588" w:rsidR="005D315B" w:rsidRPr="00AD5A27" w:rsidRDefault="005D315B" w:rsidP="005D315B">
            <w:pPr>
              <w:pStyle w:val="TableText0"/>
            </w:pPr>
            <w:r w:rsidRPr="00AD5A27">
              <w:t xml:space="preserve">A, </w:t>
            </w:r>
            <w:r w:rsidR="00B25FC6">
              <w:t>C</w:t>
            </w:r>
            <w:r w:rsidRPr="00AD5A27">
              <w:t xml:space="preserve">, </w:t>
            </w:r>
            <w:r w:rsidR="00B25FC6">
              <w:t>E</w:t>
            </w:r>
            <w:r w:rsidRPr="00AD5A27">
              <w:t xml:space="preserve">, </w:t>
            </w:r>
            <w:r w:rsidR="00B25FC6">
              <w:t>F</w:t>
            </w:r>
            <w:r w:rsidRPr="00AD5A27">
              <w:t xml:space="preserve">, and </w:t>
            </w:r>
            <w:r w:rsidR="00B25FC6">
              <w:t>H</w:t>
            </w:r>
          </w:p>
        </w:tc>
        <w:tc>
          <w:tcPr>
            <w:tcW w:w="708" w:type="pct"/>
          </w:tcPr>
          <w:p w14:paraId="3BEB9382" w14:textId="1882A753" w:rsidR="005D315B" w:rsidRPr="00AD5A27" w:rsidRDefault="005D315B" w:rsidP="005D315B">
            <w:pPr>
              <w:pStyle w:val="TableText0"/>
              <w:jc w:val="center"/>
            </w:pPr>
            <w:r w:rsidRPr="00AD5A27">
              <w:t>$</w:t>
            </w:r>
            <w:r w:rsidR="00860BB2" w:rsidRPr="00860BB2">
              <w:rPr>
                <w:rFonts w:hint="eastAsia"/>
                <w:color w:val="000000"/>
                <w:w w:val="15"/>
                <w:shd w:val="solid" w:color="000000" w:fill="000000"/>
                <w:fitText w:val="62" w:id="-961901298"/>
                <w14:textFill>
                  <w14:solidFill>
                    <w14:srgbClr w14:val="000000">
                      <w14:alpha w14:val="100000"/>
                    </w14:srgbClr>
                  </w14:solidFill>
                </w14:textFill>
              </w:rPr>
              <w:t xml:space="preserve">　</w:t>
            </w:r>
            <w:r w:rsidR="00860BB2" w:rsidRPr="00860BB2">
              <w:rPr>
                <w:color w:val="000000"/>
                <w:w w:val="15"/>
                <w:shd w:val="solid" w:color="000000" w:fill="000000"/>
                <w:fitText w:val="62" w:id="-961901298"/>
                <w14:textFill>
                  <w14:solidFill>
                    <w14:srgbClr w14:val="000000">
                      <w14:alpha w14:val="100000"/>
                    </w14:srgbClr>
                  </w14:solidFill>
                </w14:textFill>
              </w:rPr>
              <w:t>|</w:t>
            </w:r>
            <w:r w:rsidR="00860BB2" w:rsidRPr="00860BB2">
              <w:rPr>
                <w:rFonts w:hint="eastAsia"/>
                <w:color w:val="000000"/>
                <w:spacing w:val="-3"/>
                <w:w w:val="15"/>
                <w:shd w:val="solid" w:color="000000" w:fill="000000"/>
                <w:fitText w:val="62" w:id="-961901298"/>
                <w14:textFill>
                  <w14:solidFill>
                    <w14:srgbClr w14:val="000000">
                      <w14:alpha w14:val="100000"/>
                    </w14:srgbClr>
                  </w14:solidFill>
                </w14:textFill>
              </w:rPr>
              <w:t xml:space="preserve">　</w:t>
            </w:r>
          </w:p>
        </w:tc>
        <w:tc>
          <w:tcPr>
            <w:tcW w:w="786" w:type="pct"/>
          </w:tcPr>
          <w:p w14:paraId="5786A74F" w14:textId="64D8B716" w:rsidR="005D315B" w:rsidRPr="00AD5A27" w:rsidRDefault="005D315B" w:rsidP="005D315B">
            <w:pPr>
              <w:pStyle w:val="TableText0"/>
              <w:jc w:val="center"/>
            </w:pPr>
            <w:r w:rsidRPr="00AD5A27">
              <w:t>0.0784</w:t>
            </w:r>
          </w:p>
        </w:tc>
        <w:tc>
          <w:tcPr>
            <w:tcW w:w="551" w:type="pct"/>
          </w:tcPr>
          <w:p w14:paraId="63CD6DAB" w14:textId="5D5B6AF9" w:rsidR="005D315B" w:rsidRPr="004815AB" w:rsidRDefault="00860BB2" w:rsidP="005D315B">
            <w:pPr>
              <w:pStyle w:val="TableText0"/>
              <w:jc w:val="center"/>
              <w:rPr>
                <w:highlight w:val="lightGray"/>
              </w:rPr>
            </w:pPr>
            <w:r w:rsidRPr="00860BB2">
              <w:rPr>
                <w:color w:val="000000"/>
                <w:spacing w:val="42"/>
                <w:shd w:val="solid" w:color="000000" w:fill="000000"/>
                <w:fitText w:val="213" w:id="-961901297"/>
                <w14:textFill>
                  <w14:solidFill>
                    <w14:srgbClr w14:val="000000">
                      <w14:alpha w14:val="100000"/>
                    </w14:srgbClr>
                  </w14:solidFill>
                </w14:textFill>
              </w:rPr>
              <w:t>||</w:t>
            </w:r>
            <w:r w:rsidRPr="00860BB2">
              <w:rPr>
                <w:color w:val="000000"/>
                <w:spacing w:val="2"/>
                <w:shd w:val="solid" w:color="000000" w:fill="000000"/>
                <w:fitText w:val="213" w:id="-961901297"/>
                <w14:textFill>
                  <w14:solidFill>
                    <w14:srgbClr w14:val="000000">
                      <w14:alpha w14:val="100000"/>
                    </w14:srgbClr>
                  </w14:solidFill>
                </w14:textFill>
              </w:rPr>
              <w:t>|</w:t>
            </w:r>
            <w:r w:rsidR="001B356A">
              <w:rPr>
                <w:rFonts w:eastAsia="Calibri"/>
                <w:szCs w:val="20"/>
                <w:vertAlign w:val="superscript"/>
              </w:rPr>
              <w:t>10</w:t>
            </w:r>
          </w:p>
        </w:tc>
        <w:tc>
          <w:tcPr>
            <w:tcW w:w="600" w:type="pct"/>
          </w:tcPr>
          <w:p w14:paraId="5AF52F82" w14:textId="47BCEC0A" w:rsidR="005D315B" w:rsidRPr="00AD5A27" w:rsidRDefault="00860BB2" w:rsidP="005D315B">
            <w:pPr>
              <w:pStyle w:val="TableText0"/>
              <w:jc w:val="center"/>
              <w:rPr>
                <w:rFonts w:eastAsia="Calibri"/>
                <w:szCs w:val="20"/>
              </w:rPr>
            </w:pPr>
            <w:r w:rsidRPr="00860BB2">
              <w:rPr>
                <w:rFonts w:eastAsia="Calibri"/>
                <w:bCs w:val="0"/>
                <w:color w:val="000000"/>
                <w:spacing w:val="102"/>
                <w:szCs w:val="20"/>
                <w:shd w:val="solid" w:color="000000" w:fill="000000"/>
                <w:fitText w:val="188" w:id="-961901296"/>
                <w14:textFill>
                  <w14:solidFill>
                    <w14:srgbClr w14:val="000000">
                      <w14:alpha w14:val="100000"/>
                    </w14:srgbClr>
                  </w14:solidFill>
                </w14:textFill>
              </w:rPr>
              <w:t>|</w:t>
            </w:r>
            <w:r w:rsidRPr="00860BB2">
              <w:rPr>
                <w:rFonts w:eastAsia="Calibri"/>
                <w:bCs w:val="0"/>
                <w:color w:val="000000"/>
                <w:spacing w:val="1"/>
                <w:szCs w:val="20"/>
                <w:shd w:val="solid" w:color="000000" w:fill="000000"/>
                <w:fitText w:val="188" w:id="-961901296"/>
                <w14:textFill>
                  <w14:solidFill>
                    <w14:srgbClr w14:val="000000">
                      <w14:alpha w14:val="100000"/>
                    </w14:srgbClr>
                  </w14:solidFill>
                </w14:textFill>
              </w:rPr>
              <w:t>|</w:t>
            </w:r>
            <w:r w:rsidR="005D315B" w:rsidRPr="00AD5A27">
              <w:rPr>
                <w:rFonts w:eastAsia="Calibri"/>
                <w:bCs w:val="0"/>
                <w:szCs w:val="20"/>
              </w:rPr>
              <w:t>%</w:t>
            </w:r>
          </w:p>
        </w:tc>
      </w:tr>
      <w:tr w:rsidR="00E230AF" w:rsidRPr="00AD5A27" w14:paraId="1528F49F" w14:textId="77777777" w:rsidTr="00E230AF">
        <w:trPr>
          <w:cantSplit/>
          <w:trHeight w:val="70"/>
        </w:trPr>
        <w:tc>
          <w:tcPr>
            <w:tcW w:w="155" w:type="pct"/>
          </w:tcPr>
          <w:p w14:paraId="61E71DA6" w14:textId="77777777" w:rsidR="00E230AF" w:rsidRPr="00AD5A27" w:rsidRDefault="00E230AF" w:rsidP="005D315B">
            <w:pPr>
              <w:pStyle w:val="TableText0"/>
            </w:pPr>
          </w:p>
        </w:tc>
        <w:tc>
          <w:tcPr>
            <w:tcW w:w="4845" w:type="pct"/>
            <w:gridSpan w:val="5"/>
          </w:tcPr>
          <w:p w14:paraId="0355FF1F" w14:textId="7A37E3DA" w:rsidR="00E230AF" w:rsidRPr="00E230AF" w:rsidRDefault="00E230AF" w:rsidP="00E230AF">
            <w:pPr>
              <w:pStyle w:val="TableText0"/>
              <w:rPr>
                <w:rFonts w:eastAsia="Calibri"/>
                <w:b/>
                <w:szCs w:val="20"/>
              </w:rPr>
            </w:pPr>
            <w:r w:rsidRPr="00E230AF">
              <w:rPr>
                <w:rFonts w:eastAsia="Calibri"/>
                <w:b/>
                <w:szCs w:val="20"/>
              </w:rPr>
              <w:t>PBAC requested</w:t>
            </w:r>
          </w:p>
        </w:tc>
      </w:tr>
      <w:tr w:rsidR="005B626D" w:rsidRPr="00AD5A27" w14:paraId="6D807973" w14:textId="77777777" w:rsidTr="002D4C2A">
        <w:trPr>
          <w:cantSplit/>
          <w:trHeight w:val="70"/>
        </w:trPr>
        <w:tc>
          <w:tcPr>
            <w:tcW w:w="155" w:type="pct"/>
          </w:tcPr>
          <w:p w14:paraId="3E505A07" w14:textId="77777777" w:rsidR="005B626D" w:rsidRPr="00AD5A27" w:rsidRDefault="005B626D" w:rsidP="005D315B">
            <w:pPr>
              <w:pStyle w:val="TableText0"/>
            </w:pPr>
          </w:p>
        </w:tc>
        <w:tc>
          <w:tcPr>
            <w:tcW w:w="2200" w:type="pct"/>
          </w:tcPr>
          <w:p w14:paraId="2B9AA56C" w14:textId="0D3C2C16" w:rsidR="005B626D" w:rsidRPr="00AD5A27" w:rsidRDefault="005B626D" w:rsidP="005D315B">
            <w:pPr>
              <w:pStyle w:val="TableText0"/>
            </w:pPr>
            <w:r>
              <w:t>A</w:t>
            </w:r>
            <w:r w:rsidR="00561C88">
              <w:t xml:space="preserve"> and </w:t>
            </w:r>
            <w:r w:rsidR="00B25FC6">
              <w:t>H</w:t>
            </w:r>
          </w:p>
        </w:tc>
        <w:tc>
          <w:tcPr>
            <w:tcW w:w="708" w:type="pct"/>
          </w:tcPr>
          <w:p w14:paraId="66C8E2C5" w14:textId="0995FE14" w:rsidR="005B626D" w:rsidRPr="00AD5A27" w:rsidRDefault="00141DC4" w:rsidP="005D315B">
            <w:pPr>
              <w:pStyle w:val="TableText0"/>
              <w:jc w:val="center"/>
            </w:pPr>
            <w:r>
              <w:t>$</w:t>
            </w:r>
            <w:r w:rsidR="00860BB2" w:rsidRPr="00860BB2">
              <w:rPr>
                <w:rFonts w:hint="eastAsia"/>
                <w:color w:val="000000"/>
                <w:w w:val="15"/>
                <w:shd w:val="solid" w:color="000000" w:fill="000000"/>
                <w:fitText w:val="62" w:id="-961901312"/>
                <w14:textFill>
                  <w14:solidFill>
                    <w14:srgbClr w14:val="000000">
                      <w14:alpha w14:val="100000"/>
                    </w14:srgbClr>
                  </w14:solidFill>
                </w14:textFill>
              </w:rPr>
              <w:t xml:space="preserve">　</w:t>
            </w:r>
            <w:r w:rsidR="00860BB2" w:rsidRPr="00860BB2">
              <w:rPr>
                <w:color w:val="000000"/>
                <w:w w:val="15"/>
                <w:shd w:val="solid" w:color="000000" w:fill="000000"/>
                <w:fitText w:val="62" w:id="-961901312"/>
                <w14:textFill>
                  <w14:solidFill>
                    <w14:srgbClr w14:val="000000">
                      <w14:alpha w14:val="100000"/>
                    </w14:srgbClr>
                  </w14:solidFill>
                </w14:textFill>
              </w:rPr>
              <w:t>|</w:t>
            </w:r>
            <w:r w:rsidR="00860BB2" w:rsidRPr="00860BB2">
              <w:rPr>
                <w:rFonts w:hint="eastAsia"/>
                <w:color w:val="000000"/>
                <w:spacing w:val="-3"/>
                <w:w w:val="15"/>
                <w:shd w:val="solid" w:color="000000" w:fill="000000"/>
                <w:fitText w:val="62" w:id="-961901312"/>
                <w14:textFill>
                  <w14:solidFill>
                    <w14:srgbClr w14:val="000000">
                      <w14:alpha w14:val="100000"/>
                    </w14:srgbClr>
                  </w14:solidFill>
                </w14:textFill>
              </w:rPr>
              <w:t xml:space="preserve">　</w:t>
            </w:r>
          </w:p>
        </w:tc>
        <w:tc>
          <w:tcPr>
            <w:tcW w:w="786" w:type="pct"/>
          </w:tcPr>
          <w:p w14:paraId="43B084CB" w14:textId="7FC0E6FA" w:rsidR="005B626D" w:rsidRPr="00AD5A27" w:rsidRDefault="00141DC4" w:rsidP="005D315B">
            <w:pPr>
              <w:pStyle w:val="TableText0"/>
              <w:jc w:val="center"/>
            </w:pPr>
            <w:r>
              <w:t>0.2174</w:t>
            </w:r>
          </w:p>
        </w:tc>
        <w:tc>
          <w:tcPr>
            <w:tcW w:w="551" w:type="pct"/>
          </w:tcPr>
          <w:p w14:paraId="65E348CB" w14:textId="19073CB6" w:rsidR="005B626D" w:rsidRPr="004815AB" w:rsidRDefault="00860BB2" w:rsidP="005D315B">
            <w:pPr>
              <w:pStyle w:val="TableText0"/>
              <w:jc w:val="center"/>
              <w:rPr>
                <w:highlight w:val="lightGray"/>
              </w:rPr>
            </w:pPr>
            <w:r w:rsidRPr="00860BB2">
              <w:rPr>
                <w:color w:val="000000"/>
                <w:spacing w:val="102"/>
                <w:shd w:val="solid" w:color="000000" w:fill="000000"/>
                <w:fitText w:val="188" w:id="-961901311"/>
                <w14:textFill>
                  <w14:solidFill>
                    <w14:srgbClr w14:val="000000">
                      <w14:alpha w14:val="100000"/>
                    </w14:srgbClr>
                  </w14:solidFill>
                </w14:textFill>
              </w:rPr>
              <w:t>|</w:t>
            </w:r>
            <w:r w:rsidRPr="00860BB2">
              <w:rPr>
                <w:color w:val="000000"/>
                <w:spacing w:val="1"/>
                <w:shd w:val="solid" w:color="000000" w:fill="000000"/>
                <w:fitText w:val="188" w:id="-961901311"/>
                <w14:textFill>
                  <w14:solidFill>
                    <w14:srgbClr w14:val="000000">
                      <w14:alpha w14:val="100000"/>
                    </w14:srgbClr>
                  </w14:solidFill>
                </w14:textFill>
              </w:rPr>
              <w:t>|</w:t>
            </w:r>
            <w:r w:rsidR="00E37473" w:rsidRPr="00E37473">
              <w:rPr>
                <w:vertAlign w:val="superscript"/>
              </w:rPr>
              <w:t>2</w:t>
            </w:r>
          </w:p>
        </w:tc>
        <w:tc>
          <w:tcPr>
            <w:tcW w:w="600" w:type="pct"/>
          </w:tcPr>
          <w:p w14:paraId="5B6C86E9" w14:textId="0BEDE80B" w:rsidR="005B626D" w:rsidRPr="00AD5A27" w:rsidRDefault="00860BB2" w:rsidP="005D315B">
            <w:pPr>
              <w:pStyle w:val="TableText0"/>
              <w:jc w:val="center"/>
              <w:rPr>
                <w:rFonts w:eastAsia="Calibri"/>
                <w:bCs w:val="0"/>
                <w:szCs w:val="20"/>
              </w:rPr>
            </w:pPr>
            <w:r w:rsidRPr="00860BB2">
              <w:rPr>
                <w:rFonts w:eastAsia="Calibri"/>
                <w:bCs w:val="0"/>
                <w:color w:val="000000"/>
                <w:spacing w:val="102"/>
                <w:szCs w:val="20"/>
                <w:shd w:val="solid" w:color="000000" w:fill="000000"/>
                <w:fitText w:val="188" w:id="-961901310"/>
                <w14:textFill>
                  <w14:solidFill>
                    <w14:srgbClr w14:val="000000">
                      <w14:alpha w14:val="100000"/>
                    </w14:srgbClr>
                  </w14:solidFill>
                </w14:textFill>
              </w:rPr>
              <w:t>|</w:t>
            </w:r>
            <w:r w:rsidRPr="00860BB2">
              <w:rPr>
                <w:rFonts w:eastAsia="Calibri"/>
                <w:bCs w:val="0"/>
                <w:color w:val="000000"/>
                <w:spacing w:val="1"/>
                <w:szCs w:val="20"/>
                <w:shd w:val="solid" w:color="000000" w:fill="000000"/>
                <w:fitText w:val="188" w:id="-961901310"/>
                <w14:textFill>
                  <w14:solidFill>
                    <w14:srgbClr w14:val="000000">
                      <w14:alpha w14:val="100000"/>
                    </w14:srgbClr>
                  </w14:solidFill>
                </w14:textFill>
              </w:rPr>
              <w:t>|</w:t>
            </w:r>
            <w:r w:rsidR="00561C88">
              <w:rPr>
                <w:rFonts w:eastAsia="Calibri"/>
                <w:bCs w:val="0"/>
                <w:szCs w:val="20"/>
              </w:rPr>
              <w:t>%</w:t>
            </w:r>
          </w:p>
        </w:tc>
      </w:tr>
      <w:tr w:rsidR="005B626D" w:rsidRPr="00AD5A27" w14:paraId="2222416F" w14:textId="77777777" w:rsidTr="002D4C2A">
        <w:trPr>
          <w:cantSplit/>
          <w:trHeight w:val="70"/>
        </w:trPr>
        <w:tc>
          <w:tcPr>
            <w:tcW w:w="155" w:type="pct"/>
          </w:tcPr>
          <w:p w14:paraId="2686C1B4" w14:textId="77777777" w:rsidR="005B626D" w:rsidRPr="00AD5A27" w:rsidRDefault="005B626D" w:rsidP="005D315B">
            <w:pPr>
              <w:pStyle w:val="TableText0"/>
            </w:pPr>
          </w:p>
        </w:tc>
        <w:tc>
          <w:tcPr>
            <w:tcW w:w="2200" w:type="pct"/>
          </w:tcPr>
          <w:p w14:paraId="1AC1E2AC" w14:textId="46FF90BE" w:rsidR="005B626D" w:rsidRPr="00AD5A27" w:rsidRDefault="005B626D" w:rsidP="005D315B">
            <w:pPr>
              <w:pStyle w:val="TableText0"/>
            </w:pPr>
            <w:r>
              <w:t>A</w:t>
            </w:r>
            <w:r w:rsidR="00561C88">
              <w:t xml:space="preserve">, </w:t>
            </w:r>
            <w:r w:rsidR="00B25FC6">
              <w:t>E</w:t>
            </w:r>
            <w:r w:rsidR="00561C88">
              <w:t xml:space="preserve"> and </w:t>
            </w:r>
            <w:r w:rsidR="00B25FC6">
              <w:t>H</w:t>
            </w:r>
          </w:p>
        </w:tc>
        <w:tc>
          <w:tcPr>
            <w:tcW w:w="708" w:type="pct"/>
          </w:tcPr>
          <w:p w14:paraId="1B219084" w14:textId="62D09A4F" w:rsidR="005B626D" w:rsidRPr="00AD5A27" w:rsidRDefault="00141DC4" w:rsidP="005D315B">
            <w:pPr>
              <w:pStyle w:val="TableText0"/>
              <w:jc w:val="center"/>
            </w:pPr>
            <w:r>
              <w:t>$</w:t>
            </w:r>
            <w:r w:rsidR="00860BB2" w:rsidRPr="00860BB2">
              <w:rPr>
                <w:rFonts w:hint="eastAsia"/>
                <w:color w:val="000000"/>
                <w:w w:val="15"/>
                <w:shd w:val="solid" w:color="000000" w:fill="000000"/>
                <w:fitText w:val="62" w:id="-961901309"/>
                <w14:textFill>
                  <w14:solidFill>
                    <w14:srgbClr w14:val="000000">
                      <w14:alpha w14:val="100000"/>
                    </w14:srgbClr>
                  </w14:solidFill>
                </w14:textFill>
              </w:rPr>
              <w:t xml:space="preserve">　</w:t>
            </w:r>
            <w:r w:rsidR="00860BB2" w:rsidRPr="00860BB2">
              <w:rPr>
                <w:color w:val="000000"/>
                <w:w w:val="15"/>
                <w:shd w:val="solid" w:color="000000" w:fill="000000"/>
                <w:fitText w:val="62" w:id="-961901309"/>
                <w14:textFill>
                  <w14:solidFill>
                    <w14:srgbClr w14:val="000000">
                      <w14:alpha w14:val="100000"/>
                    </w14:srgbClr>
                  </w14:solidFill>
                </w14:textFill>
              </w:rPr>
              <w:t>|</w:t>
            </w:r>
            <w:r w:rsidR="00860BB2" w:rsidRPr="00860BB2">
              <w:rPr>
                <w:rFonts w:hint="eastAsia"/>
                <w:color w:val="000000"/>
                <w:spacing w:val="-3"/>
                <w:w w:val="15"/>
                <w:shd w:val="solid" w:color="000000" w:fill="000000"/>
                <w:fitText w:val="62" w:id="-961901309"/>
                <w14:textFill>
                  <w14:solidFill>
                    <w14:srgbClr w14:val="000000">
                      <w14:alpha w14:val="100000"/>
                    </w14:srgbClr>
                  </w14:solidFill>
                </w14:textFill>
              </w:rPr>
              <w:t xml:space="preserve">　</w:t>
            </w:r>
          </w:p>
        </w:tc>
        <w:tc>
          <w:tcPr>
            <w:tcW w:w="786" w:type="pct"/>
          </w:tcPr>
          <w:p w14:paraId="71B1DBFC" w14:textId="5F2C1BC3" w:rsidR="005B626D" w:rsidRPr="00AD5A27" w:rsidRDefault="00141DC4" w:rsidP="005D315B">
            <w:pPr>
              <w:pStyle w:val="TableText0"/>
              <w:jc w:val="center"/>
            </w:pPr>
            <w:r>
              <w:t>0.1753</w:t>
            </w:r>
          </w:p>
        </w:tc>
        <w:tc>
          <w:tcPr>
            <w:tcW w:w="551" w:type="pct"/>
          </w:tcPr>
          <w:p w14:paraId="4F51500D" w14:textId="471C4422" w:rsidR="005B626D" w:rsidRPr="004815AB" w:rsidRDefault="00860BB2" w:rsidP="005D315B">
            <w:pPr>
              <w:pStyle w:val="TableText0"/>
              <w:jc w:val="center"/>
              <w:rPr>
                <w:highlight w:val="lightGray"/>
              </w:rPr>
            </w:pPr>
            <w:r w:rsidRPr="00860BB2">
              <w:rPr>
                <w:color w:val="000000"/>
                <w:spacing w:val="102"/>
                <w:shd w:val="solid" w:color="000000" w:fill="000000"/>
                <w:fitText w:val="188" w:id="-961901308"/>
                <w14:textFill>
                  <w14:solidFill>
                    <w14:srgbClr w14:val="000000">
                      <w14:alpha w14:val="100000"/>
                    </w14:srgbClr>
                  </w14:solidFill>
                </w14:textFill>
              </w:rPr>
              <w:t>|</w:t>
            </w:r>
            <w:r w:rsidRPr="00860BB2">
              <w:rPr>
                <w:color w:val="000000"/>
                <w:spacing w:val="1"/>
                <w:shd w:val="solid" w:color="000000" w:fill="000000"/>
                <w:fitText w:val="188" w:id="-961901308"/>
                <w14:textFill>
                  <w14:solidFill>
                    <w14:srgbClr w14:val="000000">
                      <w14:alpha w14:val="100000"/>
                    </w14:srgbClr>
                  </w14:solidFill>
                </w14:textFill>
              </w:rPr>
              <w:t>|</w:t>
            </w:r>
            <w:r w:rsidR="00914A47" w:rsidRPr="00E37473">
              <w:rPr>
                <w:rFonts w:eastAsia="Calibri"/>
                <w:szCs w:val="20"/>
                <w:vertAlign w:val="superscript"/>
              </w:rPr>
              <w:t>3</w:t>
            </w:r>
          </w:p>
        </w:tc>
        <w:tc>
          <w:tcPr>
            <w:tcW w:w="600" w:type="pct"/>
          </w:tcPr>
          <w:p w14:paraId="7D78E626" w14:textId="582D6C83" w:rsidR="005B626D" w:rsidRPr="00AD5A27" w:rsidRDefault="00860BB2" w:rsidP="005D315B">
            <w:pPr>
              <w:pStyle w:val="TableText0"/>
              <w:jc w:val="center"/>
              <w:rPr>
                <w:rFonts w:eastAsia="Calibri"/>
                <w:bCs w:val="0"/>
                <w:szCs w:val="20"/>
              </w:rPr>
            </w:pPr>
            <w:r w:rsidRPr="00860BB2">
              <w:rPr>
                <w:rFonts w:eastAsia="Calibri"/>
                <w:bCs w:val="0"/>
                <w:color w:val="000000"/>
                <w:spacing w:val="102"/>
                <w:szCs w:val="20"/>
                <w:shd w:val="solid" w:color="000000" w:fill="000000"/>
                <w:fitText w:val="188" w:id="-961901307"/>
                <w14:textFill>
                  <w14:solidFill>
                    <w14:srgbClr w14:val="000000">
                      <w14:alpha w14:val="100000"/>
                    </w14:srgbClr>
                  </w14:solidFill>
                </w14:textFill>
              </w:rPr>
              <w:t>|</w:t>
            </w:r>
            <w:r w:rsidRPr="00860BB2">
              <w:rPr>
                <w:rFonts w:eastAsia="Calibri"/>
                <w:bCs w:val="0"/>
                <w:color w:val="000000"/>
                <w:spacing w:val="1"/>
                <w:szCs w:val="20"/>
                <w:shd w:val="solid" w:color="000000" w:fill="000000"/>
                <w:fitText w:val="188" w:id="-961901307"/>
                <w14:textFill>
                  <w14:solidFill>
                    <w14:srgbClr w14:val="000000">
                      <w14:alpha w14:val="100000"/>
                    </w14:srgbClr>
                  </w14:solidFill>
                </w14:textFill>
              </w:rPr>
              <w:t>|</w:t>
            </w:r>
            <w:r w:rsidR="00561C88">
              <w:rPr>
                <w:rFonts w:eastAsia="Calibri"/>
                <w:bCs w:val="0"/>
                <w:szCs w:val="20"/>
              </w:rPr>
              <w:t>%</w:t>
            </w:r>
          </w:p>
        </w:tc>
      </w:tr>
      <w:tr w:rsidR="00B25FC6" w:rsidRPr="00AD5A27" w14:paraId="74A4C0AA" w14:textId="77777777" w:rsidTr="002D4C2A">
        <w:trPr>
          <w:cantSplit/>
          <w:trHeight w:val="70"/>
        </w:trPr>
        <w:tc>
          <w:tcPr>
            <w:tcW w:w="155" w:type="pct"/>
          </w:tcPr>
          <w:p w14:paraId="54C1DFC5" w14:textId="77777777" w:rsidR="00B25FC6" w:rsidRPr="00AD5A27" w:rsidRDefault="00B25FC6" w:rsidP="005D315B">
            <w:pPr>
              <w:pStyle w:val="TableText0"/>
            </w:pPr>
          </w:p>
        </w:tc>
        <w:tc>
          <w:tcPr>
            <w:tcW w:w="2200" w:type="pct"/>
          </w:tcPr>
          <w:p w14:paraId="2CB26481" w14:textId="6D9DA8E5" w:rsidR="00B25FC6" w:rsidRDefault="00B25FC6" w:rsidP="005D315B">
            <w:pPr>
              <w:pStyle w:val="TableText0"/>
            </w:pPr>
            <w:r>
              <w:t>A, E, H and B</w:t>
            </w:r>
          </w:p>
        </w:tc>
        <w:tc>
          <w:tcPr>
            <w:tcW w:w="708" w:type="pct"/>
          </w:tcPr>
          <w:p w14:paraId="52C67DD5" w14:textId="0A4BBB07" w:rsidR="00B25FC6" w:rsidRDefault="00900FDF" w:rsidP="005D315B">
            <w:pPr>
              <w:pStyle w:val="TableText0"/>
              <w:jc w:val="center"/>
            </w:pPr>
            <w:r>
              <w:t>$</w:t>
            </w:r>
            <w:r w:rsidR="00860BB2" w:rsidRPr="00860BB2">
              <w:rPr>
                <w:rFonts w:hint="eastAsia"/>
                <w:color w:val="000000"/>
                <w:w w:val="15"/>
                <w:shd w:val="solid" w:color="000000" w:fill="000000"/>
                <w:fitText w:val="62" w:id="-961901306"/>
                <w14:textFill>
                  <w14:solidFill>
                    <w14:srgbClr w14:val="000000">
                      <w14:alpha w14:val="100000"/>
                    </w14:srgbClr>
                  </w14:solidFill>
                </w14:textFill>
              </w:rPr>
              <w:t xml:space="preserve">　</w:t>
            </w:r>
            <w:r w:rsidR="00860BB2" w:rsidRPr="00860BB2">
              <w:rPr>
                <w:color w:val="000000"/>
                <w:w w:val="15"/>
                <w:shd w:val="solid" w:color="000000" w:fill="000000"/>
                <w:fitText w:val="62" w:id="-961901306"/>
                <w14:textFill>
                  <w14:solidFill>
                    <w14:srgbClr w14:val="000000">
                      <w14:alpha w14:val="100000"/>
                    </w14:srgbClr>
                  </w14:solidFill>
                </w14:textFill>
              </w:rPr>
              <w:t>|</w:t>
            </w:r>
            <w:r w:rsidR="00860BB2" w:rsidRPr="00860BB2">
              <w:rPr>
                <w:rFonts w:hint="eastAsia"/>
                <w:color w:val="000000"/>
                <w:spacing w:val="-3"/>
                <w:w w:val="15"/>
                <w:shd w:val="solid" w:color="000000" w:fill="000000"/>
                <w:fitText w:val="62" w:id="-961901306"/>
                <w14:textFill>
                  <w14:solidFill>
                    <w14:srgbClr w14:val="000000">
                      <w14:alpha w14:val="100000"/>
                    </w14:srgbClr>
                  </w14:solidFill>
                </w14:textFill>
              </w:rPr>
              <w:t xml:space="preserve">　</w:t>
            </w:r>
          </w:p>
        </w:tc>
        <w:tc>
          <w:tcPr>
            <w:tcW w:w="786" w:type="pct"/>
          </w:tcPr>
          <w:p w14:paraId="23D62D78" w14:textId="01FF4D2E" w:rsidR="00B25FC6" w:rsidRDefault="00900FDF" w:rsidP="005D315B">
            <w:pPr>
              <w:pStyle w:val="TableText0"/>
              <w:jc w:val="center"/>
            </w:pPr>
            <w:r>
              <w:t>0.1273</w:t>
            </w:r>
          </w:p>
        </w:tc>
        <w:tc>
          <w:tcPr>
            <w:tcW w:w="551" w:type="pct"/>
          </w:tcPr>
          <w:p w14:paraId="6A9B2D4E" w14:textId="25E9FB46" w:rsidR="00B25FC6" w:rsidRPr="004815AB" w:rsidRDefault="00860BB2" w:rsidP="005D315B">
            <w:pPr>
              <w:pStyle w:val="TableText0"/>
              <w:jc w:val="center"/>
              <w:rPr>
                <w:highlight w:val="lightGray"/>
              </w:rPr>
            </w:pPr>
            <w:r w:rsidRPr="00860BB2">
              <w:rPr>
                <w:color w:val="000000"/>
                <w:spacing w:val="42"/>
                <w:shd w:val="solid" w:color="000000" w:fill="000000"/>
                <w:fitText w:val="213" w:id="-961901305"/>
                <w14:textFill>
                  <w14:solidFill>
                    <w14:srgbClr w14:val="000000">
                      <w14:alpha w14:val="100000"/>
                    </w14:srgbClr>
                  </w14:solidFill>
                </w14:textFill>
              </w:rPr>
              <w:t>||</w:t>
            </w:r>
            <w:r w:rsidRPr="00860BB2">
              <w:rPr>
                <w:color w:val="000000"/>
                <w:spacing w:val="2"/>
                <w:shd w:val="solid" w:color="000000" w:fill="000000"/>
                <w:fitText w:val="213" w:id="-961901305"/>
                <w14:textFill>
                  <w14:solidFill>
                    <w14:srgbClr w14:val="000000">
                      <w14:alpha w14:val="100000"/>
                    </w14:srgbClr>
                  </w14:solidFill>
                </w14:textFill>
              </w:rPr>
              <w:t>|</w:t>
            </w:r>
            <w:r w:rsidR="001B356A" w:rsidRPr="001B356A">
              <w:rPr>
                <w:vertAlign w:val="superscript"/>
              </w:rPr>
              <w:t>11</w:t>
            </w:r>
          </w:p>
        </w:tc>
        <w:tc>
          <w:tcPr>
            <w:tcW w:w="600" w:type="pct"/>
          </w:tcPr>
          <w:p w14:paraId="5E260BEF" w14:textId="1265897C" w:rsidR="00B25FC6" w:rsidRDefault="00860BB2" w:rsidP="005D315B">
            <w:pPr>
              <w:pStyle w:val="TableText0"/>
              <w:jc w:val="center"/>
              <w:rPr>
                <w:rFonts w:eastAsia="Calibri"/>
                <w:bCs w:val="0"/>
                <w:szCs w:val="20"/>
              </w:rPr>
            </w:pPr>
            <w:r w:rsidRPr="00860BB2">
              <w:rPr>
                <w:rFonts w:eastAsia="Calibri"/>
                <w:bCs w:val="0"/>
                <w:color w:val="000000"/>
                <w:spacing w:val="102"/>
                <w:szCs w:val="20"/>
                <w:shd w:val="solid" w:color="000000" w:fill="000000"/>
                <w:fitText w:val="188" w:id="-961901056"/>
                <w14:textFill>
                  <w14:solidFill>
                    <w14:srgbClr w14:val="000000">
                      <w14:alpha w14:val="100000"/>
                    </w14:srgbClr>
                  </w14:solidFill>
                </w14:textFill>
              </w:rPr>
              <w:t>|</w:t>
            </w:r>
            <w:r w:rsidRPr="00860BB2">
              <w:rPr>
                <w:rFonts w:eastAsia="Calibri"/>
                <w:bCs w:val="0"/>
                <w:color w:val="000000"/>
                <w:spacing w:val="1"/>
                <w:szCs w:val="20"/>
                <w:shd w:val="solid" w:color="000000" w:fill="000000"/>
                <w:fitText w:val="188" w:id="-961901056"/>
                <w14:textFill>
                  <w14:solidFill>
                    <w14:srgbClr w14:val="000000">
                      <w14:alpha w14:val="100000"/>
                    </w14:srgbClr>
                  </w14:solidFill>
                </w14:textFill>
              </w:rPr>
              <w:t>|</w:t>
            </w:r>
            <w:r w:rsidR="00EC6A5E">
              <w:rPr>
                <w:rFonts w:eastAsia="Calibri"/>
                <w:bCs w:val="0"/>
                <w:szCs w:val="20"/>
              </w:rPr>
              <w:t>%</w:t>
            </w:r>
          </w:p>
        </w:tc>
      </w:tr>
      <w:tr w:rsidR="00B25FC6" w:rsidRPr="00AD5A27" w14:paraId="67E1F05B" w14:textId="77777777" w:rsidTr="002D4C2A">
        <w:trPr>
          <w:cantSplit/>
          <w:trHeight w:val="70"/>
        </w:trPr>
        <w:tc>
          <w:tcPr>
            <w:tcW w:w="155" w:type="pct"/>
          </w:tcPr>
          <w:p w14:paraId="1DA3E7E4" w14:textId="77777777" w:rsidR="00B25FC6" w:rsidRPr="00AD5A27" w:rsidRDefault="00B25FC6" w:rsidP="005D315B">
            <w:pPr>
              <w:pStyle w:val="TableText0"/>
            </w:pPr>
          </w:p>
        </w:tc>
        <w:tc>
          <w:tcPr>
            <w:tcW w:w="2200" w:type="pct"/>
          </w:tcPr>
          <w:p w14:paraId="3403E939" w14:textId="0A11CF43" w:rsidR="00B25FC6" w:rsidRDefault="00B25FC6" w:rsidP="005D315B">
            <w:pPr>
              <w:pStyle w:val="TableText0"/>
            </w:pPr>
            <w:r>
              <w:t>A, E, H and C</w:t>
            </w:r>
          </w:p>
        </w:tc>
        <w:tc>
          <w:tcPr>
            <w:tcW w:w="708" w:type="pct"/>
          </w:tcPr>
          <w:p w14:paraId="15170FEB" w14:textId="0B2C3DF6" w:rsidR="00B25FC6" w:rsidRDefault="00900FDF" w:rsidP="005D315B">
            <w:pPr>
              <w:pStyle w:val="TableText0"/>
              <w:jc w:val="center"/>
            </w:pPr>
            <w:r>
              <w:t>$</w:t>
            </w:r>
            <w:r w:rsidR="00860BB2" w:rsidRPr="00860BB2">
              <w:rPr>
                <w:rFonts w:hint="eastAsia"/>
                <w:color w:val="000000"/>
                <w:w w:val="15"/>
                <w:shd w:val="solid" w:color="000000" w:fill="000000"/>
                <w:fitText w:val="62" w:id="-961901055"/>
                <w14:textFill>
                  <w14:solidFill>
                    <w14:srgbClr w14:val="000000">
                      <w14:alpha w14:val="100000"/>
                    </w14:srgbClr>
                  </w14:solidFill>
                </w14:textFill>
              </w:rPr>
              <w:t xml:space="preserve">　</w:t>
            </w:r>
            <w:r w:rsidR="00860BB2" w:rsidRPr="00860BB2">
              <w:rPr>
                <w:color w:val="000000"/>
                <w:w w:val="15"/>
                <w:shd w:val="solid" w:color="000000" w:fill="000000"/>
                <w:fitText w:val="62" w:id="-961901055"/>
                <w14:textFill>
                  <w14:solidFill>
                    <w14:srgbClr w14:val="000000">
                      <w14:alpha w14:val="100000"/>
                    </w14:srgbClr>
                  </w14:solidFill>
                </w14:textFill>
              </w:rPr>
              <w:t>|</w:t>
            </w:r>
            <w:r w:rsidR="00860BB2" w:rsidRPr="00860BB2">
              <w:rPr>
                <w:rFonts w:hint="eastAsia"/>
                <w:color w:val="000000"/>
                <w:spacing w:val="-3"/>
                <w:w w:val="15"/>
                <w:shd w:val="solid" w:color="000000" w:fill="000000"/>
                <w:fitText w:val="62" w:id="-961901055"/>
                <w14:textFill>
                  <w14:solidFill>
                    <w14:srgbClr w14:val="000000">
                      <w14:alpha w14:val="100000"/>
                    </w14:srgbClr>
                  </w14:solidFill>
                </w14:textFill>
              </w:rPr>
              <w:t xml:space="preserve">　</w:t>
            </w:r>
          </w:p>
        </w:tc>
        <w:tc>
          <w:tcPr>
            <w:tcW w:w="786" w:type="pct"/>
          </w:tcPr>
          <w:p w14:paraId="30CA668A" w14:textId="50B481D8" w:rsidR="00B25FC6" w:rsidRDefault="00900FDF" w:rsidP="005D315B">
            <w:pPr>
              <w:pStyle w:val="TableText0"/>
              <w:jc w:val="center"/>
            </w:pPr>
            <w:r>
              <w:t>0.0793</w:t>
            </w:r>
          </w:p>
        </w:tc>
        <w:tc>
          <w:tcPr>
            <w:tcW w:w="551" w:type="pct"/>
          </w:tcPr>
          <w:p w14:paraId="5FCC9080" w14:textId="5E1EEDA8" w:rsidR="00B25FC6" w:rsidRPr="004815AB" w:rsidRDefault="00860BB2" w:rsidP="005D315B">
            <w:pPr>
              <w:pStyle w:val="TableText0"/>
              <w:jc w:val="center"/>
              <w:rPr>
                <w:highlight w:val="lightGray"/>
              </w:rPr>
            </w:pPr>
            <w:r w:rsidRPr="00860BB2">
              <w:rPr>
                <w:color w:val="000000"/>
                <w:spacing w:val="42"/>
                <w:shd w:val="solid" w:color="000000" w:fill="000000"/>
                <w:fitText w:val="213" w:id="-961901054"/>
                <w14:textFill>
                  <w14:solidFill>
                    <w14:srgbClr w14:val="000000">
                      <w14:alpha w14:val="100000"/>
                    </w14:srgbClr>
                  </w14:solidFill>
                </w14:textFill>
              </w:rPr>
              <w:t>||</w:t>
            </w:r>
            <w:r w:rsidRPr="00860BB2">
              <w:rPr>
                <w:color w:val="000000"/>
                <w:spacing w:val="2"/>
                <w:shd w:val="solid" w:color="000000" w:fill="000000"/>
                <w:fitText w:val="213" w:id="-961901054"/>
                <w14:textFill>
                  <w14:solidFill>
                    <w14:srgbClr w14:val="000000">
                      <w14:alpha w14:val="100000"/>
                    </w14:srgbClr>
                  </w14:solidFill>
                </w14:textFill>
              </w:rPr>
              <w:t>|</w:t>
            </w:r>
            <w:r w:rsidR="001B356A">
              <w:rPr>
                <w:rFonts w:eastAsia="Calibri"/>
                <w:szCs w:val="20"/>
                <w:vertAlign w:val="superscript"/>
              </w:rPr>
              <w:t>10</w:t>
            </w:r>
          </w:p>
        </w:tc>
        <w:tc>
          <w:tcPr>
            <w:tcW w:w="600" w:type="pct"/>
          </w:tcPr>
          <w:p w14:paraId="45D06C92" w14:textId="4813FFDC" w:rsidR="00B25FC6" w:rsidRDefault="00860BB2" w:rsidP="005D315B">
            <w:pPr>
              <w:pStyle w:val="TableText0"/>
              <w:jc w:val="center"/>
              <w:rPr>
                <w:rFonts w:eastAsia="Calibri"/>
                <w:bCs w:val="0"/>
                <w:szCs w:val="20"/>
              </w:rPr>
            </w:pPr>
            <w:r w:rsidRPr="00860BB2">
              <w:rPr>
                <w:rFonts w:eastAsia="Calibri"/>
                <w:bCs w:val="0"/>
                <w:color w:val="000000"/>
                <w:spacing w:val="102"/>
                <w:szCs w:val="20"/>
                <w:shd w:val="solid" w:color="000000" w:fill="000000"/>
                <w:fitText w:val="188" w:id="-961901053"/>
                <w14:textFill>
                  <w14:solidFill>
                    <w14:srgbClr w14:val="000000">
                      <w14:alpha w14:val="100000"/>
                    </w14:srgbClr>
                  </w14:solidFill>
                </w14:textFill>
              </w:rPr>
              <w:t>|</w:t>
            </w:r>
            <w:r w:rsidRPr="00860BB2">
              <w:rPr>
                <w:rFonts w:eastAsia="Calibri"/>
                <w:bCs w:val="0"/>
                <w:color w:val="000000"/>
                <w:spacing w:val="1"/>
                <w:szCs w:val="20"/>
                <w:shd w:val="solid" w:color="000000" w:fill="000000"/>
                <w:fitText w:val="188" w:id="-961901053"/>
                <w14:textFill>
                  <w14:solidFill>
                    <w14:srgbClr w14:val="000000">
                      <w14:alpha w14:val="100000"/>
                    </w14:srgbClr>
                  </w14:solidFill>
                </w14:textFill>
              </w:rPr>
              <w:t>|</w:t>
            </w:r>
            <w:r w:rsidR="00EC6A5E">
              <w:rPr>
                <w:rFonts w:eastAsia="Calibri"/>
                <w:bCs w:val="0"/>
                <w:szCs w:val="20"/>
              </w:rPr>
              <w:t>%</w:t>
            </w:r>
          </w:p>
        </w:tc>
      </w:tr>
    </w:tbl>
    <w:bookmarkEnd w:id="67"/>
    <w:p w14:paraId="384F6004" w14:textId="0661EB4A" w:rsidR="002A66BB" w:rsidRPr="00AD5A27" w:rsidRDefault="002A66BB" w:rsidP="00BB732D">
      <w:pPr>
        <w:pStyle w:val="FooterTableFigure"/>
        <w:rPr>
          <w:rFonts w:eastAsia="Calibri"/>
          <w:szCs w:val="20"/>
        </w:rPr>
      </w:pPr>
      <w:r w:rsidRPr="00AD5A27">
        <w:t xml:space="preserve">Source: Table 3-23, pp191-193 of the </w:t>
      </w:r>
      <w:r w:rsidR="00E77AF0" w:rsidRPr="00AD5A27">
        <w:t>re</w:t>
      </w:r>
      <w:r w:rsidRPr="00AD5A27">
        <w:t>submission</w:t>
      </w:r>
      <w:r w:rsidRPr="00AD5A27">
        <w:rPr>
          <w:rFonts w:eastAsia="Calibri"/>
          <w:szCs w:val="20"/>
        </w:rPr>
        <w:t>.</w:t>
      </w:r>
    </w:p>
    <w:p w14:paraId="58235623" w14:textId="3E1939DD" w:rsidR="002A66BB" w:rsidRPr="00AD5A27" w:rsidRDefault="002A66BB" w:rsidP="00BB732D">
      <w:pPr>
        <w:pStyle w:val="FooterTableFigure"/>
        <w:rPr>
          <w:rFonts w:eastAsia="Calibri"/>
          <w:szCs w:val="20"/>
        </w:rPr>
      </w:pPr>
      <w:r w:rsidRPr="00AD5A27">
        <w:rPr>
          <w:rFonts w:eastAsia="Calibri"/>
          <w:szCs w:val="20"/>
        </w:rPr>
        <w:t xml:space="preserve">BC = base case; BSC = best supportive care; </w:t>
      </w:r>
      <w:r w:rsidR="000632AC" w:rsidRPr="00AD5A27">
        <w:rPr>
          <w:rFonts w:eastAsia="Calibri"/>
          <w:szCs w:val="20"/>
        </w:rPr>
        <w:t xml:space="preserve">CI </w:t>
      </w:r>
      <w:r w:rsidRPr="00AD5A27">
        <w:rPr>
          <w:rFonts w:eastAsia="Calibri"/>
          <w:szCs w:val="20"/>
        </w:rPr>
        <w:t xml:space="preserve">= confidence </w:t>
      </w:r>
      <w:r w:rsidR="000632AC" w:rsidRPr="00AD5A27">
        <w:rPr>
          <w:rFonts w:eastAsia="Calibri"/>
          <w:szCs w:val="20"/>
        </w:rPr>
        <w:t>interval</w:t>
      </w:r>
      <w:r w:rsidRPr="00AD5A27">
        <w:rPr>
          <w:rFonts w:eastAsia="Calibri"/>
          <w:szCs w:val="20"/>
        </w:rPr>
        <w:t>; HR = hazard ratio; ICER = incremental cost-effectiveness ratio; QALY = quality-adjusted life year.</w:t>
      </w:r>
    </w:p>
    <w:p w14:paraId="1878099C" w14:textId="7EA550EB" w:rsidR="002A66BB" w:rsidRPr="00AD5A27" w:rsidRDefault="002A66BB" w:rsidP="00BB732D">
      <w:pPr>
        <w:pStyle w:val="FooterTableFigure"/>
        <w:rPr>
          <w:rFonts w:eastAsia="Calibri"/>
          <w:szCs w:val="20"/>
        </w:rPr>
      </w:pPr>
      <w:r w:rsidRPr="00AD5A27">
        <w:rPr>
          <w:rFonts w:eastAsia="Calibri"/>
          <w:szCs w:val="20"/>
          <w:vertAlign w:val="superscript"/>
        </w:rPr>
        <w:t>a</w:t>
      </w:r>
      <w:r w:rsidRPr="00AD5A27">
        <w:rPr>
          <w:rFonts w:eastAsia="Calibri"/>
          <w:szCs w:val="20"/>
        </w:rPr>
        <w:t xml:space="preserve"> </w:t>
      </w:r>
      <w:r w:rsidR="003A05A5" w:rsidRPr="00AD5A27">
        <w:rPr>
          <w:rFonts w:eastAsia="Calibri"/>
          <w:szCs w:val="20"/>
        </w:rPr>
        <w:t>The resubmission stated that it applied 0.0044 for the monthly probability for glaucoma, however 0.0073 was applied in the economic model.</w:t>
      </w:r>
      <w:r w:rsidRPr="00AD5A27">
        <w:rPr>
          <w:rFonts w:eastAsia="Calibri"/>
          <w:szCs w:val="20"/>
        </w:rPr>
        <w:t xml:space="preserve"> In the resubmission’s TreeAge model, changed variable the value of p_oc_SoC_glau from 0.0073 to 0.0044 (Table 3-6, p160 of the resubmission).</w:t>
      </w:r>
    </w:p>
    <w:p w14:paraId="50155BC5" w14:textId="77777777" w:rsidR="002A66BB" w:rsidRPr="00AD5A27" w:rsidRDefault="002A66BB" w:rsidP="00BB732D">
      <w:pPr>
        <w:pStyle w:val="FooterTableFigure"/>
        <w:rPr>
          <w:rFonts w:eastAsia="Calibri"/>
          <w:szCs w:val="20"/>
        </w:rPr>
      </w:pPr>
      <w:r w:rsidRPr="00AD5A27">
        <w:rPr>
          <w:rFonts w:eastAsia="Calibri"/>
          <w:szCs w:val="20"/>
          <w:vertAlign w:val="superscript"/>
        </w:rPr>
        <w:t xml:space="preserve">b </w:t>
      </w:r>
      <w:r w:rsidRPr="00AD5A27">
        <w:rPr>
          <w:rFonts w:eastAsia="Calibri"/>
          <w:szCs w:val="20"/>
        </w:rPr>
        <w:t>Changed the value of variable duration_yrs from 57 (base case) to 10.</w:t>
      </w:r>
    </w:p>
    <w:p w14:paraId="5E6E73F3" w14:textId="5DC940ED" w:rsidR="002A66BB" w:rsidRPr="00AD5A27" w:rsidRDefault="002A66BB">
      <w:pPr>
        <w:pStyle w:val="FooterTableFigure"/>
        <w:rPr>
          <w:rFonts w:eastAsia="Calibri"/>
          <w:szCs w:val="20"/>
        </w:rPr>
      </w:pPr>
      <w:r w:rsidRPr="00AD5A27">
        <w:rPr>
          <w:rFonts w:eastAsia="Calibri"/>
          <w:szCs w:val="20"/>
          <w:vertAlign w:val="superscript"/>
        </w:rPr>
        <w:t>c</w:t>
      </w:r>
      <w:r w:rsidRPr="00AD5A27">
        <w:rPr>
          <w:rFonts w:eastAsia="Calibri"/>
          <w:szCs w:val="20"/>
        </w:rPr>
        <w:t xml:space="preserve"> Changed the value of variable HR_flare_ADA from 0.53 (base case) to 0.68</w:t>
      </w:r>
      <w:r w:rsidR="00347E18" w:rsidRPr="00AD5A27">
        <w:rPr>
          <w:rFonts w:eastAsia="Calibri"/>
          <w:szCs w:val="20"/>
        </w:rPr>
        <w:t xml:space="preserve"> or 0.41</w:t>
      </w:r>
      <w:r w:rsidRPr="00AD5A27">
        <w:rPr>
          <w:rFonts w:eastAsia="Calibri"/>
          <w:szCs w:val="20"/>
        </w:rPr>
        <w:t>.</w:t>
      </w:r>
    </w:p>
    <w:p w14:paraId="4E6313E2" w14:textId="4168CB1D" w:rsidR="002A66BB" w:rsidRPr="00AD5A27" w:rsidRDefault="002A66BB">
      <w:pPr>
        <w:pStyle w:val="FooterTableFigure"/>
        <w:rPr>
          <w:rFonts w:eastAsia="Calibri"/>
          <w:szCs w:val="20"/>
        </w:rPr>
      </w:pPr>
      <w:r w:rsidRPr="00AD5A27">
        <w:rPr>
          <w:rFonts w:eastAsia="Calibri"/>
          <w:szCs w:val="20"/>
          <w:vertAlign w:val="superscript"/>
        </w:rPr>
        <w:t>d</w:t>
      </w:r>
      <w:r w:rsidRPr="00AD5A27">
        <w:rPr>
          <w:rFonts w:eastAsia="Calibri"/>
          <w:szCs w:val="20"/>
        </w:rPr>
        <w:t xml:space="preserve"> Changed the value of variable HR_link_coeff from 1 (base case) to 0.85</w:t>
      </w:r>
      <w:r w:rsidR="00DD44C6" w:rsidRPr="00AD5A27">
        <w:rPr>
          <w:rFonts w:eastAsia="Calibri"/>
          <w:szCs w:val="20"/>
        </w:rPr>
        <w:t>, 0.75 or 0.5</w:t>
      </w:r>
      <w:r w:rsidRPr="00AD5A27">
        <w:rPr>
          <w:rFonts w:eastAsia="Calibri"/>
          <w:szCs w:val="20"/>
        </w:rPr>
        <w:t>.</w:t>
      </w:r>
    </w:p>
    <w:p w14:paraId="27FAFA26" w14:textId="1C6DE372" w:rsidR="001A6E58" w:rsidRPr="00AD5A27" w:rsidRDefault="001A6E58">
      <w:pPr>
        <w:pStyle w:val="FooterTableFigure"/>
        <w:rPr>
          <w:rFonts w:eastAsia="Calibri"/>
          <w:szCs w:val="20"/>
        </w:rPr>
      </w:pPr>
      <w:r w:rsidRPr="00AD5A27">
        <w:rPr>
          <w:rFonts w:eastAsia="Calibri"/>
          <w:szCs w:val="20"/>
          <w:vertAlign w:val="superscript"/>
        </w:rPr>
        <w:lastRenderedPageBreak/>
        <w:t>e</w:t>
      </w:r>
      <w:r w:rsidRPr="00AD5A27">
        <w:rPr>
          <w:rFonts w:eastAsia="Calibri"/>
          <w:szCs w:val="20"/>
        </w:rPr>
        <w:t xml:space="preserve"> Changed the value of variable max_disease_dur_yrs to 99, 10, or 3.</w:t>
      </w:r>
    </w:p>
    <w:p w14:paraId="7033901F" w14:textId="6663F68F" w:rsidR="00AF25F2" w:rsidRDefault="00AF25F2">
      <w:pPr>
        <w:pStyle w:val="FooterTableFigure"/>
        <w:rPr>
          <w:rFonts w:eastAsia="Calibri"/>
          <w:szCs w:val="20"/>
        </w:rPr>
      </w:pPr>
      <w:r w:rsidRPr="00AD5A27">
        <w:rPr>
          <w:rFonts w:eastAsia="Calibri"/>
          <w:szCs w:val="20"/>
          <w:vertAlign w:val="superscript"/>
        </w:rPr>
        <w:t>f</w:t>
      </w:r>
      <w:r w:rsidRPr="00AD5A27">
        <w:rPr>
          <w:rFonts w:eastAsia="Calibri"/>
          <w:szCs w:val="20"/>
        </w:rPr>
        <w:t xml:space="preserve"> DPMQ = Calculated as AEMP + wholesaler markup of $38.05 + AHI fee of $26.82 + Dispensing fee of $8.37</w:t>
      </w:r>
    </w:p>
    <w:p w14:paraId="19C906B1" w14:textId="09C0D382" w:rsidR="00E37473" w:rsidRPr="00015FF3" w:rsidRDefault="00E37473">
      <w:pPr>
        <w:pStyle w:val="FooterTableFigure"/>
        <w:rPr>
          <w:rFonts w:eastAsia="Calibri"/>
          <w:i/>
          <w:iCs/>
          <w:szCs w:val="20"/>
        </w:rPr>
      </w:pPr>
      <w:bookmarkStart w:id="68" w:name="_Hlk166057842"/>
      <w:r w:rsidRPr="00015FF3">
        <w:rPr>
          <w:rFonts w:eastAsia="Calibri"/>
          <w:i/>
          <w:iCs/>
          <w:szCs w:val="20"/>
        </w:rPr>
        <w:t>The redacted values correspond to the following ranges:</w:t>
      </w:r>
    </w:p>
    <w:p w14:paraId="4F773B65" w14:textId="728B6A06" w:rsidR="00E37473" w:rsidRPr="00015FF3" w:rsidRDefault="00E37473" w:rsidP="00E37473">
      <w:pPr>
        <w:pStyle w:val="FooterTableFigure"/>
        <w:rPr>
          <w:rFonts w:eastAsia="Calibri"/>
          <w:i/>
          <w:iCs/>
          <w:szCs w:val="20"/>
        </w:rPr>
      </w:pPr>
      <w:r w:rsidRPr="00015FF3">
        <w:rPr>
          <w:rFonts w:eastAsia="Calibri"/>
          <w:i/>
          <w:iCs/>
          <w:szCs w:val="20"/>
          <w:vertAlign w:val="superscript"/>
        </w:rPr>
        <w:t>1</w:t>
      </w:r>
      <w:r w:rsidRPr="00015FF3">
        <w:rPr>
          <w:rFonts w:eastAsia="Calibri"/>
          <w:i/>
          <w:iCs/>
          <w:szCs w:val="20"/>
        </w:rPr>
        <w:t>$25,000 to &lt; $35,000</w:t>
      </w:r>
    </w:p>
    <w:p w14:paraId="5E62F7E4" w14:textId="3A81A19B" w:rsidR="00E37473" w:rsidRPr="00015FF3" w:rsidRDefault="00E37473" w:rsidP="00E37473">
      <w:pPr>
        <w:pStyle w:val="FooterTableFigure"/>
        <w:rPr>
          <w:rFonts w:eastAsia="Calibri"/>
          <w:i/>
          <w:iCs/>
          <w:szCs w:val="20"/>
        </w:rPr>
      </w:pPr>
      <w:r w:rsidRPr="00015FF3">
        <w:rPr>
          <w:rFonts w:eastAsia="Calibri"/>
          <w:i/>
          <w:iCs/>
          <w:szCs w:val="20"/>
          <w:vertAlign w:val="superscript"/>
        </w:rPr>
        <w:t>2</w:t>
      </w:r>
      <w:r w:rsidRPr="00015FF3">
        <w:rPr>
          <w:rFonts w:eastAsia="Calibri"/>
          <w:i/>
          <w:iCs/>
          <w:szCs w:val="20"/>
        </w:rPr>
        <w:t>$35,000 to &lt; $45,000</w:t>
      </w:r>
    </w:p>
    <w:p w14:paraId="2A171D9C" w14:textId="065766B8" w:rsidR="00E37473" w:rsidRPr="00015FF3" w:rsidRDefault="00E37473" w:rsidP="00E37473">
      <w:pPr>
        <w:pStyle w:val="FooterTableFigure"/>
        <w:rPr>
          <w:rFonts w:eastAsia="Calibri"/>
          <w:i/>
          <w:iCs/>
          <w:szCs w:val="20"/>
        </w:rPr>
      </w:pPr>
      <w:r w:rsidRPr="00015FF3">
        <w:rPr>
          <w:rFonts w:eastAsia="Calibri"/>
          <w:i/>
          <w:iCs/>
          <w:szCs w:val="20"/>
          <w:vertAlign w:val="superscript"/>
        </w:rPr>
        <w:t>3</w:t>
      </w:r>
      <w:r w:rsidRPr="00015FF3">
        <w:rPr>
          <w:rFonts w:eastAsia="Calibri"/>
          <w:i/>
          <w:iCs/>
          <w:szCs w:val="20"/>
        </w:rPr>
        <w:t>$55,000 to &lt; $75,000</w:t>
      </w:r>
    </w:p>
    <w:p w14:paraId="4E7B14F3" w14:textId="528CAC3A" w:rsidR="00914A47" w:rsidRPr="00015FF3" w:rsidRDefault="00914A47" w:rsidP="00E37473">
      <w:pPr>
        <w:pStyle w:val="FooterTableFigure"/>
        <w:rPr>
          <w:rFonts w:eastAsia="Calibri"/>
          <w:i/>
          <w:iCs/>
          <w:szCs w:val="20"/>
        </w:rPr>
      </w:pPr>
      <w:r w:rsidRPr="00015FF3">
        <w:rPr>
          <w:rFonts w:eastAsia="Calibri"/>
          <w:i/>
          <w:iCs/>
          <w:szCs w:val="20"/>
          <w:vertAlign w:val="superscript"/>
        </w:rPr>
        <w:t>4</w:t>
      </w:r>
      <w:r w:rsidRPr="00015FF3">
        <w:rPr>
          <w:rFonts w:eastAsia="Calibri"/>
          <w:i/>
          <w:iCs/>
          <w:szCs w:val="20"/>
        </w:rPr>
        <w:t>$115,000 to &lt; $135,000</w:t>
      </w:r>
    </w:p>
    <w:p w14:paraId="01AE5D1E" w14:textId="780906AE" w:rsidR="00914A47" w:rsidRPr="00015FF3" w:rsidRDefault="00914A47" w:rsidP="00E37473">
      <w:pPr>
        <w:pStyle w:val="FooterTableFigure"/>
        <w:rPr>
          <w:rFonts w:eastAsia="Calibri"/>
          <w:i/>
          <w:iCs/>
          <w:szCs w:val="20"/>
        </w:rPr>
      </w:pPr>
      <w:r w:rsidRPr="00015FF3">
        <w:rPr>
          <w:rFonts w:eastAsia="Calibri"/>
          <w:i/>
          <w:iCs/>
          <w:szCs w:val="20"/>
          <w:vertAlign w:val="superscript"/>
        </w:rPr>
        <w:t>5</w:t>
      </w:r>
      <w:r w:rsidRPr="00015FF3">
        <w:rPr>
          <w:rFonts w:eastAsia="Calibri"/>
          <w:i/>
          <w:iCs/>
          <w:szCs w:val="20"/>
        </w:rPr>
        <w:t>$255,000 to &lt; $355,000</w:t>
      </w:r>
    </w:p>
    <w:p w14:paraId="3E36E154" w14:textId="77777777" w:rsidR="00892E82" w:rsidRPr="00015FF3" w:rsidRDefault="00892E82" w:rsidP="00892E82">
      <w:pPr>
        <w:pStyle w:val="FooterTableFigure"/>
        <w:rPr>
          <w:rFonts w:eastAsia="Calibri"/>
          <w:i/>
          <w:iCs/>
          <w:szCs w:val="20"/>
        </w:rPr>
      </w:pPr>
      <w:r w:rsidRPr="00015FF3">
        <w:rPr>
          <w:rFonts w:eastAsia="Calibri"/>
          <w:i/>
          <w:iCs/>
          <w:szCs w:val="20"/>
          <w:vertAlign w:val="superscript"/>
        </w:rPr>
        <w:t>6</w:t>
      </w:r>
      <w:r w:rsidRPr="00015FF3">
        <w:rPr>
          <w:rFonts w:eastAsia="Calibri"/>
          <w:i/>
          <w:iCs/>
          <w:szCs w:val="20"/>
        </w:rPr>
        <w:t>$75,000 to &lt; $95,000</w:t>
      </w:r>
    </w:p>
    <w:p w14:paraId="77A33373" w14:textId="5A6F1AB2" w:rsidR="00892E82" w:rsidRPr="00015FF3" w:rsidRDefault="00892E82" w:rsidP="00892E82">
      <w:pPr>
        <w:pStyle w:val="FooterTableFigure"/>
        <w:rPr>
          <w:rFonts w:eastAsia="Calibri"/>
          <w:i/>
          <w:iCs/>
          <w:szCs w:val="20"/>
        </w:rPr>
      </w:pPr>
      <w:r w:rsidRPr="00015FF3">
        <w:rPr>
          <w:rFonts w:eastAsia="Calibri"/>
          <w:i/>
          <w:iCs/>
          <w:szCs w:val="20"/>
          <w:vertAlign w:val="superscript"/>
        </w:rPr>
        <w:t>7</w:t>
      </w:r>
      <w:r w:rsidRPr="00015FF3">
        <w:rPr>
          <w:rFonts w:eastAsia="Calibri"/>
          <w:i/>
          <w:iCs/>
          <w:szCs w:val="20"/>
        </w:rPr>
        <w:t>$5,000 to &lt; $15,000</w:t>
      </w:r>
    </w:p>
    <w:p w14:paraId="620CE09E" w14:textId="4BBDCCCB" w:rsidR="00892E82" w:rsidRPr="00015FF3" w:rsidRDefault="00892E82" w:rsidP="00892E82">
      <w:pPr>
        <w:pStyle w:val="FooterTableFigure"/>
        <w:rPr>
          <w:rFonts w:eastAsia="Calibri"/>
          <w:i/>
          <w:iCs/>
          <w:szCs w:val="20"/>
        </w:rPr>
      </w:pPr>
      <w:r w:rsidRPr="00015FF3">
        <w:rPr>
          <w:rFonts w:eastAsia="Calibri"/>
          <w:i/>
          <w:iCs/>
          <w:szCs w:val="20"/>
          <w:vertAlign w:val="superscript"/>
        </w:rPr>
        <w:t>8</w:t>
      </w:r>
      <w:r w:rsidRPr="00015FF3">
        <w:rPr>
          <w:rFonts w:eastAsia="Calibri"/>
          <w:i/>
          <w:iCs/>
          <w:szCs w:val="20"/>
        </w:rPr>
        <w:t>$45,000 to &lt; $55,000</w:t>
      </w:r>
    </w:p>
    <w:p w14:paraId="373C4696" w14:textId="6A557AE9" w:rsidR="001B356A" w:rsidRPr="00015FF3" w:rsidRDefault="001B356A" w:rsidP="00892E82">
      <w:pPr>
        <w:pStyle w:val="FooterTableFigure"/>
        <w:rPr>
          <w:rFonts w:eastAsia="Calibri"/>
          <w:i/>
          <w:iCs/>
          <w:szCs w:val="20"/>
        </w:rPr>
      </w:pPr>
      <w:r w:rsidRPr="00015FF3">
        <w:rPr>
          <w:rFonts w:eastAsia="Calibri"/>
          <w:i/>
          <w:iCs/>
          <w:szCs w:val="20"/>
          <w:vertAlign w:val="superscript"/>
        </w:rPr>
        <w:t>9</w:t>
      </w:r>
      <w:r w:rsidRPr="00015FF3">
        <w:rPr>
          <w:rFonts w:eastAsia="Calibri"/>
          <w:i/>
          <w:iCs/>
          <w:szCs w:val="20"/>
        </w:rPr>
        <w:t>$135,000 to &lt; $155,000</w:t>
      </w:r>
    </w:p>
    <w:p w14:paraId="2C4C3BE4" w14:textId="73B85700" w:rsidR="00892E82" w:rsidRPr="00015FF3" w:rsidRDefault="001B356A" w:rsidP="00E37473">
      <w:pPr>
        <w:pStyle w:val="FooterTableFigure"/>
        <w:rPr>
          <w:rFonts w:eastAsia="Calibri"/>
          <w:i/>
          <w:iCs/>
          <w:szCs w:val="20"/>
        </w:rPr>
      </w:pPr>
      <w:r w:rsidRPr="00015FF3">
        <w:rPr>
          <w:rFonts w:eastAsia="Calibri"/>
          <w:i/>
          <w:iCs/>
          <w:szCs w:val="20"/>
          <w:vertAlign w:val="superscript"/>
        </w:rPr>
        <w:t>10</w:t>
      </w:r>
      <w:r w:rsidR="00892E82" w:rsidRPr="00015FF3">
        <w:rPr>
          <w:rFonts w:eastAsia="Calibri"/>
          <w:i/>
          <w:iCs/>
          <w:szCs w:val="20"/>
        </w:rPr>
        <w:t>$155,000 to &lt; $255,000</w:t>
      </w:r>
    </w:p>
    <w:p w14:paraId="404BD8E3" w14:textId="4ACED939" w:rsidR="00E37473" w:rsidRDefault="001B356A" w:rsidP="00E37473">
      <w:pPr>
        <w:pStyle w:val="FooterTableFigure"/>
        <w:rPr>
          <w:rFonts w:eastAsia="Calibri"/>
          <w:i/>
          <w:iCs/>
          <w:szCs w:val="20"/>
        </w:rPr>
      </w:pPr>
      <w:r w:rsidRPr="00015FF3">
        <w:rPr>
          <w:rFonts w:eastAsia="Calibri"/>
          <w:i/>
          <w:iCs/>
          <w:szCs w:val="20"/>
          <w:vertAlign w:val="superscript"/>
        </w:rPr>
        <w:t>11</w:t>
      </w:r>
      <w:r w:rsidRPr="00015FF3">
        <w:rPr>
          <w:rFonts w:eastAsia="Calibri"/>
          <w:i/>
          <w:iCs/>
          <w:szCs w:val="20"/>
        </w:rPr>
        <w:t>$95,000 to &lt; $115,000</w:t>
      </w:r>
      <w:bookmarkEnd w:id="68"/>
    </w:p>
    <w:p w14:paraId="25A4EA89" w14:textId="075B97F9" w:rsidR="00015FF3" w:rsidRPr="00015FF3" w:rsidRDefault="00015FF3" w:rsidP="00E37473">
      <w:pPr>
        <w:pStyle w:val="FooterTableFigure"/>
        <w:rPr>
          <w:rFonts w:eastAsia="Calibri"/>
          <w:i/>
          <w:iCs/>
          <w:szCs w:val="20"/>
        </w:rPr>
      </w:pPr>
      <w:r w:rsidRPr="00015FF3">
        <w:rPr>
          <w:rFonts w:eastAsia="Calibri"/>
          <w:i/>
          <w:iCs/>
          <w:szCs w:val="20"/>
          <w:vertAlign w:val="superscript"/>
        </w:rPr>
        <w:t>1</w:t>
      </w:r>
      <w:r>
        <w:rPr>
          <w:rFonts w:eastAsia="Calibri"/>
          <w:i/>
          <w:iCs/>
          <w:szCs w:val="20"/>
          <w:vertAlign w:val="superscript"/>
        </w:rPr>
        <w:t xml:space="preserve">2 </w:t>
      </w:r>
      <w:r w:rsidRPr="00015FF3">
        <w:rPr>
          <w:rFonts w:eastAsia="Calibri"/>
          <w:i/>
          <w:iCs/>
          <w:szCs w:val="20"/>
        </w:rPr>
        <w:t>$</w:t>
      </w:r>
      <w:r>
        <w:rPr>
          <w:rFonts w:eastAsia="Calibri"/>
          <w:i/>
          <w:iCs/>
          <w:szCs w:val="20"/>
        </w:rPr>
        <w:t>35</w:t>
      </w:r>
      <w:r w:rsidRPr="00015FF3">
        <w:rPr>
          <w:rFonts w:eastAsia="Calibri"/>
          <w:i/>
          <w:iCs/>
          <w:szCs w:val="20"/>
        </w:rPr>
        <w:t>5,000 to &lt; $</w:t>
      </w:r>
      <w:r>
        <w:rPr>
          <w:rFonts w:eastAsia="Calibri"/>
          <w:i/>
          <w:iCs/>
          <w:szCs w:val="20"/>
        </w:rPr>
        <w:t>45</w:t>
      </w:r>
      <w:r w:rsidRPr="00015FF3">
        <w:rPr>
          <w:rFonts w:eastAsia="Calibri"/>
          <w:i/>
          <w:iCs/>
          <w:szCs w:val="20"/>
        </w:rPr>
        <w:t>5,000</w:t>
      </w:r>
    </w:p>
    <w:p w14:paraId="485DD2A3" w14:textId="666417FD" w:rsidR="002A66BB" w:rsidRPr="00AD5A27" w:rsidRDefault="002A66BB">
      <w:pPr>
        <w:pStyle w:val="3-BodyText"/>
        <w:rPr>
          <w:rFonts w:eastAsia="Calibri"/>
          <w:iCs/>
        </w:rPr>
      </w:pPr>
      <w:r w:rsidRPr="00AD5A27">
        <w:rPr>
          <w:rFonts w:eastAsia="Calibri"/>
          <w:iCs/>
        </w:rPr>
        <w:t xml:space="preserve">As in the March 2017 submission, the </w:t>
      </w:r>
      <w:r w:rsidRPr="00AD5A27">
        <w:rPr>
          <w:iCs/>
        </w:rPr>
        <w:t>ICER remained</w:t>
      </w:r>
      <w:r w:rsidRPr="00AD5A27">
        <w:rPr>
          <w:rFonts w:eastAsia="Calibri"/>
          <w:iCs/>
        </w:rPr>
        <w:t xml:space="preserve"> sensitive to the model time horizon and to the treatment effect attributed to adalimumab on the risk of ocular complications. The ICER was also sensitive to the maximum disease duration.</w:t>
      </w:r>
    </w:p>
    <w:p w14:paraId="7C730B80" w14:textId="1727F164" w:rsidR="002D4C2A" w:rsidRPr="00AD5A27" w:rsidRDefault="002D4C2A">
      <w:pPr>
        <w:pStyle w:val="3-BodyText"/>
        <w:rPr>
          <w:rFonts w:eastAsia="Calibri"/>
          <w:iCs/>
        </w:rPr>
      </w:pPr>
      <w:r w:rsidRPr="00AD5A27">
        <w:rPr>
          <w:rFonts w:eastAsia="Calibri"/>
          <w:iCs/>
        </w:rPr>
        <w:t xml:space="preserve">The ESC considered additional sensitivity analyses would be useful (shown </w:t>
      </w:r>
      <w:r w:rsidR="00EA630A" w:rsidRPr="00AD5A27">
        <w:rPr>
          <w:rFonts w:eastAsia="Calibri"/>
          <w:iCs/>
        </w:rPr>
        <w:t>in</w:t>
      </w:r>
      <w:r w:rsidR="00423247" w:rsidRPr="00AD5A27">
        <w:rPr>
          <w:rFonts w:eastAsia="Calibri"/>
          <w:iCs/>
        </w:rPr>
        <w:t xml:space="preserve"> </w:t>
      </w:r>
      <w:r w:rsidRPr="00AD5A27">
        <w:rPr>
          <w:rFonts w:eastAsia="Calibri"/>
          <w:iCs/>
        </w:rPr>
        <w:t xml:space="preserve">Table 14). </w:t>
      </w:r>
    </w:p>
    <w:p w14:paraId="41566CC5" w14:textId="0FC4520D" w:rsidR="003C655C" w:rsidRPr="00AD5A27" w:rsidRDefault="003C655C">
      <w:pPr>
        <w:pStyle w:val="3-BodyText"/>
        <w:rPr>
          <w:rFonts w:eastAsia="Calibri"/>
          <w:iCs/>
        </w:rPr>
      </w:pPr>
      <w:r w:rsidRPr="00AD5A27">
        <w:rPr>
          <w:rFonts w:eastAsia="Calibri"/>
          <w:iCs/>
        </w:rPr>
        <w:t>The Pre-PBAC Response argued the patient, clinician and organisational inputs in the consumer comments highlighted</w:t>
      </w:r>
      <w:r w:rsidR="00DC044F" w:rsidRPr="00AD5A27">
        <w:rPr>
          <w:rFonts w:eastAsia="Calibri"/>
          <w:iCs/>
        </w:rPr>
        <w:t xml:space="preserve"> that</w:t>
      </w:r>
      <w:r w:rsidRPr="00AD5A27">
        <w:rPr>
          <w:rFonts w:eastAsia="Calibri"/>
          <w:iCs/>
        </w:rPr>
        <w:t xml:space="preserve"> there is an inherent quality of life benefit evident for patients treated with adalimumab</w:t>
      </w:r>
      <w:r w:rsidR="0077507B" w:rsidRPr="00AD5A27">
        <w:rPr>
          <w:rFonts w:eastAsia="Calibri"/>
          <w:iCs/>
        </w:rPr>
        <w:t>. The Response noted</w:t>
      </w:r>
      <w:r w:rsidRPr="00AD5A27">
        <w:rPr>
          <w:rFonts w:eastAsia="Calibri"/>
          <w:iCs/>
        </w:rPr>
        <w:t xml:space="preserve"> that the model does not </w:t>
      </w:r>
      <w:r w:rsidR="00DC044F" w:rsidRPr="00AD5A27">
        <w:rPr>
          <w:rFonts w:eastAsia="Calibri"/>
          <w:iCs/>
        </w:rPr>
        <w:t>capture</w:t>
      </w:r>
      <w:r w:rsidR="0077507B" w:rsidRPr="00AD5A27">
        <w:rPr>
          <w:rFonts w:eastAsia="Calibri"/>
          <w:iCs/>
        </w:rPr>
        <w:t xml:space="preserve"> quality of life benefits</w:t>
      </w:r>
      <w:r w:rsidR="00DC044F" w:rsidRPr="00AD5A27">
        <w:rPr>
          <w:rFonts w:cstheme="minorBidi"/>
        </w:rPr>
        <w:t xml:space="preserve"> </w:t>
      </w:r>
      <w:r w:rsidR="0077507B" w:rsidRPr="00AD5A27">
        <w:rPr>
          <w:rFonts w:cstheme="minorBidi"/>
        </w:rPr>
        <w:t>associated with</w:t>
      </w:r>
      <w:r w:rsidR="00DC044F" w:rsidRPr="00AD5A27">
        <w:rPr>
          <w:rFonts w:cstheme="minorBidi"/>
        </w:rPr>
        <w:t xml:space="preserve"> lowered anxiety and peace of mind from being free of flare, as well as increased ability to re-engage with activities that are important to patients </w:t>
      </w:r>
      <w:r w:rsidR="0077507B" w:rsidRPr="00AD5A27">
        <w:rPr>
          <w:rFonts w:cstheme="minorBidi"/>
        </w:rPr>
        <w:t>as a result</w:t>
      </w:r>
      <w:r w:rsidR="00DC044F" w:rsidRPr="00AD5A27">
        <w:rPr>
          <w:rFonts w:cstheme="minorBidi"/>
        </w:rPr>
        <w:t xml:space="preserve"> of increased visual acuity.</w:t>
      </w:r>
    </w:p>
    <w:p w14:paraId="77190039" w14:textId="77777777" w:rsidR="002A66BB" w:rsidRPr="00AD5A27" w:rsidRDefault="002A66BB" w:rsidP="00BB732D">
      <w:pPr>
        <w:pStyle w:val="4-SubsectionHeading"/>
      </w:pPr>
      <w:bookmarkStart w:id="69" w:name="_Toc22897646"/>
      <w:bookmarkStart w:id="70" w:name="_Toc107927632"/>
      <w:bookmarkStart w:id="71" w:name="_Toc156988910"/>
      <w:r w:rsidRPr="00AD5A27">
        <w:t>Drug cost/patient /year</w:t>
      </w:r>
      <w:bookmarkEnd w:id="69"/>
      <w:bookmarkEnd w:id="70"/>
      <w:bookmarkEnd w:id="71"/>
    </w:p>
    <w:bookmarkStart w:id="72" w:name="_Ref104805102"/>
    <w:p w14:paraId="152A7DEA" w14:textId="2A3E7D5F" w:rsidR="002A66BB" w:rsidRPr="00AD5A27" w:rsidRDefault="00455FF9">
      <w:pPr>
        <w:pStyle w:val="3-BodyText"/>
      </w:pPr>
      <w:r w:rsidRPr="00AD5A27">
        <w:fldChar w:fldCharType="begin" w:fldLock="1"/>
      </w:r>
      <w:r w:rsidRPr="00AD5A27">
        <w:instrText xml:space="preserve"> REF _Ref153208990 \h </w:instrText>
      </w:r>
      <w:r w:rsidR="003C063D" w:rsidRPr="00AD5A27">
        <w:instrText xml:space="preserve"> \* MERGEFORMAT </w:instrText>
      </w:r>
      <w:r w:rsidRPr="00AD5A27">
        <w:fldChar w:fldCharType="separate"/>
      </w:r>
      <w:r w:rsidR="00B510E9" w:rsidRPr="00AD5A27">
        <w:t>Table 15</w:t>
      </w:r>
      <w:r w:rsidRPr="00AD5A27">
        <w:fldChar w:fldCharType="end"/>
      </w:r>
      <w:r w:rsidR="00A06F4D" w:rsidRPr="00AD5A27">
        <w:t xml:space="preserve"> </w:t>
      </w:r>
      <w:r w:rsidR="002A66BB" w:rsidRPr="00AD5A27">
        <w:t>presents the drug cost per patient per year for adults</w:t>
      </w:r>
      <w:r w:rsidR="00561C88">
        <w:t xml:space="preserve"> and paediatrics</w:t>
      </w:r>
      <w:r w:rsidR="002A66BB" w:rsidRPr="00AD5A27">
        <w:t>.</w:t>
      </w:r>
    </w:p>
    <w:p w14:paraId="1A2D24CB" w14:textId="7371357E" w:rsidR="002A66BB" w:rsidRPr="00AD5A27" w:rsidRDefault="002A66BB" w:rsidP="009A757E">
      <w:pPr>
        <w:pStyle w:val="Caption"/>
        <w:rPr>
          <w:rStyle w:val="CommentReference"/>
          <w:b/>
          <w:szCs w:val="24"/>
        </w:rPr>
      </w:pPr>
      <w:bookmarkStart w:id="73" w:name="_Ref153208990"/>
      <w:r w:rsidRPr="00AD5A27">
        <w:t xml:space="preserve">Table </w:t>
      </w:r>
      <w:r w:rsidR="004050E4">
        <w:fldChar w:fldCharType="begin" w:fldLock="1"/>
      </w:r>
      <w:r w:rsidR="004050E4">
        <w:instrText xml:space="preserve"> SEQ Table \* ARABIC </w:instrText>
      </w:r>
      <w:r w:rsidR="004050E4">
        <w:fldChar w:fldCharType="separate"/>
      </w:r>
      <w:r w:rsidR="00B510E9" w:rsidRPr="00AD5A27">
        <w:t>15</w:t>
      </w:r>
      <w:r w:rsidR="004050E4">
        <w:fldChar w:fldCharType="end"/>
      </w:r>
      <w:bookmarkEnd w:id="72"/>
      <w:bookmarkEnd w:id="73"/>
      <w:r w:rsidRPr="00AD5A27">
        <w:t>:</w:t>
      </w:r>
      <w:r w:rsidRPr="00AD5A27">
        <w:rPr>
          <w:rStyle w:val="CommentReference"/>
          <w:b/>
          <w:szCs w:val="24"/>
        </w:rPr>
        <w:t xml:space="preserve"> Drug cost per patient for adalimumab </w:t>
      </w:r>
      <w:r w:rsidRPr="00AD5A27">
        <w:t>± OCS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Drug cost per patient for adalimumab ± OCS"/>
      </w:tblPr>
      <w:tblGrid>
        <w:gridCol w:w="1433"/>
        <w:gridCol w:w="1836"/>
        <w:gridCol w:w="1405"/>
        <w:gridCol w:w="4343"/>
      </w:tblGrid>
      <w:tr w:rsidR="002A66BB" w:rsidRPr="00AD5A27" w14:paraId="5E87CFBA" w14:textId="77777777" w:rsidTr="007A7BD5">
        <w:trPr>
          <w:cantSplit/>
          <w:tblHeader/>
        </w:trPr>
        <w:tc>
          <w:tcPr>
            <w:tcW w:w="795" w:type="pct"/>
            <w:shd w:val="clear" w:color="auto" w:fill="auto"/>
            <w:vAlign w:val="center"/>
          </w:tcPr>
          <w:p w14:paraId="50E94EB8" w14:textId="77777777" w:rsidR="002A66BB" w:rsidRPr="00AD5A27" w:rsidRDefault="002A66BB" w:rsidP="009A757E">
            <w:pPr>
              <w:pStyle w:val="In-tableHeading"/>
              <w:jc w:val="center"/>
              <w:rPr>
                <w:lang w:val="en-AU"/>
              </w:rPr>
            </w:pPr>
          </w:p>
        </w:tc>
        <w:tc>
          <w:tcPr>
            <w:tcW w:w="1018" w:type="pct"/>
            <w:shd w:val="clear" w:color="auto" w:fill="auto"/>
            <w:vAlign w:val="center"/>
          </w:tcPr>
          <w:p w14:paraId="217DD3EB" w14:textId="77777777" w:rsidR="002A66BB" w:rsidRPr="00AD5A27" w:rsidRDefault="002A66BB" w:rsidP="009A757E">
            <w:pPr>
              <w:pStyle w:val="In-tableHeading"/>
              <w:jc w:val="center"/>
              <w:rPr>
                <w:lang w:val="en-AU"/>
              </w:rPr>
            </w:pPr>
            <w:r w:rsidRPr="00AD5A27">
              <w:rPr>
                <w:lang w:val="en-AU"/>
              </w:rPr>
              <w:t>Trial dose and duration</w:t>
            </w:r>
          </w:p>
        </w:tc>
        <w:tc>
          <w:tcPr>
            <w:tcW w:w="779" w:type="pct"/>
            <w:shd w:val="clear" w:color="auto" w:fill="auto"/>
            <w:vAlign w:val="center"/>
          </w:tcPr>
          <w:p w14:paraId="7337A780" w14:textId="77777777" w:rsidR="002A66BB" w:rsidRPr="00AD5A27" w:rsidRDefault="002A66BB" w:rsidP="009A757E">
            <w:pPr>
              <w:pStyle w:val="In-tableHeading"/>
              <w:jc w:val="center"/>
              <w:rPr>
                <w:lang w:val="en-AU"/>
              </w:rPr>
            </w:pPr>
            <w:r w:rsidRPr="00AD5A27">
              <w:rPr>
                <w:lang w:val="en-AU"/>
              </w:rPr>
              <w:t>Model</w:t>
            </w:r>
          </w:p>
        </w:tc>
        <w:tc>
          <w:tcPr>
            <w:tcW w:w="2409" w:type="pct"/>
            <w:shd w:val="clear" w:color="auto" w:fill="auto"/>
            <w:vAlign w:val="center"/>
          </w:tcPr>
          <w:p w14:paraId="3921BE21" w14:textId="77777777" w:rsidR="002A66BB" w:rsidRPr="00AD5A27" w:rsidRDefault="002A66BB" w:rsidP="009A757E">
            <w:pPr>
              <w:pStyle w:val="In-tableHeading"/>
              <w:jc w:val="center"/>
              <w:rPr>
                <w:lang w:val="en-AU"/>
              </w:rPr>
            </w:pPr>
            <w:r w:rsidRPr="00AD5A27">
              <w:rPr>
                <w:lang w:val="en-AU"/>
              </w:rPr>
              <w:t>Financial estimates</w:t>
            </w:r>
          </w:p>
        </w:tc>
      </w:tr>
      <w:tr w:rsidR="002A66BB" w:rsidRPr="00AD5A27" w14:paraId="75DA3B63" w14:textId="77777777" w:rsidTr="007A7BD5">
        <w:trPr>
          <w:cantSplit/>
        </w:trPr>
        <w:tc>
          <w:tcPr>
            <w:tcW w:w="5000" w:type="pct"/>
            <w:gridSpan w:val="4"/>
            <w:shd w:val="clear" w:color="auto" w:fill="auto"/>
            <w:vAlign w:val="center"/>
          </w:tcPr>
          <w:p w14:paraId="1B390750" w14:textId="77777777" w:rsidR="002A66BB" w:rsidRPr="00AD5A27" w:rsidRDefault="002A66BB" w:rsidP="009A757E">
            <w:pPr>
              <w:pStyle w:val="TableText0"/>
              <w:rPr>
                <w:b/>
                <w:bCs w:val="0"/>
              </w:rPr>
            </w:pPr>
            <w:r w:rsidRPr="00AD5A27">
              <w:rPr>
                <w:b/>
                <w:bCs w:val="0"/>
              </w:rPr>
              <w:t xml:space="preserve">Current resubmission </w:t>
            </w:r>
          </w:p>
        </w:tc>
      </w:tr>
      <w:tr w:rsidR="002A66BB" w:rsidRPr="00AD5A27" w14:paraId="66C6DAC4" w14:textId="77777777" w:rsidTr="007A7BD5">
        <w:trPr>
          <w:cantSplit/>
        </w:trPr>
        <w:tc>
          <w:tcPr>
            <w:tcW w:w="795" w:type="pct"/>
            <w:shd w:val="clear" w:color="auto" w:fill="auto"/>
            <w:vAlign w:val="center"/>
          </w:tcPr>
          <w:p w14:paraId="50252F10" w14:textId="77777777" w:rsidR="002A66BB" w:rsidRPr="00AD5A27" w:rsidRDefault="002A66BB">
            <w:pPr>
              <w:pStyle w:val="TableText0"/>
              <w:keepNext w:val="0"/>
            </w:pPr>
            <w:r w:rsidRPr="00AD5A27">
              <w:t>Mean dose</w:t>
            </w:r>
          </w:p>
        </w:tc>
        <w:tc>
          <w:tcPr>
            <w:tcW w:w="1018" w:type="pct"/>
            <w:shd w:val="clear" w:color="auto" w:fill="auto"/>
            <w:vAlign w:val="center"/>
          </w:tcPr>
          <w:p w14:paraId="6B28DC6E" w14:textId="77777777" w:rsidR="00DC7DE6" w:rsidRPr="00AD5A27" w:rsidRDefault="002A66BB">
            <w:pPr>
              <w:pStyle w:val="TableText0"/>
              <w:keepNext w:val="0"/>
              <w:jc w:val="center"/>
              <w:rPr>
                <w:bCs w:val="0"/>
              </w:rPr>
            </w:pPr>
            <w:r w:rsidRPr="00AD5A27">
              <w:rPr>
                <w:bCs w:val="0"/>
              </w:rPr>
              <w:t xml:space="preserve">VISUAL I and VISUAL II: </w:t>
            </w:r>
          </w:p>
          <w:p w14:paraId="7C98E726" w14:textId="37BD1058" w:rsidR="00DC7DE6" w:rsidRPr="00AD5A27" w:rsidRDefault="002A66BB">
            <w:pPr>
              <w:pStyle w:val="TableText0"/>
              <w:keepNext w:val="0"/>
              <w:jc w:val="center"/>
              <w:rPr>
                <w:bCs w:val="0"/>
              </w:rPr>
            </w:pPr>
            <w:r w:rsidRPr="00AD5A27">
              <w:rPr>
                <w:bCs w:val="0"/>
              </w:rPr>
              <w:t xml:space="preserve">80mg at week 0, </w:t>
            </w:r>
          </w:p>
          <w:p w14:paraId="3D8B5A72" w14:textId="4266CB7A" w:rsidR="002A66BB" w:rsidRPr="00AD5A27" w:rsidRDefault="002A66BB">
            <w:pPr>
              <w:pStyle w:val="TableText0"/>
              <w:keepNext w:val="0"/>
              <w:jc w:val="center"/>
              <w:rPr>
                <w:bCs w:val="0"/>
              </w:rPr>
            </w:pPr>
            <w:r w:rsidRPr="00AD5A27">
              <w:rPr>
                <w:bCs w:val="0"/>
              </w:rPr>
              <w:t>40 mg fortnightly</w:t>
            </w:r>
          </w:p>
        </w:tc>
        <w:tc>
          <w:tcPr>
            <w:tcW w:w="779" w:type="pct"/>
            <w:shd w:val="clear" w:color="auto" w:fill="auto"/>
            <w:vAlign w:val="center"/>
          </w:tcPr>
          <w:p w14:paraId="6EED97C5" w14:textId="77777777" w:rsidR="00DC7DE6" w:rsidRPr="00AD5A27" w:rsidRDefault="002A66BB">
            <w:pPr>
              <w:pStyle w:val="TableText0"/>
              <w:keepNext w:val="0"/>
              <w:jc w:val="center"/>
              <w:rPr>
                <w:bCs w:val="0"/>
              </w:rPr>
            </w:pPr>
            <w:r w:rsidRPr="00AD5A27">
              <w:rPr>
                <w:bCs w:val="0"/>
              </w:rPr>
              <w:t xml:space="preserve">Loading dose </w:t>
            </w:r>
          </w:p>
          <w:p w14:paraId="545A0739" w14:textId="49D0EBA9" w:rsidR="003F556E" w:rsidRPr="00AD5A27" w:rsidRDefault="002A66BB">
            <w:pPr>
              <w:pStyle w:val="TableText0"/>
              <w:keepNext w:val="0"/>
              <w:jc w:val="center"/>
              <w:rPr>
                <w:bCs w:val="0"/>
              </w:rPr>
            </w:pPr>
            <w:r w:rsidRPr="00AD5A27">
              <w:rPr>
                <w:bCs w:val="0"/>
              </w:rPr>
              <w:t xml:space="preserve">80 mg at week 0, </w:t>
            </w:r>
          </w:p>
          <w:p w14:paraId="261994E4" w14:textId="5FE1F21D" w:rsidR="00CE222B" w:rsidRPr="00015FF3" w:rsidRDefault="002A66BB" w:rsidP="00015FF3">
            <w:pPr>
              <w:pStyle w:val="TableText0"/>
              <w:keepNext w:val="0"/>
              <w:jc w:val="center"/>
              <w:rPr>
                <w:bCs w:val="0"/>
              </w:rPr>
            </w:pPr>
            <w:r w:rsidRPr="00AD5A27">
              <w:rPr>
                <w:bCs w:val="0"/>
              </w:rPr>
              <w:t>40 mg fortnightly</w:t>
            </w:r>
          </w:p>
        </w:tc>
        <w:tc>
          <w:tcPr>
            <w:tcW w:w="2409" w:type="pct"/>
            <w:shd w:val="clear" w:color="auto" w:fill="auto"/>
            <w:vAlign w:val="center"/>
          </w:tcPr>
          <w:p w14:paraId="3E71C1A0" w14:textId="77777777" w:rsidR="002A66BB" w:rsidRPr="00AD5A27" w:rsidRDefault="002A66BB">
            <w:pPr>
              <w:pStyle w:val="TableText0"/>
              <w:keepNext w:val="0"/>
              <w:rPr>
                <w:bCs w:val="0"/>
              </w:rPr>
            </w:pPr>
            <w:r w:rsidRPr="00AD5A27">
              <w:rPr>
                <w:bCs w:val="0"/>
              </w:rPr>
              <w:t xml:space="preserve">Adults: </w:t>
            </w:r>
          </w:p>
          <w:p w14:paraId="791D2E17" w14:textId="77777777" w:rsidR="003F556E" w:rsidRPr="00AD5A27" w:rsidRDefault="002A66BB">
            <w:pPr>
              <w:pStyle w:val="TableText0"/>
              <w:keepNext w:val="0"/>
              <w:rPr>
                <w:bCs w:val="0"/>
              </w:rPr>
            </w:pPr>
            <w:r w:rsidRPr="00AD5A27">
              <w:rPr>
                <w:bCs w:val="0"/>
              </w:rPr>
              <w:t xml:space="preserve">Incident, induction: </w:t>
            </w:r>
          </w:p>
          <w:p w14:paraId="28EDC552" w14:textId="77777777" w:rsidR="00DC7DE6" w:rsidRPr="00AD5A27" w:rsidRDefault="002A66BB">
            <w:pPr>
              <w:pStyle w:val="TableText0"/>
              <w:keepNext w:val="0"/>
              <w:rPr>
                <w:bCs w:val="0"/>
              </w:rPr>
            </w:pPr>
            <w:r w:rsidRPr="00AD5A27">
              <w:rPr>
                <w:bCs w:val="0"/>
              </w:rPr>
              <w:t xml:space="preserve">50% one 80 mg dose, </w:t>
            </w:r>
          </w:p>
          <w:p w14:paraId="2D1DE5F3" w14:textId="28AA50E2" w:rsidR="002A66BB" w:rsidRPr="00AD5A27" w:rsidRDefault="002A66BB">
            <w:pPr>
              <w:pStyle w:val="TableText0"/>
              <w:keepNext w:val="0"/>
              <w:rPr>
                <w:bCs w:val="0"/>
              </w:rPr>
            </w:pPr>
            <w:r w:rsidRPr="00AD5A27">
              <w:rPr>
                <w:bCs w:val="0"/>
              </w:rPr>
              <w:t>50% two 40 mg doses.</w:t>
            </w:r>
          </w:p>
          <w:p w14:paraId="0B7B1710" w14:textId="77777777" w:rsidR="003F556E" w:rsidRPr="00AD5A27" w:rsidRDefault="002A66BB">
            <w:pPr>
              <w:pStyle w:val="TableText0"/>
              <w:keepNext w:val="0"/>
              <w:rPr>
                <w:bCs w:val="0"/>
              </w:rPr>
            </w:pPr>
            <w:r w:rsidRPr="00AD5A27">
              <w:rPr>
                <w:bCs w:val="0"/>
              </w:rPr>
              <w:t xml:space="preserve">Incident &amp; grandfathered continuing: </w:t>
            </w:r>
          </w:p>
          <w:p w14:paraId="6F0B7869" w14:textId="253C0AE7" w:rsidR="002A66BB" w:rsidRPr="00AD5A27" w:rsidRDefault="002A66BB">
            <w:pPr>
              <w:pStyle w:val="TableText0"/>
              <w:keepNext w:val="0"/>
              <w:rPr>
                <w:bCs w:val="0"/>
              </w:rPr>
            </w:pPr>
            <w:r w:rsidRPr="00AD5A27">
              <w:rPr>
                <w:bCs w:val="0"/>
              </w:rPr>
              <w:t>one 40 mg script/month.</w:t>
            </w:r>
          </w:p>
          <w:p w14:paraId="2CC7D72A" w14:textId="4CF84BC8" w:rsidR="003F556E" w:rsidRPr="00AD5A27" w:rsidRDefault="002A66BB">
            <w:pPr>
              <w:pStyle w:val="TableText0"/>
              <w:keepNext w:val="0"/>
              <w:rPr>
                <w:bCs w:val="0"/>
              </w:rPr>
            </w:pPr>
            <w:r w:rsidRPr="00AD5A27">
              <w:rPr>
                <w:bCs w:val="0"/>
              </w:rPr>
              <w:t>Paed</w:t>
            </w:r>
            <w:r w:rsidR="00955CDD" w:rsidRPr="00AD5A27">
              <w:rPr>
                <w:bCs w:val="0"/>
              </w:rPr>
              <w:t>iatric</w:t>
            </w:r>
            <w:r w:rsidRPr="00AD5A27">
              <w:rPr>
                <w:bCs w:val="0"/>
              </w:rPr>
              <w:t xml:space="preserve">, induction and continuing: </w:t>
            </w:r>
          </w:p>
          <w:p w14:paraId="64804EDD" w14:textId="77777777" w:rsidR="00DC7DE6" w:rsidRPr="00AD5A27" w:rsidRDefault="002A66BB">
            <w:pPr>
              <w:pStyle w:val="TableText0"/>
              <w:keepNext w:val="0"/>
              <w:rPr>
                <w:bCs w:val="0"/>
              </w:rPr>
            </w:pPr>
            <w:r w:rsidRPr="00AD5A27">
              <w:rPr>
                <w:bCs w:val="0"/>
              </w:rPr>
              <w:t xml:space="preserve">20% on 20 mg dose, </w:t>
            </w:r>
          </w:p>
          <w:p w14:paraId="26174BE2" w14:textId="75DE195F" w:rsidR="002A66BB" w:rsidRPr="00AD5A27" w:rsidRDefault="002A66BB">
            <w:pPr>
              <w:pStyle w:val="TableText0"/>
              <w:keepNext w:val="0"/>
              <w:rPr>
                <w:bCs w:val="0"/>
              </w:rPr>
            </w:pPr>
            <w:r w:rsidRPr="00AD5A27">
              <w:rPr>
                <w:bCs w:val="0"/>
              </w:rPr>
              <w:t>80% on 40 mg dose.</w:t>
            </w:r>
          </w:p>
        </w:tc>
      </w:tr>
      <w:tr w:rsidR="002A66BB" w:rsidRPr="00AD5A27" w14:paraId="71EC0BE8" w14:textId="77777777" w:rsidTr="007A7BD5">
        <w:trPr>
          <w:cantSplit/>
        </w:trPr>
        <w:tc>
          <w:tcPr>
            <w:tcW w:w="795" w:type="pct"/>
            <w:shd w:val="clear" w:color="auto" w:fill="auto"/>
            <w:vAlign w:val="center"/>
          </w:tcPr>
          <w:p w14:paraId="75C37DD9" w14:textId="77777777" w:rsidR="002A66BB" w:rsidRPr="00AD5A27" w:rsidRDefault="002A66BB">
            <w:pPr>
              <w:pStyle w:val="TableText0"/>
              <w:keepNext w:val="0"/>
            </w:pPr>
            <w:r w:rsidRPr="00AD5A27">
              <w:t>Mean duration</w:t>
            </w:r>
          </w:p>
        </w:tc>
        <w:tc>
          <w:tcPr>
            <w:tcW w:w="1018" w:type="pct"/>
            <w:shd w:val="clear" w:color="auto" w:fill="auto"/>
            <w:vAlign w:val="center"/>
          </w:tcPr>
          <w:p w14:paraId="67BFD634" w14:textId="59021F9F" w:rsidR="002A66BB" w:rsidRPr="00AD5A27" w:rsidRDefault="002A66BB">
            <w:pPr>
              <w:pStyle w:val="TableText0"/>
              <w:keepNext w:val="0"/>
              <w:jc w:val="center"/>
            </w:pPr>
            <w:r w:rsidRPr="00AD5A27">
              <w:t xml:space="preserve">VISUAL I: 205.4 days (15.9 doses) </w:t>
            </w:r>
            <w:r w:rsidR="005075A0" w:rsidRPr="00AD5A27">
              <w:rPr>
                <w:vertAlign w:val="superscript"/>
              </w:rPr>
              <w:t>c</w:t>
            </w:r>
            <w:r w:rsidRPr="00AD5A27">
              <w:t>; VISUAL II: 300.2 days (22.7 doses)</w:t>
            </w:r>
            <w:r w:rsidR="005075A0" w:rsidRPr="00AD5A27">
              <w:rPr>
                <w:vertAlign w:val="superscript"/>
              </w:rPr>
              <w:t>c</w:t>
            </w:r>
          </w:p>
        </w:tc>
        <w:tc>
          <w:tcPr>
            <w:tcW w:w="779" w:type="pct"/>
            <w:shd w:val="clear" w:color="auto" w:fill="auto"/>
            <w:vAlign w:val="center"/>
          </w:tcPr>
          <w:p w14:paraId="45898A24" w14:textId="7A122763" w:rsidR="00CE222B" w:rsidRPr="00015FF3" w:rsidRDefault="002A66BB" w:rsidP="00015FF3">
            <w:pPr>
              <w:pStyle w:val="TableText0"/>
              <w:keepNext w:val="0"/>
              <w:jc w:val="center"/>
              <w:rPr>
                <w:bCs w:val="0"/>
              </w:rPr>
            </w:pPr>
            <w:r w:rsidRPr="00AD5A27">
              <w:rPr>
                <w:bCs w:val="0"/>
              </w:rPr>
              <w:t>3.14 years</w:t>
            </w:r>
          </w:p>
        </w:tc>
        <w:tc>
          <w:tcPr>
            <w:tcW w:w="2409" w:type="pct"/>
            <w:shd w:val="clear" w:color="auto" w:fill="auto"/>
            <w:vAlign w:val="center"/>
          </w:tcPr>
          <w:p w14:paraId="48856D94" w14:textId="4183F612" w:rsidR="002A66BB" w:rsidRPr="00AD5A27" w:rsidRDefault="002A66BB">
            <w:pPr>
              <w:pStyle w:val="TableText0"/>
              <w:keepNext w:val="0"/>
            </w:pPr>
            <w:r w:rsidRPr="00AD5A27">
              <w:t xml:space="preserve">Incident patients: continued ADA treatment unless </w:t>
            </w:r>
            <w:r w:rsidR="008C59DB" w:rsidRPr="00AD5A27">
              <w:t>discontinued</w:t>
            </w:r>
            <w:r w:rsidR="00717899" w:rsidRPr="00AD5A27">
              <w:t xml:space="preserve"> </w:t>
            </w:r>
            <w:r w:rsidRPr="00AD5A27">
              <w:t>(15.59% per year).</w:t>
            </w:r>
          </w:p>
          <w:p w14:paraId="41C9B330" w14:textId="77777777" w:rsidR="002A66BB" w:rsidRPr="00AD5A27" w:rsidRDefault="002A66BB">
            <w:pPr>
              <w:pStyle w:val="TableText0"/>
              <w:keepNext w:val="0"/>
            </w:pPr>
            <w:r w:rsidRPr="00AD5A27">
              <w:t>Grandfathered patients: continued ADA treatment from Year 1 unless discontinued (20% per year).</w:t>
            </w:r>
          </w:p>
        </w:tc>
      </w:tr>
      <w:tr w:rsidR="002A66BB" w:rsidRPr="00AD5A27" w14:paraId="565A8B91" w14:textId="77777777" w:rsidTr="007A7BD5">
        <w:trPr>
          <w:cantSplit/>
        </w:trPr>
        <w:tc>
          <w:tcPr>
            <w:tcW w:w="795" w:type="pct"/>
            <w:shd w:val="clear" w:color="auto" w:fill="auto"/>
            <w:vAlign w:val="center"/>
          </w:tcPr>
          <w:p w14:paraId="0791AA76" w14:textId="77777777" w:rsidR="002A66BB" w:rsidRPr="00AD5A27" w:rsidRDefault="002A66BB">
            <w:pPr>
              <w:pStyle w:val="TableText0"/>
              <w:keepNext w:val="0"/>
            </w:pPr>
            <w:r w:rsidRPr="00AD5A27">
              <w:t xml:space="preserve">DPMQ </w:t>
            </w:r>
          </w:p>
        </w:tc>
        <w:tc>
          <w:tcPr>
            <w:tcW w:w="1018" w:type="pct"/>
            <w:shd w:val="clear" w:color="auto" w:fill="auto"/>
            <w:vAlign w:val="center"/>
          </w:tcPr>
          <w:p w14:paraId="7A4528FC" w14:textId="7D319975" w:rsidR="002A66BB" w:rsidRPr="00AD5A27" w:rsidRDefault="00D36809">
            <w:pPr>
              <w:pStyle w:val="TableText0"/>
              <w:keepNext w:val="0"/>
              <w:jc w:val="center"/>
            </w:pPr>
            <w:r>
              <w:rPr>
                <w:bCs w:val="0"/>
              </w:rPr>
              <w:t>$</w:t>
            </w:r>
            <w:r w:rsidR="00423247" w:rsidRPr="00DC6641">
              <w:rPr>
                <w:bCs w:val="0"/>
              </w:rPr>
              <w:t>676.79</w:t>
            </w:r>
            <w:r w:rsidR="00423247" w:rsidRPr="00AD5A27">
              <w:rPr>
                <w:bCs w:val="0"/>
              </w:rPr>
              <w:t xml:space="preserve"> [A]</w:t>
            </w:r>
          </w:p>
        </w:tc>
        <w:tc>
          <w:tcPr>
            <w:tcW w:w="779" w:type="pct"/>
            <w:shd w:val="clear" w:color="auto" w:fill="auto"/>
            <w:vAlign w:val="center"/>
          </w:tcPr>
          <w:p w14:paraId="4A424D9F" w14:textId="257DED8A" w:rsidR="00CE222B" w:rsidRPr="00015FF3" w:rsidRDefault="002A66BB" w:rsidP="00015FF3">
            <w:pPr>
              <w:pStyle w:val="TableText0"/>
              <w:keepNext w:val="0"/>
              <w:jc w:val="center"/>
              <w:rPr>
                <w:bCs w:val="0"/>
              </w:rPr>
            </w:pPr>
            <w:r w:rsidRPr="00AD5A27">
              <w:rPr>
                <w:bCs w:val="0"/>
              </w:rPr>
              <w:t>$</w:t>
            </w:r>
            <w:r w:rsidR="00860BB2" w:rsidRPr="00860BB2">
              <w:rPr>
                <w:rFonts w:hint="eastAsia"/>
                <w:bCs w:val="0"/>
                <w:color w:val="000000"/>
                <w:w w:val="15"/>
                <w:shd w:val="solid" w:color="000000" w:fill="000000"/>
                <w:fitText w:val="38" w:id="-961901052"/>
                <w14:textFill>
                  <w14:solidFill>
                    <w14:srgbClr w14:val="000000">
                      <w14:alpha w14:val="100000"/>
                    </w14:srgbClr>
                  </w14:solidFill>
                </w14:textFill>
              </w:rPr>
              <w:t xml:space="preserve">　</w:t>
            </w:r>
            <w:r w:rsidR="00860BB2" w:rsidRPr="00860BB2">
              <w:rPr>
                <w:bCs w:val="0"/>
                <w:color w:val="000000"/>
                <w:w w:val="15"/>
                <w:shd w:val="solid" w:color="000000" w:fill="000000"/>
                <w:fitText w:val="38" w:id="-961901052"/>
                <w14:textFill>
                  <w14:solidFill>
                    <w14:srgbClr w14:val="000000">
                      <w14:alpha w14:val="100000"/>
                    </w14:srgbClr>
                  </w14:solidFill>
                </w14:textFill>
              </w:rPr>
              <w:t>|</w:t>
            </w:r>
            <w:r w:rsidR="00860BB2" w:rsidRPr="00860BB2">
              <w:rPr>
                <w:rFonts w:hint="eastAsia"/>
                <w:bCs w:val="0"/>
                <w:color w:val="000000"/>
                <w:spacing w:val="-27"/>
                <w:w w:val="15"/>
                <w:shd w:val="solid" w:color="000000" w:fill="000000"/>
                <w:fitText w:val="38" w:id="-961901052"/>
                <w14:textFill>
                  <w14:solidFill>
                    <w14:srgbClr w14:val="000000">
                      <w14:alpha w14:val="100000"/>
                    </w14:srgbClr>
                  </w14:solidFill>
                </w14:textFill>
              </w:rPr>
              <w:t xml:space="preserve">　</w:t>
            </w:r>
            <w:r w:rsidRPr="00AD5A27">
              <w:rPr>
                <w:bCs w:val="0"/>
              </w:rPr>
              <w:t xml:space="preserve"> [A]</w:t>
            </w:r>
          </w:p>
        </w:tc>
        <w:tc>
          <w:tcPr>
            <w:tcW w:w="2409" w:type="pct"/>
            <w:shd w:val="clear" w:color="auto" w:fill="auto"/>
            <w:vAlign w:val="center"/>
          </w:tcPr>
          <w:p w14:paraId="6CA8B330" w14:textId="176677CF" w:rsidR="002A66BB" w:rsidRPr="00AD5A27" w:rsidRDefault="002A66BB">
            <w:pPr>
              <w:pStyle w:val="TableText0"/>
              <w:keepNext w:val="0"/>
              <w:jc w:val="center"/>
              <w:rPr>
                <w:bCs w:val="0"/>
              </w:rPr>
            </w:pPr>
            <w:r w:rsidRPr="00AD5A27">
              <w:rPr>
                <w:bCs w:val="0"/>
              </w:rPr>
              <w:t>40 mg, 80 mg: $</w:t>
            </w:r>
            <w:r w:rsidR="00860BB2" w:rsidRPr="00860BB2">
              <w:rPr>
                <w:bCs w:val="0"/>
                <w:color w:val="000000"/>
                <w:shd w:val="solid" w:color="000000" w:fill="000000"/>
                <w14:textFill>
                  <w14:solidFill>
                    <w14:srgbClr w14:val="000000">
                      <w14:alpha w14:val="100000"/>
                    </w14:srgbClr>
                  </w14:solidFill>
                </w14:textFill>
              </w:rPr>
              <w:t>|</w:t>
            </w:r>
            <w:r w:rsidRPr="00AD5A27">
              <w:rPr>
                <w:bCs w:val="0"/>
              </w:rPr>
              <w:t xml:space="preserve"> [A]</w:t>
            </w:r>
          </w:p>
          <w:p w14:paraId="1EEF1DE5" w14:textId="0D251D0C" w:rsidR="002A66BB" w:rsidRPr="00AD5A27" w:rsidRDefault="002A66BB">
            <w:pPr>
              <w:pStyle w:val="TableText0"/>
              <w:keepNext w:val="0"/>
              <w:jc w:val="center"/>
              <w:rPr>
                <w:bCs w:val="0"/>
              </w:rPr>
            </w:pPr>
            <w:r w:rsidRPr="00AD5A27">
              <w:rPr>
                <w:bCs w:val="0"/>
              </w:rPr>
              <w:t>20 mg: $</w:t>
            </w:r>
            <w:r w:rsidR="00860BB2" w:rsidRPr="00860BB2">
              <w:rPr>
                <w:bCs w:val="0"/>
                <w:color w:val="000000"/>
                <w:shd w:val="solid" w:color="000000" w:fill="000000"/>
                <w14:textFill>
                  <w14:solidFill>
                    <w14:srgbClr w14:val="000000">
                      <w14:alpha w14:val="100000"/>
                    </w14:srgbClr>
                  </w14:solidFill>
                </w14:textFill>
              </w:rPr>
              <w:t>|</w:t>
            </w:r>
            <w:r w:rsidRPr="00AD5A27">
              <w:rPr>
                <w:bCs w:val="0"/>
              </w:rPr>
              <w:t xml:space="preserve"> [G]</w:t>
            </w:r>
          </w:p>
        </w:tc>
      </w:tr>
      <w:tr w:rsidR="002A66BB" w:rsidRPr="00AD5A27" w14:paraId="19455EF0" w14:textId="77777777" w:rsidTr="007A7BD5">
        <w:trPr>
          <w:cantSplit/>
        </w:trPr>
        <w:tc>
          <w:tcPr>
            <w:tcW w:w="795" w:type="pct"/>
            <w:shd w:val="clear" w:color="auto" w:fill="auto"/>
            <w:vAlign w:val="center"/>
          </w:tcPr>
          <w:p w14:paraId="6AA92E69" w14:textId="77777777" w:rsidR="002A66BB" w:rsidRPr="00AD5A27" w:rsidRDefault="002A66BB">
            <w:pPr>
              <w:pStyle w:val="TableText0"/>
              <w:keepNext w:val="0"/>
            </w:pPr>
            <w:r w:rsidRPr="00AD5A27">
              <w:t>Max. quantity [B]</w:t>
            </w:r>
          </w:p>
        </w:tc>
        <w:tc>
          <w:tcPr>
            <w:tcW w:w="1018" w:type="pct"/>
            <w:shd w:val="clear" w:color="auto" w:fill="auto"/>
            <w:vAlign w:val="center"/>
          </w:tcPr>
          <w:p w14:paraId="77667232" w14:textId="260859CF" w:rsidR="002A66BB" w:rsidRPr="00AD5A27" w:rsidRDefault="002B7C2B">
            <w:pPr>
              <w:pStyle w:val="TableText0"/>
              <w:keepNext w:val="0"/>
              <w:jc w:val="center"/>
              <w:rPr>
                <w:bCs w:val="0"/>
              </w:rPr>
            </w:pPr>
            <w:r w:rsidRPr="00AD5A27">
              <w:rPr>
                <w:bCs w:val="0"/>
              </w:rPr>
              <w:t>2 [B]</w:t>
            </w:r>
          </w:p>
        </w:tc>
        <w:tc>
          <w:tcPr>
            <w:tcW w:w="779" w:type="pct"/>
            <w:shd w:val="clear" w:color="auto" w:fill="auto"/>
            <w:vAlign w:val="center"/>
          </w:tcPr>
          <w:p w14:paraId="3037D244" w14:textId="77777777" w:rsidR="002A66BB" w:rsidRPr="00AD5A27" w:rsidRDefault="002A66BB">
            <w:pPr>
              <w:pStyle w:val="TableText0"/>
              <w:keepNext w:val="0"/>
              <w:jc w:val="center"/>
              <w:rPr>
                <w:bCs w:val="0"/>
              </w:rPr>
            </w:pPr>
            <w:r w:rsidRPr="00AD5A27">
              <w:rPr>
                <w:bCs w:val="0"/>
              </w:rPr>
              <w:t>2 [B]</w:t>
            </w:r>
          </w:p>
        </w:tc>
        <w:tc>
          <w:tcPr>
            <w:tcW w:w="2409" w:type="pct"/>
            <w:shd w:val="clear" w:color="auto" w:fill="auto"/>
            <w:vAlign w:val="center"/>
          </w:tcPr>
          <w:p w14:paraId="688A35F8" w14:textId="77777777" w:rsidR="002A66BB" w:rsidRPr="00AD5A27" w:rsidRDefault="002A66BB">
            <w:pPr>
              <w:pStyle w:val="TableText0"/>
              <w:keepNext w:val="0"/>
              <w:jc w:val="center"/>
              <w:rPr>
                <w:bCs w:val="0"/>
              </w:rPr>
            </w:pPr>
            <w:r w:rsidRPr="00AD5A27">
              <w:t>−</w:t>
            </w:r>
          </w:p>
        </w:tc>
      </w:tr>
      <w:tr w:rsidR="002A66BB" w:rsidRPr="00AD5A27" w14:paraId="4D2AFAF3" w14:textId="77777777" w:rsidTr="007A7BD5">
        <w:trPr>
          <w:cantSplit/>
        </w:trPr>
        <w:tc>
          <w:tcPr>
            <w:tcW w:w="795" w:type="pct"/>
            <w:shd w:val="clear" w:color="auto" w:fill="auto"/>
            <w:vAlign w:val="center"/>
          </w:tcPr>
          <w:p w14:paraId="1557C99F" w14:textId="77777777" w:rsidR="002A66BB" w:rsidRPr="00AD5A27" w:rsidRDefault="002A66BB">
            <w:pPr>
              <w:pStyle w:val="TableText0"/>
              <w:keepNext w:val="0"/>
            </w:pPr>
            <w:r w:rsidRPr="00AD5A27">
              <w:lastRenderedPageBreak/>
              <w:t>Cost/injection [C=A/B]</w:t>
            </w:r>
          </w:p>
        </w:tc>
        <w:tc>
          <w:tcPr>
            <w:tcW w:w="1018" w:type="pct"/>
            <w:shd w:val="clear" w:color="auto" w:fill="auto"/>
            <w:vAlign w:val="center"/>
          </w:tcPr>
          <w:p w14:paraId="63DEA796" w14:textId="3A436D59" w:rsidR="002A66BB" w:rsidRPr="00AD5A27" w:rsidRDefault="002B7C2B">
            <w:pPr>
              <w:pStyle w:val="TableText0"/>
              <w:keepNext w:val="0"/>
              <w:jc w:val="center"/>
              <w:rPr>
                <w:bCs w:val="0"/>
              </w:rPr>
            </w:pPr>
            <w:r w:rsidRPr="00AD5A27">
              <w:rPr>
                <w:bCs w:val="0"/>
              </w:rPr>
              <w:t>$</w:t>
            </w:r>
            <w:r w:rsidR="005A5E0D" w:rsidRPr="005B4EE5">
              <w:rPr>
                <w:bCs w:val="0"/>
              </w:rPr>
              <w:t>338.40</w:t>
            </w:r>
            <w:r w:rsidRPr="00AD5A27">
              <w:rPr>
                <w:bCs w:val="0"/>
              </w:rPr>
              <w:t xml:space="preserve"> [C=A/B]</w:t>
            </w:r>
          </w:p>
        </w:tc>
        <w:tc>
          <w:tcPr>
            <w:tcW w:w="779" w:type="pct"/>
            <w:shd w:val="clear" w:color="auto" w:fill="auto"/>
            <w:vAlign w:val="center"/>
          </w:tcPr>
          <w:p w14:paraId="6FD002A0" w14:textId="3F033C69" w:rsidR="002A66BB" w:rsidRPr="00AD5A27" w:rsidRDefault="002A66BB">
            <w:pPr>
              <w:pStyle w:val="TableText0"/>
              <w:keepNext w:val="0"/>
              <w:jc w:val="center"/>
              <w:rPr>
                <w:bCs w:val="0"/>
              </w:rPr>
            </w:pPr>
            <w:r w:rsidRPr="00AD5A27">
              <w:rPr>
                <w:bCs w:val="0"/>
              </w:rPr>
              <w:t>$</w:t>
            </w:r>
            <w:r w:rsidR="00860BB2" w:rsidRPr="00860BB2">
              <w:rPr>
                <w:bCs w:val="0"/>
                <w:color w:val="000000"/>
                <w:spacing w:val="49"/>
                <w:shd w:val="solid" w:color="000000" w:fill="000000"/>
                <w:fitText w:val="226" w:id="-961901051"/>
                <w14:textFill>
                  <w14:solidFill>
                    <w14:srgbClr w14:val="000000">
                      <w14:alpha w14:val="100000"/>
                    </w14:srgbClr>
                  </w14:solidFill>
                </w14:textFill>
              </w:rPr>
              <w:t>||</w:t>
            </w:r>
            <w:r w:rsidR="00860BB2" w:rsidRPr="00860BB2">
              <w:rPr>
                <w:bCs w:val="0"/>
                <w:color w:val="000000"/>
                <w:spacing w:val="1"/>
                <w:shd w:val="solid" w:color="000000" w:fill="000000"/>
                <w:fitText w:val="226" w:id="-961901051"/>
                <w14:textFill>
                  <w14:solidFill>
                    <w14:srgbClr w14:val="000000">
                      <w14:alpha w14:val="100000"/>
                    </w14:srgbClr>
                  </w14:solidFill>
                </w14:textFill>
              </w:rPr>
              <w:t>|</w:t>
            </w:r>
            <w:r w:rsidRPr="00AD5A27">
              <w:rPr>
                <w:bCs w:val="0"/>
              </w:rPr>
              <w:t xml:space="preserve"> [C=A/B]</w:t>
            </w:r>
          </w:p>
        </w:tc>
        <w:tc>
          <w:tcPr>
            <w:tcW w:w="2409" w:type="pct"/>
            <w:shd w:val="clear" w:color="auto" w:fill="auto"/>
            <w:vAlign w:val="center"/>
          </w:tcPr>
          <w:p w14:paraId="1A01ABDD" w14:textId="77777777" w:rsidR="002A66BB" w:rsidRPr="00AD5A27" w:rsidRDefault="002A66BB">
            <w:pPr>
              <w:pStyle w:val="TableText0"/>
              <w:keepNext w:val="0"/>
              <w:jc w:val="center"/>
              <w:rPr>
                <w:bCs w:val="0"/>
              </w:rPr>
            </w:pPr>
            <w:r w:rsidRPr="00AD5A27">
              <w:rPr>
                <w:bCs w:val="0"/>
              </w:rPr>
              <w:t>−</w:t>
            </w:r>
          </w:p>
        </w:tc>
      </w:tr>
      <w:tr w:rsidR="002A66BB" w:rsidRPr="00AD5A27" w14:paraId="2BB89662" w14:textId="77777777" w:rsidTr="007A7BD5">
        <w:trPr>
          <w:cantSplit/>
        </w:trPr>
        <w:tc>
          <w:tcPr>
            <w:tcW w:w="795" w:type="pct"/>
            <w:shd w:val="clear" w:color="auto" w:fill="auto"/>
            <w:vAlign w:val="center"/>
          </w:tcPr>
          <w:p w14:paraId="04EA28ED" w14:textId="77777777" w:rsidR="002A66BB" w:rsidRPr="00AD5A27" w:rsidRDefault="002A66BB">
            <w:pPr>
              <w:pStyle w:val="TableText0"/>
              <w:keepNext w:val="0"/>
            </w:pPr>
            <w:r w:rsidRPr="00AD5A27">
              <w:t>Injections frequency</w:t>
            </w:r>
          </w:p>
        </w:tc>
        <w:tc>
          <w:tcPr>
            <w:tcW w:w="1018" w:type="pct"/>
            <w:shd w:val="clear" w:color="auto" w:fill="auto"/>
            <w:vAlign w:val="center"/>
          </w:tcPr>
          <w:p w14:paraId="2630CE1D" w14:textId="66FCDC1A" w:rsidR="002A66BB" w:rsidRPr="00AD5A27" w:rsidRDefault="00700C68" w:rsidP="00700C68">
            <w:pPr>
              <w:pStyle w:val="TableText0"/>
              <w:keepNext w:val="0"/>
              <w:jc w:val="center"/>
              <w:rPr>
                <w:bCs w:val="0"/>
              </w:rPr>
            </w:pPr>
            <w:r w:rsidRPr="00AD5A27">
              <w:rPr>
                <w:bCs w:val="0"/>
              </w:rPr>
              <w:t>−</w:t>
            </w:r>
          </w:p>
        </w:tc>
        <w:tc>
          <w:tcPr>
            <w:tcW w:w="779" w:type="pct"/>
            <w:shd w:val="clear" w:color="auto" w:fill="auto"/>
            <w:vAlign w:val="center"/>
          </w:tcPr>
          <w:p w14:paraId="395FE2FC" w14:textId="77777777" w:rsidR="002A66BB" w:rsidRPr="00AD5A27" w:rsidRDefault="002A66BB">
            <w:pPr>
              <w:pStyle w:val="TableText0"/>
              <w:keepNext w:val="0"/>
              <w:jc w:val="center"/>
              <w:rPr>
                <w:bCs w:val="0"/>
              </w:rPr>
            </w:pPr>
            <w:r w:rsidRPr="00AD5A27">
              <w:rPr>
                <w:bCs w:val="0"/>
              </w:rPr>
              <w:t>1-month cycles [D]</w:t>
            </w:r>
          </w:p>
          <w:p w14:paraId="2E93BD15" w14:textId="77777777" w:rsidR="002A66BB" w:rsidRPr="00AD5A27" w:rsidRDefault="002A66BB">
            <w:pPr>
              <w:pStyle w:val="TableText0"/>
              <w:keepNext w:val="0"/>
              <w:jc w:val="center"/>
              <w:rPr>
                <w:bCs w:val="0"/>
              </w:rPr>
            </w:pPr>
            <w:r w:rsidRPr="00AD5A27">
              <w:rPr>
                <w:bCs w:val="0"/>
              </w:rPr>
              <w:t>Cycle 1: 3</w:t>
            </w:r>
          </w:p>
          <w:p w14:paraId="74C998CE" w14:textId="77777777" w:rsidR="002A66BB" w:rsidRPr="00AD5A27" w:rsidRDefault="002A66BB">
            <w:pPr>
              <w:pStyle w:val="TableText0"/>
              <w:keepNext w:val="0"/>
              <w:jc w:val="center"/>
              <w:rPr>
                <w:bCs w:val="0"/>
              </w:rPr>
            </w:pPr>
            <w:r w:rsidRPr="00AD5A27">
              <w:rPr>
                <w:bCs w:val="0"/>
              </w:rPr>
              <w:t>Cycle 2+: 2.1726</w:t>
            </w:r>
            <w:r w:rsidRPr="00AD5A27">
              <w:rPr>
                <w:bCs w:val="0"/>
                <w:vertAlign w:val="superscript"/>
              </w:rPr>
              <w:t>a</w:t>
            </w:r>
          </w:p>
        </w:tc>
        <w:tc>
          <w:tcPr>
            <w:tcW w:w="2409" w:type="pct"/>
            <w:shd w:val="clear" w:color="auto" w:fill="auto"/>
            <w:vAlign w:val="center"/>
          </w:tcPr>
          <w:p w14:paraId="74F8104B" w14:textId="0CDC2F28" w:rsidR="002A66BB" w:rsidRPr="00AD5A27" w:rsidRDefault="002A66BB">
            <w:pPr>
              <w:pStyle w:val="TableText0"/>
              <w:keepNext w:val="0"/>
              <w:jc w:val="both"/>
              <w:rPr>
                <w:bCs w:val="0"/>
              </w:rPr>
            </w:pPr>
            <w:r w:rsidRPr="00AD5A27">
              <w:rPr>
                <w:bCs w:val="0"/>
              </w:rPr>
              <w:t>Adults/paed</w:t>
            </w:r>
            <w:r w:rsidR="00312E7C" w:rsidRPr="00AD5A27">
              <w:rPr>
                <w:bCs w:val="0"/>
              </w:rPr>
              <w:t>iatric</w:t>
            </w:r>
            <w:r w:rsidRPr="00AD5A27">
              <w:rPr>
                <w:bCs w:val="0"/>
              </w:rPr>
              <w:t xml:space="preserve">.: Incident patients: 13 scripts in Year 1 (one script for induction, 12 additional scripts), Year 2+: 12 scripts/year </w:t>
            </w:r>
          </w:p>
          <w:p w14:paraId="7358AB82" w14:textId="0338EE30" w:rsidR="002A66BB" w:rsidRPr="00AD5A27" w:rsidRDefault="002A66BB">
            <w:pPr>
              <w:pStyle w:val="TableText0"/>
              <w:keepNext w:val="0"/>
              <w:jc w:val="both"/>
              <w:rPr>
                <w:bCs w:val="0"/>
              </w:rPr>
            </w:pPr>
            <w:r w:rsidRPr="00AD5A27">
              <w:rPr>
                <w:bCs w:val="0"/>
              </w:rPr>
              <w:t>Grandfathered patients: 12 scripts/year.</w:t>
            </w:r>
          </w:p>
        </w:tc>
      </w:tr>
      <w:tr w:rsidR="002A66BB" w:rsidRPr="00AD5A27" w14:paraId="628310BC" w14:textId="77777777" w:rsidTr="007A7BD5">
        <w:trPr>
          <w:cantSplit/>
        </w:trPr>
        <w:tc>
          <w:tcPr>
            <w:tcW w:w="795" w:type="pct"/>
            <w:shd w:val="clear" w:color="auto" w:fill="auto"/>
            <w:vAlign w:val="center"/>
          </w:tcPr>
          <w:p w14:paraId="636E06B1" w14:textId="77777777" w:rsidR="002A66BB" w:rsidRPr="00AD5A27" w:rsidRDefault="002A66BB">
            <w:pPr>
              <w:pStyle w:val="TableText0"/>
              <w:keepNext w:val="0"/>
            </w:pPr>
            <w:r w:rsidRPr="00AD5A27">
              <w:t xml:space="preserve">Cost/patient/month </w:t>
            </w:r>
          </w:p>
        </w:tc>
        <w:tc>
          <w:tcPr>
            <w:tcW w:w="1018" w:type="pct"/>
            <w:shd w:val="clear" w:color="auto" w:fill="auto"/>
            <w:vAlign w:val="center"/>
          </w:tcPr>
          <w:p w14:paraId="0F038D05" w14:textId="0D94B388" w:rsidR="002A66BB" w:rsidRPr="00AD5A27" w:rsidRDefault="002A66BB">
            <w:pPr>
              <w:pStyle w:val="TableText0"/>
              <w:keepNext w:val="0"/>
              <w:jc w:val="center"/>
            </w:pPr>
          </w:p>
        </w:tc>
        <w:tc>
          <w:tcPr>
            <w:tcW w:w="779" w:type="pct"/>
            <w:shd w:val="clear" w:color="auto" w:fill="auto"/>
            <w:vAlign w:val="center"/>
          </w:tcPr>
          <w:p w14:paraId="1645AEB1" w14:textId="77777777" w:rsidR="002A66BB" w:rsidRPr="00AD5A27" w:rsidRDefault="002A66BB">
            <w:pPr>
              <w:pStyle w:val="TableText0"/>
              <w:keepNext w:val="0"/>
              <w:jc w:val="center"/>
            </w:pPr>
            <w:r w:rsidRPr="00AD5A27">
              <w:t>[E = C x D]</w:t>
            </w:r>
          </w:p>
          <w:p w14:paraId="0A4B86C8" w14:textId="6E26034D" w:rsidR="002A66BB" w:rsidRPr="00AD5A27" w:rsidRDefault="002A66BB">
            <w:pPr>
              <w:pStyle w:val="TableText0"/>
              <w:keepNext w:val="0"/>
              <w:jc w:val="center"/>
            </w:pPr>
            <w:r w:rsidRPr="00AD5A27">
              <w:t>Cycle 1: $</w:t>
            </w:r>
            <w:r w:rsidR="00860BB2" w:rsidRPr="00860BB2">
              <w:rPr>
                <w:color w:val="000000"/>
                <w:spacing w:val="55"/>
                <w:shd w:val="solid" w:color="000000" w:fill="000000"/>
                <w:fitText w:val="238" w:id="-961901050"/>
                <w14:textFill>
                  <w14:solidFill>
                    <w14:srgbClr w14:val="000000">
                      <w14:alpha w14:val="100000"/>
                    </w14:srgbClr>
                  </w14:solidFill>
                </w14:textFill>
              </w:rPr>
              <w:t>||</w:t>
            </w:r>
            <w:r w:rsidR="00860BB2" w:rsidRPr="00860BB2">
              <w:rPr>
                <w:color w:val="000000"/>
                <w:spacing w:val="1"/>
                <w:shd w:val="solid" w:color="000000" w:fill="000000"/>
                <w:fitText w:val="238" w:id="-961901050"/>
                <w14:textFill>
                  <w14:solidFill>
                    <w14:srgbClr w14:val="000000">
                      <w14:alpha w14:val="100000"/>
                    </w14:srgbClr>
                  </w14:solidFill>
                </w14:textFill>
              </w:rPr>
              <w:t>|</w:t>
            </w:r>
          </w:p>
          <w:p w14:paraId="0E7E6F44" w14:textId="6D37E003" w:rsidR="002A66BB" w:rsidRPr="00AD5A27" w:rsidRDefault="002A66BB">
            <w:pPr>
              <w:pStyle w:val="TableText0"/>
              <w:keepNext w:val="0"/>
              <w:jc w:val="center"/>
            </w:pPr>
            <w:r w:rsidRPr="00AD5A27">
              <w:t>Cycle 2+: $</w:t>
            </w:r>
            <w:r w:rsidR="00860BB2" w:rsidRPr="00860BB2">
              <w:rPr>
                <w:color w:val="000000"/>
                <w:spacing w:val="202"/>
                <w:shd w:val="solid" w:color="000000" w:fill="000000"/>
                <w:fitText w:val="288" w:id="-961901049"/>
                <w14:textFill>
                  <w14:solidFill>
                    <w14:srgbClr w14:val="000000">
                      <w14:alpha w14:val="100000"/>
                    </w14:srgbClr>
                  </w14:solidFill>
                </w14:textFill>
              </w:rPr>
              <w:t>|</w:t>
            </w:r>
            <w:r w:rsidR="00860BB2" w:rsidRPr="00860BB2">
              <w:rPr>
                <w:color w:val="000000"/>
                <w:spacing w:val="1"/>
                <w:shd w:val="solid" w:color="000000" w:fill="000000"/>
                <w:fitText w:val="288" w:id="-961901049"/>
                <w14:textFill>
                  <w14:solidFill>
                    <w14:srgbClr w14:val="000000">
                      <w14:alpha w14:val="100000"/>
                    </w14:srgbClr>
                  </w14:solidFill>
                </w14:textFill>
              </w:rPr>
              <w:t>|</w:t>
            </w:r>
          </w:p>
        </w:tc>
        <w:tc>
          <w:tcPr>
            <w:tcW w:w="2409" w:type="pct"/>
            <w:shd w:val="clear" w:color="auto" w:fill="auto"/>
            <w:vAlign w:val="center"/>
          </w:tcPr>
          <w:p w14:paraId="237F378E" w14:textId="77777777" w:rsidR="002A66BB" w:rsidRPr="00AD5A27" w:rsidRDefault="002A66BB">
            <w:pPr>
              <w:pStyle w:val="TableText0"/>
              <w:keepNext w:val="0"/>
              <w:jc w:val="center"/>
            </w:pPr>
            <w:r w:rsidRPr="00AD5A27">
              <w:t>−</w:t>
            </w:r>
          </w:p>
        </w:tc>
      </w:tr>
      <w:tr w:rsidR="002A66BB" w:rsidRPr="00AD5A27" w14:paraId="1937C397" w14:textId="77777777" w:rsidTr="007A7BD5">
        <w:trPr>
          <w:cantSplit/>
          <w:trHeight w:val="918"/>
        </w:trPr>
        <w:tc>
          <w:tcPr>
            <w:tcW w:w="795" w:type="pct"/>
            <w:shd w:val="clear" w:color="auto" w:fill="auto"/>
          </w:tcPr>
          <w:p w14:paraId="5925E771" w14:textId="45B0AF63" w:rsidR="002A66BB" w:rsidRPr="00AD5A27" w:rsidRDefault="002A66BB" w:rsidP="00F35985">
            <w:pPr>
              <w:pStyle w:val="TableText0"/>
              <w:keepNext w:val="0"/>
            </w:pPr>
            <w:r w:rsidRPr="00AD5A27">
              <w:t xml:space="preserve">Cost/patient/year (chronic) </w:t>
            </w:r>
          </w:p>
        </w:tc>
        <w:tc>
          <w:tcPr>
            <w:tcW w:w="1018" w:type="pct"/>
            <w:shd w:val="clear" w:color="auto" w:fill="auto"/>
          </w:tcPr>
          <w:p w14:paraId="1C9E4059" w14:textId="1E65E902" w:rsidR="002A66BB" w:rsidRPr="00AD5A27" w:rsidRDefault="00700C68">
            <w:pPr>
              <w:pStyle w:val="TableText0"/>
              <w:keepNext w:val="0"/>
              <w:jc w:val="center"/>
            </w:pPr>
            <w:r w:rsidRPr="00AD5A27">
              <w:t>Year 1</w:t>
            </w:r>
            <w:r w:rsidR="005075A0" w:rsidRPr="00AD5A27">
              <w:rPr>
                <w:vertAlign w:val="superscript"/>
              </w:rPr>
              <w:t>c</w:t>
            </w:r>
            <w:r w:rsidR="009E2EEE" w:rsidRPr="00AD5A27">
              <w:t>:</w:t>
            </w:r>
          </w:p>
          <w:p w14:paraId="78DB3D21" w14:textId="643CB7C9" w:rsidR="00981596" w:rsidRPr="00D65114" w:rsidRDefault="009E2EEE" w:rsidP="00981596">
            <w:pPr>
              <w:pStyle w:val="TableText0"/>
              <w:keepNext w:val="0"/>
              <w:jc w:val="center"/>
            </w:pPr>
            <w:r w:rsidRPr="00AD5A27">
              <w:t>VISUAL I: $</w:t>
            </w:r>
            <w:r w:rsidR="0004262F" w:rsidRPr="002D4637">
              <w:t>10,760.96</w:t>
            </w:r>
            <w:r w:rsidRPr="00D65114">
              <w:t xml:space="preserve"> </w:t>
            </w:r>
          </w:p>
          <w:p w14:paraId="6868CB31" w14:textId="17B43ED5" w:rsidR="009E2EEE" w:rsidRPr="00D65114" w:rsidRDefault="009E2EEE">
            <w:pPr>
              <w:pStyle w:val="TableText0"/>
              <w:keepNext w:val="0"/>
              <w:jc w:val="center"/>
            </w:pPr>
            <w:r w:rsidRPr="00D65114">
              <w:t>[A x 15.9]</w:t>
            </w:r>
          </w:p>
          <w:p w14:paraId="5D91C23E" w14:textId="59A6AD4D" w:rsidR="00981596" w:rsidRPr="00D65114" w:rsidRDefault="009E2EEE" w:rsidP="005D2C8B">
            <w:pPr>
              <w:pStyle w:val="TableText0"/>
              <w:keepNext w:val="0"/>
              <w:jc w:val="center"/>
            </w:pPr>
            <w:r w:rsidRPr="00D65114">
              <w:t>VISUAL II</w:t>
            </w:r>
            <w:r w:rsidR="005075A0" w:rsidRPr="00D65114">
              <w:rPr>
                <w:vertAlign w:val="superscript"/>
              </w:rPr>
              <w:t>c</w:t>
            </w:r>
            <w:r w:rsidRPr="00D65114">
              <w:t>:</w:t>
            </w:r>
            <w:r w:rsidR="005D2C8B" w:rsidRPr="00D65114">
              <w:t xml:space="preserve"> $1</w:t>
            </w:r>
            <w:r w:rsidR="0004262F" w:rsidRPr="00D65114">
              <w:t>5,363.13</w:t>
            </w:r>
            <w:r w:rsidRPr="00D65114">
              <w:t xml:space="preserve"> </w:t>
            </w:r>
          </w:p>
          <w:p w14:paraId="35F90CE3" w14:textId="77D7F0D4" w:rsidR="009E2EEE" w:rsidRPr="00D65114" w:rsidRDefault="009E2EEE" w:rsidP="005D2C8B">
            <w:pPr>
              <w:pStyle w:val="TableText0"/>
              <w:keepNext w:val="0"/>
              <w:jc w:val="center"/>
            </w:pPr>
            <w:r w:rsidRPr="00D65114">
              <w:t>[A x 22.7]</w:t>
            </w:r>
          </w:p>
          <w:p w14:paraId="323EE988" w14:textId="77777777" w:rsidR="00981596" w:rsidRPr="00D65114" w:rsidRDefault="00981596" w:rsidP="005D2C8B">
            <w:pPr>
              <w:pStyle w:val="TableText0"/>
              <w:keepNext w:val="0"/>
              <w:jc w:val="center"/>
            </w:pPr>
          </w:p>
          <w:p w14:paraId="519B9CD6" w14:textId="0CAE14E0" w:rsidR="00700C68" w:rsidRPr="00D65114" w:rsidRDefault="00700C68" w:rsidP="005D2C8B">
            <w:pPr>
              <w:pStyle w:val="TableText0"/>
              <w:keepNext w:val="0"/>
              <w:jc w:val="center"/>
            </w:pPr>
            <w:r w:rsidRPr="00D65114">
              <w:t>Year 2+:</w:t>
            </w:r>
          </w:p>
          <w:p w14:paraId="5A2E2B51" w14:textId="11EBCAF4" w:rsidR="00700C68" w:rsidRPr="00D65114" w:rsidRDefault="00700C68" w:rsidP="005D2C8B">
            <w:pPr>
              <w:pStyle w:val="TableText0"/>
              <w:keepNext w:val="0"/>
              <w:jc w:val="center"/>
            </w:pPr>
            <w:r w:rsidRPr="00D65114">
              <w:t xml:space="preserve">VISUAL </w:t>
            </w:r>
            <w:r w:rsidR="00E767E3" w:rsidRPr="00D65114">
              <w:t>I</w:t>
            </w:r>
            <w:r w:rsidR="00AA6ADA" w:rsidRPr="00D65114">
              <w:rPr>
                <w:vertAlign w:val="superscript"/>
              </w:rPr>
              <w:t xml:space="preserve"> c</w:t>
            </w:r>
            <w:r w:rsidRPr="00D65114">
              <w:t>: $0</w:t>
            </w:r>
          </w:p>
          <w:p w14:paraId="1E2CD084" w14:textId="43E713B3" w:rsidR="009E2EEE" w:rsidRPr="00AD5A27" w:rsidRDefault="00700C68" w:rsidP="005D2C8B">
            <w:pPr>
              <w:pStyle w:val="TableText0"/>
              <w:keepNext w:val="0"/>
              <w:jc w:val="center"/>
            </w:pPr>
            <w:r w:rsidRPr="00D65114">
              <w:t xml:space="preserve">VISUAL </w:t>
            </w:r>
            <w:r w:rsidR="00E767E3" w:rsidRPr="00D65114">
              <w:t>II</w:t>
            </w:r>
            <w:r w:rsidR="00AA6ADA" w:rsidRPr="00D65114">
              <w:rPr>
                <w:vertAlign w:val="superscript"/>
              </w:rPr>
              <w:t xml:space="preserve"> c</w:t>
            </w:r>
            <w:r w:rsidRPr="00D65114">
              <w:t>: $0</w:t>
            </w:r>
          </w:p>
        </w:tc>
        <w:tc>
          <w:tcPr>
            <w:tcW w:w="779" w:type="pct"/>
            <w:shd w:val="clear" w:color="auto" w:fill="auto"/>
            <w:vAlign w:val="center"/>
          </w:tcPr>
          <w:p w14:paraId="38481219" w14:textId="77777777" w:rsidR="002A66BB" w:rsidRPr="00AD5A27" w:rsidRDefault="002A66BB">
            <w:pPr>
              <w:pStyle w:val="TableText0"/>
              <w:keepNext w:val="0"/>
              <w:jc w:val="center"/>
            </w:pPr>
            <w:r w:rsidRPr="00AD5A27">
              <w:t>[F = E x 12]</w:t>
            </w:r>
          </w:p>
          <w:p w14:paraId="3FEB2120" w14:textId="7654292D" w:rsidR="002A66BB" w:rsidRPr="00AD5A27" w:rsidRDefault="002A66BB">
            <w:pPr>
              <w:pStyle w:val="TableText0"/>
              <w:keepNext w:val="0"/>
              <w:jc w:val="center"/>
            </w:pPr>
            <w:r w:rsidRPr="00AD5A27">
              <w:t>Year 1: $</w:t>
            </w:r>
            <w:r w:rsidR="00860BB2" w:rsidRPr="00860BB2">
              <w:rPr>
                <w:color w:val="000000"/>
                <w:spacing w:val="164"/>
                <w:shd w:val="solid" w:color="000000" w:fill="000000"/>
                <w:fitText w:val="250" w:id="-961901048"/>
                <w14:textFill>
                  <w14:solidFill>
                    <w14:srgbClr w14:val="000000">
                      <w14:alpha w14:val="100000"/>
                    </w14:srgbClr>
                  </w14:solidFill>
                </w14:textFill>
              </w:rPr>
              <w:t>|</w:t>
            </w:r>
            <w:r w:rsidR="00860BB2" w:rsidRPr="00860BB2">
              <w:rPr>
                <w:color w:val="000000"/>
                <w:spacing w:val="1"/>
                <w:shd w:val="solid" w:color="000000" w:fill="000000"/>
                <w:fitText w:val="250" w:id="-961901048"/>
                <w14:textFill>
                  <w14:solidFill>
                    <w14:srgbClr w14:val="000000">
                      <w14:alpha w14:val="100000"/>
                    </w14:srgbClr>
                  </w14:solidFill>
                </w14:textFill>
              </w:rPr>
              <w:t>|</w:t>
            </w:r>
            <w:r w:rsidRPr="00AD5A27">
              <w:rPr>
                <w:vertAlign w:val="superscript"/>
              </w:rPr>
              <w:t>b</w:t>
            </w:r>
            <w:r w:rsidRPr="00AD5A27">
              <w:t xml:space="preserve"> </w:t>
            </w:r>
          </w:p>
          <w:p w14:paraId="3A628C83" w14:textId="25130E36" w:rsidR="002A66BB" w:rsidRPr="00AD5A27" w:rsidRDefault="002A66BB">
            <w:pPr>
              <w:pStyle w:val="TableText0"/>
              <w:keepNext w:val="0"/>
              <w:jc w:val="center"/>
            </w:pPr>
            <w:r w:rsidRPr="00AD5A27">
              <w:t>Year 2+: $</w:t>
            </w:r>
            <w:r w:rsidR="00860BB2" w:rsidRPr="00860BB2">
              <w:rPr>
                <w:color w:val="000000"/>
                <w:spacing w:val="165"/>
                <w:shd w:val="solid" w:color="000000" w:fill="000000"/>
                <w:fitText w:val="251" w:id="-961901047"/>
                <w14:textFill>
                  <w14:solidFill>
                    <w14:srgbClr w14:val="000000">
                      <w14:alpha w14:val="100000"/>
                    </w14:srgbClr>
                  </w14:solidFill>
                </w14:textFill>
              </w:rPr>
              <w:t>|</w:t>
            </w:r>
            <w:r w:rsidR="00860BB2" w:rsidRPr="00860BB2">
              <w:rPr>
                <w:color w:val="000000"/>
                <w:spacing w:val="1"/>
                <w:shd w:val="solid" w:color="000000" w:fill="000000"/>
                <w:fitText w:val="251" w:id="-961901047"/>
                <w14:textFill>
                  <w14:solidFill>
                    <w14:srgbClr w14:val="000000">
                      <w14:alpha w14:val="100000"/>
                    </w14:srgbClr>
                  </w14:solidFill>
                </w14:textFill>
              </w:rPr>
              <w:t>|</w:t>
            </w:r>
          </w:p>
        </w:tc>
        <w:tc>
          <w:tcPr>
            <w:tcW w:w="2409" w:type="pct"/>
            <w:shd w:val="clear" w:color="auto" w:fill="auto"/>
            <w:vAlign w:val="center"/>
          </w:tcPr>
          <w:p w14:paraId="71B546CB" w14:textId="2492E1F2" w:rsidR="002A66BB" w:rsidRPr="00AD5A27" w:rsidRDefault="002A66BB">
            <w:pPr>
              <w:pStyle w:val="TableText0"/>
              <w:keepNext w:val="0"/>
            </w:pPr>
            <w:r w:rsidRPr="00AD5A27">
              <w:t xml:space="preserve">Incident, adults: </w:t>
            </w:r>
          </w:p>
          <w:p w14:paraId="5269C558" w14:textId="7D27D77E" w:rsidR="002A66BB" w:rsidRPr="00AD5A27" w:rsidRDefault="002A66BB">
            <w:pPr>
              <w:pStyle w:val="TableText0"/>
              <w:keepNext w:val="0"/>
            </w:pPr>
            <w:r w:rsidRPr="00AD5A27">
              <w:t>Year 1: $</w:t>
            </w:r>
            <w:r w:rsidR="00860BB2" w:rsidRPr="00860BB2">
              <w:rPr>
                <w:color w:val="000000"/>
                <w:spacing w:val="51"/>
                <w:shd w:val="solid" w:color="000000" w:fill="000000"/>
                <w:fitText w:val="325" w:id="-961901046"/>
                <w14:textFill>
                  <w14:solidFill>
                    <w14:srgbClr w14:val="000000">
                      <w14:alpha w14:val="100000"/>
                    </w14:srgbClr>
                  </w14:solidFill>
                </w14:textFill>
              </w:rPr>
              <w:t>|||</w:t>
            </w:r>
            <w:r w:rsidR="00860BB2" w:rsidRPr="00860BB2">
              <w:rPr>
                <w:color w:val="000000"/>
                <w:spacing w:val="2"/>
                <w:shd w:val="solid" w:color="000000" w:fill="000000"/>
                <w:fitText w:val="325" w:id="-961901046"/>
                <w14:textFill>
                  <w14:solidFill>
                    <w14:srgbClr w14:val="000000">
                      <w14:alpha w14:val="100000"/>
                    </w14:srgbClr>
                  </w14:solidFill>
                </w14:textFill>
              </w:rPr>
              <w:t>|</w:t>
            </w:r>
            <w:r w:rsidRPr="00AD5A27">
              <w:t xml:space="preserve"> [A x 13]. </w:t>
            </w:r>
          </w:p>
          <w:p w14:paraId="39AB8648" w14:textId="7C220E45" w:rsidR="00C55342" w:rsidRPr="00AD5A27" w:rsidRDefault="002A66BB">
            <w:pPr>
              <w:pStyle w:val="TableText0"/>
              <w:keepNext w:val="0"/>
            </w:pPr>
            <w:r w:rsidRPr="00AD5A27">
              <w:t>Year 2: $</w:t>
            </w:r>
            <w:r w:rsidR="00860BB2" w:rsidRPr="00860BB2">
              <w:rPr>
                <w:color w:val="000000"/>
                <w:spacing w:val="51"/>
                <w:shd w:val="solid" w:color="000000" w:fill="000000"/>
                <w:fitText w:val="325" w:id="-961901045"/>
                <w14:textFill>
                  <w14:solidFill>
                    <w14:srgbClr w14:val="000000">
                      <w14:alpha w14:val="100000"/>
                    </w14:srgbClr>
                  </w14:solidFill>
                </w14:textFill>
              </w:rPr>
              <w:t>|||</w:t>
            </w:r>
            <w:r w:rsidR="00860BB2" w:rsidRPr="00860BB2">
              <w:rPr>
                <w:color w:val="000000"/>
                <w:spacing w:val="2"/>
                <w:shd w:val="solid" w:color="000000" w:fill="000000"/>
                <w:fitText w:val="325" w:id="-961901045"/>
                <w14:textFill>
                  <w14:solidFill>
                    <w14:srgbClr w14:val="000000">
                      <w14:alpha w14:val="100000"/>
                    </w14:srgbClr>
                  </w14:solidFill>
                </w14:textFill>
              </w:rPr>
              <w:t>|</w:t>
            </w:r>
            <w:r w:rsidRPr="00AD5A27">
              <w:t xml:space="preserve"> [A x 12].</w:t>
            </w:r>
          </w:p>
          <w:p w14:paraId="168253BD" w14:textId="726D18F6" w:rsidR="002A66BB" w:rsidRPr="00AD5A27" w:rsidRDefault="002A66BB">
            <w:pPr>
              <w:pStyle w:val="TableText0"/>
              <w:keepNext w:val="0"/>
            </w:pPr>
            <w:r w:rsidRPr="00AD5A27">
              <w:t xml:space="preserve">Grandfathered continuing, adults: </w:t>
            </w:r>
          </w:p>
          <w:p w14:paraId="6EBF8F35" w14:textId="52B5EC66" w:rsidR="00C55342" w:rsidRPr="00AD5A27" w:rsidRDefault="002A66BB">
            <w:pPr>
              <w:pStyle w:val="TableText0"/>
              <w:keepNext w:val="0"/>
            </w:pPr>
            <w:r w:rsidRPr="00AD5A27">
              <w:t>Year 1: $</w:t>
            </w:r>
            <w:r w:rsidR="00860BB2" w:rsidRPr="00860BB2">
              <w:rPr>
                <w:color w:val="000000"/>
                <w:spacing w:val="51"/>
                <w:shd w:val="solid" w:color="000000" w:fill="000000"/>
                <w:fitText w:val="325" w:id="-961901044"/>
                <w14:textFill>
                  <w14:solidFill>
                    <w14:srgbClr w14:val="000000">
                      <w14:alpha w14:val="100000"/>
                    </w14:srgbClr>
                  </w14:solidFill>
                </w14:textFill>
              </w:rPr>
              <w:t>|||</w:t>
            </w:r>
            <w:r w:rsidR="00860BB2" w:rsidRPr="00860BB2">
              <w:rPr>
                <w:color w:val="000000"/>
                <w:spacing w:val="2"/>
                <w:shd w:val="solid" w:color="000000" w:fill="000000"/>
                <w:fitText w:val="325" w:id="-961901044"/>
                <w14:textFill>
                  <w14:solidFill>
                    <w14:srgbClr w14:val="000000">
                      <w14:alpha w14:val="100000"/>
                    </w14:srgbClr>
                  </w14:solidFill>
                </w14:textFill>
              </w:rPr>
              <w:t>|</w:t>
            </w:r>
            <w:r w:rsidRPr="00AD5A27">
              <w:t>; Year 2: $</w:t>
            </w:r>
            <w:r w:rsidR="00860BB2" w:rsidRPr="00860BB2">
              <w:rPr>
                <w:color w:val="000000"/>
                <w:spacing w:val="55"/>
                <w:shd w:val="solid" w:color="000000" w:fill="000000"/>
                <w:fitText w:val="338" w:id="-961901043"/>
                <w14:textFill>
                  <w14:solidFill>
                    <w14:srgbClr w14:val="000000">
                      <w14:alpha w14:val="100000"/>
                    </w14:srgbClr>
                  </w14:solidFill>
                </w14:textFill>
              </w:rPr>
              <w:t>|||</w:t>
            </w:r>
            <w:r w:rsidR="00860BB2" w:rsidRPr="00860BB2">
              <w:rPr>
                <w:color w:val="000000"/>
                <w:spacing w:val="3"/>
                <w:shd w:val="solid" w:color="000000" w:fill="000000"/>
                <w:fitText w:val="338" w:id="-961901043"/>
                <w14:textFill>
                  <w14:solidFill>
                    <w14:srgbClr w14:val="000000">
                      <w14:alpha w14:val="100000"/>
                    </w14:srgbClr>
                  </w14:solidFill>
                </w14:textFill>
              </w:rPr>
              <w:t>|</w:t>
            </w:r>
            <w:r w:rsidRPr="00AD5A27">
              <w:t xml:space="preserve"> [A x 12].</w:t>
            </w:r>
          </w:p>
          <w:p w14:paraId="6088A89C" w14:textId="1CB812F8" w:rsidR="002A66BB" w:rsidRPr="00AD5A27" w:rsidRDefault="002A66BB">
            <w:pPr>
              <w:pStyle w:val="TableText0"/>
              <w:keepNext w:val="0"/>
            </w:pPr>
            <w:r w:rsidRPr="00AD5A27">
              <w:t>Incident paed</w:t>
            </w:r>
            <w:r w:rsidR="008C59DB" w:rsidRPr="00AD5A27">
              <w:t>iatric</w:t>
            </w:r>
            <w:r w:rsidRPr="00AD5A27">
              <w:t xml:space="preserve">: </w:t>
            </w:r>
          </w:p>
          <w:p w14:paraId="75B94FB2" w14:textId="3EF07226" w:rsidR="002A66BB" w:rsidRPr="00AD5A27" w:rsidRDefault="002A66BB">
            <w:pPr>
              <w:pStyle w:val="TableText0"/>
              <w:keepNext w:val="0"/>
            </w:pPr>
            <w:r w:rsidRPr="00AD5A27">
              <w:t>Year 1: $</w:t>
            </w:r>
            <w:r w:rsidR="00860BB2" w:rsidRPr="00860BB2">
              <w:rPr>
                <w:color w:val="000000"/>
                <w:spacing w:val="51"/>
                <w:shd w:val="solid" w:color="000000" w:fill="000000"/>
                <w:fitText w:val="325" w:id="-961901042"/>
                <w14:textFill>
                  <w14:solidFill>
                    <w14:srgbClr w14:val="000000">
                      <w14:alpha w14:val="100000"/>
                    </w14:srgbClr>
                  </w14:solidFill>
                </w14:textFill>
              </w:rPr>
              <w:t>|||</w:t>
            </w:r>
            <w:r w:rsidR="00860BB2" w:rsidRPr="00860BB2">
              <w:rPr>
                <w:color w:val="000000"/>
                <w:spacing w:val="2"/>
                <w:shd w:val="solid" w:color="000000" w:fill="000000"/>
                <w:fitText w:val="325" w:id="-961901042"/>
                <w14:textFill>
                  <w14:solidFill>
                    <w14:srgbClr w14:val="000000">
                      <w14:alpha w14:val="100000"/>
                    </w14:srgbClr>
                  </w14:solidFill>
                </w14:textFill>
              </w:rPr>
              <w:t>|</w:t>
            </w:r>
            <w:r w:rsidRPr="00AD5A27">
              <w:t xml:space="preserve"> [(A x 80% + G x 20%) x 13]</w:t>
            </w:r>
          </w:p>
          <w:p w14:paraId="61335680" w14:textId="0098F6B6" w:rsidR="002A66BB" w:rsidRPr="00AD5A27" w:rsidRDefault="002A66BB">
            <w:pPr>
              <w:pStyle w:val="TableText0"/>
              <w:keepNext w:val="0"/>
            </w:pPr>
            <w:r w:rsidRPr="00AD5A27">
              <w:t>Year 2: $</w:t>
            </w:r>
            <w:r w:rsidR="00860BB2" w:rsidRPr="00860BB2">
              <w:rPr>
                <w:color w:val="000000"/>
                <w:spacing w:val="51"/>
                <w:shd w:val="solid" w:color="000000" w:fill="000000"/>
                <w:fitText w:val="325" w:id="-961901041"/>
                <w14:textFill>
                  <w14:solidFill>
                    <w14:srgbClr w14:val="000000">
                      <w14:alpha w14:val="100000"/>
                    </w14:srgbClr>
                  </w14:solidFill>
                </w14:textFill>
              </w:rPr>
              <w:t>|||</w:t>
            </w:r>
            <w:r w:rsidR="00860BB2" w:rsidRPr="00860BB2">
              <w:rPr>
                <w:color w:val="000000"/>
                <w:spacing w:val="2"/>
                <w:shd w:val="solid" w:color="000000" w:fill="000000"/>
                <w:fitText w:val="325" w:id="-961901041"/>
                <w14:textFill>
                  <w14:solidFill>
                    <w14:srgbClr w14:val="000000">
                      <w14:alpha w14:val="100000"/>
                    </w14:srgbClr>
                  </w14:solidFill>
                </w14:textFill>
              </w:rPr>
              <w:t>|</w:t>
            </w:r>
            <w:r w:rsidRPr="00AD5A27">
              <w:t xml:space="preserve"> [(A x 80% + G x 20%) x 12]</w:t>
            </w:r>
          </w:p>
          <w:p w14:paraId="098A49A4" w14:textId="3A16536C" w:rsidR="002A66BB" w:rsidRPr="00AD5A27" w:rsidRDefault="002A66BB">
            <w:pPr>
              <w:pStyle w:val="TableText0"/>
              <w:keepNext w:val="0"/>
            </w:pPr>
          </w:p>
        </w:tc>
      </w:tr>
    </w:tbl>
    <w:p w14:paraId="2BA75C39" w14:textId="2E56E34C" w:rsidR="002A66BB" w:rsidRPr="00AD5A27" w:rsidRDefault="002A66BB" w:rsidP="00C94053">
      <w:pPr>
        <w:pStyle w:val="FooterTableFigure"/>
      </w:pPr>
      <w:r w:rsidRPr="00AD5A27">
        <w:t xml:space="preserve">Source: </w:t>
      </w:r>
      <w:r w:rsidR="00E77AF0" w:rsidRPr="00AD5A27">
        <w:t xml:space="preserve">Table 2-15, p95 of the resubmission; </w:t>
      </w:r>
      <w:r w:rsidRPr="00AD5A27">
        <w:t>pp23, 170 and 199-200 of the resubmission; Excel Workbook titled “Attachment 3.2 Humira_Uveitis_Section2” of the resubmission; para. 6.44 and 6.45, adalimumab, Minutes, March 2017 PBAC meeting</w:t>
      </w:r>
      <w:r w:rsidR="00E77AF0" w:rsidRPr="00AD5A27">
        <w:t>; Table 14.1__3.1.2.M, p549 of the VISUAL I trial CSR; Table 14.1__3.1.2.M, p452 of the VISUAL I</w:t>
      </w:r>
      <w:r w:rsidR="007D0FBE" w:rsidRPr="00AD5A27">
        <w:t>I</w:t>
      </w:r>
      <w:r w:rsidR="00E77AF0" w:rsidRPr="00AD5A27">
        <w:t xml:space="preserve"> trial CSR</w:t>
      </w:r>
      <w:r w:rsidRPr="00AD5A27">
        <w:t>ADA = adalimumab; CSR = Clinical Study Report; DPMQ = Dispensed Price for Maximum Quantity; OCS = oral corticosteroid.</w:t>
      </w:r>
    </w:p>
    <w:p w14:paraId="15BC776F" w14:textId="1DA7BB42" w:rsidR="002A66BB" w:rsidRPr="00AD5A27" w:rsidRDefault="002A66BB" w:rsidP="00C94053">
      <w:pPr>
        <w:pStyle w:val="FooterTableFigure"/>
      </w:pPr>
      <w:r w:rsidRPr="00AD5A27">
        <w:rPr>
          <w:vertAlign w:val="superscript"/>
        </w:rPr>
        <w:t>a</w:t>
      </w:r>
      <w:r w:rsidRPr="00AD5A27">
        <w:t xml:space="preserve"> </w:t>
      </w:r>
      <w:bookmarkStart w:id="74" w:name="_Hlk152440290"/>
      <w:r w:rsidRPr="00AD5A27">
        <w:t>The resubmission applied 2.1726 injections per cycle from cycle 2 onwards. It appeared that the resubmission calculated the injections per cycle based on 365 days rather than 365.25 a year [2.1726 = (365/12)/14]. Had the resubmission used 365.25 days a year, the number of injections per cycle from cycle 2 onwards would be 2.1741 [(365.25/12)/14], resulting in $</w:t>
      </w:r>
      <w:r w:rsidR="00860BB2" w:rsidRPr="00860BB2">
        <w:rPr>
          <w:color w:val="000000"/>
          <w:spacing w:val="9"/>
          <w:shd w:val="solid" w:color="000000" w:fill="000000"/>
          <w:fitText w:val="281" w:id="-961901040"/>
          <w14:textFill>
            <w14:solidFill>
              <w14:srgbClr w14:val="000000">
                <w14:alpha w14:val="100000"/>
              </w14:srgbClr>
            </w14:solidFill>
          </w14:textFill>
        </w:rPr>
        <w:t>||  |</w:t>
      </w:r>
      <w:r w:rsidR="00860BB2" w:rsidRPr="00860BB2">
        <w:rPr>
          <w:color w:val="000000"/>
          <w:spacing w:val="1"/>
          <w:shd w:val="solid" w:color="000000" w:fill="000000"/>
          <w:fitText w:val="281" w:id="-961901040"/>
          <w14:textFill>
            <w14:solidFill>
              <w14:srgbClr w14:val="000000">
                <w14:alpha w14:val="100000"/>
              </w14:srgbClr>
            </w14:solidFill>
          </w14:textFill>
        </w:rPr>
        <w:t>|</w:t>
      </w:r>
      <w:r w:rsidRPr="00AD5A27">
        <w:t xml:space="preserve"> per cycle from cycle 2 onwards.</w:t>
      </w:r>
      <w:bookmarkEnd w:id="74"/>
    </w:p>
    <w:p w14:paraId="7A3E9D89" w14:textId="62EF328E" w:rsidR="002A66BB" w:rsidRPr="00AD5A27" w:rsidRDefault="002A66BB">
      <w:pPr>
        <w:pStyle w:val="FooterTableFigure"/>
      </w:pPr>
      <w:r w:rsidRPr="00AD5A27">
        <w:rPr>
          <w:vertAlign w:val="superscript"/>
        </w:rPr>
        <w:t>b</w:t>
      </w:r>
      <w:r w:rsidRPr="00AD5A27">
        <w:t xml:space="preserve"> </w:t>
      </w:r>
      <w:bookmarkStart w:id="75" w:name="_Hlk152440043"/>
      <w:r w:rsidRPr="00AD5A27">
        <w:t>These estimates could not be reproduced. Using the same method as in the economic model which applied 3 injections (1 x  80 mg loading dose, 2 x 40 mg injections) in the first cycle and 2.1726 injections per cycle thereafter, the estimated cost of adalimumab treatment is:$</w:t>
      </w:r>
      <w:r w:rsidR="00860BB2" w:rsidRPr="00860BB2">
        <w:rPr>
          <w:color w:val="000000"/>
          <w:spacing w:val="8"/>
          <w:shd w:val="solid" w:color="000000" w:fill="000000"/>
          <w:fitText w:val="280" w:id="-961901056"/>
          <w14:textFill>
            <w14:solidFill>
              <w14:srgbClr w14:val="000000">
                <w14:alpha w14:val="100000"/>
              </w14:srgbClr>
            </w14:solidFill>
          </w14:textFill>
        </w:rPr>
        <w:t>||  |</w:t>
      </w:r>
      <w:r w:rsidR="00860BB2" w:rsidRPr="00860BB2">
        <w:rPr>
          <w:color w:val="000000"/>
          <w:spacing w:val="5"/>
          <w:shd w:val="solid" w:color="000000" w:fill="000000"/>
          <w:fitText w:val="280" w:id="-961901056"/>
          <w14:textFill>
            <w14:solidFill>
              <w14:srgbClr w14:val="000000">
                <w14:alpha w14:val="100000"/>
              </w14:srgbClr>
            </w14:solidFill>
          </w14:textFill>
        </w:rPr>
        <w:t>|</w:t>
      </w:r>
      <w:r w:rsidRPr="00AD5A27">
        <w:t xml:space="preserve"> per patient in the first year - comprising the cost of the first model cycle $</w:t>
      </w:r>
      <w:r w:rsidR="00860BB2" w:rsidRPr="00860BB2">
        <w:rPr>
          <w:color w:val="000000"/>
          <w:spacing w:val="9"/>
          <w:shd w:val="solid" w:color="000000" w:fill="000000"/>
          <w:fitText w:val="281" w:id="-961901055"/>
          <w14:textFill>
            <w14:solidFill>
              <w14:srgbClr w14:val="000000">
                <w14:alpha w14:val="100000"/>
              </w14:srgbClr>
            </w14:solidFill>
          </w14:textFill>
        </w:rPr>
        <w:t>||  |</w:t>
      </w:r>
      <w:r w:rsidR="00860BB2" w:rsidRPr="00860BB2">
        <w:rPr>
          <w:color w:val="000000"/>
          <w:spacing w:val="1"/>
          <w:shd w:val="solid" w:color="000000" w:fill="000000"/>
          <w:fitText w:val="281" w:id="-961901055"/>
          <w14:textFill>
            <w14:solidFill>
              <w14:srgbClr w14:val="000000">
                <w14:alpha w14:val="100000"/>
              </w14:srgbClr>
            </w14:solidFill>
          </w14:textFill>
        </w:rPr>
        <w:t>|</w:t>
      </w:r>
      <w:r w:rsidRPr="00AD5A27">
        <w:t xml:space="preserve"> [=$</w:t>
      </w:r>
      <w:r w:rsidR="00860BB2" w:rsidRPr="00860BB2">
        <w:rPr>
          <w:color w:val="000000"/>
          <w:spacing w:val="40"/>
          <w:shd w:val="solid" w:color="000000" w:fill="000000"/>
          <w:fitText w:val="280" w:id="-961901054"/>
          <w14:textFill>
            <w14:solidFill>
              <w14:srgbClr w14:val="000000">
                <w14:alpha w14:val="100000"/>
              </w14:srgbClr>
            </w14:solidFill>
          </w14:textFill>
        </w:rPr>
        <w:t xml:space="preserve">|  </w:t>
      </w:r>
      <w:r w:rsidR="00860BB2" w:rsidRPr="00860BB2">
        <w:rPr>
          <w:color w:val="000000"/>
          <w:spacing w:val="2"/>
          <w:shd w:val="solid" w:color="000000" w:fill="000000"/>
          <w:fitText w:val="280" w:id="-961901054"/>
          <w14:textFill>
            <w14:solidFill>
              <w14:srgbClr w14:val="000000">
                <w14:alpha w14:val="100000"/>
              </w14:srgbClr>
            </w14:solidFill>
          </w14:textFill>
        </w:rPr>
        <w:t>|</w:t>
      </w:r>
      <w:r w:rsidRPr="00AD5A27">
        <w:t xml:space="preserve"> + ($</w:t>
      </w:r>
      <w:r w:rsidR="00860BB2" w:rsidRPr="00860BB2">
        <w:rPr>
          <w:color w:val="000000"/>
          <w:spacing w:val="36"/>
          <w:shd w:val="solid" w:color="000000" w:fill="000000"/>
          <w:fitText w:val="268" w:id="-961901053"/>
          <w14:textFill>
            <w14:solidFill>
              <w14:srgbClr w14:val="000000">
                <w14:alpha w14:val="100000"/>
              </w14:srgbClr>
            </w14:solidFill>
          </w14:textFill>
        </w:rPr>
        <w:t xml:space="preserve">|  </w:t>
      </w:r>
      <w:r w:rsidR="00860BB2" w:rsidRPr="00860BB2">
        <w:rPr>
          <w:color w:val="000000"/>
          <w:spacing w:val="2"/>
          <w:shd w:val="solid" w:color="000000" w:fill="000000"/>
          <w:fitText w:val="268" w:id="-961901053"/>
          <w14:textFill>
            <w14:solidFill>
              <w14:srgbClr w14:val="000000">
                <w14:alpha w14:val="100000"/>
              </w14:srgbClr>
            </w14:solidFill>
          </w14:textFill>
        </w:rPr>
        <w:t>|</w:t>
      </w:r>
      <w:r w:rsidRPr="00AD5A27">
        <w:t>/2) x2], plus the cost of the remaining 11 cycles at $</w:t>
      </w:r>
      <w:r w:rsidR="00860BB2" w:rsidRPr="00860BB2">
        <w:rPr>
          <w:color w:val="000000"/>
          <w:spacing w:val="9"/>
          <w:shd w:val="solid" w:color="000000" w:fill="000000"/>
          <w:fitText w:val="281" w:id="-961901052"/>
          <w14:textFill>
            <w14:solidFill>
              <w14:srgbClr w14:val="000000">
                <w14:alpha w14:val="100000"/>
              </w14:srgbClr>
            </w14:solidFill>
          </w14:textFill>
        </w:rPr>
        <w:t>||  |</w:t>
      </w:r>
      <w:r w:rsidR="00860BB2" w:rsidRPr="00860BB2">
        <w:rPr>
          <w:color w:val="000000"/>
          <w:spacing w:val="1"/>
          <w:shd w:val="solid" w:color="000000" w:fill="000000"/>
          <w:fitText w:val="281" w:id="-961901052"/>
          <w14:textFill>
            <w14:solidFill>
              <w14:srgbClr w14:val="000000">
                <w14:alpha w14:val="100000"/>
              </w14:srgbClr>
            </w14:solidFill>
          </w14:textFill>
        </w:rPr>
        <w:t>|</w:t>
      </w:r>
      <w:r w:rsidRPr="00AD5A27">
        <w:t xml:space="preserve"> each cycle [ = (2.1726 x $</w:t>
      </w:r>
      <w:r w:rsidR="00860BB2" w:rsidRPr="00860BB2">
        <w:rPr>
          <w:color w:val="000000"/>
          <w:spacing w:val="40"/>
          <w:shd w:val="solid" w:color="000000" w:fill="000000"/>
          <w:fitText w:val="280" w:id="-961901051"/>
          <w14:textFill>
            <w14:solidFill>
              <w14:srgbClr w14:val="000000">
                <w14:alpha w14:val="100000"/>
              </w14:srgbClr>
            </w14:solidFill>
          </w14:textFill>
        </w:rPr>
        <w:t xml:space="preserve">|  </w:t>
      </w:r>
      <w:r w:rsidR="00860BB2" w:rsidRPr="00860BB2">
        <w:rPr>
          <w:color w:val="000000"/>
          <w:spacing w:val="2"/>
          <w:shd w:val="solid" w:color="000000" w:fill="000000"/>
          <w:fitText w:val="280" w:id="-961901051"/>
          <w14:textFill>
            <w14:solidFill>
              <w14:srgbClr w14:val="000000">
                <w14:alpha w14:val="100000"/>
              </w14:srgbClr>
            </w14:solidFill>
          </w14:textFill>
        </w:rPr>
        <w:t>|</w:t>
      </w:r>
      <w:r w:rsidRPr="00AD5A27">
        <w:t>/2)]; and $</w:t>
      </w:r>
      <w:r w:rsidR="00860BB2" w:rsidRPr="00860BB2">
        <w:rPr>
          <w:color w:val="000000"/>
          <w:spacing w:val="36"/>
          <w:shd w:val="solid" w:color="000000" w:fill="000000"/>
          <w:fitText w:val="268" w:id="-961901050"/>
          <w14:textFill>
            <w14:solidFill>
              <w14:srgbClr w14:val="000000">
                <w14:alpha w14:val="100000"/>
              </w14:srgbClr>
            </w14:solidFill>
          </w14:textFill>
        </w:rPr>
        <w:t xml:space="preserve">|  </w:t>
      </w:r>
      <w:r w:rsidR="00860BB2" w:rsidRPr="00860BB2">
        <w:rPr>
          <w:color w:val="000000"/>
          <w:spacing w:val="2"/>
          <w:shd w:val="solid" w:color="000000" w:fill="000000"/>
          <w:fitText w:val="268" w:id="-961901050"/>
          <w14:textFill>
            <w14:solidFill>
              <w14:srgbClr w14:val="000000">
                <w14:alpha w14:val="100000"/>
              </w14:srgbClr>
            </w14:solidFill>
          </w14:textFill>
        </w:rPr>
        <w:t>|</w:t>
      </w:r>
      <w:r w:rsidRPr="00AD5A27">
        <w:t xml:space="preserve"> per patient per year thereafter - comprising 12 one-month cycles at $</w:t>
      </w:r>
      <w:r w:rsidR="00860BB2" w:rsidRPr="00860BB2">
        <w:rPr>
          <w:color w:val="000000"/>
          <w:spacing w:val="8"/>
          <w:shd w:val="solid" w:color="000000" w:fill="000000"/>
          <w:fitText w:val="280" w:id="-961901049"/>
          <w14:textFill>
            <w14:solidFill>
              <w14:srgbClr w14:val="000000">
                <w14:alpha w14:val="100000"/>
              </w14:srgbClr>
            </w14:solidFill>
          </w14:textFill>
        </w:rPr>
        <w:t>||  |</w:t>
      </w:r>
      <w:r w:rsidR="00860BB2" w:rsidRPr="00860BB2">
        <w:rPr>
          <w:color w:val="000000"/>
          <w:spacing w:val="5"/>
          <w:shd w:val="solid" w:color="000000" w:fill="000000"/>
          <w:fitText w:val="280" w:id="-961901049"/>
          <w14:textFill>
            <w14:solidFill>
              <w14:srgbClr w14:val="000000">
                <w14:alpha w14:val="100000"/>
              </w14:srgbClr>
            </w14:solidFill>
          </w14:textFill>
        </w:rPr>
        <w:t>|</w:t>
      </w:r>
      <w:r w:rsidRPr="00AD5A27">
        <w:t xml:space="preserve"> each cycle.</w:t>
      </w:r>
    </w:p>
    <w:p w14:paraId="09355C01" w14:textId="11BE2BB2" w:rsidR="009E2EEE" w:rsidRPr="00AD5A27" w:rsidRDefault="005075A0">
      <w:pPr>
        <w:pStyle w:val="FooterTableFigure"/>
      </w:pPr>
      <w:r w:rsidRPr="00AD5A27">
        <w:rPr>
          <w:vertAlign w:val="superscript"/>
        </w:rPr>
        <w:t>c</w:t>
      </w:r>
      <w:r w:rsidR="009E2EEE" w:rsidRPr="00AD5A27">
        <w:t xml:space="preserve"> Based on the mean number of doses</w:t>
      </w:r>
      <w:r w:rsidR="005D2C8B" w:rsidRPr="00AD5A27">
        <w:t xml:space="preserve"> received</w:t>
      </w:r>
      <w:r w:rsidR="009E2EEE" w:rsidRPr="00AD5A27">
        <w:t xml:space="preserve"> </w:t>
      </w:r>
      <w:r w:rsidR="005D2C8B" w:rsidRPr="00AD5A27">
        <w:t>over the course of treatment with adalimumab</w:t>
      </w:r>
      <w:r w:rsidR="003621E7" w:rsidRPr="00AD5A27">
        <w:t xml:space="preserve">; </w:t>
      </w:r>
      <w:r w:rsidR="00DE498E" w:rsidRPr="00AD5A27">
        <w:t xml:space="preserve">Year 2 costs for both trials were zero due to the short treatment duration </w:t>
      </w:r>
      <w:r w:rsidR="003621E7" w:rsidRPr="00AD5A27">
        <w:t>(i.e. 205.4 days in the VISUAL I trial and 300.2 days in the VISUAL II trial).</w:t>
      </w:r>
    </w:p>
    <w:p w14:paraId="4690E83E" w14:textId="26A7B728" w:rsidR="002A66BB" w:rsidRPr="00AD5A27" w:rsidRDefault="002A66BB">
      <w:pPr>
        <w:pStyle w:val="3-BodyText"/>
        <w:rPr>
          <w:snapToGrid/>
        </w:rPr>
      </w:pPr>
      <w:bookmarkStart w:id="76" w:name="_Hlk107307804"/>
      <w:bookmarkEnd w:id="75"/>
      <w:r w:rsidRPr="00AD5A27">
        <w:rPr>
          <w:snapToGrid/>
        </w:rPr>
        <w:t>The resubmission reported that the cost of treatment in the first year was $</w:t>
      </w:r>
      <w:r w:rsidR="00860BB2" w:rsidRPr="00860BB2">
        <w:rPr>
          <w:snapToGrid/>
          <w:color w:val="000000"/>
          <w:w w:val="60"/>
          <w:shd w:val="solid" w:color="000000" w:fill="000000"/>
          <w:fitText w:val="468" w:id="-961901048"/>
          <w14:textFill>
            <w14:solidFill>
              <w14:srgbClr w14:val="000000">
                <w14:alpha w14:val="100000"/>
              </w14:srgbClr>
            </w14:solidFill>
          </w14:textFill>
        </w:rPr>
        <w:t>|||  ||</w:t>
      </w:r>
      <w:r w:rsidR="00860BB2" w:rsidRPr="00860BB2">
        <w:rPr>
          <w:snapToGrid/>
          <w:color w:val="000000"/>
          <w:spacing w:val="4"/>
          <w:w w:val="60"/>
          <w:shd w:val="solid" w:color="000000" w:fill="000000"/>
          <w:fitText w:val="468" w:id="-961901048"/>
          <w14:textFill>
            <w14:solidFill>
              <w14:srgbClr w14:val="000000">
                <w14:alpha w14:val="100000"/>
              </w14:srgbClr>
            </w14:solidFill>
          </w14:textFill>
        </w:rPr>
        <w:t>|</w:t>
      </w:r>
      <w:r w:rsidRPr="00AD5A27">
        <w:rPr>
          <w:snapToGrid/>
        </w:rPr>
        <w:t xml:space="preserve"> (28</w:t>
      </w:r>
      <w:r w:rsidR="00015FF3">
        <w:rPr>
          <w:snapToGrid/>
        </w:rPr>
        <w:t> </w:t>
      </w:r>
      <w:r w:rsidRPr="00AD5A27">
        <w:rPr>
          <w:snapToGrid/>
        </w:rPr>
        <w:t>doses), followed by treatment costs of $</w:t>
      </w:r>
      <w:r w:rsidR="00860BB2" w:rsidRPr="004050E4">
        <w:rPr>
          <w:snapToGrid/>
          <w:color w:val="000000"/>
          <w:w w:val="15"/>
          <w:shd w:val="solid" w:color="000000" w:fill="000000"/>
          <w:fitText w:val="-20" w:id="-961901047"/>
          <w14:textFill>
            <w14:solidFill>
              <w14:srgbClr w14:val="000000">
                <w14:alpha w14:val="100000"/>
              </w14:srgbClr>
            </w14:solidFill>
          </w14:textFill>
        </w:rPr>
        <w:t xml:space="preserve">|  </w:t>
      </w:r>
      <w:r w:rsidR="00860BB2" w:rsidRPr="004050E4">
        <w:rPr>
          <w:snapToGrid/>
          <w:color w:val="000000"/>
          <w:spacing w:val="-69"/>
          <w:w w:val="15"/>
          <w:shd w:val="solid" w:color="000000" w:fill="000000"/>
          <w:fitText w:val="-20" w:id="-961901047"/>
          <w14:textFill>
            <w14:solidFill>
              <w14:srgbClr w14:val="000000">
                <w14:alpha w14:val="100000"/>
              </w14:srgbClr>
            </w14:solidFill>
          </w14:textFill>
        </w:rPr>
        <w:t>|</w:t>
      </w:r>
      <w:r w:rsidRPr="00AD5A27">
        <w:rPr>
          <w:snapToGrid/>
        </w:rPr>
        <w:t xml:space="preserve"> (26 doses) per year thereafter</w:t>
      </w:r>
      <w:r w:rsidR="0002567C">
        <w:rPr>
          <w:snapToGrid/>
        </w:rPr>
        <w:t xml:space="preserve"> (based on a DPMQ of </w:t>
      </w:r>
      <w:r w:rsidR="0002567C" w:rsidRPr="00AD5A27">
        <w:t>$</w:t>
      </w:r>
      <w:r w:rsidR="00860BB2" w:rsidRPr="004050E4">
        <w:rPr>
          <w:color w:val="000000"/>
          <w:w w:val="15"/>
          <w:shd w:val="solid" w:color="000000" w:fill="000000"/>
          <w:fitText w:val="-20" w:id="-961901046"/>
          <w14:textFill>
            <w14:solidFill>
              <w14:srgbClr w14:val="000000">
                <w14:alpha w14:val="100000"/>
              </w14:srgbClr>
            </w14:solidFill>
          </w14:textFill>
        </w:rPr>
        <w:t xml:space="preserve">|  </w:t>
      </w:r>
      <w:r w:rsidR="00860BB2" w:rsidRPr="004050E4">
        <w:rPr>
          <w:color w:val="000000"/>
          <w:spacing w:val="-69"/>
          <w:w w:val="15"/>
          <w:shd w:val="solid" w:color="000000" w:fill="000000"/>
          <w:fitText w:val="-20" w:id="-961901046"/>
          <w14:textFill>
            <w14:solidFill>
              <w14:srgbClr w14:val="000000">
                <w14:alpha w14:val="100000"/>
              </w14:srgbClr>
            </w14:solidFill>
          </w14:textFill>
        </w:rPr>
        <w:t>|</w:t>
      </w:r>
      <w:r w:rsidR="0002567C">
        <w:t>)</w:t>
      </w:r>
      <w:r w:rsidRPr="00AD5A27">
        <w:rPr>
          <w:snapToGrid/>
        </w:rPr>
        <w:t xml:space="preserve">. The number of injections (28) in the initial year in the resubmission was slightly greater than the number of injections (27.5 = 2 + 51/2) in the March 2017 submission (para. 6.44, adalimumab, PSD, March 2017 PBAC meeting). </w:t>
      </w:r>
    </w:p>
    <w:p w14:paraId="402A7A13" w14:textId="071DBF97" w:rsidR="002A66BB" w:rsidRPr="00AD5A27" w:rsidRDefault="002A66BB">
      <w:pPr>
        <w:pStyle w:val="3-BodyText"/>
        <w:rPr>
          <w:snapToGrid/>
        </w:rPr>
      </w:pPr>
      <w:r w:rsidRPr="00AD5A27">
        <w:rPr>
          <w:snapToGrid/>
        </w:rPr>
        <w:t>The resubmission’s estimates could not be reproduced</w:t>
      </w:r>
      <w:r w:rsidR="007572E4" w:rsidRPr="00AD5A27">
        <w:rPr>
          <w:snapToGrid/>
        </w:rPr>
        <w:t xml:space="preserve"> during the evaluation</w:t>
      </w:r>
      <w:r w:rsidRPr="00AD5A27">
        <w:rPr>
          <w:snapToGrid/>
        </w:rPr>
        <w:t>. Using the same method as in the resubmission’s economic model, the estimated cost of adalimumab treatment was $</w:t>
      </w:r>
      <w:r w:rsidR="00860BB2" w:rsidRPr="004050E4">
        <w:rPr>
          <w:snapToGrid/>
          <w:color w:val="000000"/>
          <w:w w:val="15"/>
          <w:shd w:val="solid" w:color="000000" w:fill="000000"/>
          <w:fitText w:val="-20" w:id="-961901045"/>
          <w14:textFill>
            <w14:solidFill>
              <w14:srgbClr w14:val="000000">
                <w14:alpha w14:val="100000"/>
              </w14:srgbClr>
            </w14:solidFill>
          </w14:textFill>
        </w:rPr>
        <w:t xml:space="preserve">|  </w:t>
      </w:r>
      <w:r w:rsidR="00860BB2" w:rsidRPr="004050E4">
        <w:rPr>
          <w:snapToGrid/>
          <w:color w:val="000000"/>
          <w:spacing w:val="-69"/>
          <w:w w:val="15"/>
          <w:shd w:val="solid" w:color="000000" w:fill="000000"/>
          <w:fitText w:val="-20" w:id="-961901045"/>
          <w14:textFill>
            <w14:solidFill>
              <w14:srgbClr w14:val="000000">
                <w14:alpha w14:val="100000"/>
              </w14:srgbClr>
            </w14:solidFill>
          </w14:textFill>
        </w:rPr>
        <w:t>|</w:t>
      </w:r>
      <w:r w:rsidRPr="00AD5A27">
        <w:rPr>
          <w:snapToGrid/>
        </w:rPr>
        <w:t xml:space="preserve"> per patient in the first year and $</w:t>
      </w:r>
      <w:r w:rsidR="00860BB2" w:rsidRPr="004050E4">
        <w:rPr>
          <w:snapToGrid/>
          <w:color w:val="000000"/>
          <w:w w:val="15"/>
          <w:shd w:val="solid" w:color="000000" w:fill="000000"/>
          <w:fitText w:val="-20" w:id="-961901044"/>
          <w14:textFill>
            <w14:solidFill>
              <w14:srgbClr w14:val="000000">
                <w14:alpha w14:val="100000"/>
              </w14:srgbClr>
            </w14:solidFill>
          </w14:textFill>
        </w:rPr>
        <w:t xml:space="preserve">|  </w:t>
      </w:r>
      <w:r w:rsidR="00860BB2" w:rsidRPr="004050E4">
        <w:rPr>
          <w:snapToGrid/>
          <w:color w:val="000000"/>
          <w:spacing w:val="-69"/>
          <w:w w:val="15"/>
          <w:shd w:val="solid" w:color="000000" w:fill="000000"/>
          <w:fitText w:val="-20" w:id="-961901044"/>
          <w14:textFill>
            <w14:solidFill>
              <w14:srgbClr w14:val="000000">
                <w14:alpha w14:val="100000"/>
              </w14:srgbClr>
            </w14:solidFill>
          </w14:textFill>
        </w:rPr>
        <w:t>|</w:t>
      </w:r>
      <w:r w:rsidRPr="00AD5A27">
        <w:rPr>
          <w:snapToGrid/>
        </w:rPr>
        <w:t xml:space="preserve"> per patient per year thereafter</w:t>
      </w:r>
      <w:r w:rsidR="0002567C">
        <w:rPr>
          <w:snapToGrid/>
        </w:rPr>
        <w:t xml:space="preserve"> (based on a DPMQ of </w:t>
      </w:r>
      <w:r w:rsidR="0002567C" w:rsidRPr="00AD5A27">
        <w:t>$</w:t>
      </w:r>
      <w:r w:rsidR="00860BB2" w:rsidRPr="004050E4">
        <w:rPr>
          <w:color w:val="000000"/>
          <w:w w:val="15"/>
          <w:shd w:val="solid" w:color="000000" w:fill="000000"/>
          <w:fitText w:val="-20" w:id="-961901043"/>
          <w14:textFill>
            <w14:solidFill>
              <w14:srgbClr w14:val="000000">
                <w14:alpha w14:val="100000"/>
              </w14:srgbClr>
            </w14:solidFill>
          </w14:textFill>
        </w:rPr>
        <w:t xml:space="preserve">|  </w:t>
      </w:r>
      <w:r w:rsidR="00860BB2" w:rsidRPr="004050E4">
        <w:rPr>
          <w:color w:val="000000"/>
          <w:spacing w:val="-69"/>
          <w:w w:val="15"/>
          <w:shd w:val="solid" w:color="000000" w:fill="000000"/>
          <w:fitText w:val="-20" w:id="-961901043"/>
          <w14:textFill>
            <w14:solidFill>
              <w14:srgbClr w14:val="000000">
                <w14:alpha w14:val="100000"/>
              </w14:srgbClr>
            </w14:solidFill>
          </w14:textFill>
        </w:rPr>
        <w:t>|</w:t>
      </w:r>
      <w:r w:rsidR="0002567C">
        <w:t>)</w:t>
      </w:r>
      <w:r w:rsidRPr="00AD5A27">
        <w:rPr>
          <w:snapToGrid/>
        </w:rPr>
        <w:t>.</w:t>
      </w:r>
    </w:p>
    <w:p w14:paraId="389A05CB" w14:textId="3291CB44" w:rsidR="002A66BB" w:rsidRPr="00AD5A27" w:rsidRDefault="002A66BB">
      <w:pPr>
        <w:pStyle w:val="3-BodyText"/>
        <w:rPr>
          <w:snapToGrid/>
        </w:rPr>
      </w:pPr>
      <w:r w:rsidRPr="00AD5A27">
        <w:rPr>
          <w:snapToGrid/>
        </w:rPr>
        <w:t>The resubmission did not present the drug cost per patient per year for the proposed paediatric population, which is likely to be different (owing to different dose regimens, as a minimum)</w:t>
      </w:r>
      <w:r w:rsidR="006F01E7" w:rsidRPr="00AD5A27">
        <w:rPr>
          <w:snapToGrid/>
        </w:rPr>
        <w:t>.</w:t>
      </w:r>
      <w:r w:rsidR="00A0364D" w:rsidRPr="00AD5A27">
        <w:rPr>
          <w:snapToGrid/>
        </w:rPr>
        <w:t xml:space="preserve"> </w:t>
      </w:r>
      <w:r w:rsidR="006F01E7" w:rsidRPr="00AD5A27">
        <w:rPr>
          <w:snapToGrid/>
        </w:rPr>
        <w:t>T</w:t>
      </w:r>
      <w:r w:rsidR="00A0364D" w:rsidRPr="00AD5A27">
        <w:rPr>
          <w:snapToGrid/>
        </w:rPr>
        <w:t xml:space="preserve">his </w:t>
      </w:r>
      <w:r w:rsidR="00450A60" w:rsidRPr="00AD5A27">
        <w:rPr>
          <w:snapToGrid/>
        </w:rPr>
        <w:t>was</w:t>
      </w:r>
      <w:r w:rsidR="00A0364D" w:rsidRPr="00AD5A27">
        <w:rPr>
          <w:snapToGrid/>
        </w:rPr>
        <w:t xml:space="preserve"> </w:t>
      </w:r>
      <w:r w:rsidR="006F01E7" w:rsidRPr="00AD5A27">
        <w:rPr>
          <w:snapToGrid/>
        </w:rPr>
        <w:t>calculated during the evaluation (see Table 15 above)</w:t>
      </w:r>
      <w:r w:rsidRPr="00AD5A27">
        <w:rPr>
          <w:snapToGrid/>
        </w:rPr>
        <w:t>.</w:t>
      </w:r>
    </w:p>
    <w:p w14:paraId="07DCFCE3" w14:textId="77777777" w:rsidR="002A66BB" w:rsidRPr="00AD5A27" w:rsidRDefault="002A66BB" w:rsidP="002B05A1">
      <w:pPr>
        <w:pStyle w:val="4-SubsectionHeading"/>
      </w:pPr>
      <w:bookmarkStart w:id="77" w:name="_Toc22897647"/>
      <w:bookmarkStart w:id="78" w:name="_Toc107927633"/>
      <w:bookmarkStart w:id="79" w:name="_Toc156988911"/>
      <w:bookmarkEnd w:id="76"/>
      <w:r w:rsidRPr="00AD5A27">
        <w:t>Estimated PBS usage &amp; financial implications</w:t>
      </w:r>
      <w:bookmarkEnd w:id="77"/>
      <w:bookmarkEnd w:id="78"/>
      <w:bookmarkEnd w:id="79"/>
    </w:p>
    <w:p w14:paraId="57165654" w14:textId="424FD82C" w:rsidR="005B3215" w:rsidRPr="00AD5A27" w:rsidRDefault="00AD5A27" w:rsidP="005B3215">
      <w:pPr>
        <w:pStyle w:val="3-BodyText"/>
      </w:pPr>
      <w:bookmarkStart w:id="80" w:name="_Ref104805262"/>
      <w:r>
        <w:t xml:space="preserve">The </w:t>
      </w:r>
      <w:r w:rsidRPr="00AD5A27">
        <w:t>Drug Utilisation Sub Committee (DUSC) considered this resubmission</w:t>
      </w:r>
      <w:r w:rsidR="005B3215" w:rsidRPr="00AD5A27">
        <w:t xml:space="preserve">. </w:t>
      </w:r>
      <w:r w:rsidR="007572E4" w:rsidRPr="00AD5A27">
        <w:t>In 2017</w:t>
      </w:r>
      <w:r>
        <w:t>,</w:t>
      </w:r>
      <w:r w:rsidR="007572E4" w:rsidRPr="00AD5A27">
        <w:t xml:space="preserve"> t</w:t>
      </w:r>
      <w:r w:rsidR="005B3215" w:rsidRPr="00AD5A27">
        <w:t xml:space="preserve">he PBAC noted the DUSC's “concerns regarding the patient numbers and re-treatment” </w:t>
      </w:r>
      <w:r w:rsidR="005B3215" w:rsidRPr="00AD5A27">
        <w:lastRenderedPageBreak/>
        <w:t xml:space="preserve">and “considered a risk share arrangement should include revised financial estimates and a </w:t>
      </w:r>
      <w:r w:rsidR="00860BB2" w:rsidRPr="004050E4">
        <w:rPr>
          <w:color w:val="000000"/>
          <w:w w:val="15"/>
          <w:shd w:val="solid" w:color="000000" w:fill="000000"/>
          <w:fitText w:val="-20" w:id="-961901042"/>
          <w14:textFill>
            <w14:solidFill>
              <w14:srgbClr w14:val="000000">
                <w14:alpha w14:val="100000"/>
              </w14:srgbClr>
            </w14:solidFill>
          </w14:textFill>
        </w:rPr>
        <w:t xml:space="preserve">|  </w:t>
      </w:r>
      <w:r w:rsidR="00860BB2" w:rsidRPr="004050E4">
        <w:rPr>
          <w:color w:val="000000"/>
          <w:spacing w:val="-69"/>
          <w:w w:val="15"/>
          <w:shd w:val="solid" w:color="000000" w:fill="000000"/>
          <w:fitText w:val="-20" w:id="-961901042"/>
          <w14:textFill>
            <w14:solidFill>
              <w14:srgbClr w14:val="000000">
                <w14:alpha w14:val="100000"/>
              </w14:srgbClr>
            </w14:solidFill>
          </w14:textFill>
        </w:rPr>
        <w:t>|</w:t>
      </w:r>
      <w:r w:rsidR="005B3215" w:rsidRPr="00AD5A27">
        <w:t xml:space="preserve">% rebate above the agreed cap” (para. 7.17, adalimumab, PSD, March 2017 PBAC meeting). The resubmission did not request a risk-sharing agreement for the proposed listing. </w:t>
      </w:r>
      <w:r w:rsidR="00974361">
        <w:t>A</w:t>
      </w:r>
      <w:r w:rsidR="007572E4" w:rsidRPr="00AD5A27">
        <w:t>dalimumab is</w:t>
      </w:r>
      <w:r w:rsidR="00974361">
        <w:t xml:space="preserve"> currently</w:t>
      </w:r>
      <w:r w:rsidR="007572E4" w:rsidRPr="00AD5A27">
        <w:t xml:space="preserve"> in the F2 formulary and multi-branded with several biosimilars listed; therefore, a risk sharing agreement would likely not be feasible to implement.</w:t>
      </w:r>
    </w:p>
    <w:p w14:paraId="0EFAB507" w14:textId="545631A3" w:rsidR="005B3215" w:rsidRPr="00AD5A27" w:rsidRDefault="005B3215" w:rsidP="005B3215">
      <w:pPr>
        <w:pStyle w:val="3-BodyText"/>
      </w:pPr>
      <w:r w:rsidRPr="00AD5A27">
        <w:t xml:space="preserve">The resubmission used data from the Australian AbbVie Compassionate Access Program (1 January 2019 - June 2023) to estimate the number of patients likely to be treated with adalimumab for non-infectious uveitis in Year 1 (2024). This was changed from the March 2017 submission, which based the population on Australian patients with uveitis (Zagora et al., 2016), the proportion with uveitis referred to specialist, the proportion of referred patients with non-infectious intermediate, posterior and panuveitis, an adalimumab uptake rate of </w:t>
      </w:r>
      <w:r w:rsidR="00860BB2" w:rsidRPr="004050E4">
        <w:rPr>
          <w:color w:val="000000"/>
          <w:w w:val="15"/>
          <w:shd w:val="solid" w:color="000000" w:fill="000000"/>
          <w:fitText w:val="-20" w:id="-961901041"/>
          <w14:textFill>
            <w14:solidFill>
              <w14:srgbClr w14:val="000000">
                <w14:alpha w14:val="100000"/>
              </w14:srgbClr>
            </w14:solidFill>
          </w14:textFill>
        </w:rPr>
        <w:t xml:space="preserve">|  </w:t>
      </w:r>
      <w:r w:rsidR="00860BB2" w:rsidRPr="004050E4">
        <w:rPr>
          <w:color w:val="000000"/>
          <w:spacing w:val="-69"/>
          <w:w w:val="15"/>
          <w:shd w:val="solid" w:color="000000" w:fill="000000"/>
          <w:fitText w:val="-20" w:id="-961901041"/>
          <w14:textFill>
            <w14:solidFill>
              <w14:srgbClr w14:val="000000">
                <w14:alpha w14:val="100000"/>
              </w14:srgbClr>
            </w14:solidFill>
          </w14:textFill>
        </w:rPr>
        <w:t>|</w:t>
      </w:r>
      <w:r w:rsidRPr="00AD5A27">
        <w:t xml:space="preserve">% in Year 1 and rising to </w:t>
      </w:r>
      <w:r w:rsidR="00860BB2" w:rsidRPr="004050E4">
        <w:rPr>
          <w:color w:val="000000"/>
          <w:w w:val="15"/>
          <w:shd w:val="solid" w:color="000000" w:fill="000000"/>
          <w:fitText w:val="-20" w:id="-961901040"/>
          <w14:textFill>
            <w14:solidFill>
              <w14:srgbClr w14:val="000000">
                <w14:alpha w14:val="100000"/>
              </w14:srgbClr>
            </w14:solidFill>
          </w14:textFill>
        </w:rPr>
        <w:t xml:space="preserve">|  </w:t>
      </w:r>
      <w:r w:rsidR="00860BB2" w:rsidRPr="004050E4">
        <w:rPr>
          <w:color w:val="000000"/>
          <w:spacing w:val="-69"/>
          <w:w w:val="15"/>
          <w:shd w:val="solid" w:color="000000" w:fill="000000"/>
          <w:fitText w:val="-20" w:id="-961901040"/>
          <w14:textFill>
            <w14:solidFill>
              <w14:srgbClr w14:val="000000">
                <w14:alpha w14:val="100000"/>
              </w14:srgbClr>
            </w14:solidFill>
          </w14:textFill>
        </w:rPr>
        <w:t>|</w:t>
      </w:r>
      <w:r w:rsidRPr="00AD5A27">
        <w:t>% in Year 6),</w:t>
      </w:r>
      <w:r w:rsidR="00015FF3">
        <w:t xml:space="preserve"> &lt; 500 g</w:t>
      </w:r>
      <w:r w:rsidRPr="00AD5A27">
        <w:t>randfathered patients and a discontinuation rate of 10.93%.</w:t>
      </w:r>
    </w:p>
    <w:p w14:paraId="42FF7F38" w14:textId="4EFBC909" w:rsidR="005B3215" w:rsidRPr="00AD5A27" w:rsidRDefault="005B3215" w:rsidP="005B3215">
      <w:pPr>
        <w:pStyle w:val="3-BodyText"/>
      </w:pPr>
      <w:r w:rsidRPr="00AD5A27">
        <w:rPr>
          <w:rFonts w:cstheme="minorHAnsi"/>
          <w:b/>
          <w:bCs/>
        </w:rPr>
        <w:fldChar w:fldCharType="begin" w:fldLock="1"/>
      </w:r>
      <w:r w:rsidRPr="00AD5A27">
        <w:rPr>
          <w:rFonts w:cstheme="minorHAnsi"/>
          <w:b/>
          <w:bCs/>
        </w:rPr>
        <w:instrText xml:space="preserve"> REF _Ref153209101 \h  \* MERGEFORMAT </w:instrText>
      </w:r>
      <w:r w:rsidRPr="00AD5A27">
        <w:rPr>
          <w:rFonts w:cstheme="minorHAnsi"/>
          <w:b/>
          <w:bCs/>
        </w:rPr>
      </w:r>
      <w:r w:rsidRPr="00AD5A27">
        <w:rPr>
          <w:rFonts w:cstheme="minorHAnsi"/>
          <w:b/>
          <w:bCs/>
        </w:rPr>
        <w:fldChar w:fldCharType="separate"/>
      </w:r>
      <w:r w:rsidR="00B510E9" w:rsidRPr="00AD5A27">
        <w:rPr>
          <w:rStyle w:val="CommentReference"/>
          <w:rFonts w:asciiTheme="minorHAnsi" w:hAnsiTheme="minorHAnsi" w:cstheme="minorHAnsi"/>
          <w:b w:val="0"/>
          <w:bCs/>
          <w:sz w:val="24"/>
          <w:szCs w:val="24"/>
        </w:rPr>
        <w:t>Table 16</w:t>
      </w:r>
      <w:r w:rsidRPr="00AD5A27">
        <w:rPr>
          <w:rFonts w:cstheme="minorHAnsi"/>
          <w:b/>
          <w:bCs/>
        </w:rPr>
        <w:fldChar w:fldCharType="end"/>
      </w:r>
      <w:r w:rsidRPr="00AD5A27">
        <w:t xml:space="preserve"> presents the key inputs for the financial estimates in the resubmission.</w:t>
      </w:r>
    </w:p>
    <w:p w14:paraId="17D29D6D" w14:textId="09BB2238" w:rsidR="005B3215" w:rsidRPr="00AD5A27" w:rsidRDefault="005B3215" w:rsidP="005B3215">
      <w:pPr>
        <w:pStyle w:val="Caption"/>
        <w:keepNext w:val="0"/>
        <w:keepLines w:val="0"/>
        <w:widowControl w:val="0"/>
        <w:rPr>
          <w:b w:val="0"/>
          <w:bCs w:val="0"/>
        </w:rPr>
      </w:pPr>
      <w:bookmarkStart w:id="81" w:name="_Ref153209101"/>
      <w:r w:rsidRPr="00AD5A27">
        <w:rPr>
          <w:rStyle w:val="CommentReference"/>
          <w:b/>
          <w:bCs w:val="0"/>
          <w:szCs w:val="24"/>
        </w:rPr>
        <w:t xml:space="preserve">Table </w:t>
      </w:r>
      <w:r w:rsidRPr="00AD5A27">
        <w:rPr>
          <w:rStyle w:val="CommentReference"/>
          <w:b/>
          <w:bCs w:val="0"/>
          <w:szCs w:val="24"/>
        </w:rPr>
        <w:fldChar w:fldCharType="begin" w:fldLock="1"/>
      </w:r>
      <w:r w:rsidRPr="00AD5A27">
        <w:rPr>
          <w:rStyle w:val="CommentReference"/>
          <w:b/>
          <w:bCs w:val="0"/>
          <w:szCs w:val="24"/>
        </w:rPr>
        <w:instrText xml:space="preserve"> SEQ Table \* ARABIC </w:instrText>
      </w:r>
      <w:r w:rsidRPr="00AD5A27">
        <w:rPr>
          <w:rStyle w:val="CommentReference"/>
          <w:b/>
          <w:bCs w:val="0"/>
          <w:szCs w:val="24"/>
        </w:rPr>
        <w:fldChar w:fldCharType="separate"/>
      </w:r>
      <w:r w:rsidR="00B510E9" w:rsidRPr="00AD5A27">
        <w:rPr>
          <w:rStyle w:val="CommentReference"/>
          <w:b/>
          <w:bCs w:val="0"/>
          <w:szCs w:val="24"/>
        </w:rPr>
        <w:t>16</w:t>
      </w:r>
      <w:r w:rsidRPr="00AD5A27">
        <w:rPr>
          <w:rStyle w:val="CommentReference"/>
          <w:b/>
          <w:bCs w:val="0"/>
          <w:szCs w:val="24"/>
        </w:rPr>
        <w:fldChar w:fldCharType="end"/>
      </w:r>
      <w:bookmarkEnd w:id="81"/>
      <w:r w:rsidRPr="00AD5A27">
        <w:rPr>
          <w:rStyle w:val="CommentReference"/>
          <w:b/>
          <w:bCs w:val="0"/>
          <w:szCs w:val="24"/>
        </w:rPr>
        <w:t>: Key inputs for financial estimates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Key inputs for financial estimates in the resubmission"/>
      </w:tblPr>
      <w:tblGrid>
        <w:gridCol w:w="1713"/>
        <w:gridCol w:w="3102"/>
        <w:gridCol w:w="4202"/>
      </w:tblGrid>
      <w:tr w:rsidR="005B3215" w:rsidRPr="00AD5A27" w14:paraId="4941AE07" w14:textId="77777777" w:rsidTr="007360EF">
        <w:trPr>
          <w:tblHeader/>
        </w:trPr>
        <w:tc>
          <w:tcPr>
            <w:tcW w:w="950" w:type="pct"/>
            <w:shd w:val="clear" w:color="auto" w:fill="auto"/>
            <w:vAlign w:val="center"/>
          </w:tcPr>
          <w:p w14:paraId="05EE23D6" w14:textId="77777777" w:rsidR="005B3215" w:rsidRPr="00AD5A27" w:rsidRDefault="005B3215" w:rsidP="007360EF">
            <w:pPr>
              <w:pStyle w:val="In-tableHeading"/>
              <w:keepNext w:val="0"/>
              <w:jc w:val="center"/>
              <w:rPr>
                <w:lang w:val="en-AU"/>
              </w:rPr>
            </w:pPr>
            <w:r w:rsidRPr="00AD5A27">
              <w:rPr>
                <w:lang w:val="en-AU"/>
              </w:rPr>
              <w:t>Parameter</w:t>
            </w:r>
          </w:p>
        </w:tc>
        <w:tc>
          <w:tcPr>
            <w:tcW w:w="1720" w:type="pct"/>
            <w:shd w:val="clear" w:color="auto" w:fill="auto"/>
            <w:vAlign w:val="center"/>
          </w:tcPr>
          <w:p w14:paraId="1BE175ED" w14:textId="77777777" w:rsidR="005B3215" w:rsidRPr="00AD5A27" w:rsidRDefault="005B3215" w:rsidP="007360EF">
            <w:pPr>
              <w:pStyle w:val="In-tableHeading"/>
              <w:keepNext w:val="0"/>
              <w:jc w:val="center"/>
              <w:rPr>
                <w:lang w:val="en-AU"/>
              </w:rPr>
            </w:pPr>
            <w:r w:rsidRPr="00AD5A27">
              <w:rPr>
                <w:lang w:val="en-AU"/>
              </w:rPr>
              <w:t>Value applied and source</w:t>
            </w:r>
          </w:p>
        </w:tc>
        <w:tc>
          <w:tcPr>
            <w:tcW w:w="2330" w:type="pct"/>
            <w:shd w:val="clear" w:color="auto" w:fill="auto"/>
            <w:vAlign w:val="center"/>
          </w:tcPr>
          <w:p w14:paraId="3375CCE1" w14:textId="77777777" w:rsidR="005B3215" w:rsidRPr="00AD5A27" w:rsidRDefault="005B3215" w:rsidP="007360EF">
            <w:pPr>
              <w:pStyle w:val="In-tableHeading"/>
              <w:keepNext w:val="0"/>
              <w:jc w:val="center"/>
              <w:rPr>
                <w:lang w:val="en-AU"/>
              </w:rPr>
            </w:pPr>
            <w:r w:rsidRPr="00AD5A27">
              <w:rPr>
                <w:lang w:val="en-AU"/>
              </w:rPr>
              <w:t>Comment</w:t>
            </w:r>
          </w:p>
        </w:tc>
      </w:tr>
      <w:tr w:rsidR="005B3215" w:rsidRPr="00AD5A27" w14:paraId="527ABB80" w14:textId="77777777" w:rsidTr="007360EF">
        <w:tc>
          <w:tcPr>
            <w:tcW w:w="950" w:type="pct"/>
            <w:shd w:val="clear" w:color="auto" w:fill="auto"/>
            <w:vAlign w:val="center"/>
          </w:tcPr>
          <w:p w14:paraId="77BE17A9" w14:textId="77777777" w:rsidR="005B3215" w:rsidRPr="00AD5A27" w:rsidRDefault="005B3215" w:rsidP="007360EF">
            <w:pPr>
              <w:pStyle w:val="TableText0"/>
              <w:keepNext w:val="0"/>
            </w:pPr>
            <w:r w:rsidRPr="00AD5A27">
              <w:t>Incident patients</w:t>
            </w:r>
          </w:p>
        </w:tc>
        <w:tc>
          <w:tcPr>
            <w:tcW w:w="1720" w:type="pct"/>
            <w:shd w:val="clear" w:color="auto" w:fill="auto"/>
            <w:vAlign w:val="center"/>
          </w:tcPr>
          <w:p w14:paraId="529E956C" w14:textId="1660D962" w:rsidR="005B3215" w:rsidRPr="00AD5A27" w:rsidRDefault="005B3215" w:rsidP="007360EF">
            <w:pPr>
              <w:pStyle w:val="TableText0"/>
              <w:keepNext w:val="0"/>
            </w:pPr>
            <w:r w:rsidRPr="00AD5A27">
              <w:t xml:space="preserve">Year 1 (2024): </w:t>
            </w:r>
            <w:r w:rsidR="00860BB2" w:rsidRPr="00860BB2">
              <w:rPr>
                <w:color w:val="000000"/>
                <w:spacing w:val="51"/>
                <w:shd w:val="solid" w:color="000000" w:fill="000000"/>
                <w:fitText w:val="325" w:id="-961901054"/>
                <w14:textFill>
                  <w14:solidFill>
                    <w14:srgbClr w14:val="000000">
                      <w14:alpha w14:val="100000"/>
                    </w14:srgbClr>
                  </w14:solidFill>
                </w14:textFill>
              </w:rPr>
              <w:t>|||</w:t>
            </w:r>
            <w:r w:rsidR="00860BB2" w:rsidRPr="00860BB2">
              <w:rPr>
                <w:color w:val="000000"/>
                <w:spacing w:val="2"/>
                <w:shd w:val="solid" w:color="000000" w:fill="000000"/>
                <w:fitText w:val="325" w:id="-961901054"/>
                <w14:textFill>
                  <w14:solidFill>
                    <w14:srgbClr w14:val="000000">
                      <w14:alpha w14:val="100000"/>
                    </w14:srgbClr>
                  </w14:solidFill>
                </w14:textFill>
              </w:rPr>
              <w:t>|</w:t>
            </w:r>
            <w:r w:rsidR="00D65114">
              <w:rPr>
                <w:vertAlign w:val="superscript"/>
              </w:rPr>
              <w:t>1</w:t>
            </w:r>
            <w:r w:rsidRPr="00AD5A27">
              <w:t xml:space="preserve"> (</w:t>
            </w:r>
            <w:r w:rsidR="00860BB2" w:rsidRPr="00860BB2">
              <w:rPr>
                <w:color w:val="000000"/>
                <w:spacing w:val="51"/>
                <w:shd w:val="solid" w:color="000000" w:fill="000000"/>
                <w:fitText w:val="326" w:id="-961901053"/>
                <w14:textFill>
                  <w14:solidFill>
                    <w14:srgbClr w14:val="000000">
                      <w14:alpha w14:val="100000"/>
                    </w14:srgbClr>
                  </w14:solidFill>
                </w14:textFill>
              </w:rPr>
              <w:t>|||</w:t>
            </w:r>
            <w:r w:rsidR="00860BB2" w:rsidRPr="00860BB2">
              <w:rPr>
                <w:color w:val="000000"/>
                <w:spacing w:val="3"/>
                <w:shd w:val="solid" w:color="000000" w:fill="000000"/>
                <w:fitText w:val="326" w:id="-961901053"/>
                <w14:textFill>
                  <w14:solidFill>
                    <w14:srgbClr w14:val="000000">
                      <w14:alpha w14:val="100000"/>
                    </w14:srgbClr>
                  </w14:solidFill>
                </w14:textFill>
              </w:rPr>
              <w:t>|</w:t>
            </w:r>
            <w:r w:rsidR="00D65114">
              <w:rPr>
                <w:vertAlign w:val="superscript"/>
              </w:rPr>
              <w:t>1</w:t>
            </w:r>
            <w:r w:rsidRPr="00AD5A27">
              <w:t xml:space="preserve"> adults, </w:t>
            </w:r>
            <w:r w:rsidR="00860BB2" w:rsidRPr="00860BB2">
              <w:rPr>
                <w:color w:val="000000"/>
                <w:spacing w:val="55"/>
                <w:shd w:val="solid" w:color="000000" w:fill="000000"/>
                <w:fitText w:val="338" w:id="-961901052"/>
                <w14:textFill>
                  <w14:solidFill>
                    <w14:srgbClr w14:val="000000">
                      <w14:alpha w14:val="100000"/>
                    </w14:srgbClr>
                  </w14:solidFill>
                </w14:textFill>
              </w:rPr>
              <w:t>|||</w:t>
            </w:r>
            <w:r w:rsidR="00860BB2" w:rsidRPr="00860BB2">
              <w:rPr>
                <w:color w:val="000000"/>
                <w:spacing w:val="3"/>
                <w:shd w:val="solid" w:color="000000" w:fill="000000"/>
                <w:fitText w:val="338" w:id="-961901052"/>
                <w14:textFill>
                  <w14:solidFill>
                    <w14:srgbClr w14:val="000000">
                      <w14:alpha w14:val="100000"/>
                    </w14:srgbClr>
                  </w14:solidFill>
                </w14:textFill>
              </w:rPr>
              <w:t>|</w:t>
            </w:r>
            <w:r w:rsidR="00D65114">
              <w:rPr>
                <w:vertAlign w:val="superscript"/>
              </w:rPr>
              <w:t xml:space="preserve">1 </w:t>
            </w:r>
            <w:r w:rsidRPr="00AD5A27">
              <w:t xml:space="preserve">paediatric patients), Year 6: </w:t>
            </w:r>
            <w:r w:rsidR="00860BB2" w:rsidRPr="00860BB2">
              <w:rPr>
                <w:color w:val="000000"/>
                <w:spacing w:val="51"/>
                <w:shd w:val="solid" w:color="000000" w:fill="000000"/>
                <w:fitText w:val="325" w:id="-961901051"/>
                <w14:textFill>
                  <w14:solidFill>
                    <w14:srgbClr w14:val="000000">
                      <w14:alpha w14:val="100000"/>
                    </w14:srgbClr>
                  </w14:solidFill>
                </w14:textFill>
              </w:rPr>
              <w:t>|||</w:t>
            </w:r>
            <w:r w:rsidR="00860BB2" w:rsidRPr="00860BB2">
              <w:rPr>
                <w:color w:val="000000"/>
                <w:spacing w:val="2"/>
                <w:shd w:val="solid" w:color="000000" w:fill="000000"/>
                <w:fitText w:val="325" w:id="-961901051"/>
                <w14:textFill>
                  <w14:solidFill>
                    <w14:srgbClr w14:val="000000">
                      <w14:alpha w14:val="100000"/>
                    </w14:srgbClr>
                  </w14:solidFill>
                </w14:textFill>
              </w:rPr>
              <w:t>|</w:t>
            </w:r>
            <w:r w:rsidR="00D65114">
              <w:rPr>
                <w:vertAlign w:val="superscript"/>
              </w:rPr>
              <w:t>1</w:t>
            </w:r>
            <w:r w:rsidRPr="00AD5A27">
              <w:t xml:space="preserve"> (</w:t>
            </w:r>
            <w:r w:rsidR="00860BB2" w:rsidRPr="00860BB2">
              <w:rPr>
                <w:color w:val="000000"/>
                <w:spacing w:val="51"/>
                <w:shd w:val="solid" w:color="000000" w:fill="000000"/>
                <w:fitText w:val="325" w:id="-961901050"/>
                <w14:textFill>
                  <w14:solidFill>
                    <w14:srgbClr w14:val="000000">
                      <w14:alpha w14:val="100000"/>
                    </w14:srgbClr>
                  </w14:solidFill>
                </w14:textFill>
              </w:rPr>
              <w:t>|||</w:t>
            </w:r>
            <w:r w:rsidR="00860BB2" w:rsidRPr="00860BB2">
              <w:rPr>
                <w:color w:val="000000"/>
                <w:spacing w:val="2"/>
                <w:shd w:val="solid" w:color="000000" w:fill="000000"/>
                <w:fitText w:val="325" w:id="-961901050"/>
                <w14:textFill>
                  <w14:solidFill>
                    <w14:srgbClr w14:val="000000">
                      <w14:alpha w14:val="100000"/>
                    </w14:srgbClr>
                  </w14:solidFill>
                </w14:textFill>
              </w:rPr>
              <w:t>|</w:t>
            </w:r>
            <w:r w:rsidR="00D65114">
              <w:rPr>
                <w:vertAlign w:val="superscript"/>
              </w:rPr>
              <w:t>1</w:t>
            </w:r>
            <w:r w:rsidRPr="00AD5A27">
              <w:t xml:space="preserve"> adults, </w:t>
            </w:r>
            <w:r w:rsidR="00860BB2" w:rsidRPr="00860BB2">
              <w:rPr>
                <w:color w:val="000000"/>
                <w:spacing w:val="51"/>
                <w:shd w:val="solid" w:color="000000" w:fill="000000"/>
                <w:fitText w:val="326" w:id="-961901049"/>
                <w14:textFill>
                  <w14:solidFill>
                    <w14:srgbClr w14:val="000000">
                      <w14:alpha w14:val="100000"/>
                    </w14:srgbClr>
                  </w14:solidFill>
                </w14:textFill>
              </w:rPr>
              <w:t>|||</w:t>
            </w:r>
            <w:r w:rsidR="00860BB2" w:rsidRPr="00860BB2">
              <w:rPr>
                <w:color w:val="000000"/>
                <w:spacing w:val="3"/>
                <w:shd w:val="solid" w:color="000000" w:fill="000000"/>
                <w:fitText w:val="326" w:id="-961901049"/>
                <w14:textFill>
                  <w14:solidFill>
                    <w14:srgbClr w14:val="000000">
                      <w14:alpha w14:val="100000"/>
                    </w14:srgbClr>
                  </w14:solidFill>
                </w14:textFill>
              </w:rPr>
              <w:t>|</w:t>
            </w:r>
            <w:r w:rsidR="00D65114">
              <w:rPr>
                <w:vertAlign w:val="superscript"/>
              </w:rPr>
              <w:t>1</w:t>
            </w:r>
            <w:r w:rsidRPr="00AD5A27">
              <w:t xml:space="preserve"> paediatric patients).</w:t>
            </w:r>
          </w:p>
          <w:p w14:paraId="28D720C9" w14:textId="77777777" w:rsidR="005B3215" w:rsidRPr="00AD5A27" w:rsidRDefault="005B3215" w:rsidP="007360EF">
            <w:pPr>
              <w:pStyle w:val="TableText0"/>
              <w:keepNext w:val="0"/>
            </w:pPr>
          </w:p>
          <w:p w14:paraId="60117C9C" w14:textId="32BCEC03" w:rsidR="005B3215" w:rsidRPr="00AD5A27" w:rsidRDefault="005B3215" w:rsidP="007360EF">
            <w:pPr>
              <w:pStyle w:val="TableText0"/>
              <w:keepNext w:val="0"/>
            </w:pPr>
            <w:r w:rsidRPr="00AD5A27">
              <w:t xml:space="preserve">Year 1: estimated the first full year based on the number of new patients in the Australian AbbVie Compassionate Access Program in the first half of 2023 and </w:t>
            </w:r>
            <w:r w:rsidR="00974361">
              <w:t>inflated</w:t>
            </w:r>
            <w:r w:rsidRPr="00AD5A27">
              <w:t xml:space="preserve"> by around 20% to allow for growth and patients switching from the SAMF.</w:t>
            </w:r>
          </w:p>
          <w:p w14:paraId="19E6525A" w14:textId="77777777" w:rsidR="005B3215" w:rsidRPr="00AD5A27" w:rsidRDefault="005B3215" w:rsidP="007360EF">
            <w:pPr>
              <w:pStyle w:val="TableText0"/>
              <w:keepNext w:val="0"/>
            </w:pPr>
            <w:r w:rsidRPr="00AD5A27">
              <w:t>Years 2-6 applied population growth to the previous year.</w:t>
            </w:r>
          </w:p>
        </w:tc>
        <w:tc>
          <w:tcPr>
            <w:tcW w:w="2330" w:type="pct"/>
            <w:shd w:val="clear" w:color="auto" w:fill="auto"/>
            <w:vAlign w:val="center"/>
          </w:tcPr>
          <w:p w14:paraId="33F20CD4" w14:textId="77777777" w:rsidR="005B3215" w:rsidRPr="00AD5A27" w:rsidRDefault="005B3215" w:rsidP="007360EF">
            <w:pPr>
              <w:pStyle w:val="TableText0"/>
              <w:keepNext w:val="0"/>
            </w:pPr>
            <w:r w:rsidRPr="00AD5A27">
              <w:t xml:space="preserve">Uncertain and potentially underestimated. </w:t>
            </w:r>
          </w:p>
          <w:p w14:paraId="67E2FB74" w14:textId="77777777" w:rsidR="005B3215" w:rsidRPr="00AD5A27" w:rsidRDefault="005B3215" w:rsidP="007360EF">
            <w:pPr>
              <w:pStyle w:val="TableText0"/>
              <w:keepNext w:val="0"/>
            </w:pPr>
            <w:r w:rsidRPr="00AD5A27">
              <w:t>The resubmission assumed the Compassionate Access Program and the SAMF captured 100% of all the patients who would be treated under the proposed PBS listing. The resubmission assumed all those currently eligible under the Compassionate Program and the SAMF would also be treated under the proposed PBS listing. However, the alignment of the access criteria to the Compassionate Program could not be verified as the access criteria were not reported. The eligibility criteria of the SAMF were more stringent than the proposed PBS restrictions for adults.</w:t>
            </w:r>
          </w:p>
          <w:p w14:paraId="1CC9C157" w14:textId="77777777" w:rsidR="00107F61" w:rsidRPr="00AD5A27" w:rsidRDefault="00107F61" w:rsidP="007360EF">
            <w:pPr>
              <w:pStyle w:val="TableText0"/>
              <w:keepNext w:val="0"/>
            </w:pPr>
          </w:p>
          <w:p w14:paraId="5CD780F2" w14:textId="2BC7794A" w:rsidR="00107F61" w:rsidRPr="00AD5A27" w:rsidRDefault="002D5480" w:rsidP="007360EF">
            <w:pPr>
              <w:pStyle w:val="TableText0"/>
              <w:keepNext w:val="0"/>
            </w:pPr>
            <w:r w:rsidRPr="00AD5A27">
              <w:t>The DUSC considered the growth rate per year was uncertain and possibly underestimated as it was substantially lower than the annual growth reported from the Compassionate Access Program. However, the growth rate in the early years of the Compassionate Access Program may have been higher than its future annual growth on the PBS, due to growing awareness of the treatment and the program.</w:t>
            </w:r>
          </w:p>
        </w:tc>
      </w:tr>
      <w:tr w:rsidR="005B3215" w:rsidRPr="00AD5A27" w14:paraId="43F5BDC1" w14:textId="77777777" w:rsidTr="007360EF">
        <w:tc>
          <w:tcPr>
            <w:tcW w:w="950" w:type="pct"/>
            <w:shd w:val="clear" w:color="auto" w:fill="auto"/>
            <w:vAlign w:val="center"/>
          </w:tcPr>
          <w:p w14:paraId="4977F371" w14:textId="77777777" w:rsidR="005B3215" w:rsidRPr="00AD5A27" w:rsidRDefault="005B3215" w:rsidP="007360EF">
            <w:pPr>
              <w:pStyle w:val="TableText0"/>
              <w:keepNext w:val="0"/>
            </w:pPr>
            <w:r w:rsidRPr="00AD5A27">
              <w:t>Grandfathered patients</w:t>
            </w:r>
          </w:p>
        </w:tc>
        <w:tc>
          <w:tcPr>
            <w:tcW w:w="1720" w:type="pct"/>
            <w:shd w:val="clear" w:color="auto" w:fill="auto"/>
            <w:vAlign w:val="center"/>
          </w:tcPr>
          <w:p w14:paraId="19C31D01" w14:textId="1F5FAA5D" w:rsidR="005B3215" w:rsidRPr="00AD5A27" w:rsidRDefault="005B3215" w:rsidP="007360EF">
            <w:pPr>
              <w:pStyle w:val="TableText0"/>
              <w:keepNext w:val="0"/>
            </w:pPr>
            <w:r w:rsidRPr="00AD5A27">
              <w:t xml:space="preserve">Year 1 (2024): </w:t>
            </w:r>
            <w:r w:rsidR="00860BB2" w:rsidRPr="00860BB2">
              <w:rPr>
                <w:color w:val="000000"/>
                <w:spacing w:val="51"/>
                <w:shd w:val="solid" w:color="000000" w:fill="000000"/>
                <w:fitText w:val="325" w:id="-961901048"/>
                <w14:textFill>
                  <w14:solidFill>
                    <w14:srgbClr w14:val="000000">
                      <w14:alpha w14:val="100000"/>
                    </w14:srgbClr>
                  </w14:solidFill>
                </w14:textFill>
              </w:rPr>
              <w:t>|||</w:t>
            </w:r>
            <w:r w:rsidR="00860BB2" w:rsidRPr="00860BB2">
              <w:rPr>
                <w:color w:val="000000"/>
                <w:spacing w:val="2"/>
                <w:shd w:val="solid" w:color="000000" w:fill="000000"/>
                <w:fitText w:val="325" w:id="-961901048"/>
                <w14:textFill>
                  <w14:solidFill>
                    <w14:srgbClr w14:val="000000">
                      <w14:alpha w14:val="100000"/>
                    </w14:srgbClr>
                  </w14:solidFill>
                </w14:textFill>
              </w:rPr>
              <w:t>|</w:t>
            </w:r>
            <w:r w:rsidR="00D65114">
              <w:rPr>
                <w:vertAlign w:val="superscript"/>
              </w:rPr>
              <w:t>2</w:t>
            </w:r>
            <w:r w:rsidRPr="00AD5A27">
              <w:t xml:space="preserve"> (</w:t>
            </w:r>
            <w:r w:rsidR="00860BB2" w:rsidRPr="00860BB2">
              <w:rPr>
                <w:color w:val="000000"/>
                <w:spacing w:val="51"/>
                <w:shd w:val="solid" w:color="000000" w:fill="000000"/>
                <w:fitText w:val="326" w:id="-961901047"/>
                <w14:textFill>
                  <w14:solidFill>
                    <w14:srgbClr w14:val="000000">
                      <w14:alpha w14:val="100000"/>
                    </w14:srgbClr>
                  </w14:solidFill>
                </w14:textFill>
              </w:rPr>
              <w:t>|||</w:t>
            </w:r>
            <w:r w:rsidR="00860BB2" w:rsidRPr="00860BB2">
              <w:rPr>
                <w:color w:val="000000"/>
                <w:spacing w:val="3"/>
                <w:shd w:val="solid" w:color="000000" w:fill="000000"/>
                <w:fitText w:val="326" w:id="-961901047"/>
                <w14:textFill>
                  <w14:solidFill>
                    <w14:srgbClr w14:val="000000">
                      <w14:alpha w14:val="100000"/>
                    </w14:srgbClr>
                  </w14:solidFill>
                </w14:textFill>
              </w:rPr>
              <w:t>|</w:t>
            </w:r>
            <w:r w:rsidR="00D65114">
              <w:rPr>
                <w:vertAlign w:val="superscript"/>
              </w:rPr>
              <w:t>2</w:t>
            </w:r>
            <w:r w:rsidRPr="00AD5A27">
              <w:t xml:space="preserve"> adults, </w:t>
            </w:r>
            <w:r w:rsidR="00860BB2" w:rsidRPr="00860BB2">
              <w:rPr>
                <w:color w:val="000000"/>
                <w:spacing w:val="55"/>
                <w:shd w:val="solid" w:color="000000" w:fill="000000"/>
                <w:fitText w:val="338" w:id="-961901046"/>
                <w14:textFill>
                  <w14:solidFill>
                    <w14:srgbClr w14:val="000000">
                      <w14:alpha w14:val="100000"/>
                    </w14:srgbClr>
                  </w14:solidFill>
                </w14:textFill>
              </w:rPr>
              <w:t>|||</w:t>
            </w:r>
            <w:r w:rsidR="00860BB2" w:rsidRPr="00860BB2">
              <w:rPr>
                <w:color w:val="000000"/>
                <w:spacing w:val="3"/>
                <w:shd w:val="solid" w:color="000000" w:fill="000000"/>
                <w:fitText w:val="338" w:id="-961901046"/>
                <w14:textFill>
                  <w14:solidFill>
                    <w14:srgbClr w14:val="000000">
                      <w14:alpha w14:val="100000"/>
                    </w14:srgbClr>
                  </w14:solidFill>
                </w14:textFill>
              </w:rPr>
              <w:t>|</w:t>
            </w:r>
            <w:r w:rsidR="00D65114">
              <w:rPr>
                <w:vertAlign w:val="superscript"/>
              </w:rPr>
              <w:t>1</w:t>
            </w:r>
            <w:r w:rsidRPr="00AD5A27">
              <w:t xml:space="preserve"> paediatric patients), discontinuing at a rate of 20% per annum to Year 5: </w:t>
            </w:r>
            <w:r w:rsidR="00860BB2" w:rsidRPr="00860BB2">
              <w:rPr>
                <w:color w:val="000000"/>
                <w:spacing w:val="51"/>
                <w:shd w:val="solid" w:color="000000" w:fill="000000"/>
                <w:fitText w:val="326" w:id="-961901045"/>
                <w14:textFill>
                  <w14:solidFill>
                    <w14:srgbClr w14:val="000000">
                      <w14:alpha w14:val="100000"/>
                    </w14:srgbClr>
                  </w14:solidFill>
                </w14:textFill>
              </w:rPr>
              <w:t>|||</w:t>
            </w:r>
            <w:r w:rsidR="00860BB2" w:rsidRPr="00860BB2">
              <w:rPr>
                <w:color w:val="000000"/>
                <w:spacing w:val="3"/>
                <w:shd w:val="solid" w:color="000000" w:fill="000000"/>
                <w:fitText w:val="326" w:id="-961901045"/>
                <w14:textFill>
                  <w14:solidFill>
                    <w14:srgbClr w14:val="000000">
                      <w14:alpha w14:val="100000"/>
                    </w14:srgbClr>
                  </w14:solidFill>
                </w14:textFill>
              </w:rPr>
              <w:t>|</w:t>
            </w:r>
            <w:r w:rsidR="00D65114">
              <w:rPr>
                <w:vertAlign w:val="superscript"/>
              </w:rPr>
              <w:t>1</w:t>
            </w:r>
            <w:r w:rsidRPr="00AD5A27">
              <w:t xml:space="preserve"> (</w:t>
            </w:r>
            <w:r w:rsidR="00860BB2" w:rsidRPr="00860BB2">
              <w:rPr>
                <w:color w:val="000000"/>
                <w:spacing w:val="51"/>
                <w:shd w:val="solid" w:color="000000" w:fill="000000"/>
                <w:fitText w:val="326" w:id="-961901044"/>
                <w14:textFill>
                  <w14:solidFill>
                    <w14:srgbClr w14:val="000000">
                      <w14:alpha w14:val="100000"/>
                    </w14:srgbClr>
                  </w14:solidFill>
                </w14:textFill>
              </w:rPr>
              <w:t>|||</w:t>
            </w:r>
            <w:r w:rsidR="00860BB2" w:rsidRPr="00860BB2">
              <w:rPr>
                <w:color w:val="000000"/>
                <w:spacing w:val="3"/>
                <w:shd w:val="solid" w:color="000000" w:fill="000000"/>
                <w:fitText w:val="326" w:id="-961901044"/>
                <w14:textFill>
                  <w14:solidFill>
                    <w14:srgbClr w14:val="000000">
                      <w14:alpha w14:val="100000"/>
                    </w14:srgbClr>
                  </w14:solidFill>
                </w14:textFill>
              </w:rPr>
              <w:t>|</w:t>
            </w:r>
            <w:r w:rsidR="00D65114">
              <w:rPr>
                <w:vertAlign w:val="superscript"/>
              </w:rPr>
              <w:t>1</w:t>
            </w:r>
            <w:r w:rsidRPr="00AD5A27">
              <w:t xml:space="preserve"> adults, </w:t>
            </w:r>
            <w:r w:rsidR="00860BB2" w:rsidRPr="00860BB2">
              <w:rPr>
                <w:color w:val="000000"/>
                <w:spacing w:val="51"/>
                <w:shd w:val="solid" w:color="000000" w:fill="000000"/>
                <w:fitText w:val="326" w:id="-961901043"/>
                <w14:textFill>
                  <w14:solidFill>
                    <w14:srgbClr w14:val="000000">
                      <w14:alpha w14:val="100000"/>
                    </w14:srgbClr>
                  </w14:solidFill>
                </w14:textFill>
              </w:rPr>
              <w:t>|||</w:t>
            </w:r>
            <w:r w:rsidR="00860BB2" w:rsidRPr="00860BB2">
              <w:rPr>
                <w:color w:val="000000"/>
                <w:spacing w:val="3"/>
                <w:shd w:val="solid" w:color="000000" w:fill="000000"/>
                <w:fitText w:val="326" w:id="-961901043"/>
                <w14:textFill>
                  <w14:solidFill>
                    <w14:srgbClr w14:val="000000">
                      <w14:alpha w14:val="100000"/>
                    </w14:srgbClr>
                  </w14:solidFill>
                </w14:textFill>
              </w:rPr>
              <w:t>|</w:t>
            </w:r>
            <w:r w:rsidR="00D65114">
              <w:rPr>
                <w:vertAlign w:val="superscript"/>
              </w:rPr>
              <w:t>1</w:t>
            </w:r>
            <w:r w:rsidRPr="00AD5A27">
              <w:t xml:space="preserve"> paediatric patients) and to none in Year 6.</w:t>
            </w:r>
          </w:p>
        </w:tc>
        <w:tc>
          <w:tcPr>
            <w:tcW w:w="2330" w:type="pct"/>
            <w:shd w:val="clear" w:color="auto" w:fill="auto"/>
            <w:vAlign w:val="center"/>
          </w:tcPr>
          <w:p w14:paraId="6D3C78DE" w14:textId="54C90D31" w:rsidR="005B3215" w:rsidRPr="00AD5A27" w:rsidRDefault="005B3215" w:rsidP="007360EF">
            <w:pPr>
              <w:pStyle w:val="TableText0"/>
              <w:keepNext w:val="0"/>
            </w:pPr>
            <w:r w:rsidRPr="00AD5A27">
              <w:t>The discontinuation rate is uncertain and inconsistent with the rate from Eurelings et al. 2022</w:t>
            </w:r>
            <w:r w:rsidR="00974361">
              <w:t xml:space="preserve"> used in the economic model</w:t>
            </w:r>
            <w:r w:rsidRPr="00AD5A27">
              <w:t>.</w:t>
            </w:r>
          </w:p>
        </w:tc>
      </w:tr>
      <w:tr w:rsidR="005B3215" w:rsidRPr="00AD5A27" w14:paraId="416C309E" w14:textId="77777777" w:rsidTr="007360EF">
        <w:tc>
          <w:tcPr>
            <w:tcW w:w="950" w:type="pct"/>
            <w:shd w:val="clear" w:color="auto" w:fill="auto"/>
            <w:vAlign w:val="center"/>
          </w:tcPr>
          <w:p w14:paraId="457D7E8A" w14:textId="77777777" w:rsidR="005B3215" w:rsidRPr="00AD5A27" w:rsidRDefault="005B3215" w:rsidP="007360EF">
            <w:pPr>
              <w:pStyle w:val="TableText0"/>
              <w:keepNext w:val="0"/>
            </w:pPr>
            <w:r w:rsidRPr="00AD5A27">
              <w:t>Compliance rate</w:t>
            </w:r>
          </w:p>
        </w:tc>
        <w:tc>
          <w:tcPr>
            <w:tcW w:w="1720" w:type="pct"/>
            <w:shd w:val="clear" w:color="auto" w:fill="auto"/>
            <w:vAlign w:val="center"/>
          </w:tcPr>
          <w:p w14:paraId="7A6C3D69" w14:textId="77777777" w:rsidR="005B3215" w:rsidRPr="00AD5A27" w:rsidRDefault="005B3215" w:rsidP="007360EF">
            <w:pPr>
              <w:pStyle w:val="TableText0"/>
              <w:keepNext w:val="0"/>
            </w:pPr>
            <w:r w:rsidRPr="00AD5A27">
              <w:t>Assumed 100%, as non-compliance already accounted for in the annual discontinuation rate.</w:t>
            </w:r>
          </w:p>
        </w:tc>
        <w:tc>
          <w:tcPr>
            <w:tcW w:w="2330" w:type="pct"/>
            <w:shd w:val="clear" w:color="auto" w:fill="auto"/>
            <w:vAlign w:val="center"/>
          </w:tcPr>
          <w:p w14:paraId="257CD7B6" w14:textId="77777777" w:rsidR="005B3215" w:rsidRPr="00AD5A27" w:rsidRDefault="005B3215" w:rsidP="007360EF">
            <w:pPr>
              <w:pStyle w:val="TableText0"/>
              <w:keepNext w:val="0"/>
            </w:pPr>
            <w:r w:rsidRPr="00AD5A27">
              <w:t>This was reasonable.</w:t>
            </w:r>
          </w:p>
        </w:tc>
      </w:tr>
      <w:tr w:rsidR="005B3215" w:rsidRPr="00AD5A27" w14:paraId="1889AE92" w14:textId="77777777" w:rsidTr="007360EF">
        <w:tc>
          <w:tcPr>
            <w:tcW w:w="950" w:type="pct"/>
            <w:vMerge w:val="restart"/>
            <w:shd w:val="clear" w:color="auto" w:fill="auto"/>
            <w:vAlign w:val="center"/>
          </w:tcPr>
          <w:p w14:paraId="6E91EC85" w14:textId="77777777" w:rsidR="005B3215" w:rsidRPr="00AD5A27" w:rsidRDefault="005B3215" w:rsidP="00015FF3">
            <w:pPr>
              <w:pStyle w:val="TableText0"/>
              <w:keepLines/>
            </w:pPr>
            <w:r w:rsidRPr="00AD5A27">
              <w:lastRenderedPageBreak/>
              <w:t>Dose/duration</w:t>
            </w:r>
          </w:p>
        </w:tc>
        <w:tc>
          <w:tcPr>
            <w:tcW w:w="1720" w:type="pct"/>
            <w:shd w:val="clear" w:color="auto" w:fill="auto"/>
            <w:vAlign w:val="center"/>
          </w:tcPr>
          <w:p w14:paraId="6F2BA353" w14:textId="77777777" w:rsidR="005B3215" w:rsidRPr="00AD5A27" w:rsidRDefault="005B3215" w:rsidP="00015FF3">
            <w:pPr>
              <w:pStyle w:val="TableText0"/>
              <w:keepLines/>
            </w:pPr>
            <w:r w:rsidRPr="00AD5A27">
              <w:t>Adults: Loading dose – assumed 50% used 1 x 80 mg dose and 50% used 2 x 40 mg doses.</w:t>
            </w:r>
          </w:p>
          <w:p w14:paraId="78258E7A" w14:textId="77777777" w:rsidR="005B3215" w:rsidRPr="00AD5A27" w:rsidRDefault="005B3215" w:rsidP="00015FF3">
            <w:pPr>
              <w:pStyle w:val="TableText0"/>
              <w:keepLines/>
            </w:pPr>
            <w:r w:rsidRPr="00AD5A27">
              <w:t>After the first month, assumed one script/month.</w:t>
            </w:r>
          </w:p>
        </w:tc>
        <w:tc>
          <w:tcPr>
            <w:tcW w:w="2330" w:type="pct"/>
            <w:shd w:val="clear" w:color="auto" w:fill="auto"/>
            <w:vAlign w:val="center"/>
          </w:tcPr>
          <w:p w14:paraId="53D7CABE" w14:textId="77777777" w:rsidR="005B3215" w:rsidRPr="00AD5A27" w:rsidRDefault="005B3215" w:rsidP="00015FF3">
            <w:pPr>
              <w:pStyle w:val="TableText0"/>
              <w:keepLines/>
            </w:pPr>
            <w:r w:rsidRPr="00AD5A27">
              <w:t>One 40 mg script per month after the first month was a slight underestimation owing to a fortnightly injection schedule as recommended by the TGA-approved PI. It was also inconsistent with the economic evaluation (which used 2.1726 injections/cycles after the first month).</w:t>
            </w:r>
          </w:p>
        </w:tc>
      </w:tr>
      <w:tr w:rsidR="005B3215" w:rsidRPr="00AD5A27" w14:paraId="25E21700" w14:textId="77777777" w:rsidTr="007360EF">
        <w:tc>
          <w:tcPr>
            <w:tcW w:w="950" w:type="pct"/>
            <w:vMerge/>
            <w:vAlign w:val="center"/>
          </w:tcPr>
          <w:p w14:paraId="74FADED1" w14:textId="77777777" w:rsidR="005B3215" w:rsidRPr="00AD5A27" w:rsidRDefault="005B3215" w:rsidP="007360EF">
            <w:pPr>
              <w:pStyle w:val="TableText0"/>
              <w:keepNext w:val="0"/>
            </w:pPr>
          </w:p>
        </w:tc>
        <w:tc>
          <w:tcPr>
            <w:tcW w:w="1720" w:type="pct"/>
            <w:shd w:val="clear" w:color="auto" w:fill="auto"/>
            <w:vAlign w:val="center"/>
          </w:tcPr>
          <w:p w14:paraId="5742F894" w14:textId="77777777" w:rsidR="005B3215" w:rsidRPr="00AD5A27" w:rsidRDefault="005B3215" w:rsidP="007360EF">
            <w:pPr>
              <w:pStyle w:val="TableText0"/>
              <w:keepNext w:val="0"/>
            </w:pPr>
            <w:r w:rsidRPr="00AD5A27">
              <w:t>Paediatric patients: for both induction and continuing doses, assumed 20% used 20 mg dose, 80% used 40 mg dose (Compassionate Program, usage in 2023, to end of June).</w:t>
            </w:r>
          </w:p>
        </w:tc>
        <w:tc>
          <w:tcPr>
            <w:tcW w:w="2330" w:type="pct"/>
            <w:shd w:val="clear" w:color="auto" w:fill="auto"/>
            <w:vAlign w:val="center"/>
          </w:tcPr>
          <w:p w14:paraId="3F471AF6" w14:textId="6833BA85" w:rsidR="005B3215" w:rsidRPr="00AD5A27" w:rsidRDefault="005B3215" w:rsidP="007360EF">
            <w:pPr>
              <w:pStyle w:val="TableText0"/>
              <w:keepNext w:val="0"/>
            </w:pPr>
            <w:r w:rsidRPr="00AD5A27">
              <w:t>The resubmission did not consider the use of 80 mg as</w:t>
            </w:r>
            <w:r w:rsidR="00EF7DA5" w:rsidRPr="00AD5A27">
              <w:t xml:space="preserve"> a </w:t>
            </w:r>
            <w:r w:rsidRPr="00AD5A27">
              <w:t xml:space="preserve"> loading dose for patients ≥30 kg. Financial estimates were slightly underestimated owing to a slightly greater DPMQ for 20 mg.</w:t>
            </w:r>
          </w:p>
        </w:tc>
      </w:tr>
      <w:tr w:rsidR="005B3215" w:rsidRPr="00AD5A27" w14:paraId="76D3595E" w14:textId="77777777" w:rsidTr="007360EF">
        <w:tc>
          <w:tcPr>
            <w:tcW w:w="950" w:type="pct"/>
            <w:vMerge w:val="restart"/>
            <w:shd w:val="clear" w:color="auto" w:fill="auto"/>
            <w:vAlign w:val="center"/>
          </w:tcPr>
          <w:p w14:paraId="6D992759" w14:textId="77777777" w:rsidR="005B3215" w:rsidRPr="00AD5A27" w:rsidRDefault="005B3215" w:rsidP="007360EF">
            <w:pPr>
              <w:pStyle w:val="TableText0"/>
              <w:keepNext w:val="0"/>
            </w:pPr>
            <w:r w:rsidRPr="00AD5A27">
              <w:t>Discontinuation rate per year</w:t>
            </w:r>
          </w:p>
        </w:tc>
        <w:tc>
          <w:tcPr>
            <w:tcW w:w="1720" w:type="pct"/>
            <w:vAlign w:val="center"/>
          </w:tcPr>
          <w:p w14:paraId="2787850F" w14:textId="77777777" w:rsidR="005B3215" w:rsidRPr="00AD5A27" w:rsidRDefault="005B3215" w:rsidP="007360EF">
            <w:pPr>
              <w:pStyle w:val="TableText0"/>
              <w:keepNext w:val="0"/>
            </w:pPr>
            <w:r w:rsidRPr="00AD5A27">
              <w:t xml:space="preserve">Incident patients: 15.59% every year (Eurelings et al. (2022) </w:t>
            </w:r>
          </w:p>
          <w:p w14:paraId="15085084" w14:textId="77777777" w:rsidR="005B3215" w:rsidRPr="00AD5A27" w:rsidRDefault="005B3215" w:rsidP="007360EF">
            <w:pPr>
              <w:pStyle w:val="TableText0"/>
              <w:keepNext w:val="0"/>
            </w:pPr>
          </w:p>
          <w:p w14:paraId="7B05970A" w14:textId="77777777" w:rsidR="005B3215" w:rsidRPr="00AD5A27" w:rsidRDefault="005B3215" w:rsidP="007360EF">
            <w:pPr>
              <w:pStyle w:val="TableText0"/>
              <w:keepNext w:val="0"/>
            </w:pPr>
            <w:r w:rsidRPr="00AD5A27">
              <w:t>(</w:t>
            </w:r>
            <w:r w:rsidRPr="00AD5A27">
              <w:rPr>
                <w:shd w:val="clear" w:color="auto" w:fill="B8CCE4" w:themeFill="accent1" w:themeFillTint="66"/>
              </w:rPr>
              <w:t>10.93%</w:t>
            </w:r>
            <w:r w:rsidRPr="00AD5A27">
              <w:t xml:space="preserve"> in the March 2017 submission).</w:t>
            </w:r>
          </w:p>
        </w:tc>
        <w:tc>
          <w:tcPr>
            <w:tcW w:w="2330" w:type="pct"/>
            <w:vAlign w:val="center"/>
          </w:tcPr>
          <w:p w14:paraId="20805897" w14:textId="77777777" w:rsidR="005B3215" w:rsidRPr="00AD5A27" w:rsidRDefault="005B3215" w:rsidP="007360EF">
            <w:pPr>
              <w:pStyle w:val="TableText0"/>
              <w:keepNext w:val="0"/>
            </w:pPr>
            <w:r w:rsidRPr="00AD5A27">
              <w:t>This was consistent with the economic model for adults. In the paediatric SYCAMORE trial, 15% of the patients in the adalimumab arm discontinued (a total of 9 patients who discontinued (n = 60), 7 discontinued during the follow-up period, 2 refused to enter into follow-up).</w:t>
            </w:r>
          </w:p>
        </w:tc>
      </w:tr>
      <w:tr w:rsidR="005B3215" w:rsidRPr="00AD5A27" w14:paraId="54FE354C" w14:textId="77777777" w:rsidTr="007360EF">
        <w:tc>
          <w:tcPr>
            <w:tcW w:w="950" w:type="pct"/>
            <w:vMerge/>
            <w:vAlign w:val="center"/>
          </w:tcPr>
          <w:p w14:paraId="2518540D" w14:textId="77777777" w:rsidR="005B3215" w:rsidRPr="00AD5A27" w:rsidRDefault="005B3215" w:rsidP="007360EF">
            <w:pPr>
              <w:pStyle w:val="TableText0"/>
              <w:keepNext w:val="0"/>
            </w:pPr>
          </w:p>
        </w:tc>
        <w:tc>
          <w:tcPr>
            <w:tcW w:w="1720" w:type="pct"/>
            <w:vAlign w:val="center"/>
          </w:tcPr>
          <w:p w14:paraId="315D3597" w14:textId="77777777" w:rsidR="005B3215" w:rsidRPr="00AD5A27" w:rsidRDefault="005B3215" w:rsidP="007360EF">
            <w:pPr>
              <w:pStyle w:val="TableText0"/>
              <w:keepNext w:val="0"/>
            </w:pPr>
            <w:r w:rsidRPr="00AD5A27">
              <w:t>Grandfathered patients: assumed 20% every year, decreased to 0 after 5 years.</w:t>
            </w:r>
          </w:p>
        </w:tc>
        <w:tc>
          <w:tcPr>
            <w:tcW w:w="2330" w:type="pct"/>
            <w:vAlign w:val="center"/>
          </w:tcPr>
          <w:p w14:paraId="5FDDA48A" w14:textId="3F3536E9" w:rsidR="005B3215" w:rsidRPr="00AD5A27" w:rsidRDefault="005B3215" w:rsidP="007360EF">
            <w:pPr>
              <w:pStyle w:val="TableText0"/>
              <w:keepNext w:val="0"/>
            </w:pPr>
          </w:p>
        </w:tc>
      </w:tr>
      <w:tr w:rsidR="005B3215" w:rsidRPr="00AD5A27" w14:paraId="5506AEB4" w14:textId="77777777" w:rsidTr="007360EF">
        <w:tc>
          <w:tcPr>
            <w:tcW w:w="950" w:type="pct"/>
            <w:shd w:val="clear" w:color="auto" w:fill="auto"/>
            <w:vAlign w:val="center"/>
          </w:tcPr>
          <w:p w14:paraId="374F856B" w14:textId="77777777" w:rsidR="005B3215" w:rsidRPr="00AD5A27" w:rsidRDefault="005B3215" w:rsidP="007360EF">
            <w:pPr>
              <w:pStyle w:val="TableText0"/>
              <w:keepNext w:val="0"/>
            </w:pPr>
            <w:r w:rsidRPr="00AD5A27">
              <w:t>Drug cost for adalimumab</w:t>
            </w:r>
          </w:p>
        </w:tc>
        <w:tc>
          <w:tcPr>
            <w:tcW w:w="1720" w:type="pct"/>
            <w:shd w:val="clear" w:color="auto" w:fill="auto"/>
            <w:vAlign w:val="center"/>
          </w:tcPr>
          <w:p w14:paraId="00BE276D" w14:textId="54A768EE" w:rsidR="005B3215" w:rsidRPr="00AD5A27" w:rsidRDefault="005B3215" w:rsidP="007360EF">
            <w:pPr>
              <w:pStyle w:val="TableText0"/>
              <w:keepNext w:val="0"/>
            </w:pPr>
            <w:r w:rsidRPr="00AD5A27">
              <w:t xml:space="preserve">DPMQ </w:t>
            </w:r>
            <w:r w:rsidR="00860BB2" w:rsidRPr="00860BB2">
              <w:rPr>
                <w:color w:val="000000"/>
                <w:spacing w:val="51"/>
                <w:shd w:val="solid" w:color="000000" w:fill="000000"/>
                <w:fitText w:val="325" w:id="-961901042"/>
                <w14:textFill>
                  <w14:solidFill>
                    <w14:srgbClr w14:val="000000">
                      <w14:alpha w14:val="100000"/>
                    </w14:srgbClr>
                  </w14:solidFill>
                </w14:textFill>
              </w:rPr>
              <w:t>|||</w:t>
            </w:r>
            <w:r w:rsidR="00860BB2" w:rsidRPr="00860BB2">
              <w:rPr>
                <w:color w:val="000000"/>
                <w:spacing w:val="2"/>
                <w:shd w:val="solid" w:color="000000" w:fill="000000"/>
                <w:fitText w:val="325" w:id="-961901042"/>
                <w14:textFill>
                  <w14:solidFill>
                    <w14:srgbClr w14:val="000000">
                      <w14:alpha w14:val="100000"/>
                    </w14:srgbClr>
                  </w14:solidFill>
                </w14:textFill>
              </w:rPr>
              <w:t>|</w:t>
            </w:r>
            <w:r w:rsidRPr="00AD5A27">
              <w:t xml:space="preserve"> for 40 mg and 80 mg doses, DPMQ $</w:t>
            </w:r>
            <w:r w:rsidR="00860BB2" w:rsidRPr="00860BB2">
              <w:rPr>
                <w:color w:val="000000"/>
                <w:spacing w:val="51"/>
                <w:shd w:val="solid" w:color="000000" w:fill="000000"/>
                <w:fitText w:val="326" w:id="-961901041"/>
                <w14:textFill>
                  <w14:solidFill>
                    <w14:srgbClr w14:val="000000">
                      <w14:alpha w14:val="100000"/>
                    </w14:srgbClr>
                  </w14:solidFill>
                </w14:textFill>
              </w:rPr>
              <w:t>|||</w:t>
            </w:r>
            <w:r w:rsidR="00860BB2" w:rsidRPr="00860BB2">
              <w:rPr>
                <w:color w:val="000000"/>
                <w:spacing w:val="3"/>
                <w:shd w:val="solid" w:color="000000" w:fill="000000"/>
                <w:fitText w:val="326" w:id="-961901041"/>
                <w14:textFill>
                  <w14:solidFill>
                    <w14:srgbClr w14:val="000000">
                      <w14:alpha w14:val="100000"/>
                    </w14:srgbClr>
                  </w14:solidFill>
                </w14:textFill>
              </w:rPr>
              <w:t>|</w:t>
            </w:r>
            <w:r w:rsidRPr="00AD5A27">
              <w:t xml:space="preserve"> for 20 mg dose.</w:t>
            </w:r>
          </w:p>
        </w:tc>
        <w:tc>
          <w:tcPr>
            <w:tcW w:w="2330" w:type="pct"/>
            <w:shd w:val="clear" w:color="auto" w:fill="auto"/>
            <w:vAlign w:val="center"/>
          </w:tcPr>
          <w:p w14:paraId="19FB3400" w14:textId="46877D19" w:rsidR="005B3215" w:rsidRPr="00AD5A27" w:rsidRDefault="005B3215" w:rsidP="007360EF">
            <w:pPr>
              <w:pStyle w:val="TableText0"/>
              <w:keepNext w:val="0"/>
            </w:pPr>
            <w:r w:rsidRPr="00AD5A27">
              <w:t xml:space="preserve">The drug cost (DPMQ) for adalimumab applied in the financial model differed from the DPMQ requested in Table 1-7, p45 of the resubmission. </w:t>
            </w:r>
          </w:p>
        </w:tc>
      </w:tr>
      <w:tr w:rsidR="005B3215" w:rsidRPr="00AD5A27" w14:paraId="36A6F5E7" w14:textId="77777777" w:rsidTr="007360EF">
        <w:tc>
          <w:tcPr>
            <w:tcW w:w="950" w:type="pct"/>
            <w:shd w:val="clear" w:color="auto" w:fill="auto"/>
            <w:vAlign w:val="center"/>
          </w:tcPr>
          <w:p w14:paraId="7C691866" w14:textId="77777777" w:rsidR="005B3215" w:rsidRPr="00AD5A27" w:rsidRDefault="005B3215" w:rsidP="007360EF">
            <w:pPr>
              <w:pStyle w:val="TableText0"/>
              <w:keepNext w:val="0"/>
            </w:pPr>
            <w:r w:rsidRPr="00AD5A27">
              <w:t>Offsets for comparator/ subsequent therapies</w:t>
            </w:r>
          </w:p>
        </w:tc>
        <w:tc>
          <w:tcPr>
            <w:tcW w:w="1720" w:type="pct"/>
            <w:shd w:val="clear" w:color="auto" w:fill="auto"/>
            <w:vAlign w:val="center"/>
          </w:tcPr>
          <w:p w14:paraId="66DA03E1" w14:textId="77777777" w:rsidR="005B3215" w:rsidRPr="00AD5A27" w:rsidRDefault="005B3215" w:rsidP="007360EF">
            <w:pPr>
              <w:pStyle w:val="TableText0"/>
              <w:keepNext w:val="0"/>
            </w:pPr>
            <w:r w:rsidRPr="00AD5A27">
              <w:t>None applied.</w:t>
            </w:r>
          </w:p>
        </w:tc>
        <w:tc>
          <w:tcPr>
            <w:tcW w:w="2330" w:type="pct"/>
            <w:shd w:val="clear" w:color="auto" w:fill="auto"/>
            <w:vAlign w:val="center"/>
          </w:tcPr>
          <w:p w14:paraId="57D17D9C" w14:textId="56D70152" w:rsidR="005B3215" w:rsidRPr="00AD5A27" w:rsidRDefault="005B3215" w:rsidP="007360EF">
            <w:pPr>
              <w:pStyle w:val="TableText0"/>
              <w:keepNext w:val="0"/>
            </w:pPr>
            <w:r w:rsidRPr="00AD5A27">
              <w:t>The impact on corticosteroids and immunomodulatory agents were not included.</w:t>
            </w:r>
          </w:p>
          <w:p w14:paraId="1ACC9CC5" w14:textId="77777777" w:rsidR="005B3215" w:rsidRPr="00AD5A27" w:rsidRDefault="005B3215" w:rsidP="007360EF">
            <w:pPr>
              <w:pStyle w:val="TableText0"/>
              <w:keepNext w:val="0"/>
            </w:pPr>
            <w:r w:rsidRPr="00AD5A27">
              <w:t>The economic model included treatment costs for flares and ocular complications.</w:t>
            </w:r>
          </w:p>
        </w:tc>
      </w:tr>
      <w:tr w:rsidR="005B3215" w:rsidRPr="00AD5A27" w14:paraId="66FA03C6" w14:textId="77777777" w:rsidTr="007360EF">
        <w:tc>
          <w:tcPr>
            <w:tcW w:w="950" w:type="pct"/>
            <w:shd w:val="clear" w:color="auto" w:fill="auto"/>
            <w:vAlign w:val="center"/>
          </w:tcPr>
          <w:p w14:paraId="3E346B92" w14:textId="77777777" w:rsidR="005B3215" w:rsidRPr="00AD5A27" w:rsidRDefault="005B3215" w:rsidP="007360EF">
            <w:pPr>
              <w:pStyle w:val="TableText0"/>
              <w:keepNext w:val="0"/>
            </w:pPr>
            <w:r w:rsidRPr="00AD5A27">
              <w:t>MBS item</w:t>
            </w:r>
          </w:p>
        </w:tc>
        <w:tc>
          <w:tcPr>
            <w:tcW w:w="1720" w:type="pct"/>
            <w:shd w:val="clear" w:color="auto" w:fill="auto"/>
            <w:vAlign w:val="center"/>
          </w:tcPr>
          <w:p w14:paraId="7C0F92E8" w14:textId="77777777" w:rsidR="005B3215" w:rsidRPr="00AD5A27" w:rsidRDefault="005B3215" w:rsidP="007360EF">
            <w:pPr>
              <w:pStyle w:val="TableText0"/>
              <w:keepNext w:val="0"/>
            </w:pPr>
            <w:r w:rsidRPr="00AD5A27">
              <w:t>None applied</w:t>
            </w:r>
          </w:p>
        </w:tc>
        <w:tc>
          <w:tcPr>
            <w:tcW w:w="2330" w:type="pct"/>
            <w:shd w:val="clear" w:color="auto" w:fill="auto"/>
            <w:vAlign w:val="center"/>
          </w:tcPr>
          <w:p w14:paraId="7C83CA6F" w14:textId="77777777" w:rsidR="005B3215" w:rsidRPr="00AD5A27" w:rsidRDefault="005B3215" w:rsidP="007360EF">
            <w:pPr>
              <w:pStyle w:val="TableText0"/>
              <w:keepNext w:val="0"/>
            </w:pPr>
            <w:r w:rsidRPr="00AD5A27">
              <w:t>Not appropriate. Underestimated financial impact. Relevant MBS items include</w:t>
            </w:r>
            <w:r w:rsidRPr="00AD5A27">
              <w:rPr>
                <w:vertAlign w:val="superscript"/>
              </w:rPr>
              <w:t>a</w:t>
            </w:r>
            <w:r w:rsidRPr="00AD5A27">
              <w:t>: 104, 105,</w:t>
            </w:r>
            <w:r w:rsidRPr="00AD5A27" w:rsidDel="001755C6">
              <w:t xml:space="preserve"> </w:t>
            </w:r>
            <w:r w:rsidRPr="00AD5A27">
              <w:t>109.</w:t>
            </w:r>
          </w:p>
        </w:tc>
      </w:tr>
    </w:tbl>
    <w:p w14:paraId="206FC216" w14:textId="77777777" w:rsidR="005B3215" w:rsidRPr="00AD5A27" w:rsidRDefault="005B3215" w:rsidP="005B3215">
      <w:pPr>
        <w:pStyle w:val="FooterTableFigure"/>
      </w:pPr>
      <w:r w:rsidRPr="00AD5A27">
        <w:t>Source: Tables 4-3 to 4-7, pp197-199 of the resubmission; pp10-11 of draft TGA PI for adalimumab.</w:t>
      </w:r>
    </w:p>
    <w:p w14:paraId="7A7582D5" w14:textId="77777777" w:rsidR="005B3215" w:rsidRDefault="005B3215" w:rsidP="00015FF3">
      <w:pPr>
        <w:pStyle w:val="FooterTableFigure"/>
        <w:spacing w:after="0"/>
        <w:jc w:val="left"/>
      </w:pPr>
      <w:r w:rsidRPr="00AD5A27">
        <w:t>DPMQ = Dispensed Price for Maximum Quantity; MBS = Medicare Benefits Schedule; PBS = Pharmaceutical Benefits Scheme; PI = Product Information; SAMF = South Australian Medicines Formulary.</w:t>
      </w:r>
    </w:p>
    <w:p w14:paraId="1606FD07" w14:textId="77777777" w:rsidR="00D65114" w:rsidRPr="009A6D58" w:rsidRDefault="00D65114" w:rsidP="00D6511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525B289" w14:textId="4EE4ADFF" w:rsidR="00D65114" w:rsidRPr="009A6D58" w:rsidRDefault="00D65114" w:rsidP="00D6511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D65114">
        <w:rPr>
          <w:rFonts w:ascii="Arial Narrow" w:hAnsi="Arial Narrow"/>
          <w:i/>
          <w:sz w:val="18"/>
          <w:szCs w:val="18"/>
        </w:rPr>
        <w:t>&lt; 500</w:t>
      </w:r>
    </w:p>
    <w:p w14:paraId="02EC4549" w14:textId="772E9010" w:rsidR="00D65114" w:rsidRPr="00015FF3" w:rsidRDefault="00D65114" w:rsidP="00015FF3">
      <w:pPr>
        <w:spacing w:after="120"/>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D65114">
        <w:rPr>
          <w:rFonts w:ascii="Arial Narrow" w:hAnsi="Arial Narrow"/>
          <w:i/>
          <w:sz w:val="18"/>
          <w:szCs w:val="18"/>
        </w:rPr>
        <w:t>500 to &lt; 5,000</w:t>
      </w:r>
    </w:p>
    <w:p w14:paraId="0929121B" w14:textId="31F01701" w:rsidR="005B3215" w:rsidRPr="00AD5A27" w:rsidRDefault="005B3215" w:rsidP="005B3215">
      <w:pPr>
        <w:pStyle w:val="3-BodyText"/>
      </w:pPr>
      <w:r w:rsidRPr="00AD5A27">
        <w:fldChar w:fldCharType="begin" w:fldLock="1"/>
      </w:r>
      <w:r w:rsidRPr="00AD5A27">
        <w:instrText xml:space="preserve"> REF _Ref153209149 \h  \* MERGEFORMAT </w:instrText>
      </w:r>
      <w:r w:rsidRPr="00AD5A27">
        <w:fldChar w:fldCharType="separate"/>
      </w:r>
      <w:r w:rsidR="00B510E9" w:rsidRPr="00AD5A27">
        <w:t>Table 17</w:t>
      </w:r>
      <w:r w:rsidRPr="00AD5A27">
        <w:fldChar w:fldCharType="end"/>
      </w:r>
      <w:r w:rsidRPr="00AD5A27">
        <w:t xml:space="preserve"> presents a summary of the estimated use and financial implications in the resubmission. </w:t>
      </w:r>
    </w:p>
    <w:p w14:paraId="07A83881" w14:textId="6AB25E3F" w:rsidR="005B3215" w:rsidRPr="00AD5A27" w:rsidRDefault="005B3215" w:rsidP="005B3215">
      <w:pPr>
        <w:pStyle w:val="Caption"/>
      </w:pPr>
      <w:bookmarkStart w:id="82" w:name="_Ref153209149"/>
      <w:r w:rsidRPr="00AD5A27">
        <w:lastRenderedPageBreak/>
        <w:t xml:space="preserve">Table </w:t>
      </w:r>
      <w:r w:rsidR="004050E4">
        <w:fldChar w:fldCharType="begin" w:fldLock="1"/>
      </w:r>
      <w:r w:rsidR="004050E4">
        <w:instrText xml:space="preserve"> SEQ Table \* ARABIC </w:instrText>
      </w:r>
      <w:r w:rsidR="004050E4">
        <w:fldChar w:fldCharType="separate"/>
      </w:r>
      <w:r w:rsidR="00B510E9" w:rsidRPr="00AD5A27">
        <w:t>17</w:t>
      </w:r>
      <w:r w:rsidR="004050E4">
        <w:fldChar w:fldCharType="end"/>
      </w:r>
      <w:bookmarkEnd w:id="82"/>
      <w:r w:rsidRPr="00AD5A27">
        <w:t>:</w:t>
      </w:r>
      <w:r w:rsidRPr="00AD5A27">
        <w:rPr>
          <w:rStyle w:val="CommentReference"/>
          <w:b/>
          <w:szCs w:val="24"/>
        </w:rPr>
        <w:t xml:space="preserve"> Estimated use and financial implications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Estimated use and financial implications in the resubmission"/>
      </w:tblPr>
      <w:tblGrid>
        <w:gridCol w:w="2402"/>
        <w:gridCol w:w="1102"/>
        <w:gridCol w:w="1102"/>
        <w:gridCol w:w="1102"/>
        <w:gridCol w:w="1102"/>
        <w:gridCol w:w="1102"/>
        <w:gridCol w:w="1105"/>
      </w:tblGrid>
      <w:tr w:rsidR="005B3215" w:rsidRPr="00AD5A27" w14:paraId="195B3468" w14:textId="77777777" w:rsidTr="005333FF">
        <w:trPr>
          <w:tblHeader/>
        </w:trPr>
        <w:tc>
          <w:tcPr>
            <w:tcW w:w="1332" w:type="pct"/>
            <w:tcBorders>
              <w:bottom w:val="nil"/>
            </w:tcBorders>
            <w:shd w:val="clear" w:color="auto" w:fill="auto"/>
            <w:vAlign w:val="center"/>
          </w:tcPr>
          <w:p w14:paraId="5B8C6429" w14:textId="77777777" w:rsidR="005B3215" w:rsidRPr="00AD5A27" w:rsidRDefault="005B3215" w:rsidP="007360EF">
            <w:pPr>
              <w:pStyle w:val="In-tableHeading"/>
              <w:jc w:val="center"/>
              <w:rPr>
                <w:szCs w:val="20"/>
                <w:lang w:val="en-AU"/>
              </w:rPr>
            </w:pPr>
          </w:p>
        </w:tc>
        <w:tc>
          <w:tcPr>
            <w:tcW w:w="611" w:type="pct"/>
            <w:shd w:val="clear" w:color="auto" w:fill="auto"/>
            <w:vAlign w:val="center"/>
          </w:tcPr>
          <w:p w14:paraId="33EB54AF" w14:textId="77777777" w:rsidR="005B3215" w:rsidRPr="00AD5A27" w:rsidRDefault="005B3215" w:rsidP="007360EF">
            <w:pPr>
              <w:pStyle w:val="In-tableHeading"/>
              <w:jc w:val="center"/>
              <w:rPr>
                <w:szCs w:val="20"/>
                <w:lang w:val="en-AU"/>
              </w:rPr>
            </w:pPr>
            <w:r w:rsidRPr="00AD5A27">
              <w:rPr>
                <w:szCs w:val="20"/>
                <w:lang w:val="en-AU"/>
              </w:rPr>
              <w:t>2024</w:t>
            </w:r>
          </w:p>
        </w:tc>
        <w:tc>
          <w:tcPr>
            <w:tcW w:w="611" w:type="pct"/>
            <w:shd w:val="clear" w:color="auto" w:fill="auto"/>
            <w:vAlign w:val="center"/>
          </w:tcPr>
          <w:p w14:paraId="661C849B" w14:textId="77777777" w:rsidR="005B3215" w:rsidRPr="00AD5A27" w:rsidRDefault="005B3215" w:rsidP="007360EF">
            <w:pPr>
              <w:pStyle w:val="In-tableHeading"/>
              <w:jc w:val="center"/>
              <w:rPr>
                <w:szCs w:val="20"/>
                <w:lang w:val="en-AU"/>
              </w:rPr>
            </w:pPr>
            <w:r w:rsidRPr="00AD5A27">
              <w:rPr>
                <w:szCs w:val="20"/>
                <w:lang w:val="en-AU"/>
              </w:rPr>
              <w:t>2025</w:t>
            </w:r>
          </w:p>
        </w:tc>
        <w:tc>
          <w:tcPr>
            <w:tcW w:w="611" w:type="pct"/>
            <w:shd w:val="clear" w:color="auto" w:fill="auto"/>
            <w:vAlign w:val="center"/>
          </w:tcPr>
          <w:p w14:paraId="6F180FA3" w14:textId="77777777" w:rsidR="005B3215" w:rsidRPr="00AD5A27" w:rsidRDefault="005B3215" w:rsidP="007360EF">
            <w:pPr>
              <w:pStyle w:val="In-tableHeading"/>
              <w:jc w:val="center"/>
              <w:rPr>
                <w:szCs w:val="20"/>
                <w:lang w:val="en-AU"/>
              </w:rPr>
            </w:pPr>
            <w:r w:rsidRPr="00AD5A27">
              <w:rPr>
                <w:szCs w:val="20"/>
                <w:lang w:val="en-AU"/>
              </w:rPr>
              <w:t>2026</w:t>
            </w:r>
          </w:p>
        </w:tc>
        <w:tc>
          <w:tcPr>
            <w:tcW w:w="611" w:type="pct"/>
            <w:shd w:val="clear" w:color="auto" w:fill="auto"/>
            <w:vAlign w:val="center"/>
          </w:tcPr>
          <w:p w14:paraId="091CDE8C" w14:textId="77777777" w:rsidR="005B3215" w:rsidRPr="00AD5A27" w:rsidRDefault="005B3215" w:rsidP="007360EF">
            <w:pPr>
              <w:pStyle w:val="In-tableHeading"/>
              <w:jc w:val="center"/>
              <w:rPr>
                <w:szCs w:val="20"/>
                <w:lang w:val="en-AU"/>
              </w:rPr>
            </w:pPr>
            <w:r w:rsidRPr="00AD5A27">
              <w:rPr>
                <w:szCs w:val="20"/>
                <w:lang w:val="en-AU"/>
              </w:rPr>
              <w:t>2027</w:t>
            </w:r>
          </w:p>
        </w:tc>
        <w:tc>
          <w:tcPr>
            <w:tcW w:w="611" w:type="pct"/>
            <w:shd w:val="clear" w:color="auto" w:fill="auto"/>
            <w:vAlign w:val="center"/>
          </w:tcPr>
          <w:p w14:paraId="33925DED" w14:textId="77777777" w:rsidR="005B3215" w:rsidRPr="00AD5A27" w:rsidRDefault="005B3215" w:rsidP="007360EF">
            <w:pPr>
              <w:pStyle w:val="In-tableHeading"/>
              <w:jc w:val="center"/>
              <w:rPr>
                <w:szCs w:val="20"/>
                <w:lang w:val="en-AU"/>
              </w:rPr>
            </w:pPr>
            <w:r w:rsidRPr="00AD5A27">
              <w:rPr>
                <w:szCs w:val="20"/>
                <w:lang w:val="en-AU"/>
              </w:rPr>
              <w:t>2028</w:t>
            </w:r>
          </w:p>
        </w:tc>
        <w:tc>
          <w:tcPr>
            <w:tcW w:w="613" w:type="pct"/>
            <w:shd w:val="clear" w:color="auto" w:fill="auto"/>
            <w:vAlign w:val="center"/>
          </w:tcPr>
          <w:p w14:paraId="112A285D" w14:textId="77777777" w:rsidR="005B3215" w:rsidRPr="00AD5A27" w:rsidRDefault="005B3215" w:rsidP="007360EF">
            <w:pPr>
              <w:pStyle w:val="In-tableHeading"/>
              <w:jc w:val="center"/>
              <w:rPr>
                <w:szCs w:val="20"/>
                <w:lang w:val="en-AU"/>
              </w:rPr>
            </w:pPr>
            <w:r w:rsidRPr="00AD5A27">
              <w:rPr>
                <w:szCs w:val="20"/>
                <w:lang w:val="en-AU"/>
              </w:rPr>
              <w:t>2029</w:t>
            </w:r>
          </w:p>
        </w:tc>
      </w:tr>
      <w:tr w:rsidR="005B3215" w:rsidRPr="00AD5A27" w14:paraId="0204BEFE" w14:textId="77777777" w:rsidTr="005333FF">
        <w:trPr>
          <w:tblHeader/>
        </w:trPr>
        <w:tc>
          <w:tcPr>
            <w:tcW w:w="1332" w:type="pct"/>
            <w:tcBorders>
              <w:top w:val="nil"/>
            </w:tcBorders>
            <w:shd w:val="clear" w:color="auto" w:fill="auto"/>
            <w:vAlign w:val="center"/>
          </w:tcPr>
          <w:p w14:paraId="5AF62B3C" w14:textId="77777777" w:rsidR="005B3215" w:rsidRPr="00AD5A27" w:rsidRDefault="005B3215" w:rsidP="007360EF">
            <w:pPr>
              <w:pStyle w:val="In-tableHeading"/>
              <w:jc w:val="center"/>
              <w:rPr>
                <w:szCs w:val="20"/>
                <w:lang w:val="en-AU"/>
              </w:rPr>
            </w:pPr>
          </w:p>
        </w:tc>
        <w:tc>
          <w:tcPr>
            <w:tcW w:w="611" w:type="pct"/>
            <w:shd w:val="clear" w:color="auto" w:fill="auto"/>
            <w:vAlign w:val="center"/>
          </w:tcPr>
          <w:p w14:paraId="30E57224" w14:textId="77777777" w:rsidR="005B3215" w:rsidRPr="00AD5A27" w:rsidRDefault="005B3215" w:rsidP="007360EF">
            <w:pPr>
              <w:pStyle w:val="In-tableHeading"/>
              <w:jc w:val="center"/>
              <w:rPr>
                <w:szCs w:val="20"/>
                <w:lang w:val="en-AU"/>
              </w:rPr>
            </w:pPr>
            <w:r w:rsidRPr="00AD5A27">
              <w:rPr>
                <w:szCs w:val="20"/>
                <w:lang w:val="en-AU"/>
              </w:rPr>
              <w:t>Year 1</w:t>
            </w:r>
          </w:p>
        </w:tc>
        <w:tc>
          <w:tcPr>
            <w:tcW w:w="611" w:type="pct"/>
            <w:shd w:val="clear" w:color="auto" w:fill="auto"/>
            <w:vAlign w:val="center"/>
          </w:tcPr>
          <w:p w14:paraId="6D58A4A5" w14:textId="77777777" w:rsidR="005B3215" w:rsidRPr="00AD5A27" w:rsidRDefault="005B3215" w:rsidP="007360EF">
            <w:pPr>
              <w:pStyle w:val="In-tableHeading"/>
              <w:jc w:val="center"/>
              <w:rPr>
                <w:szCs w:val="20"/>
                <w:lang w:val="en-AU"/>
              </w:rPr>
            </w:pPr>
            <w:r w:rsidRPr="00AD5A27">
              <w:rPr>
                <w:szCs w:val="20"/>
                <w:lang w:val="en-AU"/>
              </w:rPr>
              <w:t>Year 2</w:t>
            </w:r>
          </w:p>
        </w:tc>
        <w:tc>
          <w:tcPr>
            <w:tcW w:w="611" w:type="pct"/>
            <w:shd w:val="clear" w:color="auto" w:fill="auto"/>
            <w:vAlign w:val="center"/>
          </w:tcPr>
          <w:p w14:paraId="7CB13869" w14:textId="77777777" w:rsidR="005B3215" w:rsidRPr="00AD5A27" w:rsidRDefault="005B3215" w:rsidP="007360EF">
            <w:pPr>
              <w:pStyle w:val="In-tableHeading"/>
              <w:jc w:val="center"/>
              <w:rPr>
                <w:szCs w:val="20"/>
                <w:lang w:val="en-AU"/>
              </w:rPr>
            </w:pPr>
            <w:r w:rsidRPr="00AD5A27">
              <w:rPr>
                <w:szCs w:val="20"/>
                <w:lang w:val="en-AU"/>
              </w:rPr>
              <w:t>Year 3</w:t>
            </w:r>
          </w:p>
        </w:tc>
        <w:tc>
          <w:tcPr>
            <w:tcW w:w="611" w:type="pct"/>
            <w:shd w:val="clear" w:color="auto" w:fill="auto"/>
            <w:vAlign w:val="center"/>
          </w:tcPr>
          <w:p w14:paraId="35CE18B2" w14:textId="77777777" w:rsidR="005B3215" w:rsidRPr="00AD5A27" w:rsidRDefault="005B3215" w:rsidP="007360EF">
            <w:pPr>
              <w:pStyle w:val="In-tableHeading"/>
              <w:jc w:val="center"/>
              <w:rPr>
                <w:szCs w:val="20"/>
                <w:lang w:val="en-AU"/>
              </w:rPr>
            </w:pPr>
            <w:r w:rsidRPr="00AD5A27">
              <w:rPr>
                <w:szCs w:val="20"/>
                <w:lang w:val="en-AU"/>
              </w:rPr>
              <w:t>Year 4</w:t>
            </w:r>
          </w:p>
        </w:tc>
        <w:tc>
          <w:tcPr>
            <w:tcW w:w="611" w:type="pct"/>
            <w:shd w:val="clear" w:color="auto" w:fill="auto"/>
            <w:vAlign w:val="center"/>
          </w:tcPr>
          <w:p w14:paraId="3E962494" w14:textId="77777777" w:rsidR="005B3215" w:rsidRPr="00AD5A27" w:rsidRDefault="005B3215" w:rsidP="007360EF">
            <w:pPr>
              <w:pStyle w:val="In-tableHeading"/>
              <w:jc w:val="center"/>
              <w:rPr>
                <w:szCs w:val="20"/>
                <w:lang w:val="en-AU"/>
              </w:rPr>
            </w:pPr>
            <w:r w:rsidRPr="00AD5A27">
              <w:rPr>
                <w:szCs w:val="20"/>
                <w:lang w:val="en-AU"/>
              </w:rPr>
              <w:t>Year 5</w:t>
            </w:r>
          </w:p>
        </w:tc>
        <w:tc>
          <w:tcPr>
            <w:tcW w:w="613" w:type="pct"/>
          </w:tcPr>
          <w:p w14:paraId="21061949" w14:textId="77777777" w:rsidR="005B3215" w:rsidRPr="00AD5A27" w:rsidRDefault="005B3215" w:rsidP="007360EF">
            <w:pPr>
              <w:pStyle w:val="In-tableHeading"/>
              <w:jc w:val="center"/>
              <w:rPr>
                <w:szCs w:val="20"/>
                <w:lang w:val="en-AU"/>
              </w:rPr>
            </w:pPr>
            <w:r w:rsidRPr="00AD5A27">
              <w:rPr>
                <w:szCs w:val="20"/>
                <w:lang w:val="en-AU"/>
              </w:rPr>
              <w:t>Year 6</w:t>
            </w:r>
          </w:p>
        </w:tc>
      </w:tr>
      <w:tr w:rsidR="005B3215" w:rsidRPr="00AD5A27" w14:paraId="5F602758" w14:textId="77777777" w:rsidTr="007360EF">
        <w:tc>
          <w:tcPr>
            <w:tcW w:w="5000" w:type="pct"/>
            <w:gridSpan w:val="7"/>
            <w:tcBorders>
              <w:bottom w:val="single" w:sz="4" w:space="0" w:color="auto"/>
            </w:tcBorders>
            <w:shd w:val="clear" w:color="auto" w:fill="auto"/>
            <w:vAlign w:val="center"/>
          </w:tcPr>
          <w:p w14:paraId="0B1FD5F7" w14:textId="77777777" w:rsidR="005B3215" w:rsidRPr="00AD5A27" w:rsidRDefault="005B3215" w:rsidP="007360EF">
            <w:pPr>
              <w:pStyle w:val="In-tableHeading"/>
              <w:rPr>
                <w:bCs/>
                <w:color w:val="000000"/>
                <w:szCs w:val="20"/>
                <w:lang w:val="en-AU"/>
              </w:rPr>
            </w:pPr>
            <w:r w:rsidRPr="00AD5A27">
              <w:rPr>
                <w:bCs/>
                <w:color w:val="000000"/>
                <w:szCs w:val="20"/>
                <w:lang w:val="en-AU"/>
              </w:rPr>
              <w:t>Estimated extent of use</w:t>
            </w:r>
          </w:p>
        </w:tc>
      </w:tr>
      <w:tr w:rsidR="005B3215" w:rsidRPr="00AD5A27" w14:paraId="6D85C7B0" w14:textId="77777777" w:rsidTr="005333FF">
        <w:tc>
          <w:tcPr>
            <w:tcW w:w="1332" w:type="pct"/>
            <w:tcBorders>
              <w:bottom w:val="single" w:sz="4" w:space="0" w:color="auto"/>
              <w:right w:val="nil"/>
            </w:tcBorders>
            <w:shd w:val="clear" w:color="auto" w:fill="auto"/>
            <w:vAlign w:val="center"/>
          </w:tcPr>
          <w:p w14:paraId="06D237CD" w14:textId="77777777" w:rsidR="005B3215" w:rsidRPr="00AD5A27" w:rsidRDefault="005B3215" w:rsidP="007360EF">
            <w:pPr>
              <w:pStyle w:val="TableText0"/>
              <w:rPr>
                <w:szCs w:val="20"/>
              </w:rPr>
            </w:pPr>
            <w:r w:rsidRPr="00AD5A27">
              <w:rPr>
                <w:szCs w:val="20"/>
              </w:rPr>
              <w:t>Number of patients treated</w:t>
            </w:r>
          </w:p>
        </w:tc>
        <w:tc>
          <w:tcPr>
            <w:tcW w:w="611" w:type="pct"/>
            <w:tcBorders>
              <w:left w:val="nil"/>
              <w:bottom w:val="single" w:sz="4" w:space="0" w:color="auto"/>
              <w:right w:val="nil"/>
            </w:tcBorders>
            <w:vAlign w:val="center"/>
          </w:tcPr>
          <w:p w14:paraId="49B359B0" w14:textId="77777777" w:rsidR="005B3215" w:rsidRPr="00AD5A27" w:rsidRDefault="005B3215" w:rsidP="007360EF">
            <w:pPr>
              <w:pStyle w:val="TableText0"/>
              <w:jc w:val="center"/>
              <w:rPr>
                <w:szCs w:val="20"/>
              </w:rPr>
            </w:pPr>
          </w:p>
        </w:tc>
        <w:tc>
          <w:tcPr>
            <w:tcW w:w="611" w:type="pct"/>
            <w:tcBorders>
              <w:left w:val="nil"/>
              <w:bottom w:val="single" w:sz="4" w:space="0" w:color="auto"/>
              <w:right w:val="nil"/>
            </w:tcBorders>
            <w:vAlign w:val="center"/>
          </w:tcPr>
          <w:p w14:paraId="008480D8" w14:textId="77777777" w:rsidR="005B3215" w:rsidRPr="00AD5A27" w:rsidRDefault="005B3215" w:rsidP="007360EF">
            <w:pPr>
              <w:pStyle w:val="TableText0"/>
              <w:jc w:val="center"/>
              <w:rPr>
                <w:szCs w:val="20"/>
              </w:rPr>
            </w:pPr>
          </w:p>
        </w:tc>
        <w:tc>
          <w:tcPr>
            <w:tcW w:w="611" w:type="pct"/>
            <w:tcBorders>
              <w:left w:val="nil"/>
              <w:bottom w:val="single" w:sz="4" w:space="0" w:color="auto"/>
              <w:right w:val="nil"/>
            </w:tcBorders>
            <w:vAlign w:val="center"/>
          </w:tcPr>
          <w:p w14:paraId="764F9204" w14:textId="77777777" w:rsidR="005B3215" w:rsidRPr="00AD5A27" w:rsidRDefault="005B3215" w:rsidP="007360EF">
            <w:pPr>
              <w:pStyle w:val="TableText0"/>
              <w:jc w:val="center"/>
              <w:rPr>
                <w:szCs w:val="20"/>
              </w:rPr>
            </w:pPr>
          </w:p>
        </w:tc>
        <w:tc>
          <w:tcPr>
            <w:tcW w:w="611" w:type="pct"/>
            <w:tcBorders>
              <w:left w:val="nil"/>
              <w:bottom w:val="single" w:sz="4" w:space="0" w:color="auto"/>
              <w:right w:val="nil"/>
            </w:tcBorders>
            <w:vAlign w:val="center"/>
          </w:tcPr>
          <w:p w14:paraId="65A1A275" w14:textId="77777777" w:rsidR="005B3215" w:rsidRPr="00AD5A27" w:rsidRDefault="005B3215" w:rsidP="007360EF">
            <w:pPr>
              <w:pStyle w:val="TableText0"/>
              <w:jc w:val="center"/>
              <w:rPr>
                <w:szCs w:val="20"/>
              </w:rPr>
            </w:pPr>
          </w:p>
        </w:tc>
        <w:tc>
          <w:tcPr>
            <w:tcW w:w="611" w:type="pct"/>
            <w:tcBorders>
              <w:left w:val="nil"/>
              <w:bottom w:val="single" w:sz="4" w:space="0" w:color="auto"/>
              <w:right w:val="nil"/>
            </w:tcBorders>
            <w:vAlign w:val="center"/>
          </w:tcPr>
          <w:p w14:paraId="04E24364" w14:textId="77777777" w:rsidR="005B3215" w:rsidRPr="00AD5A27" w:rsidRDefault="005B3215" w:rsidP="007360EF">
            <w:pPr>
              <w:pStyle w:val="TableText0"/>
              <w:jc w:val="center"/>
              <w:rPr>
                <w:szCs w:val="20"/>
              </w:rPr>
            </w:pPr>
          </w:p>
        </w:tc>
        <w:tc>
          <w:tcPr>
            <w:tcW w:w="613" w:type="pct"/>
            <w:tcBorders>
              <w:left w:val="nil"/>
              <w:bottom w:val="single" w:sz="4" w:space="0" w:color="auto"/>
            </w:tcBorders>
            <w:vAlign w:val="center"/>
          </w:tcPr>
          <w:p w14:paraId="7740017B" w14:textId="77777777" w:rsidR="005B3215" w:rsidRPr="00AD5A27" w:rsidRDefault="005B3215" w:rsidP="007360EF">
            <w:pPr>
              <w:pStyle w:val="TableText0"/>
              <w:jc w:val="center"/>
              <w:rPr>
                <w:szCs w:val="20"/>
              </w:rPr>
            </w:pPr>
          </w:p>
        </w:tc>
      </w:tr>
      <w:tr w:rsidR="005B3215" w:rsidRPr="00AD5A27" w14:paraId="03F78E76" w14:textId="77777777" w:rsidTr="005333FF">
        <w:tc>
          <w:tcPr>
            <w:tcW w:w="1332" w:type="pct"/>
            <w:tcBorders>
              <w:bottom w:val="nil"/>
              <w:right w:val="single" w:sz="4" w:space="0" w:color="auto"/>
            </w:tcBorders>
            <w:shd w:val="clear" w:color="auto" w:fill="auto"/>
            <w:vAlign w:val="center"/>
          </w:tcPr>
          <w:p w14:paraId="404A9C74" w14:textId="77777777" w:rsidR="005B3215" w:rsidRPr="00AD5A27" w:rsidRDefault="005B3215" w:rsidP="007360EF">
            <w:pPr>
              <w:pStyle w:val="TableText0"/>
              <w:ind w:left="113"/>
              <w:rPr>
                <w:szCs w:val="20"/>
              </w:rPr>
            </w:pPr>
            <w:r w:rsidRPr="00AD5A27">
              <w:rPr>
                <w:szCs w:val="20"/>
              </w:rPr>
              <w:t>Adult patients</w:t>
            </w:r>
          </w:p>
        </w:tc>
        <w:tc>
          <w:tcPr>
            <w:tcW w:w="611" w:type="pct"/>
            <w:tcBorders>
              <w:top w:val="single" w:sz="4" w:space="0" w:color="auto"/>
              <w:left w:val="single" w:sz="4" w:space="0" w:color="auto"/>
              <w:bottom w:val="nil"/>
              <w:right w:val="single" w:sz="4" w:space="0" w:color="auto"/>
            </w:tcBorders>
            <w:shd w:val="clear" w:color="auto" w:fill="auto"/>
            <w:vAlign w:val="center"/>
          </w:tcPr>
          <w:p w14:paraId="0960EF2D" w14:textId="3228301D" w:rsidR="005B3215" w:rsidRPr="00A95BF9" w:rsidRDefault="00860BB2" w:rsidP="007360EF">
            <w:pPr>
              <w:pStyle w:val="TableText0"/>
              <w:jc w:val="center"/>
              <w:rPr>
                <w:szCs w:val="20"/>
                <w:highlight w:val="lightGray"/>
              </w:rPr>
            </w:pPr>
            <w:r w:rsidRPr="00860BB2">
              <w:rPr>
                <w:rFonts w:cs="Calibri" w:hint="eastAsia"/>
                <w:color w:val="000000"/>
                <w:w w:val="15"/>
                <w:szCs w:val="20"/>
                <w:shd w:val="solid" w:color="000000" w:fill="000000"/>
                <w:fitText w:val="50" w:id="-961901040"/>
                <w14:textFill>
                  <w14:solidFill>
                    <w14:srgbClr w14:val="000000">
                      <w14:alpha w14:val="100000"/>
                    </w14:srgbClr>
                  </w14:solidFill>
                </w14:textFill>
              </w:rPr>
              <w:t xml:space="preserve">　</w:t>
            </w:r>
            <w:r w:rsidRPr="00860BB2">
              <w:rPr>
                <w:rFonts w:cs="Calibri"/>
                <w:color w:val="000000"/>
                <w:w w:val="15"/>
                <w:szCs w:val="20"/>
                <w:shd w:val="solid" w:color="000000" w:fill="000000"/>
                <w:fitText w:val="50" w:id="-961901040"/>
                <w14:textFill>
                  <w14:solidFill>
                    <w14:srgbClr w14:val="000000">
                      <w14:alpha w14:val="100000"/>
                    </w14:srgbClr>
                  </w14:solidFill>
                </w14:textFill>
              </w:rPr>
              <w:t>|</w:t>
            </w:r>
            <w:r w:rsidRPr="00860BB2">
              <w:rPr>
                <w:rFonts w:cs="Calibri" w:hint="eastAsia"/>
                <w:color w:val="000000"/>
                <w:spacing w:val="-15"/>
                <w:w w:val="15"/>
                <w:szCs w:val="20"/>
                <w:shd w:val="solid" w:color="000000" w:fill="000000"/>
                <w:fitText w:val="50" w:id="-961901040"/>
                <w14:textFill>
                  <w14:solidFill>
                    <w14:srgbClr w14:val="000000">
                      <w14:alpha w14:val="100000"/>
                    </w14:srgbClr>
                  </w14:solidFill>
                </w14:textFill>
              </w:rPr>
              <w:t xml:space="preserve">　</w:t>
            </w:r>
            <w:r w:rsidR="00B85435" w:rsidRPr="00B85435">
              <w:rPr>
                <w:rFonts w:cs="Calibri"/>
                <w:color w:val="000000"/>
                <w:szCs w:val="20"/>
                <w:vertAlign w:val="superscript"/>
              </w:rPr>
              <w:t>1</w:t>
            </w:r>
          </w:p>
        </w:tc>
        <w:tc>
          <w:tcPr>
            <w:tcW w:w="611" w:type="pct"/>
            <w:tcBorders>
              <w:top w:val="single" w:sz="4" w:space="0" w:color="auto"/>
              <w:left w:val="single" w:sz="4" w:space="0" w:color="auto"/>
              <w:bottom w:val="nil"/>
              <w:right w:val="single" w:sz="4" w:space="0" w:color="auto"/>
            </w:tcBorders>
            <w:shd w:val="clear" w:color="auto" w:fill="auto"/>
            <w:vAlign w:val="center"/>
          </w:tcPr>
          <w:p w14:paraId="66C44D70" w14:textId="5CB50394" w:rsidR="005B3215" w:rsidRPr="00A95BF9" w:rsidRDefault="00860BB2" w:rsidP="007360EF">
            <w:pPr>
              <w:pStyle w:val="TableText0"/>
              <w:jc w:val="center"/>
              <w:rPr>
                <w:szCs w:val="20"/>
                <w:highlight w:val="lightGray"/>
              </w:rPr>
            </w:pPr>
            <w:r w:rsidRPr="00860BB2">
              <w:rPr>
                <w:rFonts w:cs="Calibri" w:hint="eastAsia"/>
                <w:color w:val="000000"/>
                <w:w w:val="15"/>
                <w:szCs w:val="20"/>
                <w:shd w:val="solid" w:color="000000" w:fill="000000"/>
                <w:fitText w:val="50" w:id="-961901056"/>
                <w14:textFill>
                  <w14:solidFill>
                    <w14:srgbClr w14:val="000000">
                      <w14:alpha w14:val="100000"/>
                    </w14:srgbClr>
                  </w14:solidFill>
                </w14:textFill>
              </w:rPr>
              <w:t xml:space="preserve">　</w:t>
            </w:r>
            <w:r w:rsidRPr="00860BB2">
              <w:rPr>
                <w:rFonts w:cs="Calibri"/>
                <w:color w:val="000000"/>
                <w:w w:val="15"/>
                <w:szCs w:val="20"/>
                <w:shd w:val="solid" w:color="000000" w:fill="000000"/>
                <w:fitText w:val="50" w:id="-961901056"/>
                <w14:textFill>
                  <w14:solidFill>
                    <w14:srgbClr w14:val="000000">
                      <w14:alpha w14:val="100000"/>
                    </w14:srgbClr>
                  </w14:solidFill>
                </w14:textFill>
              </w:rPr>
              <w:t>|</w:t>
            </w:r>
            <w:r w:rsidRPr="00860BB2">
              <w:rPr>
                <w:rFonts w:cs="Calibri" w:hint="eastAsia"/>
                <w:color w:val="000000"/>
                <w:spacing w:val="-15"/>
                <w:w w:val="15"/>
                <w:szCs w:val="20"/>
                <w:shd w:val="solid" w:color="000000" w:fill="000000"/>
                <w:fitText w:val="50" w:id="-961901056"/>
                <w14:textFill>
                  <w14:solidFill>
                    <w14:srgbClr w14:val="000000">
                      <w14:alpha w14:val="100000"/>
                    </w14:srgbClr>
                  </w14:solidFill>
                </w14:textFill>
              </w:rPr>
              <w:t xml:space="preserve">　</w:t>
            </w:r>
            <w:r w:rsidR="00B85435" w:rsidRPr="00B85435">
              <w:rPr>
                <w:rFonts w:cs="Calibri"/>
                <w:color w:val="000000"/>
                <w:szCs w:val="20"/>
                <w:vertAlign w:val="superscript"/>
              </w:rPr>
              <w:t>1</w:t>
            </w:r>
          </w:p>
        </w:tc>
        <w:tc>
          <w:tcPr>
            <w:tcW w:w="611" w:type="pct"/>
            <w:tcBorders>
              <w:top w:val="single" w:sz="4" w:space="0" w:color="auto"/>
              <w:left w:val="single" w:sz="4" w:space="0" w:color="auto"/>
              <w:bottom w:val="nil"/>
              <w:right w:val="single" w:sz="4" w:space="0" w:color="auto"/>
            </w:tcBorders>
            <w:shd w:val="clear" w:color="auto" w:fill="auto"/>
            <w:vAlign w:val="center"/>
          </w:tcPr>
          <w:p w14:paraId="13DBB574" w14:textId="75842823" w:rsidR="005B3215" w:rsidRPr="00A95BF9" w:rsidRDefault="00860BB2" w:rsidP="007360EF">
            <w:pPr>
              <w:pStyle w:val="TableText0"/>
              <w:jc w:val="center"/>
              <w:rPr>
                <w:szCs w:val="20"/>
                <w:highlight w:val="lightGray"/>
              </w:rPr>
            </w:pPr>
            <w:r w:rsidRPr="00860BB2">
              <w:rPr>
                <w:rFonts w:cs="Calibri" w:hint="eastAsia"/>
                <w:color w:val="000000"/>
                <w:w w:val="15"/>
                <w:szCs w:val="20"/>
                <w:shd w:val="solid" w:color="000000" w:fill="000000"/>
                <w:fitText w:val="50" w:id="-961901055"/>
                <w14:textFill>
                  <w14:solidFill>
                    <w14:srgbClr w14:val="000000">
                      <w14:alpha w14:val="100000"/>
                    </w14:srgbClr>
                  </w14:solidFill>
                </w14:textFill>
              </w:rPr>
              <w:t xml:space="preserve">　</w:t>
            </w:r>
            <w:r w:rsidRPr="00860BB2">
              <w:rPr>
                <w:rFonts w:cs="Calibri"/>
                <w:color w:val="000000"/>
                <w:w w:val="15"/>
                <w:szCs w:val="20"/>
                <w:shd w:val="solid" w:color="000000" w:fill="000000"/>
                <w:fitText w:val="50" w:id="-961901055"/>
                <w14:textFill>
                  <w14:solidFill>
                    <w14:srgbClr w14:val="000000">
                      <w14:alpha w14:val="100000"/>
                    </w14:srgbClr>
                  </w14:solidFill>
                </w14:textFill>
              </w:rPr>
              <w:t>|</w:t>
            </w:r>
            <w:r w:rsidRPr="00860BB2">
              <w:rPr>
                <w:rFonts w:cs="Calibri" w:hint="eastAsia"/>
                <w:color w:val="000000"/>
                <w:spacing w:val="-15"/>
                <w:w w:val="15"/>
                <w:szCs w:val="20"/>
                <w:shd w:val="solid" w:color="000000" w:fill="000000"/>
                <w:fitText w:val="50" w:id="-961901055"/>
                <w14:textFill>
                  <w14:solidFill>
                    <w14:srgbClr w14:val="000000">
                      <w14:alpha w14:val="100000"/>
                    </w14:srgbClr>
                  </w14:solidFill>
                </w14:textFill>
              </w:rPr>
              <w:t xml:space="preserve">　</w:t>
            </w:r>
            <w:r w:rsidR="00B85435" w:rsidRPr="00B85435">
              <w:rPr>
                <w:rFonts w:cs="Calibri"/>
                <w:color w:val="000000"/>
                <w:szCs w:val="20"/>
                <w:vertAlign w:val="superscript"/>
              </w:rPr>
              <w:t>1</w:t>
            </w:r>
          </w:p>
        </w:tc>
        <w:tc>
          <w:tcPr>
            <w:tcW w:w="611" w:type="pct"/>
            <w:tcBorders>
              <w:top w:val="single" w:sz="4" w:space="0" w:color="auto"/>
              <w:left w:val="single" w:sz="4" w:space="0" w:color="auto"/>
              <w:bottom w:val="nil"/>
              <w:right w:val="single" w:sz="4" w:space="0" w:color="auto"/>
            </w:tcBorders>
            <w:shd w:val="clear" w:color="auto" w:fill="auto"/>
            <w:vAlign w:val="center"/>
          </w:tcPr>
          <w:p w14:paraId="6ECCEEF7" w14:textId="5D6023D4" w:rsidR="005B3215" w:rsidRPr="00A95BF9" w:rsidRDefault="00860BB2" w:rsidP="007360EF">
            <w:pPr>
              <w:pStyle w:val="TableText0"/>
              <w:jc w:val="center"/>
              <w:rPr>
                <w:szCs w:val="20"/>
                <w:highlight w:val="lightGray"/>
              </w:rPr>
            </w:pPr>
            <w:r w:rsidRPr="00860BB2">
              <w:rPr>
                <w:rFonts w:cs="Calibri" w:hint="eastAsia"/>
                <w:color w:val="000000"/>
                <w:w w:val="15"/>
                <w:szCs w:val="20"/>
                <w:shd w:val="solid" w:color="000000" w:fill="000000"/>
                <w:fitText w:val="50" w:id="-961901054"/>
                <w14:textFill>
                  <w14:solidFill>
                    <w14:srgbClr w14:val="000000">
                      <w14:alpha w14:val="100000"/>
                    </w14:srgbClr>
                  </w14:solidFill>
                </w14:textFill>
              </w:rPr>
              <w:t xml:space="preserve">　</w:t>
            </w:r>
            <w:r w:rsidRPr="00860BB2">
              <w:rPr>
                <w:rFonts w:cs="Calibri"/>
                <w:color w:val="000000"/>
                <w:w w:val="15"/>
                <w:szCs w:val="20"/>
                <w:shd w:val="solid" w:color="000000" w:fill="000000"/>
                <w:fitText w:val="50" w:id="-961901054"/>
                <w14:textFill>
                  <w14:solidFill>
                    <w14:srgbClr w14:val="000000">
                      <w14:alpha w14:val="100000"/>
                    </w14:srgbClr>
                  </w14:solidFill>
                </w14:textFill>
              </w:rPr>
              <w:t>|</w:t>
            </w:r>
            <w:r w:rsidRPr="00860BB2">
              <w:rPr>
                <w:rFonts w:cs="Calibri" w:hint="eastAsia"/>
                <w:color w:val="000000"/>
                <w:spacing w:val="-15"/>
                <w:w w:val="15"/>
                <w:szCs w:val="20"/>
                <w:shd w:val="solid" w:color="000000" w:fill="000000"/>
                <w:fitText w:val="50" w:id="-961901054"/>
                <w14:textFill>
                  <w14:solidFill>
                    <w14:srgbClr w14:val="000000">
                      <w14:alpha w14:val="100000"/>
                    </w14:srgbClr>
                  </w14:solidFill>
                </w14:textFill>
              </w:rPr>
              <w:t xml:space="preserve">　</w:t>
            </w:r>
            <w:r w:rsidR="00B85435" w:rsidRPr="00B85435">
              <w:rPr>
                <w:rFonts w:cs="Calibri"/>
                <w:color w:val="000000"/>
                <w:szCs w:val="20"/>
                <w:vertAlign w:val="superscript"/>
              </w:rPr>
              <w:t>1</w:t>
            </w:r>
          </w:p>
        </w:tc>
        <w:tc>
          <w:tcPr>
            <w:tcW w:w="611" w:type="pct"/>
            <w:tcBorders>
              <w:top w:val="single" w:sz="4" w:space="0" w:color="auto"/>
              <w:left w:val="single" w:sz="4" w:space="0" w:color="auto"/>
              <w:bottom w:val="nil"/>
              <w:right w:val="single" w:sz="4" w:space="0" w:color="auto"/>
            </w:tcBorders>
            <w:shd w:val="clear" w:color="auto" w:fill="auto"/>
            <w:vAlign w:val="center"/>
          </w:tcPr>
          <w:p w14:paraId="46F8730A" w14:textId="043CD7D8" w:rsidR="005B3215" w:rsidRPr="00A95BF9" w:rsidRDefault="00860BB2" w:rsidP="007360EF">
            <w:pPr>
              <w:pStyle w:val="TableText0"/>
              <w:jc w:val="center"/>
              <w:rPr>
                <w:szCs w:val="20"/>
                <w:highlight w:val="lightGray"/>
              </w:rPr>
            </w:pPr>
            <w:r w:rsidRPr="00860BB2">
              <w:rPr>
                <w:rFonts w:cs="Calibri" w:hint="eastAsia"/>
                <w:color w:val="000000"/>
                <w:w w:val="15"/>
                <w:szCs w:val="20"/>
                <w:shd w:val="solid" w:color="000000" w:fill="000000"/>
                <w:fitText w:val="50" w:id="-961901053"/>
                <w14:textFill>
                  <w14:solidFill>
                    <w14:srgbClr w14:val="000000">
                      <w14:alpha w14:val="100000"/>
                    </w14:srgbClr>
                  </w14:solidFill>
                </w14:textFill>
              </w:rPr>
              <w:t xml:space="preserve">　</w:t>
            </w:r>
            <w:r w:rsidRPr="00860BB2">
              <w:rPr>
                <w:rFonts w:cs="Calibri"/>
                <w:color w:val="000000"/>
                <w:w w:val="15"/>
                <w:szCs w:val="20"/>
                <w:shd w:val="solid" w:color="000000" w:fill="000000"/>
                <w:fitText w:val="50" w:id="-961901053"/>
                <w14:textFill>
                  <w14:solidFill>
                    <w14:srgbClr w14:val="000000">
                      <w14:alpha w14:val="100000"/>
                    </w14:srgbClr>
                  </w14:solidFill>
                </w14:textFill>
              </w:rPr>
              <w:t>|</w:t>
            </w:r>
            <w:r w:rsidRPr="00860BB2">
              <w:rPr>
                <w:rFonts w:cs="Calibri" w:hint="eastAsia"/>
                <w:color w:val="000000"/>
                <w:spacing w:val="-15"/>
                <w:w w:val="15"/>
                <w:szCs w:val="20"/>
                <w:shd w:val="solid" w:color="000000" w:fill="000000"/>
                <w:fitText w:val="50" w:id="-961901053"/>
                <w14:textFill>
                  <w14:solidFill>
                    <w14:srgbClr w14:val="000000">
                      <w14:alpha w14:val="100000"/>
                    </w14:srgbClr>
                  </w14:solidFill>
                </w14:textFill>
              </w:rPr>
              <w:t xml:space="preserve">　</w:t>
            </w:r>
            <w:r w:rsidR="00B85435" w:rsidRPr="00B85435">
              <w:rPr>
                <w:rFonts w:cs="Calibri"/>
                <w:color w:val="000000"/>
                <w:szCs w:val="20"/>
                <w:vertAlign w:val="superscript"/>
              </w:rPr>
              <w:t>1</w:t>
            </w:r>
          </w:p>
        </w:tc>
        <w:tc>
          <w:tcPr>
            <w:tcW w:w="613" w:type="pct"/>
            <w:tcBorders>
              <w:top w:val="single" w:sz="4" w:space="0" w:color="auto"/>
              <w:left w:val="single" w:sz="4" w:space="0" w:color="auto"/>
              <w:bottom w:val="nil"/>
              <w:right w:val="single" w:sz="4" w:space="0" w:color="auto"/>
            </w:tcBorders>
            <w:shd w:val="clear" w:color="auto" w:fill="auto"/>
            <w:vAlign w:val="center"/>
          </w:tcPr>
          <w:p w14:paraId="44622378" w14:textId="111B61B7" w:rsidR="005B3215" w:rsidRPr="00A95BF9" w:rsidRDefault="00860BB2" w:rsidP="007360EF">
            <w:pPr>
              <w:pStyle w:val="TableText0"/>
              <w:jc w:val="center"/>
              <w:rPr>
                <w:szCs w:val="20"/>
                <w:highlight w:val="lightGray"/>
              </w:rPr>
            </w:pPr>
            <w:r w:rsidRPr="00860BB2">
              <w:rPr>
                <w:rFonts w:cs="Calibri" w:hint="eastAsia"/>
                <w:color w:val="000000"/>
                <w:w w:val="15"/>
                <w:szCs w:val="20"/>
                <w:shd w:val="solid" w:color="000000" w:fill="000000"/>
                <w:fitText w:val="50" w:id="-961901052"/>
                <w14:textFill>
                  <w14:solidFill>
                    <w14:srgbClr w14:val="000000">
                      <w14:alpha w14:val="100000"/>
                    </w14:srgbClr>
                  </w14:solidFill>
                </w14:textFill>
              </w:rPr>
              <w:t xml:space="preserve">　</w:t>
            </w:r>
            <w:r w:rsidRPr="00860BB2">
              <w:rPr>
                <w:rFonts w:cs="Calibri"/>
                <w:color w:val="000000"/>
                <w:w w:val="15"/>
                <w:szCs w:val="20"/>
                <w:shd w:val="solid" w:color="000000" w:fill="000000"/>
                <w:fitText w:val="50" w:id="-961901052"/>
                <w14:textFill>
                  <w14:solidFill>
                    <w14:srgbClr w14:val="000000">
                      <w14:alpha w14:val="100000"/>
                    </w14:srgbClr>
                  </w14:solidFill>
                </w14:textFill>
              </w:rPr>
              <w:t>|</w:t>
            </w:r>
            <w:r w:rsidRPr="00860BB2">
              <w:rPr>
                <w:rFonts w:cs="Calibri" w:hint="eastAsia"/>
                <w:color w:val="000000"/>
                <w:spacing w:val="-15"/>
                <w:w w:val="15"/>
                <w:szCs w:val="20"/>
                <w:shd w:val="solid" w:color="000000" w:fill="000000"/>
                <w:fitText w:val="50" w:id="-961901052"/>
                <w14:textFill>
                  <w14:solidFill>
                    <w14:srgbClr w14:val="000000">
                      <w14:alpha w14:val="100000"/>
                    </w14:srgbClr>
                  </w14:solidFill>
                </w14:textFill>
              </w:rPr>
              <w:t xml:space="preserve">　</w:t>
            </w:r>
            <w:r w:rsidR="00B85435" w:rsidRPr="00B85435">
              <w:rPr>
                <w:rFonts w:cs="Calibri"/>
                <w:color w:val="000000"/>
                <w:szCs w:val="20"/>
                <w:vertAlign w:val="superscript"/>
              </w:rPr>
              <w:t>1</w:t>
            </w:r>
          </w:p>
        </w:tc>
      </w:tr>
      <w:tr w:rsidR="005B3215" w:rsidRPr="00AD5A27" w14:paraId="209AFAC7" w14:textId="77777777" w:rsidTr="005333FF">
        <w:tc>
          <w:tcPr>
            <w:tcW w:w="1332" w:type="pct"/>
            <w:tcBorders>
              <w:top w:val="nil"/>
              <w:right w:val="single" w:sz="4" w:space="0" w:color="auto"/>
            </w:tcBorders>
            <w:shd w:val="clear" w:color="auto" w:fill="auto"/>
            <w:vAlign w:val="center"/>
          </w:tcPr>
          <w:p w14:paraId="4B20EC81" w14:textId="77777777" w:rsidR="005B3215" w:rsidRPr="00AD5A27" w:rsidRDefault="005B3215" w:rsidP="007360EF">
            <w:pPr>
              <w:pStyle w:val="TableText0"/>
              <w:ind w:left="113"/>
              <w:rPr>
                <w:szCs w:val="20"/>
              </w:rPr>
            </w:pPr>
            <w:r w:rsidRPr="00AD5A27">
              <w:rPr>
                <w:szCs w:val="20"/>
              </w:rPr>
              <w:t>Paediatric patients</w:t>
            </w:r>
          </w:p>
        </w:tc>
        <w:tc>
          <w:tcPr>
            <w:tcW w:w="611" w:type="pct"/>
            <w:tcBorders>
              <w:top w:val="nil"/>
              <w:left w:val="single" w:sz="4" w:space="0" w:color="auto"/>
              <w:bottom w:val="single" w:sz="4" w:space="0" w:color="auto"/>
              <w:right w:val="single" w:sz="4" w:space="0" w:color="auto"/>
            </w:tcBorders>
            <w:shd w:val="clear" w:color="auto" w:fill="auto"/>
            <w:vAlign w:val="center"/>
          </w:tcPr>
          <w:p w14:paraId="491DEE13" w14:textId="18244C31" w:rsidR="005B3215" w:rsidRPr="00A95BF9" w:rsidRDefault="00860BB2" w:rsidP="007360EF">
            <w:pPr>
              <w:pStyle w:val="TableText0"/>
              <w:jc w:val="center"/>
              <w:rPr>
                <w:szCs w:val="20"/>
                <w:highlight w:val="lightGray"/>
              </w:rPr>
            </w:pPr>
            <w:r w:rsidRPr="00860BB2">
              <w:rPr>
                <w:rFonts w:cs="Calibri" w:hint="eastAsia"/>
                <w:color w:val="000000"/>
                <w:w w:val="15"/>
                <w:szCs w:val="20"/>
                <w:shd w:val="solid" w:color="000000" w:fill="000000"/>
                <w:fitText w:val="50" w:id="-961901051"/>
                <w14:textFill>
                  <w14:solidFill>
                    <w14:srgbClr w14:val="000000">
                      <w14:alpha w14:val="100000"/>
                    </w14:srgbClr>
                  </w14:solidFill>
                </w14:textFill>
              </w:rPr>
              <w:t xml:space="preserve">　</w:t>
            </w:r>
            <w:r w:rsidRPr="00860BB2">
              <w:rPr>
                <w:rFonts w:cs="Calibri"/>
                <w:color w:val="000000"/>
                <w:w w:val="15"/>
                <w:szCs w:val="20"/>
                <w:shd w:val="solid" w:color="000000" w:fill="000000"/>
                <w:fitText w:val="50" w:id="-961901051"/>
                <w14:textFill>
                  <w14:solidFill>
                    <w14:srgbClr w14:val="000000">
                      <w14:alpha w14:val="100000"/>
                    </w14:srgbClr>
                  </w14:solidFill>
                </w14:textFill>
              </w:rPr>
              <w:t>|</w:t>
            </w:r>
            <w:r w:rsidRPr="00860BB2">
              <w:rPr>
                <w:rFonts w:cs="Calibri" w:hint="eastAsia"/>
                <w:color w:val="000000"/>
                <w:spacing w:val="-15"/>
                <w:w w:val="15"/>
                <w:szCs w:val="20"/>
                <w:shd w:val="solid" w:color="000000" w:fill="000000"/>
                <w:fitText w:val="50" w:id="-961901051"/>
                <w14:textFill>
                  <w14:solidFill>
                    <w14:srgbClr w14:val="000000">
                      <w14:alpha w14:val="100000"/>
                    </w14:srgbClr>
                  </w14:solidFill>
                </w14:textFill>
              </w:rPr>
              <w:t xml:space="preserve">　</w:t>
            </w:r>
            <w:r w:rsidR="00B85435" w:rsidRPr="00B85435">
              <w:rPr>
                <w:rFonts w:cs="Calibri"/>
                <w:color w:val="000000"/>
                <w:szCs w:val="20"/>
                <w:vertAlign w:val="superscript"/>
              </w:rPr>
              <w:t>2</w:t>
            </w:r>
          </w:p>
        </w:tc>
        <w:tc>
          <w:tcPr>
            <w:tcW w:w="611" w:type="pct"/>
            <w:tcBorders>
              <w:top w:val="nil"/>
              <w:left w:val="single" w:sz="4" w:space="0" w:color="auto"/>
              <w:bottom w:val="single" w:sz="4" w:space="0" w:color="auto"/>
              <w:right w:val="single" w:sz="4" w:space="0" w:color="auto"/>
            </w:tcBorders>
            <w:shd w:val="clear" w:color="auto" w:fill="auto"/>
            <w:vAlign w:val="center"/>
          </w:tcPr>
          <w:p w14:paraId="1C43273F" w14:textId="48F1BC28" w:rsidR="005B3215" w:rsidRPr="00A95BF9" w:rsidRDefault="00860BB2" w:rsidP="007360EF">
            <w:pPr>
              <w:pStyle w:val="TableText0"/>
              <w:jc w:val="center"/>
              <w:rPr>
                <w:szCs w:val="20"/>
                <w:highlight w:val="lightGray"/>
              </w:rPr>
            </w:pPr>
            <w:r w:rsidRPr="00860BB2">
              <w:rPr>
                <w:rFonts w:cs="Calibri" w:hint="eastAsia"/>
                <w:color w:val="000000"/>
                <w:w w:val="15"/>
                <w:szCs w:val="20"/>
                <w:shd w:val="solid" w:color="000000" w:fill="000000"/>
                <w:fitText w:val="50" w:id="-961901050"/>
                <w14:textFill>
                  <w14:solidFill>
                    <w14:srgbClr w14:val="000000">
                      <w14:alpha w14:val="100000"/>
                    </w14:srgbClr>
                  </w14:solidFill>
                </w14:textFill>
              </w:rPr>
              <w:t xml:space="preserve">　</w:t>
            </w:r>
            <w:r w:rsidRPr="00860BB2">
              <w:rPr>
                <w:rFonts w:cs="Calibri"/>
                <w:color w:val="000000"/>
                <w:w w:val="15"/>
                <w:szCs w:val="20"/>
                <w:shd w:val="solid" w:color="000000" w:fill="000000"/>
                <w:fitText w:val="50" w:id="-961901050"/>
                <w14:textFill>
                  <w14:solidFill>
                    <w14:srgbClr w14:val="000000">
                      <w14:alpha w14:val="100000"/>
                    </w14:srgbClr>
                  </w14:solidFill>
                </w14:textFill>
              </w:rPr>
              <w:t>|</w:t>
            </w:r>
            <w:r w:rsidRPr="00860BB2">
              <w:rPr>
                <w:rFonts w:cs="Calibri" w:hint="eastAsia"/>
                <w:color w:val="000000"/>
                <w:spacing w:val="-15"/>
                <w:w w:val="15"/>
                <w:szCs w:val="20"/>
                <w:shd w:val="solid" w:color="000000" w:fill="000000"/>
                <w:fitText w:val="50" w:id="-961901050"/>
                <w14:textFill>
                  <w14:solidFill>
                    <w14:srgbClr w14:val="000000">
                      <w14:alpha w14:val="100000"/>
                    </w14:srgbClr>
                  </w14:solidFill>
                </w14:textFill>
              </w:rPr>
              <w:t xml:space="preserve">　</w:t>
            </w:r>
            <w:r w:rsidR="00B85435" w:rsidRPr="00B85435">
              <w:rPr>
                <w:rFonts w:cs="Calibri"/>
                <w:color w:val="000000"/>
                <w:szCs w:val="20"/>
                <w:vertAlign w:val="superscript"/>
              </w:rPr>
              <w:t>2</w:t>
            </w:r>
          </w:p>
        </w:tc>
        <w:tc>
          <w:tcPr>
            <w:tcW w:w="611" w:type="pct"/>
            <w:tcBorders>
              <w:top w:val="nil"/>
              <w:left w:val="single" w:sz="4" w:space="0" w:color="auto"/>
              <w:bottom w:val="single" w:sz="4" w:space="0" w:color="auto"/>
              <w:right w:val="single" w:sz="4" w:space="0" w:color="auto"/>
            </w:tcBorders>
            <w:shd w:val="clear" w:color="auto" w:fill="auto"/>
            <w:vAlign w:val="center"/>
          </w:tcPr>
          <w:p w14:paraId="57455548" w14:textId="7CEDFDB7" w:rsidR="005B3215" w:rsidRPr="00A95BF9" w:rsidRDefault="00860BB2" w:rsidP="007360EF">
            <w:pPr>
              <w:pStyle w:val="TableText0"/>
              <w:jc w:val="center"/>
              <w:rPr>
                <w:szCs w:val="20"/>
                <w:highlight w:val="lightGray"/>
              </w:rPr>
            </w:pPr>
            <w:r w:rsidRPr="00860BB2">
              <w:rPr>
                <w:rFonts w:cs="Calibri" w:hint="eastAsia"/>
                <w:color w:val="000000"/>
                <w:w w:val="15"/>
                <w:szCs w:val="20"/>
                <w:shd w:val="solid" w:color="000000" w:fill="000000"/>
                <w:fitText w:val="50" w:id="-961901049"/>
                <w14:textFill>
                  <w14:solidFill>
                    <w14:srgbClr w14:val="000000">
                      <w14:alpha w14:val="100000"/>
                    </w14:srgbClr>
                  </w14:solidFill>
                </w14:textFill>
              </w:rPr>
              <w:t xml:space="preserve">　</w:t>
            </w:r>
            <w:r w:rsidRPr="00860BB2">
              <w:rPr>
                <w:rFonts w:cs="Calibri"/>
                <w:color w:val="000000"/>
                <w:w w:val="15"/>
                <w:szCs w:val="20"/>
                <w:shd w:val="solid" w:color="000000" w:fill="000000"/>
                <w:fitText w:val="50" w:id="-961901049"/>
                <w14:textFill>
                  <w14:solidFill>
                    <w14:srgbClr w14:val="000000">
                      <w14:alpha w14:val="100000"/>
                    </w14:srgbClr>
                  </w14:solidFill>
                </w14:textFill>
              </w:rPr>
              <w:t>|</w:t>
            </w:r>
            <w:r w:rsidRPr="00860BB2">
              <w:rPr>
                <w:rFonts w:cs="Calibri" w:hint="eastAsia"/>
                <w:color w:val="000000"/>
                <w:spacing w:val="-15"/>
                <w:w w:val="15"/>
                <w:szCs w:val="20"/>
                <w:shd w:val="solid" w:color="000000" w:fill="000000"/>
                <w:fitText w:val="50" w:id="-961901049"/>
                <w14:textFill>
                  <w14:solidFill>
                    <w14:srgbClr w14:val="000000">
                      <w14:alpha w14:val="100000"/>
                    </w14:srgbClr>
                  </w14:solidFill>
                </w14:textFill>
              </w:rPr>
              <w:t xml:space="preserve">　</w:t>
            </w:r>
            <w:r w:rsidR="00B85435" w:rsidRPr="00B85435">
              <w:rPr>
                <w:rFonts w:cs="Calibri"/>
                <w:color w:val="000000"/>
                <w:szCs w:val="20"/>
                <w:vertAlign w:val="superscript"/>
              </w:rPr>
              <w:t>2</w:t>
            </w:r>
          </w:p>
        </w:tc>
        <w:tc>
          <w:tcPr>
            <w:tcW w:w="611" w:type="pct"/>
            <w:tcBorders>
              <w:top w:val="nil"/>
              <w:left w:val="single" w:sz="4" w:space="0" w:color="auto"/>
              <w:bottom w:val="single" w:sz="4" w:space="0" w:color="auto"/>
              <w:right w:val="single" w:sz="4" w:space="0" w:color="auto"/>
            </w:tcBorders>
            <w:shd w:val="clear" w:color="auto" w:fill="auto"/>
            <w:vAlign w:val="center"/>
          </w:tcPr>
          <w:p w14:paraId="19E58A3E" w14:textId="468C397B" w:rsidR="005B3215" w:rsidRPr="00A95BF9" w:rsidRDefault="00860BB2" w:rsidP="007360EF">
            <w:pPr>
              <w:pStyle w:val="TableText0"/>
              <w:jc w:val="center"/>
              <w:rPr>
                <w:szCs w:val="20"/>
                <w:highlight w:val="lightGray"/>
              </w:rPr>
            </w:pPr>
            <w:r w:rsidRPr="00860BB2">
              <w:rPr>
                <w:rFonts w:cs="Calibri" w:hint="eastAsia"/>
                <w:color w:val="000000"/>
                <w:w w:val="15"/>
                <w:szCs w:val="20"/>
                <w:shd w:val="solid" w:color="000000" w:fill="000000"/>
                <w:fitText w:val="50" w:id="-961901048"/>
                <w14:textFill>
                  <w14:solidFill>
                    <w14:srgbClr w14:val="000000">
                      <w14:alpha w14:val="100000"/>
                    </w14:srgbClr>
                  </w14:solidFill>
                </w14:textFill>
              </w:rPr>
              <w:t xml:space="preserve">　</w:t>
            </w:r>
            <w:r w:rsidRPr="00860BB2">
              <w:rPr>
                <w:rFonts w:cs="Calibri"/>
                <w:color w:val="000000"/>
                <w:w w:val="15"/>
                <w:szCs w:val="20"/>
                <w:shd w:val="solid" w:color="000000" w:fill="000000"/>
                <w:fitText w:val="50" w:id="-961901048"/>
                <w14:textFill>
                  <w14:solidFill>
                    <w14:srgbClr w14:val="000000">
                      <w14:alpha w14:val="100000"/>
                    </w14:srgbClr>
                  </w14:solidFill>
                </w14:textFill>
              </w:rPr>
              <w:t>|</w:t>
            </w:r>
            <w:r w:rsidRPr="00860BB2">
              <w:rPr>
                <w:rFonts w:cs="Calibri" w:hint="eastAsia"/>
                <w:color w:val="000000"/>
                <w:spacing w:val="-15"/>
                <w:w w:val="15"/>
                <w:szCs w:val="20"/>
                <w:shd w:val="solid" w:color="000000" w:fill="000000"/>
                <w:fitText w:val="50" w:id="-961901048"/>
                <w14:textFill>
                  <w14:solidFill>
                    <w14:srgbClr w14:val="000000">
                      <w14:alpha w14:val="100000"/>
                    </w14:srgbClr>
                  </w14:solidFill>
                </w14:textFill>
              </w:rPr>
              <w:t xml:space="preserve">　</w:t>
            </w:r>
            <w:r w:rsidR="00B85435" w:rsidRPr="00B85435">
              <w:rPr>
                <w:rFonts w:cs="Calibri"/>
                <w:color w:val="000000"/>
                <w:szCs w:val="20"/>
                <w:vertAlign w:val="superscript"/>
              </w:rPr>
              <w:t>2</w:t>
            </w:r>
          </w:p>
        </w:tc>
        <w:tc>
          <w:tcPr>
            <w:tcW w:w="611" w:type="pct"/>
            <w:tcBorders>
              <w:top w:val="nil"/>
              <w:left w:val="single" w:sz="4" w:space="0" w:color="auto"/>
              <w:bottom w:val="single" w:sz="4" w:space="0" w:color="auto"/>
              <w:right w:val="single" w:sz="4" w:space="0" w:color="auto"/>
            </w:tcBorders>
            <w:shd w:val="clear" w:color="auto" w:fill="auto"/>
            <w:vAlign w:val="center"/>
          </w:tcPr>
          <w:p w14:paraId="15F53342" w14:textId="5E982717" w:rsidR="005B3215" w:rsidRPr="00A95BF9" w:rsidRDefault="00860BB2" w:rsidP="007360EF">
            <w:pPr>
              <w:pStyle w:val="TableText0"/>
              <w:jc w:val="center"/>
              <w:rPr>
                <w:szCs w:val="20"/>
                <w:highlight w:val="lightGray"/>
              </w:rPr>
            </w:pPr>
            <w:r w:rsidRPr="00860BB2">
              <w:rPr>
                <w:rFonts w:cs="Calibri" w:hint="eastAsia"/>
                <w:color w:val="000000"/>
                <w:w w:val="15"/>
                <w:szCs w:val="20"/>
                <w:shd w:val="solid" w:color="000000" w:fill="000000"/>
                <w:fitText w:val="50" w:id="-961901047"/>
                <w14:textFill>
                  <w14:solidFill>
                    <w14:srgbClr w14:val="000000">
                      <w14:alpha w14:val="100000"/>
                    </w14:srgbClr>
                  </w14:solidFill>
                </w14:textFill>
              </w:rPr>
              <w:t xml:space="preserve">　</w:t>
            </w:r>
            <w:r w:rsidRPr="00860BB2">
              <w:rPr>
                <w:rFonts w:cs="Calibri"/>
                <w:color w:val="000000"/>
                <w:w w:val="15"/>
                <w:szCs w:val="20"/>
                <w:shd w:val="solid" w:color="000000" w:fill="000000"/>
                <w:fitText w:val="50" w:id="-961901047"/>
                <w14:textFill>
                  <w14:solidFill>
                    <w14:srgbClr w14:val="000000">
                      <w14:alpha w14:val="100000"/>
                    </w14:srgbClr>
                  </w14:solidFill>
                </w14:textFill>
              </w:rPr>
              <w:t>|</w:t>
            </w:r>
            <w:r w:rsidRPr="00860BB2">
              <w:rPr>
                <w:rFonts w:cs="Calibri" w:hint="eastAsia"/>
                <w:color w:val="000000"/>
                <w:spacing w:val="-15"/>
                <w:w w:val="15"/>
                <w:szCs w:val="20"/>
                <w:shd w:val="solid" w:color="000000" w:fill="000000"/>
                <w:fitText w:val="50" w:id="-961901047"/>
                <w14:textFill>
                  <w14:solidFill>
                    <w14:srgbClr w14:val="000000">
                      <w14:alpha w14:val="100000"/>
                    </w14:srgbClr>
                  </w14:solidFill>
                </w14:textFill>
              </w:rPr>
              <w:t xml:space="preserve">　</w:t>
            </w:r>
            <w:r w:rsidR="00B85435" w:rsidRPr="00B85435">
              <w:rPr>
                <w:rFonts w:cs="Calibri"/>
                <w:color w:val="000000"/>
                <w:szCs w:val="20"/>
                <w:vertAlign w:val="superscript"/>
              </w:rPr>
              <w:t>2</w:t>
            </w:r>
          </w:p>
        </w:tc>
        <w:tc>
          <w:tcPr>
            <w:tcW w:w="613" w:type="pct"/>
            <w:tcBorders>
              <w:top w:val="nil"/>
              <w:left w:val="single" w:sz="4" w:space="0" w:color="auto"/>
              <w:bottom w:val="single" w:sz="4" w:space="0" w:color="auto"/>
              <w:right w:val="single" w:sz="4" w:space="0" w:color="auto"/>
            </w:tcBorders>
            <w:shd w:val="clear" w:color="auto" w:fill="auto"/>
            <w:vAlign w:val="center"/>
          </w:tcPr>
          <w:p w14:paraId="7ABC306F" w14:textId="320F4ED3" w:rsidR="005B3215" w:rsidRPr="00A95BF9" w:rsidRDefault="00860BB2" w:rsidP="007360EF">
            <w:pPr>
              <w:pStyle w:val="TableText0"/>
              <w:jc w:val="center"/>
              <w:rPr>
                <w:szCs w:val="20"/>
                <w:highlight w:val="lightGray"/>
              </w:rPr>
            </w:pPr>
            <w:r w:rsidRPr="00860BB2">
              <w:rPr>
                <w:rFonts w:cs="Calibri" w:hint="eastAsia"/>
                <w:color w:val="000000"/>
                <w:w w:val="15"/>
                <w:szCs w:val="20"/>
                <w:shd w:val="solid" w:color="000000" w:fill="000000"/>
                <w:fitText w:val="50" w:id="-961901046"/>
                <w14:textFill>
                  <w14:solidFill>
                    <w14:srgbClr w14:val="000000">
                      <w14:alpha w14:val="100000"/>
                    </w14:srgbClr>
                  </w14:solidFill>
                </w14:textFill>
              </w:rPr>
              <w:t xml:space="preserve">　</w:t>
            </w:r>
            <w:r w:rsidRPr="00860BB2">
              <w:rPr>
                <w:rFonts w:cs="Calibri"/>
                <w:color w:val="000000"/>
                <w:w w:val="15"/>
                <w:szCs w:val="20"/>
                <w:shd w:val="solid" w:color="000000" w:fill="000000"/>
                <w:fitText w:val="50" w:id="-961901046"/>
                <w14:textFill>
                  <w14:solidFill>
                    <w14:srgbClr w14:val="000000">
                      <w14:alpha w14:val="100000"/>
                    </w14:srgbClr>
                  </w14:solidFill>
                </w14:textFill>
              </w:rPr>
              <w:t>|</w:t>
            </w:r>
            <w:r w:rsidRPr="00860BB2">
              <w:rPr>
                <w:rFonts w:cs="Calibri" w:hint="eastAsia"/>
                <w:color w:val="000000"/>
                <w:spacing w:val="-15"/>
                <w:w w:val="15"/>
                <w:szCs w:val="20"/>
                <w:shd w:val="solid" w:color="000000" w:fill="000000"/>
                <w:fitText w:val="50" w:id="-961901046"/>
                <w14:textFill>
                  <w14:solidFill>
                    <w14:srgbClr w14:val="000000">
                      <w14:alpha w14:val="100000"/>
                    </w14:srgbClr>
                  </w14:solidFill>
                </w14:textFill>
              </w:rPr>
              <w:t xml:space="preserve">　</w:t>
            </w:r>
            <w:r w:rsidR="00B85435" w:rsidRPr="00B85435">
              <w:rPr>
                <w:rFonts w:cs="Calibri"/>
                <w:color w:val="000000"/>
                <w:szCs w:val="20"/>
                <w:vertAlign w:val="superscript"/>
              </w:rPr>
              <w:t>2</w:t>
            </w:r>
          </w:p>
        </w:tc>
      </w:tr>
      <w:tr w:rsidR="005B3215" w:rsidRPr="00AD5A27" w14:paraId="4FA1C0F5" w14:textId="77777777" w:rsidTr="005333FF">
        <w:tc>
          <w:tcPr>
            <w:tcW w:w="1332" w:type="pct"/>
            <w:tcBorders>
              <w:bottom w:val="single" w:sz="4" w:space="0" w:color="auto"/>
            </w:tcBorders>
            <w:shd w:val="clear" w:color="auto" w:fill="auto"/>
            <w:vAlign w:val="center"/>
          </w:tcPr>
          <w:p w14:paraId="74935FDC" w14:textId="77777777" w:rsidR="005B3215" w:rsidRPr="00AD5A27" w:rsidRDefault="005B3215" w:rsidP="007360EF">
            <w:pPr>
              <w:pStyle w:val="TableText0"/>
              <w:ind w:left="113"/>
              <w:rPr>
                <w:szCs w:val="20"/>
              </w:rPr>
            </w:pPr>
            <w:r w:rsidRPr="00AD5A27">
              <w:rPr>
                <w:szCs w:val="20"/>
              </w:rPr>
              <w:t>Total</w:t>
            </w:r>
          </w:p>
        </w:tc>
        <w:tc>
          <w:tcPr>
            <w:tcW w:w="611" w:type="pct"/>
            <w:tcBorders>
              <w:bottom w:val="single" w:sz="4" w:space="0" w:color="auto"/>
            </w:tcBorders>
            <w:vAlign w:val="center"/>
          </w:tcPr>
          <w:p w14:paraId="54D16445" w14:textId="431A3FBC" w:rsidR="005B3215" w:rsidRPr="00A95BF9" w:rsidRDefault="00860BB2" w:rsidP="007360EF">
            <w:pPr>
              <w:pStyle w:val="TableText0"/>
              <w:jc w:val="center"/>
              <w:rPr>
                <w:color w:val="000000"/>
                <w:szCs w:val="20"/>
                <w:highlight w:val="lightGray"/>
              </w:rPr>
            </w:pPr>
            <w:r w:rsidRPr="00860BB2">
              <w:rPr>
                <w:rFonts w:hint="eastAsia"/>
                <w:color w:val="000000"/>
                <w:w w:val="15"/>
                <w:szCs w:val="20"/>
                <w:shd w:val="solid" w:color="000000" w:fill="000000"/>
                <w:fitText w:val="50" w:id="-961901045"/>
                <w14:textFill>
                  <w14:solidFill>
                    <w14:srgbClr w14:val="000000">
                      <w14:alpha w14:val="100000"/>
                    </w14:srgbClr>
                  </w14:solidFill>
                </w14:textFill>
              </w:rPr>
              <w:t xml:space="preserve">　</w:t>
            </w:r>
            <w:r w:rsidRPr="00860BB2">
              <w:rPr>
                <w:color w:val="000000"/>
                <w:w w:val="15"/>
                <w:szCs w:val="20"/>
                <w:shd w:val="solid" w:color="000000" w:fill="000000"/>
                <w:fitText w:val="50" w:id="-961901045"/>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5"/>
                <w14:textFill>
                  <w14:solidFill>
                    <w14:srgbClr w14:val="000000">
                      <w14:alpha w14:val="100000"/>
                    </w14:srgbClr>
                  </w14:solidFill>
                </w14:textFill>
              </w:rPr>
              <w:t xml:space="preserve">　</w:t>
            </w:r>
            <w:r w:rsidR="00B85435" w:rsidRPr="00B85435">
              <w:rPr>
                <w:rFonts w:cs="Calibri"/>
                <w:color w:val="000000"/>
                <w:szCs w:val="20"/>
                <w:vertAlign w:val="superscript"/>
              </w:rPr>
              <w:t>1</w:t>
            </w:r>
          </w:p>
        </w:tc>
        <w:tc>
          <w:tcPr>
            <w:tcW w:w="611" w:type="pct"/>
            <w:tcBorders>
              <w:bottom w:val="single" w:sz="4" w:space="0" w:color="auto"/>
            </w:tcBorders>
            <w:vAlign w:val="center"/>
          </w:tcPr>
          <w:p w14:paraId="000093E5" w14:textId="528072E3" w:rsidR="005B3215" w:rsidRPr="00A95BF9" w:rsidRDefault="00860BB2" w:rsidP="007360EF">
            <w:pPr>
              <w:pStyle w:val="TableText0"/>
              <w:jc w:val="center"/>
              <w:rPr>
                <w:color w:val="000000"/>
                <w:szCs w:val="20"/>
                <w:highlight w:val="lightGray"/>
              </w:rPr>
            </w:pPr>
            <w:r w:rsidRPr="00860BB2">
              <w:rPr>
                <w:rFonts w:hint="eastAsia"/>
                <w:color w:val="000000"/>
                <w:w w:val="15"/>
                <w:szCs w:val="20"/>
                <w:shd w:val="solid" w:color="000000" w:fill="000000"/>
                <w:fitText w:val="50" w:id="-961901044"/>
                <w14:textFill>
                  <w14:solidFill>
                    <w14:srgbClr w14:val="000000">
                      <w14:alpha w14:val="100000"/>
                    </w14:srgbClr>
                  </w14:solidFill>
                </w14:textFill>
              </w:rPr>
              <w:t xml:space="preserve">　</w:t>
            </w:r>
            <w:r w:rsidRPr="00860BB2">
              <w:rPr>
                <w:color w:val="000000"/>
                <w:w w:val="15"/>
                <w:szCs w:val="20"/>
                <w:shd w:val="solid" w:color="000000" w:fill="000000"/>
                <w:fitText w:val="50" w:id="-961901044"/>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4"/>
                <w14:textFill>
                  <w14:solidFill>
                    <w14:srgbClr w14:val="000000">
                      <w14:alpha w14:val="100000"/>
                    </w14:srgbClr>
                  </w14:solidFill>
                </w14:textFill>
              </w:rPr>
              <w:t xml:space="preserve">　</w:t>
            </w:r>
            <w:r w:rsidR="00B85435" w:rsidRPr="00B85435">
              <w:rPr>
                <w:rFonts w:cs="Calibri"/>
                <w:color w:val="000000"/>
                <w:szCs w:val="20"/>
                <w:vertAlign w:val="superscript"/>
              </w:rPr>
              <w:t>1</w:t>
            </w:r>
          </w:p>
        </w:tc>
        <w:tc>
          <w:tcPr>
            <w:tcW w:w="611" w:type="pct"/>
            <w:tcBorders>
              <w:bottom w:val="single" w:sz="4" w:space="0" w:color="auto"/>
            </w:tcBorders>
            <w:vAlign w:val="center"/>
          </w:tcPr>
          <w:p w14:paraId="31367017" w14:textId="726A8B59" w:rsidR="005B3215" w:rsidRPr="00A95BF9" w:rsidRDefault="00860BB2" w:rsidP="007360EF">
            <w:pPr>
              <w:pStyle w:val="TableText0"/>
              <w:jc w:val="center"/>
              <w:rPr>
                <w:color w:val="000000"/>
                <w:szCs w:val="20"/>
                <w:highlight w:val="lightGray"/>
              </w:rPr>
            </w:pPr>
            <w:r w:rsidRPr="00860BB2">
              <w:rPr>
                <w:rFonts w:hint="eastAsia"/>
                <w:color w:val="000000"/>
                <w:w w:val="15"/>
                <w:szCs w:val="20"/>
                <w:shd w:val="solid" w:color="000000" w:fill="000000"/>
                <w:fitText w:val="50" w:id="-961901043"/>
                <w14:textFill>
                  <w14:solidFill>
                    <w14:srgbClr w14:val="000000">
                      <w14:alpha w14:val="100000"/>
                    </w14:srgbClr>
                  </w14:solidFill>
                </w14:textFill>
              </w:rPr>
              <w:t xml:space="preserve">　</w:t>
            </w:r>
            <w:r w:rsidRPr="00860BB2">
              <w:rPr>
                <w:color w:val="000000"/>
                <w:w w:val="15"/>
                <w:szCs w:val="20"/>
                <w:shd w:val="solid" w:color="000000" w:fill="000000"/>
                <w:fitText w:val="50" w:id="-961901043"/>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3"/>
                <w14:textFill>
                  <w14:solidFill>
                    <w14:srgbClr w14:val="000000">
                      <w14:alpha w14:val="100000"/>
                    </w14:srgbClr>
                  </w14:solidFill>
                </w14:textFill>
              </w:rPr>
              <w:t xml:space="preserve">　</w:t>
            </w:r>
            <w:r w:rsidR="00B85435" w:rsidRPr="00B85435">
              <w:rPr>
                <w:rFonts w:cs="Calibri"/>
                <w:color w:val="000000"/>
                <w:szCs w:val="20"/>
                <w:vertAlign w:val="superscript"/>
              </w:rPr>
              <w:t>1</w:t>
            </w:r>
          </w:p>
        </w:tc>
        <w:tc>
          <w:tcPr>
            <w:tcW w:w="611" w:type="pct"/>
            <w:tcBorders>
              <w:bottom w:val="single" w:sz="4" w:space="0" w:color="auto"/>
            </w:tcBorders>
            <w:vAlign w:val="center"/>
          </w:tcPr>
          <w:p w14:paraId="1076E92B" w14:textId="3C079952" w:rsidR="005B3215" w:rsidRPr="00A95BF9" w:rsidRDefault="00860BB2" w:rsidP="007360EF">
            <w:pPr>
              <w:pStyle w:val="TableText0"/>
              <w:jc w:val="center"/>
              <w:rPr>
                <w:color w:val="000000"/>
                <w:szCs w:val="20"/>
                <w:highlight w:val="lightGray"/>
              </w:rPr>
            </w:pPr>
            <w:r w:rsidRPr="00860BB2">
              <w:rPr>
                <w:rFonts w:hint="eastAsia"/>
                <w:color w:val="000000"/>
                <w:w w:val="15"/>
                <w:szCs w:val="20"/>
                <w:shd w:val="solid" w:color="000000" w:fill="000000"/>
                <w:fitText w:val="50" w:id="-961901042"/>
                <w14:textFill>
                  <w14:solidFill>
                    <w14:srgbClr w14:val="000000">
                      <w14:alpha w14:val="100000"/>
                    </w14:srgbClr>
                  </w14:solidFill>
                </w14:textFill>
              </w:rPr>
              <w:t xml:space="preserve">　</w:t>
            </w:r>
            <w:r w:rsidRPr="00860BB2">
              <w:rPr>
                <w:color w:val="000000"/>
                <w:w w:val="15"/>
                <w:szCs w:val="20"/>
                <w:shd w:val="solid" w:color="000000" w:fill="000000"/>
                <w:fitText w:val="50" w:id="-961901042"/>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2"/>
                <w14:textFill>
                  <w14:solidFill>
                    <w14:srgbClr w14:val="000000">
                      <w14:alpha w14:val="100000"/>
                    </w14:srgbClr>
                  </w14:solidFill>
                </w14:textFill>
              </w:rPr>
              <w:t xml:space="preserve">　</w:t>
            </w:r>
            <w:r w:rsidR="00B85435" w:rsidRPr="00B85435">
              <w:rPr>
                <w:rFonts w:cs="Calibri"/>
                <w:color w:val="000000"/>
                <w:szCs w:val="20"/>
                <w:vertAlign w:val="superscript"/>
              </w:rPr>
              <w:t>1</w:t>
            </w:r>
          </w:p>
        </w:tc>
        <w:tc>
          <w:tcPr>
            <w:tcW w:w="611" w:type="pct"/>
            <w:tcBorders>
              <w:bottom w:val="single" w:sz="4" w:space="0" w:color="auto"/>
            </w:tcBorders>
            <w:vAlign w:val="center"/>
          </w:tcPr>
          <w:p w14:paraId="3CDBCA79" w14:textId="71BBC374" w:rsidR="005B3215" w:rsidRPr="00A95BF9" w:rsidRDefault="00860BB2" w:rsidP="007360EF">
            <w:pPr>
              <w:pStyle w:val="TableText0"/>
              <w:jc w:val="center"/>
              <w:rPr>
                <w:color w:val="000000"/>
                <w:szCs w:val="20"/>
                <w:highlight w:val="lightGray"/>
              </w:rPr>
            </w:pPr>
            <w:r w:rsidRPr="00860BB2">
              <w:rPr>
                <w:rFonts w:hint="eastAsia"/>
                <w:color w:val="000000"/>
                <w:w w:val="15"/>
                <w:szCs w:val="20"/>
                <w:shd w:val="solid" w:color="000000" w:fill="000000"/>
                <w:fitText w:val="50" w:id="-961901041"/>
                <w14:textFill>
                  <w14:solidFill>
                    <w14:srgbClr w14:val="000000">
                      <w14:alpha w14:val="100000"/>
                    </w14:srgbClr>
                  </w14:solidFill>
                </w14:textFill>
              </w:rPr>
              <w:t xml:space="preserve">　</w:t>
            </w:r>
            <w:r w:rsidRPr="00860BB2">
              <w:rPr>
                <w:color w:val="000000"/>
                <w:w w:val="15"/>
                <w:szCs w:val="20"/>
                <w:shd w:val="solid" w:color="000000" w:fill="000000"/>
                <w:fitText w:val="50" w:id="-961901041"/>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1"/>
                <w14:textFill>
                  <w14:solidFill>
                    <w14:srgbClr w14:val="000000">
                      <w14:alpha w14:val="100000"/>
                    </w14:srgbClr>
                  </w14:solidFill>
                </w14:textFill>
              </w:rPr>
              <w:t xml:space="preserve">　</w:t>
            </w:r>
            <w:r w:rsidR="00B85435" w:rsidRPr="00B85435">
              <w:rPr>
                <w:rFonts w:cs="Calibri"/>
                <w:color w:val="000000"/>
                <w:szCs w:val="20"/>
                <w:vertAlign w:val="superscript"/>
              </w:rPr>
              <w:t>1</w:t>
            </w:r>
          </w:p>
        </w:tc>
        <w:tc>
          <w:tcPr>
            <w:tcW w:w="613" w:type="pct"/>
            <w:tcBorders>
              <w:bottom w:val="single" w:sz="4" w:space="0" w:color="auto"/>
            </w:tcBorders>
            <w:vAlign w:val="center"/>
          </w:tcPr>
          <w:p w14:paraId="56F3521B" w14:textId="4788DA8B" w:rsidR="005B3215" w:rsidRPr="00A95BF9" w:rsidRDefault="00860BB2" w:rsidP="007360EF">
            <w:pPr>
              <w:pStyle w:val="TableText0"/>
              <w:jc w:val="center"/>
              <w:rPr>
                <w:color w:val="000000"/>
                <w:szCs w:val="20"/>
                <w:highlight w:val="lightGray"/>
              </w:rPr>
            </w:pPr>
            <w:r w:rsidRPr="00860BB2">
              <w:rPr>
                <w:rFonts w:hint="eastAsia"/>
                <w:color w:val="000000"/>
                <w:w w:val="15"/>
                <w:szCs w:val="20"/>
                <w:shd w:val="solid" w:color="000000" w:fill="000000"/>
                <w:fitText w:val="50" w:id="-961901040"/>
                <w14:textFill>
                  <w14:solidFill>
                    <w14:srgbClr w14:val="000000">
                      <w14:alpha w14:val="100000"/>
                    </w14:srgbClr>
                  </w14:solidFill>
                </w14:textFill>
              </w:rPr>
              <w:t xml:space="preserve">　</w:t>
            </w:r>
            <w:r w:rsidRPr="00860BB2">
              <w:rPr>
                <w:color w:val="000000"/>
                <w:w w:val="15"/>
                <w:szCs w:val="20"/>
                <w:shd w:val="solid" w:color="000000" w:fill="000000"/>
                <w:fitText w:val="50" w:id="-961901040"/>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0"/>
                <w14:textFill>
                  <w14:solidFill>
                    <w14:srgbClr w14:val="000000">
                      <w14:alpha w14:val="100000"/>
                    </w14:srgbClr>
                  </w14:solidFill>
                </w14:textFill>
              </w:rPr>
              <w:t xml:space="preserve">　</w:t>
            </w:r>
            <w:r w:rsidR="00B85435" w:rsidRPr="00B85435">
              <w:rPr>
                <w:rFonts w:cs="Calibri"/>
                <w:color w:val="000000"/>
                <w:szCs w:val="20"/>
                <w:vertAlign w:val="superscript"/>
              </w:rPr>
              <w:t>1</w:t>
            </w:r>
          </w:p>
        </w:tc>
      </w:tr>
      <w:tr w:rsidR="005B3215" w:rsidRPr="00AD5A27" w14:paraId="1577A720" w14:textId="77777777" w:rsidTr="005333FF">
        <w:tc>
          <w:tcPr>
            <w:tcW w:w="1332" w:type="pct"/>
            <w:tcBorders>
              <w:bottom w:val="single" w:sz="4" w:space="0" w:color="auto"/>
              <w:right w:val="single" w:sz="4" w:space="0" w:color="auto"/>
            </w:tcBorders>
            <w:shd w:val="clear" w:color="auto" w:fill="auto"/>
            <w:vAlign w:val="center"/>
          </w:tcPr>
          <w:p w14:paraId="0B74471B" w14:textId="77777777" w:rsidR="005B3215" w:rsidRPr="00AD5A27" w:rsidRDefault="005B3215" w:rsidP="007360EF">
            <w:pPr>
              <w:pStyle w:val="TableText0"/>
              <w:rPr>
                <w:szCs w:val="20"/>
              </w:rPr>
            </w:pPr>
            <w:r w:rsidRPr="00AD5A27">
              <w:rPr>
                <w:szCs w:val="20"/>
              </w:rPr>
              <w:t>Number of scripts dispensed</w:t>
            </w:r>
            <w:r w:rsidRPr="00AD5A27">
              <w:rPr>
                <w:szCs w:val="20"/>
                <w:vertAlign w:val="superscript"/>
              </w:rPr>
              <w:t>a</w:t>
            </w:r>
          </w:p>
        </w:tc>
        <w:tc>
          <w:tcPr>
            <w:tcW w:w="611" w:type="pct"/>
          </w:tcPr>
          <w:p w14:paraId="06D890F5" w14:textId="67FF9640"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6"/>
                <w14:textFill>
                  <w14:solidFill>
                    <w14:srgbClr w14:val="000000">
                      <w14:alpha w14:val="100000"/>
                    </w14:srgbClr>
                  </w14:solidFill>
                </w14:textFill>
              </w:rPr>
              <w:t xml:space="preserve">　</w:t>
            </w:r>
            <w:r w:rsidRPr="00860BB2">
              <w:rPr>
                <w:color w:val="000000"/>
                <w:w w:val="15"/>
                <w:szCs w:val="20"/>
                <w:shd w:val="solid" w:color="000000" w:fill="000000"/>
                <w:fitText w:val="50" w:id="-961901056"/>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6"/>
                <w14:textFill>
                  <w14:solidFill>
                    <w14:srgbClr w14:val="000000">
                      <w14:alpha w14:val="100000"/>
                    </w14:srgbClr>
                  </w14:solidFill>
                </w14:textFill>
              </w:rPr>
              <w:t xml:space="preserve">　</w:t>
            </w:r>
            <w:r w:rsidR="00B85435" w:rsidRPr="00B85435">
              <w:rPr>
                <w:szCs w:val="20"/>
                <w:vertAlign w:val="superscript"/>
              </w:rPr>
              <w:t>3</w:t>
            </w:r>
          </w:p>
        </w:tc>
        <w:tc>
          <w:tcPr>
            <w:tcW w:w="611" w:type="pct"/>
          </w:tcPr>
          <w:p w14:paraId="3D3DB8AF" w14:textId="66398356"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5"/>
                <w14:textFill>
                  <w14:solidFill>
                    <w14:srgbClr w14:val="000000">
                      <w14:alpha w14:val="100000"/>
                    </w14:srgbClr>
                  </w14:solidFill>
                </w14:textFill>
              </w:rPr>
              <w:t xml:space="preserve">　</w:t>
            </w:r>
            <w:r w:rsidRPr="00860BB2">
              <w:rPr>
                <w:color w:val="000000"/>
                <w:w w:val="15"/>
                <w:szCs w:val="20"/>
                <w:shd w:val="solid" w:color="000000" w:fill="000000"/>
                <w:fitText w:val="50" w:id="-961901055"/>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5"/>
                <w14:textFill>
                  <w14:solidFill>
                    <w14:srgbClr w14:val="000000">
                      <w14:alpha w14:val="100000"/>
                    </w14:srgbClr>
                  </w14:solidFill>
                </w14:textFill>
              </w:rPr>
              <w:t xml:space="preserve">　</w:t>
            </w:r>
            <w:r w:rsidR="00B85435" w:rsidRPr="00B85435">
              <w:rPr>
                <w:szCs w:val="20"/>
                <w:vertAlign w:val="superscript"/>
              </w:rPr>
              <w:t>3</w:t>
            </w:r>
          </w:p>
        </w:tc>
        <w:tc>
          <w:tcPr>
            <w:tcW w:w="611" w:type="pct"/>
          </w:tcPr>
          <w:p w14:paraId="03E2D577" w14:textId="6C9F3D84"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4"/>
                <w14:textFill>
                  <w14:solidFill>
                    <w14:srgbClr w14:val="000000">
                      <w14:alpha w14:val="100000"/>
                    </w14:srgbClr>
                  </w14:solidFill>
                </w14:textFill>
              </w:rPr>
              <w:t xml:space="preserve">　</w:t>
            </w:r>
            <w:r w:rsidRPr="00860BB2">
              <w:rPr>
                <w:color w:val="000000"/>
                <w:w w:val="15"/>
                <w:szCs w:val="20"/>
                <w:shd w:val="solid" w:color="000000" w:fill="000000"/>
                <w:fitText w:val="50" w:id="-961901054"/>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4"/>
                <w14:textFill>
                  <w14:solidFill>
                    <w14:srgbClr w14:val="000000">
                      <w14:alpha w14:val="100000"/>
                    </w14:srgbClr>
                  </w14:solidFill>
                </w14:textFill>
              </w:rPr>
              <w:t xml:space="preserve">　</w:t>
            </w:r>
            <w:r w:rsidR="00B85435" w:rsidRPr="00B85435">
              <w:rPr>
                <w:szCs w:val="20"/>
                <w:vertAlign w:val="superscript"/>
              </w:rPr>
              <w:t>3</w:t>
            </w:r>
          </w:p>
        </w:tc>
        <w:tc>
          <w:tcPr>
            <w:tcW w:w="611" w:type="pct"/>
          </w:tcPr>
          <w:p w14:paraId="3023D913" w14:textId="3C96FB57"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3"/>
                <w14:textFill>
                  <w14:solidFill>
                    <w14:srgbClr w14:val="000000">
                      <w14:alpha w14:val="100000"/>
                    </w14:srgbClr>
                  </w14:solidFill>
                </w14:textFill>
              </w:rPr>
              <w:t xml:space="preserve">　</w:t>
            </w:r>
            <w:r w:rsidRPr="00860BB2">
              <w:rPr>
                <w:color w:val="000000"/>
                <w:w w:val="15"/>
                <w:szCs w:val="20"/>
                <w:shd w:val="solid" w:color="000000" w:fill="000000"/>
                <w:fitText w:val="50" w:id="-961901053"/>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3"/>
                <w14:textFill>
                  <w14:solidFill>
                    <w14:srgbClr w14:val="000000">
                      <w14:alpha w14:val="100000"/>
                    </w14:srgbClr>
                  </w14:solidFill>
                </w14:textFill>
              </w:rPr>
              <w:t xml:space="preserve">　</w:t>
            </w:r>
            <w:r w:rsidR="00B85435" w:rsidRPr="00B85435">
              <w:rPr>
                <w:szCs w:val="20"/>
                <w:vertAlign w:val="superscript"/>
              </w:rPr>
              <w:t>3</w:t>
            </w:r>
          </w:p>
        </w:tc>
        <w:tc>
          <w:tcPr>
            <w:tcW w:w="611" w:type="pct"/>
          </w:tcPr>
          <w:p w14:paraId="6A4B7322" w14:textId="59613D91"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2"/>
                <w14:textFill>
                  <w14:solidFill>
                    <w14:srgbClr w14:val="000000">
                      <w14:alpha w14:val="100000"/>
                    </w14:srgbClr>
                  </w14:solidFill>
                </w14:textFill>
              </w:rPr>
              <w:t xml:space="preserve">　</w:t>
            </w:r>
            <w:r w:rsidRPr="00860BB2">
              <w:rPr>
                <w:color w:val="000000"/>
                <w:w w:val="15"/>
                <w:szCs w:val="20"/>
                <w:shd w:val="solid" w:color="000000" w:fill="000000"/>
                <w:fitText w:val="50" w:id="-961901052"/>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2"/>
                <w14:textFill>
                  <w14:solidFill>
                    <w14:srgbClr w14:val="000000">
                      <w14:alpha w14:val="100000"/>
                    </w14:srgbClr>
                  </w14:solidFill>
                </w14:textFill>
              </w:rPr>
              <w:t xml:space="preserve">　</w:t>
            </w:r>
            <w:r w:rsidR="00B85435" w:rsidRPr="00B85435">
              <w:rPr>
                <w:szCs w:val="20"/>
                <w:vertAlign w:val="superscript"/>
              </w:rPr>
              <w:t>3</w:t>
            </w:r>
          </w:p>
        </w:tc>
        <w:tc>
          <w:tcPr>
            <w:tcW w:w="613" w:type="pct"/>
          </w:tcPr>
          <w:p w14:paraId="6B8CD942" w14:textId="04DDEE98"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1"/>
                <w14:textFill>
                  <w14:solidFill>
                    <w14:srgbClr w14:val="000000">
                      <w14:alpha w14:val="100000"/>
                    </w14:srgbClr>
                  </w14:solidFill>
                </w14:textFill>
              </w:rPr>
              <w:t xml:space="preserve">　</w:t>
            </w:r>
            <w:r w:rsidRPr="00860BB2">
              <w:rPr>
                <w:color w:val="000000"/>
                <w:w w:val="15"/>
                <w:szCs w:val="20"/>
                <w:shd w:val="solid" w:color="000000" w:fill="000000"/>
                <w:fitText w:val="50" w:id="-961901051"/>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1"/>
                <w14:textFill>
                  <w14:solidFill>
                    <w14:srgbClr w14:val="000000">
                      <w14:alpha w14:val="100000"/>
                    </w14:srgbClr>
                  </w14:solidFill>
                </w14:textFill>
              </w:rPr>
              <w:t xml:space="preserve">　</w:t>
            </w:r>
            <w:r w:rsidR="00B85435" w:rsidRPr="00B85435">
              <w:rPr>
                <w:szCs w:val="20"/>
                <w:vertAlign w:val="superscript"/>
              </w:rPr>
              <w:t>3</w:t>
            </w:r>
          </w:p>
        </w:tc>
      </w:tr>
      <w:tr w:rsidR="005B3215" w:rsidRPr="00AD5A27" w14:paraId="5399F815" w14:textId="77777777" w:rsidTr="007360EF">
        <w:tc>
          <w:tcPr>
            <w:tcW w:w="5000" w:type="pct"/>
            <w:gridSpan w:val="7"/>
            <w:shd w:val="clear" w:color="auto" w:fill="auto"/>
            <w:vAlign w:val="center"/>
          </w:tcPr>
          <w:p w14:paraId="2A532AB4" w14:textId="07E3F8AF" w:rsidR="005B3215" w:rsidRPr="00AD5A27" w:rsidRDefault="005B3215" w:rsidP="007360EF">
            <w:pPr>
              <w:pStyle w:val="In-tableHeading"/>
              <w:rPr>
                <w:szCs w:val="20"/>
                <w:lang w:val="en-AU"/>
              </w:rPr>
            </w:pPr>
            <w:r w:rsidRPr="00AD5A27">
              <w:rPr>
                <w:szCs w:val="20"/>
                <w:lang w:val="en-AU"/>
              </w:rPr>
              <w:t>Estimated financial implications of adalimumab</w:t>
            </w:r>
            <w:r w:rsidR="00197EC3">
              <w:rPr>
                <w:szCs w:val="20"/>
                <w:lang w:val="en-AU"/>
              </w:rPr>
              <w:t xml:space="preserve">: DPMQ </w:t>
            </w:r>
            <w:r w:rsidR="00197EC3" w:rsidRPr="00AD5A27">
              <w:t>$</w:t>
            </w:r>
            <w:r w:rsidR="00860BB2" w:rsidRPr="00860BB2">
              <w:rPr>
                <w:color w:val="000000"/>
                <w:spacing w:val="59"/>
                <w:shd w:val="solid" w:color="000000" w:fill="000000"/>
                <w:fitText w:val="363" w:id="-961901050"/>
                <w14:textFill>
                  <w14:solidFill>
                    <w14:srgbClr w14:val="000000">
                      <w14:alpha w14:val="100000"/>
                    </w14:srgbClr>
                  </w14:solidFill>
                </w14:textFill>
              </w:rPr>
              <w:t>|||</w:t>
            </w:r>
            <w:r w:rsidR="00860BB2" w:rsidRPr="00860BB2">
              <w:rPr>
                <w:color w:val="000000"/>
                <w:spacing w:val="3"/>
                <w:shd w:val="solid" w:color="000000" w:fill="000000"/>
                <w:fitText w:val="363" w:id="-961901050"/>
                <w14:textFill>
                  <w14:solidFill>
                    <w14:srgbClr w14:val="000000">
                      <w14:alpha w14:val="100000"/>
                    </w14:srgbClr>
                  </w14:solidFill>
                </w14:textFill>
              </w:rPr>
              <w:t>|</w:t>
            </w:r>
            <w:r w:rsidR="00197EC3">
              <w:t xml:space="preserve"> for 40mg, 80 mg / DPMQ $</w:t>
            </w:r>
            <w:r w:rsidR="00860BB2" w:rsidRPr="00860BB2">
              <w:rPr>
                <w:color w:val="000000"/>
                <w:spacing w:val="55"/>
                <w:shd w:val="solid" w:color="000000" w:fill="000000"/>
                <w:fitText w:val="350" w:id="-961901049"/>
                <w14:textFill>
                  <w14:solidFill>
                    <w14:srgbClr w14:val="000000">
                      <w14:alpha w14:val="100000"/>
                    </w14:srgbClr>
                  </w14:solidFill>
                </w14:textFill>
              </w:rPr>
              <w:t>|||</w:t>
            </w:r>
            <w:r w:rsidR="00860BB2" w:rsidRPr="00860BB2">
              <w:rPr>
                <w:color w:val="000000"/>
                <w:spacing w:val="2"/>
                <w:shd w:val="solid" w:color="000000" w:fill="000000"/>
                <w:fitText w:val="350" w:id="-961901049"/>
                <w14:textFill>
                  <w14:solidFill>
                    <w14:srgbClr w14:val="000000">
                      <w14:alpha w14:val="100000"/>
                    </w14:srgbClr>
                  </w14:solidFill>
                </w14:textFill>
              </w:rPr>
              <w:t>|</w:t>
            </w:r>
            <w:r w:rsidR="00197EC3">
              <w:t xml:space="preserve"> for 20mg</w:t>
            </w:r>
          </w:p>
        </w:tc>
      </w:tr>
      <w:tr w:rsidR="004A2141" w:rsidRPr="00AD5A27" w14:paraId="21B2B42A" w14:textId="77777777" w:rsidTr="005333FF">
        <w:tc>
          <w:tcPr>
            <w:tcW w:w="1332" w:type="pct"/>
            <w:shd w:val="clear" w:color="auto" w:fill="auto"/>
            <w:vAlign w:val="center"/>
          </w:tcPr>
          <w:p w14:paraId="3E1EAD1F" w14:textId="496233F6" w:rsidR="004A2141" w:rsidRPr="00AD5A27" w:rsidRDefault="004A2141" w:rsidP="004A2141">
            <w:pPr>
              <w:pStyle w:val="TableText0"/>
              <w:rPr>
                <w:szCs w:val="20"/>
              </w:rPr>
            </w:pPr>
            <w:r w:rsidRPr="00AD5A27">
              <w:rPr>
                <w:szCs w:val="20"/>
              </w:rPr>
              <w:t>Adult patients</w:t>
            </w:r>
            <w:r w:rsidR="00A95BF9">
              <w:rPr>
                <w:szCs w:val="20"/>
              </w:rPr>
              <w:t xml:space="preserve"> ($)</w:t>
            </w:r>
          </w:p>
        </w:tc>
        <w:tc>
          <w:tcPr>
            <w:tcW w:w="611" w:type="pct"/>
            <w:vAlign w:val="center"/>
          </w:tcPr>
          <w:p w14:paraId="39E45122" w14:textId="3BE0358E" w:rsidR="004A2141" w:rsidRPr="00A95BF9" w:rsidRDefault="00860BB2" w:rsidP="004A2141">
            <w:pPr>
              <w:pStyle w:val="TableText0"/>
              <w:jc w:val="center"/>
              <w:rPr>
                <w:szCs w:val="20"/>
                <w:highlight w:val="lightGray"/>
              </w:rPr>
            </w:pPr>
            <w:r w:rsidRPr="00860BB2">
              <w:rPr>
                <w:rFonts w:hint="eastAsia"/>
                <w:color w:val="000000"/>
                <w:w w:val="15"/>
                <w:szCs w:val="20"/>
                <w:shd w:val="solid" w:color="000000" w:fill="000000"/>
                <w:fitText w:val="50" w:id="-961901048"/>
                <w14:textFill>
                  <w14:solidFill>
                    <w14:srgbClr w14:val="000000">
                      <w14:alpha w14:val="100000"/>
                    </w14:srgbClr>
                  </w14:solidFill>
                </w14:textFill>
              </w:rPr>
              <w:t xml:space="preserve">　</w:t>
            </w:r>
            <w:r w:rsidRPr="00860BB2">
              <w:rPr>
                <w:color w:val="000000"/>
                <w:w w:val="15"/>
                <w:szCs w:val="20"/>
                <w:shd w:val="solid" w:color="000000" w:fill="000000"/>
                <w:fitText w:val="50" w:id="-961901048"/>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8"/>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07095B26" w14:textId="177B3495" w:rsidR="004A2141" w:rsidRPr="00A95BF9" w:rsidRDefault="00860BB2" w:rsidP="004A2141">
            <w:pPr>
              <w:pStyle w:val="TableText0"/>
              <w:jc w:val="center"/>
              <w:rPr>
                <w:szCs w:val="20"/>
                <w:highlight w:val="lightGray"/>
              </w:rPr>
            </w:pPr>
            <w:r w:rsidRPr="00860BB2">
              <w:rPr>
                <w:rFonts w:hint="eastAsia"/>
                <w:color w:val="000000"/>
                <w:w w:val="15"/>
                <w:szCs w:val="20"/>
                <w:shd w:val="solid" w:color="000000" w:fill="000000"/>
                <w:fitText w:val="50" w:id="-961901047"/>
                <w14:textFill>
                  <w14:solidFill>
                    <w14:srgbClr w14:val="000000">
                      <w14:alpha w14:val="100000"/>
                    </w14:srgbClr>
                  </w14:solidFill>
                </w14:textFill>
              </w:rPr>
              <w:t xml:space="preserve">　</w:t>
            </w:r>
            <w:r w:rsidRPr="00860BB2">
              <w:rPr>
                <w:color w:val="000000"/>
                <w:w w:val="15"/>
                <w:szCs w:val="20"/>
                <w:shd w:val="solid" w:color="000000" w:fill="000000"/>
                <w:fitText w:val="50" w:id="-961901047"/>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7"/>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0CFA7376" w14:textId="0B6DCFA2" w:rsidR="004A2141" w:rsidRPr="00A95BF9" w:rsidRDefault="00860BB2" w:rsidP="004A2141">
            <w:pPr>
              <w:pStyle w:val="TableText0"/>
              <w:jc w:val="center"/>
              <w:rPr>
                <w:szCs w:val="20"/>
                <w:highlight w:val="lightGray"/>
              </w:rPr>
            </w:pPr>
            <w:r w:rsidRPr="00860BB2">
              <w:rPr>
                <w:rFonts w:hint="eastAsia"/>
                <w:color w:val="000000"/>
                <w:w w:val="15"/>
                <w:szCs w:val="20"/>
                <w:shd w:val="solid" w:color="000000" w:fill="000000"/>
                <w:fitText w:val="50" w:id="-961901046"/>
                <w14:textFill>
                  <w14:solidFill>
                    <w14:srgbClr w14:val="000000">
                      <w14:alpha w14:val="100000"/>
                    </w14:srgbClr>
                  </w14:solidFill>
                </w14:textFill>
              </w:rPr>
              <w:t xml:space="preserve">　</w:t>
            </w:r>
            <w:r w:rsidRPr="00860BB2">
              <w:rPr>
                <w:color w:val="000000"/>
                <w:w w:val="15"/>
                <w:szCs w:val="20"/>
                <w:shd w:val="solid" w:color="000000" w:fill="000000"/>
                <w:fitText w:val="50" w:id="-961901046"/>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6"/>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7F2C213F" w14:textId="4FF918AA" w:rsidR="004A2141" w:rsidRPr="00A95BF9" w:rsidRDefault="00860BB2" w:rsidP="004A2141">
            <w:pPr>
              <w:pStyle w:val="TableText0"/>
              <w:jc w:val="center"/>
              <w:rPr>
                <w:szCs w:val="20"/>
                <w:highlight w:val="lightGray"/>
              </w:rPr>
            </w:pPr>
            <w:r w:rsidRPr="00860BB2">
              <w:rPr>
                <w:rFonts w:hint="eastAsia"/>
                <w:color w:val="000000"/>
                <w:w w:val="15"/>
                <w:szCs w:val="20"/>
                <w:shd w:val="solid" w:color="000000" w:fill="000000"/>
                <w:fitText w:val="50" w:id="-961901045"/>
                <w14:textFill>
                  <w14:solidFill>
                    <w14:srgbClr w14:val="000000">
                      <w14:alpha w14:val="100000"/>
                    </w14:srgbClr>
                  </w14:solidFill>
                </w14:textFill>
              </w:rPr>
              <w:t xml:space="preserve">　</w:t>
            </w:r>
            <w:r w:rsidRPr="00860BB2">
              <w:rPr>
                <w:color w:val="000000"/>
                <w:w w:val="15"/>
                <w:szCs w:val="20"/>
                <w:shd w:val="solid" w:color="000000" w:fill="000000"/>
                <w:fitText w:val="50" w:id="-961901045"/>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5"/>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5B04749B" w14:textId="372DDFE7" w:rsidR="004A2141" w:rsidRPr="00A95BF9" w:rsidRDefault="00860BB2" w:rsidP="004A2141">
            <w:pPr>
              <w:pStyle w:val="TableText0"/>
              <w:jc w:val="center"/>
              <w:rPr>
                <w:szCs w:val="20"/>
                <w:highlight w:val="lightGray"/>
              </w:rPr>
            </w:pPr>
            <w:r w:rsidRPr="00860BB2">
              <w:rPr>
                <w:rFonts w:hint="eastAsia"/>
                <w:color w:val="000000"/>
                <w:w w:val="15"/>
                <w:szCs w:val="20"/>
                <w:shd w:val="solid" w:color="000000" w:fill="000000"/>
                <w:fitText w:val="50" w:id="-961901044"/>
                <w14:textFill>
                  <w14:solidFill>
                    <w14:srgbClr w14:val="000000">
                      <w14:alpha w14:val="100000"/>
                    </w14:srgbClr>
                  </w14:solidFill>
                </w14:textFill>
              </w:rPr>
              <w:t xml:space="preserve">　</w:t>
            </w:r>
            <w:r w:rsidRPr="00860BB2">
              <w:rPr>
                <w:color w:val="000000"/>
                <w:w w:val="15"/>
                <w:szCs w:val="20"/>
                <w:shd w:val="solid" w:color="000000" w:fill="000000"/>
                <w:fitText w:val="50" w:id="-961901044"/>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4"/>
                <w14:textFill>
                  <w14:solidFill>
                    <w14:srgbClr w14:val="000000">
                      <w14:alpha w14:val="100000"/>
                    </w14:srgbClr>
                  </w14:solidFill>
                </w14:textFill>
              </w:rPr>
              <w:t xml:space="preserve">　</w:t>
            </w:r>
            <w:r w:rsidR="00333D2C" w:rsidRPr="00333D2C">
              <w:rPr>
                <w:szCs w:val="20"/>
                <w:vertAlign w:val="superscript"/>
              </w:rPr>
              <w:t>4</w:t>
            </w:r>
          </w:p>
        </w:tc>
        <w:tc>
          <w:tcPr>
            <w:tcW w:w="613" w:type="pct"/>
            <w:vAlign w:val="center"/>
          </w:tcPr>
          <w:p w14:paraId="54FA4EED" w14:textId="1A3C4D07" w:rsidR="004A2141" w:rsidRPr="00A95BF9" w:rsidRDefault="00860BB2" w:rsidP="004A2141">
            <w:pPr>
              <w:pStyle w:val="TableText0"/>
              <w:jc w:val="center"/>
              <w:rPr>
                <w:szCs w:val="20"/>
                <w:highlight w:val="lightGray"/>
              </w:rPr>
            </w:pPr>
            <w:r w:rsidRPr="00860BB2">
              <w:rPr>
                <w:rFonts w:hint="eastAsia"/>
                <w:color w:val="000000"/>
                <w:w w:val="15"/>
                <w:szCs w:val="20"/>
                <w:shd w:val="solid" w:color="000000" w:fill="000000"/>
                <w:fitText w:val="50" w:id="-961901043"/>
                <w14:textFill>
                  <w14:solidFill>
                    <w14:srgbClr w14:val="000000">
                      <w14:alpha w14:val="100000"/>
                    </w14:srgbClr>
                  </w14:solidFill>
                </w14:textFill>
              </w:rPr>
              <w:t xml:space="preserve">　</w:t>
            </w:r>
            <w:r w:rsidRPr="00860BB2">
              <w:rPr>
                <w:color w:val="000000"/>
                <w:w w:val="15"/>
                <w:szCs w:val="20"/>
                <w:shd w:val="solid" w:color="000000" w:fill="000000"/>
                <w:fitText w:val="50" w:id="-961901043"/>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3"/>
                <w14:textFill>
                  <w14:solidFill>
                    <w14:srgbClr w14:val="000000">
                      <w14:alpha w14:val="100000"/>
                    </w14:srgbClr>
                  </w14:solidFill>
                </w14:textFill>
              </w:rPr>
              <w:t xml:space="preserve">　</w:t>
            </w:r>
            <w:r w:rsidR="00333D2C" w:rsidRPr="00333D2C">
              <w:rPr>
                <w:szCs w:val="20"/>
                <w:vertAlign w:val="superscript"/>
              </w:rPr>
              <w:t>4</w:t>
            </w:r>
          </w:p>
        </w:tc>
      </w:tr>
      <w:tr w:rsidR="004A2141" w:rsidRPr="00AD5A27" w14:paraId="7ED19597" w14:textId="77777777" w:rsidTr="005333FF">
        <w:tc>
          <w:tcPr>
            <w:tcW w:w="1332" w:type="pct"/>
            <w:shd w:val="clear" w:color="auto" w:fill="auto"/>
            <w:vAlign w:val="center"/>
          </w:tcPr>
          <w:p w14:paraId="65A1E834" w14:textId="1384A88D" w:rsidR="004A2141" w:rsidRPr="00AD5A27" w:rsidRDefault="004A2141" w:rsidP="004A2141">
            <w:pPr>
              <w:pStyle w:val="TableText0"/>
              <w:rPr>
                <w:szCs w:val="20"/>
              </w:rPr>
            </w:pPr>
            <w:r w:rsidRPr="00AD5A27">
              <w:rPr>
                <w:szCs w:val="20"/>
              </w:rPr>
              <w:t>Paediatric patients</w:t>
            </w:r>
            <w:r w:rsidR="00A95BF9">
              <w:rPr>
                <w:szCs w:val="20"/>
              </w:rPr>
              <w:t xml:space="preserve"> ($)</w:t>
            </w:r>
          </w:p>
        </w:tc>
        <w:tc>
          <w:tcPr>
            <w:tcW w:w="611" w:type="pct"/>
            <w:vAlign w:val="center"/>
          </w:tcPr>
          <w:p w14:paraId="0F55F49A" w14:textId="53C7D1E0" w:rsidR="004A2141" w:rsidRPr="00A95BF9" w:rsidRDefault="00860BB2" w:rsidP="004A2141">
            <w:pPr>
              <w:pStyle w:val="TableText0"/>
              <w:jc w:val="center"/>
              <w:rPr>
                <w:szCs w:val="20"/>
                <w:highlight w:val="lightGray"/>
              </w:rPr>
            </w:pPr>
            <w:r w:rsidRPr="00860BB2">
              <w:rPr>
                <w:rFonts w:hint="eastAsia"/>
                <w:color w:val="000000"/>
                <w:w w:val="15"/>
                <w:szCs w:val="20"/>
                <w:shd w:val="solid" w:color="000000" w:fill="000000"/>
                <w:fitText w:val="50" w:id="-961901042"/>
                <w14:textFill>
                  <w14:solidFill>
                    <w14:srgbClr w14:val="000000">
                      <w14:alpha w14:val="100000"/>
                    </w14:srgbClr>
                  </w14:solidFill>
                </w14:textFill>
              </w:rPr>
              <w:t xml:space="preserve">　</w:t>
            </w:r>
            <w:r w:rsidRPr="00860BB2">
              <w:rPr>
                <w:color w:val="000000"/>
                <w:w w:val="15"/>
                <w:szCs w:val="20"/>
                <w:shd w:val="solid" w:color="000000" w:fill="000000"/>
                <w:fitText w:val="50" w:id="-961901042"/>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2"/>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6F956606" w14:textId="168B81B0" w:rsidR="004A2141" w:rsidRPr="00A95BF9" w:rsidRDefault="00860BB2" w:rsidP="004A2141">
            <w:pPr>
              <w:pStyle w:val="TableText0"/>
              <w:jc w:val="center"/>
              <w:rPr>
                <w:szCs w:val="20"/>
                <w:highlight w:val="lightGray"/>
              </w:rPr>
            </w:pPr>
            <w:r w:rsidRPr="00860BB2">
              <w:rPr>
                <w:rFonts w:hint="eastAsia"/>
                <w:color w:val="000000"/>
                <w:w w:val="15"/>
                <w:szCs w:val="20"/>
                <w:shd w:val="solid" w:color="000000" w:fill="000000"/>
                <w:fitText w:val="50" w:id="-961901041"/>
                <w14:textFill>
                  <w14:solidFill>
                    <w14:srgbClr w14:val="000000">
                      <w14:alpha w14:val="100000"/>
                    </w14:srgbClr>
                  </w14:solidFill>
                </w14:textFill>
              </w:rPr>
              <w:t xml:space="preserve">　</w:t>
            </w:r>
            <w:r w:rsidRPr="00860BB2">
              <w:rPr>
                <w:color w:val="000000"/>
                <w:w w:val="15"/>
                <w:szCs w:val="20"/>
                <w:shd w:val="solid" w:color="000000" w:fill="000000"/>
                <w:fitText w:val="50" w:id="-961901041"/>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1"/>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5177E938" w14:textId="3E35C606" w:rsidR="004A2141" w:rsidRPr="00A95BF9" w:rsidRDefault="00860BB2" w:rsidP="004A2141">
            <w:pPr>
              <w:pStyle w:val="TableText0"/>
              <w:jc w:val="center"/>
              <w:rPr>
                <w:szCs w:val="20"/>
                <w:highlight w:val="lightGray"/>
              </w:rPr>
            </w:pPr>
            <w:r w:rsidRPr="00860BB2">
              <w:rPr>
                <w:rFonts w:hint="eastAsia"/>
                <w:color w:val="000000"/>
                <w:w w:val="15"/>
                <w:szCs w:val="20"/>
                <w:shd w:val="solid" w:color="000000" w:fill="000000"/>
                <w:fitText w:val="50" w:id="-961901040"/>
                <w14:textFill>
                  <w14:solidFill>
                    <w14:srgbClr w14:val="000000">
                      <w14:alpha w14:val="100000"/>
                    </w14:srgbClr>
                  </w14:solidFill>
                </w14:textFill>
              </w:rPr>
              <w:t xml:space="preserve">　</w:t>
            </w:r>
            <w:r w:rsidRPr="00860BB2">
              <w:rPr>
                <w:color w:val="000000"/>
                <w:w w:val="15"/>
                <w:szCs w:val="20"/>
                <w:shd w:val="solid" w:color="000000" w:fill="000000"/>
                <w:fitText w:val="50" w:id="-961901040"/>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0"/>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003AD8B2" w14:textId="59004089" w:rsidR="004A2141" w:rsidRPr="00A95BF9" w:rsidRDefault="00860BB2" w:rsidP="004A2141">
            <w:pPr>
              <w:pStyle w:val="TableText0"/>
              <w:jc w:val="center"/>
              <w:rPr>
                <w:szCs w:val="20"/>
                <w:highlight w:val="lightGray"/>
              </w:rPr>
            </w:pPr>
            <w:r w:rsidRPr="00860BB2">
              <w:rPr>
                <w:rFonts w:hint="eastAsia"/>
                <w:color w:val="000000"/>
                <w:w w:val="15"/>
                <w:szCs w:val="20"/>
                <w:shd w:val="solid" w:color="000000" w:fill="000000"/>
                <w:fitText w:val="50" w:id="-961901056"/>
                <w14:textFill>
                  <w14:solidFill>
                    <w14:srgbClr w14:val="000000">
                      <w14:alpha w14:val="100000"/>
                    </w14:srgbClr>
                  </w14:solidFill>
                </w14:textFill>
              </w:rPr>
              <w:t xml:space="preserve">　</w:t>
            </w:r>
            <w:r w:rsidRPr="00860BB2">
              <w:rPr>
                <w:color w:val="000000"/>
                <w:w w:val="15"/>
                <w:szCs w:val="20"/>
                <w:shd w:val="solid" w:color="000000" w:fill="000000"/>
                <w:fitText w:val="50" w:id="-961901056"/>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6"/>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6C97E5D9" w14:textId="291F5905" w:rsidR="004A2141" w:rsidRPr="00A95BF9" w:rsidRDefault="00860BB2" w:rsidP="004A2141">
            <w:pPr>
              <w:pStyle w:val="TableText0"/>
              <w:jc w:val="center"/>
              <w:rPr>
                <w:szCs w:val="20"/>
                <w:highlight w:val="lightGray"/>
              </w:rPr>
            </w:pPr>
            <w:r w:rsidRPr="00860BB2">
              <w:rPr>
                <w:rFonts w:hint="eastAsia"/>
                <w:color w:val="000000"/>
                <w:w w:val="15"/>
                <w:szCs w:val="20"/>
                <w:shd w:val="solid" w:color="000000" w:fill="000000"/>
                <w:fitText w:val="50" w:id="-961901055"/>
                <w14:textFill>
                  <w14:solidFill>
                    <w14:srgbClr w14:val="000000">
                      <w14:alpha w14:val="100000"/>
                    </w14:srgbClr>
                  </w14:solidFill>
                </w14:textFill>
              </w:rPr>
              <w:t xml:space="preserve">　</w:t>
            </w:r>
            <w:r w:rsidRPr="00860BB2">
              <w:rPr>
                <w:color w:val="000000"/>
                <w:w w:val="15"/>
                <w:szCs w:val="20"/>
                <w:shd w:val="solid" w:color="000000" w:fill="000000"/>
                <w:fitText w:val="50" w:id="-961901055"/>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5"/>
                <w14:textFill>
                  <w14:solidFill>
                    <w14:srgbClr w14:val="000000">
                      <w14:alpha w14:val="100000"/>
                    </w14:srgbClr>
                  </w14:solidFill>
                </w14:textFill>
              </w:rPr>
              <w:t xml:space="preserve">　</w:t>
            </w:r>
            <w:r w:rsidR="00333D2C" w:rsidRPr="00333D2C">
              <w:rPr>
                <w:szCs w:val="20"/>
                <w:vertAlign w:val="superscript"/>
              </w:rPr>
              <w:t>4</w:t>
            </w:r>
          </w:p>
        </w:tc>
        <w:tc>
          <w:tcPr>
            <w:tcW w:w="613" w:type="pct"/>
            <w:vAlign w:val="center"/>
          </w:tcPr>
          <w:p w14:paraId="1A59B716" w14:textId="6D9ADF56" w:rsidR="004A2141" w:rsidRPr="00A95BF9" w:rsidRDefault="00860BB2" w:rsidP="004A2141">
            <w:pPr>
              <w:pStyle w:val="TableText0"/>
              <w:jc w:val="center"/>
              <w:rPr>
                <w:szCs w:val="20"/>
                <w:highlight w:val="lightGray"/>
              </w:rPr>
            </w:pPr>
            <w:r w:rsidRPr="00860BB2">
              <w:rPr>
                <w:rFonts w:hint="eastAsia"/>
                <w:color w:val="000000"/>
                <w:w w:val="15"/>
                <w:szCs w:val="20"/>
                <w:shd w:val="solid" w:color="000000" w:fill="000000"/>
                <w:fitText w:val="50" w:id="-961901054"/>
                <w14:textFill>
                  <w14:solidFill>
                    <w14:srgbClr w14:val="000000">
                      <w14:alpha w14:val="100000"/>
                    </w14:srgbClr>
                  </w14:solidFill>
                </w14:textFill>
              </w:rPr>
              <w:t xml:space="preserve">　</w:t>
            </w:r>
            <w:r w:rsidRPr="00860BB2">
              <w:rPr>
                <w:color w:val="000000"/>
                <w:w w:val="15"/>
                <w:szCs w:val="20"/>
                <w:shd w:val="solid" w:color="000000" w:fill="000000"/>
                <w:fitText w:val="50" w:id="-961901054"/>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4"/>
                <w14:textFill>
                  <w14:solidFill>
                    <w14:srgbClr w14:val="000000">
                      <w14:alpha w14:val="100000"/>
                    </w14:srgbClr>
                  </w14:solidFill>
                </w14:textFill>
              </w:rPr>
              <w:t xml:space="preserve">　</w:t>
            </w:r>
            <w:r w:rsidR="00333D2C" w:rsidRPr="00333D2C">
              <w:rPr>
                <w:szCs w:val="20"/>
                <w:vertAlign w:val="superscript"/>
              </w:rPr>
              <w:t>4</w:t>
            </w:r>
          </w:p>
        </w:tc>
      </w:tr>
      <w:tr w:rsidR="005B3215" w:rsidRPr="00AD5A27" w14:paraId="0535B72E" w14:textId="77777777" w:rsidTr="005333FF">
        <w:tc>
          <w:tcPr>
            <w:tcW w:w="1332" w:type="pct"/>
            <w:shd w:val="clear" w:color="auto" w:fill="auto"/>
            <w:vAlign w:val="center"/>
          </w:tcPr>
          <w:p w14:paraId="54CF1C6A" w14:textId="2C4E52DD" w:rsidR="005B3215" w:rsidRPr="00AD5A27" w:rsidRDefault="003944BE" w:rsidP="007360EF">
            <w:pPr>
              <w:pStyle w:val="TableText0"/>
              <w:rPr>
                <w:szCs w:val="20"/>
                <w:vertAlign w:val="superscript"/>
              </w:rPr>
            </w:pPr>
            <w:r w:rsidRPr="00AD5A27">
              <w:rPr>
                <w:szCs w:val="20"/>
              </w:rPr>
              <w:t>Total c</w:t>
            </w:r>
            <w:r w:rsidR="005B3215" w:rsidRPr="00AD5A27">
              <w:rPr>
                <w:szCs w:val="20"/>
              </w:rPr>
              <w:t>ost to PBS/RPBS less copayments</w:t>
            </w:r>
            <w:r w:rsidR="00A95BF9">
              <w:rPr>
                <w:szCs w:val="20"/>
              </w:rPr>
              <w:t xml:space="preserve"> ($)</w:t>
            </w:r>
          </w:p>
        </w:tc>
        <w:tc>
          <w:tcPr>
            <w:tcW w:w="611" w:type="pct"/>
            <w:vAlign w:val="center"/>
          </w:tcPr>
          <w:p w14:paraId="2881DFBB" w14:textId="1D06C422"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3"/>
                <w14:textFill>
                  <w14:solidFill>
                    <w14:srgbClr w14:val="000000">
                      <w14:alpha w14:val="100000"/>
                    </w14:srgbClr>
                  </w14:solidFill>
                </w14:textFill>
              </w:rPr>
              <w:t xml:space="preserve">　</w:t>
            </w:r>
            <w:r w:rsidRPr="00860BB2">
              <w:rPr>
                <w:color w:val="000000"/>
                <w:w w:val="15"/>
                <w:szCs w:val="20"/>
                <w:shd w:val="solid" w:color="000000" w:fill="000000"/>
                <w:fitText w:val="50" w:id="-961901053"/>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3"/>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1970DEE1" w14:textId="2DDEB2BB"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2"/>
                <w14:textFill>
                  <w14:solidFill>
                    <w14:srgbClr w14:val="000000">
                      <w14:alpha w14:val="100000"/>
                    </w14:srgbClr>
                  </w14:solidFill>
                </w14:textFill>
              </w:rPr>
              <w:t xml:space="preserve">　</w:t>
            </w:r>
            <w:r w:rsidRPr="00860BB2">
              <w:rPr>
                <w:color w:val="000000"/>
                <w:w w:val="15"/>
                <w:szCs w:val="20"/>
                <w:shd w:val="solid" w:color="000000" w:fill="000000"/>
                <w:fitText w:val="50" w:id="-961901052"/>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2"/>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1A231E54" w14:textId="2BA0DDE1"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1"/>
                <w14:textFill>
                  <w14:solidFill>
                    <w14:srgbClr w14:val="000000">
                      <w14:alpha w14:val="100000"/>
                    </w14:srgbClr>
                  </w14:solidFill>
                </w14:textFill>
              </w:rPr>
              <w:t xml:space="preserve">　</w:t>
            </w:r>
            <w:r w:rsidRPr="00860BB2">
              <w:rPr>
                <w:color w:val="000000"/>
                <w:w w:val="15"/>
                <w:szCs w:val="20"/>
                <w:shd w:val="solid" w:color="000000" w:fill="000000"/>
                <w:fitText w:val="50" w:id="-961901051"/>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1"/>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504F4605" w14:textId="5C250941"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0"/>
                <w14:textFill>
                  <w14:solidFill>
                    <w14:srgbClr w14:val="000000">
                      <w14:alpha w14:val="100000"/>
                    </w14:srgbClr>
                  </w14:solidFill>
                </w14:textFill>
              </w:rPr>
              <w:t xml:space="preserve">　</w:t>
            </w:r>
            <w:r w:rsidRPr="00860BB2">
              <w:rPr>
                <w:color w:val="000000"/>
                <w:w w:val="15"/>
                <w:szCs w:val="20"/>
                <w:shd w:val="solid" w:color="000000" w:fill="000000"/>
                <w:fitText w:val="50" w:id="-961901050"/>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0"/>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0C3E0EED" w14:textId="51A9278B"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9"/>
                <w14:textFill>
                  <w14:solidFill>
                    <w14:srgbClr w14:val="000000">
                      <w14:alpha w14:val="100000"/>
                    </w14:srgbClr>
                  </w14:solidFill>
                </w14:textFill>
              </w:rPr>
              <w:t xml:space="preserve">　</w:t>
            </w:r>
            <w:r w:rsidRPr="00860BB2">
              <w:rPr>
                <w:color w:val="000000"/>
                <w:w w:val="15"/>
                <w:szCs w:val="20"/>
                <w:shd w:val="solid" w:color="000000" w:fill="000000"/>
                <w:fitText w:val="50" w:id="-961901049"/>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9"/>
                <w14:textFill>
                  <w14:solidFill>
                    <w14:srgbClr w14:val="000000">
                      <w14:alpha w14:val="100000"/>
                    </w14:srgbClr>
                  </w14:solidFill>
                </w14:textFill>
              </w:rPr>
              <w:t xml:space="preserve">　</w:t>
            </w:r>
            <w:r w:rsidR="00333D2C" w:rsidRPr="00333D2C">
              <w:rPr>
                <w:szCs w:val="20"/>
                <w:vertAlign w:val="superscript"/>
              </w:rPr>
              <w:t>4</w:t>
            </w:r>
          </w:p>
        </w:tc>
        <w:tc>
          <w:tcPr>
            <w:tcW w:w="613" w:type="pct"/>
            <w:vAlign w:val="center"/>
          </w:tcPr>
          <w:p w14:paraId="43CF5D29" w14:textId="35EDE413"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8"/>
                <w14:textFill>
                  <w14:solidFill>
                    <w14:srgbClr w14:val="000000">
                      <w14:alpha w14:val="100000"/>
                    </w14:srgbClr>
                  </w14:solidFill>
                </w14:textFill>
              </w:rPr>
              <w:t xml:space="preserve">　</w:t>
            </w:r>
            <w:r w:rsidRPr="00860BB2">
              <w:rPr>
                <w:color w:val="000000"/>
                <w:w w:val="15"/>
                <w:szCs w:val="20"/>
                <w:shd w:val="solid" w:color="000000" w:fill="000000"/>
                <w:fitText w:val="50" w:id="-961901048"/>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8"/>
                <w14:textFill>
                  <w14:solidFill>
                    <w14:srgbClr w14:val="000000">
                      <w14:alpha w14:val="100000"/>
                    </w14:srgbClr>
                  </w14:solidFill>
                </w14:textFill>
              </w:rPr>
              <w:t xml:space="preserve">　</w:t>
            </w:r>
            <w:r w:rsidR="00333D2C" w:rsidRPr="00333D2C">
              <w:rPr>
                <w:szCs w:val="20"/>
                <w:vertAlign w:val="superscript"/>
              </w:rPr>
              <w:t>4</w:t>
            </w:r>
          </w:p>
        </w:tc>
      </w:tr>
      <w:tr w:rsidR="005B3215" w:rsidRPr="00AD5A27" w14:paraId="1FFEC1A6" w14:textId="77777777" w:rsidTr="007360EF">
        <w:tc>
          <w:tcPr>
            <w:tcW w:w="5000" w:type="pct"/>
            <w:gridSpan w:val="7"/>
            <w:shd w:val="clear" w:color="auto" w:fill="auto"/>
            <w:vAlign w:val="center"/>
          </w:tcPr>
          <w:p w14:paraId="78C1058C" w14:textId="77777777" w:rsidR="005B3215" w:rsidRPr="00AD5A27" w:rsidRDefault="005B3215" w:rsidP="007360EF">
            <w:pPr>
              <w:pStyle w:val="TableText0"/>
              <w:rPr>
                <w:szCs w:val="20"/>
              </w:rPr>
            </w:pPr>
            <w:r w:rsidRPr="00AD5A27">
              <w:rPr>
                <w:szCs w:val="20"/>
              </w:rPr>
              <w:t>Estimated financial implications for other medicines</w:t>
            </w:r>
          </w:p>
        </w:tc>
      </w:tr>
      <w:tr w:rsidR="005B3215" w:rsidRPr="00AD5A27" w14:paraId="3095D497" w14:textId="77777777" w:rsidTr="005333FF">
        <w:tc>
          <w:tcPr>
            <w:tcW w:w="1332" w:type="pct"/>
            <w:shd w:val="clear" w:color="auto" w:fill="auto"/>
            <w:vAlign w:val="center"/>
          </w:tcPr>
          <w:p w14:paraId="0B57C577" w14:textId="642C27EE" w:rsidR="005B3215" w:rsidRPr="00AD5A27" w:rsidRDefault="005B3215" w:rsidP="007360EF">
            <w:pPr>
              <w:pStyle w:val="TableText0"/>
              <w:rPr>
                <w:szCs w:val="20"/>
              </w:rPr>
            </w:pPr>
            <w:r w:rsidRPr="00AD5A27">
              <w:rPr>
                <w:szCs w:val="20"/>
              </w:rPr>
              <w:t>Cost to PBS/RPBS less copayments</w:t>
            </w:r>
            <w:r w:rsidR="00A95BF9">
              <w:rPr>
                <w:szCs w:val="20"/>
              </w:rPr>
              <w:t xml:space="preserve"> ($)</w:t>
            </w:r>
          </w:p>
        </w:tc>
        <w:tc>
          <w:tcPr>
            <w:tcW w:w="611" w:type="pct"/>
            <w:shd w:val="clear" w:color="auto" w:fill="auto"/>
            <w:vAlign w:val="center"/>
          </w:tcPr>
          <w:p w14:paraId="413F16A2" w14:textId="2B847BFA"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7"/>
                <w14:textFill>
                  <w14:solidFill>
                    <w14:srgbClr w14:val="000000">
                      <w14:alpha w14:val="100000"/>
                    </w14:srgbClr>
                  </w14:solidFill>
                </w14:textFill>
              </w:rPr>
              <w:t xml:space="preserve">　</w:t>
            </w:r>
            <w:r w:rsidRPr="00860BB2">
              <w:rPr>
                <w:color w:val="000000"/>
                <w:w w:val="15"/>
                <w:szCs w:val="20"/>
                <w:shd w:val="solid" w:color="000000" w:fill="000000"/>
                <w:fitText w:val="50" w:id="-961901047"/>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7"/>
                <w14:textFill>
                  <w14:solidFill>
                    <w14:srgbClr w14:val="000000">
                      <w14:alpha w14:val="100000"/>
                    </w14:srgbClr>
                  </w14:solidFill>
                </w14:textFill>
              </w:rPr>
              <w:t xml:space="preserve">　</w:t>
            </w:r>
            <w:r w:rsidR="00333D2C" w:rsidRPr="00333D2C">
              <w:rPr>
                <w:szCs w:val="20"/>
                <w:vertAlign w:val="superscript"/>
              </w:rPr>
              <w:t>4</w:t>
            </w:r>
          </w:p>
        </w:tc>
        <w:tc>
          <w:tcPr>
            <w:tcW w:w="611" w:type="pct"/>
            <w:shd w:val="clear" w:color="auto" w:fill="auto"/>
            <w:vAlign w:val="center"/>
          </w:tcPr>
          <w:p w14:paraId="2C542BBB" w14:textId="3C24FA2F"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6"/>
                <w14:textFill>
                  <w14:solidFill>
                    <w14:srgbClr w14:val="000000">
                      <w14:alpha w14:val="100000"/>
                    </w14:srgbClr>
                  </w14:solidFill>
                </w14:textFill>
              </w:rPr>
              <w:t xml:space="preserve">　</w:t>
            </w:r>
            <w:r w:rsidRPr="00860BB2">
              <w:rPr>
                <w:color w:val="000000"/>
                <w:w w:val="15"/>
                <w:szCs w:val="20"/>
                <w:shd w:val="solid" w:color="000000" w:fill="000000"/>
                <w:fitText w:val="50" w:id="-961901046"/>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6"/>
                <w14:textFill>
                  <w14:solidFill>
                    <w14:srgbClr w14:val="000000">
                      <w14:alpha w14:val="100000"/>
                    </w14:srgbClr>
                  </w14:solidFill>
                </w14:textFill>
              </w:rPr>
              <w:t xml:space="preserve">　</w:t>
            </w:r>
            <w:r w:rsidR="00333D2C" w:rsidRPr="00333D2C">
              <w:rPr>
                <w:szCs w:val="20"/>
                <w:vertAlign w:val="superscript"/>
              </w:rPr>
              <w:t>4</w:t>
            </w:r>
          </w:p>
        </w:tc>
        <w:tc>
          <w:tcPr>
            <w:tcW w:w="611" w:type="pct"/>
            <w:shd w:val="clear" w:color="auto" w:fill="auto"/>
            <w:vAlign w:val="center"/>
          </w:tcPr>
          <w:p w14:paraId="341E6779" w14:textId="34636BCB"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5"/>
                <w14:textFill>
                  <w14:solidFill>
                    <w14:srgbClr w14:val="000000">
                      <w14:alpha w14:val="100000"/>
                    </w14:srgbClr>
                  </w14:solidFill>
                </w14:textFill>
              </w:rPr>
              <w:t xml:space="preserve">　</w:t>
            </w:r>
            <w:r w:rsidRPr="00860BB2">
              <w:rPr>
                <w:color w:val="000000"/>
                <w:w w:val="15"/>
                <w:szCs w:val="20"/>
                <w:shd w:val="solid" w:color="000000" w:fill="000000"/>
                <w:fitText w:val="50" w:id="-961901045"/>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5"/>
                <w14:textFill>
                  <w14:solidFill>
                    <w14:srgbClr w14:val="000000">
                      <w14:alpha w14:val="100000"/>
                    </w14:srgbClr>
                  </w14:solidFill>
                </w14:textFill>
              </w:rPr>
              <w:t xml:space="preserve">　</w:t>
            </w:r>
            <w:r w:rsidR="00333D2C" w:rsidRPr="00333D2C">
              <w:rPr>
                <w:szCs w:val="20"/>
                <w:vertAlign w:val="superscript"/>
              </w:rPr>
              <w:t>4</w:t>
            </w:r>
          </w:p>
        </w:tc>
        <w:tc>
          <w:tcPr>
            <w:tcW w:w="611" w:type="pct"/>
            <w:shd w:val="clear" w:color="auto" w:fill="auto"/>
            <w:vAlign w:val="center"/>
          </w:tcPr>
          <w:p w14:paraId="0D744BD3" w14:textId="5875B22A"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4"/>
                <w14:textFill>
                  <w14:solidFill>
                    <w14:srgbClr w14:val="000000">
                      <w14:alpha w14:val="100000"/>
                    </w14:srgbClr>
                  </w14:solidFill>
                </w14:textFill>
              </w:rPr>
              <w:t xml:space="preserve">　</w:t>
            </w:r>
            <w:r w:rsidRPr="00860BB2">
              <w:rPr>
                <w:color w:val="000000"/>
                <w:w w:val="15"/>
                <w:szCs w:val="20"/>
                <w:shd w:val="solid" w:color="000000" w:fill="000000"/>
                <w:fitText w:val="50" w:id="-961901044"/>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4"/>
                <w14:textFill>
                  <w14:solidFill>
                    <w14:srgbClr w14:val="000000">
                      <w14:alpha w14:val="100000"/>
                    </w14:srgbClr>
                  </w14:solidFill>
                </w14:textFill>
              </w:rPr>
              <w:t xml:space="preserve">　</w:t>
            </w:r>
            <w:r w:rsidR="00333D2C" w:rsidRPr="00333D2C">
              <w:rPr>
                <w:szCs w:val="20"/>
                <w:vertAlign w:val="superscript"/>
              </w:rPr>
              <w:t>4</w:t>
            </w:r>
          </w:p>
        </w:tc>
        <w:tc>
          <w:tcPr>
            <w:tcW w:w="611" w:type="pct"/>
            <w:shd w:val="clear" w:color="auto" w:fill="auto"/>
            <w:vAlign w:val="center"/>
          </w:tcPr>
          <w:p w14:paraId="418DA057" w14:textId="5E7BF8BE"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3"/>
                <w14:textFill>
                  <w14:solidFill>
                    <w14:srgbClr w14:val="000000">
                      <w14:alpha w14:val="100000"/>
                    </w14:srgbClr>
                  </w14:solidFill>
                </w14:textFill>
              </w:rPr>
              <w:t xml:space="preserve">　</w:t>
            </w:r>
            <w:r w:rsidRPr="00860BB2">
              <w:rPr>
                <w:color w:val="000000"/>
                <w:w w:val="15"/>
                <w:szCs w:val="20"/>
                <w:shd w:val="solid" w:color="000000" w:fill="000000"/>
                <w:fitText w:val="50" w:id="-961901043"/>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3"/>
                <w14:textFill>
                  <w14:solidFill>
                    <w14:srgbClr w14:val="000000">
                      <w14:alpha w14:val="100000"/>
                    </w14:srgbClr>
                  </w14:solidFill>
                </w14:textFill>
              </w:rPr>
              <w:t xml:space="preserve">　</w:t>
            </w:r>
            <w:r w:rsidR="00333D2C" w:rsidRPr="00333D2C">
              <w:rPr>
                <w:szCs w:val="20"/>
                <w:vertAlign w:val="superscript"/>
              </w:rPr>
              <w:t>4</w:t>
            </w:r>
          </w:p>
        </w:tc>
        <w:tc>
          <w:tcPr>
            <w:tcW w:w="613" w:type="pct"/>
            <w:shd w:val="clear" w:color="auto" w:fill="auto"/>
            <w:vAlign w:val="center"/>
          </w:tcPr>
          <w:p w14:paraId="714CF667" w14:textId="40772070"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2"/>
                <w14:textFill>
                  <w14:solidFill>
                    <w14:srgbClr w14:val="000000">
                      <w14:alpha w14:val="100000"/>
                    </w14:srgbClr>
                  </w14:solidFill>
                </w14:textFill>
              </w:rPr>
              <w:t xml:space="preserve">　</w:t>
            </w:r>
            <w:r w:rsidRPr="00860BB2">
              <w:rPr>
                <w:color w:val="000000"/>
                <w:w w:val="15"/>
                <w:szCs w:val="20"/>
                <w:shd w:val="solid" w:color="000000" w:fill="000000"/>
                <w:fitText w:val="50" w:id="-961901042"/>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2"/>
                <w14:textFill>
                  <w14:solidFill>
                    <w14:srgbClr w14:val="000000">
                      <w14:alpha w14:val="100000"/>
                    </w14:srgbClr>
                  </w14:solidFill>
                </w14:textFill>
              </w:rPr>
              <w:t xml:space="preserve">　</w:t>
            </w:r>
            <w:r w:rsidR="00333D2C" w:rsidRPr="00333D2C">
              <w:rPr>
                <w:szCs w:val="20"/>
                <w:vertAlign w:val="superscript"/>
              </w:rPr>
              <w:t>4</w:t>
            </w:r>
          </w:p>
        </w:tc>
      </w:tr>
      <w:tr w:rsidR="005B3215" w:rsidRPr="00AD5A27" w14:paraId="2876D98C" w14:textId="77777777" w:rsidTr="007360EF">
        <w:tc>
          <w:tcPr>
            <w:tcW w:w="5000" w:type="pct"/>
            <w:gridSpan w:val="7"/>
            <w:shd w:val="clear" w:color="auto" w:fill="auto"/>
            <w:vAlign w:val="center"/>
          </w:tcPr>
          <w:p w14:paraId="7F097267" w14:textId="77777777" w:rsidR="005B3215" w:rsidRPr="00AD5A27" w:rsidRDefault="005B3215" w:rsidP="007360EF">
            <w:pPr>
              <w:pStyle w:val="In-tableHeading"/>
              <w:rPr>
                <w:szCs w:val="20"/>
                <w:lang w:val="en-AU"/>
              </w:rPr>
            </w:pPr>
            <w:r w:rsidRPr="00AD5A27">
              <w:rPr>
                <w:szCs w:val="20"/>
                <w:lang w:val="en-AU"/>
              </w:rPr>
              <w:t>Net financial implications</w:t>
            </w:r>
            <w:r w:rsidRPr="00AD5A27">
              <w:rPr>
                <w:color w:val="4BACC6" w:themeColor="accent5"/>
                <w:szCs w:val="20"/>
                <w:lang w:val="en-AU"/>
              </w:rPr>
              <w:t xml:space="preserve"> </w:t>
            </w:r>
          </w:p>
        </w:tc>
      </w:tr>
      <w:tr w:rsidR="005B3215" w:rsidRPr="00AD5A27" w14:paraId="203DC349" w14:textId="77777777" w:rsidTr="005333FF">
        <w:tc>
          <w:tcPr>
            <w:tcW w:w="1332" w:type="pct"/>
            <w:shd w:val="clear" w:color="auto" w:fill="auto"/>
            <w:vAlign w:val="center"/>
          </w:tcPr>
          <w:p w14:paraId="72849AB6" w14:textId="6B65BD71" w:rsidR="005B3215" w:rsidRPr="00AD5A27" w:rsidRDefault="005B3215" w:rsidP="007360EF">
            <w:pPr>
              <w:pStyle w:val="TableText0"/>
              <w:rPr>
                <w:szCs w:val="20"/>
              </w:rPr>
            </w:pPr>
            <w:r w:rsidRPr="00AD5A27">
              <w:rPr>
                <w:szCs w:val="20"/>
              </w:rPr>
              <w:t>Net cost to PBS/RPBS</w:t>
            </w:r>
            <w:r w:rsidR="00A95BF9">
              <w:rPr>
                <w:szCs w:val="20"/>
              </w:rPr>
              <w:t xml:space="preserve"> ($)</w:t>
            </w:r>
          </w:p>
        </w:tc>
        <w:tc>
          <w:tcPr>
            <w:tcW w:w="611" w:type="pct"/>
            <w:vAlign w:val="center"/>
          </w:tcPr>
          <w:p w14:paraId="64302390" w14:textId="0364507C" w:rsidR="005B3215" w:rsidRPr="00333D2C"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1"/>
                <w14:textFill>
                  <w14:solidFill>
                    <w14:srgbClr w14:val="000000">
                      <w14:alpha w14:val="100000"/>
                    </w14:srgbClr>
                  </w14:solidFill>
                </w14:textFill>
              </w:rPr>
              <w:t xml:space="preserve">　</w:t>
            </w:r>
            <w:r w:rsidRPr="00860BB2">
              <w:rPr>
                <w:color w:val="000000"/>
                <w:w w:val="15"/>
                <w:szCs w:val="20"/>
                <w:shd w:val="solid" w:color="000000" w:fill="000000"/>
                <w:fitText w:val="50" w:id="-961901041"/>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1"/>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25D13770" w14:textId="061ED031" w:rsidR="005B3215" w:rsidRPr="00333D2C"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0"/>
                <w14:textFill>
                  <w14:solidFill>
                    <w14:srgbClr w14:val="000000">
                      <w14:alpha w14:val="100000"/>
                    </w14:srgbClr>
                  </w14:solidFill>
                </w14:textFill>
              </w:rPr>
              <w:t xml:space="preserve">　</w:t>
            </w:r>
            <w:r w:rsidRPr="00860BB2">
              <w:rPr>
                <w:color w:val="000000"/>
                <w:w w:val="15"/>
                <w:szCs w:val="20"/>
                <w:shd w:val="solid" w:color="000000" w:fill="000000"/>
                <w:fitText w:val="50" w:id="-961901040"/>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0"/>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66487B48" w14:textId="3032CB04" w:rsidR="005B3215" w:rsidRPr="00333D2C"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6"/>
                <w14:textFill>
                  <w14:solidFill>
                    <w14:srgbClr w14:val="000000">
                      <w14:alpha w14:val="100000"/>
                    </w14:srgbClr>
                  </w14:solidFill>
                </w14:textFill>
              </w:rPr>
              <w:t xml:space="preserve">　</w:t>
            </w:r>
            <w:r w:rsidRPr="00860BB2">
              <w:rPr>
                <w:color w:val="000000"/>
                <w:w w:val="15"/>
                <w:szCs w:val="20"/>
                <w:shd w:val="solid" w:color="000000" w:fill="000000"/>
                <w:fitText w:val="50" w:id="-961901056"/>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6"/>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05AE70D2" w14:textId="2C1428B5" w:rsidR="005B3215" w:rsidRPr="00333D2C"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5"/>
                <w14:textFill>
                  <w14:solidFill>
                    <w14:srgbClr w14:val="000000">
                      <w14:alpha w14:val="100000"/>
                    </w14:srgbClr>
                  </w14:solidFill>
                </w14:textFill>
              </w:rPr>
              <w:t xml:space="preserve">　</w:t>
            </w:r>
            <w:r w:rsidRPr="00860BB2">
              <w:rPr>
                <w:color w:val="000000"/>
                <w:w w:val="15"/>
                <w:szCs w:val="20"/>
                <w:shd w:val="solid" w:color="000000" w:fill="000000"/>
                <w:fitText w:val="50" w:id="-961901055"/>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5"/>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102ADED7" w14:textId="61A585A4" w:rsidR="005B3215" w:rsidRPr="00333D2C"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4"/>
                <w14:textFill>
                  <w14:solidFill>
                    <w14:srgbClr w14:val="000000">
                      <w14:alpha w14:val="100000"/>
                    </w14:srgbClr>
                  </w14:solidFill>
                </w14:textFill>
              </w:rPr>
              <w:t xml:space="preserve">　</w:t>
            </w:r>
            <w:r w:rsidRPr="00860BB2">
              <w:rPr>
                <w:color w:val="000000"/>
                <w:w w:val="15"/>
                <w:szCs w:val="20"/>
                <w:shd w:val="solid" w:color="000000" w:fill="000000"/>
                <w:fitText w:val="50" w:id="-961901054"/>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4"/>
                <w14:textFill>
                  <w14:solidFill>
                    <w14:srgbClr w14:val="000000">
                      <w14:alpha w14:val="100000"/>
                    </w14:srgbClr>
                  </w14:solidFill>
                </w14:textFill>
              </w:rPr>
              <w:t xml:space="preserve">　</w:t>
            </w:r>
            <w:r w:rsidR="00333D2C" w:rsidRPr="00333D2C">
              <w:rPr>
                <w:szCs w:val="20"/>
                <w:vertAlign w:val="superscript"/>
              </w:rPr>
              <w:t>4</w:t>
            </w:r>
          </w:p>
        </w:tc>
        <w:tc>
          <w:tcPr>
            <w:tcW w:w="613" w:type="pct"/>
            <w:vAlign w:val="center"/>
          </w:tcPr>
          <w:p w14:paraId="57B39A92" w14:textId="2C7DA4E4" w:rsidR="005B3215" w:rsidRPr="00333D2C"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3"/>
                <w14:textFill>
                  <w14:solidFill>
                    <w14:srgbClr w14:val="000000">
                      <w14:alpha w14:val="100000"/>
                    </w14:srgbClr>
                  </w14:solidFill>
                </w14:textFill>
              </w:rPr>
              <w:t xml:space="preserve">　</w:t>
            </w:r>
            <w:r w:rsidRPr="00860BB2">
              <w:rPr>
                <w:color w:val="000000"/>
                <w:w w:val="15"/>
                <w:szCs w:val="20"/>
                <w:shd w:val="solid" w:color="000000" w:fill="000000"/>
                <w:fitText w:val="50" w:id="-961901053"/>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3"/>
                <w14:textFill>
                  <w14:solidFill>
                    <w14:srgbClr w14:val="000000">
                      <w14:alpha w14:val="100000"/>
                    </w14:srgbClr>
                  </w14:solidFill>
                </w14:textFill>
              </w:rPr>
              <w:t xml:space="preserve">　</w:t>
            </w:r>
            <w:r w:rsidR="00333D2C" w:rsidRPr="00333D2C">
              <w:rPr>
                <w:szCs w:val="20"/>
                <w:vertAlign w:val="superscript"/>
              </w:rPr>
              <w:t>4</w:t>
            </w:r>
          </w:p>
        </w:tc>
      </w:tr>
      <w:tr w:rsidR="005B3215" w:rsidRPr="00AD5A27" w14:paraId="0C6BBB7C" w14:textId="77777777" w:rsidTr="005333FF">
        <w:tc>
          <w:tcPr>
            <w:tcW w:w="1332" w:type="pct"/>
            <w:shd w:val="clear" w:color="auto" w:fill="auto"/>
            <w:vAlign w:val="center"/>
          </w:tcPr>
          <w:p w14:paraId="7C797EBD" w14:textId="091DC5E7" w:rsidR="005B3215" w:rsidRPr="00AD5A27" w:rsidRDefault="005B3215" w:rsidP="007360EF">
            <w:pPr>
              <w:pStyle w:val="TableText0"/>
              <w:rPr>
                <w:rFonts w:ascii="Times" w:hAnsi="Times"/>
                <w:szCs w:val="20"/>
              </w:rPr>
            </w:pPr>
            <w:r w:rsidRPr="00AD5A27">
              <w:rPr>
                <w:szCs w:val="20"/>
              </w:rPr>
              <w:t>Net cost to MBS/</w:t>
            </w:r>
            <w:r w:rsidRPr="00AD5A27" w:rsidDel="00D244B6">
              <w:rPr>
                <w:szCs w:val="20"/>
              </w:rPr>
              <w:t xml:space="preserve"> </w:t>
            </w:r>
            <w:r w:rsidRPr="00AD5A27">
              <w:rPr>
                <w:szCs w:val="20"/>
              </w:rPr>
              <w:t>Services Australia/other</w:t>
            </w:r>
            <w:r w:rsidR="00A95BF9">
              <w:rPr>
                <w:szCs w:val="20"/>
              </w:rPr>
              <w:t xml:space="preserve"> ($)</w:t>
            </w:r>
          </w:p>
        </w:tc>
        <w:tc>
          <w:tcPr>
            <w:tcW w:w="611" w:type="pct"/>
            <w:shd w:val="clear" w:color="auto" w:fill="auto"/>
            <w:vAlign w:val="center"/>
          </w:tcPr>
          <w:p w14:paraId="5C0013D7" w14:textId="330010AF"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2"/>
                <w14:textFill>
                  <w14:solidFill>
                    <w14:srgbClr w14:val="000000">
                      <w14:alpha w14:val="100000"/>
                    </w14:srgbClr>
                  </w14:solidFill>
                </w14:textFill>
              </w:rPr>
              <w:t xml:space="preserve">　</w:t>
            </w:r>
            <w:r w:rsidRPr="00860BB2">
              <w:rPr>
                <w:color w:val="000000"/>
                <w:w w:val="15"/>
                <w:szCs w:val="20"/>
                <w:shd w:val="solid" w:color="000000" w:fill="000000"/>
                <w:fitText w:val="50" w:id="-961901052"/>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2"/>
                <w14:textFill>
                  <w14:solidFill>
                    <w14:srgbClr w14:val="000000">
                      <w14:alpha w14:val="100000"/>
                    </w14:srgbClr>
                  </w14:solidFill>
                </w14:textFill>
              </w:rPr>
              <w:t xml:space="preserve">　</w:t>
            </w:r>
            <w:r w:rsidR="00333D2C" w:rsidRPr="00333D2C">
              <w:rPr>
                <w:szCs w:val="20"/>
                <w:vertAlign w:val="superscript"/>
              </w:rPr>
              <w:t>4</w:t>
            </w:r>
          </w:p>
        </w:tc>
        <w:tc>
          <w:tcPr>
            <w:tcW w:w="611" w:type="pct"/>
            <w:shd w:val="clear" w:color="auto" w:fill="auto"/>
            <w:vAlign w:val="center"/>
          </w:tcPr>
          <w:p w14:paraId="0A0610A0" w14:textId="4199E638"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1"/>
                <w14:textFill>
                  <w14:solidFill>
                    <w14:srgbClr w14:val="000000">
                      <w14:alpha w14:val="100000"/>
                    </w14:srgbClr>
                  </w14:solidFill>
                </w14:textFill>
              </w:rPr>
              <w:t xml:space="preserve">　</w:t>
            </w:r>
            <w:r w:rsidRPr="00860BB2">
              <w:rPr>
                <w:color w:val="000000"/>
                <w:w w:val="15"/>
                <w:szCs w:val="20"/>
                <w:shd w:val="solid" w:color="000000" w:fill="000000"/>
                <w:fitText w:val="50" w:id="-961901051"/>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1"/>
                <w14:textFill>
                  <w14:solidFill>
                    <w14:srgbClr w14:val="000000">
                      <w14:alpha w14:val="100000"/>
                    </w14:srgbClr>
                  </w14:solidFill>
                </w14:textFill>
              </w:rPr>
              <w:t xml:space="preserve">　</w:t>
            </w:r>
            <w:r w:rsidR="00333D2C" w:rsidRPr="00333D2C">
              <w:rPr>
                <w:szCs w:val="20"/>
                <w:vertAlign w:val="superscript"/>
              </w:rPr>
              <w:t>4</w:t>
            </w:r>
          </w:p>
        </w:tc>
        <w:tc>
          <w:tcPr>
            <w:tcW w:w="611" w:type="pct"/>
            <w:shd w:val="clear" w:color="auto" w:fill="auto"/>
            <w:vAlign w:val="center"/>
          </w:tcPr>
          <w:p w14:paraId="25B884B9" w14:textId="3D6CD8BA"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0"/>
                <w14:textFill>
                  <w14:solidFill>
                    <w14:srgbClr w14:val="000000">
                      <w14:alpha w14:val="100000"/>
                    </w14:srgbClr>
                  </w14:solidFill>
                </w14:textFill>
              </w:rPr>
              <w:t xml:space="preserve">　</w:t>
            </w:r>
            <w:r w:rsidRPr="00860BB2">
              <w:rPr>
                <w:color w:val="000000"/>
                <w:w w:val="15"/>
                <w:szCs w:val="20"/>
                <w:shd w:val="solid" w:color="000000" w:fill="000000"/>
                <w:fitText w:val="50" w:id="-961901050"/>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0"/>
                <w14:textFill>
                  <w14:solidFill>
                    <w14:srgbClr w14:val="000000">
                      <w14:alpha w14:val="100000"/>
                    </w14:srgbClr>
                  </w14:solidFill>
                </w14:textFill>
              </w:rPr>
              <w:t xml:space="preserve">　</w:t>
            </w:r>
            <w:r w:rsidR="00333D2C" w:rsidRPr="00333D2C">
              <w:rPr>
                <w:szCs w:val="20"/>
                <w:vertAlign w:val="superscript"/>
              </w:rPr>
              <w:t>4</w:t>
            </w:r>
          </w:p>
        </w:tc>
        <w:tc>
          <w:tcPr>
            <w:tcW w:w="611" w:type="pct"/>
            <w:shd w:val="clear" w:color="auto" w:fill="auto"/>
            <w:vAlign w:val="center"/>
          </w:tcPr>
          <w:p w14:paraId="32C86255" w14:textId="0DC4C9E3"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9"/>
                <w14:textFill>
                  <w14:solidFill>
                    <w14:srgbClr w14:val="000000">
                      <w14:alpha w14:val="100000"/>
                    </w14:srgbClr>
                  </w14:solidFill>
                </w14:textFill>
              </w:rPr>
              <w:t xml:space="preserve">　</w:t>
            </w:r>
            <w:r w:rsidRPr="00860BB2">
              <w:rPr>
                <w:color w:val="000000"/>
                <w:w w:val="15"/>
                <w:szCs w:val="20"/>
                <w:shd w:val="solid" w:color="000000" w:fill="000000"/>
                <w:fitText w:val="50" w:id="-961901049"/>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9"/>
                <w14:textFill>
                  <w14:solidFill>
                    <w14:srgbClr w14:val="000000">
                      <w14:alpha w14:val="100000"/>
                    </w14:srgbClr>
                  </w14:solidFill>
                </w14:textFill>
              </w:rPr>
              <w:t xml:space="preserve">　</w:t>
            </w:r>
            <w:r w:rsidR="00333D2C" w:rsidRPr="00333D2C">
              <w:rPr>
                <w:szCs w:val="20"/>
                <w:vertAlign w:val="superscript"/>
              </w:rPr>
              <w:t>4</w:t>
            </w:r>
          </w:p>
        </w:tc>
        <w:tc>
          <w:tcPr>
            <w:tcW w:w="611" w:type="pct"/>
            <w:shd w:val="clear" w:color="auto" w:fill="auto"/>
            <w:vAlign w:val="center"/>
          </w:tcPr>
          <w:p w14:paraId="4C712867" w14:textId="7396A73D"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8"/>
                <w14:textFill>
                  <w14:solidFill>
                    <w14:srgbClr w14:val="000000">
                      <w14:alpha w14:val="100000"/>
                    </w14:srgbClr>
                  </w14:solidFill>
                </w14:textFill>
              </w:rPr>
              <w:t xml:space="preserve">　</w:t>
            </w:r>
            <w:r w:rsidRPr="00860BB2">
              <w:rPr>
                <w:color w:val="000000"/>
                <w:w w:val="15"/>
                <w:szCs w:val="20"/>
                <w:shd w:val="solid" w:color="000000" w:fill="000000"/>
                <w:fitText w:val="50" w:id="-961901048"/>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8"/>
                <w14:textFill>
                  <w14:solidFill>
                    <w14:srgbClr w14:val="000000">
                      <w14:alpha w14:val="100000"/>
                    </w14:srgbClr>
                  </w14:solidFill>
                </w14:textFill>
              </w:rPr>
              <w:t xml:space="preserve">　</w:t>
            </w:r>
            <w:r w:rsidR="00333D2C" w:rsidRPr="00333D2C">
              <w:rPr>
                <w:szCs w:val="20"/>
                <w:vertAlign w:val="superscript"/>
              </w:rPr>
              <w:t>4</w:t>
            </w:r>
          </w:p>
        </w:tc>
        <w:tc>
          <w:tcPr>
            <w:tcW w:w="613" w:type="pct"/>
            <w:shd w:val="clear" w:color="auto" w:fill="auto"/>
            <w:vAlign w:val="center"/>
          </w:tcPr>
          <w:p w14:paraId="2C27C2DF" w14:textId="0D06EF88"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7"/>
                <w14:textFill>
                  <w14:solidFill>
                    <w14:srgbClr w14:val="000000">
                      <w14:alpha w14:val="100000"/>
                    </w14:srgbClr>
                  </w14:solidFill>
                </w14:textFill>
              </w:rPr>
              <w:t xml:space="preserve">　</w:t>
            </w:r>
            <w:r w:rsidRPr="00860BB2">
              <w:rPr>
                <w:color w:val="000000"/>
                <w:w w:val="15"/>
                <w:szCs w:val="20"/>
                <w:shd w:val="solid" w:color="000000" w:fill="000000"/>
                <w:fitText w:val="50" w:id="-961901047"/>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7"/>
                <w14:textFill>
                  <w14:solidFill>
                    <w14:srgbClr w14:val="000000">
                      <w14:alpha w14:val="100000"/>
                    </w14:srgbClr>
                  </w14:solidFill>
                </w14:textFill>
              </w:rPr>
              <w:t xml:space="preserve">　</w:t>
            </w:r>
            <w:r w:rsidR="00333D2C" w:rsidRPr="00333D2C">
              <w:rPr>
                <w:szCs w:val="20"/>
                <w:vertAlign w:val="superscript"/>
              </w:rPr>
              <w:t>4</w:t>
            </w:r>
          </w:p>
        </w:tc>
      </w:tr>
      <w:tr w:rsidR="005B3215" w:rsidRPr="00AD5A27" w14:paraId="1E4B56A0" w14:textId="77777777" w:rsidTr="005333FF">
        <w:tc>
          <w:tcPr>
            <w:tcW w:w="1332" w:type="pct"/>
            <w:shd w:val="clear" w:color="auto" w:fill="auto"/>
            <w:vAlign w:val="center"/>
          </w:tcPr>
          <w:p w14:paraId="1C0428B0" w14:textId="7FD1A581" w:rsidR="005B3215" w:rsidRPr="00AD5A27" w:rsidRDefault="005B3215" w:rsidP="007360EF">
            <w:pPr>
              <w:pStyle w:val="TableText0"/>
              <w:rPr>
                <w:szCs w:val="20"/>
              </w:rPr>
            </w:pPr>
            <w:r w:rsidRPr="00AD5A27">
              <w:rPr>
                <w:szCs w:val="20"/>
              </w:rPr>
              <w:t>Net cost to PBS/RPBS/MBS/Services Australia</w:t>
            </w:r>
            <w:r w:rsidR="00A95BF9">
              <w:rPr>
                <w:szCs w:val="20"/>
              </w:rPr>
              <w:t xml:space="preserve"> ($)</w:t>
            </w:r>
          </w:p>
        </w:tc>
        <w:tc>
          <w:tcPr>
            <w:tcW w:w="611" w:type="pct"/>
            <w:vAlign w:val="center"/>
          </w:tcPr>
          <w:p w14:paraId="6699BAF5" w14:textId="2F41AE7D"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6"/>
                <w14:textFill>
                  <w14:solidFill>
                    <w14:srgbClr w14:val="000000">
                      <w14:alpha w14:val="100000"/>
                    </w14:srgbClr>
                  </w14:solidFill>
                </w14:textFill>
              </w:rPr>
              <w:t xml:space="preserve">　</w:t>
            </w:r>
            <w:r w:rsidRPr="00860BB2">
              <w:rPr>
                <w:color w:val="000000"/>
                <w:w w:val="15"/>
                <w:szCs w:val="20"/>
                <w:shd w:val="solid" w:color="000000" w:fill="000000"/>
                <w:fitText w:val="50" w:id="-961901046"/>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6"/>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32A62CBC" w14:textId="71E82107"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5"/>
                <w14:textFill>
                  <w14:solidFill>
                    <w14:srgbClr w14:val="000000">
                      <w14:alpha w14:val="100000"/>
                    </w14:srgbClr>
                  </w14:solidFill>
                </w14:textFill>
              </w:rPr>
              <w:t xml:space="preserve">　</w:t>
            </w:r>
            <w:r w:rsidRPr="00860BB2">
              <w:rPr>
                <w:color w:val="000000"/>
                <w:w w:val="15"/>
                <w:szCs w:val="20"/>
                <w:shd w:val="solid" w:color="000000" w:fill="000000"/>
                <w:fitText w:val="50" w:id="-961901045"/>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5"/>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2C0EF912" w14:textId="753B7371"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4"/>
                <w14:textFill>
                  <w14:solidFill>
                    <w14:srgbClr w14:val="000000">
                      <w14:alpha w14:val="100000"/>
                    </w14:srgbClr>
                  </w14:solidFill>
                </w14:textFill>
              </w:rPr>
              <w:t xml:space="preserve">　</w:t>
            </w:r>
            <w:r w:rsidRPr="00860BB2">
              <w:rPr>
                <w:color w:val="000000"/>
                <w:w w:val="15"/>
                <w:szCs w:val="20"/>
                <w:shd w:val="solid" w:color="000000" w:fill="000000"/>
                <w:fitText w:val="50" w:id="-961901044"/>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4"/>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5575FA09" w14:textId="30342745"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3"/>
                <w14:textFill>
                  <w14:solidFill>
                    <w14:srgbClr w14:val="000000">
                      <w14:alpha w14:val="100000"/>
                    </w14:srgbClr>
                  </w14:solidFill>
                </w14:textFill>
              </w:rPr>
              <w:t xml:space="preserve">　</w:t>
            </w:r>
            <w:r w:rsidRPr="00860BB2">
              <w:rPr>
                <w:color w:val="000000"/>
                <w:w w:val="15"/>
                <w:szCs w:val="20"/>
                <w:shd w:val="solid" w:color="000000" w:fill="000000"/>
                <w:fitText w:val="50" w:id="-961901043"/>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3"/>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2A060496" w14:textId="219DE939"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2"/>
                <w14:textFill>
                  <w14:solidFill>
                    <w14:srgbClr w14:val="000000">
                      <w14:alpha w14:val="100000"/>
                    </w14:srgbClr>
                  </w14:solidFill>
                </w14:textFill>
              </w:rPr>
              <w:t xml:space="preserve">　</w:t>
            </w:r>
            <w:r w:rsidRPr="00860BB2">
              <w:rPr>
                <w:color w:val="000000"/>
                <w:w w:val="15"/>
                <w:szCs w:val="20"/>
                <w:shd w:val="solid" w:color="000000" w:fill="000000"/>
                <w:fitText w:val="50" w:id="-961901042"/>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2"/>
                <w14:textFill>
                  <w14:solidFill>
                    <w14:srgbClr w14:val="000000">
                      <w14:alpha w14:val="100000"/>
                    </w14:srgbClr>
                  </w14:solidFill>
                </w14:textFill>
              </w:rPr>
              <w:t xml:space="preserve">　</w:t>
            </w:r>
            <w:r w:rsidR="00333D2C" w:rsidRPr="00333D2C">
              <w:rPr>
                <w:szCs w:val="20"/>
                <w:vertAlign w:val="superscript"/>
              </w:rPr>
              <w:t>4</w:t>
            </w:r>
          </w:p>
        </w:tc>
        <w:tc>
          <w:tcPr>
            <w:tcW w:w="613" w:type="pct"/>
            <w:vAlign w:val="center"/>
          </w:tcPr>
          <w:p w14:paraId="43EAB5C0" w14:textId="3CE85CF5"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1"/>
                <w14:textFill>
                  <w14:solidFill>
                    <w14:srgbClr w14:val="000000">
                      <w14:alpha w14:val="100000"/>
                    </w14:srgbClr>
                  </w14:solidFill>
                </w14:textFill>
              </w:rPr>
              <w:t xml:space="preserve">　</w:t>
            </w:r>
            <w:r w:rsidRPr="00860BB2">
              <w:rPr>
                <w:color w:val="000000"/>
                <w:w w:val="15"/>
                <w:szCs w:val="20"/>
                <w:shd w:val="solid" w:color="000000" w:fill="000000"/>
                <w:fitText w:val="50" w:id="-961901041"/>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1"/>
                <w14:textFill>
                  <w14:solidFill>
                    <w14:srgbClr w14:val="000000">
                      <w14:alpha w14:val="100000"/>
                    </w14:srgbClr>
                  </w14:solidFill>
                </w14:textFill>
              </w:rPr>
              <w:t xml:space="preserve">　</w:t>
            </w:r>
            <w:r w:rsidR="00333D2C" w:rsidRPr="00333D2C">
              <w:rPr>
                <w:szCs w:val="20"/>
                <w:vertAlign w:val="superscript"/>
              </w:rPr>
              <w:t>4</w:t>
            </w:r>
          </w:p>
        </w:tc>
      </w:tr>
      <w:tr w:rsidR="005333FF" w:rsidRPr="00AD5A27" w14:paraId="2464060A" w14:textId="77777777" w:rsidTr="005333FF">
        <w:tc>
          <w:tcPr>
            <w:tcW w:w="5000" w:type="pct"/>
            <w:gridSpan w:val="7"/>
            <w:shd w:val="clear" w:color="auto" w:fill="auto"/>
            <w:vAlign w:val="center"/>
          </w:tcPr>
          <w:p w14:paraId="36A99FCB" w14:textId="3E211B3C" w:rsidR="005333FF" w:rsidRPr="00AD5A27" w:rsidRDefault="005333FF" w:rsidP="005333FF">
            <w:pPr>
              <w:pStyle w:val="TableText0"/>
              <w:rPr>
                <w:b/>
                <w:bCs w:val="0"/>
                <w:szCs w:val="20"/>
              </w:rPr>
            </w:pPr>
            <w:r w:rsidRPr="00AD5A27">
              <w:rPr>
                <w:b/>
                <w:bCs w:val="0"/>
                <w:szCs w:val="20"/>
              </w:rPr>
              <w:t>Updated pricing: DPMQ $579.19 for 20 mg, 40 mg, 80 mg</w:t>
            </w:r>
          </w:p>
        </w:tc>
      </w:tr>
      <w:tr w:rsidR="00B353AA" w:rsidRPr="00AD5A27" w14:paraId="6F32264C" w14:textId="77777777" w:rsidTr="00860BB2">
        <w:tc>
          <w:tcPr>
            <w:tcW w:w="1332" w:type="pct"/>
            <w:shd w:val="clear" w:color="auto" w:fill="auto"/>
            <w:vAlign w:val="center"/>
          </w:tcPr>
          <w:p w14:paraId="01D2BF29" w14:textId="475A991B" w:rsidR="00B353AA" w:rsidRPr="00AD5A27" w:rsidRDefault="007C4636" w:rsidP="00B353AA">
            <w:pPr>
              <w:pStyle w:val="TableText0"/>
              <w:rPr>
                <w:szCs w:val="20"/>
                <w:vertAlign w:val="superscript"/>
              </w:rPr>
            </w:pPr>
            <w:r w:rsidRPr="00AD5A27">
              <w:rPr>
                <w:szCs w:val="20"/>
              </w:rPr>
              <w:t>Adults</w:t>
            </w:r>
            <w:r w:rsidR="00A95BF9">
              <w:rPr>
                <w:szCs w:val="20"/>
              </w:rPr>
              <w:t xml:space="preserve"> ($)</w:t>
            </w:r>
          </w:p>
        </w:tc>
        <w:tc>
          <w:tcPr>
            <w:tcW w:w="611" w:type="pct"/>
            <w:tcBorders>
              <w:bottom w:val="single" w:sz="4" w:space="0" w:color="auto"/>
            </w:tcBorders>
            <w:vAlign w:val="center"/>
          </w:tcPr>
          <w:p w14:paraId="0CFC2665" w14:textId="345D583C" w:rsidR="00B353AA" w:rsidRPr="00A95BF9" w:rsidRDefault="00860BB2" w:rsidP="00B353AA">
            <w:pPr>
              <w:pStyle w:val="TableText0"/>
              <w:jc w:val="center"/>
              <w:rPr>
                <w:szCs w:val="20"/>
                <w:highlight w:val="lightGray"/>
              </w:rPr>
            </w:pPr>
            <w:r w:rsidRPr="00860BB2">
              <w:rPr>
                <w:rFonts w:hint="eastAsia"/>
                <w:color w:val="000000"/>
                <w:w w:val="15"/>
                <w:szCs w:val="20"/>
                <w:shd w:val="solid" w:color="000000" w:fill="000000"/>
                <w:fitText w:val="50" w:id="-961901040"/>
                <w14:textFill>
                  <w14:solidFill>
                    <w14:srgbClr w14:val="000000">
                      <w14:alpha w14:val="100000"/>
                    </w14:srgbClr>
                  </w14:solidFill>
                </w14:textFill>
              </w:rPr>
              <w:t xml:space="preserve">　</w:t>
            </w:r>
            <w:r w:rsidRPr="00860BB2">
              <w:rPr>
                <w:color w:val="000000"/>
                <w:w w:val="15"/>
                <w:szCs w:val="20"/>
                <w:shd w:val="solid" w:color="000000" w:fill="000000"/>
                <w:fitText w:val="50" w:id="-961901040"/>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0"/>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4059A166" w14:textId="0852B770" w:rsidR="00B353AA" w:rsidRPr="00A95BF9" w:rsidRDefault="00860BB2" w:rsidP="00B353AA">
            <w:pPr>
              <w:pStyle w:val="TableText0"/>
              <w:jc w:val="center"/>
              <w:rPr>
                <w:szCs w:val="20"/>
                <w:highlight w:val="lightGray"/>
              </w:rPr>
            </w:pPr>
            <w:r w:rsidRPr="00860BB2">
              <w:rPr>
                <w:rFonts w:hint="eastAsia"/>
                <w:color w:val="000000"/>
                <w:w w:val="15"/>
                <w:szCs w:val="20"/>
                <w:shd w:val="solid" w:color="000000" w:fill="000000"/>
                <w:fitText w:val="50" w:id="-961901056"/>
                <w14:textFill>
                  <w14:solidFill>
                    <w14:srgbClr w14:val="000000">
                      <w14:alpha w14:val="100000"/>
                    </w14:srgbClr>
                  </w14:solidFill>
                </w14:textFill>
              </w:rPr>
              <w:t xml:space="preserve">　</w:t>
            </w:r>
            <w:r w:rsidRPr="00860BB2">
              <w:rPr>
                <w:color w:val="000000"/>
                <w:w w:val="15"/>
                <w:szCs w:val="20"/>
                <w:shd w:val="solid" w:color="000000" w:fill="000000"/>
                <w:fitText w:val="50" w:id="-961901056"/>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6"/>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49919312" w14:textId="0D627251" w:rsidR="00B353AA" w:rsidRPr="00A95BF9" w:rsidRDefault="00860BB2" w:rsidP="00B353AA">
            <w:pPr>
              <w:pStyle w:val="TableText0"/>
              <w:jc w:val="center"/>
              <w:rPr>
                <w:szCs w:val="20"/>
                <w:highlight w:val="lightGray"/>
              </w:rPr>
            </w:pPr>
            <w:r w:rsidRPr="00860BB2">
              <w:rPr>
                <w:rFonts w:hint="eastAsia"/>
                <w:color w:val="000000"/>
                <w:w w:val="15"/>
                <w:szCs w:val="20"/>
                <w:shd w:val="solid" w:color="000000" w:fill="000000"/>
                <w:fitText w:val="50" w:id="-961901055"/>
                <w14:textFill>
                  <w14:solidFill>
                    <w14:srgbClr w14:val="000000">
                      <w14:alpha w14:val="100000"/>
                    </w14:srgbClr>
                  </w14:solidFill>
                </w14:textFill>
              </w:rPr>
              <w:t xml:space="preserve">　</w:t>
            </w:r>
            <w:r w:rsidRPr="00860BB2">
              <w:rPr>
                <w:color w:val="000000"/>
                <w:w w:val="15"/>
                <w:szCs w:val="20"/>
                <w:shd w:val="solid" w:color="000000" w:fill="000000"/>
                <w:fitText w:val="50" w:id="-961901055"/>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5"/>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70C3FFF7" w14:textId="1BFE8D0C" w:rsidR="00B353AA" w:rsidRPr="00A95BF9" w:rsidRDefault="00860BB2" w:rsidP="00B353AA">
            <w:pPr>
              <w:pStyle w:val="TableText0"/>
              <w:jc w:val="center"/>
              <w:rPr>
                <w:szCs w:val="20"/>
                <w:highlight w:val="lightGray"/>
              </w:rPr>
            </w:pPr>
            <w:r w:rsidRPr="00860BB2">
              <w:rPr>
                <w:rFonts w:hint="eastAsia"/>
                <w:color w:val="000000"/>
                <w:w w:val="15"/>
                <w:szCs w:val="20"/>
                <w:shd w:val="solid" w:color="000000" w:fill="000000"/>
                <w:fitText w:val="50" w:id="-961901054"/>
                <w14:textFill>
                  <w14:solidFill>
                    <w14:srgbClr w14:val="000000">
                      <w14:alpha w14:val="100000"/>
                    </w14:srgbClr>
                  </w14:solidFill>
                </w14:textFill>
              </w:rPr>
              <w:t xml:space="preserve">　</w:t>
            </w:r>
            <w:r w:rsidRPr="00860BB2">
              <w:rPr>
                <w:color w:val="000000"/>
                <w:w w:val="15"/>
                <w:szCs w:val="20"/>
                <w:shd w:val="solid" w:color="000000" w:fill="000000"/>
                <w:fitText w:val="50" w:id="-961901054"/>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4"/>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2A3F8C2F" w14:textId="41566C15" w:rsidR="00B353AA" w:rsidRPr="00A95BF9" w:rsidRDefault="00860BB2" w:rsidP="00B353AA">
            <w:pPr>
              <w:pStyle w:val="TableText0"/>
              <w:jc w:val="center"/>
              <w:rPr>
                <w:szCs w:val="20"/>
                <w:highlight w:val="lightGray"/>
              </w:rPr>
            </w:pPr>
            <w:r w:rsidRPr="00860BB2">
              <w:rPr>
                <w:rFonts w:hint="eastAsia"/>
                <w:color w:val="000000"/>
                <w:w w:val="15"/>
                <w:szCs w:val="20"/>
                <w:shd w:val="solid" w:color="000000" w:fill="000000"/>
                <w:fitText w:val="50" w:id="-961901053"/>
                <w14:textFill>
                  <w14:solidFill>
                    <w14:srgbClr w14:val="000000">
                      <w14:alpha w14:val="100000"/>
                    </w14:srgbClr>
                  </w14:solidFill>
                </w14:textFill>
              </w:rPr>
              <w:t xml:space="preserve">　</w:t>
            </w:r>
            <w:r w:rsidRPr="00860BB2">
              <w:rPr>
                <w:color w:val="000000"/>
                <w:w w:val="15"/>
                <w:szCs w:val="20"/>
                <w:shd w:val="solid" w:color="000000" w:fill="000000"/>
                <w:fitText w:val="50" w:id="-961901053"/>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3"/>
                <w14:textFill>
                  <w14:solidFill>
                    <w14:srgbClr w14:val="000000">
                      <w14:alpha w14:val="100000"/>
                    </w14:srgbClr>
                  </w14:solidFill>
                </w14:textFill>
              </w:rPr>
              <w:t xml:space="preserve">　</w:t>
            </w:r>
            <w:r w:rsidR="00333D2C" w:rsidRPr="00333D2C">
              <w:rPr>
                <w:szCs w:val="20"/>
                <w:vertAlign w:val="superscript"/>
              </w:rPr>
              <w:t>4</w:t>
            </w:r>
          </w:p>
        </w:tc>
        <w:tc>
          <w:tcPr>
            <w:tcW w:w="613" w:type="pct"/>
            <w:vAlign w:val="center"/>
          </w:tcPr>
          <w:p w14:paraId="62F1BED0" w14:textId="7BF30952" w:rsidR="00B353AA" w:rsidRPr="00A95BF9" w:rsidRDefault="00860BB2" w:rsidP="00B353AA">
            <w:pPr>
              <w:pStyle w:val="TableText0"/>
              <w:jc w:val="center"/>
              <w:rPr>
                <w:szCs w:val="20"/>
                <w:highlight w:val="lightGray"/>
              </w:rPr>
            </w:pPr>
            <w:r w:rsidRPr="00860BB2">
              <w:rPr>
                <w:rFonts w:hint="eastAsia"/>
                <w:color w:val="000000"/>
                <w:w w:val="15"/>
                <w:szCs w:val="20"/>
                <w:shd w:val="solid" w:color="000000" w:fill="000000"/>
                <w:fitText w:val="50" w:id="-961901052"/>
                <w14:textFill>
                  <w14:solidFill>
                    <w14:srgbClr w14:val="000000">
                      <w14:alpha w14:val="100000"/>
                    </w14:srgbClr>
                  </w14:solidFill>
                </w14:textFill>
              </w:rPr>
              <w:t xml:space="preserve">　</w:t>
            </w:r>
            <w:r w:rsidRPr="00860BB2">
              <w:rPr>
                <w:color w:val="000000"/>
                <w:w w:val="15"/>
                <w:szCs w:val="20"/>
                <w:shd w:val="solid" w:color="000000" w:fill="000000"/>
                <w:fitText w:val="50" w:id="-961901052"/>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2"/>
                <w14:textFill>
                  <w14:solidFill>
                    <w14:srgbClr w14:val="000000">
                      <w14:alpha w14:val="100000"/>
                    </w14:srgbClr>
                  </w14:solidFill>
                </w14:textFill>
              </w:rPr>
              <w:t xml:space="preserve">　</w:t>
            </w:r>
            <w:r w:rsidR="00333D2C" w:rsidRPr="00333D2C">
              <w:rPr>
                <w:szCs w:val="20"/>
                <w:vertAlign w:val="superscript"/>
              </w:rPr>
              <w:t>4</w:t>
            </w:r>
          </w:p>
        </w:tc>
      </w:tr>
      <w:tr w:rsidR="00B353AA" w:rsidRPr="00AD5A27" w14:paraId="6A12CE93" w14:textId="77777777" w:rsidTr="00015FF3">
        <w:tc>
          <w:tcPr>
            <w:tcW w:w="1332" w:type="pct"/>
            <w:shd w:val="clear" w:color="auto" w:fill="auto"/>
            <w:vAlign w:val="center"/>
          </w:tcPr>
          <w:p w14:paraId="7DCBD882" w14:textId="1F4729EF" w:rsidR="00B353AA" w:rsidRPr="00AD5A27" w:rsidRDefault="00B353AA" w:rsidP="00B353AA">
            <w:pPr>
              <w:pStyle w:val="TableText0"/>
              <w:rPr>
                <w:szCs w:val="20"/>
              </w:rPr>
            </w:pPr>
            <w:r w:rsidRPr="00AD5A27">
              <w:rPr>
                <w:szCs w:val="20"/>
              </w:rPr>
              <w:t>Paediatrics</w:t>
            </w:r>
            <w:r w:rsidR="00A95BF9">
              <w:rPr>
                <w:szCs w:val="20"/>
              </w:rPr>
              <w:t xml:space="preserve"> ($)</w:t>
            </w:r>
          </w:p>
        </w:tc>
        <w:tc>
          <w:tcPr>
            <w:tcW w:w="611" w:type="pct"/>
            <w:shd w:val="clear" w:color="auto" w:fill="auto"/>
            <w:vAlign w:val="center"/>
          </w:tcPr>
          <w:p w14:paraId="103DE160" w14:textId="3061B2A9" w:rsidR="00B353AA" w:rsidRPr="00A95BF9" w:rsidRDefault="00015FF3" w:rsidP="00B353AA">
            <w:pPr>
              <w:pStyle w:val="TableText0"/>
              <w:jc w:val="center"/>
              <w:rPr>
                <w:szCs w:val="20"/>
                <w:highlight w:val="lightGray"/>
              </w:rPr>
            </w:pPr>
            <w:r w:rsidRPr="00860BB2">
              <w:rPr>
                <w:rFonts w:hint="eastAsia"/>
                <w:color w:val="000000"/>
                <w:w w:val="15"/>
                <w:szCs w:val="20"/>
                <w:shd w:val="solid" w:color="000000" w:fill="000000"/>
                <w:fitText w:val="50" w:id="-961901050"/>
                <w14:textFill>
                  <w14:solidFill>
                    <w14:srgbClr w14:val="000000">
                      <w14:alpha w14:val="100000"/>
                    </w14:srgbClr>
                  </w14:solidFill>
                </w14:textFill>
              </w:rPr>
              <w:t xml:space="preserve">　</w:t>
            </w:r>
            <w:r w:rsidRPr="00860BB2">
              <w:rPr>
                <w:color w:val="000000"/>
                <w:w w:val="15"/>
                <w:szCs w:val="20"/>
                <w:shd w:val="solid" w:color="000000" w:fill="000000"/>
                <w:fitText w:val="50" w:id="-961901050"/>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0"/>
                <w14:textFill>
                  <w14:solidFill>
                    <w14:srgbClr w14:val="000000">
                      <w14:alpha w14:val="100000"/>
                    </w14:srgbClr>
                  </w14:solidFill>
                </w14:textFill>
              </w:rPr>
              <w:t xml:space="preserve">　</w:t>
            </w:r>
            <w:r w:rsidRPr="00333D2C">
              <w:rPr>
                <w:szCs w:val="20"/>
                <w:vertAlign w:val="superscript"/>
              </w:rPr>
              <w:t>4</w:t>
            </w:r>
          </w:p>
        </w:tc>
        <w:tc>
          <w:tcPr>
            <w:tcW w:w="611" w:type="pct"/>
            <w:vAlign w:val="center"/>
          </w:tcPr>
          <w:p w14:paraId="30FBD3F4" w14:textId="3B5B2999" w:rsidR="00B353AA" w:rsidRPr="00A95BF9" w:rsidRDefault="00860BB2" w:rsidP="00B353AA">
            <w:pPr>
              <w:pStyle w:val="TableText0"/>
              <w:jc w:val="center"/>
              <w:rPr>
                <w:szCs w:val="20"/>
                <w:highlight w:val="lightGray"/>
              </w:rPr>
            </w:pPr>
            <w:r w:rsidRPr="00860BB2">
              <w:rPr>
                <w:rFonts w:hint="eastAsia"/>
                <w:color w:val="000000"/>
                <w:w w:val="15"/>
                <w:szCs w:val="20"/>
                <w:shd w:val="solid" w:color="000000" w:fill="000000"/>
                <w:fitText w:val="50" w:id="-961901050"/>
                <w14:textFill>
                  <w14:solidFill>
                    <w14:srgbClr w14:val="000000">
                      <w14:alpha w14:val="100000"/>
                    </w14:srgbClr>
                  </w14:solidFill>
                </w14:textFill>
              </w:rPr>
              <w:t xml:space="preserve">　</w:t>
            </w:r>
            <w:r w:rsidRPr="00860BB2">
              <w:rPr>
                <w:color w:val="000000"/>
                <w:w w:val="15"/>
                <w:szCs w:val="20"/>
                <w:shd w:val="solid" w:color="000000" w:fill="000000"/>
                <w:fitText w:val="50" w:id="-961901050"/>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0"/>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47FEF455" w14:textId="7FE6CCE8" w:rsidR="00B353AA" w:rsidRPr="00A95BF9" w:rsidRDefault="00860BB2" w:rsidP="00B353AA">
            <w:pPr>
              <w:pStyle w:val="TableText0"/>
              <w:jc w:val="center"/>
              <w:rPr>
                <w:szCs w:val="20"/>
                <w:highlight w:val="lightGray"/>
              </w:rPr>
            </w:pPr>
            <w:r w:rsidRPr="00860BB2">
              <w:rPr>
                <w:rFonts w:hint="eastAsia"/>
                <w:color w:val="000000"/>
                <w:w w:val="15"/>
                <w:szCs w:val="20"/>
                <w:shd w:val="solid" w:color="000000" w:fill="000000"/>
                <w:fitText w:val="50" w:id="-961901049"/>
                <w14:textFill>
                  <w14:solidFill>
                    <w14:srgbClr w14:val="000000">
                      <w14:alpha w14:val="100000"/>
                    </w14:srgbClr>
                  </w14:solidFill>
                </w14:textFill>
              </w:rPr>
              <w:t xml:space="preserve">　</w:t>
            </w:r>
            <w:r w:rsidRPr="00860BB2">
              <w:rPr>
                <w:color w:val="000000"/>
                <w:w w:val="15"/>
                <w:szCs w:val="20"/>
                <w:shd w:val="solid" w:color="000000" w:fill="000000"/>
                <w:fitText w:val="50" w:id="-961901049"/>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9"/>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1AF03FAA" w14:textId="6C75D5D7" w:rsidR="00B353AA" w:rsidRPr="00A95BF9" w:rsidRDefault="00860BB2" w:rsidP="00B353AA">
            <w:pPr>
              <w:pStyle w:val="TableText0"/>
              <w:jc w:val="center"/>
              <w:rPr>
                <w:szCs w:val="20"/>
                <w:highlight w:val="lightGray"/>
              </w:rPr>
            </w:pPr>
            <w:r w:rsidRPr="00860BB2">
              <w:rPr>
                <w:rFonts w:hint="eastAsia"/>
                <w:color w:val="000000"/>
                <w:w w:val="15"/>
                <w:szCs w:val="20"/>
                <w:shd w:val="solid" w:color="000000" w:fill="000000"/>
                <w:fitText w:val="50" w:id="-961901048"/>
                <w14:textFill>
                  <w14:solidFill>
                    <w14:srgbClr w14:val="000000">
                      <w14:alpha w14:val="100000"/>
                    </w14:srgbClr>
                  </w14:solidFill>
                </w14:textFill>
              </w:rPr>
              <w:t xml:space="preserve">　</w:t>
            </w:r>
            <w:r w:rsidRPr="00860BB2">
              <w:rPr>
                <w:color w:val="000000"/>
                <w:w w:val="15"/>
                <w:szCs w:val="20"/>
                <w:shd w:val="solid" w:color="000000" w:fill="000000"/>
                <w:fitText w:val="50" w:id="-961901048"/>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8"/>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0DC72DFC" w14:textId="50320005" w:rsidR="00B353AA" w:rsidRPr="00A95BF9" w:rsidRDefault="00860BB2" w:rsidP="00B353AA">
            <w:pPr>
              <w:pStyle w:val="TableText0"/>
              <w:jc w:val="center"/>
              <w:rPr>
                <w:szCs w:val="20"/>
                <w:highlight w:val="lightGray"/>
              </w:rPr>
            </w:pPr>
            <w:r w:rsidRPr="00860BB2">
              <w:rPr>
                <w:rFonts w:hint="eastAsia"/>
                <w:color w:val="000000"/>
                <w:w w:val="15"/>
                <w:szCs w:val="20"/>
                <w:shd w:val="solid" w:color="000000" w:fill="000000"/>
                <w:fitText w:val="50" w:id="-961901047"/>
                <w14:textFill>
                  <w14:solidFill>
                    <w14:srgbClr w14:val="000000">
                      <w14:alpha w14:val="100000"/>
                    </w14:srgbClr>
                  </w14:solidFill>
                </w14:textFill>
              </w:rPr>
              <w:t xml:space="preserve">　</w:t>
            </w:r>
            <w:r w:rsidRPr="00860BB2">
              <w:rPr>
                <w:color w:val="000000"/>
                <w:w w:val="15"/>
                <w:szCs w:val="20"/>
                <w:shd w:val="solid" w:color="000000" w:fill="000000"/>
                <w:fitText w:val="50" w:id="-961901047"/>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7"/>
                <w14:textFill>
                  <w14:solidFill>
                    <w14:srgbClr w14:val="000000">
                      <w14:alpha w14:val="100000"/>
                    </w14:srgbClr>
                  </w14:solidFill>
                </w14:textFill>
              </w:rPr>
              <w:t xml:space="preserve">　</w:t>
            </w:r>
            <w:r w:rsidR="00333D2C" w:rsidRPr="00333D2C">
              <w:rPr>
                <w:szCs w:val="20"/>
                <w:vertAlign w:val="superscript"/>
              </w:rPr>
              <w:t>4</w:t>
            </w:r>
          </w:p>
        </w:tc>
        <w:tc>
          <w:tcPr>
            <w:tcW w:w="613" w:type="pct"/>
            <w:vAlign w:val="center"/>
          </w:tcPr>
          <w:p w14:paraId="2D3BCC21" w14:textId="4F2F1C80" w:rsidR="00B353AA" w:rsidRPr="00A95BF9" w:rsidRDefault="00860BB2" w:rsidP="00B353AA">
            <w:pPr>
              <w:pStyle w:val="TableText0"/>
              <w:jc w:val="center"/>
              <w:rPr>
                <w:szCs w:val="20"/>
                <w:highlight w:val="lightGray"/>
              </w:rPr>
            </w:pPr>
            <w:r w:rsidRPr="00860BB2">
              <w:rPr>
                <w:rFonts w:hint="eastAsia"/>
                <w:color w:val="000000"/>
                <w:w w:val="15"/>
                <w:szCs w:val="20"/>
                <w:shd w:val="solid" w:color="000000" w:fill="000000"/>
                <w:fitText w:val="50" w:id="-961901046"/>
                <w14:textFill>
                  <w14:solidFill>
                    <w14:srgbClr w14:val="000000">
                      <w14:alpha w14:val="100000"/>
                    </w14:srgbClr>
                  </w14:solidFill>
                </w14:textFill>
              </w:rPr>
              <w:t xml:space="preserve">　</w:t>
            </w:r>
            <w:r w:rsidRPr="00860BB2">
              <w:rPr>
                <w:color w:val="000000"/>
                <w:w w:val="15"/>
                <w:szCs w:val="20"/>
                <w:shd w:val="solid" w:color="000000" w:fill="000000"/>
                <w:fitText w:val="50" w:id="-961901046"/>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6"/>
                <w14:textFill>
                  <w14:solidFill>
                    <w14:srgbClr w14:val="000000">
                      <w14:alpha w14:val="100000"/>
                    </w14:srgbClr>
                  </w14:solidFill>
                </w14:textFill>
              </w:rPr>
              <w:t xml:space="preserve">　</w:t>
            </w:r>
            <w:r w:rsidR="00333D2C" w:rsidRPr="00333D2C">
              <w:rPr>
                <w:szCs w:val="20"/>
                <w:vertAlign w:val="superscript"/>
              </w:rPr>
              <w:t>4</w:t>
            </w:r>
          </w:p>
        </w:tc>
      </w:tr>
      <w:tr w:rsidR="00B353AA" w:rsidRPr="00AD5A27" w14:paraId="18831D61" w14:textId="77777777" w:rsidTr="005333FF">
        <w:tc>
          <w:tcPr>
            <w:tcW w:w="1332" w:type="pct"/>
            <w:shd w:val="clear" w:color="auto" w:fill="auto"/>
            <w:vAlign w:val="center"/>
          </w:tcPr>
          <w:p w14:paraId="17AD1603" w14:textId="58A13E82" w:rsidR="00B353AA" w:rsidRPr="00AD5A27" w:rsidRDefault="00B353AA" w:rsidP="00B353AA">
            <w:pPr>
              <w:pStyle w:val="TableText0"/>
              <w:rPr>
                <w:szCs w:val="20"/>
              </w:rPr>
            </w:pPr>
            <w:r w:rsidRPr="00AD5A27">
              <w:rPr>
                <w:szCs w:val="20"/>
              </w:rPr>
              <w:t>Total</w:t>
            </w:r>
            <w:r w:rsidR="00A95BF9">
              <w:rPr>
                <w:szCs w:val="20"/>
              </w:rPr>
              <w:t xml:space="preserve"> ($)</w:t>
            </w:r>
          </w:p>
        </w:tc>
        <w:tc>
          <w:tcPr>
            <w:tcW w:w="611" w:type="pct"/>
            <w:vAlign w:val="center"/>
          </w:tcPr>
          <w:p w14:paraId="66323D4A" w14:textId="60A6353E" w:rsidR="00B353AA" w:rsidRPr="00A95BF9" w:rsidRDefault="00860BB2" w:rsidP="00B353AA">
            <w:pPr>
              <w:pStyle w:val="TableText0"/>
              <w:jc w:val="center"/>
              <w:rPr>
                <w:szCs w:val="20"/>
                <w:highlight w:val="lightGray"/>
              </w:rPr>
            </w:pPr>
            <w:r w:rsidRPr="00860BB2">
              <w:rPr>
                <w:rFonts w:hint="eastAsia"/>
                <w:color w:val="000000"/>
                <w:w w:val="15"/>
                <w:szCs w:val="20"/>
                <w:shd w:val="solid" w:color="000000" w:fill="000000"/>
                <w:fitText w:val="50" w:id="-961901045"/>
                <w14:textFill>
                  <w14:solidFill>
                    <w14:srgbClr w14:val="000000">
                      <w14:alpha w14:val="100000"/>
                    </w14:srgbClr>
                  </w14:solidFill>
                </w14:textFill>
              </w:rPr>
              <w:t xml:space="preserve">　</w:t>
            </w:r>
            <w:r w:rsidRPr="00860BB2">
              <w:rPr>
                <w:color w:val="000000"/>
                <w:w w:val="15"/>
                <w:szCs w:val="20"/>
                <w:shd w:val="solid" w:color="000000" w:fill="000000"/>
                <w:fitText w:val="50" w:id="-961901045"/>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5"/>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306635AC" w14:textId="42B153B1" w:rsidR="00B353AA" w:rsidRPr="00A95BF9" w:rsidRDefault="00860BB2" w:rsidP="00B353AA">
            <w:pPr>
              <w:pStyle w:val="TableText0"/>
              <w:jc w:val="center"/>
              <w:rPr>
                <w:szCs w:val="20"/>
                <w:highlight w:val="lightGray"/>
              </w:rPr>
            </w:pPr>
            <w:r w:rsidRPr="00860BB2">
              <w:rPr>
                <w:rFonts w:hint="eastAsia"/>
                <w:color w:val="000000"/>
                <w:w w:val="15"/>
                <w:szCs w:val="20"/>
                <w:shd w:val="solid" w:color="000000" w:fill="000000"/>
                <w:fitText w:val="50" w:id="-961901044"/>
                <w14:textFill>
                  <w14:solidFill>
                    <w14:srgbClr w14:val="000000">
                      <w14:alpha w14:val="100000"/>
                    </w14:srgbClr>
                  </w14:solidFill>
                </w14:textFill>
              </w:rPr>
              <w:t xml:space="preserve">　</w:t>
            </w:r>
            <w:r w:rsidRPr="00860BB2">
              <w:rPr>
                <w:color w:val="000000"/>
                <w:w w:val="15"/>
                <w:szCs w:val="20"/>
                <w:shd w:val="solid" w:color="000000" w:fill="000000"/>
                <w:fitText w:val="50" w:id="-961901044"/>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4"/>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5C25CFA4" w14:textId="6F82D26F" w:rsidR="00B353AA" w:rsidRPr="00A95BF9" w:rsidRDefault="00860BB2" w:rsidP="00B353AA">
            <w:pPr>
              <w:pStyle w:val="TableText0"/>
              <w:jc w:val="center"/>
              <w:rPr>
                <w:szCs w:val="20"/>
                <w:highlight w:val="lightGray"/>
              </w:rPr>
            </w:pPr>
            <w:r w:rsidRPr="00860BB2">
              <w:rPr>
                <w:rFonts w:hint="eastAsia"/>
                <w:color w:val="000000"/>
                <w:w w:val="15"/>
                <w:szCs w:val="20"/>
                <w:shd w:val="solid" w:color="000000" w:fill="000000"/>
                <w:fitText w:val="50" w:id="-961901043"/>
                <w14:textFill>
                  <w14:solidFill>
                    <w14:srgbClr w14:val="000000">
                      <w14:alpha w14:val="100000"/>
                    </w14:srgbClr>
                  </w14:solidFill>
                </w14:textFill>
              </w:rPr>
              <w:t xml:space="preserve">　</w:t>
            </w:r>
            <w:r w:rsidRPr="00860BB2">
              <w:rPr>
                <w:color w:val="000000"/>
                <w:w w:val="15"/>
                <w:szCs w:val="20"/>
                <w:shd w:val="solid" w:color="000000" w:fill="000000"/>
                <w:fitText w:val="50" w:id="-961901043"/>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3"/>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319B9D59" w14:textId="3FAE0FD6" w:rsidR="00B353AA" w:rsidRPr="00A95BF9" w:rsidRDefault="00860BB2" w:rsidP="00B353AA">
            <w:pPr>
              <w:pStyle w:val="TableText0"/>
              <w:jc w:val="center"/>
              <w:rPr>
                <w:szCs w:val="20"/>
                <w:highlight w:val="lightGray"/>
              </w:rPr>
            </w:pPr>
            <w:r w:rsidRPr="00860BB2">
              <w:rPr>
                <w:rFonts w:hint="eastAsia"/>
                <w:color w:val="000000"/>
                <w:w w:val="15"/>
                <w:szCs w:val="20"/>
                <w:shd w:val="solid" w:color="000000" w:fill="000000"/>
                <w:fitText w:val="50" w:id="-961901042"/>
                <w14:textFill>
                  <w14:solidFill>
                    <w14:srgbClr w14:val="000000">
                      <w14:alpha w14:val="100000"/>
                    </w14:srgbClr>
                  </w14:solidFill>
                </w14:textFill>
              </w:rPr>
              <w:t xml:space="preserve">　</w:t>
            </w:r>
            <w:r w:rsidRPr="00860BB2">
              <w:rPr>
                <w:color w:val="000000"/>
                <w:w w:val="15"/>
                <w:szCs w:val="20"/>
                <w:shd w:val="solid" w:color="000000" w:fill="000000"/>
                <w:fitText w:val="50" w:id="-961901042"/>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2"/>
                <w14:textFill>
                  <w14:solidFill>
                    <w14:srgbClr w14:val="000000">
                      <w14:alpha w14:val="100000"/>
                    </w14:srgbClr>
                  </w14:solidFill>
                </w14:textFill>
              </w:rPr>
              <w:t xml:space="preserve">　</w:t>
            </w:r>
            <w:r w:rsidR="00333D2C" w:rsidRPr="00333D2C">
              <w:rPr>
                <w:szCs w:val="20"/>
                <w:vertAlign w:val="superscript"/>
              </w:rPr>
              <w:t>4</w:t>
            </w:r>
          </w:p>
        </w:tc>
        <w:tc>
          <w:tcPr>
            <w:tcW w:w="611" w:type="pct"/>
            <w:vAlign w:val="center"/>
          </w:tcPr>
          <w:p w14:paraId="39F01FD9" w14:textId="2AA906F1" w:rsidR="00B353AA" w:rsidRPr="00A95BF9" w:rsidRDefault="00860BB2" w:rsidP="00B353AA">
            <w:pPr>
              <w:pStyle w:val="TableText0"/>
              <w:jc w:val="center"/>
              <w:rPr>
                <w:szCs w:val="20"/>
                <w:highlight w:val="lightGray"/>
              </w:rPr>
            </w:pPr>
            <w:r w:rsidRPr="00860BB2">
              <w:rPr>
                <w:rFonts w:hint="eastAsia"/>
                <w:color w:val="000000"/>
                <w:w w:val="15"/>
                <w:szCs w:val="20"/>
                <w:shd w:val="solid" w:color="000000" w:fill="000000"/>
                <w:fitText w:val="50" w:id="-961901041"/>
                <w14:textFill>
                  <w14:solidFill>
                    <w14:srgbClr w14:val="000000">
                      <w14:alpha w14:val="100000"/>
                    </w14:srgbClr>
                  </w14:solidFill>
                </w14:textFill>
              </w:rPr>
              <w:t xml:space="preserve">　</w:t>
            </w:r>
            <w:r w:rsidRPr="00860BB2">
              <w:rPr>
                <w:color w:val="000000"/>
                <w:w w:val="15"/>
                <w:szCs w:val="20"/>
                <w:shd w:val="solid" w:color="000000" w:fill="000000"/>
                <w:fitText w:val="50" w:id="-961901041"/>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1"/>
                <w14:textFill>
                  <w14:solidFill>
                    <w14:srgbClr w14:val="000000">
                      <w14:alpha w14:val="100000"/>
                    </w14:srgbClr>
                  </w14:solidFill>
                </w14:textFill>
              </w:rPr>
              <w:t xml:space="preserve">　</w:t>
            </w:r>
            <w:r w:rsidR="00333D2C" w:rsidRPr="00333D2C">
              <w:rPr>
                <w:szCs w:val="20"/>
                <w:vertAlign w:val="superscript"/>
              </w:rPr>
              <w:t>4</w:t>
            </w:r>
          </w:p>
        </w:tc>
        <w:tc>
          <w:tcPr>
            <w:tcW w:w="613" w:type="pct"/>
            <w:vAlign w:val="center"/>
          </w:tcPr>
          <w:p w14:paraId="4C028A5E" w14:textId="3E1A6D33" w:rsidR="00B353AA" w:rsidRPr="00A95BF9" w:rsidRDefault="00860BB2" w:rsidP="00B353AA">
            <w:pPr>
              <w:pStyle w:val="TableText0"/>
              <w:jc w:val="center"/>
              <w:rPr>
                <w:szCs w:val="20"/>
                <w:highlight w:val="lightGray"/>
              </w:rPr>
            </w:pPr>
            <w:r w:rsidRPr="00860BB2">
              <w:rPr>
                <w:rFonts w:hint="eastAsia"/>
                <w:color w:val="000000"/>
                <w:w w:val="15"/>
                <w:szCs w:val="20"/>
                <w:shd w:val="solid" w:color="000000" w:fill="000000"/>
                <w:fitText w:val="50" w:id="-961901040"/>
                <w14:textFill>
                  <w14:solidFill>
                    <w14:srgbClr w14:val="000000">
                      <w14:alpha w14:val="100000"/>
                    </w14:srgbClr>
                  </w14:solidFill>
                </w14:textFill>
              </w:rPr>
              <w:t xml:space="preserve">　</w:t>
            </w:r>
            <w:r w:rsidRPr="00860BB2">
              <w:rPr>
                <w:color w:val="000000"/>
                <w:w w:val="15"/>
                <w:szCs w:val="20"/>
                <w:shd w:val="solid" w:color="000000" w:fill="000000"/>
                <w:fitText w:val="50" w:id="-961901040"/>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0"/>
                <w14:textFill>
                  <w14:solidFill>
                    <w14:srgbClr w14:val="000000">
                      <w14:alpha w14:val="100000"/>
                    </w14:srgbClr>
                  </w14:solidFill>
                </w14:textFill>
              </w:rPr>
              <w:t xml:space="preserve">　</w:t>
            </w:r>
            <w:r w:rsidR="00333D2C" w:rsidRPr="00333D2C">
              <w:rPr>
                <w:szCs w:val="20"/>
                <w:vertAlign w:val="superscript"/>
              </w:rPr>
              <w:t>4</w:t>
            </w:r>
          </w:p>
        </w:tc>
      </w:tr>
      <w:tr w:rsidR="005B3215" w:rsidRPr="00AD5A27" w14:paraId="3E4CC01C" w14:textId="77777777" w:rsidTr="007360EF">
        <w:tc>
          <w:tcPr>
            <w:tcW w:w="5000" w:type="pct"/>
            <w:gridSpan w:val="7"/>
            <w:shd w:val="clear" w:color="auto" w:fill="B8CCE4" w:themeFill="accent1" w:themeFillTint="66"/>
            <w:vAlign w:val="center"/>
          </w:tcPr>
          <w:p w14:paraId="18382E16" w14:textId="77777777" w:rsidR="005B3215" w:rsidRPr="00AD5A27" w:rsidRDefault="005B3215" w:rsidP="007360EF">
            <w:pPr>
              <w:pStyle w:val="In-tableHeading"/>
              <w:rPr>
                <w:szCs w:val="20"/>
                <w:lang w:val="en-AU"/>
              </w:rPr>
            </w:pPr>
            <w:r w:rsidRPr="00AD5A27">
              <w:rPr>
                <w:szCs w:val="20"/>
                <w:lang w:val="en-AU"/>
              </w:rPr>
              <w:t>Previous submission (March 2017 PBAC meeting): revised net impact to the government (at reduced effective DPMQ and including paediatric patients)</w:t>
            </w:r>
          </w:p>
        </w:tc>
      </w:tr>
      <w:tr w:rsidR="005B3215" w:rsidRPr="00AD5A27" w14:paraId="3616989F" w14:textId="77777777" w:rsidTr="005333FF">
        <w:tc>
          <w:tcPr>
            <w:tcW w:w="1332" w:type="pct"/>
            <w:shd w:val="clear" w:color="auto" w:fill="B8CCE4" w:themeFill="accent1" w:themeFillTint="66"/>
            <w:vAlign w:val="center"/>
          </w:tcPr>
          <w:p w14:paraId="2172BBE7" w14:textId="77777777" w:rsidR="005B3215" w:rsidRPr="00AD5A27" w:rsidRDefault="005B3215" w:rsidP="007360EF">
            <w:pPr>
              <w:pStyle w:val="TableText0"/>
              <w:rPr>
                <w:szCs w:val="20"/>
              </w:rPr>
            </w:pPr>
          </w:p>
        </w:tc>
        <w:tc>
          <w:tcPr>
            <w:tcW w:w="611" w:type="pct"/>
            <w:shd w:val="clear" w:color="auto" w:fill="B8CCE4" w:themeFill="accent1" w:themeFillTint="66"/>
            <w:vAlign w:val="center"/>
          </w:tcPr>
          <w:p w14:paraId="499F5C91" w14:textId="77777777" w:rsidR="005B3215" w:rsidRPr="00AD5A27" w:rsidRDefault="005B3215" w:rsidP="007360EF">
            <w:pPr>
              <w:pStyle w:val="TableText0"/>
              <w:jc w:val="center"/>
              <w:rPr>
                <w:b/>
                <w:bCs w:val="0"/>
                <w:szCs w:val="20"/>
              </w:rPr>
            </w:pPr>
            <w:r w:rsidRPr="00AD5A27">
              <w:rPr>
                <w:b/>
                <w:bCs w:val="0"/>
                <w:szCs w:val="20"/>
              </w:rPr>
              <w:t>2017</w:t>
            </w:r>
          </w:p>
        </w:tc>
        <w:tc>
          <w:tcPr>
            <w:tcW w:w="611" w:type="pct"/>
            <w:shd w:val="clear" w:color="auto" w:fill="B8CCE4" w:themeFill="accent1" w:themeFillTint="66"/>
            <w:vAlign w:val="center"/>
          </w:tcPr>
          <w:p w14:paraId="01AF03BE" w14:textId="77777777" w:rsidR="005B3215" w:rsidRPr="00AD5A27" w:rsidRDefault="005B3215" w:rsidP="007360EF">
            <w:pPr>
              <w:pStyle w:val="TableText0"/>
              <w:jc w:val="center"/>
              <w:rPr>
                <w:b/>
                <w:bCs w:val="0"/>
                <w:szCs w:val="20"/>
              </w:rPr>
            </w:pPr>
            <w:r w:rsidRPr="00AD5A27">
              <w:rPr>
                <w:b/>
                <w:bCs w:val="0"/>
                <w:szCs w:val="20"/>
              </w:rPr>
              <w:t>2018</w:t>
            </w:r>
          </w:p>
        </w:tc>
        <w:tc>
          <w:tcPr>
            <w:tcW w:w="611" w:type="pct"/>
            <w:shd w:val="clear" w:color="auto" w:fill="B8CCE4" w:themeFill="accent1" w:themeFillTint="66"/>
            <w:vAlign w:val="center"/>
          </w:tcPr>
          <w:p w14:paraId="322F3411" w14:textId="77777777" w:rsidR="005B3215" w:rsidRPr="00AD5A27" w:rsidRDefault="005B3215" w:rsidP="007360EF">
            <w:pPr>
              <w:pStyle w:val="TableText0"/>
              <w:jc w:val="center"/>
              <w:rPr>
                <w:b/>
                <w:bCs w:val="0"/>
                <w:szCs w:val="20"/>
              </w:rPr>
            </w:pPr>
            <w:r w:rsidRPr="00AD5A27">
              <w:rPr>
                <w:b/>
                <w:bCs w:val="0"/>
                <w:szCs w:val="20"/>
              </w:rPr>
              <w:t>2019</w:t>
            </w:r>
          </w:p>
        </w:tc>
        <w:tc>
          <w:tcPr>
            <w:tcW w:w="611" w:type="pct"/>
            <w:shd w:val="clear" w:color="auto" w:fill="B8CCE4" w:themeFill="accent1" w:themeFillTint="66"/>
            <w:vAlign w:val="center"/>
          </w:tcPr>
          <w:p w14:paraId="57ED31D0" w14:textId="77777777" w:rsidR="005B3215" w:rsidRPr="00AD5A27" w:rsidRDefault="005B3215" w:rsidP="007360EF">
            <w:pPr>
              <w:pStyle w:val="TableText0"/>
              <w:jc w:val="center"/>
              <w:rPr>
                <w:b/>
                <w:bCs w:val="0"/>
                <w:szCs w:val="20"/>
              </w:rPr>
            </w:pPr>
            <w:r w:rsidRPr="00AD5A27">
              <w:rPr>
                <w:b/>
                <w:bCs w:val="0"/>
                <w:szCs w:val="20"/>
              </w:rPr>
              <w:t>2020</w:t>
            </w:r>
          </w:p>
        </w:tc>
        <w:tc>
          <w:tcPr>
            <w:tcW w:w="611" w:type="pct"/>
            <w:shd w:val="clear" w:color="auto" w:fill="B8CCE4" w:themeFill="accent1" w:themeFillTint="66"/>
            <w:vAlign w:val="center"/>
          </w:tcPr>
          <w:p w14:paraId="419CEDE7" w14:textId="77777777" w:rsidR="005B3215" w:rsidRPr="00AD5A27" w:rsidRDefault="005B3215" w:rsidP="007360EF">
            <w:pPr>
              <w:pStyle w:val="TableText0"/>
              <w:jc w:val="center"/>
              <w:rPr>
                <w:b/>
                <w:bCs w:val="0"/>
                <w:szCs w:val="20"/>
              </w:rPr>
            </w:pPr>
            <w:r w:rsidRPr="00AD5A27">
              <w:rPr>
                <w:b/>
                <w:bCs w:val="0"/>
                <w:szCs w:val="20"/>
              </w:rPr>
              <w:t>2021</w:t>
            </w:r>
          </w:p>
        </w:tc>
        <w:tc>
          <w:tcPr>
            <w:tcW w:w="613" w:type="pct"/>
            <w:shd w:val="clear" w:color="auto" w:fill="B8CCE4" w:themeFill="accent1" w:themeFillTint="66"/>
          </w:tcPr>
          <w:p w14:paraId="3C5F7BA1" w14:textId="77777777" w:rsidR="005B3215" w:rsidRPr="00AD5A27" w:rsidRDefault="005B3215" w:rsidP="007360EF">
            <w:pPr>
              <w:pStyle w:val="TableText0"/>
              <w:jc w:val="center"/>
              <w:rPr>
                <w:b/>
                <w:bCs w:val="0"/>
                <w:szCs w:val="20"/>
              </w:rPr>
            </w:pPr>
            <w:r w:rsidRPr="00AD5A27">
              <w:rPr>
                <w:b/>
                <w:bCs w:val="0"/>
                <w:szCs w:val="20"/>
              </w:rPr>
              <w:t>2022</w:t>
            </w:r>
          </w:p>
        </w:tc>
      </w:tr>
      <w:tr w:rsidR="005B3215" w:rsidRPr="00AD5A27" w14:paraId="6915ACA6" w14:textId="77777777" w:rsidTr="005333FF">
        <w:tc>
          <w:tcPr>
            <w:tcW w:w="1332" w:type="pct"/>
            <w:tcBorders>
              <w:bottom w:val="single" w:sz="4" w:space="0" w:color="auto"/>
              <w:right w:val="single" w:sz="4" w:space="0" w:color="auto"/>
            </w:tcBorders>
            <w:shd w:val="clear" w:color="auto" w:fill="B8CCE4" w:themeFill="accent1" w:themeFillTint="66"/>
            <w:vAlign w:val="center"/>
          </w:tcPr>
          <w:p w14:paraId="1BE9CA08" w14:textId="77777777" w:rsidR="005B3215" w:rsidRPr="00AD5A27" w:rsidRDefault="005B3215" w:rsidP="007360EF">
            <w:pPr>
              <w:pStyle w:val="TableText0"/>
              <w:rPr>
                <w:szCs w:val="20"/>
              </w:rPr>
            </w:pPr>
            <w:r w:rsidRPr="00AD5A27">
              <w:rPr>
                <w:szCs w:val="20"/>
              </w:rPr>
              <w:t>Adult patients treated per year</w:t>
            </w:r>
          </w:p>
        </w:tc>
        <w:tc>
          <w:tcPr>
            <w:tcW w:w="611" w:type="pct"/>
            <w:tcBorders>
              <w:bottom w:val="single" w:sz="4" w:space="0" w:color="auto"/>
            </w:tcBorders>
            <w:shd w:val="clear" w:color="auto" w:fill="B8CCE4" w:themeFill="accent1" w:themeFillTint="66"/>
            <w:vAlign w:val="center"/>
          </w:tcPr>
          <w:p w14:paraId="72F84635" w14:textId="36D08FA7"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6"/>
                <w14:textFill>
                  <w14:solidFill>
                    <w14:srgbClr w14:val="000000">
                      <w14:alpha w14:val="100000"/>
                    </w14:srgbClr>
                  </w14:solidFill>
                </w14:textFill>
              </w:rPr>
              <w:t xml:space="preserve">　</w:t>
            </w:r>
            <w:r w:rsidRPr="00860BB2">
              <w:rPr>
                <w:color w:val="000000"/>
                <w:w w:val="15"/>
                <w:szCs w:val="20"/>
                <w:shd w:val="solid" w:color="000000" w:fill="000000"/>
                <w:fitText w:val="50" w:id="-961901056"/>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6"/>
                <w14:textFill>
                  <w14:solidFill>
                    <w14:srgbClr w14:val="000000">
                      <w14:alpha w14:val="100000"/>
                    </w14:srgbClr>
                  </w14:solidFill>
                </w14:textFill>
              </w:rPr>
              <w:t xml:space="preserve">　</w:t>
            </w:r>
            <w:r w:rsidR="00B85435" w:rsidRPr="00B85435">
              <w:rPr>
                <w:rFonts w:cs="Calibri"/>
                <w:color w:val="000000"/>
                <w:szCs w:val="20"/>
                <w:vertAlign w:val="superscript"/>
              </w:rPr>
              <w:t>2</w:t>
            </w:r>
          </w:p>
        </w:tc>
        <w:tc>
          <w:tcPr>
            <w:tcW w:w="611" w:type="pct"/>
            <w:tcBorders>
              <w:bottom w:val="single" w:sz="4" w:space="0" w:color="auto"/>
            </w:tcBorders>
            <w:shd w:val="clear" w:color="auto" w:fill="B8CCE4" w:themeFill="accent1" w:themeFillTint="66"/>
            <w:vAlign w:val="center"/>
          </w:tcPr>
          <w:p w14:paraId="39AA4D06" w14:textId="579B626F"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5"/>
                <w14:textFill>
                  <w14:solidFill>
                    <w14:srgbClr w14:val="000000">
                      <w14:alpha w14:val="100000"/>
                    </w14:srgbClr>
                  </w14:solidFill>
                </w14:textFill>
              </w:rPr>
              <w:t xml:space="preserve">　</w:t>
            </w:r>
            <w:r w:rsidRPr="00860BB2">
              <w:rPr>
                <w:color w:val="000000"/>
                <w:w w:val="15"/>
                <w:szCs w:val="20"/>
                <w:shd w:val="solid" w:color="000000" w:fill="000000"/>
                <w:fitText w:val="50" w:id="-961901055"/>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5"/>
                <w14:textFill>
                  <w14:solidFill>
                    <w14:srgbClr w14:val="000000">
                      <w14:alpha w14:val="100000"/>
                    </w14:srgbClr>
                  </w14:solidFill>
                </w14:textFill>
              </w:rPr>
              <w:t xml:space="preserve">　</w:t>
            </w:r>
            <w:r w:rsidR="00B85435" w:rsidRPr="00B85435">
              <w:rPr>
                <w:rFonts w:cs="Calibri"/>
                <w:color w:val="000000"/>
                <w:szCs w:val="20"/>
                <w:vertAlign w:val="superscript"/>
              </w:rPr>
              <w:t>1</w:t>
            </w:r>
          </w:p>
        </w:tc>
        <w:tc>
          <w:tcPr>
            <w:tcW w:w="611" w:type="pct"/>
            <w:tcBorders>
              <w:bottom w:val="single" w:sz="4" w:space="0" w:color="auto"/>
            </w:tcBorders>
            <w:shd w:val="clear" w:color="auto" w:fill="B8CCE4" w:themeFill="accent1" w:themeFillTint="66"/>
            <w:vAlign w:val="center"/>
          </w:tcPr>
          <w:p w14:paraId="5559BD10" w14:textId="0639A0D0"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4"/>
                <w14:textFill>
                  <w14:solidFill>
                    <w14:srgbClr w14:val="000000">
                      <w14:alpha w14:val="100000"/>
                    </w14:srgbClr>
                  </w14:solidFill>
                </w14:textFill>
              </w:rPr>
              <w:t xml:space="preserve">　</w:t>
            </w:r>
            <w:r w:rsidRPr="00860BB2">
              <w:rPr>
                <w:color w:val="000000"/>
                <w:w w:val="15"/>
                <w:szCs w:val="20"/>
                <w:shd w:val="solid" w:color="000000" w:fill="000000"/>
                <w:fitText w:val="50" w:id="-961901054"/>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4"/>
                <w14:textFill>
                  <w14:solidFill>
                    <w14:srgbClr w14:val="000000">
                      <w14:alpha w14:val="100000"/>
                    </w14:srgbClr>
                  </w14:solidFill>
                </w14:textFill>
              </w:rPr>
              <w:t xml:space="preserve">　</w:t>
            </w:r>
            <w:r w:rsidR="00B85435" w:rsidRPr="00B85435">
              <w:rPr>
                <w:rFonts w:cs="Calibri"/>
                <w:color w:val="000000"/>
                <w:szCs w:val="20"/>
                <w:vertAlign w:val="superscript"/>
              </w:rPr>
              <w:t>1</w:t>
            </w:r>
          </w:p>
        </w:tc>
        <w:tc>
          <w:tcPr>
            <w:tcW w:w="611" w:type="pct"/>
            <w:tcBorders>
              <w:bottom w:val="single" w:sz="4" w:space="0" w:color="auto"/>
            </w:tcBorders>
            <w:shd w:val="clear" w:color="auto" w:fill="B8CCE4" w:themeFill="accent1" w:themeFillTint="66"/>
            <w:vAlign w:val="center"/>
          </w:tcPr>
          <w:p w14:paraId="6EB6FF81" w14:textId="66CA5B68"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3"/>
                <w14:textFill>
                  <w14:solidFill>
                    <w14:srgbClr w14:val="000000">
                      <w14:alpha w14:val="100000"/>
                    </w14:srgbClr>
                  </w14:solidFill>
                </w14:textFill>
              </w:rPr>
              <w:t xml:space="preserve">　</w:t>
            </w:r>
            <w:r w:rsidRPr="00860BB2">
              <w:rPr>
                <w:color w:val="000000"/>
                <w:w w:val="15"/>
                <w:szCs w:val="20"/>
                <w:shd w:val="solid" w:color="000000" w:fill="000000"/>
                <w:fitText w:val="50" w:id="-961901053"/>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3"/>
                <w14:textFill>
                  <w14:solidFill>
                    <w14:srgbClr w14:val="000000">
                      <w14:alpha w14:val="100000"/>
                    </w14:srgbClr>
                  </w14:solidFill>
                </w14:textFill>
              </w:rPr>
              <w:t xml:space="preserve">　</w:t>
            </w:r>
            <w:r w:rsidR="00B85435" w:rsidRPr="00B85435">
              <w:rPr>
                <w:rFonts w:cs="Calibri"/>
                <w:color w:val="000000"/>
                <w:szCs w:val="20"/>
                <w:vertAlign w:val="superscript"/>
              </w:rPr>
              <w:t>1</w:t>
            </w:r>
          </w:p>
        </w:tc>
        <w:tc>
          <w:tcPr>
            <w:tcW w:w="611" w:type="pct"/>
            <w:tcBorders>
              <w:bottom w:val="single" w:sz="4" w:space="0" w:color="auto"/>
            </w:tcBorders>
            <w:shd w:val="clear" w:color="auto" w:fill="B8CCE4" w:themeFill="accent1" w:themeFillTint="66"/>
            <w:vAlign w:val="center"/>
          </w:tcPr>
          <w:p w14:paraId="7D74D8E4" w14:textId="3D74AC5B"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2"/>
                <w14:textFill>
                  <w14:solidFill>
                    <w14:srgbClr w14:val="000000">
                      <w14:alpha w14:val="100000"/>
                    </w14:srgbClr>
                  </w14:solidFill>
                </w14:textFill>
              </w:rPr>
              <w:t xml:space="preserve">　</w:t>
            </w:r>
            <w:r w:rsidRPr="00860BB2">
              <w:rPr>
                <w:color w:val="000000"/>
                <w:w w:val="15"/>
                <w:szCs w:val="20"/>
                <w:shd w:val="solid" w:color="000000" w:fill="000000"/>
                <w:fitText w:val="50" w:id="-961901052"/>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2"/>
                <w14:textFill>
                  <w14:solidFill>
                    <w14:srgbClr w14:val="000000">
                      <w14:alpha w14:val="100000"/>
                    </w14:srgbClr>
                  </w14:solidFill>
                </w14:textFill>
              </w:rPr>
              <w:t xml:space="preserve">　</w:t>
            </w:r>
            <w:r w:rsidR="00B85435" w:rsidRPr="00B85435">
              <w:rPr>
                <w:rFonts w:cs="Calibri"/>
                <w:color w:val="000000"/>
                <w:szCs w:val="20"/>
                <w:vertAlign w:val="superscript"/>
              </w:rPr>
              <w:t>1</w:t>
            </w:r>
          </w:p>
        </w:tc>
        <w:tc>
          <w:tcPr>
            <w:tcW w:w="613" w:type="pct"/>
            <w:tcBorders>
              <w:bottom w:val="single" w:sz="4" w:space="0" w:color="auto"/>
            </w:tcBorders>
            <w:shd w:val="clear" w:color="auto" w:fill="B8CCE4" w:themeFill="accent1" w:themeFillTint="66"/>
            <w:vAlign w:val="center"/>
          </w:tcPr>
          <w:p w14:paraId="06B1ABBA" w14:textId="6361606E"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1"/>
                <w14:textFill>
                  <w14:solidFill>
                    <w14:srgbClr w14:val="000000">
                      <w14:alpha w14:val="100000"/>
                    </w14:srgbClr>
                  </w14:solidFill>
                </w14:textFill>
              </w:rPr>
              <w:t xml:space="preserve">　</w:t>
            </w:r>
            <w:r w:rsidRPr="00860BB2">
              <w:rPr>
                <w:color w:val="000000"/>
                <w:w w:val="15"/>
                <w:szCs w:val="20"/>
                <w:shd w:val="solid" w:color="000000" w:fill="000000"/>
                <w:fitText w:val="50" w:id="-961901051"/>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1"/>
                <w14:textFill>
                  <w14:solidFill>
                    <w14:srgbClr w14:val="000000">
                      <w14:alpha w14:val="100000"/>
                    </w14:srgbClr>
                  </w14:solidFill>
                </w14:textFill>
              </w:rPr>
              <w:t xml:space="preserve">　</w:t>
            </w:r>
            <w:r w:rsidR="00B85435" w:rsidRPr="00B85435">
              <w:rPr>
                <w:rFonts w:cs="Calibri"/>
                <w:color w:val="000000"/>
                <w:szCs w:val="20"/>
                <w:vertAlign w:val="superscript"/>
              </w:rPr>
              <w:t>1</w:t>
            </w:r>
          </w:p>
        </w:tc>
      </w:tr>
      <w:tr w:rsidR="005B3215" w:rsidRPr="00AD5A27" w14:paraId="21FC56F4" w14:textId="77777777" w:rsidTr="005333FF">
        <w:tc>
          <w:tcPr>
            <w:tcW w:w="1332" w:type="pct"/>
            <w:tcBorders>
              <w:bottom w:val="single" w:sz="4" w:space="0" w:color="auto"/>
              <w:right w:val="single" w:sz="4" w:space="0" w:color="auto"/>
            </w:tcBorders>
            <w:shd w:val="clear" w:color="auto" w:fill="B8CCE4" w:themeFill="accent1" w:themeFillTint="66"/>
            <w:vAlign w:val="center"/>
          </w:tcPr>
          <w:p w14:paraId="7F8D5157" w14:textId="1A60F868" w:rsidR="005B3215" w:rsidRPr="00AD5A27" w:rsidRDefault="005B3215" w:rsidP="007360EF">
            <w:pPr>
              <w:pStyle w:val="TableText0"/>
              <w:rPr>
                <w:szCs w:val="20"/>
              </w:rPr>
            </w:pPr>
            <w:r w:rsidRPr="00AD5A27">
              <w:rPr>
                <w:szCs w:val="20"/>
              </w:rPr>
              <w:t>Cost to the Govt.</w:t>
            </w:r>
            <w:r w:rsidR="00A95BF9">
              <w:rPr>
                <w:szCs w:val="20"/>
              </w:rPr>
              <w:t xml:space="preserve"> ($)</w:t>
            </w:r>
          </w:p>
        </w:tc>
        <w:tc>
          <w:tcPr>
            <w:tcW w:w="611" w:type="pct"/>
            <w:tcBorders>
              <w:bottom w:val="single" w:sz="4" w:space="0" w:color="auto"/>
            </w:tcBorders>
            <w:shd w:val="clear" w:color="auto" w:fill="B8CCE4" w:themeFill="accent1" w:themeFillTint="66"/>
            <w:vAlign w:val="center"/>
          </w:tcPr>
          <w:p w14:paraId="6B766C2A" w14:textId="173CAD4F"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0"/>
                <w14:textFill>
                  <w14:solidFill>
                    <w14:srgbClr w14:val="000000">
                      <w14:alpha w14:val="100000"/>
                    </w14:srgbClr>
                  </w14:solidFill>
                </w14:textFill>
              </w:rPr>
              <w:t xml:space="preserve">　</w:t>
            </w:r>
            <w:r w:rsidRPr="00860BB2">
              <w:rPr>
                <w:color w:val="000000"/>
                <w:w w:val="15"/>
                <w:szCs w:val="20"/>
                <w:shd w:val="solid" w:color="000000" w:fill="000000"/>
                <w:fitText w:val="50" w:id="-961901050"/>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0"/>
                <w14:textFill>
                  <w14:solidFill>
                    <w14:srgbClr w14:val="000000">
                      <w14:alpha w14:val="100000"/>
                    </w14:srgbClr>
                  </w14:solidFill>
                </w14:textFill>
              </w:rPr>
              <w:t xml:space="preserve">　</w:t>
            </w:r>
            <w:r w:rsidR="00333D2C" w:rsidRPr="00333D2C">
              <w:rPr>
                <w:szCs w:val="20"/>
                <w:vertAlign w:val="superscript"/>
              </w:rPr>
              <w:t>4</w:t>
            </w:r>
          </w:p>
        </w:tc>
        <w:tc>
          <w:tcPr>
            <w:tcW w:w="611" w:type="pct"/>
            <w:tcBorders>
              <w:bottom w:val="single" w:sz="4" w:space="0" w:color="auto"/>
            </w:tcBorders>
            <w:shd w:val="clear" w:color="auto" w:fill="B8CCE4" w:themeFill="accent1" w:themeFillTint="66"/>
            <w:vAlign w:val="center"/>
          </w:tcPr>
          <w:p w14:paraId="39208750" w14:textId="1E37F293"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9"/>
                <w14:textFill>
                  <w14:solidFill>
                    <w14:srgbClr w14:val="000000">
                      <w14:alpha w14:val="100000"/>
                    </w14:srgbClr>
                  </w14:solidFill>
                </w14:textFill>
              </w:rPr>
              <w:t xml:space="preserve">　</w:t>
            </w:r>
            <w:r w:rsidRPr="00860BB2">
              <w:rPr>
                <w:color w:val="000000"/>
                <w:w w:val="15"/>
                <w:szCs w:val="20"/>
                <w:shd w:val="solid" w:color="000000" w:fill="000000"/>
                <w:fitText w:val="50" w:id="-961901049"/>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9"/>
                <w14:textFill>
                  <w14:solidFill>
                    <w14:srgbClr w14:val="000000">
                      <w14:alpha w14:val="100000"/>
                    </w14:srgbClr>
                  </w14:solidFill>
                </w14:textFill>
              </w:rPr>
              <w:t xml:space="preserve">　</w:t>
            </w:r>
            <w:r w:rsidR="00333D2C" w:rsidRPr="00333D2C">
              <w:rPr>
                <w:szCs w:val="20"/>
                <w:vertAlign w:val="superscript"/>
              </w:rPr>
              <w:t>4</w:t>
            </w:r>
          </w:p>
        </w:tc>
        <w:tc>
          <w:tcPr>
            <w:tcW w:w="611" w:type="pct"/>
            <w:tcBorders>
              <w:bottom w:val="single" w:sz="4" w:space="0" w:color="auto"/>
            </w:tcBorders>
            <w:shd w:val="clear" w:color="auto" w:fill="B8CCE4" w:themeFill="accent1" w:themeFillTint="66"/>
            <w:vAlign w:val="center"/>
          </w:tcPr>
          <w:p w14:paraId="2FF3CBE0" w14:textId="21D6D4B6"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8"/>
                <w14:textFill>
                  <w14:solidFill>
                    <w14:srgbClr w14:val="000000">
                      <w14:alpha w14:val="100000"/>
                    </w14:srgbClr>
                  </w14:solidFill>
                </w14:textFill>
              </w:rPr>
              <w:t xml:space="preserve">　</w:t>
            </w:r>
            <w:r w:rsidRPr="00860BB2">
              <w:rPr>
                <w:color w:val="000000"/>
                <w:w w:val="15"/>
                <w:szCs w:val="20"/>
                <w:shd w:val="solid" w:color="000000" w:fill="000000"/>
                <w:fitText w:val="50" w:id="-961901048"/>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8"/>
                <w14:textFill>
                  <w14:solidFill>
                    <w14:srgbClr w14:val="000000">
                      <w14:alpha w14:val="100000"/>
                    </w14:srgbClr>
                  </w14:solidFill>
                </w14:textFill>
              </w:rPr>
              <w:t xml:space="preserve">　</w:t>
            </w:r>
            <w:r w:rsidR="00333D2C" w:rsidRPr="00333D2C">
              <w:rPr>
                <w:szCs w:val="20"/>
                <w:vertAlign w:val="superscript"/>
              </w:rPr>
              <w:t>4</w:t>
            </w:r>
          </w:p>
        </w:tc>
        <w:tc>
          <w:tcPr>
            <w:tcW w:w="611" w:type="pct"/>
            <w:tcBorders>
              <w:bottom w:val="single" w:sz="4" w:space="0" w:color="auto"/>
            </w:tcBorders>
            <w:shd w:val="clear" w:color="auto" w:fill="B8CCE4" w:themeFill="accent1" w:themeFillTint="66"/>
            <w:vAlign w:val="center"/>
          </w:tcPr>
          <w:p w14:paraId="36E1129D" w14:textId="60C6C10A"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7"/>
                <w14:textFill>
                  <w14:solidFill>
                    <w14:srgbClr w14:val="000000">
                      <w14:alpha w14:val="100000"/>
                    </w14:srgbClr>
                  </w14:solidFill>
                </w14:textFill>
              </w:rPr>
              <w:t xml:space="preserve">　</w:t>
            </w:r>
            <w:r w:rsidRPr="00860BB2">
              <w:rPr>
                <w:color w:val="000000"/>
                <w:w w:val="15"/>
                <w:szCs w:val="20"/>
                <w:shd w:val="solid" w:color="000000" w:fill="000000"/>
                <w:fitText w:val="50" w:id="-961901047"/>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7"/>
                <w14:textFill>
                  <w14:solidFill>
                    <w14:srgbClr w14:val="000000">
                      <w14:alpha w14:val="100000"/>
                    </w14:srgbClr>
                  </w14:solidFill>
                </w14:textFill>
              </w:rPr>
              <w:t xml:space="preserve">　</w:t>
            </w:r>
            <w:r w:rsidR="00333D2C" w:rsidRPr="00333D2C">
              <w:rPr>
                <w:szCs w:val="20"/>
                <w:vertAlign w:val="superscript"/>
              </w:rPr>
              <w:t>4</w:t>
            </w:r>
          </w:p>
        </w:tc>
        <w:tc>
          <w:tcPr>
            <w:tcW w:w="611" w:type="pct"/>
            <w:tcBorders>
              <w:bottom w:val="single" w:sz="4" w:space="0" w:color="auto"/>
            </w:tcBorders>
            <w:shd w:val="clear" w:color="auto" w:fill="B8CCE4" w:themeFill="accent1" w:themeFillTint="66"/>
            <w:vAlign w:val="center"/>
          </w:tcPr>
          <w:p w14:paraId="7393DA63" w14:textId="3DBB49EC"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6"/>
                <w14:textFill>
                  <w14:solidFill>
                    <w14:srgbClr w14:val="000000">
                      <w14:alpha w14:val="100000"/>
                    </w14:srgbClr>
                  </w14:solidFill>
                </w14:textFill>
              </w:rPr>
              <w:t xml:space="preserve">　</w:t>
            </w:r>
            <w:r w:rsidRPr="00860BB2">
              <w:rPr>
                <w:color w:val="000000"/>
                <w:w w:val="15"/>
                <w:szCs w:val="20"/>
                <w:shd w:val="solid" w:color="000000" w:fill="000000"/>
                <w:fitText w:val="50" w:id="-961901046"/>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6"/>
                <w14:textFill>
                  <w14:solidFill>
                    <w14:srgbClr w14:val="000000">
                      <w14:alpha w14:val="100000"/>
                    </w14:srgbClr>
                  </w14:solidFill>
                </w14:textFill>
              </w:rPr>
              <w:t xml:space="preserve">　</w:t>
            </w:r>
            <w:r w:rsidR="00333D2C" w:rsidRPr="00333D2C">
              <w:rPr>
                <w:szCs w:val="20"/>
                <w:vertAlign w:val="superscript"/>
              </w:rPr>
              <w:t>4</w:t>
            </w:r>
          </w:p>
        </w:tc>
        <w:tc>
          <w:tcPr>
            <w:tcW w:w="613" w:type="pct"/>
            <w:tcBorders>
              <w:bottom w:val="single" w:sz="4" w:space="0" w:color="auto"/>
            </w:tcBorders>
            <w:shd w:val="clear" w:color="auto" w:fill="B8CCE4" w:themeFill="accent1" w:themeFillTint="66"/>
            <w:vAlign w:val="center"/>
          </w:tcPr>
          <w:p w14:paraId="0A2E0181" w14:textId="4113A57A"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5"/>
                <w14:textFill>
                  <w14:solidFill>
                    <w14:srgbClr w14:val="000000">
                      <w14:alpha w14:val="100000"/>
                    </w14:srgbClr>
                  </w14:solidFill>
                </w14:textFill>
              </w:rPr>
              <w:t xml:space="preserve">　</w:t>
            </w:r>
            <w:r w:rsidRPr="00860BB2">
              <w:rPr>
                <w:color w:val="000000"/>
                <w:w w:val="15"/>
                <w:szCs w:val="20"/>
                <w:shd w:val="solid" w:color="000000" w:fill="000000"/>
                <w:fitText w:val="50" w:id="-961901045"/>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5"/>
                <w14:textFill>
                  <w14:solidFill>
                    <w14:srgbClr w14:val="000000">
                      <w14:alpha w14:val="100000"/>
                    </w14:srgbClr>
                  </w14:solidFill>
                </w14:textFill>
              </w:rPr>
              <w:t xml:space="preserve">　</w:t>
            </w:r>
            <w:r w:rsidR="00333D2C" w:rsidRPr="00333D2C">
              <w:rPr>
                <w:szCs w:val="20"/>
                <w:vertAlign w:val="superscript"/>
              </w:rPr>
              <w:t>4</w:t>
            </w:r>
          </w:p>
        </w:tc>
      </w:tr>
      <w:tr w:rsidR="005B3215" w:rsidRPr="00AD5A27" w14:paraId="1E6762BD" w14:textId="77777777" w:rsidTr="005333FF">
        <w:tc>
          <w:tcPr>
            <w:tcW w:w="1332" w:type="pct"/>
            <w:tcBorders>
              <w:top w:val="single" w:sz="4" w:space="0" w:color="auto"/>
              <w:right w:val="single" w:sz="4" w:space="0" w:color="auto"/>
            </w:tcBorders>
            <w:shd w:val="clear" w:color="auto" w:fill="B8CCE4" w:themeFill="accent1" w:themeFillTint="66"/>
            <w:vAlign w:val="center"/>
          </w:tcPr>
          <w:p w14:paraId="68A0A51B" w14:textId="77777777" w:rsidR="005B3215" w:rsidRPr="00AD5A27" w:rsidRDefault="005B3215" w:rsidP="007360EF">
            <w:pPr>
              <w:pStyle w:val="TableText0"/>
              <w:rPr>
                <w:szCs w:val="20"/>
              </w:rPr>
            </w:pPr>
            <w:r w:rsidRPr="00AD5A27">
              <w:rPr>
                <w:szCs w:val="20"/>
              </w:rPr>
              <w:t>Paediatric patients treated per year</w:t>
            </w:r>
          </w:p>
        </w:tc>
        <w:tc>
          <w:tcPr>
            <w:tcW w:w="611" w:type="pct"/>
            <w:tcBorders>
              <w:top w:val="single" w:sz="4" w:space="0" w:color="auto"/>
            </w:tcBorders>
            <w:shd w:val="clear" w:color="auto" w:fill="B8CCE4" w:themeFill="accent1" w:themeFillTint="66"/>
            <w:vAlign w:val="center"/>
          </w:tcPr>
          <w:p w14:paraId="75EAEE2C" w14:textId="2B6A143A"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4"/>
                <w14:textFill>
                  <w14:solidFill>
                    <w14:srgbClr w14:val="000000">
                      <w14:alpha w14:val="100000"/>
                    </w14:srgbClr>
                  </w14:solidFill>
                </w14:textFill>
              </w:rPr>
              <w:t xml:space="preserve">　</w:t>
            </w:r>
            <w:r w:rsidRPr="00860BB2">
              <w:rPr>
                <w:color w:val="000000"/>
                <w:w w:val="15"/>
                <w:szCs w:val="20"/>
                <w:shd w:val="solid" w:color="000000" w:fill="000000"/>
                <w:fitText w:val="50" w:id="-961901044"/>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4"/>
                <w14:textFill>
                  <w14:solidFill>
                    <w14:srgbClr w14:val="000000">
                      <w14:alpha w14:val="100000"/>
                    </w14:srgbClr>
                  </w14:solidFill>
                </w14:textFill>
              </w:rPr>
              <w:t xml:space="preserve">　</w:t>
            </w:r>
            <w:r w:rsidR="00B85435" w:rsidRPr="00B85435">
              <w:rPr>
                <w:rFonts w:cs="Calibri"/>
                <w:color w:val="000000"/>
                <w:szCs w:val="20"/>
                <w:vertAlign w:val="superscript"/>
              </w:rPr>
              <w:t>2</w:t>
            </w:r>
          </w:p>
        </w:tc>
        <w:tc>
          <w:tcPr>
            <w:tcW w:w="611" w:type="pct"/>
            <w:tcBorders>
              <w:top w:val="single" w:sz="4" w:space="0" w:color="auto"/>
            </w:tcBorders>
            <w:shd w:val="clear" w:color="auto" w:fill="B8CCE4" w:themeFill="accent1" w:themeFillTint="66"/>
            <w:vAlign w:val="center"/>
          </w:tcPr>
          <w:p w14:paraId="50C0075E" w14:textId="720FFDA5"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3"/>
                <w14:textFill>
                  <w14:solidFill>
                    <w14:srgbClr w14:val="000000">
                      <w14:alpha w14:val="100000"/>
                    </w14:srgbClr>
                  </w14:solidFill>
                </w14:textFill>
              </w:rPr>
              <w:t xml:space="preserve">　</w:t>
            </w:r>
            <w:r w:rsidRPr="00860BB2">
              <w:rPr>
                <w:color w:val="000000"/>
                <w:w w:val="15"/>
                <w:szCs w:val="20"/>
                <w:shd w:val="solid" w:color="000000" w:fill="000000"/>
                <w:fitText w:val="50" w:id="-961901043"/>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3"/>
                <w14:textFill>
                  <w14:solidFill>
                    <w14:srgbClr w14:val="000000">
                      <w14:alpha w14:val="100000"/>
                    </w14:srgbClr>
                  </w14:solidFill>
                </w14:textFill>
              </w:rPr>
              <w:t xml:space="preserve">　</w:t>
            </w:r>
            <w:r w:rsidR="00B85435" w:rsidRPr="00B85435">
              <w:rPr>
                <w:rFonts w:cs="Calibri"/>
                <w:color w:val="000000"/>
                <w:szCs w:val="20"/>
                <w:vertAlign w:val="superscript"/>
              </w:rPr>
              <w:t>2</w:t>
            </w:r>
          </w:p>
        </w:tc>
        <w:tc>
          <w:tcPr>
            <w:tcW w:w="611" w:type="pct"/>
            <w:tcBorders>
              <w:top w:val="single" w:sz="4" w:space="0" w:color="auto"/>
            </w:tcBorders>
            <w:shd w:val="clear" w:color="auto" w:fill="B8CCE4" w:themeFill="accent1" w:themeFillTint="66"/>
            <w:vAlign w:val="center"/>
          </w:tcPr>
          <w:p w14:paraId="71E784E0" w14:textId="133B8DD4" w:rsidR="005B3215" w:rsidRPr="00A95BF9" w:rsidRDefault="00860BB2" w:rsidP="007360EF">
            <w:pPr>
              <w:pStyle w:val="TableText0"/>
              <w:jc w:val="center"/>
              <w:rPr>
                <w:szCs w:val="20"/>
                <w:highlight w:val="lightGray"/>
              </w:rPr>
            </w:pPr>
            <w:r w:rsidRPr="00860BB2">
              <w:rPr>
                <w:rFonts w:hint="eastAsia"/>
                <w:color w:val="000000"/>
                <w:w w:val="19"/>
                <w:szCs w:val="20"/>
                <w:shd w:val="solid" w:color="000000" w:fill="000000"/>
                <w:fitText w:val="87" w:id="-961901042"/>
                <w14:textFill>
                  <w14:solidFill>
                    <w14:srgbClr w14:val="000000">
                      <w14:alpha w14:val="100000"/>
                    </w14:srgbClr>
                  </w14:solidFill>
                </w14:textFill>
              </w:rPr>
              <w:t xml:space="preserve">　</w:t>
            </w:r>
            <w:r w:rsidRPr="00860BB2">
              <w:rPr>
                <w:color w:val="000000"/>
                <w:w w:val="19"/>
                <w:szCs w:val="20"/>
                <w:shd w:val="solid" w:color="000000" w:fill="000000"/>
                <w:fitText w:val="87" w:id="-961901042"/>
                <w14:textFill>
                  <w14:solidFill>
                    <w14:srgbClr w14:val="000000">
                      <w14:alpha w14:val="100000"/>
                    </w14:srgbClr>
                  </w14:solidFill>
                </w14:textFill>
              </w:rPr>
              <w:t>|</w:t>
            </w:r>
            <w:r w:rsidRPr="00860BB2">
              <w:rPr>
                <w:rFonts w:hint="eastAsia"/>
                <w:color w:val="000000"/>
                <w:spacing w:val="3"/>
                <w:w w:val="19"/>
                <w:szCs w:val="20"/>
                <w:shd w:val="solid" w:color="000000" w:fill="000000"/>
                <w:fitText w:val="87" w:id="-961901042"/>
                <w14:textFill>
                  <w14:solidFill>
                    <w14:srgbClr w14:val="000000">
                      <w14:alpha w14:val="100000"/>
                    </w14:srgbClr>
                  </w14:solidFill>
                </w14:textFill>
              </w:rPr>
              <w:t xml:space="preserve">　</w:t>
            </w:r>
            <w:r w:rsidR="00333D2C" w:rsidRPr="00333D2C">
              <w:rPr>
                <w:szCs w:val="20"/>
                <w:vertAlign w:val="superscript"/>
              </w:rPr>
              <w:t>4</w:t>
            </w:r>
            <w:r w:rsidR="00B85435" w:rsidRPr="00B85435">
              <w:rPr>
                <w:rFonts w:cs="Calibri"/>
                <w:color w:val="000000"/>
                <w:szCs w:val="20"/>
                <w:vertAlign w:val="superscript"/>
              </w:rPr>
              <w:t>2</w:t>
            </w:r>
          </w:p>
        </w:tc>
        <w:tc>
          <w:tcPr>
            <w:tcW w:w="611" w:type="pct"/>
            <w:tcBorders>
              <w:top w:val="single" w:sz="4" w:space="0" w:color="auto"/>
            </w:tcBorders>
            <w:shd w:val="clear" w:color="auto" w:fill="B8CCE4" w:themeFill="accent1" w:themeFillTint="66"/>
            <w:vAlign w:val="center"/>
          </w:tcPr>
          <w:p w14:paraId="59E17C82" w14:textId="212E586B"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1"/>
                <w14:textFill>
                  <w14:solidFill>
                    <w14:srgbClr w14:val="000000">
                      <w14:alpha w14:val="100000"/>
                    </w14:srgbClr>
                  </w14:solidFill>
                </w14:textFill>
              </w:rPr>
              <w:t xml:space="preserve">　</w:t>
            </w:r>
            <w:r w:rsidRPr="00860BB2">
              <w:rPr>
                <w:color w:val="000000"/>
                <w:w w:val="15"/>
                <w:szCs w:val="20"/>
                <w:shd w:val="solid" w:color="000000" w:fill="000000"/>
                <w:fitText w:val="50" w:id="-961901041"/>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1"/>
                <w14:textFill>
                  <w14:solidFill>
                    <w14:srgbClr w14:val="000000">
                      <w14:alpha w14:val="100000"/>
                    </w14:srgbClr>
                  </w14:solidFill>
                </w14:textFill>
              </w:rPr>
              <w:t xml:space="preserve">　</w:t>
            </w:r>
            <w:r w:rsidR="00B85435" w:rsidRPr="00B85435">
              <w:rPr>
                <w:rFonts w:cs="Calibri"/>
                <w:color w:val="000000"/>
                <w:szCs w:val="20"/>
                <w:vertAlign w:val="superscript"/>
              </w:rPr>
              <w:t>2</w:t>
            </w:r>
          </w:p>
        </w:tc>
        <w:tc>
          <w:tcPr>
            <w:tcW w:w="611" w:type="pct"/>
            <w:tcBorders>
              <w:top w:val="single" w:sz="4" w:space="0" w:color="auto"/>
            </w:tcBorders>
            <w:shd w:val="clear" w:color="auto" w:fill="B8CCE4" w:themeFill="accent1" w:themeFillTint="66"/>
            <w:vAlign w:val="center"/>
          </w:tcPr>
          <w:p w14:paraId="3A72803D" w14:textId="1A139647"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40"/>
                <w14:textFill>
                  <w14:solidFill>
                    <w14:srgbClr w14:val="000000">
                      <w14:alpha w14:val="100000"/>
                    </w14:srgbClr>
                  </w14:solidFill>
                </w14:textFill>
              </w:rPr>
              <w:t xml:space="preserve">　</w:t>
            </w:r>
            <w:r w:rsidRPr="00860BB2">
              <w:rPr>
                <w:color w:val="000000"/>
                <w:w w:val="15"/>
                <w:szCs w:val="20"/>
                <w:shd w:val="solid" w:color="000000" w:fill="000000"/>
                <w:fitText w:val="50" w:id="-961901040"/>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40"/>
                <w14:textFill>
                  <w14:solidFill>
                    <w14:srgbClr w14:val="000000">
                      <w14:alpha w14:val="100000"/>
                    </w14:srgbClr>
                  </w14:solidFill>
                </w14:textFill>
              </w:rPr>
              <w:t xml:space="preserve">　</w:t>
            </w:r>
            <w:r w:rsidR="00B85435" w:rsidRPr="00B85435">
              <w:rPr>
                <w:rFonts w:cs="Calibri"/>
                <w:color w:val="000000"/>
                <w:szCs w:val="20"/>
                <w:vertAlign w:val="superscript"/>
              </w:rPr>
              <w:t>2</w:t>
            </w:r>
          </w:p>
        </w:tc>
        <w:tc>
          <w:tcPr>
            <w:tcW w:w="613" w:type="pct"/>
            <w:tcBorders>
              <w:top w:val="single" w:sz="4" w:space="0" w:color="auto"/>
            </w:tcBorders>
            <w:shd w:val="clear" w:color="auto" w:fill="B8CCE4" w:themeFill="accent1" w:themeFillTint="66"/>
            <w:vAlign w:val="center"/>
          </w:tcPr>
          <w:p w14:paraId="55AE650C" w14:textId="06DCEBA9"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6"/>
                <w14:textFill>
                  <w14:solidFill>
                    <w14:srgbClr w14:val="000000">
                      <w14:alpha w14:val="100000"/>
                    </w14:srgbClr>
                  </w14:solidFill>
                </w14:textFill>
              </w:rPr>
              <w:t xml:space="preserve">　</w:t>
            </w:r>
            <w:r w:rsidRPr="00860BB2">
              <w:rPr>
                <w:color w:val="000000"/>
                <w:w w:val="15"/>
                <w:szCs w:val="20"/>
                <w:shd w:val="solid" w:color="000000" w:fill="000000"/>
                <w:fitText w:val="50" w:id="-961901056"/>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6"/>
                <w14:textFill>
                  <w14:solidFill>
                    <w14:srgbClr w14:val="000000">
                      <w14:alpha w14:val="100000"/>
                    </w14:srgbClr>
                  </w14:solidFill>
                </w14:textFill>
              </w:rPr>
              <w:t xml:space="preserve">　</w:t>
            </w:r>
            <w:r w:rsidR="00B85435" w:rsidRPr="00B85435">
              <w:rPr>
                <w:rFonts w:cs="Calibri"/>
                <w:color w:val="000000"/>
                <w:szCs w:val="20"/>
                <w:vertAlign w:val="superscript"/>
              </w:rPr>
              <w:t>2</w:t>
            </w:r>
          </w:p>
        </w:tc>
      </w:tr>
      <w:tr w:rsidR="005B3215" w:rsidRPr="00AD5A27" w14:paraId="2C9F2346" w14:textId="77777777" w:rsidTr="005333FF">
        <w:tc>
          <w:tcPr>
            <w:tcW w:w="1332" w:type="pct"/>
            <w:tcBorders>
              <w:top w:val="single" w:sz="4" w:space="0" w:color="auto"/>
              <w:right w:val="single" w:sz="4" w:space="0" w:color="auto"/>
            </w:tcBorders>
            <w:shd w:val="clear" w:color="auto" w:fill="B8CCE4" w:themeFill="accent1" w:themeFillTint="66"/>
            <w:vAlign w:val="center"/>
          </w:tcPr>
          <w:p w14:paraId="7F43BD48" w14:textId="12588480" w:rsidR="005B3215" w:rsidRPr="00AD5A27" w:rsidRDefault="005B3215" w:rsidP="007360EF">
            <w:pPr>
              <w:pStyle w:val="TableText0"/>
              <w:rPr>
                <w:szCs w:val="20"/>
              </w:rPr>
            </w:pPr>
            <w:r w:rsidRPr="00AD5A27">
              <w:rPr>
                <w:szCs w:val="20"/>
              </w:rPr>
              <w:t xml:space="preserve">Cost to the Govt. </w:t>
            </w:r>
            <w:r w:rsidR="00A95BF9">
              <w:rPr>
                <w:szCs w:val="20"/>
              </w:rPr>
              <w:t>($)</w:t>
            </w:r>
          </w:p>
        </w:tc>
        <w:tc>
          <w:tcPr>
            <w:tcW w:w="611" w:type="pct"/>
            <w:tcBorders>
              <w:top w:val="single" w:sz="4" w:space="0" w:color="auto"/>
            </w:tcBorders>
            <w:shd w:val="clear" w:color="auto" w:fill="B8CCE4" w:themeFill="accent1" w:themeFillTint="66"/>
            <w:vAlign w:val="center"/>
          </w:tcPr>
          <w:p w14:paraId="64C15E14" w14:textId="7A8B2FD5"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5"/>
                <w14:textFill>
                  <w14:solidFill>
                    <w14:srgbClr w14:val="000000">
                      <w14:alpha w14:val="100000"/>
                    </w14:srgbClr>
                  </w14:solidFill>
                </w14:textFill>
              </w:rPr>
              <w:t xml:space="preserve">　</w:t>
            </w:r>
            <w:r w:rsidRPr="00860BB2">
              <w:rPr>
                <w:color w:val="000000"/>
                <w:w w:val="15"/>
                <w:szCs w:val="20"/>
                <w:shd w:val="solid" w:color="000000" w:fill="000000"/>
                <w:fitText w:val="50" w:id="-961901055"/>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5"/>
                <w14:textFill>
                  <w14:solidFill>
                    <w14:srgbClr w14:val="000000">
                      <w14:alpha w14:val="100000"/>
                    </w14:srgbClr>
                  </w14:solidFill>
                </w14:textFill>
              </w:rPr>
              <w:t xml:space="preserve">　</w:t>
            </w:r>
            <w:r w:rsidR="00333D2C" w:rsidRPr="00333D2C">
              <w:rPr>
                <w:szCs w:val="20"/>
                <w:vertAlign w:val="superscript"/>
              </w:rPr>
              <w:t>4</w:t>
            </w:r>
          </w:p>
        </w:tc>
        <w:tc>
          <w:tcPr>
            <w:tcW w:w="611" w:type="pct"/>
            <w:tcBorders>
              <w:top w:val="single" w:sz="4" w:space="0" w:color="auto"/>
            </w:tcBorders>
            <w:shd w:val="clear" w:color="auto" w:fill="B8CCE4" w:themeFill="accent1" w:themeFillTint="66"/>
            <w:vAlign w:val="center"/>
          </w:tcPr>
          <w:p w14:paraId="694306E5" w14:textId="08A9922A"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4"/>
                <w14:textFill>
                  <w14:solidFill>
                    <w14:srgbClr w14:val="000000">
                      <w14:alpha w14:val="100000"/>
                    </w14:srgbClr>
                  </w14:solidFill>
                </w14:textFill>
              </w:rPr>
              <w:t xml:space="preserve">　</w:t>
            </w:r>
            <w:r w:rsidRPr="00860BB2">
              <w:rPr>
                <w:color w:val="000000"/>
                <w:w w:val="15"/>
                <w:szCs w:val="20"/>
                <w:shd w:val="solid" w:color="000000" w:fill="000000"/>
                <w:fitText w:val="50" w:id="-961901054"/>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4"/>
                <w14:textFill>
                  <w14:solidFill>
                    <w14:srgbClr w14:val="000000">
                      <w14:alpha w14:val="100000"/>
                    </w14:srgbClr>
                  </w14:solidFill>
                </w14:textFill>
              </w:rPr>
              <w:t xml:space="preserve">　</w:t>
            </w:r>
            <w:r w:rsidR="00333D2C" w:rsidRPr="00333D2C">
              <w:rPr>
                <w:szCs w:val="20"/>
                <w:vertAlign w:val="superscript"/>
              </w:rPr>
              <w:t>4</w:t>
            </w:r>
          </w:p>
        </w:tc>
        <w:tc>
          <w:tcPr>
            <w:tcW w:w="611" w:type="pct"/>
            <w:tcBorders>
              <w:top w:val="single" w:sz="4" w:space="0" w:color="auto"/>
            </w:tcBorders>
            <w:shd w:val="clear" w:color="auto" w:fill="B8CCE4" w:themeFill="accent1" w:themeFillTint="66"/>
            <w:vAlign w:val="center"/>
          </w:tcPr>
          <w:p w14:paraId="4B6C7308" w14:textId="6A46B146"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3"/>
                <w14:textFill>
                  <w14:solidFill>
                    <w14:srgbClr w14:val="000000">
                      <w14:alpha w14:val="100000"/>
                    </w14:srgbClr>
                  </w14:solidFill>
                </w14:textFill>
              </w:rPr>
              <w:t xml:space="preserve">　</w:t>
            </w:r>
            <w:r w:rsidRPr="00860BB2">
              <w:rPr>
                <w:color w:val="000000"/>
                <w:w w:val="15"/>
                <w:szCs w:val="20"/>
                <w:shd w:val="solid" w:color="000000" w:fill="000000"/>
                <w:fitText w:val="50" w:id="-961901053"/>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3"/>
                <w14:textFill>
                  <w14:solidFill>
                    <w14:srgbClr w14:val="000000">
                      <w14:alpha w14:val="100000"/>
                    </w14:srgbClr>
                  </w14:solidFill>
                </w14:textFill>
              </w:rPr>
              <w:t xml:space="preserve">　</w:t>
            </w:r>
            <w:r w:rsidR="00333D2C" w:rsidRPr="00333D2C">
              <w:rPr>
                <w:szCs w:val="20"/>
                <w:vertAlign w:val="superscript"/>
              </w:rPr>
              <w:t>4</w:t>
            </w:r>
          </w:p>
        </w:tc>
        <w:tc>
          <w:tcPr>
            <w:tcW w:w="611" w:type="pct"/>
            <w:tcBorders>
              <w:top w:val="single" w:sz="4" w:space="0" w:color="auto"/>
            </w:tcBorders>
            <w:shd w:val="clear" w:color="auto" w:fill="B8CCE4" w:themeFill="accent1" w:themeFillTint="66"/>
            <w:vAlign w:val="center"/>
          </w:tcPr>
          <w:p w14:paraId="1A85CCB4" w14:textId="425F12FC"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2"/>
                <w14:textFill>
                  <w14:solidFill>
                    <w14:srgbClr w14:val="000000">
                      <w14:alpha w14:val="100000"/>
                    </w14:srgbClr>
                  </w14:solidFill>
                </w14:textFill>
              </w:rPr>
              <w:t xml:space="preserve">　</w:t>
            </w:r>
            <w:r w:rsidRPr="00860BB2">
              <w:rPr>
                <w:color w:val="000000"/>
                <w:w w:val="15"/>
                <w:szCs w:val="20"/>
                <w:shd w:val="solid" w:color="000000" w:fill="000000"/>
                <w:fitText w:val="50" w:id="-961901052"/>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2"/>
                <w14:textFill>
                  <w14:solidFill>
                    <w14:srgbClr w14:val="000000">
                      <w14:alpha w14:val="100000"/>
                    </w14:srgbClr>
                  </w14:solidFill>
                </w14:textFill>
              </w:rPr>
              <w:t xml:space="preserve">　</w:t>
            </w:r>
            <w:r w:rsidR="00333D2C" w:rsidRPr="00333D2C">
              <w:rPr>
                <w:szCs w:val="20"/>
                <w:vertAlign w:val="superscript"/>
              </w:rPr>
              <w:t>4</w:t>
            </w:r>
          </w:p>
        </w:tc>
        <w:tc>
          <w:tcPr>
            <w:tcW w:w="611" w:type="pct"/>
            <w:tcBorders>
              <w:top w:val="single" w:sz="4" w:space="0" w:color="auto"/>
            </w:tcBorders>
            <w:shd w:val="clear" w:color="auto" w:fill="B8CCE4" w:themeFill="accent1" w:themeFillTint="66"/>
            <w:vAlign w:val="center"/>
          </w:tcPr>
          <w:p w14:paraId="1A0AE438" w14:textId="3D768760"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1"/>
                <w14:textFill>
                  <w14:solidFill>
                    <w14:srgbClr w14:val="000000">
                      <w14:alpha w14:val="100000"/>
                    </w14:srgbClr>
                  </w14:solidFill>
                </w14:textFill>
              </w:rPr>
              <w:t xml:space="preserve">　</w:t>
            </w:r>
            <w:r w:rsidRPr="00860BB2">
              <w:rPr>
                <w:color w:val="000000"/>
                <w:w w:val="15"/>
                <w:szCs w:val="20"/>
                <w:shd w:val="solid" w:color="000000" w:fill="000000"/>
                <w:fitText w:val="50" w:id="-961901051"/>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1"/>
                <w14:textFill>
                  <w14:solidFill>
                    <w14:srgbClr w14:val="000000">
                      <w14:alpha w14:val="100000"/>
                    </w14:srgbClr>
                  </w14:solidFill>
                </w14:textFill>
              </w:rPr>
              <w:t xml:space="preserve">　</w:t>
            </w:r>
            <w:r w:rsidR="00333D2C" w:rsidRPr="00333D2C">
              <w:rPr>
                <w:szCs w:val="20"/>
                <w:vertAlign w:val="superscript"/>
              </w:rPr>
              <w:t>4</w:t>
            </w:r>
          </w:p>
        </w:tc>
        <w:tc>
          <w:tcPr>
            <w:tcW w:w="613" w:type="pct"/>
            <w:tcBorders>
              <w:top w:val="single" w:sz="4" w:space="0" w:color="auto"/>
            </w:tcBorders>
            <w:shd w:val="clear" w:color="auto" w:fill="B8CCE4" w:themeFill="accent1" w:themeFillTint="66"/>
            <w:vAlign w:val="center"/>
          </w:tcPr>
          <w:p w14:paraId="2EE1EF1E" w14:textId="784E8666" w:rsidR="005B3215" w:rsidRPr="00A95BF9" w:rsidRDefault="00860BB2" w:rsidP="007360EF">
            <w:pPr>
              <w:pStyle w:val="TableText0"/>
              <w:jc w:val="center"/>
              <w:rPr>
                <w:szCs w:val="20"/>
                <w:highlight w:val="lightGray"/>
              </w:rPr>
            </w:pPr>
            <w:r w:rsidRPr="00860BB2">
              <w:rPr>
                <w:rFonts w:hint="eastAsia"/>
                <w:color w:val="000000"/>
                <w:w w:val="15"/>
                <w:szCs w:val="20"/>
                <w:shd w:val="solid" w:color="000000" w:fill="000000"/>
                <w:fitText w:val="50" w:id="-961901050"/>
                <w14:textFill>
                  <w14:solidFill>
                    <w14:srgbClr w14:val="000000">
                      <w14:alpha w14:val="100000"/>
                    </w14:srgbClr>
                  </w14:solidFill>
                </w14:textFill>
              </w:rPr>
              <w:t xml:space="preserve">　</w:t>
            </w:r>
            <w:r w:rsidRPr="00860BB2">
              <w:rPr>
                <w:color w:val="000000"/>
                <w:w w:val="15"/>
                <w:szCs w:val="20"/>
                <w:shd w:val="solid" w:color="000000" w:fill="000000"/>
                <w:fitText w:val="50" w:id="-961901050"/>
                <w14:textFill>
                  <w14:solidFill>
                    <w14:srgbClr w14:val="000000">
                      <w14:alpha w14:val="100000"/>
                    </w14:srgbClr>
                  </w14:solidFill>
                </w14:textFill>
              </w:rPr>
              <w:t>|</w:t>
            </w:r>
            <w:r w:rsidRPr="00860BB2">
              <w:rPr>
                <w:rFonts w:hint="eastAsia"/>
                <w:color w:val="000000"/>
                <w:spacing w:val="-15"/>
                <w:w w:val="15"/>
                <w:szCs w:val="20"/>
                <w:shd w:val="solid" w:color="000000" w:fill="000000"/>
                <w:fitText w:val="50" w:id="-961901050"/>
                <w14:textFill>
                  <w14:solidFill>
                    <w14:srgbClr w14:val="000000">
                      <w14:alpha w14:val="100000"/>
                    </w14:srgbClr>
                  </w14:solidFill>
                </w14:textFill>
              </w:rPr>
              <w:t xml:space="preserve">　</w:t>
            </w:r>
            <w:r w:rsidR="00333D2C" w:rsidRPr="00333D2C">
              <w:rPr>
                <w:szCs w:val="20"/>
                <w:vertAlign w:val="superscript"/>
              </w:rPr>
              <w:t>4</w:t>
            </w:r>
          </w:p>
        </w:tc>
      </w:tr>
      <w:tr w:rsidR="005B3215" w:rsidRPr="00AD5A27" w14:paraId="21C04F23" w14:textId="77777777" w:rsidTr="005333FF">
        <w:tc>
          <w:tcPr>
            <w:tcW w:w="1332" w:type="pct"/>
            <w:shd w:val="clear" w:color="auto" w:fill="B8CCE4" w:themeFill="accent1" w:themeFillTint="66"/>
            <w:vAlign w:val="center"/>
          </w:tcPr>
          <w:p w14:paraId="7018F1F1" w14:textId="63C8F336" w:rsidR="005B3215" w:rsidRPr="00AD5A27" w:rsidRDefault="005B3215" w:rsidP="007360EF">
            <w:pPr>
              <w:pStyle w:val="TableText0"/>
              <w:rPr>
                <w:b/>
                <w:bCs w:val="0"/>
                <w:szCs w:val="20"/>
              </w:rPr>
            </w:pPr>
            <w:r w:rsidRPr="00AD5A27">
              <w:rPr>
                <w:b/>
                <w:bCs w:val="0"/>
                <w:szCs w:val="20"/>
              </w:rPr>
              <w:t>Total</w:t>
            </w:r>
            <w:r w:rsidR="00A95BF9">
              <w:rPr>
                <w:b/>
                <w:bCs w:val="0"/>
                <w:szCs w:val="20"/>
              </w:rPr>
              <w:t xml:space="preserve"> ($)</w:t>
            </w:r>
          </w:p>
        </w:tc>
        <w:tc>
          <w:tcPr>
            <w:tcW w:w="611" w:type="pct"/>
            <w:shd w:val="clear" w:color="auto" w:fill="B8CCE4" w:themeFill="accent1" w:themeFillTint="66"/>
            <w:vAlign w:val="center"/>
          </w:tcPr>
          <w:p w14:paraId="0806AFA1" w14:textId="432916E2" w:rsidR="005B3215" w:rsidRPr="00A95BF9" w:rsidRDefault="00860BB2" w:rsidP="007360EF">
            <w:pPr>
              <w:pStyle w:val="TableText0"/>
              <w:jc w:val="center"/>
              <w:rPr>
                <w:b/>
                <w:bCs w:val="0"/>
                <w:color w:val="000000"/>
                <w:szCs w:val="20"/>
                <w:highlight w:val="lightGray"/>
              </w:rPr>
            </w:pPr>
            <w:r w:rsidRPr="00860BB2">
              <w:rPr>
                <w:rFonts w:hint="eastAsia"/>
                <w:b/>
                <w:bCs w:val="0"/>
                <w:color w:val="000000"/>
                <w:w w:val="22"/>
                <w:szCs w:val="20"/>
                <w:shd w:val="solid" w:color="000000" w:fill="000000"/>
                <w:fitText w:val="100" w:id="-961901049"/>
                <w14:textFill>
                  <w14:solidFill>
                    <w14:srgbClr w14:val="000000">
                      <w14:alpha w14:val="100000"/>
                    </w14:srgbClr>
                  </w14:solidFill>
                </w14:textFill>
              </w:rPr>
              <w:t xml:space="preserve">　</w:t>
            </w:r>
            <w:r w:rsidRPr="00860BB2">
              <w:rPr>
                <w:b/>
                <w:bCs w:val="0"/>
                <w:color w:val="000000"/>
                <w:w w:val="22"/>
                <w:szCs w:val="20"/>
                <w:shd w:val="solid" w:color="000000" w:fill="000000"/>
                <w:fitText w:val="100" w:id="-961901049"/>
                <w14:textFill>
                  <w14:solidFill>
                    <w14:srgbClr w14:val="000000">
                      <w14:alpha w14:val="100000"/>
                    </w14:srgbClr>
                  </w14:solidFill>
                </w14:textFill>
              </w:rPr>
              <w:t>|</w:t>
            </w:r>
            <w:r w:rsidRPr="00860BB2">
              <w:rPr>
                <w:rFonts w:hint="eastAsia"/>
                <w:b/>
                <w:bCs w:val="0"/>
                <w:color w:val="000000"/>
                <w:spacing w:val="2"/>
                <w:w w:val="22"/>
                <w:szCs w:val="20"/>
                <w:shd w:val="solid" w:color="000000" w:fill="000000"/>
                <w:fitText w:val="100" w:id="-961901049"/>
                <w14:textFill>
                  <w14:solidFill>
                    <w14:srgbClr w14:val="000000">
                      <w14:alpha w14:val="100000"/>
                    </w14:srgbClr>
                  </w14:solidFill>
                </w14:textFill>
              </w:rPr>
              <w:t xml:space="preserve">　</w:t>
            </w:r>
            <w:r w:rsidR="00D06FEC" w:rsidRPr="00333D2C">
              <w:rPr>
                <w:szCs w:val="20"/>
                <w:vertAlign w:val="superscript"/>
              </w:rPr>
              <w:t>4</w:t>
            </w:r>
          </w:p>
        </w:tc>
        <w:tc>
          <w:tcPr>
            <w:tcW w:w="611" w:type="pct"/>
            <w:shd w:val="clear" w:color="auto" w:fill="B8CCE4" w:themeFill="accent1" w:themeFillTint="66"/>
            <w:vAlign w:val="center"/>
          </w:tcPr>
          <w:p w14:paraId="038C5762" w14:textId="2E30F7F3" w:rsidR="005B3215" w:rsidRPr="00A95BF9" w:rsidRDefault="00860BB2" w:rsidP="007360EF">
            <w:pPr>
              <w:pStyle w:val="TableText0"/>
              <w:jc w:val="center"/>
              <w:rPr>
                <w:b/>
                <w:bCs w:val="0"/>
                <w:color w:val="000000"/>
                <w:szCs w:val="20"/>
                <w:highlight w:val="lightGray"/>
              </w:rPr>
            </w:pPr>
            <w:r w:rsidRPr="00860BB2">
              <w:rPr>
                <w:rFonts w:hint="eastAsia"/>
                <w:b/>
                <w:bCs w:val="0"/>
                <w:color w:val="000000"/>
                <w:w w:val="22"/>
                <w:szCs w:val="20"/>
                <w:shd w:val="solid" w:color="000000" w:fill="000000"/>
                <w:fitText w:val="100" w:id="-961901048"/>
                <w14:textFill>
                  <w14:solidFill>
                    <w14:srgbClr w14:val="000000">
                      <w14:alpha w14:val="100000"/>
                    </w14:srgbClr>
                  </w14:solidFill>
                </w14:textFill>
              </w:rPr>
              <w:t xml:space="preserve">　</w:t>
            </w:r>
            <w:r w:rsidRPr="00860BB2">
              <w:rPr>
                <w:b/>
                <w:bCs w:val="0"/>
                <w:color w:val="000000"/>
                <w:w w:val="22"/>
                <w:szCs w:val="20"/>
                <w:shd w:val="solid" w:color="000000" w:fill="000000"/>
                <w:fitText w:val="100" w:id="-961901048"/>
                <w14:textFill>
                  <w14:solidFill>
                    <w14:srgbClr w14:val="000000">
                      <w14:alpha w14:val="100000"/>
                    </w14:srgbClr>
                  </w14:solidFill>
                </w14:textFill>
              </w:rPr>
              <w:t>|</w:t>
            </w:r>
            <w:r w:rsidRPr="00860BB2">
              <w:rPr>
                <w:rFonts w:hint="eastAsia"/>
                <w:b/>
                <w:bCs w:val="0"/>
                <w:color w:val="000000"/>
                <w:spacing w:val="2"/>
                <w:w w:val="22"/>
                <w:szCs w:val="20"/>
                <w:shd w:val="solid" w:color="000000" w:fill="000000"/>
                <w:fitText w:val="100" w:id="-961901048"/>
                <w14:textFill>
                  <w14:solidFill>
                    <w14:srgbClr w14:val="000000">
                      <w14:alpha w14:val="100000"/>
                    </w14:srgbClr>
                  </w14:solidFill>
                </w14:textFill>
              </w:rPr>
              <w:t xml:space="preserve">　</w:t>
            </w:r>
            <w:r w:rsidR="00D06FEC" w:rsidRPr="00333D2C">
              <w:rPr>
                <w:szCs w:val="20"/>
                <w:vertAlign w:val="superscript"/>
              </w:rPr>
              <w:t>4</w:t>
            </w:r>
          </w:p>
        </w:tc>
        <w:tc>
          <w:tcPr>
            <w:tcW w:w="611" w:type="pct"/>
            <w:shd w:val="clear" w:color="auto" w:fill="B8CCE4" w:themeFill="accent1" w:themeFillTint="66"/>
            <w:vAlign w:val="center"/>
          </w:tcPr>
          <w:p w14:paraId="3A00FE4E" w14:textId="3343B714" w:rsidR="005B3215" w:rsidRPr="00A95BF9" w:rsidRDefault="00860BB2" w:rsidP="007360EF">
            <w:pPr>
              <w:pStyle w:val="TableText0"/>
              <w:jc w:val="center"/>
              <w:rPr>
                <w:b/>
                <w:bCs w:val="0"/>
                <w:color w:val="000000"/>
                <w:szCs w:val="20"/>
                <w:highlight w:val="lightGray"/>
              </w:rPr>
            </w:pPr>
            <w:r w:rsidRPr="00860BB2">
              <w:rPr>
                <w:rFonts w:hint="eastAsia"/>
                <w:b/>
                <w:bCs w:val="0"/>
                <w:color w:val="000000"/>
                <w:w w:val="22"/>
                <w:szCs w:val="20"/>
                <w:shd w:val="solid" w:color="000000" w:fill="000000"/>
                <w:fitText w:val="100" w:id="-961901047"/>
                <w14:textFill>
                  <w14:solidFill>
                    <w14:srgbClr w14:val="000000">
                      <w14:alpha w14:val="100000"/>
                    </w14:srgbClr>
                  </w14:solidFill>
                </w14:textFill>
              </w:rPr>
              <w:t xml:space="preserve">　</w:t>
            </w:r>
            <w:r w:rsidRPr="00860BB2">
              <w:rPr>
                <w:b/>
                <w:bCs w:val="0"/>
                <w:color w:val="000000"/>
                <w:w w:val="22"/>
                <w:szCs w:val="20"/>
                <w:shd w:val="solid" w:color="000000" w:fill="000000"/>
                <w:fitText w:val="100" w:id="-961901047"/>
                <w14:textFill>
                  <w14:solidFill>
                    <w14:srgbClr w14:val="000000">
                      <w14:alpha w14:val="100000"/>
                    </w14:srgbClr>
                  </w14:solidFill>
                </w14:textFill>
              </w:rPr>
              <w:t>|</w:t>
            </w:r>
            <w:r w:rsidRPr="00860BB2">
              <w:rPr>
                <w:rFonts w:hint="eastAsia"/>
                <w:b/>
                <w:bCs w:val="0"/>
                <w:color w:val="000000"/>
                <w:spacing w:val="2"/>
                <w:w w:val="22"/>
                <w:szCs w:val="20"/>
                <w:shd w:val="solid" w:color="000000" w:fill="000000"/>
                <w:fitText w:val="100" w:id="-961901047"/>
                <w14:textFill>
                  <w14:solidFill>
                    <w14:srgbClr w14:val="000000">
                      <w14:alpha w14:val="100000"/>
                    </w14:srgbClr>
                  </w14:solidFill>
                </w14:textFill>
              </w:rPr>
              <w:t xml:space="preserve">　</w:t>
            </w:r>
            <w:r w:rsidR="00D06FEC" w:rsidRPr="00333D2C">
              <w:rPr>
                <w:szCs w:val="20"/>
                <w:vertAlign w:val="superscript"/>
              </w:rPr>
              <w:t>4</w:t>
            </w:r>
          </w:p>
        </w:tc>
        <w:tc>
          <w:tcPr>
            <w:tcW w:w="611" w:type="pct"/>
            <w:shd w:val="clear" w:color="auto" w:fill="B8CCE4" w:themeFill="accent1" w:themeFillTint="66"/>
            <w:vAlign w:val="center"/>
          </w:tcPr>
          <w:p w14:paraId="5328B68C" w14:textId="1CD4913D" w:rsidR="005B3215" w:rsidRPr="00A95BF9" w:rsidRDefault="00860BB2" w:rsidP="007360EF">
            <w:pPr>
              <w:pStyle w:val="TableText0"/>
              <w:jc w:val="center"/>
              <w:rPr>
                <w:b/>
                <w:bCs w:val="0"/>
                <w:color w:val="000000"/>
                <w:szCs w:val="20"/>
                <w:highlight w:val="lightGray"/>
              </w:rPr>
            </w:pPr>
            <w:r w:rsidRPr="00860BB2">
              <w:rPr>
                <w:rFonts w:hint="eastAsia"/>
                <w:b/>
                <w:bCs w:val="0"/>
                <w:color w:val="000000"/>
                <w:w w:val="22"/>
                <w:szCs w:val="20"/>
                <w:shd w:val="solid" w:color="000000" w:fill="000000"/>
                <w:fitText w:val="100" w:id="-961900800"/>
                <w14:textFill>
                  <w14:solidFill>
                    <w14:srgbClr w14:val="000000">
                      <w14:alpha w14:val="100000"/>
                    </w14:srgbClr>
                  </w14:solidFill>
                </w14:textFill>
              </w:rPr>
              <w:t xml:space="preserve">　</w:t>
            </w:r>
            <w:r w:rsidRPr="00860BB2">
              <w:rPr>
                <w:b/>
                <w:bCs w:val="0"/>
                <w:color w:val="000000"/>
                <w:w w:val="22"/>
                <w:szCs w:val="20"/>
                <w:shd w:val="solid" w:color="000000" w:fill="000000"/>
                <w:fitText w:val="100" w:id="-961900800"/>
                <w14:textFill>
                  <w14:solidFill>
                    <w14:srgbClr w14:val="000000">
                      <w14:alpha w14:val="100000"/>
                    </w14:srgbClr>
                  </w14:solidFill>
                </w14:textFill>
              </w:rPr>
              <w:t>|</w:t>
            </w:r>
            <w:r w:rsidRPr="00860BB2">
              <w:rPr>
                <w:rFonts w:hint="eastAsia"/>
                <w:b/>
                <w:bCs w:val="0"/>
                <w:color w:val="000000"/>
                <w:spacing w:val="2"/>
                <w:w w:val="22"/>
                <w:szCs w:val="20"/>
                <w:shd w:val="solid" w:color="000000" w:fill="000000"/>
                <w:fitText w:val="100" w:id="-961900800"/>
                <w14:textFill>
                  <w14:solidFill>
                    <w14:srgbClr w14:val="000000">
                      <w14:alpha w14:val="100000"/>
                    </w14:srgbClr>
                  </w14:solidFill>
                </w14:textFill>
              </w:rPr>
              <w:t xml:space="preserve">　</w:t>
            </w:r>
            <w:r w:rsidR="00D06FEC" w:rsidRPr="00333D2C">
              <w:rPr>
                <w:szCs w:val="20"/>
                <w:vertAlign w:val="superscript"/>
              </w:rPr>
              <w:t>4</w:t>
            </w:r>
          </w:p>
        </w:tc>
        <w:tc>
          <w:tcPr>
            <w:tcW w:w="611" w:type="pct"/>
            <w:shd w:val="clear" w:color="auto" w:fill="B8CCE4" w:themeFill="accent1" w:themeFillTint="66"/>
            <w:vAlign w:val="center"/>
          </w:tcPr>
          <w:p w14:paraId="5BF00C3F" w14:textId="57B2AF76" w:rsidR="005B3215" w:rsidRPr="00A95BF9" w:rsidRDefault="00860BB2" w:rsidP="007360EF">
            <w:pPr>
              <w:pStyle w:val="TableText0"/>
              <w:jc w:val="center"/>
              <w:rPr>
                <w:b/>
                <w:bCs w:val="0"/>
                <w:color w:val="000000"/>
                <w:szCs w:val="20"/>
                <w:highlight w:val="lightGray"/>
              </w:rPr>
            </w:pPr>
            <w:r w:rsidRPr="00860BB2">
              <w:rPr>
                <w:rFonts w:hint="eastAsia"/>
                <w:b/>
                <w:bCs w:val="0"/>
                <w:color w:val="000000"/>
                <w:w w:val="22"/>
                <w:szCs w:val="20"/>
                <w:shd w:val="solid" w:color="000000" w:fill="000000"/>
                <w:fitText w:val="100" w:id="-961900799"/>
                <w14:textFill>
                  <w14:solidFill>
                    <w14:srgbClr w14:val="000000">
                      <w14:alpha w14:val="100000"/>
                    </w14:srgbClr>
                  </w14:solidFill>
                </w14:textFill>
              </w:rPr>
              <w:t xml:space="preserve">　</w:t>
            </w:r>
            <w:r w:rsidRPr="00860BB2">
              <w:rPr>
                <w:b/>
                <w:bCs w:val="0"/>
                <w:color w:val="000000"/>
                <w:w w:val="22"/>
                <w:szCs w:val="20"/>
                <w:shd w:val="solid" w:color="000000" w:fill="000000"/>
                <w:fitText w:val="100" w:id="-961900799"/>
                <w14:textFill>
                  <w14:solidFill>
                    <w14:srgbClr w14:val="000000">
                      <w14:alpha w14:val="100000"/>
                    </w14:srgbClr>
                  </w14:solidFill>
                </w14:textFill>
              </w:rPr>
              <w:t>|</w:t>
            </w:r>
            <w:r w:rsidRPr="00860BB2">
              <w:rPr>
                <w:rFonts w:hint="eastAsia"/>
                <w:b/>
                <w:bCs w:val="0"/>
                <w:color w:val="000000"/>
                <w:spacing w:val="2"/>
                <w:w w:val="22"/>
                <w:szCs w:val="20"/>
                <w:shd w:val="solid" w:color="000000" w:fill="000000"/>
                <w:fitText w:val="100" w:id="-961900799"/>
                <w14:textFill>
                  <w14:solidFill>
                    <w14:srgbClr w14:val="000000">
                      <w14:alpha w14:val="100000"/>
                    </w14:srgbClr>
                  </w14:solidFill>
                </w14:textFill>
              </w:rPr>
              <w:t xml:space="preserve">　</w:t>
            </w:r>
            <w:r w:rsidR="00D06FEC" w:rsidRPr="00D06FEC">
              <w:rPr>
                <w:b/>
                <w:bCs w:val="0"/>
                <w:szCs w:val="20"/>
                <w:vertAlign w:val="superscript"/>
              </w:rPr>
              <w:t>5</w:t>
            </w:r>
          </w:p>
        </w:tc>
        <w:tc>
          <w:tcPr>
            <w:tcW w:w="613" w:type="pct"/>
            <w:shd w:val="clear" w:color="auto" w:fill="B8CCE4" w:themeFill="accent1" w:themeFillTint="66"/>
            <w:vAlign w:val="center"/>
          </w:tcPr>
          <w:p w14:paraId="2312C29A" w14:textId="35C11CE6" w:rsidR="005B3215" w:rsidRPr="00A95BF9" w:rsidRDefault="00860BB2" w:rsidP="007360EF">
            <w:pPr>
              <w:pStyle w:val="TableText0"/>
              <w:jc w:val="center"/>
              <w:rPr>
                <w:b/>
                <w:bCs w:val="0"/>
                <w:color w:val="000000"/>
                <w:szCs w:val="20"/>
                <w:highlight w:val="lightGray"/>
              </w:rPr>
            </w:pPr>
            <w:r w:rsidRPr="00860BB2">
              <w:rPr>
                <w:rFonts w:hint="eastAsia"/>
                <w:b/>
                <w:bCs w:val="0"/>
                <w:color w:val="000000"/>
                <w:w w:val="19"/>
                <w:szCs w:val="20"/>
                <w:shd w:val="solid" w:color="000000" w:fill="000000"/>
                <w:fitText w:val="88" w:id="-961900798"/>
                <w14:textFill>
                  <w14:solidFill>
                    <w14:srgbClr w14:val="000000">
                      <w14:alpha w14:val="100000"/>
                    </w14:srgbClr>
                  </w14:solidFill>
                </w14:textFill>
              </w:rPr>
              <w:t xml:space="preserve">　</w:t>
            </w:r>
            <w:r w:rsidRPr="00860BB2">
              <w:rPr>
                <w:b/>
                <w:bCs w:val="0"/>
                <w:color w:val="000000"/>
                <w:w w:val="19"/>
                <w:szCs w:val="20"/>
                <w:shd w:val="solid" w:color="000000" w:fill="000000"/>
                <w:fitText w:val="88" w:id="-961900798"/>
                <w14:textFill>
                  <w14:solidFill>
                    <w14:srgbClr w14:val="000000">
                      <w14:alpha w14:val="100000"/>
                    </w14:srgbClr>
                  </w14:solidFill>
                </w14:textFill>
              </w:rPr>
              <w:t>|</w:t>
            </w:r>
            <w:r w:rsidRPr="00860BB2">
              <w:rPr>
                <w:rFonts w:hint="eastAsia"/>
                <w:b/>
                <w:bCs w:val="0"/>
                <w:color w:val="000000"/>
                <w:spacing w:val="4"/>
                <w:w w:val="19"/>
                <w:szCs w:val="20"/>
                <w:shd w:val="solid" w:color="000000" w:fill="000000"/>
                <w:fitText w:val="88" w:id="-961900798"/>
                <w14:textFill>
                  <w14:solidFill>
                    <w14:srgbClr w14:val="000000">
                      <w14:alpha w14:val="100000"/>
                    </w14:srgbClr>
                  </w14:solidFill>
                </w14:textFill>
              </w:rPr>
              <w:t xml:space="preserve">　</w:t>
            </w:r>
            <w:r w:rsidR="00D06FEC" w:rsidRPr="00D06FEC">
              <w:rPr>
                <w:b/>
                <w:bCs w:val="0"/>
                <w:szCs w:val="20"/>
                <w:vertAlign w:val="superscript"/>
              </w:rPr>
              <w:t>5</w:t>
            </w:r>
          </w:p>
        </w:tc>
      </w:tr>
    </w:tbl>
    <w:p w14:paraId="69A8A63D" w14:textId="77777777" w:rsidR="005B3215" w:rsidRPr="00AD5A27" w:rsidRDefault="005B3215" w:rsidP="005B3215">
      <w:pPr>
        <w:pStyle w:val="FooterTableFigure"/>
      </w:pPr>
      <w:r w:rsidRPr="00AD5A27">
        <w:t>Source: Tables 4-7, 4-11, 4-13 to 4-15, pp199, 201 and 203-204 of the resubmission; tab ‘3a. Scripts – proposed” in Excel Workbook titled ‘Attachment 4.1 Utilisation and Cost Model Humira Uveitis’ of the resubmission; Tables 8-9, para. 6.51, adalimumab, Minutes, March 2017 submission).</w:t>
      </w:r>
    </w:p>
    <w:p w14:paraId="05FE58AA" w14:textId="77777777" w:rsidR="005B3215" w:rsidRPr="00AD5A27" w:rsidRDefault="005B3215" w:rsidP="005B3215">
      <w:pPr>
        <w:pStyle w:val="FooterTableFigure"/>
        <w:rPr>
          <w:rStyle w:val="CommentReference"/>
          <w:b w:val="0"/>
          <w:sz w:val="18"/>
          <w:szCs w:val="22"/>
        </w:rPr>
      </w:pPr>
      <w:r w:rsidRPr="00AD5A27">
        <w:rPr>
          <w:rStyle w:val="CommentReference"/>
          <w:b w:val="0"/>
          <w:sz w:val="18"/>
          <w:szCs w:val="22"/>
        </w:rPr>
        <w:t>DPMQ = Dispensed Price for Maximum Quantity; MBS = Medicare Benefits Schedule; PBAC = Pharmaceutical Benefits Advisory Committee; PBS = Pharmaceutical Benefits Scheme; RPBS = Repatriation Schedule of Pharmaceutical Benefits.</w:t>
      </w:r>
    </w:p>
    <w:p w14:paraId="099C37D2" w14:textId="77777777" w:rsidR="005B3215" w:rsidRDefault="005B3215" w:rsidP="005B3215">
      <w:pPr>
        <w:pStyle w:val="FooterTableFigure"/>
      </w:pPr>
      <w:r w:rsidRPr="00AD5A27">
        <w:rPr>
          <w:vertAlign w:val="superscript"/>
        </w:rPr>
        <w:t>a</w:t>
      </w:r>
      <w:r w:rsidRPr="00AD5A27">
        <w:t xml:space="preserve"> Assuming one script for each initiating patient and 12 scripts per year as estimated by the resubmission. </w:t>
      </w:r>
    </w:p>
    <w:p w14:paraId="16252D98" w14:textId="77777777" w:rsidR="00A95BF9" w:rsidRPr="00015FF3" w:rsidRDefault="00A95BF9" w:rsidP="00A95BF9">
      <w:pPr>
        <w:pStyle w:val="FooterTableFigure"/>
        <w:rPr>
          <w:i/>
          <w:iCs/>
        </w:rPr>
      </w:pPr>
      <w:r w:rsidRPr="00015FF3">
        <w:rPr>
          <w:i/>
          <w:iCs/>
        </w:rPr>
        <w:t>The redacted values correspond to the following ranges:</w:t>
      </w:r>
    </w:p>
    <w:p w14:paraId="4618ACA4" w14:textId="0DED7BFF" w:rsidR="00B85435" w:rsidRPr="00015FF3" w:rsidRDefault="00B85435" w:rsidP="00A95BF9">
      <w:pPr>
        <w:pStyle w:val="FooterTableFigure"/>
        <w:rPr>
          <w:i/>
          <w:iCs/>
        </w:rPr>
      </w:pPr>
      <w:r w:rsidRPr="00015FF3">
        <w:rPr>
          <w:i/>
          <w:iCs/>
          <w:vertAlign w:val="superscript"/>
        </w:rPr>
        <w:t>1</w:t>
      </w:r>
      <w:r w:rsidRPr="00015FF3">
        <w:rPr>
          <w:i/>
          <w:iCs/>
        </w:rPr>
        <w:t xml:space="preserve"> 500 to &lt; 5,000</w:t>
      </w:r>
    </w:p>
    <w:p w14:paraId="309A7B2D" w14:textId="4559B104" w:rsidR="00A95BF9" w:rsidRPr="00015FF3" w:rsidRDefault="00B85435" w:rsidP="00A95BF9">
      <w:pPr>
        <w:pStyle w:val="FooterTableFigure"/>
        <w:rPr>
          <w:i/>
          <w:iCs/>
        </w:rPr>
      </w:pPr>
      <w:r w:rsidRPr="00015FF3">
        <w:rPr>
          <w:i/>
          <w:iCs/>
          <w:vertAlign w:val="superscript"/>
        </w:rPr>
        <w:t>2</w:t>
      </w:r>
      <w:r w:rsidRPr="00015FF3">
        <w:rPr>
          <w:i/>
          <w:iCs/>
        </w:rPr>
        <w:t xml:space="preserve"> </w:t>
      </w:r>
      <w:r w:rsidR="00A95BF9" w:rsidRPr="00015FF3">
        <w:rPr>
          <w:i/>
          <w:iCs/>
        </w:rPr>
        <w:t>&lt; 500</w:t>
      </w:r>
    </w:p>
    <w:p w14:paraId="15719FA5" w14:textId="10FAA374" w:rsidR="00A95BF9" w:rsidRPr="00015FF3" w:rsidRDefault="00B85435" w:rsidP="00A95BF9">
      <w:pPr>
        <w:pStyle w:val="FooterTableFigure"/>
        <w:rPr>
          <w:i/>
          <w:iCs/>
        </w:rPr>
      </w:pPr>
      <w:r w:rsidRPr="00015FF3">
        <w:rPr>
          <w:i/>
          <w:iCs/>
          <w:vertAlign w:val="superscript"/>
        </w:rPr>
        <w:t xml:space="preserve">3 </w:t>
      </w:r>
      <w:r w:rsidR="00A95BF9" w:rsidRPr="00015FF3">
        <w:rPr>
          <w:i/>
          <w:iCs/>
        </w:rPr>
        <w:t>10,000 to &lt; 20,000</w:t>
      </w:r>
    </w:p>
    <w:p w14:paraId="7B9B3FD4" w14:textId="7DA88F7F" w:rsidR="00B85435" w:rsidRPr="00015FF3" w:rsidRDefault="00B85435" w:rsidP="00A95BF9">
      <w:pPr>
        <w:pStyle w:val="FooterTableFigure"/>
        <w:rPr>
          <w:i/>
          <w:iCs/>
        </w:rPr>
      </w:pPr>
      <w:r w:rsidRPr="00015FF3">
        <w:rPr>
          <w:i/>
          <w:iCs/>
          <w:vertAlign w:val="superscript"/>
        </w:rPr>
        <w:t xml:space="preserve">4 </w:t>
      </w:r>
      <w:r w:rsidRPr="00015FF3">
        <w:rPr>
          <w:i/>
          <w:iCs/>
        </w:rPr>
        <w:t>$0 to &lt; $10 million</w:t>
      </w:r>
    </w:p>
    <w:p w14:paraId="3E14A432" w14:textId="70AF4488" w:rsidR="00D06FEC" w:rsidRPr="00015FF3" w:rsidRDefault="00D06FEC" w:rsidP="00A95BF9">
      <w:pPr>
        <w:pStyle w:val="FooterTableFigure"/>
        <w:rPr>
          <w:i/>
          <w:iCs/>
        </w:rPr>
      </w:pPr>
      <w:r w:rsidRPr="00015FF3">
        <w:rPr>
          <w:i/>
          <w:iCs/>
          <w:vertAlign w:val="superscript"/>
        </w:rPr>
        <w:t>5</w:t>
      </w:r>
      <w:r w:rsidRPr="00015FF3">
        <w:rPr>
          <w:i/>
          <w:iCs/>
        </w:rPr>
        <w:t xml:space="preserve"> $10 million to &lt; $20 million</w:t>
      </w:r>
    </w:p>
    <w:p w14:paraId="49162065" w14:textId="0C756C65" w:rsidR="005B3215" w:rsidRPr="00AD5A27" w:rsidRDefault="00AD2474" w:rsidP="005B3215">
      <w:pPr>
        <w:pStyle w:val="3-BodyText"/>
      </w:pPr>
      <w:r w:rsidRPr="00AD5A27">
        <w:rPr>
          <w:color w:val="000000" w:themeColor="text1"/>
        </w:rPr>
        <w:t xml:space="preserve">At year 6, the estimated number of patients </w:t>
      </w:r>
      <w:r w:rsidR="00974361">
        <w:rPr>
          <w:color w:val="000000" w:themeColor="text1"/>
        </w:rPr>
        <w:t xml:space="preserve">treated with adalimumab </w:t>
      </w:r>
      <w:r w:rsidRPr="00AD5A27">
        <w:rPr>
          <w:color w:val="000000" w:themeColor="text1"/>
        </w:rPr>
        <w:t xml:space="preserve">was </w:t>
      </w:r>
      <w:r w:rsidR="00D06FEC" w:rsidRPr="00D06FEC">
        <w:rPr>
          <w:color w:val="000000" w:themeColor="text1"/>
        </w:rPr>
        <w:t>500 to &lt;</w:t>
      </w:r>
      <w:r w:rsidR="00015FF3">
        <w:rPr>
          <w:color w:val="000000" w:themeColor="text1"/>
        </w:rPr>
        <w:t> </w:t>
      </w:r>
      <w:r w:rsidR="00D06FEC" w:rsidRPr="00D06FEC">
        <w:rPr>
          <w:color w:val="000000" w:themeColor="text1"/>
        </w:rPr>
        <w:t>5,000</w:t>
      </w:r>
      <w:r w:rsidR="00D06FEC" w:rsidRPr="00D06FEC" w:rsidDel="00D06FEC">
        <w:rPr>
          <w:color w:val="000000" w:themeColor="text1"/>
        </w:rPr>
        <w:t xml:space="preserve"> </w:t>
      </w:r>
      <w:r w:rsidRPr="00AD5A27">
        <w:rPr>
          <w:color w:val="000000" w:themeColor="text1"/>
        </w:rPr>
        <w:t>(</w:t>
      </w:r>
      <w:r w:rsidR="00D06FEC" w:rsidRPr="00D06FEC">
        <w:rPr>
          <w:color w:val="000000" w:themeColor="text1"/>
        </w:rPr>
        <w:t>500 to &lt; 5,000</w:t>
      </w:r>
      <w:r w:rsidRPr="00AD5A27">
        <w:rPr>
          <w:color w:val="000000" w:themeColor="text1"/>
        </w:rPr>
        <w:t xml:space="preserve"> adult, </w:t>
      </w:r>
      <w:r w:rsidR="00D06FEC" w:rsidRPr="00D06FEC">
        <w:rPr>
          <w:color w:val="000000" w:themeColor="text1"/>
        </w:rPr>
        <w:t>&lt; 500</w:t>
      </w:r>
      <w:r w:rsidRPr="00AD5A27">
        <w:rPr>
          <w:color w:val="000000" w:themeColor="text1"/>
        </w:rPr>
        <w:t xml:space="preserve"> paediatric). </w:t>
      </w:r>
      <w:r w:rsidR="005B3215" w:rsidRPr="00AD5A27">
        <w:t xml:space="preserve">The total cost to the PBS/RPBS of listing adalimumab was </w:t>
      </w:r>
      <w:r w:rsidR="00622002">
        <w:t xml:space="preserve">estimated to be </w:t>
      </w:r>
      <w:r w:rsidR="005B3215" w:rsidRPr="00AD5A27">
        <w:t>$</w:t>
      </w:r>
      <w:r w:rsidR="00D06FEC" w:rsidRPr="00D06FEC">
        <w:t xml:space="preserve">0 to &lt; $10 </w:t>
      </w:r>
      <w:r w:rsidR="005B3215" w:rsidRPr="00AD5A27">
        <w:t>million in Year 6, and a total of $</w:t>
      </w:r>
      <w:r w:rsidR="00D06FEC" w:rsidRPr="00D06FEC">
        <w:t>40</w:t>
      </w:r>
      <w:r w:rsidR="00647353">
        <w:t> </w:t>
      </w:r>
      <w:r w:rsidR="00D06FEC" w:rsidRPr="00D06FEC">
        <w:t xml:space="preserve">million to &lt; $50 </w:t>
      </w:r>
      <w:r w:rsidR="005B3215" w:rsidRPr="00AD5A27">
        <w:t>million in the first 6 years of listin</w:t>
      </w:r>
      <w:r w:rsidR="00622002">
        <w:t xml:space="preserve">g (based on a DPMQ of </w:t>
      </w:r>
      <w:r w:rsidR="00622002" w:rsidRPr="00622002">
        <w:t>$</w:t>
      </w:r>
      <w:r w:rsidR="00860BB2" w:rsidRPr="004050E4">
        <w:rPr>
          <w:color w:val="000000"/>
          <w:w w:val="15"/>
          <w:shd w:val="solid" w:color="000000" w:fill="000000"/>
          <w:fitText w:val="-20" w:id="-961900797"/>
          <w14:textFill>
            <w14:solidFill>
              <w14:srgbClr w14:val="000000">
                <w14:alpha w14:val="100000"/>
              </w14:srgbClr>
            </w14:solidFill>
          </w14:textFill>
        </w:rPr>
        <w:t xml:space="preserve">|  </w:t>
      </w:r>
      <w:r w:rsidR="00860BB2" w:rsidRPr="004050E4">
        <w:rPr>
          <w:color w:val="000000"/>
          <w:spacing w:val="-69"/>
          <w:w w:val="15"/>
          <w:shd w:val="solid" w:color="000000" w:fill="000000"/>
          <w:fitText w:val="-20" w:id="-961900797"/>
          <w14:textFill>
            <w14:solidFill>
              <w14:srgbClr w14:val="000000">
                <w14:alpha w14:val="100000"/>
              </w14:srgbClr>
            </w14:solidFill>
          </w14:textFill>
        </w:rPr>
        <w:t>|</w:t>
      </w:r>
      <w:r w:rsidR="00622002">
        <w:t>).</w:t>
      </w:r>
    </w:p>
    <w:p w14:paraId="5370360D" w14:textId="6B1D8976" w:rsidR="002A66BB" w:rsidRPr="00AD5A27" w:rsidRDefault="005B3215" w:rsidP="00500DCC">
      <w:pPr>
        <w:pStyle w:val="3-BodyText"/>
      </w:pPr>
      <w:r w:rsidRPr="00AD5A27">
        <w:lastRenderedPageBreak/>
        <w:t>The number of incident patients was potentially underestimated because the resubmission assumed the AbbVie Compassionate Access Program and the South Australian Medicines Formulary (SAMF) captured 100% of the patients who would be treated and also the growth in patient numbers under the proposed PBS listing. The alignment of the eligibility criteria to access the Australian AbbVie Compassionate Access Program, the SAMF and the proposed PBS listing</w:t>
      </w:r>
      <w:r w:rsidR="00B13770">
        <w:t xml:space="preserve"> is </w:t>
      </w:r>
      <w:r w:rsidR="00500DCC">
        <w:t>unclear</w:t>
      </w:r>
      <w:r w:rsidRPr="00AD5A27">
        <w:t>.</w:t>
      </w:r>
      <w:r w:rsidR="00107F61" w:rsidRPr="00AD5A27">
        <w:t xml:space="preserve"> </w:t>
      </w:r>
      <w:r w:rsidR="002D5480" w:rsidRPr="00AD5A27">
        <w:t xml:space="preserve">The DUSC noted the resubmission increased the estimated number of treated patients based on the  Compassionate Access Program by 20% to account for the SAMF, but considered the number of patients who have accessed adalimumab through the SAMF was unknown and it is unclear whether the indication for access to this program aligns with the requested restriction. The Pre-PBAC Response acknowledged compassionate access is not a usual source of data to inform </w:t>
      </w:r>
      <w:r w:rsidR="00297ECE" w:rsidRPr="00AD5A27">
        <w:t xml:space="preserve">financial </w:t>
      </w:r>
      <w:r w:rsidR="002D5480" w:rsidRPr="00AD5A27">
        <w:t>estimates, however stated these data represent the real utilisation of adalimumab since the access program has existed, and the validity of these data to reflect the proposed population is supported by the widespread knowledge and uptake among the small group of clinicians who manage this condition. The Response also noted there is direct alignment of the proposed PBS restrictions with the compassionate access program and SAMF access criteria</w:t>
      </w:r>
      <w:r w:rsidR="00AD5A27">
        <w:t xml:space="preserve">. </w:t>
      </w:r>
      <w:bookmarkEnd w:id="80"/>
    </w:p>
    <w:p w14:paraId="12D66CAA" w14:textId="77777777" w:rsidR="002A66BB" w:rsidRPr="00AD5A27" w:rsidRDefault="002A66BB" w:rsidP="00606FBA">
      <w:pPr>
        <w:pStyle w:val="4-SubsectionHeading"/>
      </w:pPr>
      <w:bookmarkStart w:id="83" w:name="_Toc22897648"/>
      <w:bookmarkStart w:id="84" w:name="_Toc107927634"/>
      <w:bookmarkStart w:id="85" w:name="_Toc156988912"/>
      <w:r w:rsidRPr="00AD5A27">
        <w:t>Quality Use of Medicines</w:t>
      </w:r>
      <w:bookmarkEnd w:id="83"/>
      <w:bookmarkEnd w:id="84"/>
      <w:bookmarkEnd w:id="85"/>
    </w:p>
    <w:p w14:paraId="4713645D" w14:textId="333E47D7" w:rsidR="002A66BB" w:rsidRPr="00AD5A27" w:rsidRDefault="002A66BB">
      <w:pPr>
        <w:pStyle w:val="3-BodyText"/>
      </w:pPr>
      <w:r w:rsidRPr="00AD5A27">
        <w:t xml:space="preserve">The resubmission </w:t>
      </w:r>
      <w:r w:rsidR="00297ECE" w:rsidRPr="00AD5A27">
        <w:t>reported</w:t>
      </w:r>
      <w:r w:rsidRPr="00AD5A27">
        <w:t xml:space="preserve"> that a risk management plan, including an Australian-specific annex ha</w:t>
      </w:r>
      <w:r w:rsidR="00297ECE" w:rsidRPr="00AD5A27">
        <w:t>d</w:t>
      </w:r>
      <w:r w:rsidRPr="00AD5A27">
        <w:t xml:space="preserve"> been submitted to the TGA as part of the regulatory dossier. There will also be an AbbVie Care patient support program available to provide support to prescribers and patients regarding the use of adalimumab. </w:t>
      </w:r>
    </w:p>
    <w:p w14:paraId="28A69618" w14:textId="77777777" w:rsidR="002A66BB" w:rsidRPr="00AD5A27" w:rsidRDefault="002A66BB" w:rsidP="00606FBA">
      <w:pPr>
        <w:pStyle w:val="4-SubsectionHeading"/>
      </w:pPr>
      <w:bookmarkStart w:id="86" w:name="_Toc22897649"/>
      <w:bookmarkStart w:id="87" w:name="_Toc107927635"/>
      <w:bookmarkStart w:id="88" w:name="_Toc156988913"/>
      <w:r w:rsidRPr="00AD5A27">
        <w:t>Financial Management – Risk Sharing Arrangements</w:t>
      </w:r>
      <w:bookmarkEnd w:id="86"/>
      <w:bookmarkEnd w:id="87"/>
      <w:bookmarkEnd w:id="88"/>
    </w:p>
    <w:p w14:paraId="19D8CC98" w14:textId="2D5A7C54" w:rsidR="002A66BB" w:rsidRPr="00AD5A27" w:rsidRDefault="002A66BB">
      <w:pPr>
        <w:pStyle w:val="3-BodyText"/>
      </w:pPr>
      <w:r w:rsidRPr="00AD5A27">
        <w:t xml:space="preserve">The PBAC previously noted that the proposed restriction for uveitis did not exclude patients with other systemic diseases treated with biologic disease-modifying anti-rheumatic drugs (bDMARDs) and might allow less restrictive access to adalimumab than current restrictions for systemic diseases and leading to leakage. The pre-PBAC response at the time proposed a risk share agreement with subsidisation caps to manage uncertainties to ensure access to the appropriate patients” (para. 2.4, adalimumab, PSD, March 2017 PBAC meeting). </w:t>
      </w:r>
      <w:r w:rsidR="00521FF6" w:rsidRPr="00AD5A27">
        <w:t>The PBAC noted a Risk Sharing Arrangement would likely not be feasible for the listing of adalimumab in non-infectious uveitis as it is now multi-branded with several biosimilars listed on the PBS.</w:t>
      </w:r>
    </w:p>
    <w:p w14:paraId="37ADA3AA" w14:textId="77777777" w:rsidR="00DC645D" w:rsidRPr="00AD5A27" w:rsidRDefault="00DC645D" w:rsidP="00DC645D">
      <w:pPr>
        <w:ind w:firstLine="709"/>
        <w:rPr>
          <w:rFonts w:asciiTheme="minorHAnsi" w:hAnsiTheme="minorHAnsi"/>
          <w:i/>
        </w:rPr>
      </w:pPr>
      <w:r w:rsidRPr="00AD5A27">
        <w:rPr>
          <w:rFonts w:asciiTheme="minorHAnsi" w:hAnsiTheme="minorHAnsi"/>
          <w:i/>
        </w:rPr>
        <w:t>For more detail on PBAC’s view, see section 7 PBAC outcome.</w:t>
      </w:r>
    </w:p>
    <w:p w14:paraId="433E83C7" w14:textId="77777777" w:rsidR="005B3215" w:rsidRPr="00AD5A27" w:rsidRDefault="005B3215" w:rsidP="00B35B03">
      <w:pPr>
        <w:pStyle w:val="2-SectionHeading"/>
      </w:pPr>
      <w:bookmarkStart w:id="89" w:name="_Hlk76381249"/>
      <w:bookmarkStart w:id="90" w:name="_Hlk76377955"/>
      <w:r w:rsidRPr="00AD5A27">
        <w:t>PBAC Outcome</w:t>
      </w:r>
    </w:p>
    <w:p w14:paraId="3A8F1C55" w14:textId="5058C3EC" w:rsidR="007C4636" w:rsidRPr="00AD5A27" w:rsidRDefault="007C4636" w:rsidP="005B3215">
      <w:pPr>
        <w:widowControl w:val="0"/>
        <w:numPr>
          <w:ilvl w:val="1"/>
          <w:numId w:val="4"/>
        </w:numPr>
        <w:spacing w:after="120"/>
        <w:rPr>
          <w:rFonts w:asciiTheme="minorHAnsi" w:hAnsiTheme="minorHAnsi"/>
          <w:snapToGrid w:val="0"/>
        </w:rPr>
      </w:pPr>
      <w:bookmarkStart w:id="91" w:name="_Hlk111543188"/>
      <w:r w:rsidRPr="00AD5A27">
        <w:rPr>
          <w:rFonts w:asciiTheme="minorHAnsi" w:hAnsiTheme="minorHAnsi"/>
          <w:snapToGrid w:val="0"/>
        </w:rPr>
        <w:t xml:space="preserve">The PBAC recommended the General </w:t>
      </w:r>
      <w:r w:rsidRPr="00D9070E">
        <w:rPr>
          <w:rFonts w:asciiTheme="minorHAnsi" w:hAnsiTheme="minorHAnsi"/>
          <w:snapToGrid w:val="0"/>
        </w:rPr>
        <w:t>Schedule, Authority Required</w:t>
      </w:r>
      <w:r w:rsidRPr="00CB1BF9">
        <w:rPr>
          <w:rFonts w:asciiTheme="minorHAnsi" w:hAnsiTheme="minorHAnsi"/>
          <w:snapToGrid w:val="0"/>
        </w:rPr>
        <w:t xml:space="preserve"> listing</w:t>
      </w:r>
      <w:r w:rsidRPr="00AD5A27">
        <w:rPr>
          <w:rFonts w:asciiTheme="minorHAnsi" w:hAnsiTheme="minorHAnsi"/>
          <w:snapToGrid w:val="0"/>
        </w:rPr>
        <w:t xml:space="preserve"> of adalimumab for the treatment of</w:t>
      </w:r>
      <w:r w:rsidR="000C3AA6" w:rsidRPr="00AD5A27">
        <w:rPr>
          <w:rFonts w:asciiTheme="minorHAnsi" w:hAnsiTheme="minorHAnsi"/>
          <w:snapToGrid w:val="0"/>
        </w:rPr>
        <w:t xml:space="preserve"> vision-threatening</w:t>
      </w:r>
      <w:r w:rsidRPr="00AD5A27">
        <w:rPr>
          <w:rFonts w:asciiTheme="minorHAnsi" w:hAnsiTheme="minorHAnsi"/>
          <w:snapToGrid w:val="0"/>
        </w:rPr>
        <w:t xml:space="preserve"> non-infectious uveitis, on the basis the listing would be acceptably cost effective at the </w:t>
      </w:r>
      <w:r w:rsidR="007C7FC0">
        <w:rPr>
          <w:rFonts w:asciiTheme="minorHAnsi" w:hAnsiTheme="minorHAnsi"/>
          <w:snapToGrid w:val="0"/>
        </w:rPr>
        <w:t xml:space="preserve">price </w:t>
      </w:r>
      <w:r w:rsidRPr="00AD5A27">
        <w:rPr>
          <w:rFonts w:asciiTheme="minorHAnsi" w:hAnsiTheme="minorHAnsi"/>
          <w:snapToGrid w:val="0"/>
        </w:rPr>
        <w:t xml:space="preserve">proposed </w:t>
      </w:r>
      <w:r w:rsidR="007C7FC0">
        <w:rPr>
          <w:rFonts w:asciiTheme="minorHAnsi" w:hAnsiTheme="minorHAnsi"/>
          <w:snapToGrid w:val="0"/>
        </w:rPr>
        <w:t>in the pre-PBAC response</w:t>
      </w:r>
      <w:r w:rsidRPr="00AD5A27">
        <w:rPr>
          <w:rFonts w:asciiTheme="minorHAnsi" w:hAnsiTheme="minorHAnsi"/>
          <w:snapToGrid w:val="0"/>
        </w:rPr>
        <w:t xml:space="preserve">. The PBAC considered the available evidence supported the effectiveness of adalimumab </w:t>
      </w:r>
      <w:r w:rsidR="008B08F6">
        <w:rPr>
          <w:rFonts w:asciiTheme="minorHAnsi" w:hAnsiTheme="minorHAnsi"/>
          <w:snapToGrid w:val="0"/>
        </w:rPr>
        <w:t>in</w:t>
      </w:r>
      <w:r w:rsidR="008B08F6" w:rsidRPr="00AD5A27">
        <w:rPr>
          <w:rFonts w:asciiTheme="minorHAnsi" w:hAnsiTheme="minorHAnsi"/>
          <w:snapToGrid w:val="0"/>
        </w:rPr>
        <w:t xml:space="preserve"> </w:t>
      </w:r>
      <w:r w:rsidRPr="00AD5A27">
        <w:rPr>
          <w:rFonts w:asciiTheme="minorHAnsi" w:hAnsiTheme="minorHAnsi"/>
          <w:snapToGrid w:val="0"/>
        </w:rPr>
        <w:t>reducing uveitis flares</w:t>
      </w:r>
      <w:r w:rsidR="008B08F6">
        <w:rPr>
          <w:rFonts w:asciiTheme="minorHAnsi" w:hAnsiTheme="minorHAnsi"/>
          <w:snapToGrid w:val="0"/>
        </w:rPr>
        <w:t>,</w:t>
      </w:r>
      <w:r w:rsidRPr="00AD5A27">
        <w:rPr>
          <w:rFonts w:asciiTheme="minorHAnsi" w:hAnsiTheme="minorHAnsi"/>
          <w:snapToGrid w:val="0"/>
        </w:rPr>
        <w:t xml:space="preserve"> and that whilst the magnitude </w:t>
      </w:r>
      <w:r w:rsidRPr="00AD5A27">
        <w:rPr>
          <w:rFonts w:asciiTheme="minorHAnsi" w:hAnsiTheme="minorHAnsi"/>
          <w:snapToGrid w:val="0"/>
        </w:rPr>
        <w:lastRenderedPageBreak/>
        <w:t xml:space="preserve">of the relationship between flares and long-term ocular damage was uncertain, accepted patients would likely experience vision-preserving benefits through </w:t>
      </w:r>
      <w:r w:rsidR="005201FE" w:rsidRPr="00AD5A27">
        <w:rPr>
          <w:rFonts w:asciiTheme="minorHAnsi" w:hAnsiTheme="minorHAnsi"/>
          <w:snapToGrid w:val="0"/>
        </w:rPr>
        <w:t>improved flare control</w:t>
      </w:r>
      <w:r w:rsidRPr="00AD5A27">
        <w:rPr>
          <w:rFonts w:asciiTheme="minorHAnsi" w:hAnsiTheme="minorHAnsi"/>
          <w:snapToGrid w:val="0"/>
        </w:rPr>
        <w:t xml:space="preserve">. </w:t>
      </w:r>
    </w:p>
    <w:bookmarkEnd w:id="91"/>
    <w:p w14:paraId="1CFF2483" w14:textId="77777777" w:rsidR="00E5347D" w:rsidRDefault="005B3215" w:rsidP="00E5347D">
      <w:pPr>
        <w:widowControl w:val="0"/>
        <w:numPr>
          <w:ilvl w:val="1"/>
          <w:numId w:val="4"/>
        </w:numPr>
        <w:spacing w:after="120"/>
        <w:rPr>
          <w:rFonts w:asciiTheme="minorHAnsi" w:hAnsiTheme="minorHAnsi"/>
          <w:snapToGrid w:val="0"/>
        </w:rPr>
      </w:pPr>
      <w:r w:rsidRPr="00AD5A27">
        <w:rPr>
          <w:rFonts w:asciiTheme="minorHAnsi" w:hAnsiTheme="minorHAnsi"/>
          <w:snapToGrid w:val="0"/>
        </w:rPr>
        <w:t xml:space="preserve">The PBAC </w:t>
      </w:r>
      <w:r w:rsidR="003411E9">
        <w:rPr>
          <w:rFonts w:asciiTheme="minorHAnsi" w:hAnsiTheme="minorHAnsi"/>
          <w:snapToGrid w:val="0"/>
        </w:rPr>
        <w:t>wa</w:t>
      </w:r>
      <w:r w:rsidRPr="00AD5A27">
        <w:rPr>
          <w:rFonts w:asciiTheme="minorHAnsi" w:hAnsiTheme="minorHAnsi"/>
          <w:snapToGrid w:val="0"/>
        </w:rPr>
        <w:t xml:space="preserve">s satisfied </w:t>
      </w:r>
      <w:r w:rsidR="007C4636" w:rsidRPr="00AD5A27">
        <w:rPr>
          <w:rFonts w:asciiTheme="minorHAnsi" w:hAnsiTheme="minorHAnsi"/>
          <w:snapToGrid w:val="0"/>
        </w:rPr>
        <w:t>that adalimumab</w:t>
      </w:r>
      <w:r w:rsidRPr="00AD5A27">
        <w:rPr>
          <w:rFonts w:asciiTheme="minorHAnsi" w:hAnsiTheme="minorHAnsi"/>
          <w:snapToGrid w:val="0"/>
        </w:rPr>
        <w:t xml:space="preserve"> provides, for some patients, a significant improvement in efficacy </w:t>
      </w:r>
      <w:r w:rsidR="007C4636" w:rsidRPr="00AD5A27">
        <w:rPr>
          <w:rFonts w:asciiTheme="minorHAnsi" w:hAnsiTheme="minorHAnsi"/>
          <w:snapToGrid w:val="0"/>
        </w:rPr>
        <w:t>over</w:t>
      </w:r>
      <w:r w:rsidR="000C3AA6" w:rsidRPr="00AD5A27">
        <w:rPr>
          <w:rFonts w:asciiTheme="minorHAnsi" w:hAnsiTheme="minorHAnsi"/>
          <w:snapToGrid w:val="0"/>
        </w:rPr>
        <w:t xml:space="preserve"> </w:t>
      </w:r>
      <w:r w:rsidR="007C4636" w:rsidRPr="00AD5A27">
        <w:rPr>
          <w:rFonts w:asciiTheme="minorHAnsi" w:hAnsiTheme="minorHAnsi"/>
          <w:snapToGrid w:val="0"/>
        </w:rPr>
        <w:t xml:space="preserve">best supportive care (BSC), defined as </w:t>
      </w:r>
      <w:r w:rsidR="008B677F" w:rsidRPr="00AD5A27">
        <w:rPr>
          <w:rFonts w:asciiTheme="minorHAnsi" w:hAnsiTheme="minorHAnsi"/>
          <w:snapToGrid w:val="0"/>
        </w:rPr>
        <w:t xml:space="preserve">high dose corticosteroids, with or without an immunomodulatory agent (as described in paragraph </w:t>
      </w:r>
      <w:r w:rsidR="00E5347D">
        <w:rPr>
          <w:rFonts w:asciiTheme="minorHAnsi" w:hAnsiTheme="minorHAnsi"/>
          <w:snapToGrid w:val="0"/>
        </w:rPr>
        <w:fldChar w:fldCharType="begin" w:fldLock="1"/>
      </w:r>
      <w:r w:rsidR="00E5347D">
        <w:rPr>
          <w:rFonts w:asciiTheme="minorHAnsi" w:hAnsiTheme="minorHAnsi"/>
          <w:snapToGrid w:val="0"/>
        </w:rPr>
        <w:instrText xml:space="preserve"> REF _Ref163047133 \r \h </w:instrText>
      </w:r>
      <w:r w:rsidR="00E5347D">
        <w:rPr>
          <w:rFonts w:asciiTheme="minorHAnsi" w:hAnsiTheme="minorHAnsi"/>
          <w:snapToGrid w:val="0"/>
        </w:rPr>
      </w:r>
      <w:r w:rsidR="00E5347D">
        <w:rPr>
          <w:rFonts w:asciiTheme="minorHAnsi" w:hAnsiTheme="minorHAnsi"/>
          <w:snapToGrid w:val="0"/>
        </w:rPr>
        <w:fldChar w:fldCharType="separate"/>
      </w:r>
      <w:r w:rsidR="00E5347D">
        <w:rPr>
          <w:rFonts w:asciiTheme="minorHAnsi" w:hAnsiTheme="minorHAnsi"/>
          <w:snapToGrid w:val="0"/>
        </w:rPr>
        <w:t>5.1</w:t>
      </w:r>
      <w:r w:rsidR="00E5347D">
        <w:rPr>
          <w:rFonts w:asciiTheme="minorHAnsi" w:hAnsiTheme="minorHAnsi"/>
          <w:snapToGrid w:val="0"/>
        </w:rPr>
        <w:fldChar w:fldCharType="end"/>
      </w:r>
      <w:r w:rsidR="008B677F" w:rsidRPr="00AD5A27">
        <w:rPr>
          <w:rFonts w:asciiTheme="minorHAnsi" w:hAnsiTheme="minorHAnsi"/>
          <w:snapToGrid w:val="0"/>
        </w:rPr>
        <w:t>)</w:t>
      </w:r>
      <w:r w:rsidR="005201FE" w:rsidRPr="00AD5A27">
        <w:rPr>
          <w:rFonts w:asciiTheme="minorHAnsi" w:hAnsiTheme="minorHAnsi"/>
          <w:snapToGrid w:val="0"/>
        </w:rPr>
        <w:t xml:space="preserve">, however noted the available evidence </w:t>
      </w:r>
      <w:r w:rsidR="00A174AE">
        <w:rPr>
          <w:rFonts w:asciiTheme="minorHAnsi" w:hAnsiTheme="minorHAnsi"/>
          <w:snapToGrid w:val="0"/>
        </w:rPr>
        <w:t>did</w:t>
      </w:r>
      <w:r w:rsidR="00A174AE" w:rsidRPr="00AD5A27">
        <w:rPr>
          <w:rFonts w:asciiTheme="minorHAnsi" w:hAnsiTheme="minorHAnsi"/>
          <w:snapToGrid w:val="0"/>
        </w:rPr>
        <w:t xml:space="preserve"> </w:t>
      </w:r>
      <w:r w:rsidR="005201FE" w:rsidRPr="00AD5A27">
        <w:rPr>
          <w:rFonts w:asciiTheme="minorHAnsi" w:hAnsiTheme="minorHAnsi"/>
          <w:snapToGrid w:val="0"/>
        </w:rPr>
        <w:t xml:space="preserve">not allow a robust </w:t>
      </w:r>
      <w:r w:rsidR="00A174AE">
        <w:rPr>
          <w:rFonts w:asciiTheme="minorHAnsi" w:hAnsiTheme="minorHAnsi"/>
          <w:snapToGrid w:val="0"/>
        </w:rPr>
        <w:t>estimate</w:t>
      </w:r>
      <w:r w:rsidR="00A174AE" w:rsidRPr="00AD5A27">
        <w:rPr>
          <w:rFonts w:asciiTheme="minorHAnsi" w:hAnsiTheme="minorHAnsi"/>
          <w:snapToGrid w:val="0"/>
        </w:rPr>
        <w:t xml:space="preserve"> </w:t>
      </w:r>
      <w:r w:rsidR="000F305B" w:rsidRPr="00AD5A27">
        <w:rPr>
          <w:rFonts w:asciiTheme="minorHAnsi" w:hAnsiTheme="minorHAnsi"/>
          <w:snapToGrid w:val="0"/>
        </w:rPr>
        <w:t>of</w:t>
      </w:r>
      <w:r w:rsidR="00D17AA8" w:rsidRPr="00AD5A27">
        <w:rPr>
          <w:rFonts w:asciiTheme="minorHAnsi" w:hAnsiTheme="minorHAnsi"/>
          <w:snapToGrid w:val="0"/>
        </w:rPr>
        <w:t xml:space="preserve"> the magnitude of benefit</w:t>
      </w:r>
      <w:r w:rsidR="005201FE" w:rsidRPr="00AD5A27">
        <w:rPr>
          <w:rFonts w:asciiTheme="minorHAnsi" w:hAnsiTheme="minorHAnsi"/>
          <w:snapToGrid w:val="0"/>
        </w:rPr>
        <w:t xml:space="preserve"> (discussed further below).</w:t>
      </w:r>
      <w:r w:rsidR="008B677F" w:rsidRPr="00AD5A27">
        <w:rPr>
          <w:rFonts w:asciiTheme="minorHAnsi" w:hAnsiTheme="minorHAnsi"/>
          <w:snapToGrid w:val="0"/>
        </w:rPr>
        <w:t xml:space="preserve"> The Committee</w:t>
      </w:r>
      <w:r w:rsidR="005201FE" w:rsidRPr="00AD5A27">
        <w:rPr>
          <w:rFonts w:asciiTheme="minorHAnsi" w:hAnsiTheme="minorHAnsi"/>
          <w:snapToGrid w:val="0"/>
        </w:rPr>
        <w:t xml:space="preserve"> also</w:t>
      </w:r>
      <w:r w:rsidR="008B677F" w:rsidRPr="00AD5A27">
        <w:rPr>
          <w:rFonts w:asciiTheme="minorHAnsi" w:hAnsiTheme="minorHAnsi"/>
          <w:snapToGrid w:val="0"/>
        </w:rPr>
        <w:t xml:space="preserve"> noted </w:t>
      </w:r>
      <w:r w:rsidR="00A174AE">
        <w:rPr>
          <w:rFonts w:asciiTheme="minorHAnsi" w:hAnsiTheme="minorHAnsi"/>
          <w:snapToGrid w:val="0"/>
        </w:rPr>
        <w:t xml:space="preserve">treatment with </w:t>
      </w:r>
      <w:r w:rsidR="008B677F" w:rsidRPr="00AD5A27">
        <w:rPr>
          <w:rFonts w:asciiTheme="minorHAnsi" w:hAnsiTheme="minorHAnsi"/>
          <w:snapToGrid w:val="0"/>
        </w:rPr>
        <w:t xml:space="preserve">adalimumab </w:t>
      </w:r>
      <w:r w:rsidR="00F774B5">
        <w:rPr>
          <w:rFonts w:asciiTheme="minorHAnsi" w:hAnsiTheme="minorHAnsi"/>
          <w:snapToGrid w:val="0"/>
        </w:rPr>
        <w:t>will allow</w:t>
      </w:r>
      <w:r w:rsidR="003A1C3F" w:rsidRPr="00AD5A27">
        <w:rPr>
          <w:rFonts w:asciiTheme="minorHAnsi" w:hAnsiTheme="minorHAnsi"/>
          <w:snapToGrid w:val="0"/>
        </w:rPr>
        <w:t xml:space="preserve"> </w:t>
      </w:r>
      <w:r w:rsidR="008B677F" w:rsidRPr="00AD5A27">
        <w:rPr>
          <w:rFonts w:asciiTheme="minorHAnsi" w:hAnsiTheme="minorHAnsi"/>
          <w:snapToGrid w:val="0"/>
        </w:rPr>
        <w:t xml:space="preserve">some patients to </w:t>
      </w:r>
      <w:r w:rsidR="003A1C3F">
        <w:rPr>
          <w:rFonts w:asciiTheme="minorHAnsi" w:hAnsiTheme="minorHAnsi"/>
          <w:snapToGrid w:val="0"/>
        </w:rPr>
        <w:t>cease</w:t>
      </w:r>
      <w:r w:rsidR="008B677F" w:rsidRPr="00AD5A27">
        <w:rPr>
          <w:rFonts w:asciiTheme="minorHAnsi" w:hAnsiTheme="minorHAnsi"/>
          <w:snapToGrid w:val="0"/>
        </w:rPr>
        <w:t xml:space="preserve"> </w:t>
      </w:r>
      <w:r w:rsidR="000F305B" w:rsidRPr="00AD5A27">
        <w:rPr>
          <w:rFonts w:asciiTheme="minorHAnsi" w:hAnsiTheme="minorHAnsi"/>
          <w:snapToGrid w:val="0"/>
        </w:rPr>
        <w:t xml:space="preserve">or reduce </w:t>
      </w:r>
      <w:r w:rsidR="003A1C3F">
        <w:rPr>
          <w:rFonts w:asciiTheme="minorHAnsi" w:hAnsiTheme="minorHAnsi"/>
          <w:snapToGrid w:val="0"/>
        </w:rPr>
        <w:t>use of</w:t>
      </w:r>
      <w:r w:rsidR="000F305B" w:rsidRPr="00AD5A27">
        <w:rPr>
          <w:rFonts w:asciiTheme="minorHAnsi" w:hAnsiTheme="minorHAnsi"/>
          <w:snapToGrid w:val="0"/>
        </w:rPr>
        <w:t xml:space="preserve"> </w:t>
      </w:r>
      <w:r w:rsidR="008B677F" w:rsidRPr="00AD5A27">
        <w:rPr>
          <w:rFonts w:asciiTheme="minorHAnsi" w:hAnsiTheme="minorHAnsi"/>
          <w:snapToGrid w:val="0"/>
        </w:rPr>
        <w:t xml:space="preserve">concomitant corticosteroids and/or other immunomodulators </w:t>
      </w:r>
      <w:r w:rsidR="003A1C3F">
        <w:rPr>
          <w:rFonts w:asciiTheme="minorHAnsi" w:hAnsiTheme="minorHAnsi"/>
          <w:snapToGrid w:val="0"/>
        </w:rPr>
        <w:t xml:space="preserve">which was of </w:t>
      </w:r>
      <w:r w:rsidR="008B677F" w:rsidRPr="00AD5A27">
        <w:rPr>
          <w:rFonts w:asciiTheme="minorHAnsi" w:hAnsiTheme="minorHAnsi"/>
          <w:snapToGrid w:val="0"/>
        </w:rPr>
        <w:t xml:space="preserve">benefit given the known </w:t>
      </w:r>
      <w:r w:rsidR="003A1C3F">
        <w:rPr>
          <w:rFonts w:asciiTheme="minorHAnsi" w:hAnsiTheme="minorHAnsi"/>
          <w:snapToGrid w:val="0"/>
        </w:rPr>
        <w:t>adverse events associated with</w:t>
      </w:r>
      <w:r w:rsidR="008B677F" w:rsidRPr="00AD5A27">
        <w:rPr>
          <w:rFonts w:asciiTheme="minorHAnsi" w:hAnsiTheme="minorHAnsi"/>
          <w:snapToGrid w:val="0"/>
        </w:rPr>
        <w:t xml:space="preserve"> prolonged </w:t>
      </w:r>
      <w:r w:rsidR="003A1C3F">
        <w:rPr>
          <w:rFonts w:asciiTheme="minorHAnsi" w:hAnsiTheme="minorHAnsi"/>
          <w:snapToGrid w:val="0"/>
        </w:rPr>
        <w:t>use</w:t>
      </w:r>
      <w:r w:rsidR="003A1C3F" w:rsidRPr="00AD5A27">
        <w:rPr>
          <w:rFonts w:asciiTheme="minorHAnsi" w:hAnsiTheme="minorHAnsi"/>
          <w:snapToGrid w:val="0"/>
        </w:rPr>
        <w:t xml:space="preserve"> </w:t>
      </w:r>
      <w:r w:rsidR="00EE63E1">
        <w:rPr>
          <w:rFonts w:asciiTheme="minorHAnsi" w:hAnsiTheme="minorHAnsi"/>
          <w:snapToGrid w:val="0"/>
        </w:rPr>
        <w:t xml:space="preserve">of these agents </w:t>
      </w:r>
      <w:r w:rsidR="008B677F" w:rsidRPr="00AD5A27">
        <w:rPr>
          <w:rFonts w:asciiTheme="minorHAnsi" w:hAnsiTheme="minorHAnsi"/>
          <w:snapToGrid w:val="0"/>
        </w:rPr>
        <w:t xml:space="preserve">at high doses. </w:t>
      </w:r>
    </w:p>
    <w:p w14:paraId="077323A2" w14:textId="77777777" w:rsidR="00E5347D" w:rsidRDefault="002615AD" w:rsidP="007360EF">
      <w:pPr>
        <w:widowControl w:val="0"/>
        <w:numPr>
          <w:ilvl w:val="1"/>
          <w:numId w:val="4"/>
        </w:numPr>
        <w:spacing w:after="120"/>
        <w:rPr>
          <w:rFonts w:asciiTheme="minorHAnsi" w:hAnsiTheme="minorHAnsi"/>
          <w:snapToGrid w:val="0"/>
        </w:rPr>
      </w:pPr>
      <w:r w:rsidRPr="00E5347D">
        <w:rPr>
          <w:rFonts w:asciiTheme="minorHAnsi" w:hAnsiTheme="minorHAnsi"/>
          <w:snapToGrid w:val="0"/>
        </w:rPr>
        <w:t xml:space="preserve">The PBAC acknowledged there was a clear unmet need and clinical place for effective treatments for non-infectious uveitis on the PBS. </w:t>
      </w:r>
      <w:r w:rsidR="008A1E34" w:rsidRPr="00E5347D">
        <w:rPr>
          <w:rFonts w:asciiTheme="minorHAnsi" w:hAnsiTheme="minorHAnsi"/>
          <w:snapToGrid w:val="0"/>
        </w:rPr>
        <w:t>The PBAC noted adalimumab was available for non-infectious uveitis through a Sponsor-supported compassionate access program and</w:t>
      </w:r>
      <w:r w:rsidR="003A1C3F" w:rsidRPr="00E5347D">
        <w:rPr>
          <w:rFonts w:asciiTheme="minorHAnsi" w:hAnsiTheme="minorHAnsi"/>
          <w:snapToGrid w:val="0"/>
        </w:rPr>
        <w:t xml:space="preserve"> a</w:t>
      </w:r>
      <w:r w:rsidR="008A1E34" w:rsidRPr="00E5347D">
        <w:rPr>
          <w:rFonts w:asciiTheme="minorHAnsi" w:hAnsiTheme="minorHAnsi"/>
          <w:snapToGrid w:val="0"/>
        </w:rPr>
        <w:t xml:space="preserve"> state-based access program in South Australia</w:t>
      </w:r>
      <w:r w:rsidRPr="00E5347D">
        <w:rPr>
          <w:rFonts w:asciiTheme="minorHAnsi" w:hAnsiTheme="minorHAnsi"/>
          <w:snapToGrid w:val="0"/>
        </w:rPr>
        <w:t xml:space="preserve">. </w:t>
      </w:r>
    </w:p>
    <w:p w14:paraId="001E0997" w14:textId="4ECFAB77" w:rsidR="008A1E34" w:rsidRPr="002615AD" w:rsidRDefault="005201FE" w:rsidP="007360EF">
      <w:pPr>
        <w:widowControl w:val="0"/>
        <w:numPr>
          <w:ilvl w:val="1"/>
          <w:numId w:val="4"/>
        </w:numPr>
        <w:spacing w:after="120"/>
        <w:rPr>
          <w:rFonts w:asciiTheme="minorHAnsi" w:hAnsiTheme="minorHAnsi"/>
          <w:snapToGrid w:val="0"/>
        </w:rPr>
      </w:pPr>
      <w:r w:rsidRPr="002615AD">
        <w:rPr>
          <w:rFonts w:asciiTheme="minorHAnsi" w:hAnsiTheme="minorHAnsi"/>
          <w:snapToGrid w:val="0"/>
        </w:rPr>
        <w:t xml:space="preserve">The PBAC </w:t>
      </w:r>
      <w:r w:rsidR="00313A39" w:rsidRPr="002615AD">
        <w:rPr>
          <w:rFonts w:asciiTheme="minorHAnsi" w:hAnsiTheme="minorHAnsi"/>
          <w:snapToGrid w:val="0"/>
        </w:rPr>
        <w:t>welcomed consumer input from patients (many of</w:t>
      </w:r>
      <w:r w:rsidR="008A4584" w:rsidRPr="002615AD">
        <w:rPr>
          <w:rFonts w:asciiTheme="minorHAnsi" w:hAnsiTheme="minorHAnsi"/>
          <w:snapToGrid w:val="0"/>
        </w:rPr>
        <w:t xml:space="preserve"> whom</w:t>
      </w:r>
      <w:r w:rsidR="00313A39" w:rsidRPr="002615AD">
        <w:rPr>
          <w:rFonts w:asciiTheme="minorHAnsi" w:hAnsiTheme="minorHAnsi"/>
          <w:snapToGrid w:val="0"/>
        </w:rPr>
        <w:t xml:space="preserve"> use or have used adalimumab for this condition), family members, health professionals and organisations</w:t>
      </w:r>
      <w:r w:rsidR="007C7FC0">
        <w:rPr>
          <w:rFonts w:asciiTheme="minorHAnsi" w:hAnsiTheme="minorHAnsi"/>
          <w:snapToGrid w:val="0"/>
        </w:rPr>
        <w:t>.</w:t>
      </w:r>
      <w:r w:rsidR="008A4584" w:rsidRPr="002615AD">
        <w:rPr>
          <w:rFonts w:asciiTheme="minorHAnsi" w:hAnsiTheme="minorHAnsi"/>
          <w:snapToGrid w:val="0"/>
        </w:rPr>
        <w:t xml:space="preserve"> </w:t>
      </w:r>
      <w:r w:rsidR="007C7FC0">
        <w:rPr>
          <w:rFonts w:asciiTheme="minorHAnsi" w:hAnsiTheme="minorHAnsi"/>
          <w:snapToGrid w:val="0"/>
        </w:rPr>
        <w:t>A</w:t>
      </w:r>
      <w:r w:rsidR="008A4584" w:rsidRPr="002615AD">
        <w:rPr>
          <w:rFonts w:asciiTheme="minorHAnsi" w:hAnsiTheme="minorHAnsi"/>
          <w:snapToGrid w:val="0"/>
        </w:rPr>
        <w:t xml:space="preserve">ll </w:t>
      </w:r>
      <w:r w:rsidR="00F63E1B">
        <w:rPr>
          <w:rFonts w:asciiTheme="minorHAnsi" w:hAnsiTheme="minorHAnsi"/>
          <w:snapToGrid w:val="0"/>
        </w:rPr>
        <w:t xml:space="preserve">input </w:t>
      </w:r>
      <w:r w:rsidR="008A4584" w:rsidRPr="002615AD">
        <w:rPr>
          <w:rFonts w:asciiTheme="minorHAnsi" w:hAnsiTheme="minorHAnsi"/>
          <w:snapToGrid w:val="0"/>
        </w:rPr>
        <w:t>strongly support</w:t>
      </w:r>
      <w:r w:rsidR="007C7FC0">
        <w:rPr>
          <w:rFonts w:asciiTheme="minorHAnsi" w:hAnsiTheme="minorHAnsi"/>
          <w:snapToGrid w:val="0"/>
        </w:rPr>
        <w:t>ed</w:t>
      </w:r>
      <w:r w:rsidR="008A4584" w:rsidRPr="002615AD">
        <w:rPr>
          <w:rFonts w:asciiTheme="minorHAnsi" w:hAnsiTheme="minorHAnsi"/>
          <w:snapToGrid w:val="0"/>
        </w:rPr>
        <w:t xml:space="preserve"> the PBS listing of adalimumab</w:t>
      </w:r>
      <w:r w:rsidR="007C7FC0">
        <w:rPr>
          <w:rFonts w:asciiTheme="minorHAnsi" w:hAnsiTheme="minorHAnsi"/>
          <w:snapToGrid w:val="0"/>
        </w:rPr>
        <w:t>,</w:t>
      </w:r>
      <w:r w:rsidR="008A4584" w:rsidRPr="002615AD">
        <w:rPr>
          <w:rFonts w:asciiTheme="minorHAnsi" w:hAnsiTheme="minorHAnsi"/>
          <w:snapToGrid w:val="0"/>
        </w:rPr>
        <w:t xml:space="preserve"> describing the benefits of treatment </w:t>
      </w:r>
      <w:r w:rsidR="007650F6" w:rsidRPr="002615AD">
        <w:rPr>
          <w:rFonts w:asciiTheme="minorHAnsi" w:hAnsiTheme="minorHAnsi"/>
          <w:snapToGrid w:val="0"/>
        </w:rPr>
        <w:t xml:space="preserve">as </w:t>
      </w:r>
      <w:r w:rsidR="008A4584" w:rsidRPr="002615AD">
        <w:rPr>
          <w:rFonts w:asciiTheme="minorHAnsi" w:hAnsiTheme="minorHAnsi"/>
          <w:snapToGrid w:val="0"/>
        </w:rPr>
        <w:t>including reduced flares, reduced ocular damage and in some cases, reversal of existing damage. The</w:t>
      </w:r>
      <w:r w:rsidR="008617F6" w:rsidRPr="002615AD">
        <w:rPr>
          <w:rFonts w:asciiTheme="minorHAnsi" w:hAnsiTheme="minorHAnsi"/>
          <w:snapToGrid w:val="0"/>
        </w:rPr>
        <w:t xml:space="preserve"> PBAC noted the</w:t>
      </w:r>
      <w:r w:rsidR="008A4584" w:rsidRPr="002615AD">
        <w:rPr>
          <w:rFonts w:asciiTheme="minorHAnsi" w:hAnsiTheme="minorHAnsi"/>
          <w:snapToGrid w:val="0"/>
        </w:rPr>
        <w:t xml:space="preserve"> comments also described the benefits of being able to reduce or eliminate concomitant use of corticosteroids and avoiding associated side effects. </w:t>
      </w:r>
    </w:p>
    <w:p w14:paraId="69EC643E" w14:textId="42200D2F" w:rsidR="00D67C41" w:rsidRPr="004E7D59" w:rsidRDefault="00D67C41" w:rsidP="007360EF">
      <w:pPr>
        <w:widowControl w:val="0"/>
        <w:numPr>
          <w:ilvl w:val="1"/>
          <w:numId w:val="4"/>
        </w:numPr>
        <w:spacing w:after="120"/>
        <w:rPr>
          <w:rFonts w:asciiTheme="minorHAnsi" w:hAnsiTheme="minorHAnsi"/>
          <w:snapToGrid w:val="0"/>
        </w:rPr>
      </w:pPr>
      <w:r w:rsidRPr="004E7D59">
        <w:rPr>
          <w:rFonts w:asciiTheme="minorHAnsi" w:hAnsiTheme="minorHAnsi"/>
          <w:snapToGrid w:val="0"/>
        </w:rPr>
        <w:t xml:space="preserve">The PBAC noted additional work </w:t>
      </w:r>
      <w:r w:rsidR="002615AD" w:rsidRPr="004E7D59">
        <w:rPr>
          <w:rFonts w:asciiTheme="minorHAnsi" w:hAnsiTheme="minorHAnsi"/>
          <w:snapToGrid w:val="0"/>
        </w:rPr>
        <w:t xml:space="preserve">will be required </w:t>
      </w:r>
      <w:r w:rsidR="002615AD">
        <w:rPr>
          <w:rFonts w:asciiTheme="minorHAnsi" w:hAnsiTheme="minorHAnsi"/>
          <w:snapToGrid w:val="0"/>
        </w:rPr>
        <w:t xml:space="preserve">by the Department </w:t>
      </w:r>
      <w:r w:rsidRPr="004E7D59">
        <w:rPr>
          <w:rFonts w:asciiTheme="minorHAnsi" w:hAnsiTheme="minorHAnsi"/>
          <w:snapToGrid w:val="0"/>
        </w:rPr>
        <w:t>to finalise the restriction</w:t>
      </w:r>
      <w:r w:rsidR="008D5696" w:rsidRPr="004E7D59">
        <w:rPr>
          <w:rFonts w:asciiTheme="minorHAnsi" w:hAnsiTheme="minorHAnsi"/>
          <w:snapToGrid w:val="0"/>
        </w:rPr>
        <w:t>,</w:t>
      </w:r>
      <w:r w:rsidRPr="004E7D59">
        <w:rPr>
          <w:rFonts w:asciiTheme="minorHAnsi" w:hAnsiTheme="minorHAnsi"/>
          <w:snapToGrid w:val="0"/>
        </w:rPr>
        <w:t xml:space="preserve"> </w:t>
      </w:r>
      <w:r w:rsidR="008D5696" w:rsidRPr="004E7D59">
        <w:rPr>
          <w:rFonts w:asciiTheme="minorHAnsi" w:hAnsiTheme="minorHAnsi"/>
          <w:snapToGrid w:val="0"/>
        </w:rPr>
        <w:t>and</w:t>
      </w:r>
      <w:r w:rsidRPr="004E7D59">
        <w:rPr>
          <w:rFonts w:asciiTheme="minorHAnsi" w:hAnsiTheme="minorHAnsi"/>
          <w:snapToGrid w:val="0"/>
        </w:rPr>
        <w:t xml:space="preserve"> considered the restriction should include the following: </w:t>
      </w:r>
    </w:p>
    <w:p w14:paraId="795871E2" w14:textId="1965034E" w:rsidR="00C557AC" w:rsidRPr="00AD5A27" w:rsidRDefault="00C557AC" w:rsidP="00647353">
      <w:pPr>
        <w:pStyle w:val="ListParagraph"/>
        <w:widowControl w:val="0"/>
        <w:numPr>
          <w:ilvl w:val="0"/>
          <w:numId w:val="21"/>
        </w:numPr>
        <w:ind w:left="1134" w:hanging="357"/>
      </w:pPr>
      <w:r w:rsidRPr="00D9070E">
        <w:t>An Authority Required (</w:t>
      </w:r>
      <w:r w:rsidR="00D9070E">
        <w:t>w</w:t>
      </w:r>
      <w:r w:rsidR="00D9070E" w:rsidRPr="00D9070E">
        <w:t>ritten/</w:t>
      </w:r>
      <w:r w:rsidR="00D9070E">
        <w:t>e</w:t>
      </w:r>
      <w:r w:rsidR="00D9070E" w:rsidRPr="00D9070E">
        <w:t xml:space="preserve">lectronic for initial therapy and </w:t>
      </w:r>
      <w:r w:rsidRPr="00D9070E">
        <w:t>telephone/electronic</w:t>
      </w:r>
      <w:r w:rsidR="00D9070E" w:rsidRPr="00D9070E">
        <w:t xml:space="preserve"> for continuing</w:t>
      </w:r>
      <w:r w:rsidR="00D9070E">
        <w:t xml:space="preserve"> therapy/grandfather patients</w:t>
      </w:r>
      <w:r w:rsidRPr="00D9070E">
        <w:t>) listing.</w:t>
      </w:r>
      <w:r w:rsidRPr="00AD5A27">
        <w:t xml:space="preserve"> The PBAC recalled in 2017 it considered there was a risk the listing for non-infectious uveitis may allow ‘less restrictive’ access to adalimumab (Table 2 refers), however considered that with the </w:t>
      </w:r>
      <w:r w:rsidR="00F03980" w:rsidRPr="00AD5A27">
        <w:t>biosimilar uptake drivers</w:t>
      </w:r>
      <w:r w:rsidRPr="00AD5A27">
        <w:t xml:space="preserve"> and changes following reviews of PBS authorities, </w:t>
      </w:r>
      <w:r w:rsidR="00F03980" w:rsidRPr="00AD5A27">
        <w:t>biologic or targeted synthetic disease modifying anti-rheumatic drug (b/tsDMARD) listings were already (in some cases) less restrictive</w:t>
      </w:r>
      <w:r w:rsidR="000F305B" w:rsidRPr="00AD5A27">
        <w:t xml:space="preserve"> than in 2017</w:t>
      </w:r>
      <w:r w:rsidR="00F03980" w:rsidRPr="00AD5A27">
        <w:t>;</w:t>
      </w:r>
    </w:p>
    <w:p w14:paraId="76A1722C" w14:textId="63C975E8" w:rsidR="00D67C41" w:rsidRPr="00AD5A27" w:rsidRDefault="00D67C41" w:rsidP="00647353">
      <w:pPr>
        <w:pStyle w:val="ListParagraph"/>
        <w:widowControl w:val="0"/>
        <w:numPr>
          <w:ilvl w:val="0"/>
          <w:numId w:val="21"/>
        </w:numPr>
        <w:ind w:left="1134" w:hanging="357"/>
      </w:pPr>
      <w:r w:rsidRPr="00AD5A27">
        <w:t>The restriction should be age-agnostic, with</w:t>
      </w:r>
      <w:r w:rsidR="000F305B" w:rsidRPr="00AD5A27">
        <w:t xml:space="preserve"> </w:t>
      </w:r>
      <w:r w:rsidR="0043657C">
        <w:t xml:space="preserve">criteria relating to </w:t>
      </w:r>
      <w:r w:rsidR="000F305B" w:rsidRPr="00AD5A27">
        <w:t>prior therap</w:t>
      </w:r>
      <w:r w:rsidR="008617F6" w:rsidRPr="00AD5A27">
        <w:t>y</w:t>
      </w:r>
      <w:r w:rsidR="000F305B" w:rsidRPr="00AD5A27">
        <w:t xml:space="preserve"> and steroid dose requirements</w:t>
      </w:r>
      <w:r w:rsidRPr="00AD5A27">
        <w:t xml:space="preserve"> </w:t>
      </w:r>
      <w:r w:rsidR="000F305B" w:rsidRPr="00AD5A27">
        <w:t>reflect</w:t>
      </w:r>
      <w:r w:rsidR="0043657C">
        <w:t>ing</w:t>
      </w:r>
      <w:r w:rsidR="000F305B" w:rsidRPr="00AD5A27">
        <w:t xml:space="preserve"> the differing needs of adult and paediatric patients; </w:t>
      </w:r>
    </w:p>
    <w:p w14:paraId="30EDA407" w14:textId="6A0E5818" w:rsidR="00D67C41" w:rsidRPr="00AD5A27" w:rsidRDefault="00D67C41" w:rsidP="00647353">
      <w:pPr>
        <w:pStyle w:val="ListParagraph"/>
        <w:widowControl w:val="0"/>
        <w:numPr>
          <w:ilvl w:val="0"/>
          <w:numId w:val="21"/>
        </w:numPr>
        <w:ind w:left="1134" w:hanging="357"/>
      </w:pPr>
      <w:r w:rsidRPr="00AD5A27">
        <w:t>Specific reference to anatomical location or phenotype of uveitis was not required, as whilst anterior uveitis in adult patients is often manageable with short-term steroids and/or systemic therapies,</w:t>
      </w:r>
      <w:r w:rsidR="00AC4C4E" w:rsidRPr="00AD5A27">
        <w:t xml:space="preserve"> anterior uveitis is important for the paediatric population. Overall, the PBAC considered</w:t>
      </w:r>
      <w:r w:rsidRPr="00AD5A27">
        <w:t xml:space="preserve"> the risk of clinically </w:t>
      </w:r>
      <w:r w:rsidRPr="00AD5A27">
        <w:lastRenderedPageBreak/>
        <w:t>inappropriate use of adalimumab</w:t>
      </w:r>
      <w:r w:rsidR="00AC4C4E" w:rsidRPr="00AD5A27">
        <w:t xml:space="preserve"> based on anatomical location of disease</w:t>
      </w:r>
      <w:r w:rsidRPr="00AD5A27">
        <w:t xml:space="preserve"> was low; </w:t>
      </w:r>
    </w:p>
    <w:p w14:paraId="4DE490B1" w14:textId="42BD2869" w:rsidR="00D67C41" w:rsidRPr="00AD5A27" w:rsidRDefault="00D67C41" w:rsidP="00647353">
      <w:pPr>
        <w:pStyle w:val="ListParagraph"/>
        <w:widowControl w:val="0"/>
        <w:numPr>
          <w:ilvl w:val="0"/>
          <w:numId w:val="21"/>
        </w:numPr>
        <w:ind w:left="1134" w:hanging="357"/>
      </w:pPr>
      <w:r w:rsidRPr="00AD5A27">
        <w:t xml:space="preserve">No requirement for treatment withdrawal after a period of steroid-free quiescence; </w:t>
      </w:r>
      <w:r w:rsidR="00AD5A27" w:rsidRPr="00AD5A27">
        <w:t>however,</w:t>
      </w:r>
      <w:r w:rsidRPr="00AD5A27">
        <w:t xml:space="preserve"> the PBAC considered a re-initiation restriction for patients who do attempt to withdraw adalimumab and experience flares may be warranted if the initial restriction is a barrier to patient needs;</w:t>
      </w:r>
    </w:p>
    <w:p w14:paraId="5340D470" w14:textId="22ACB5A5" w:rsidR="00D67C41" w:rsidRPr="00AD5A27" w:rsidRDefault="00D67C41" w:rsidP="00647353">
      <w:pPr>
        <w:pStyle w:val="ListParagraph"/>
        <w:widowControl w:val="0"/>
        <w:numPr>
          <w:ilvl w:val="0"/>
          <w:numId w:val="21"/>
        </w:numPr>
        <w:ind w:left="1134" w:hanging="357"/>
      </w:pPr>
      <w:r w:rsidRPr="00AD5A27">
        <w:t>An initial treatment period of 25 weeks' (loading dose in week 1 with quantities and repeats to provide 24 additional weeks' treatment in the initial phase</w:t>
      </w:r>
      <w:r w:rsidR="000F305B" w:rsidRPr="00AD5A27">
        <w:t>)</w:t>
      </w:r>
      <w:r w:rsidRPr="00AD5A27">
        <w:t xml:space="preserve"> with continuing treatment at intervals of 24 weeks, with appropriate quantities and repeats; and</w:t>
      </w:r>
    </w:p>
    <w:p w14:paraId="078F6101" w14:textId="74C63768" w:rsidR="00D67C41" w:rsidRPr="00AD5A27" w:rsidRDefault="00D67C41" w:rsidP="00647353">
      <w:pPr>
        <w:pStyle w:val="ListParagraph"/>
        <w:widowControl w:val="0"/>
        <w:numPr>
          <w:ilvl w:val="0"/>
          <w:numId w:val="21"/>
        </w:numPr>
        <w:ind w:left="1134" w:hanging="357"/>
      </w:pPr>
      <w:r w:rsidRPr="00AD5A27">
        <w:t>Prescribing to be limited to ophthalmologists</w:t>
      </w:r>
      <w:r w:rsidR="00312F61" w:rsidRPr="00AD5A27">
        <w:t>, rheumatologists or immunologists with expertise in managing non-infectious uveitis,</w:t>
      </w:r>
      <w:r w:rsidRPr="00AD5A27">
        <w:t xml:space="preserve"> or in consultation with </w:t>
      </w:r>
      <w:r w:rsidR="00312F61" w:rsidRPr="00AD5A27">
        <w:t>these prescribers</w:t>
      </w:r>
      <w:r w:rsidRPr="00AD5A27">
        <w:t>.</w:t>
      </w:r>
    </w:p>
    <w:p w14:paraId="54597BC5" w14:textId="145F5B94" w:rsidR="00661602" w:rsidRPr="00AD5A27" w:rsidRDefault="00661602" w:rsidP="00661602">
      <w:pPr>
        <w:pStyle w:val="3-BodyText"/>
        <w:rPr>
          <w:snapToGrid/>
        </w:rPr>
      </w:pPr>
      <w:r w:rsidRPr="00AD5A27">
        <w:rPr>
          <w:snapToGrid/>
        </w:rPr>
        <w:t xml:space="preserve">The </w:t>
      </w:r>
      <w:r>
        <w:rPr>
          <w:snapToGrid/>
        </w:rPr>
        <w:t xml:space="preserve">PBAC reaffirmed its March 2017 advice that the appropriate comparator was </w:t>
      </w:r>
      <w:r w:rsidR="0027216D">
        <w:rPr>
          <w:snapToGrid/>
        </w:rPr>
        <w:t xml:space="preserve">best supportive care defined as </w:t>
      </w:r>
      <w:r w:rsidRPr="00AD5A27">
        <w:rPr>
          <w:snapToGrid/>
        </w:rPr>
        <w:t xml:space="preserve">high-dose </w:t>
      </w:r>
      <w:r>
        <w:rPr>
          <w:snapToGrid/>
        </w:rPr>
        <w:t>oral corticosteroids,</w:t>
      </w:r>
      <w:r w:rsidRPr="00AD5A27">
        <w:rPr>
          <w:snapToGrid/>
        </w:rPr>
        <w:t xml:space="preserve"> with or without an immunomodulatory agent</w:t>
      </w:r>
      <w:r>
        <w:rPr>
          <w:snapToGrid/>
        </w:rPr>
        <w:t>. The PBAC noted the dose of corticosteroids considered ‘high’ will vary between adult and paediatric patients.</w:t>
      </w:r>
    </w:p>
    <w:p w14:paraId="424BD0C6" w14:textId="601A081F" w:rsidR="009C2C7D" w:rsidRDefault="000C3AA6" w:rsidP="009C2C7D">
      <w:pPr>
        <w:widowControl w:val="0"/>
        <w:numPr>
          <w:ilvl w:val="1"/>
          <w:numId w:val="4"/>
        </w:numPr>
        <w:spacing w:after="120"/>
        <w:rPr>
          <w:rFonts w:asciiTheme="minorHAnsi" w:hAnsiTheme="minorHAnsi"/>
          <w:snapToGrid w:val="0"/>
        </w:rPr>
      </w:pPr>
      <w:r w:rsidRPr="00AD5A27">
        <w:rPr>
          <w:rFonts w:asciiTheme="minorHAnsi" w:hAnsiTheme="minorHAnsi"/>
          <w:snapToGrid w:val="0"/>
        </w:rPr>
        <w:t xml:space="preserve">The PBAC noted </w:t>
      </w:r>
      <w:r w:rsidR="00661602">
        <w:rPr>
          <w:rFonts w:asciiTheme="minorHAnsi" w:hAnsiTheme="minorHAnsi"/>
          <w:snapToGrid w:val="0"/>
        </w:rPr>
        <w:t>the</w:t>
      </w:r>
      <w:r w:rsidRPr="00AD5A27">
        <w:rPr>
          <w:rFonts w:asciiTheme="minorHAnsi" w:hAnsiTheme="minorHAnsi"/>
          <w:snapToGrid w:val="0"/>
        </w:rPr>
        <w:t xml:space="preserve"> randomised clinical trial evidence </w:t>
      </w:r>
      <w:r w:rsidR="00661602">
        <w:rPr>
          <w:rFonts w:asciiTheme="minorHAnsi" w:hAnsiTheme="minorHAnsi"/>
          <w:snapToGrid w:val="0"/>
        </w:rPr>
        <w:t xml:space="preserve">presented in the submission included the </w:t>
      </w:r>
      <w:r w:rsidRPr="00AD5A27">
        <w:rPr>
          <w:rFonts w:asciiTheme="minorHAnsi" w:hAnsiTheme="minorHAnsi"/>
          <w:snapToGrid w:val="0"/>
        </w:rPr>
        <w:t>VISUAL I</w:t>
      </w:r>
      <w:r w:rsidR="004E1613">
        <w:rPr>
          <w:rFonts w:asciiTheme="minorHAnsi" w:hAnsiTheme="minorHAnsi"/>
          <w:snapToGrid w:val="0"/>
        </w:rPr>
        <w:t xml:space="preserve"> and </w:t>
      </w:r>
      <w:r w:rsidRPr="00AD5A27">
        <w:rPr>
          <w:rFonts w:asciiTheme="minorHAnsi" w:hAnsiTheme="minorHAnsi"/>
          <w:snapToGrid w:val="0"/>
        </w:rPr>
        <w:t>II</w:t>
      </w:r>
      <w:r w:rsidR="00661602">
        <w:rPr>
          <w:rFonts w:asciiTheme="minorHAnsi" w:hAnsiTheme="minorHAnsi"/>
          <w:snapToGrid w:val="0"/>
        </w:rPr>
        <w:t xml:space="preserve"> trials </w:t>
      </w:r>
      <w:r w:rsidR="007D2DED">
        <w:rPr>
          <w:rFonts w:asciiTheme="minorHAnsi" w:hAnsiTheme="minorHAnsi"/>
          <w:snapToGrid w:val="0"/>
        </w:rPr>
        <w:t xml:space="preserve">in adult patients and the </w:t>
      </w:r>
      <w:r w:rsidR="007D2DED" w:rsidRPr="00AD5A27">
        <w:rPr>
          <w:rFonts w:asciiTheme="minorHAnsi" w:hAnsiTheme="minorHAnsi"/>
          <w:snapToGrid w:val="0"/>
        </w:rPr>
        <w:t>SYCAMORE and ADJUVITE</w:t>
      </w:r>
      <w:r w:rsidR="007D2DED">
        <w:rPr>
          <w:rFonts w:asciiTheme="minorHAnsi" w:hAnsiTheme="minorHAnsi"/>
          <w:snapToGrid w:val="0"/>
        </w:rPr>
        <w:t xml:space="preserve"> trials</w:t>
      </w:r>
      <w:r w:rsidRPr="00AD5A27">
        <w:rPr>
          <w:rFonts w:asciiTheme="minorHAnsi" w:hAnsiTheme="minorHAnsi"/>
          <w:snapToGrid w:val="0"/>
        </w:rPr>
        <w:t xml:space="preserve"> </w:t>
      </w:r>
      <w:r w:rsidR="007D2DED">
        <w:rPr>
          <w:rFonts w:asciiTheme="minorHAnsi" w:hAnsiTheme="minorHAnsi"/>
          <w:snapToGrid w:val="0"/>
        </w:rPr>
        <w:t>in</w:t>
      </w:r>
      <w:r w:rsidRPr="00AD5A27">
        <w:rPr>
          <w:rFonts w:asciiTheme="minorHAnsi" w:hAnsiTheme="minorHAnsi"/>
          <w:snapToGrid w:val="0"/>
        </w:rPr>
        <w:t xml:space="preserve"> paediatric </w:t>
      </w:r>
      <w:r w:rsidR="007D2DED">
        <w:rPr>
          <w:rFonts w:asciiTheme="minorHAnsi" w:hAnsiTheme="minorHAnsi"/>
          <w:snapToGrid w:val="0"/>
        </w:rPr>
        <w:t>patients. The PBAC noted the VISAUL I/II trials were previously considered in March 2017</w:t>
      </w:r>
      <w:r w:rsidR="0027216D">
        <w:rPr>
          <w:rFonts w:asciiTheme="minorHAnsi" w:hAnsiTheme="minorHAnsi"/>
          <w:snapToGrid w:val="0"/>
        </w:rPr>
        <w:t xml:space="preserve">. The VISUAL I trial required patients to be in a flare state for inclusion, whereas VISUAL II required patients to have controlled disease but be on high dose corticosteroids. </w:t>
      </w:r>
      <w:r w:rsidR="009C2C7D">
        <w:rPr>
          <w:rFonts w:asciiTheme="minorHAnsi" w:hAnsiTheme="minorHAnsi"/>
          <w:snapToGrid w:val="0"/>
        </w:rPr>
        <w:t xml:space="preserve">The PBAC noted </w:t>
      </w:r>
      <w:r w:rsidR="007D2DED">
        <w:rPr>
          <w:rFonts w:asciiTheme="minorHAnsi" w:hAnsiTheme="minorHAnsi"/>
          <w:snapToGrid w:val="0"/>
        </w:rPr>
        <w:t xml:space="preserve">the trials in paediatric patients </w:t>
      </w:r>
      <w:r w:rsidR="009C2C7D">
        <w:rPr>
          <w:rFonts w:asciiTheme="minorHAnsi" w:hAnsiTheme="minorHAnsi"/>
          <w:snapToGrid w:val="0"/>
        </w:rPr>
        <w:t>had not been previously considered</w:t>
      </w:r>
      <w:r w:rsidR="007D2DED">
        <w:rPr>
          <w:rFonts w:asciiTheme="minorHAnsi" w:hAnsiTheme="minorHAnsi"/>
          <w:snapToGrid w:val="0"/>
        </w:rPr>
        <w:t xml:space="preserve">. </w:t>
      </w:r>
      <w:r w:rsidR="009C2C7D">
        <w:rPr>
          <w:rFonts w:asciiTheme="minorHAnsi" w:hAnsiTheme="minorHAnsi"/>
          <w:snapToGrid w:val="0"/>
        </w:rPr>
        <w:t>The SYCAMORE trial included 90 patients aged 2</w:t>
      </w:r>
      <w:r w:rsidR="004150EC">
        <w:rPr>
          <w:rFonts w:asciiTheme="minorHAnsi" w:hAnsiTheme="minorHAnsi" w:cstheme="minorHAnsi"/>
          <w:snapToGrid w:val="0"/>
        </w:rPr>
        <w:t>−</w:t>
      </w:r>
      <w:r w:rsidR="009C2C7D">
        <w:rPr>
          <w:rFonts w:asciiTheme="minorHAnsi" w:hAnsiTheme="minorHAnsi"/>
          <w:snapToGrid w:val="0"/>
        </w:rPr>
        <w:t xml:space="preserve">18 years with </w:t>
      </w:r>
      <w:r w:rsidR="009C2C7D" w:rsidRPr="00AD5A27">
        <w:rPr>
          <w:rFonts w:asciiTheme="minorHAnsi" w:hAnsiTheme="minorHAnsi"/>
          <w:snapToGrid w:val="0"/>
        </w:rPr>
        <w:t>juvenile idiopathic arthritis (JIA)</w:t>
      </w:r>
      <w:r w:rsidR="009C2C7D">
        <w:rPr>
          <w:rFonts w:asciiTheme="minorHAnsi" w:hAnsiTheme="minorHAnsi"/>
          <w:snapToGrid w:val="0"/>
        </w:rPr>
        <w:t>-associated uveitis.</w:t>
      </w:r>
      <w:r w:rsidR="00754D30">
        <w:rPr>
          <w:rFonts w:asciiTheme="minorHAnsi" w:hAnsiTheme="minorHAnsi"/>
          <w:snapToGrid w:val="0"/>
        </w:rPr>
        <w:t xml:space="preserve"> The trial was terminated early because efficacy was demonstrated and </w:t>
      </w:r>
      <w:r w:rsidR="00FB67C2">
        <w:rPr>
          <w:rFonts w:asciiTheme="minorHAnsi" w:hAnsiTheme="minorHAnsi"/>
          <w:snapToGrid w:val="0"/>
        </w:rPr>
        <w:t xml:space="preserve">subsequently </w:t>
      </w:r>
      <w:r w:rsidR="00754D30">
        <w:rPr>
          <w:rFonts w:asciiTheme="minorHAnsi" w:hAnsiTheme="minorHAnsi"/>
          <w:snapToGrid w:val="0"/>
        </w:rPr>
        <w:t>patients in the placebo arm crossed over to be treated with adalimumab.</w:t>
      </w:r>
      <w:r w:rsidR="009C2C7D">
        <w:rPr>
          <w:rFonts w:asciiTheme="minorHAnsi" w:hAnsiTheme="minorHAnsi"/>
          <w:snapToGrid w:val="0"/>
        </w:rPr>
        <w:t xml:space="preserve"> The ADJUVITE trial included 32 patients aged 4 years or older with idiopathic or JIA-associated uveitis.</w:t>
      </w:r>
      <w:r w:rsidR="00391A34">
        <w:rPr>
          <w:rFonts w:asciiTheme="minorHAnsi" w:hAnsiTheme="minorHAnsi"/>
          <w:snapToGrid w:val="0"/>
        </w:rPr>
        <w:t xml:space="preserve"> </w:t>
      </w:r>
      <w:r w:rsidR="007C7FC0">
        <w:rPr>
          <w:rFonts w:asciiTheme="minorHAnsi" w:hAnsiTheme="minorHAnsi"/>
          <w:snapToGrid w:val="0"/>
        </w:rPr>
        <w:t xml:space="preserve">The PBAC noted </w:t>
      </w:r>
      <w:r w:rsidR="00AA2020">
        <w:rPr>
          <w:rFonts w:asciiTheme="minorHAnsi" w:hAnsiTheme="minorHAnsi"/>
          <w:snapToGrid w:val="0"/>
        </w:rPr>
        <w:t>a</w:t>
      </w:r>
      <w:r w:rsidR="007C7FC0">
        <w:rPr>
          <w:rFonts w:asciiTheme="minorHAnsi" w:hAnsiTheme="minorHAnsi"/>
          <w:snapToGrid w:val="0"/>
        </w:rPr>
        <w:t>n addition</w:t>
      </w:r>
      <w:r w:rsidR="001F2E9A">
        <w:rPr>
          <w:rFonts w:asciiTheme="minorHAnsi" w:hAnsiTheme="minorHAnsi"/>
          <w:snapToGrid w:val="0"/>
        </w:rPr>
        <w:t>al</w:t>
      </w:r>
      <w:r w:rsidR="007C7FC0">
        <w:rPr>
          <w:rFonts w:asciiTheme="minorHAnsi" w:hAnsiTheme="minorHAnsi"/>
          <w:snapToGrid w:val="0"/>
        </w:rPr>
        <w:t xml:space="preserve"> </w:t>
      </w:r>
      <w:r w:rsidR="007C7FC0" w:rsidRPr="004150EC">
        <w:rPr>
          <w:rFonts w:asciiTheme="minorHAnsi" w:hAnsiTheme="minorHAnsi"/>
          <w:snapToGrid w:val="0"/>
        </w:rPr>
        <w:t>19</w:t>
      </w:r>
      <w:r w:rsidR="007C7FC0">
        <w:rPr>
          <w:rFonts w:asciiTheme="minorHAnsi" w:hAnsiTheme="minorHAnsi"/>
          <w:snapToGrid w:val="0"/>
        </w:rPr>
        <w:t xml:space="preserve"> observational studies were presented assessing longer-term efficacy and safety of adalimumab.</w:t>
      </w:r>
    </w:p>
    <w:p w14:paraId="76058D82" w14:textId="6B52DB88" w:rsidR="00982ACC" w:rsidRDefault="00BD5F96" w:rsidP="007360EF">
      <w:pPr>
        <w:widowControl w:val="0"/>
        <w:numPr>
          <w:ilvl w:val="1"/>
          <w:numId w:val="4"/>
        </w:numPr>
        <w:spacing w:after="120"/>
        <w:rPr>
          <w:rFonts w:asciiTheme="minorHAnsi" w:hAnsiTheme="minorHAnsi"/>
          <w:snapToGrid w:val="0"/>
        </w:rPr>
      </w:pPr>
      <w:r w:rsidRPr="00FB67C2">
        <w:rPr>
          <w:rFonts w:asciiTheme="minorHAnsi" w:hAnsiTheme="minorHAnsi"/>
          <w:snapToGrid w:val="0"/>
        </w:rPr>
        <w:t xml:space="preserve">The PBAC noted adalimumab was associated with a statistically significant increase in time to treatment failure (i.e. flare) compared to placebo </w:t>
      </w:r>
      <w:r w:rsidR="004E1613" w:rsidRPr="00FB67C2">
        <w:rPr>
          <w:rFonts w:asciiTheme="minorHAnsi" w:hAnsiTheme="minorHAnsi"/>
          <w:snapToGrid w:val="0"/>
        </w:rPr>
        <w:t xml:space="preserve">in both the VISUAL I and II trials </w:t>
      </w:r>
      <w:r w:rsidRPr="00FB67C2">
        <w:rPr>
          <w:rFonts w:asciiTheme="minorHAnsi" w:hAnsiTheme="minorHAnsi"/>
          <w:snapToGrid w:val="0"/>
        </w:rPr>
        <w:t xml:space="preserve">(pooled HR </w:t>
      </w:r>
      <w:r w:rsidR="004D7C7F" w:rsidRPr="00FB67C2">
        <w:rPr>
          <w:rFonts w:asciiTheme="minorHAnsi" w:hAnsiTheme="minorHAnsi"/>
          <w:snapToGrid w:val="0"/>
        </w:rPr>
        <w:t xml:space="preserve">for the two trials: </w:t>
      </w:r>
      <w:r w:rsidRPr="00FB67C2">
        <w:rPr>
          <w:rFonts w:asciiTheme="minorHAnsi" w:hAnsiTheme="minorHAnsi"/>
          <w:snapToGrid w:val="0"/>
        </w:rPr>
        <w:t>0.5</w:t>
      </w:r>
      <w:r w:rsidR="004150EC">
        <w:rPr>
          <w:rFonts w:asciiTheme="minorHAnsi" w:hAnsiTheme="minorHAnsi"/>
          <w:snapToGrid w:val="0"/>
        </w:rPr>
        <w:t>3</w:t>
      </w:r>
      <w:r w:rsidRPr="00FB67C2">
        <w:rPr>
          <w:rFonts w:asciiTheme="minorHAnsi" w:hAnsiTheme="minorHAnsi"/>
          <w:snapToGrid w:val="0"/>
        </w:rPr>
        <w:t>, 95% CI 0.</w:t>
      </w:r>
      <w:r w:rsidR="004150EC">
        <w:rPr>
          <w:rFonts w:asciiTheme="minorHAnsi" w:hAnsiTheme="minorHAnsi"/>
          <w:snapToGrid w:val="0"/>
        </w:rPr>
        <w:t>41</w:t>
      </w:r>
      <w:r w:rsidRPr="00FB67C2">
        <w:rPr>
          <w:rFonts w:asciiTheme="minorHAnsi" w:hAnsiTheme="minorHAnsi"/>
          <w:snapToGrid w:val="0"/>
        </w:rPr>
        <w:t>, 0.</w:t>
      </w:r>
      <w:r w:rsidR="004150EC">
        <w:rPr>
          <w:rFonts w:asciiTheme="minorHAnsi" w:hAnsiTheme="minorHAnsi"/>
          <w:snapToGrid w:val="0"/>
        </w:rPr>
        <w:t>68</w:t>
      </w:r>
      <w:r w:rsidRPr="00FB67C2">
        <w:rPr>
          <w:rFonts w:asciiTheme="minorHAnsi" w:hAnsiTheme="minorHAnsi"/>
          <w:snapToGrid w:val="0"/>
        </w:rPr>
        <w:t>)</w:t>
      </w:r>
      <w:r w:rsidR="004D7C7F" w:rsidRPr="00FB67C2">
        <w:rPr>
          <w:rFonts w:asciiTheme="minorHAnsi" w:hAnsiTheme="minorHAnsi"/>
          <w:snapToGrid w:val="0"/>
        </w:rPr>
        <w:t>.</w:t>
      </w:r>
      <w:r w:rsidR="00AD6921" w:rsidRPr="00FB67C2">
        <w:rPr>
          <w:rFonts w:asciiTheme="minorHAnsi" w:hAnsiTheme="minorHAnsi"/>
          <w:snapToGrid w:val="0"/>
        </w:rPr>
        <w:t xml:space="preserve"> </w:t>
      </w:r>
      <w:r w:rsidR="002B12D0" w:rsidRPr="00FB67C2">
        <w:rPr>
          <w:rFonts w:asciiTheme="minorHAnsi" w:hAnsiTheme="minorHAnsi"/>
          <w:snapToGrid w:val="0"/>
        </w:rPr>
        <w:t xml:space="preserve">The PBAC </w:t>
      </w:r>
      <w:r w:rsidR="00FB67C2">
        <w:rPr>
          <w:rFonts w:asciiTheme="minorHAnsi" w:hAnsiTheme="minorHAnsi"/>
          <w:snapToGrid w:val="0"/>
        </w:rPr>
        <w:t xml:space="preserve">considered </w:t>
      </w:r>
      <w:r w:rsidR="002B12D0" w:rsidRPr="00FB67C2">
        <w:rPr>
          <w:rFonts w:asciiTheme="minorHAnsi" w:hAnsiTheme="minorHAnsi"/>
          <w:snapToGrid w:val="0"/>
        </w:rPr>
        <w:t xml:space="preserve">the magnitude of comparative benefit of adalimumab over corticosteroids alone was unclear as both trials included a forced </w:t>
      </w:r>
      <w:r w:rsidR="00FB67C2">
        <w:rPr>
          <w:rFonts w:asciiTheme="minorHAnsi" w:hAnsiTheme="minorHAnsi"/>
          <w:snapToGrid w:val="0"/>
        </w:rPr>
        <w:t>cortico</w:t>
      </w:r>
      <w:r w:rsidR="002B12D0" w:rsidRPr="00FB67C2">
        <w:rPr>
          <w:rFonts w:asciiTheme="minorHAnsi" w:hAnsiTheme="minorHAnsi"/>
          <w:snapToGrid w:val="0"/>
        </w:rPr>
        <w:t xml:space="preserve">steroid tapering phase. Results were presented for VISUAL III, the open label extension study for VISUAL I and II, for the proportion of patients in quiescence regardless of steroid use and in </w:t>
      </w:r>
      <w:r w:rsidR="00483717" w:rsidRPr="00FB67C2">
        <w:rPr>
          <w:rFonts w:asciiTheme="minorHAnsi" w:hAnsiTheme="minorHAnsi"/>
          <w:snapToGrid w:val="0"/>
        </w:rPr>
        <w:t xml:space="preserve">quiescence </w:t>
      </w:r>
      <w:r w:rsidR="00483717">
        <w:rPr>
          <w:rFonts w:asciiTheme="minorHAnsi" w:hAnsiTheme="minorHAnsi"/>
          <w:snapToGrid w:val="0"/>
        </w:rPr>
        <w:t>without cortico</w:t>
      </w:r>
      <w:r w:rsidR="002B12D0" w:rsidRPr="00FB67C2">
        <w:rPr>
          <w:rFonts w:asciiTheme="minorHAnsi" w:hAnsiTheme="minorHAnsi"/>
          <w:snapToGrid w:val="0"/>
        </w:rPr>
        <w:t>steroid</w:t>
      </w:r>
      <w:r w:rsidR="00483717">
        <w:rPr>
          <w:rFonts w:asciiTheme="minorHAnsi" w:hAnsiTheme="minorHAnsi"/>
          <w:snapToGrid w:val="0"/>
        </w:rPr>
        <w:t>s</w:t>
      </w:r>
      <w:r w:rsidR="009922A0" w:rsidRPr="00FB67C2">
        <w:rPr>
          <w:rFonts w:asciiTheme="minorHAnsi" w:hAnsiTheme="minorHAnsi"/>
          <w:snapToGrid w:val="0"/>
        </w:rPr>
        <w:t xml:space="preserve">, however the PBAC considered the effect of adalimumab over corticosteroids remained unclear due to the lack of data on the proportion of patients achieving quiescence with </w:t>
      </w:r>
      <w:r w:rsidR="009922A0" w:rsidRPr="00483717">
        <w:rPr>
          <w:rFonts w:asciiTheme="minorHAnsi" w:hAnsiTheme="minorHAnsi"/>
          <w:snapToGrid w:val="0"/>
        </w:rPr>
        <w:t xml:space="preserve">corticosteroids alone. </w:t>
      </w:r>
      <w:r w:rsidR="00BC5615" w:rsidRPr="00483717">
        <w:rPr>
          <w:rFonts w:asciiTheme="minorHAnsi" w:hAnsiTheme="minorHAnsi"/>
          <w:snapToGrid w:val="0"/>
        </w:rPr>
        <w:t>The PBAC acknowledged however, that</w:t>
      </w:r>
      <w:r w:rsidR="00BC5615" w:rsidRPr="00483717">
        <w:rPr>
          <w:rFonts w:cstheme="minorBidi"/>
        </w:rPr>
        <w:t xml:space="preserve"> long term high dose corticosteroids are </w:t>
      </w:r>
      <w:r w:rsidR="00FB67C2" w:rsidRPr="00483717">
        <w:rPr>
          <w:rFonts w:cstheme="minorBidi"/>
        </w:rPr>
        <w:t xml:space="preserve">associated with substantial morbidity and </w:t>
      </w:r>
      <w:r w:rsidR="00BC5615" w:rsidRPr="00483717">
        <w:rPr>
          <w:rFonts w:cstheme="minorBidi"/>
        </w:rPr>
        <w:lastRenderedPageBreak/>
        <w:t>a</w:t>
      </w:r>
      <w:r w:rsidR="006D723B" w:rsidRPr="00483717">
        <w:rPr>
          <w:rFonts w:cstheme="minorBidi"/>
        </w:rPr>
        <w:t>re avoided in</w:t>
      </w:r>
      <w:r w:rsidR="00BC5615" w:rsidRPr="00483717">
        <w:rPr>
          <w:rFonts w:cstheme="minorBidi"/>
        </w:rPr>
        <w:t xml:space="preserve"> clinical</w:t>
      </w:r>
      <w:r w:rsidR="006D723B" w:rsidRPr="00483717">
        <w:rPr>
          <w:rFonts w:cstheme="minorBidi"/>
        </w:rPr>
        <w:t xml:space="preserve"> practice</w:t>
      </w:r>
      <w:r w:rsidR="00BC5615" w:rsidRPr="00483717">
        <w:rPr>
          <w:rFonts w:cstheme="minorBidi"/>
        </w:rPr>
        <w:t>.</w:t>
      </w:r>
      <w:r w:rsidR="00BC5615" w:rsidRPr="00483717">
        <w:rPr>
          <w:rFonts w:asciiTheme="minorHAnsi" w:hAnsiTheme="minorHAnsi"/>
          <w:snapToGrid w:val="0"/>
        </w:rPr>
        <w:t xml:space="preserve"> </w:t>
      </w:r>
    </w:p>
    <w:p w14:paraId="4F04CBB5" w14:textId="675D10B0" w:rsidR="002B12D0" w:rsidRPr="00483717" w:rsidRDefault="00483717" w:rsidP="007360EF">
      <w:pPr>
        <w:widowControl w:val="0"/>
        <w:numPr>
          <w:ilvl w:val="1"/>
          <w:numId w:val="4"/>
        </w:numPr>
        <w:spacing w:after="120"/>
        <w:rPr>
          <w:rFonts w:asciiTheme="minorHAnsi" w:hAnsiTheme="minorHAnsi"/>
          <w:snapToGrid w:val="0"/>
        </w:rPr>
      </w:pPr>
      <w:r w:rsidRPr="00483717">
        <w:rPr>
          <w:rFonts w:asciiTheme="minorHAnsi" w:hAnsiTheme="minorHAnsi"/>
          <w:snapToGrid w:val="0"/>
        </w:rPr>
        <w:t>Given the proposed restriction requires uncontrolled disease despite use of immunomodulatory therapy, s</w:t>
      </w:r>
      <w:r w:rsidR="002B12D0" w:rsidRPr="00483717">
        <w:rPr>
          <w:rFonts w:asciiTheme="minorHAnsi" w:hAnsiTheme="minorHAnsi"/>
          <w:snapToGrid w:val="0"/>
        </w:rPr>
        <w:t>ubgroup analyses of VISUAL I and II</w:t>
      </w:r>
      <w:r w:rsidR="00791CDE" w:rsidRPr="00483717">
        <w:rPr>
          <w:rFonts w:asciiTheme="minorHAnsi" w:hAnsiTheme="minorHAnsi"/>
          <w:snapToGrid w:val="0"/>
        </w:rPr>
        <w:t xml:space="preserve"> were presented based on</w:t>
      </w:r>
      <w:r w:rsidR="006D723B" w:rsidRPr="00483717">
        <w:rPr>
          <w:rFonts w:asciiTheme="minorHAnsi" w:hAnsiTheme="minorHAnsi"/>
          <w:snapToGrid w:val="0"/>
        </w:rPr>
        <w:t xml:space="preserve"> the</w:t>
      </w:r>
      <w:r w:rsidR="00791CDE" w:rsidRPr="00483717">
        <w:rPr>
          <w:rFonts w:asciiTheme="minorHAnsi" w:hAnsiTheme="minorHAnsi"/>
          <w:snapToGrid w:val="0"/>
        </w:rPr>
        <w:t xml:space="preserve"> use of </w:t>
      </w:r>
      <w:r w:rsidRPr="00483717">
        <w:rPr>
          <w:rFonts w:asciiTheme="minorHAnsi" w:hAnsiTheme="minorHAnsi"/>
          <w:snapToGrid w:val="0"/>
        </w:rPr>
        <w:t>these</w:t>
      </w:r>
      <w:r w:rsidR="00791CDE" w:rsidRPr="00483717">
        <w:rPr>
          <w:rFonts w:asciiTheme="minorHAnsi" w:hAnsiTheme="minorHAnsi"/>
          <w:snapToGrid w:val="0"/>
        </w:rPr>
        <w:t xml:space="preserve"> therap</w:t>
      </w:r>
      <w:r w:rsidR="00BA6FCE">
        <w:rPr>
          <w:rFonts w:asciiTheme="minorHAnsi" w:hAnsiTheme="minorHAnsi"/>
          <w:snapToGrid w:val="0"/>
        </w:rPr>
        <w:t>ies</w:t>
      </w:r>
      <w:r w:rsidR="00791CDE" w:rsidRPr="00483717">
        <w:rPr>
          <w:rFonts w:asciiTheme="minorHAnsi" w:hAnsiTheme="minorHAnsi"/>
          <w:snapToGrid w:val="0"/>
        </w:rPr>
        <w:t>.</w:t>
      </w:r>
      <w:r w:rsidR="002B12D0" w:rsidRPr="00483717">
        <w:rPr>
          <w:rFonts w:asciiTheme="minorHAnsi" w:hAnsiTheme="minorHAnsi"/>
          <w:snapToGrid w:val="0"/>
        </w:rPr>
        <w:t xml:space="preserve"> </w:t>
      </w:r>
      <w:r w:rsidR="00791CDE" w:rsidRPr="00483717">
        <w:rPr>
          <w:rFonts w:asciiTheme="minorHAnsi" w:hAnsiTheme="minorHAnsi"/>
          <w:snapToGrid w:val="0"/>
        </w:rPr>
        <w:t xml:space="preserve">The PBAC noted </w:t>
      </w:r>
      <w:r w:rsidR="002B12D0" w:rsidRPr="00483717">
        <w:rPr>
          <w:rFonts w:asciiTheme="minorHAnsi" w:hAnsiTheme="minorHAnsi"/>
          <w:snapToGrid w:val="0"/>
        </w:rPr>
        <w:t xml:space="preserve">that </w:t>
      </w:r>
      <w:r w:rsidRPr="00483717">
        <w:rPr>
          <w:rFonts w:asciiTheme="minorHAnsi" w:hAnsiTheme="minorHAnsi"/>
          <w:snapToGrid w:val="0"/>
        </w:rPr>
        <w:t xml:space="preserve">the </w:t>
      </w:r>
      <w:r w:rsidR="002B12D0" w:rsidRPr="00483717">
        <w:rPr>
          <w:rFonts w:asciiTheme="minorHAnsi" w:hAnsiTheme="minorHAnsi"/>
          <w:snapToGrid w:val="0"/>
        </w:rPr>
        <w:t>use of immunomodulatory therapy</w:t>
      </w:r>
      <w:r w:rsidR="0045218A">
        <w:rPr>
          <w:rFonts w:asciiTheme="minorHAnsi" w:hAnsiTheme="minorHAnsi"/>
          <w:snapToGrid w:val="0"/>
        </w:rPr>
        <w:t xml:space="preserve"> </w:t>
      </w:r>
      <w:r w:rsidR="002B12D0" w:rsidRPr="00483717">
        <w:rPr>
          <w:rFonts w:asciiTheme="minorHAnsi" w:hAnsiTheme="minorHAnsi"/>
          <w:snapToGrid w:val="0"/>
        </w:rPr>
        <w:t xml:space="preserve">did not </w:t>
      </w:r>
      <w:r w:rsidR="00791CDE" w:rsidRPr="00483717">
        <w:rPr>
          <w:rFonts w:asciiTheme="minorHAnsi" w:hAnsiTheme="minorHAnsi"/>
          <w:snapToGrid w:val="0"/>
        </w:rPr>
        <w:t>appear to</w:t>
      </w:r>
      <w:r w:rsidR="0045218A">
        <w:rPr>
          <w:rFonts w:asciiTheme="minorHAnsi" w:hAnsiTheme="minorHAnsi"/>
          <w:snapToGrid w:val="0"/>
        </w:rPr>
        <w:t xml:space="preserve"> greatly </w:t>
      </w:r>
      <w:r w:rsidR="002B12D0" w:rsidRPr="00483717">
        <w:rPr>
          <w:rFonts w:asciiTheme="minorHAnsi" w:hAnsiTheme="minorHAnsi"/>
          <w:snapToGrid w:val="0"/>
        </w:rPr>
        <w:t>impact on the efficacy of adalimumab.</w:t>
      </w:r>
    </w:p>
    <w:p w14:paraId="6F99BB3B" w14:textId="423D5BF1" w:rsidR="004E1613" w:rsidRDefault="00754D30" w:rsidP="005B3215">
      <w:pPr>
        <w:widowControl w:val="0"/>
        <w:numPr>
          <w:ilvl w:val="1"/>
          <w:numId w:val="4"/>
        </w:numPr>
        <w:spacing w:after="120"/>
        <w:rPr>
          <w:rFonts w:asciiTheme="minorHAnsi" w:hAnsiTheme="minorHAnsi"/>
          <w:snapToGrid w:val="0"/>
        </w:rPr>
      </w:pPr>
      <w:r w:rsidRPr="00483717">
        <w:rPr>
          <w:rFonts w:asciiTheme="minorHAnsi" w:hAnsiTheme="minorHAnsi"/>
          <w:snapToGrid w:val="0"/>
        </w:rPr>
        <w:t xml:space="preserve">The </w:t>
      </w:r>
      <w:r w:rsidR="009922A0" w:rsidRPr="00483717">
        <w:rPr>
          <w:rFonts w:asciiTheme="minorHAnsi" w:hAnsiTheme="minorHAnsi"/>
          <w:snapToGrid w:val="0"/>
        </w:rPr>
        <w:t>PBAC</w:t>
      </w:r>
      <w:r w:rsidRPr="00483717">
        <w:rPr>
          <w:rFonts w:asciiTheme="minorHAnsi" w:hAnsiTheme="minorHAnsi"/>
          <w:snapToGrid w:val="0"/>
        </w:rPr>
        <w:t xml:space="preserve"> noted in the SYCAMORE trial adalimumab resulted in a</w:t>
      </w:r>
      <w:r w:rsidR="009922A0" w:rsidRPr="00483717">
        <w:rPr>
          <w:rFonts w:asciiTheme="minorHAnsi" w:hAnsiTheme="minorHAnsi"/>
          <w:snapToGrid w:val="0"/>
        </w:rPr>
        <w:t>n</w:t>
      </w:r>
      <w:r w:rsidRPr="00483717">
        <w:rPr>
          <w:rFonts w:asciiTheme="minorHAnsi" w:hAnsiTheme="minorHAnsi"/>
          <w:snapToGrid w:val="0"/>
        </w:rPr>
        <w:t xml:space="preserve"> increase in the time to treatment failure (</w:t>
      </w:r>
      <w:r w:rsidR="0045218A">
        <w:rPr>
          <w:rFonts w:asciiTheme="minorHAnsi" w:hAnsiTheme="minorHAnsi"/>
          <w:snapToGrid w:val="0"/>
        </w:rPr>
        <w:fldChar w:fldCharType="begin" w:fldLock="1"/>
      </w:r>
      <w:r w:rsidR="0045218A">
        <w:rPr>
          <w:rFonts w:asciiTheme="minorHAnsi" w:hAnsiTheme="minorHAnsi"/>
          <w:snapToGrid w:val="0"/>
        </w:rPr>
        <w:instrText xml:space="preserve"> REF _Ref152346300 \h </w:instrText>
      </w:r>
      <w:r w:rsidR="0045218A">
        <w:rPr>
          <w:rFonts w:asciiTheme="minorHAnsi" w:hAnsiTheme="minorHAnsi"/>
          <w:snapToGrid w:val="0"/>
        </w:rPr>
      </w:r>
      <w:r w:rsidR="0045218A">
        <w:rPr>
          <w:rFonts w:asciiTheme="minorHAnsi" w:hAnsiTheme="minorHAnsi"/>
          <w:snapToGrid w:val="0"/>
        </w:rPr>
        <w:fldChar w:fldCharType="separate"/>
      </w:r>
      <w:r w:rsidR="0045218A" w:rsidRPr="00AD5A27">
        <w:t>Figure 4</w:t>
      </w:r>
      <w:r w:rsidR="0045218A">
        <w:rPr>
          <w:rFonts w:asciiTheme="minorHAnsi" w:hAnsiTheme="minorHAnsi"/>
          <w:snapToGrid w:val="0"/>
        </w:rPr>
        <w:fldChar w:fldCharType="end"/>
      </w:r>
      <w:r w:rsidR="0045218A">
        <w:rPr>
          <w:rFonts w:asciiTheme="minorHAnsi" w:hAnsiTheme="minorHAnsi"/>
          <w:snapToGrid w:val="0"/>
        </w:rPr>
        <w:t xml:space="preserve"> </w:t>
      </w:r>
      <w:r w:rsidRPr="00483717">
        <w:rPr>
          <w:rFonts w:asciiTheme="minorHAnsi" w:hAnsiTheme="minorHAnsi"/>
          <w:snapToGrid w:val="0"/>
        </w:rPr>
        <w:t xml:space="preserve">refers), </w:t>
      </w:r>
      <w:r w:rsidR="009922A0" w:rsidRPr="00483717">
        <w:rPr>
          <w:rFonts w:asciiTheme="minorHAnsi" w:hAnsiTheme="minorHAnsi"/>
          <w:snapToGrid w:val="0"/>
        </w:rPr>
        <w:t>t</w:t>
      </w:r>
      <w:r w:rsidRPr="00483717">
        <w:rPr>
          <w:rFonts w:asciiTheme="minorHAnsi" w:hAnsiTheme="minorHAnsi"/>
          <w:snapToGrid w:val="0"/>
        </w:rPr>
        <w:t>he</w:t>
      </w:r>
      <w:r>
        <w:rPr>
          <w:rFonts w:asciiTheme="minorHAnsi" w:hAnsiTheme="minorHAnsi"/>
          <w:snapToGrid w:val="0"/>
        </w:rPr>
        <w:t xml:space="preserve"> mean duration of sustained controlled disease (179 vs 15 days), proportion </w:t>
      </w:r>
      <w:r w:rsidR="006D723B">
        <w:rPr>
          <w:rFonts w:asciiTheme="minorHAnsi" w:hAnsiTheme="minorHAnsi"/>
          <w:snapToGrid w:val="0"/>
        </w:rPr>
        <w:t xml:space="preserve">of patients </w:t>
      </w:r>
      <w:r>
        <w:rPr>
          <w:rFonts w:asciiTheme="minorHAnsi" w:hAnsiTheme="minorHAnsi"/>
          <w:snapToGrid w:val="0"/>
        </w:rPr>
        <w:t xml:space="preserve">achieving disease control or remission (47% vs 3%) and </w:t>
      </w:r>
      <w:r w:rsidR="006D723B">
        <w:rPr>
          <w:rFonts w:asciiTheme="minorHAnsi" w:hAnsiTheme="minorHAnsi"/>
          <w:snapToGrid w:val="0"/>
        </w:rPr>
        <w:t xml:space="preserve">proportion of </w:t>
      </w:r>
      <w:r>
        <w:rPr>
          <w:rFonts w:asciiTheme="minorHAnsi" w:hAnsiTheme="minorHAnsi"/>
          <w:snapToGrid w:val="0"/>
        </w:rPr>
        <w:t xml:space="preserve">treatment responders (57% vs 17%).  </w:t>
      </w:r>
      <w:r w:rsidR="00391A34">
        <w:rPr>
          <w:rFonts w:asciiTheme="minorHAnsi" w:hAnsiTheme="minorHAnsi"/>
          <w:snapToGrid w:val="0"/>
        </w:rPr>
        <w:t>T</w:t>
      </w:r>
      <w:r w:rsidR="00391A34" w:rsidRPr="00AD5A27">
        <w:rPr>
          <w:rFonts w:asciiTheme="minorHAnsi" w:hAnsiTheme="minorHAnsi"/>
          <w:snapToGrid w:val="0"/>
        </w:rPr>
        <w:t xml:space="preserve">he PBAC </w:t>
      </w:r>
      <w:r w:rsidR="00391A34">
        <w:rPr>
          <w:rFonts w:asciiTheme="minorHAnsi" w:hAnsiTheme="minorHAnsi"/>
          <w:snapToGrid w:val="0"/>
        </w:rPr>
        <w:t>noted</w:t>
      </w:r>
      <w:r w:rsidR="00391A34" w:rsidRPr="00AD5A27">
        <w:rPr>
          <w:rFonts w:asciiTheme="minorHAnsi" w:hAnsiTheme="minorHAnsi"/>
          <w:snapToGrid w:val="0"/>
        </w:rPr>
        <w:t xml:space="preserve"> the intention-to-treat (ITT) analysis </w:t>
      </w:r>
      <w:r w:rsidR="00391A34">
        <w:rPr>
          <w:rFonts w:asciiTheme="minorHAnsi" w:hAnsiTheme="minorHAnsi"/>
          <w:snapToGrid w:val="0"/>
        </w:rPr>
        <w:t xml:space="preserve">of the </w:t>
      </w:r>
      <w:r w:rsidR="00391A34" w:rsidRPr="00AD5A27">
        <w:rPr>
          <w:rFonts w:asciiTheme="minorHAnsi" w:hAnsiTheme="minorHAnsi"/>
          <w:snapToGrid w:val="0"/>
        </w:rPr>
        <w:t xml:space="preserve">ADJUVITE trial </w:t>
      </w:r>
      <w:r w:rsidR="00391A34">
        <w:rPr>
          <w:rFonts w:asciiTheme="minorHAnsi" w:hAnsiTheme="minorHAnsi"/>
          <w:snapToGrid w:val="0"/>
        </w:rPr>
        <w:t>showed</w:t>
      </w:r>
      <w:r w:rsidR="00391A34" w:rsidRPr="00AD5A27">
        <w:rPr>
          <w:rFonts w:asciiTheme="minorHAnsi" w:hAnsiTheme="minorHAnsi"/>
          <w:snapToGrid w:val="0"/>
        </w:rPr>
        <w:t xml:space="preserve"> that at month 2, 56.25% </w:t>
      </w:r>
      <w:r w:rsidR="006D723B">
        <w:rPr>
          <w:rFonts w:asciiTheme="minorHAnsi" w:hAnsiTheme="minorHAnsi"/>
          <w:snapToGrid w:val="0"/>
        </w:rPr>
        <w:t>(</w:t>
      </w:r>
      <w:r w:rsidR="00483717">
        <w:rPr>
          <w:rFonts w:asciiTheme="minorHAnsi" w:hAnsiTheme="minorHAnsi"/>
          <w:snapToGrid w:val="0"/>
        </w:rPr>
        <w:t>9/16</w:t>
      </w:r>
      <w:r w:rsidR="006D723B">
        <w:rPr>
          <w:rFonts w:asciiTheme="minorHAnsi" w:hAnsiTheme="minorHAnsi"/>
          <w:snapToGrid w:val="0"/>
        </w:rPr>
        <w:t xml:space="preserve">) </w:t>
      </w:r>
      <w:r w:rsidR="00391A34" w:rsidRPr="00AD5A27">
        <w:rPr>
          <w:rFonts w:asciiTheme="minorHAnsi" w:hAnsiTheme="minorHAnsi"/>
          <w:snapToGrid w:val="0"/>
        </w:rPr>
        <w:t xml:space="preserve">of patients in the adalimumab arm were responding, compared to 20% </w:t>
      </w:r>
      <w:r w:rsidR="006D723B">
        <w:rPr>
          <w:rFonts w:asciiTheme="minorHAnsi" w:hAnsiTheme="minorHAnsi"/>
          <w:snapToGrid w:val="0"/>
        </w:rPr>
        <w:t>(</w:t>
      </w:r>
      <w:r w:rsidR="00483717">
        <w:rPr>
          <w:rFonts w:asciiTheme="minorHAnsi" w:hAnsiTheme="minorHAnsi"/>
          <w:snapToGrid w:val="0"/>
        </w:rPr>
        <w:t>3/15</w:t>
      </w:r>
      <w:r w:rsidR="006D723B">
        <w:rPr>
          <w:rFonts w:asciiTheme="minorHAnsi" w:hAnsiTheme="minorHAnsi"/>
          <w:snapToGrid w:val="0"/>
        </w:rPr>
        <w:t xml:space="preserve">) </w:t>
      </w:r>
      <w:r w:rsidR="00391A34" w:rsidRPr="00AD5A27">
        <w:rPr>
          <w:rFonts w:asciiTheme="minorHAnsi" w:hAnsiTheme="minorHAnsi"/>
          <w:snapToGrid w:val="0"/>
        </w:rPr>
        <w:t>in the placebo arm.</w:t>
      </w:r>
    </w:p>
    <w:p w14:paraId="1B6F53D8" w14:textId="764409C3" w:rsidR="00F61BEC" w:rsidRPr="00AD5A27" w:rsidRDefault="00BC5615" w:rsidP="00BC5615">
      <w:pPr>
        <w:widowControl w:val="0"/>
        <w:numPr>
          <w:ilvl w:val="1"/>
          <w:numId w:val="4"/>
        </w:numPr>
        <w:spacing w:after="120"/>
        <w:rPr>
          <w:rFonts w:asciiTheme="minorHAnsi" w:hAnsiTheme="minorHAnsi"/>
          <w:snapToGrid w:val="0"/>
          <w:szCs w:val="20"/>
        </w:rPr>
      </w:pPr>
      <w:bookmarkStart w:id="92" w:name="_Ref163056519"/>
      <w:r>
        <w:rPr>
          <w:rFonts w:asciiTheme="minorHAnsi" w:hAnsiTheme="minorHAnsi"/>
          <w:iCs/>
          <w:snapToGrid w:val="0"/>
        </w:rPr>
        <w:t>Overall, t</w:t>
      </w:r>
      <w:r w:rsidR="00F61BEC" w:rsidRPr="00AD5A27">
        <w:rPr>
          <w:rFonts w:asciiTheme="minorHAnsi" w:hAnsiTheme="minorHAnsi"/>
          <w:iCs/>
          <w:snapToGrid w:val="0"/>
        </w:rPr>
        <w:t>he</w:t>
      </w:r>
      <w:r w:rsidR="00F61BEC" w:rsidRPr="00AD5A27">
        <w:rPr>
          <w:rFonts w:asciiTheme="minorHAnsi" w:hAnsiTheme="minorHAnsi"/>
          <w:snapToGrid w:val="0"/>
          <w:szCs w:val="20"/>
        </w:rPr>
        <w:t xml:space="preserve"> PBAC considered</w:t>
      </w:r>
      <w:r w:rsidR="00A479A9">
        <w:rPr>
          <w:rFonts w:asciiTheme="minorHAnsi" w:hAnsiTheme="minorHAnsi"/>
          <w:snapToGrid w:val="0"/>
          <w:szCs w:val="20"/>
        </w:rPr>
        <w:t xml:space="preserve"> that</w:t>
      </w:r>
      <w:r w:rsidR="00F61BEC" w:rsidRPr="00AD5A27">
        <w:rPr>
          <w:rFonts w:asciiTheme="minorHAnsi" w:hAnsiTheme="minorHAnsi"/>
          <w:snapToGrid w:val="0"/>
          <w:szCs w:val="20"/>
        </w:rPr>
        <w:t xml:space="preserve"> </w:t>
      </w:r>
      <w:r>
        <w:rPr>
          <w:rFonts w:asciiTheme="minorHAnsi" w:hAnsiTheme="minorHAnsi"/>
          <w:snapToGrid w:val="0"/>
          <w:szCs w:val="20"/>
        </w:rPr>
        <w:t xml:space="preserve">the magnitude of benefit of adalimumab over BSC </w:t>
      </w:r>
      <w:r w:rsidR="00985E2C">
        <w:rPr>
          <w:rFonts w:asciiTheme="minorHAnsi" w:hAnsiTheme="minorHAnsi"/>
          <w:snapToGrid w:val="0"/>
          <w:szCs w:val="20"/>
        </w:rPr>
        <w:t xml:space="preserve">in terms of </w:t>
      </w:r>
      <w:r w:rsidR="00483717">
        <w:rPr>
          <w:rFonts w:asciiTheme="minorHAnsi" w:hAnsiTheme="minorHAnsi"/>
          <w:snapToGrid w:val="0"/>
          <w:szCs w:val="20"/>
        </w:rPr>
        <w:t xml:space="preserve">uveitis </w:t>
      </w:r>
      <w:r w:rsidR="00985E2C">
        <w:rPr>
          <w:rFonts w:asciiTheme="minorHAnsi" w:hAnsiTheme="minorHAnsi"/>
          <w:snapToGrid w:val="0"/>
          <w:szCs w:val="20"/>
        </w:rPr>
        <w:t xml:space="preserve">flares </w:t>
      </w:r>
      <w:r>
        <w:rPr>
          <w:rFonts w:asciiTheme="minorHAnsi" w:hAnsiTheme="minorHAnsi"/>
          <w:snapToGrid w:val="0"/>
          <w:szCs w:val="20"/>
        </w:rPr>
        <w:t xml:space="preserve">was difficult to quantify due to </w:t>
      </w:r>
      <w:r w:rsidR="00F61BEC" w:rsidRPr="00AD5A27">
        <w:rPr>
          <w:rFonts w:asciiTheme="minorHAnsi" w:hAnsiTheme="minorHAnsi"/>
          <w:snapToGrid w:val="0"/>
          <w:szCs w:val="20"/>
        </w:rPr>
        <w:t xml:space="preserve">the design of the </w:t>
      </w:r>
      <w:r>
        <w:rPr>
          <w:rFonts w:asciiTheme="minorHAnsi" w:hAnsiTheme="minorHAnsi"/>
          <w:snapToGrid w:val="0"/>
          <w:szCs w:val="20"/>
        </w:rPr>
        <w:t xml:space="preserve">pivotal </w:t>
      </w:r>
      <w:r w:rsidR="00F61BEC" w:rsidRPr="00AD5A27">
        <w:rPr>
          <w:rFonts w:asciiTheme="minorHAnsi" w:hAnsiTheme="minorHAnsi"/>
          <w:snapToGrid w:val="0"/>
          <w:szCs w:val="20"/>
        </w:rPr>
        <w:t xml:space="preserve">trials </w:t>
      </w:r>
      <w:r>
        <w:rPr>
          <w:rFonts w:asciiTheme="minorHAnsi" w:hAnsiTheme="minorHAnsi"/>
          <w:snapToGrid w:val="0"/>
          <w:szCs w:val="20"/>
        </w:rPr>
        <w:t xml:space="preserve">which </w:t>
      </w:r>
      <w:r w:rsidR="00F61BEC" w:rsidRPr="00AD5A27">
        <w:rPr>
          <w:rFonts w:asciiTheme="minorHAnsi" w:hAnsiTheme="minorHAnsi"/>
          <w:snapToGrid w:val="0"/>
          <w:szCs w:val="20"/>
        </w:rPr>
        <w:t>precluded a comparison with OCS</w:t>
      </w:r>
      <w:r w:rsidR="00985E2C">
        <w:rPr>
          <w:rFonts w:asciiTheme="minorHAnsi" w:hAnsiTheme="minorHAnsi"/>
          <w:snapToGrid w:val="0"/>
          <w:szCs w:val="20"/>
        </w:rPr>
        <w:t>,</w:t>
      </w:r>
      <w:r w:rsidR="00F61BEC" w:rsidRPr="00AD5A27">
        <w:rPr>
          <w:rFonts w:asciiTheme="minorHAnsi" w:hAnsiTheme="minorHAnsi"/>
          <w:snapToGrid w:val="0"/>
          <w:szCs w:val="20"/>
        </w:rPr>
        <w:t xml:space="preserve"> </w:t>
      </w:r>
      <w:r>
        <w:rPr>
          <w:rFonts w:asciiTheme="minorHAnsi" w:hAnsiTheme="minorHAnsi"/>
          <w:snapToGrid w:val="0"/>
          <w:szCs w:val="20"/>
        </w:rPr>
        <w:t xml:space="preserve">and </w:t>
      </w:r>
      <w:r w:rsidR="00A479A9">
        <w:rPr>
          <w:rFonts w:asciiTheme="minorHAnsi" w:hAnsiTheme="minorHAnsi"/>
          <w:snapToGrid w:val="0"/>
          <w:szCs w:val="20"/>
        </w:rPr>
        <w:t xml:space="preserve">that </w:t>
      </w:r>
      <w:r>
        <w:rPr>
          <w:rFonts w:asciiTheme="minorHAnsi" w:hAnsiTheme="minorHAnsi"/>
          <w:snapToGrid w:val="0"/>
          <w:szCs w:val="20"/>
        </w:rPr>
        <w:t xml:space="preserve">the </w:t>
      </w:r>
      <w:r w:rsidR="006D723B">
        <w:rPr>
          <w:rFonts w:asciiTheme="minorHAnsi" w:hAnsiTheme="minorHAnsi"/>
          <w:snapToGrid w:val="0"/>
          <w:szCs w:val="20"/>
        </w:rPr>
        <w:t xml:space="preserve">benefit in terms of ocular complications could not be directly assessed due to the </w:t>
      </w:r>
      <w:r>
        <w:rPr>
          <w:rFonts w:asciiTheme="minorHAnsi" w:hAnsiTheme="minorHAnsi"/>
          <w:snapToGrid w:val="0"/>
          <w:szCs w:val="20"/>
        </w:rPr>
        <w:t>lack of long term comparative data</w:t>
      </w:r>
      <w:r w:rsidR="00791CDE">
        <w:rPr>
          <w:rFonts w:asciiTheme="minorHAnsi" w:hAnsiTheme="minorHAnsi"/>
          <w:snapToGrid w:val="0"/>
          <w:szCs w:val="20"/>
        </w:rPr>
        <w:t>.</w:t>
      </w:r>
      <w:r>
        <w:rPr>
          <w:rFonts w:asciiTheme="minorHAnsi" w:hAnsiTheme="minorHAnsi"/>
          <w:snapToGrid w:val="0"/>
          <w:szCs w:val="20"/>
        </w:rPr>
        <w:t xml:space="preserve"> </w:t>
      </w:r>
      <w:r w:rsidR="00791CDE">
        <w:rPr>
          <w:rFonts w:asciiTheme="minorHAnsi" w:hAnsiTheme="minorHAnsi"/>
          <w:snapToGrid w:val="0"/>
          <w:szCs w:val="20"/>
        </w:rPr>
        <w:t>H</w:t>
      </w:r>
      <w:r>
        <w:rPr>
          <w:rFonts w:asciiTheme="minorHAnsi" w:hAnsiTheme="minorHAnsi"/>
          <w:snapToGrid w:val="0"/>
          <w:szCs w:val="20"/>
        </w:rPr>
        <w:t>owever</w:t>
      </w:r>
      <w:r w:rsidR="00791CDE">
        <w:rPr>
          <w:rFonts w:asciiTheme="minorHAnsi" w:hAnsiTheme="minorHAnsi"/>
          <w:snapToGrid w:val="0"/>
          <w:szCs w:val="20"/>
        </w:rPr>
        <w:t>, the Committee</w:t>
      </w:r>
      <w:r>
        <w:rPr>
          <w:rFonts w:asciiTheme="minorHAnsi" w:hAnsiTheme="minorHAnsi"/>
          <w:snapToGrid w:val="0"/>
          <w:szCs w:val="20"/>
        </w:rPr>
        <w:t xml:space="preserve"> considered t</w:t>
      </w:r>
      <w:r w:rsidR="00F61BEC" w:rsidRPr="00AD5A27">
        <w:rPr>
          <w:rFonts w:asciiTheme="minorHAnsi" w:hAnsiTheme="minorHAnsi"/>
          <w:snapToGrid w:val="0"/>
          <w:szCs w:val="20"/>
        </w:rPr>
        <w:t xml:space="preserve">he claim </w:t>
      </w:r>
      <w:r>
        <w:rPr>
          <w:rFonts w:asciiTheme="minorHAnsi" w:hAnsiTheme="minorHAnsi"/>
          <w:snapToGrid w:val="0"/>
          <w:szCs w:val="20"/>
        </w:rPr>
        <w:t xml:space="preserve">of superior efficacy </w:t>
      </w:r>
      <w:r w:rsidR="00985E2C">
        <w:rPr>
          <w:rFonts w:asciiTheme="minorHAnsi" w:hAnsiTheme="minorHAnsi"/>
          <w:snapToGrid w:val="0"/>
          <w:szCs w:val="20"/>
        </w:rPr>
        <w:t xml:space="preserve">of adalimumab over placebo </w:t>
      </w:r>
      <w:r w:rsidR="00F61BEC" w:rsidRPr="00AD5A27">
        <w:rPr>
          <w:rFonts w:asciiTheme="minorHAnsi" w:hAnsiTheme="minorHAnsi"/>
          <w:snapToGrid w:val="0"/>
          <w:szCs w:val="20"/>
        </w:rPr>
        <w:t>was supported.</w:t>
      </w:r>
      <w:bookmarkEnd w:id="92"/>
      <w:r w:rsidR="00A55455" w:rsidRPr="00A55455">
        <w:rPr>
          <w:rFonts w:asciiTheme="minorHAnsi" w:hAnsiTheme="minorHAnsi"/>
          <w:snapToGrid w:val="0"/>
        </w:rPr>
        <w:t xml:space="preserve"> </w:t>
      </w:r>
    </w:p>
    <w:p w14:paraId="3440FAF0" w14:textId="77777777" w:rsidR="003D7E83" w:rsidRDefault="00CA07F5" w:rsidP="005B3215">
      <w:pPr>
        <w:widowControl w:val="0"/>
        <w:numPr>
          <w:ilvl w:val="1"/>
          <w:numId w:val="4"/>
        </w:numPr>
        <w:spacing w:after="120"/>
        <w:rPr>
          <w:rFonts w:asciiTheme="minorHAnsi" w:hAnsiTheme="minorHAnsi"/>
          <w:snapToGrid w:val="0"/>
        </w:rPr>
      </w:pPr>
      <w:r w:rsidRPr="00982ACC">
        <w:rPr>
          <w:rFonts w:asciiTheme="minorHAnsi" w:hAnsiTheme="minorHAnsi"/>
          <w:snapToGrid w:val="0"/>
        </w:rPr>
        <w:t xml:space="preserve">The PBAC recalled its previous view in </w:t>
      </w:r>
      <w:r w:rsidR="00A55455" w:rsidRPr="00982ACC">
        <w:rPr>
          <w:rFonts w:asciiTheme="minorHAnsi" w:hAnsiTheme="minorHAnsi"/>
          <w:snapToGrid w:val="0"/>
        </w:rPr>
        <w:t xml:space="preserve">March </w:t>
      </w:r>
      <w:r w:rsidRPr="00982ACC">
        <w:rPr>
          <w:rFonts w:asciiTheme="minorHAnsi" w:hAnsiTheme="minorHAnsi"/>
          <w:snapToGrid w:val="0"/>
        </w:rPr>
        <w:t xml:space="preserve">2017 that adalimumab and corticosteroids have different safety profiles, and noted the key clinical evidence was largely the same in the current submission, which indicated adalimumab is likely to have an inferior safety profile to placebo. </w:t>
      </w:r>
      <w:r w:rsidR="00A55455" w:rsidRPr="00982ACC">
        <w:rPr>
          <w:rFonts w:asciiTheme="minorHAnsi" w:hAnsiTheme="minorHAnsi"/>
          <w:snapToGrid w:val="0"/>
        </w:rPr>
        <w:t>However</w:t>
      </w:r>
      <w:r w:rsidRPr="00982ACC">
        <w:rPr>
          <w:rFonts w:asciiTheme="minorHAnsi" w:hAnsiTheme="minorHAnsi"/>
          <w:snapToGrid w:val="0"/>
        </w:rPr>
        <w:t xml:space="preserve">, the Committee acknowledged that </w:t>
      </w:r>
      <w:r w:rsidR="00A55455" w:rsidRPr="00982ACC">
        <w:rPr>
          <w:rFonts w:asciiTheme="minorHAnsi" w:hAnsiTheme="minorHAnsi"/>
          <w:snapToGrid w:val="0"/>
        </w:rPr>
        <w:t>long-term</w:t>
      </w:r>
      <w:r w:rsidRPr="00982ACC">
        <w:rPr>
          <w:rFonts w:asciiTheme="minorHAnsi" w:hAnsiTheme="minorHAnsi"/>
          <w:snapToGrid w:val="0"/>
        </w:rPr>
        <w:t xml:space="preserve"> use </w:t>
      </w:r>
      <w:r w:rsidR="00A55455" w:rsidRPr="00982ACC">
        <w:rPr>
          <w:rFonts w:asciiTheme="minorHAnsi" w:hAnsiTheme="minorHAnsi"/>
          <w:snapToGrid w:val="0"/>
        </w:rPr>
        <w:t xml:space="preserve">of </w:t>
      </w:r>
      <w:r w:rsidRPr="00982ACC">
        <w:rPr>
          <w:rFonts w:asciiTheme="minorHAnsi" w:hAnsiTheme="minorHAnsi"/>
          <w:snapToGrid w:val="0"/>
        </w:rPr>
        <w:t>high dose corticosteroids</w:t>
      </w:r>
      <w:r w:rsidR="00A55455" w:rsidRPr="00982ACC">
        <w:rPr>
          <w:rFonts w:asciiTheme="minorHAnsi" w:hAnsiTheme="minorHAnsi"/>
          <w:snapToGrid w:val="0"/>
        </w:rPr>
        <w:t xml:space="preserve"> is associated with significant morbidity</w:t>
      </w:r>
      <w:r w:rsidRPr="00982ACC">
        <w:rPr>
          <w:rFonts w:asciiTheme="minorHAnsi" w:hAnsiTheme="minorHAnsi"/>
          <w:snapToGrid w:val="0"/>
        </w:rPr>
        <w:t xml:space="preserve"> and </w:t>
      </w:r>
      <w:r w:rsidR="00A55455" w:rsidRPr="00982ACC">
        <w:rPr>
          <w:rFonts w:asciiTheme="minorHAnsi" w:hAnsiTheme="minorHAnsi"/>
          <w:snapToGrid w:val="0"/>
        </w:rPr>
        <w:t>this was not captured in the short-term</w:t>
      </w:r>
      <w:r w:rsidR="00A55455" w:rsidRPr="006D723B">
        <w:rPr>
          <w:rFonts w:asciiTheme="minorHAnsi" w:hAnsiTheme="minorHAnsi"/>
          <w:snapToGrid w:val="0"/>
        </w:rPr>
        <w:t xml:space="preserve"> comparative trials </w:t>
      </w:r>
      <w:r w:rsidR="006D723B">
        <w:rPr>
          <w:rFonts w:asciiTheme="minorHAnsi" w:hAnsiTheme="minorHAnsi"/>
          <w:snapToGrid w:val="0"/>
        </w:rPr>
        <w:t>which mandated a reduction in the corticosteroid dose</w:t>
      </w:r>
      <w:r w:rsidR="00A55455" w:rsidRPr="006D723B">
        <w:rPr>
          <w:rFonts w:asciiTheme="minorHAnsi" w:hAnsiTheme="minorHAnsi"/>
          <w:snapToGrid w:val="0"/>
        </w:rPr>
        <w:t xml:space="preserve">. </w:t>
      </w:r>
    </w:p>
    <w:p w14:paraId="6EA6D6EE" w14:textId="45B5034E" w:rsidR="007110BA" w:rsidRDefault="00D718FC" w:rsidP="005B3215">
      <w:pPr>
        <w:widowControl w:val="0"/>
        <w:numPr>
          <w:ilvl w:val="1"/>
          <w:numId w:val="4"/>
        </w:numPr>
        <w:spacing w:after="120"/>
        <w:rPr>
          <w:rFonts w:asciiTheme="minorHAnsi" w:hAnsiTheme="minorHAnsi"/>
          <w:snapToGrid w:val="0"/>
        </w:rPr>
      </w:pPr>
      <w:r w:rsidRPr="003C50A8">
        <w:rPr>
          <w:rFonts w:asciiTheme="minorHAnsi" w:hAnsiTheme="minorHAnsi"/>
          <w:snapToGrid w:val="0"/>
        </w:rPr>
        <w:t xml:space="preserve">The PBAC noted the structure of the economic model </w:t>
      </w:r>
      <w:r w:rsidR="003C50A8" w:rsidRPr="003C50A8">
        <w:rPr>
          <w:rFonts w:asciiTheme="minorHAnsi" w:hAnsiTheme="minorHAnsi"/>
          <w:snapToGrid w:val="0"/>
        </w:rPr>
        <w:t xml:space="preserve">was similar to that considered in </w:t>
      </w:r>
      <w:r w:rsidR="00A55455" w:rsidRPr="003C50A8">
        <w:rPr>
          <w:rFonts w:asciiTheme="minorHAnsi" w:hAnsiTheme="minorHAnsi"/>
          <w:snapToGrid w:val="0"/>
        </w:rPr>
        <w:t xml:space="preserve">March </w:t>
      </w:r>
      <w:r w:rsidRPr="003C50A8">
        <w:rPr>
          <w:rFonts w:asciiTheme="minorHAnsi" w:hAnsiTheme="minorHAnsi"/>
          <w:snapToGrid w:val="0"/>
        </w:rPr>
        <w:t>2017</w:t>
      </w:r>
      <w:r w:rsidR="00D02D05" w:rsidRPr="003C50A8">
        <w:rPr>
          <w:rFonts w:asciiTheme="minorHAnsi" w:hAnsiTheme="minorHAnsi"/>
          <w:snapToGrid w:val="0"/>
        </w:rPr>
        <w:t>,</w:t>
      </w:r>
      <w:r w:rsidR="00326D69" w:rsidRPr="003C50A8">
        <w:rPr>
          <w:rFonts w:asciiTheme="minorHAnsi" w:hAnsiTheme="minorHAnsi"/>
          <w:snapToGrid w:val="0"/>
        </w:rPr>
        <w:t xml:space="preserve"> </w:t>
      </w:r>
      <w:r w:rsidR="003C50A8" w:rsidRPr="003C50A8">
        <w:rPr>
          <w:rFonts w:asciiTheme="minorHAnsi" w:hAnsiTheme="minorHAnsi"/>
          <w:snapToGrid w:val="0"/>
        </w:rPr>
        <w:t>with</w:t>
      </w:r>
      <w:r w:rsidR="00326D69" w:rsidRPr="003C50A8">
        <w:rPr>
          <w:rFonts w:asciiTheme="minorHAnsi" w:hAnsiTheme="minorHAnsi"/>
          <w:snapToGrid w:val="0"/>
        </w:rPr>
        <w:t xml:space="preserve"> some of the changes </w:t>
      </w:r>
      <w:r w:rsidR="00D02D05" w:rsidRPr="003C50A8">
        <w:rPr>
          <w:rFonts w:asciiTheme="minorHAnsi" w:hAnsiTheme="minorHAnsi"/>
          <w:snapToGrid w:val="0"/>
        </w:rPr>
        <w:t xml:space="preserve">previously </w:t>
      </w:r>
      <w:r w:rsidR="00326D69" w:rsidRPr="003C50A8">
        <w:rPr>
          <w:rFonts w:asciiTheme="minorHAnsi" w:hAnsiTheme="minorHAnsi"/>
          <w:snapToGrid w:val="0"/>
        </w:rPr>
        <w:t xml:space="preserve">requested by the PBAC </w:t>
      </w:r>
      <w:r w:rsidR="003C50A8" w:rsidRPr="003C50A8">
        <w:rPr>
          <w:rFonts w:asciiTheme="minorHAnsi" w:hAnsiTheme="minorHAnsi"/>
          <w:snapToGrid w:val="0"/>
        </w:rPr>
        <w:t>implemented.</w:t>
      </w:r>
      <w:r w:rsidR="00272D94">
        <w:rPr>
          <w:rFonts w:asciiTheme="minorHAnsi" w:hAnsiTheme="minorHAnsi"/>
          <w:snapToGrid w:val="0"/>
        </w:rPr>
        <w:t xml:space="preserve"> The key model drivers </w:t>
      </w:r>
      <w:r w:rsidR="008F21EA">
        <w:rPr>
          <w:rFonts w:asciiTheme="minorHAnsi" w:hAnsiTheme="minorHAnsi"/>
          <w:snapToGrid w:val="0"/>
        </w:rPr>
        <w:t xml:space="preserve">related to the efficacy of adalimumab in reducing </w:t>
      </w:r>
      <w:r w:rsidR="00272D94">
        <w:rPr>
          <w:rFonts w:asciiTheme="minorHAnsi" w:hAnsiTheme="minorHAnsi"/>
          <w:snapToGrid w:val="0"/>
        </w:rPr>
        <w:t xml:space="preserve">flares and </w:t>
      </w:r>
      <w:r w:rsidR="008F21EA">
        <w:rPr>
          <w:rFonts w:asciiTheme="minorHAnsi" w:hAnsiTheme="minorHAnsi"/>
          <w:snapToGrid w:val="0"/>
        </w:rPr>
        <w:t>subsequentl</w:t>
      </w:r>
      <w:r w:rsidR="00FB07C4">
        <w:rPr>
          <w:rFonts w:asciiTheme="minorHAnsi" w:hAnsiTheme="minorHAnsi"/>
          <w:snapToGrid w:val="0"/>
        </w:rPr>
        <w:t>y</w:t>
      </w:r>
      <w:r w:rsidR="00272D94">
        <w:rPr>
          <w:rFonts w:asciiTheme="minorHAnsi" w:hAnsiTheme="minorHAnsi"/>
          <w:snapToGrid w:val="0"/>
        </w:rPr>
        <w:t xml:space="preserve"> ocular complications</w:t>
      </w:r>
      <w:r w:rsidR="00272D94" w:rsidRPr="007110BA">
        <w:rPr>
          <w:rFonts w:asciiTheme="minorHAnsi" w:hAnsiTheme="minorHAnsi"/>
          <w:snapToGrid w:val="0"/>
        </w:rPr>
        <w:t>.</w:t>
      </w:r>
      <w:r w:rsidR="00272D94">
        <w:rPr>
          <w:rFonts w:asciiTheme="minorHAnsi" w:hAnsiTheme="minorHAnsi"/>
          <w:snapToGrid w:val="0"/>
        </w:rPr>
        <w:t xml:space="preserve"> The PBAC noted the estimates for both of these inputs were uncertain and that the uncertainty was magnified with a long</w:t>
      </w:r>
      <w:r w:rsidR="00910684">
        <w:rPr>
          <w:rFonts w:asciiTheme="minorHAnsi" w:hAnsiTheme="minorHAnsi"/>
          <w:snapToGrid w:val="0"/>
        </w:rPr>
        <w:t>er</w:t>
      </w:r>
      <w:r w:rsidR="00272D94">
        <w:rPr>
          <w:rFonts w:asciiTheme="minorHAnsi" w:hAnsiTheme="minorHAnsi"/>
          <w:snapToGrid w:val="0"/>
        </w:rPr>
        <w:t xml:space="preserve"> time horizon. The ICER</w:t>
      </w:r>
      <w:r w:rsidR="00D8322F">
        <w:rPr>
          <w:rFonts w:asciiTheme="minorHAnsi" w:hAnsiTheme="minorHAnsi"/>
          <w:snapToGrid w:val="0"/>
        </w:rPr>
        <w:t>,</w:t>
      </w:r>
      <w:r w:rsidR="00272D94">
        <w:rPr>
          <w:rFonts w:asciiTheme="minorHAnsi" w:hAnsiTheme="minorHAnsi"/>
          <w:snapToGrid w:val="0"/>
        </w:rPr>
        <w:t xml:space="preserve"> after correcting the probability of glaucoma (to</w:t>
      </w:r>
      <w:r w:rsidR="00910684">
        <w:rPr>
          <w:rFonts w:asciiTheme="minorHAnsi" w:hAnsiTheme="minorHAnsi"/>
          <w:snapToGrid w:val="0"/>
        </w:rPr>
        <w:t xml:space="preserve"> 0.0044 </w:t>
      </w:r>
      <w:r w:rsidR="00910684" w:rsidRPr="00982ACC">
        <w:rPr>
          <w:rFonts w:asciiTheme="minorHAnsi" w:hAnsiTheme="minorHAnsi"/>
          <w:snapToGrid w:val="0"/>
        </w:rPr>
        <w:t xml:space="preserve">per </w:t>
      </w:r>
      <w:r w:rsidR="006E328E">
        <w:rPr>
          <w:rFonts w:asciiTheme="minorHAnsi" w:hAnsiTheme="minorHAnsi"/>
          <w:snapToGrid w:val="0"/>
        </w:rPr>
        <w:t>month</w:t>
      </w:r>
      <w:r w:rsidR="00910684" w:rsidRPr="00982ACC">
        <w:rPr>
          <w:rFonts w:asciiTheme="minorHAnsi" w:hAnsiTheme="minorHAnsi"/>
          <w:snapToGrid w:val="0"/>
        </w:rPr>
        <w:t>)</w:t>
      </w:r>
      <w:r w:rsidR="00272D94" w:rsidRPr="00982ACC">
        <w:rPr>
          <w:rFonts w:asciiTheme="minorHAnsi" w:hAnsiTheme="minorHAnsi"/>
          <w:snapToGrid w:val="0"/>
        </w:rPr>
        <w:t xml:space="preserve"> </w:t>
      </w:r>
      <w:r w:rsidR="00910684" w:rsidRPr="00982ACC">
        <w:rPr>
          <w:rFonts w:asciiTheme="minorHAnsi" w:hAnsiTheme="minorHAnsi"/>
          <w:snapToGrid w:val="0"/>
        </w:rPr>
        <w:t>and using the adalimumab price as confirmed in the pre-PBAC resp</w:t>
      </w:r>
      <w:r w:rsidR="00910684">
        <w:rPr>
          <w:rFonts w:asciiTheme="minorHAnsi" w:hAnsiTheme="minorHAnsi"/>
          <w:snapToGrid w:val="0"/>
        </w:rPr>
        <w:t>onse (</w:t>
      </w:r>
      <w:r w:rsidR="00A30810" w:rsidRPr="00AD5A27">
        <w:t>1</w:t>
      </w:r>
      <w:r w:rsidR="00A30810">
        <w:t> </w:t>
      </w:r>
      <w:r w:rsidR="00910684" w:rsidRPr="00AD5A27">
        <w:t xml:space="preserve">April 2024 </w:t>
      </w:r>
      <w:r w:rsidR="007A15B6">
        <w:t>AEMP $</w:t>
      </w:r>
      <w:r w:rsidR="007A15B6" w:rsidRPr="004113CC">
        <w:t>505.95 [</w:t>
      </w:r>
      <w:r w:rsidR="006E328E" w:rsidRPr="004113CC">
        <w:t>DPMQ</w:t>
      </w:r>
      <w:r w:rsidR="00910684" w:rsidRPr="004113CC">
        <w:t xml:space="preserve"> $</w:t>
      </w:r>
      <w:r w:rsidR="006E328E" w:rsidRPr="004113CC">
        <w:t>579.19</w:t>
      </w:r>
      <w:r w:rsidR="007A15B6">
        <w:t>]</w:t>
      </w:r>
      <w:r w:rsidR="00910684" w:rsidRPr="00AD5A27">
        <w:t xml:space="preserve"> for the 2 x 40 mg injection form</w:t>
      </w:r>
      <w:r w:rsidR="00910684">
        <w:t>)</w:t>
      </w:r>
      <w:r w:rsidR="00D8322F">
        <w:t>,</w:t>
      </w:r>
      <w:r w:rsidR="00910684">
        <w:t xml:space="preserve"> was </w:t>
      </w:r>
      <w:r w:rsidR="00910684" w:rsidRPr="00AD5A27">
        <w:rPr>
          <w:rFonts w:asciiTheme="minorHAnsi" w:hAnsiTheme="minorHAnsi"/>
          <w:snapToGrid w:val="0"/>
        </w:rPr>
        <w:t>$</w:t>
      </w:r>
      <w:r w:rsidR="00D06FEC" w:rsidRPr="00D06FEC">
        <w:rPr>
          <w:rFonts w:asciiTheme="minorHAnsi" w:hAnsiTheme="minorHAnsi"/>
          <w:snapToGrid w:val="0"/>
        </w:rPr>
        <w:t>35,000</w:t>
      </w:r>
      <w:r w:rsidR="00647353">
        <w:rPr>
          <w:rFonts w:asciiTheme="minorHAnsi" w:hAnsiTheme="minorHAnsi"/>
          <w:snapToGrid w:val="0"/>
        </w:rPr>
        <w:t> </w:t>
      </w:r>
      <w:r w:rsidR="00D06FEC" w:rsidRPr="00D06FEC">
        <w:rPr>
          <w:rFonts w:asciiTheme="minorHAnsi" w:hAnsiTheme="minorHAnsi"/>
          <w:snapToGrid w:val="0"/>
        </w:rPr>
        <w:t>to &lt; $45,000</w:t>
      </w:r>
      <w:r w:rsidR="00647353">
        <w:rPr>
          <w:rFonts w:asciiTheme="minorHAnsi" w:hAnsiTheme="minorHAnsi"/>
          <w:snapToGrid w:val="0"/>
        </w:rPr>
        <w:t xml:space="preserve"> </w:t>
      </w:r>
      <w:r w:rsidR="00910684" w:rsidRPr="00AD5A27">
        <w:rPr>
          <w:rFonts w:asciiTheme="minorHAnsi" w:hAnsiTheme="minorHAnsi"/>
          <w:snapToGrid w:val="0"/>
        </w:rPr>
        <w:t>per QALY</w:t>
      </w:r>
      <w:r w:rsidR="00910684">
        <w:rPr>
          <w:rFonts w:asciiTheme="minorHAnsi" w:hAnsiTheme="minorHAnsi"/>
          <w:snapToGrid w:val="0"/>
        </w:rPr>
        <w:t xml:space="preserve"> gained. </w:t>
      </w:r>
      <w:r w:rsidR="00A30810">
        <w:rPr>
          <w:rFonts w:asciiTheme="minorHAnsi" w:hAnsiTheme="minorHAnsi"/>
          <w:snapToGrid w:val="0"/>
        </w:rPr>
        <w:t xml:space="preserve">The PBAC noted that the </w:t>
      </w:r>
      <w:r w:rsidR="00E3553C">
        <w:rPr>
          <w:rFonts w:asciiTheme="minorHAnsi" w:hAnsiTheme="minorHAnsi"/>
          <w:snapToGrid w:val="0"/>
        </w:rPr>
        <w:t>updated economic and financial outcomes were based on</w:t>
      </w:r>
      <w:r w:rsidR="00A30810" w:rsidRPr="00A30810">
        <w:t xml:space="preserve"> </w:t>
      </w:r>
      <w:r w:rsidR="00A30810">
        <w:rPr>
          <w:rFonts w:asciiTheme="minorHAnsi" w:hAnsiTheme="minorHAnsi"/>
          <w:snapToGrid w:val="0"/>
        </w:rPr>
        <w:t xml:space="preserve">a </w:t>
      </w:r>
      <w:r w:rsidR="00A30810" w:rsidRPr="00A30810">
        <w:rPr>
          <w:rFonts w:asciiTheme="minorHAnsi" w:hAnsiTheme="minorHAnsi"/>
          <w:snapToGrid w:val="0"/>
        </w:rPr>
        <w:t>flat ex-manufacturer price per script for the 20 mg, 40 mg and 80 mg strengths</w:t>
      </w:r>
      <w:r w:rsidR="002A16B8">
        <w:rPr>
          <w:rFonts w:asciiTheme="minorHAnsi" w:hAnsiTheme="minorHAnsi"/>
          <w:snapToGrid w:val="0"/>
        </w:rPr>
        <w:t>.</w:t>
      </w:r>
    </w:p>
    <w:p w14:paraId="290171AD" w14:textId="7130144C" w:rsidR="006D1D78" w:rsidRDefault="006D1D78" w:rsidP="005B3215">
      <w:pPr>
        <w:widowControl w:val="0"/>
        <w:numPr>
          <w:ilvl w:val="1"/>
          <w:numId w:val="4"/>
        </w:numPr>
        <w:spacing w:after="120"/>
        <w:rPr>
          <w:rFonts w:asciiTheme="minorHAnsi" w:hAnsiTheme="minorHAnsi"/>
          <w:snapToGrid w:val="0"/>
        </w:rPr>
      </w:pPr>
      <w:r>
        <w:rPr>
          <w:rFonts w:asciiTheme="minorHAnsi" w:hAnsiTheme="minorHAnsi"/>
          <w:snapToGrid w:val="0"/>
        </w:rPr>
        <w:t xml:space="preserve">In terms of the impact of adalimumab on flares, the PBAC noted the pooled estimate from the VISUAL I and II trials was used. As outlined in paragraph </w:t>
      </w:r>
      <w:r w:rsidR="007A15B6">
        <w:rPr>
          <w:rFonts w:asciiTheme="minorHAnsi" w:hAnsiTheme="minorHAnsi"/>
          <w:snapToGrid w:val="0"/>
        </w:rPr>
        <w:fldChar w:fldCharType="begin" w:fldLock="1"/>
      </w:r>
      <w:r w:rsidR="007A15B6">
        <w:rPr>
          <w:rFonts w:asciiTheme="minorHAnsi" w:hAnsiTheme="minorHAnsi"/>
          <w:snapToGrid w:val="0"/>
        </w:rPr>
        <w:instrText xml:space="preserve"> REF _Ref163056519 \r \h </w:instrText>
      </w:r>
      <w:r w:rsidR="007A15B6">
        <w:rPr>
          <w:rFonts w:asciiTheme="minorHAnsi" w:hAnsiTheme="minorHAnsi"/>
          <w:snapToGrid w:val="0"/>
        </w:rPr>
      </w:r>
      <w:r w:rsidR="007A15B6">
        <w:rPr>
          <w:rFonts w:asciiTheme="minorHAnsi" w:hAnsiTheme="minorHAnsi"/>
          <w:snapToGrid w:val="0"/>
        </w:rPr>
        <w:fldChar w:fldCharType="separate"/>
      </w:r>
      <w:r w:rsidR="007A15B6">
        <w:rPr>
          <w:rFonts w:asciiTheme="minorHAnsi" w:hAnsiTheme="minorHAnsi"/>
          <w:snapToGrid w:val="0"/>
        </w:rPr>
        <w:t>7.11</w:t>
      </w:r>
      <w:r w:rsidR="007A15B6">
        <w:rPr>
          <w:rFonts w:asciiTheme="minorHAnsi" w:hAnsiTheme="minorHAnsi"/>
          <w:snapToGrid w:val="0"/>
        </w:rPr>
        <w:fldChar w:fldCharType="end"/>
      </w:r>
      <w:r>
        <w:rPr>
          <w:rFonts w:asciiTheme="minorHAnsi" w:hAnsiTheme="minorHAnsi"/>
          <w:snapToGrid w:val="0"/>
        </w:rPr>
        <w:t xml:space="preserve">, the magnitude of benefit with adalimumab versus remaining on corticosteroids was uncertain, however the PBAC accepted that long term use of high doses of corticosteroids is </w:t>
      </w:r>
      <w:r>
        <w:rPr>
          <w:rFonts w:asciiTheme="minorHAnsi" w:hAnsiTheme="minorHAnsi"/>
          <w:snapToGrid w:val="0"/>
        </w:rPr>
        <w:lastRenderedPageBreak/>
        <w:t>associated with significant morbidity and avoided in clinical practice, and therefore considered it reasonable for the efficacy estimates from VISUAL I and II to inform the economic model.</w:t>
      </w:r>
    </w:p>
    <w:p w14:paraId="39B123B0" w14:textId="6F79379D" w:rsidR="007110BA" w:rsidRDefault="006D1D78" w:rsidP="005B3215">
      <w:pPr>
        <w:widowControl w:val="0"/>
        <w:numPr>
          <w:ilvl w:val="1"/>
          <w:numId w:val="4"/>
        </w:numPr>
        <w:spacing w:after="120"/>
        <w:rPr>
          <w:rFonts w:asciiTheme="minorHAnsi" w:hAnsiTheme="minorHAnsi"/>
          <w:snapToGrid w:val="0"/>
        </w:rPr>
      </w:pPr>
      <w:r>
        <w:rPr>
          <w:rFonts w:asciiTheme="minorHAnsi" w:hAnsiTheme="minorHAnsi"/>
          <w:snapToGrid w:val="0"/>
        </w:rPr>
        <w:t xml:space="preserve">In terms of the impact of adalimumab on ocular complications, the PBAC noted </w:t>
      </w:r>
      <w:r w:rsidR="00077997">
        <w:rPr>
          <w:rFonts w:asciiTheme="minorHAnsi" w:hAnsiTheme="minorHAnsi"/>
          <w:snapToGrid w:val="0"/>
        </w:rPr>
        <w:t xml:space="preserve">it was assumed that there is a </w:t>
      </w:r>
      <w:r w:rsidR="00077997" w:rsidRPr="007110BA">
        <w:rPr>
          <w:rFonts w:asciiTheme="minorHAnsi" w:hAnsiTheme="minorHAnsi"/>
          <w:snapToGrid w:val="0"/>
        </w:rPr>
        <w:t xml:space="preserve">1:1 relationship between </w:t>
      </w:r>
      <w:r w:rsidR="00077997">
        <w:rPr>
          <w:rFonts w:asciiTheme="minorHAnsi" w:hAnsiTheme="minorHAnsi"/>
          <w:snapToGrid w:val="0"/>
        </w:rPr>
        <w:t xml:space="preserve">a </w:t>
      </w:r>
      <w:r w:rsidR="00077997" w:rsidRPr="007110BA">
        <w:rPr>
          <w:rFonts w:asciiTheme="minorHAnsi" w:hAnsiTheme="minorHAnsi"/>
          <w:snapToGrid w:val="0"/>
        </w:rPr>
        <w:t xml:space="preserve">reduction in flares and </w:t>
      </w:r>
      <w:r w:rsidR="00077997">
        <w:rPr>
          <w:rFonts w:asciiTheme="minorHAnsi" w:hAnsiTheme="minorHAnsi"/>
          <w:snapToGrid w:val="0"/>
        </w:rPr>
        <w:t xml:space="preserve">a </w:t>
      </w:r>
      <w:r w:rsidR="00077997" w:rsidRPr="007110BA">
        <w:rPr>
          <w:rFonts w:asciiTheme="minorHAnsi" w:hAnsiTheme="minorHAnsi"/>
          <w:snapToGrid w:val="0"/>
        </w:rPr>
        <w:t>reduction in ocular complications</w:t>
      </w:r>
      <w:r w:rsidR="00077997">
        <w:rPr>
          <w:rFonts w:asciiTheme="minorHAnsi" w:hAnsiTheme="minorHAnsi"/>
          <w:snapToGrid w:val="0"/>
        </w:rPr>
        <w:t>. The PBAC noted there was limited clinical data to inform</w:t>
      </w:r>
      <w:r>
        <w:rPr>
          <w:rFonts w:asciiTheme="minorHAnsi" w:hAnsiTheme="minorHAnsi"/>
          <w:snapToGrid w:val="0"/>
        </w:rPr>
        <w:t xml:space="preserve"> </w:t>
      </w:r>
      <w:r w:rsidR="00077997">
        <w:rPr>
          <w:rFonts w:asciiTheme="minorHAnsi" w:hAnsiTheme="minorHAnsi"/>
          <w:snapToGrid w:val="0"/>
        </w:rPr>
        <w:t xml:space="preserve">the relationship, however agreed with the ESC </w:t>
      </w:r>
      <w:r w:rsidR="00077997">
        <w:t>that</w:t>
      </w:r>
      <w:r w:rsidR="00077997" w:rsidRPr="00AD5A27">
        <w:t xml:space="preserve"> a link between repeat flares and downstream ocular complications was biologically plausible</w:t>
      </w:r>
      <w:r w:rsidR="00077997">
        <w:t>, although</w:t>
      </w:r>
      <w:r w:rsidR="00077997" w:rsidRPr="00AD5A27">
        <w:t xml:space="preserve"> difficult to quantify reliably.</w:t>
      </w:r>
      <w:r w:rsidR="00077997">
        <w:t xml:space="preserve"> The PBAC noted changing the relationship to 1:0.85 increased the ICER to </w:t>
      </w:r>
      <w:r w:rsidR="00077997" w:rsidRPr="00AD5A27">
        <w:rPr>
          <w:rFonts w:asciiTheme="minorHAnsi" w:hAnsiTheme="minorHAnsi"/>
          <w:snapToGrid w:val="0"/>
        </w:rPr>
        <w:t>$</w:t>
      </w:r>
      <w:r w:rsidR="00D06FEC" w:rsidRPr="00D06FEC">
        <w:rPr>
          <w:rFonts w:asciiTheme="minorHAnsi" w:hAnsiTheme="minorHAnsi"/>
          <w:snapToGrid w:val="0"/>
        </w:rPr>
        <w:t xml:space="preserve">55,000 to &lt; $75,000 </w:t>
      </w:r>
      <w:r w:rsidR="00077997" w:rsidRPr="00AD5A27">
        <w:rPr>
          <w:rFonts w:asciiTheme="minorHAnsi" w:hAnsiTheme="minorHAnsi"/>
          <w:snapToGrid w:val="0"/>
        </w:rPr>
        <w:t>per QALY</w:t>
      </w:r>
      <w:r w:rsidR="00077997">
        <w:rPr>
          <w:rFonts w:asciiTheme="minorHAnsi" w:hAnsiTheme="minorHAnsi"/>
          <w:snapToGrid w:val="0"/>
        </w:rPr>
        <w:t xml:space="preserve"> gained. </w:t>
      </w:r>
    </w:p>
    <w:p w14:paraId="527F740B" w14:textId="320F75AF" w:rsidR="003C50A8" w:rsidRPr="00886E8E" w:rsidRDefault="00D7747B" w:rsidP="005B3215">
      <w:pPr>
        <w:widowControl w:val="0"/>
        <w:numPr>
          <w:ilvl w:val="1"/>
          <w:numId w:val="4"/>
        </w:numPr>
        <w:spacing w:after="120"/>
        <w:rPr>
          <w:rFonts w:asciiTheme="minorHAnsi" w:hAnsiTheme="minorHAnsi"/>
          <w:snapToGrid w:val="0"/>
        </w:rPr>
      </w:pPr>
      <w:r>
        <w:rPr>
          <w:rFonts w:asciiTheme="minorHAnsi" w:hAnsiTheme="minorHAnsi"/>
          <w:snapToGrid w:val="0"/>
        </w:rPr>
        <w:t xml:space="preserve">The PBAC acknowledged that a time horizon </w:t>
      </w:r>
      <w:r w:rsidR="001618C7">
        <w:rPr>
          <w:rFonts w:asciiTheme="minorHAnsi" w:hAnsiTheme="minorHAnsi"/>
          <w:snapToGrid w:val="0"/>
        </w:rPr>
        <w:t>longer</w:t>
      </w:r>
      <w:r>
        <w:rPr>
          <w:rFonts w:asciiTheme="minorHAnsi" w:hAnsiTheme="minorHAnsi"/>
          <w:snapToGrid w:val="0"/>
        </w:rPr>
        <w:t xml:space="preserve"> than 10 years was likely reasonable to account for</w:t>
      </w:r>
      <w:r w:rsidR="001618C7" w:rsidRPr="001618C7">
        <w:t xml:space="preserve"> </w:t>
      </w:r>
      <w:r w:rsidR="001618C7" w:rsidRPr="00AD5A27">
        <w:t xml:space="preserve">plausible ongoing quality of life benefits </w:t>
      </w:r>
      <w:r w:rsidR="0022391D" w:rsidRPr="00AD5A27">
        <w:t xml:space="preserve">over a person's lifetime </w:t>
      </w:r>
      <w:r w:rsidR="001618C7" w:rsidRPr="00AD5A27">
        <w:t xml:space="preserve">associated with avoiding </w:t>
      </w:r>
      <w:r w:rsidR="0022391D" w:rsidRPr="00AD5A27">
        <w:t>downstream ocular complications and vision-loss</w:t>
      </w:r>
      <w:r w:rsidR="0022391D">
        <w:t>, however noted that the extent of reduction in ocular complications</w:t>
      </w:r>
      <w:r w:rsidR="00982ACC">
        <w:t xml:space="preserve"> over time</w:t>
      </w:r>
      <w:r w:rsidR="0022391D">
        <w:t xml:space="preserve"> was uncertain. In this context, the PBAC noted that using a model time horizon of 20 years and 10 years increased the ICER to $</w:t>
      </w:r>
      <w:r w:rsidR="00D06FEC" w:rsidRPr="00D06FEC">
        <w:t xml:space="preserve">95,000 to &lt; $115,000 </w:t>
      </w:r>
      <w:r w:rsidR="0022391D">
        <w:t>and $</w:t>
      </w:r>
      <w:r w:rsidR="00D06FEC" w:rsidRPr="00D06FEC">
        <w:t>155,000 to &lt;</w:t>
      </w:r>
      <w:r w:rsidR="00647353">
        <w:t> </w:t>
      </w:r>
      <w:r w:rsidR="00D06FEC" w:rsidRPr="00D06FEC">
        <w:t>$255,000</w:t>
      </w:r>
      <w:r w:rsidR="0022391D">
        <w:t>per QALY gained, respectively.</w:t>
      </w:r>
    </w:p>
    <w:p w14:paraId="25FA8329" w14:textId="3E61A459" w:rsidR="000E528F" w:rsidRDefault="0007134A" w:rsidP="0007134A">
      <w:pPr>
        <w:widowControl w:val="0"/>
        <w:numPr>
          <w:ilvl w:val="1"/>
          <w:numId w:val="4"/>
        </w:numPr>
        <w:spacing w:after="120"/>
        <w:rPr>
          <w:rFonts w:asciiTheme="minorHAnsi" w:hAnsiTheme="minorHAnsi"/>
          <w:snapToGrid w:val="0"/>
        </w:rPr>
      </w:pPr>
      <w:r>
        <w:rPr>
          <w:rFonts w:asciiTheme="minorHAnsi" w:hAnsiTheme="minorHAnsi"/>
          <w:snapToGrid w:val="0"/>
        </w:rPr>
        <w:t>Overall,</w:t>
      </w:r>
      <w:r w:rsidR="00D8322F">
        <w:rPr>
          <w:rFonts w:asciiTheme="minorHAnsi" w:hAnsiTheme="minorHAnsi"/>
          <w:snapToGrid w:val="0"/>
        </w:rPr>
        <w:t xml:space="preserve"> </w:t>
      </w:r>
      <w:r w:rsidR="00D0198C">
        <w:rPr>
          <w:rFonts w:asciiTheme="minorHAnsi" w:hAnsiTheme="minorHAnsi"/>
          <w:snapToGrid w:val="0"/>
        </w:rPr>
        <w:t xml:space="preserve">in the context of the high clinical need and small patient population, </w:t>
      </w:r>
      <w:r w:rsidR="00D8322F">
        <w:rPr>
          <w:rFonts w:asciiTheme="minorHAnsi" w:hAnsiTheme="minorHAnsi"/>
          <w:snapToGrid w:val="0"/>
        </w:rPr>
        <w:t>the</w:t>
      </w:r>
      <w:r w:rsidR="00D8322F" w:rsidRPr="00886E8E">
        <w:rPr>
          <w:rFonts w:asciiTheme="minorHAnsi" w:hAnsiTheme="minorHAnsi"/>
          <w:snapToGrid w:val="0"/>
        </w:rPr>
        <w:t xml:space="preserve"> PBAC considered adalimumab was likely cost-effective at the price proposed in the pre-PBAC response.</w:t>
      </w:r>
      <w:r>
        <w:rPr>
          <w:rFonts w:asciiTheme="minorHAnsi" w:hAnsiTheme="minorHAnsi"/>
          <w:snapToGrid w:val="0"/>
        </w:rPr>
        <w:t xml:space="preserve"> </w:t>
      </w:r>
    </w:p>
    <w:p w14:paraId="39C1F716" w14:textId="557F3260" w:rsidR="00C2121D" w:rsidRPr="00886E8E" w:rsidRDefault="00C2121D" w:rsidP="0007134A">
      <w:pPr>
        <w:widowControl w:val="0"/>
        <w:numPr>
          <w:ilvl w:val="1"/>
          <w:numId w:val="4"/>
        </w:numPr>
        <w:spacing w:after="120"/>
        <w:rPr>
          <w:rFonts w:asciiTheme="minorHAnsi" w:hAnsiTheme="minorHAnsi"/>
          <w:snapToGrid w:val="0"/>
        </w:rPr>
      </w:pPr>
      <w:r w:rsidRPr="00886E8E">
        <w:rPr>
          <w:rFonts w:asciiTheme="minorHAnsi" w:hAnsiTheme="minorHAnsi"/>
          <w:snapToGrid w:val="0"/>
        </w:rPr>
        <w:t xml:space="preserve">The PBAC </w:t>
      </w:r>
      <w:r w:rsidR="008727D0" w:rsidRPr="00886E8E">
        <w:rPr>
          <w:rFonts w:asciiTheme="minorHAnsi" w:hAnsiTheme="minorHAnsi"/>
          <w:snapToGrid w:val="0"/>
        </w:rPr>
        <w:t xml:space="preserve">noted that </w:t>
      </w:r>
      <w:r w:rsidR="00944A3E" w:rsidRPr="00886E8E">
        <w:rPr>
          <w:rFonts w:asciiTheme="minorHAnsi" w:hAnsiTheme="minorHAnsi"/>
          <w:snapToGrid w:val="0"/>
        </w:rPr>
        <w:t xml:space="preserve">the population considered in the </w:t>
      </w:r>
      <w:r w:rsidRPr="00886E8E">
        <w:rPr>
          <w:rFonts w:asciiTheme="minorHAnsi" w:hAnsiTheme="minorHAnsi"/>
          <w:snapToGrid w:val="0"/>
        </w:rPr>
        <w:t xml:space="preserve">economic </w:t>
      </w:r>
      <w:r w:rsidR="00944A3E" w:rsidRPr="00886E8E">
        <w:rPr>
          <w:rFonts w:asciiTheme="minorHAnsi" w:hAnsiTheme="minorHAnsi"/>
          <w:snapToGrid w:val="0"/>
        </w:rPr>
        <w:t xml:space="preserve">evaluation was adults with uveitis, however considered </w:t>
      </w:r>
      <w:r w:rsidRPr="00886E8E">
        <w:rPr>
          <w:rFonts w:asciiTheme="minorHAnsi" w:hAnsiTheme="minorHAnsi"/>
          <w:snapToGrid w:val="0"/>
        </w:rPr>
        <w:t xml:space="preserve">the cost effectiveness of adalimumab was likely to be similar </w:t>
      </w:r>
      <w:r w:rsidR="00944A3E" w:rsidRPr="00886E8E">
        <w:rPr>
          <w:rFonts w:asciiTheme="minorHAnsi" w:hAnsiTheme="minorHAnsi"/>
          <w:snapToGrid w:val="0"/>
        </w:rPr>
        <w:t>regardless of patient age</w:t>
      </w:r>
      <w:r w:rsidR="00801238" w:rsidRPr="00886E8E">
        <w:rPr>
          <w:rFonts w:asciiTheme="minorHAnsi" w:hAnsiTheme="minorHAnsi"/>
          <w:snapToGrid w:val="0"/>
        </w:rPr>
        <w:t>.</w:t>
      </w:r>
    </w:p>
    <w:p w14:paraId="74D54BCE" w14:textId="48B58BE5" w:rsidR="005B3215" w:rsidRPr="00AD5A27" w:rsidRDefault="000F66C7" w:rsidP="00A55455">
      <w:pPr>
        <w:pStyle w:val="ListParagraph"/>
        <w:numPr>
          <w:ilvl w:val="1"/>
          <w:numId w:val="4"/>
        </w:numPr>
        <w:spacing w:after="240"/>
        <w:contextualSpacing/>
        <w:rPr>
          <w:lang w:eastAsia="en-US"/>
        </w:rPr>
      </w:pPr>
      <w:r w:rsidRPr="00AD5A27">
        <w:t>The PBAC considered the existing compassionate access scheme</w:t>
      </w:r>
      <w:r w:rsidR="00B322B3" w:rsidRPr="00AD5A27">
        <w:t>s</w:t>
      </w:r>
      <w:r w:rsidRPr="00AD5A27">
        <w:t xml:space="preserve"> provided a reasonable foundation for estimating the likely prevalent pool of patients </w:t>
      </w:r>
      <w:r w:rsidR="006E6BC3">
        <w:t>that would</w:t>
      </w:r>
      <w:r w:rsidRPr="00AD5A27">
        <w:t xml:space="preserve"> use adalimumab when listed on the PBS</w:t>
      </w:r>
      <w:r w:rsidR="00886E8E">
        <w:t>.</w:t>
      </w:r>
      <w:r w:rsidRPr="00AD5A27">
        <w:t xml:space="preserve"> The PBAC considered the assumption of a 20% increase in patients over </w:t>
      </w:r>
      <w:r w:rsidR="0007134A">
        <w:t>the number currently</w:t>
      </w:r>
      <w:r w:rsidR="0007134A" w:rsidRPr="00AD5A27">
        <w:t xml:space="preserve"> </w:t>
      </w:r>
      <w:r w:rsidR="0007134A">
        <w:t>enrolled in the s</w:t>
      </w:r>
      <w:r w:rsidRPr="00AD5A27">
        <w:t>ponsor access program to account for the South Australian program</w:t>
      </w:r>
      <w:r w:rsidR="00E007BB">
        <w:t xml:space="preserve"> and growth was reasonable</w:t>
      </w:r>
      <w:r w:rsidR="0007134A">
        <w:t>,</w:t>
      </w:r>
      <w:r w:rsidR="00E007BB">
        <w:t xml:space="preserve"> and noted that this resulted in </w:t>
      </w:r>
      <w:r w:rsidR="00D06FEC" w:rsidRPr="00D06FEC">
        <w:t>500 to &lt; 5,000</w:t>
      </w:r>
      <w:r w:rsidR="00E007BB">
        <w:t xml:space="preserve"> adult and </w:t>
      </w:r>
      <w:r w:rsidR="00D06FEC" w:rsidRPr="00D06FEC">
        <w:t>&lt; 500</w:t>
      </w:r>
      <w:r w:rsidR="00E007BB">
        <w:t xml:space="preserve"> paediatric patients treated in the first year of PBS listing compared with </w:t>
      </w:r>
      <w:r w:rsidR="00D06FEC" w:rsidRPr="00D06FEC">
        <w:t>500 to &lt; 5,000</w:t>
      </w:r>
      <w:r w:rsidR="00E007BB">
        <w:t xml:space="preserve"> adults and </w:t>
      </w:r>
      <w:r w:rsidR="00D06FEC" w:rsidRPr="00D06FEC">
        <w:t>&lt; 500</w:t>
      </w:r>
      <w:r w:rsidR="00E007BB">
        <w:t xml:space="preserve"> paediatric patients currently in the </w:t>
      </w:r>
      <w:r w:rsidR="0007134A">
        <w:t>s</w:t>
      </w:r>
      <w:r w:rsidR="00E007BB">
        <w:t xml:space="preserve">ponsor access program. The PBAC noted using the price </w:t>
      </w:r>
      <w:r w:rsidR="0007134A">
        <w:t>proposed</w:t>
      </w:r>
      <w:r w:rsidR="00E007BB">
        <w:t xml:space="preserve"> in the pre-PBAC response that the estimated net cost to the PBS/RPBS was $</w:t>
      </w:r>
      <w:r w:rsidR="00623912" w:rsidRPr="00623912">
        <w:t>40</w:t>
      </w:r>
      <w:r w:rsidR="00647353">
        <w:t> </w:t>
      </w:r>
      <w:r w:rsidR="00623912" w:rsidRPr="00623912">
        <w:t>million to &lt; $50 million</w:t>
      </w:r>
      <w:r w:rsidR="00B76FC9">
        <w:t xml:space="preserve"> </w:t>
      </w:r>
      <w:r w:rsidR="00E007BB">
        <w:t>over 6 years.</w:t>
      </w:r>
      <w:r w:rsidRPr="00AD5A27">
        <w:t xml:space="preserve"> </w:t>
      </w:r>
      <w:r w:rsidR="00D17AA8" w:rsidRPr="00AD5A27">
        <w:rPr>
          <w:lang w:eastAsia="en-US"/>
        </w:rPr>
        <w:t xml:space="preserve">The PBAC noted that because adalimumab is multi-branded with biosimilars, a Risk Sharing Arrangement was likely not feasible for this </w:t>
      </w:r>
      <w:r w:rsidR="00B874EB" w:rsidRPr="00AD5A27">
        <w:rPr>
          <w:lang w:eastAsia="en-US"/>
        </w:rPr>
        <w:t>listing.</w:t>
      </w:r>
    </w:p>
    <w:p w14:paraId="575098D0" w14:textId="1494A132" w:rsidR="008A1E34" w:rsidRPr="00AD5A27" w:rsidRDefault="005B3215" w:rsidP="008A1E34">
      <w:pPr>
        <w:widowControl w:val="0"/>
        <w:numPr>
          <w:ilvl w:val="1"/>
          <w:numId w:val="4"/>
        </w:numPr>
        <w:spacing w:after="120"/>
        <w:rPr>
          <w:rFonts w:asciiTheme="minorHAnsi" w:hAnsiTheme="minorHAnsi"/>
          <w:bCs/>
          <w:snapToGrid w:val="0"/>
        </w:rPr>
      </w:pPr>
      <w:r w:rsidRPr="00AD5A27">
        <w:rPr>
          <w:rFonts w:asciiTheme="minorHAnsi" w:hAnsiTheme="minorHAnsi"/>
          <w:bCs/>
          <w:snapToGrid w:val="0"/>
        </w:rPr>
        <w:t xml:space="preserve">The PBAC </w:t>
      </w:r>
      <w:r w:rsidR="008A1E34" w:rsidRPr="00AD5A27">
        <w:rPr>
          <w:rFonts w:asciiTheme="minorHAnsi" w:hAnsiTheme="minorHAnsi"/>
          <w:bCs/>
          <w:snapToGrid w:val="0"/>
        </w:rPr>
        <w:t>noted multiple biosimilars were available for adalimumab and considered</w:t>
      </w:r>
      <w:r w:rsidR="005201FE" w:rsidRPr="00AD5A27">
        <w:rPr>
          <w:rFonts w:asciiTheme="minorHAnsi" w:hAnsiTheme="minorHAnsi"/>
          <w:bCs/>
          <w:snapToGrid w:val="0"/>
        </w:rPr>
        <w:t xml:space="preserve"> existing ‘a’ flagging arrangements should be implemented for the listing for non-infectious uveitis.</w:t>
      </w:r>
    </w:p>
    <w:p w14:paraId="5216ABA8" w14:textId="28F898F2" w:rsidR="005B3215" w:rsidRPr="00AD5A27" w:rsidRDefault="005B3215" w:rsidP="00647353">
      <w:pPr>
        <w:widowControl w:val="0"/>
        <w:numPr>
          <w:ilvl w:val="1"/>
          <w:numId w:val="4"/>
        </w:numPr>
        <w:spacing w:after="120"/>
        <w:rPr>
          <w:rFonts w:asciiTheme="minorHAnsi" w:hAnsiTheme="minorHAnsi" w:cstheme="minorHAnsi"/>
        </w:rPr>
      </w:pPr>
      <w:r w:rsidRPr="00AD5A27">
        <w:rPr>
          <w:rFonts w:asciiTheme="minorHAnsi" w:hAnsiTheme="minorHAnsi" w:cstheme="minorHAnsi"/>
        </w:rPr>
        <w:t xml:space="preserve">The PBAC found that the criteria prescribed by the </w:t>
      </w:r>
      <w:r w:rsidRPr="00AD5A27">
        <w:rPr>
          <w:rFonts w:asciiTheme="minorHAnsi" w:hAnsiTheme="minorHAnsi" w:cstheme="minorHAnsi"/>
          <w:i/>
        </w:rPr>
        <w:t>National Health (Pharmaceuticals and Vaccines – Cost Recovery) Regulations 2022</w:t>
      </w:r>
      <w:r w:rsidRPr="00AD5A27">
        <w:rPr>
          <w:rFonts w:asciiTheme="minorHAnsi" w:hAnsiTheme="minorHAnsi" w:cstheme="minorHAnsi"/>
        </w:rPr>
        <w:t xml:space="preserve"> for Pricing Pathway A were met. </w:t>
      </w:r>
      <w:r w:rsidR="00AD5A27" w:rsidRPr="00AD5A27">
        <w:rPr>
          <w:rFonts w:asciiTheme="minorHAnsi" w:hAnsiTheme="minorHAnsi" w:cstheme="minorHAnsi"/>
        </w:rPr>
        <w:lastRenderedPageBreak/>
        <w:t>Specifically,</w:t>
      </w:r>
      <w:r w:rsidRPr="00AD5A27">
        <w:rPr>
          <w:rFonts w:asciiTheme="minorHAnsi" w:hAnsiTheme="minorHAnsi" w:cstheme="minorHAnsi"/>
        </w:rPr>
        <w:t xml:space="preserve"> the PBAC found that in the circumstances of its recommendation for </w:t>
      </w:r>
      <w:r w:rsidR="008A1E34" w:rsidRPr="00AD5A27">
        <w:rPr>
          <w:rFonts w:asciiTheme="minorHAnsi" w:hAnsiTheme="minorHAnsi" w:cstheme="minorHAnsi"/>
        </w:rPr>
        <w:t>adalimumab</w:t>
      </w:r>
      <w:r w:rsidRPr="00AD5A27">
        <w:rPr>
          <w:rFonts w:asciiTheme="minorHAnsi" w:hAnsiTheme="minorHAnsi" w:cstheme="minorHAnsi"/>
        </w:rPr>
        <w:t>:</w:t>
      </w:r>
    </w:p>
    <w:p w14:paraId="4AC42485" w14:textId="081F2499" w:rsidR="005B3215" w:rsidRPr="00AD5A27" w:rsidRDefault="005B3215" w:rsidP="00B35B03">
      <w:pPr>
        <w:widowControl w:val="0"/>
        <w:numPr>
          <w:ilvl w:val="1"/>
          <w:numId w:val="22"/>
        </w:numPr>
        <w:spacing w:after="120"/>
        <w:ind w:left="1134"/>
        <w:rPr>
          <w:rFonts w:asciiTheme="minorHAnsi" w:hAnsiTheme="minorHAnsi" w:cstheme="minorHAnsi"/>
        </w:rPr>
      </w:pPr>
      <w:r w:rsidRPr="00AD5A27">
        <w:rPr>
          <w:rFonts w:asciiTheme="minorHAnsi" w:hAnsiTheme="minorHAnsi" w:cstheme="minorHAnsi"/>
        </w:rPr>
        <w:t xml:space="preserve">The treatment </w:t>
      </w:r>
      <w:r w:rsidR="008A1E34" w:rsidRPr="00AD5A27">
        <w:rPr>
          <w:rFonts w:asciiTheme="minorHAnsi" w:hAnsiTheme="minorHAnsi" w:cstheme="minorHAnsi"/>
        </w:rPr>
        <w:t>is</w:t>
      </w:r>
      <w:r w:rsidRPr="00AD5A27">
        <w:rPr>
          <w:rFonts w:asciiTheme="minorHAnsi" w:hAnsiTheme="minorHAnsi" w:cstheme="minorHAnsi"/>
        </w:rPr>
        <w:t xml:space="preserve"> expected to provide a </w:t>
      </w:r>
      <w:r w:rsidR="00D0198C">
        <w:rPr>
          <w:rFonts w:asciiTheme="minorHAnsi" w:hAnsiTheme="minorHAnsi" w:cstheme="minorHAnsi"/>
        </w:rPr>
        <w:t xml:space="preserve">substantial and </w:t>
      </w:r>
      <w:r w:rsidRPr="00AD5A27">
        <w:rPr>
          <w:rFonts w:asciiTheme="minorHAnsi" w:hAnsiTheme="minorHAnsi" w:cstheme="minorHAnsi"/>
        </w:rPr>
        <w:t>clinically relevant improvement in efficacy</w:t>
      </w:r>
      <w:r w:rsidR="00E007BB">
        <w:rPr>
          <w:rFonts w:asciiTheme="minorHAnsi" w:hAnsiTheme="minorHAnsi" w:cstheme="minorHAnsi"/>
        </w:rPr>
        <w:t xml:space="preserve"> in terms of a reduction in uveitis flares</w:t>
      </w:r>
      <w:r w:rsidR="00D0198C">
        <w:rPr>
          <w:rFonts w:asciiTheme="minorHAnsi" w:hAnsiTheme="minorHAnsi" w:cstheme="minorHAnsi"/>
        </w:rPr>
        <w:t>,</w:t>
      </w:r>
      <w:r w:rsidR="00E007BB">
        <w:rPr>
          <w:rFonts w:asciiTheme="minorHAnsi" w:hAnsiTheme="minorHAnsi" w:cstheme="minorHAnsi"/>
        </w:rPr>
        <w:t xml:space="preserve"> and </w:t>
      </w:r>
      <w:r w:rsidR="00D0198C">
        <w:rPr>
          <w:rFonts w:asciiTheme="minorHAnsi" w:hAnsiTheme="minorHAnsi" w:cstheme="minorHAnsi"/>
        </w:rPr>
        <w:t xml:space="preserve">this is likely to be </w:t>
      </w:r>
      <w:r w:rsidR="00E007BB">
        <w:rPr>
          <w:rFonts w:asciiTheme="minorHAnsi" w:hAnsiTheme="minorHAnsi" w:cstheme="minorHAnsi"/>
        </w:rPr>
        <w:t xml:space="preserve">associated </w:t>
      </w:r>
      <w:r w:rsidR="00D0198C">
        <w:rPr>
          <w:rFonts w:asciiTheme="minorHAnsi" w:hAnsiTheme="minorHAnsi" w:cstheme="minorHAnsi"/>
        </w:rPr>
        <w:t xml:space="preserve">with a reduction in </w:t>
      </w:r>
      <w:r w:rsidR="00E007BB">
        <w:rPr>
          <w:rFonts w:asciiTheme="minorHAnsi" w:hAnsiTheme="minorHAnsi" w:cstheme="minorHAnsi"/>
        </w:rPr>
        <w:t>short-term and long-term ocular complications</w:t>
      </w:r>
      <w:r w:rsidR="00D0198C">
        <w:rPr>
          <w:rFonts w:asciiTheme="minorHAnsi" w:hAnsiTheme="minorHAnsi" w:cstheme="minorHAnsi"/>
        </w:rPr>
        <w:t>.</w:t>
      </w:r>
      <w:r w:rsidR="008A1E34" w:rsidRPr="00AD5A27">
        <w:rPr>
          <w:rFonts w:asciiTheme="minorHAnsi" w:hAnsiTheme="minorHAnsi" w:cstheme="minorHAnsi"/>
        </w:rPr>
        <w:t>;</w:t>
      </w:r>
    </w:p>
    <w:p w14:paraId="61B9F002" w14:textId="4B0533A3" w:rsidR="005B3215" w:rsidRPr="00AD5A27" w:rsidRDefault="005B3215" w:rsidP="00B35B03">
      <w:pPr>
        <w:widowControl w:val="0"/>
        <w:numPr>
          <w:ilvl w:val="1"/>
          <w:numId w:val="22"/>
        </w:numPr>
        <w:spacing w:after="120"/>
        <w:ind w:left="1134"/>
        <w:rPr>
          <w:rFonts w:asciiTheme="minorHAnsi" w:hAnsiTheme="minorHAnsi" w:cstheme="minorHAnsi"/>
        </w:rPr>
      </w:pPr>
      <w:r w:rsidRPr="00AD5A27">
        <w:rPr>
          <w:rFonts w:asciiTheme="minorHAnsi" w:hAnsiTheme="minorHAnsi" w:cstheme="minorHAnsi"/>
        </w:rPr>
        <w:t xml:space="preserve">The treatment is expected to address a high and urgent unmet clinical need </w:t>
      </w:r>
      <w:r w:rsidR="008A1E34" w:rsidRPr="00AD5A27">
        <w:rPr>
          <w:rFonts w:asciiTheme="minorHAnsi" w:hAnsiTheme="minorHAnsi" w:cstheme="minorHAnsi"/>
        </w:rPr>
        <w:t xml:space="preserve">because </w:t>
      </w:r>
      <w:r w:rsidR="00A7308F">
        <w:rPr>
          <w:rFonts w:asciiTheme="minorHAnsi" w:hAnsiTheme="minorHAnsi" w:cstheme="minorHAnsi"/>
        </w:rPr>
        <w:t xml:space="preserve">there are currently no PBS listed treatments </w:t>
      </w:r>
      <w:r w:rsidR="00805F4D">
        <w:rPr>
          <w:rFonts w:asciiTheme="minorHAnsi" w:hAnsiTheme="minorHAnsi" w:cstheme="minorHAnsi"/>
        </w:rPr>
        <w:t xml:space="preserve">specifically </w:t>
      </w:r>
      <w:r w:rsidR="00A7308F">
        <w:rPr>
          <w:rFonts w:asciiTheme="minorHAnsi" w:hAnsiTheme="minorHAnsi" w:cstheme="minorHAnsi"/>
        </w:rPr>
        <w:t xml:space="preserve">for </w:t>
      </w:r>
      <w:r w:rsidR="00805F4D" w:rsidRPr="00AD5A27">
        <w:t>the proposed population</w:t>
      </w:r>
      <w:r w:rsidR="008A1E34" w:rsidRPr="00AD5A27">
        <w:rPr>
          <w:rFonts w:asciiTheme="minorHAnsi" w:hAnsiTheme="minorHAnsi" w:cstheme="minorHAnsi"/>
        </w:rPr>
        <w:t>; and</w:t>
      </w:r>
    </w:p>
    <w:p w14:paraId="37312CD6" w14:textId="11552533" w:rsidR="005B3215" w:rsidRPr="0007134A" w:rsidRDefault="005B3215" w:rsidP="00B35B03">
      <w:pPr>
        <w:widowControl w:val="0"/>
        <w:numPr>
          <w:ilvl w:val="1"/>
          <w:numId w:val="22"/>
        </w:numPr>
        <w:spacing w:after="120"/>
        <w:ind w:left="1134"/>
        <w:rPr>
          <w:rFonts w:asciiTheme="minorHAnsi" w:hAnsiTheme="minorHAnsi" w:cstheme="minorHAnsi"/>
        </w:rPr>
      </w:pPr>
      <w:r w:rsidRPr="00AD5A27">
        <w:rPr>
          <w:rFonts w:asciiTheme="minorHAnsi" w:hAnsiTheme="minorHAnsi" w:cstheme="minorHAnsi"/>
        </w:rPr>
        <w:t xml:space="preserve">It would be in the public interest for the subsequent pricing application to be </w:t>
      </w:r>
      <w:r w:rsidRPr="0007134A">
        <w:rPr>
          <w:rFonts w:asciiTheme="minorHAnsi" w:hAnsiTheme="minorHAnsi" w:cstheme="minorHAnsi"/>
        </w:rPr>
        <w:t>progressed under Pricing Pathway A on the basis of the preceding findings</w:t>
      </w:r>
      <w:r w:rsidR="008A1E34" w:rsidRPr="0007134A">
        <w:rPr>
          <w:rFonts w:asciiTheme="minorHAnsi" w:hAnsiTheme="minorHAnsi" w:cstheme="minorHAnsi"/>
        </w:rPr>
        <w:t>.</w:t>
      </w:r>
    </w:p>
    <w:p w14:paraId="7491D932" w14:textId="18CDA31F" w:rsidR="005B3215" w:rsidRPr="0007134A" w:rsidRDefault="008A1E34" w:rsidP="00805C1B">
      <w:pPr>
        <w:widowControl w:val="0"/>
        <w:numPr>
          <w:ilvl w:val="1"/>
          <w:numId w:val="4"/>
        </w:numPr>
        <w:spacing w:after="120"/>
        <w:rPr>
          <w:rFonts w:asciiTheme="minorHAnsi" w:hAnsiTheme="minorHAnsi"/>
          <w:bCs/>
          <w:snapToGrid w:val="0"/>
        </w:rPr>
      </w:pPr>
      <w:r w:rsidRPr="0007134A">
        <w:rPr>
          <w:rFonts w:asciiTheme="minorHAnsi" w:hAnsiTheme="minorHAnsi"/>
          <w:bCs/>
          <w:snapToGrid w:val="0"/>
        </w:rPr>
        <w:t>The PBAC noted further work</w:t>
      </w:r>
      <w:r w:rsidR="0007134A">
        <w:rPr>
          <w:rFonts w:asciiTheme="minorHAnsi" w:hAnsiTheme="minorHAnsi"/>
          <w:bCs/>
          <w:snapToGrid w:val="0"/>
        </w:rPr>
        <w:t xml:space="preserve"> is required by the Department</w:t>
      </w:r>
      <w:r w:rsidRPr="0007134A">
        <w:rPr>
          <w:rFonts w:asciiTheme="minorHAnsi" w:hAnsiTheme="minorHAnsi"/>
          <w:bCs/>
          <w:snapToGrid w:val="0"/>
        </w:rPr>
        <w:t xml:space="preserve"> to design an age-agnostic single listing of adalimumab </w:t>
      </w:r>
      <w:r w:rsidR="0007134A">
        <w:rPr>
          <w:rFonts w:asciiTheme="minorHAnsi" w:hAnsiTheme="minorHAnsi"/>
          <w:bCs/>
          <w:snapToGrid w:val="0"/>
        </w:rPr>
        <w:t>in order to</w:t>
      </w:r>
      <w:r w:rsidRPr="0007134A">
        <w:rPr>
          <w:rFonts w:asciiTheme="minorHAnsi" w:hAnsiTheme="minorHAnsi"/>
          <w:bCs/>
          <w:snapToGrid w:val="0"/>
        </w:rPr>
        <w:t xml:space="preserve"> finalise the listing.</w:t>
      </w:r>
    </w:p>
    <w:p w14:paraId="18113272" w14:textId="5138A6D8" w:rsidR="00805C1B" w:rsidRPr="00AD5A27" w:rsidRDefault="00805C1B" w:rsidP="005B3215">
      <w:pPr>
        <w:widowControl w:val="0"/>
        <w:numPr>
          <w:ilvl w:val="1"/>
          <w:numId w:val="4"/>
        </w:numPr>
        <w:contextualSpacing/>
        <w:rPr>
          <w:rFonts w:asciiTheme="minorHAnsi" w:hAnsiTheme="minorHAnsi"/>
          <w:bCs/>
          <w:snapToGrid w:val="0"/>
        </w:rPr>
      </w:pPr>
      <w:r w:rsidRPr="0007134A">
        <w:rPr>
          <w:rFonts w:asciiTheme="minorHAnsi" w:hAnsiTheme="minorHAnsi"/>
          <w:bCs/>
          <w:snapToGrid w:val="0"/>
        </w:rPr>
        <w:t>The PBAC noted this submission is not eligible for an Independent Review as it received a positive</w:t>
      </w:r>
      <w:r w:rsidRPr="00AD5A27">
        <w:rPr>
          <w:rFonts w:asciiTheme="minorHAnsi" w:hAnsiTheme="minorHAnsi"/>
          <w:bCs/>
          <w:snapToGrid w:val="0"/>
        </w:rPr>
        <w:t xml:space="preserve"> recommendation.</w:t>
      </w:r>
    </w:p>
    <w:p w14:paraId="3AF9DEE2" w14:textId="77777777" w:rsidR="005B3215" w:rsidRPr="00AD5A27" w:rsidRDefault="005B3215" w:rsidP="005B3215">
      <w:pPr>
        <w:spacing w:before="240"/>
        <w:rPr>
          <w:rFonts w:asciiTheme="minorHAnsi" w:hAnsiTheme="minorHAnsi"/>
          <w:b/>
          <w:bCs/>
          <w:snapToGrid w:val="0"/>
        </w:rPr>
      </w:pPr>
      <w:r w:rsidRPr="00AD5A27">
        <w:rPr>
          <w:rFonts w:asciiTheme="minorHAnsi" w:hAnsiTheme="minorHAnsi"/>
          <w:b/>
          <w:bCs/>
          <w:snapToGrid w:val="0"/>
        </w:rPr>
        <w:t>Outcome:</w:t>
      </w:r>
    </w:p>
    <w:p w14:paraId="54432E65" w14:textId="651DEA6B" w:rsidR="005B3215" w:rsidRPr="00647353" w:rsidRDefault="005B3215" w:rsidP="00647353">
      <w:pPr>
        <w:rPr>
          <w:rFonts w:asciiTheme="minorHAnsi" w:hAnsiTheme="minorHAnsi"/>
          <w:bCs/>
          <w:snapToGrid w:val="0"/>
        </w:rPr>
      </w:pPr>
      <w:r w:rsidRPr="00AD5A27">
        <w:rPr>
          <w:rFonts w:asciiTheme="minorHAnsi" w:hAnsiTheme="minorHAnsi"/>
          <w:bCs/>
          <w:snapToGrid w:val="0"/>
        </w:rPr>
        <w:t>Recommended</w:t>
      </w:r>
    </w:p>
    <w:bookmarkEnd w:id="89"/>
    <w:p w14:paraId="35F3F570" w14:textId="77777777" w:rsidR="005B3215" w:rsidRPr="00B57973" w:rsidRDefault="005B3215" w:rsidP="00B35B03">
      <w:pPr>
        <w:pStyle w:val="2-SectionHeading"/>
        <w:rPr>
          <w:b w:val="0"/>
          <w:bCs/>
          <w:iCs/>
        </w:rPr>
      </w:pPr>
      <w:r w:rsidRPr="00AD5A27">
        <w:rPr>
          <w:bCs/>
        </w:rPr>
        <w:t>Recommended listing</w:t>
      </w:r>
    </w:p>
    <w:p w14:paraId="6089A048" w14:textId="48D4240A" w:rsidR="001F0C3F" w:rsidRPr="001F0C3F" w:rsidRDefault="00510F15" w:rsidP="00D15896">
      <w:pPr>
        <w:ind w:left="720"/>
        <w:contextualSpacing/>
        <w:rPr>
          <w:b/>
          <w:i/>
        </w:rPr>
      </w:pPr>
      <w:r w:rsidRPr="00510F15">
        <w:rPr>
          <w:i/>
          <w:iCs/>
        </w:rPr>
        <w:t xml:space="preserve">This restriction is in the process of being finalised. The sponsor will be notified of the final restriction. </w:t>
      </w:r>
      <w:bookmarkStart w:id="93" w:name="_Hlk164850980"/>
    </w:p>
    <w:p w14:paraId="1AD6E3D8" w14:textId="77777777" w:rsidR="001F0C3F" w:rsidRPr="001F0C3F" w:rsidRDefault="001F0C3F" w:rsidP="00B35B03">
      <w:pPr>
        <w:pStyle w:val="2-SectionHeading"/>
        <w:rPr>
          <w:b w:val="0"/>
        </w:rPr>
      </w:pPr>
      <w:r w:rsidRPr="001F0C3F">
        <w:t>Context for Decision</w:t>
      </w:r>
    </w:p>
    <w:p w14:paraId="40EF8858" w14:textId="77777777" w:rsidR="001F0C3F" w:rsidRPr="001F0C3F" w:rsidRDefault="001F0C3F" w:rsidP="001F0C3F">
      <w:pPr>
        <w:spacing w:after="120" w:line="259" w:lineRule="auto"/>
        <w:ind w:left="709"/>
        <w:rPr>
          <w:rFonts w:eastAsia="Calibri"/>
          <w:bCs/>
          <w:sz w:val="22"/>
          <w:szCs w:val="22"/>
          <w:lang w:val="en-GB" w:eastAsia="en-US"/>
        </w:rPr>
      </w:pPr>
      <w:r w:rsidRPr="001F0C3F">
        <w:rPr>
          <w:rFonts w:eastAsia="Calibri"/>
          <w:bCs/>
          <w:sz w:val="22"/>
          <w:szCs w:val="22"/>
          <w:lang w:val="en-GB"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04E7E9F" w14:textId="77777777" w:rsidR="001F0C3F" w:rsidRPr="001F0C3F" w:rsidRDefault="001F0C3F" w:rsidP="00B35B03">
      <w:pPr>
        <w:pStyle w:val="2-SectionHeading"/>
        <w:rPr>
          <w:b w:val="0"/>
        </w:rPr>
      </w:pPr>
      <w:r w:rsidRPr="001F0C3F">
        <w:t>Sponsor’s Comment</w:t>
      </w:r>
    </w:p>
    <w:p w14:paraId="7CE6104F" w14:textId="3CDFD251" w:rsidR="00B57973" w:rsidRPr="00D15896" w:rsidRDefault="00CB40F7" w:rsidP="00D15896">
      <w:pPr>
        <w:spacing w:after="120" w:line="259" w:lineRule="auto"/>
        <w:ind w:left="709"/>
        <w:rPr>
          <w:rFonts w:eastAsia="Calibri"/>
          <w:bCs/>
          <w:sz w:val="22"/>
          <w:szCs w:val="22"/>
          <w:lang w:eastAsia="en-US"/>
        </w:rPr>
      </w:pPr>
      <w:r w:rsidRPr="00CB40F7">
        <w:rPr>
          <w:rStyle w:val="ui-provider"/>
          <w:sz w:val="22"/>
          <w:szCs w:val="22"/>
        </w:rPr>
        <w:t>AbbVie welcomes the PBAC's recommendation to list adalimumab in vision-threatening uveitis. We would like to acknowledge and thank the clinicians, organisations, patients and family members who supported patient access through providing their invaluable expertise during the submission and consumer comments process.</w:t>
      </w:r>
      <w:bookmarkEnd w:id="90"/>
      <w:bookmarkEnd w:id="93"/>
    </w:p>
    <w:sectPr w:rsidR="00B57973" w:rsidRPr="00D15896" w:rsidSect="00D161BA">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21AEA" w14:textId="77777777" w:rsidR="009105B3" w:rsidRDefault="009105B3" w:rsidP="00124A51">
      <w:r>
        <w:separator/>
      </w:r>
    </w:p>
    <w:p w14:paraId="19CF2B52" w14:textId="77777777" w:rsidR="009105B3" w:rsidRDefault="009105B3"/>
  </w:endnote>
  <w:endnote w:type="continuationSeparator" w:id="0">
    <w:p w14:paraId="78483E85" w14:textId="77777777" w:rsidR="009105B3" w:rsidRDefault="009105B3" w:rsidP="00124A51">
      <w:r>
        <w:continuationSeparator/>
      </w:r>
    </w:p>
    <w:p w14:paraId="06937DD0" w14:textId="77777777" w:rsidR="009105B3" w:rsidRDefault="009105B3"/>
  </w:endnote>
  <w:endnote w:type="continuationNotice" w:id="1">
    <w:p w14:paraId="4EFA649D" w14:textId="77777777" w:rsidR="009105B3" w:rsidRDefault="009105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97B5" w14:textId="77777777" w:rsidR="00771261" w:rsidRDefault="00771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662161066"/>
      <w:docPartObj>
        <w:docPartGallery w:val="Page Numbers (Bottom of Page)"/>
        <w:docPartUnique/>
      </w:docPartObj>
    </w:sdtPr>
    <w:sdtEndPr>
      <w:rPr>
        <w:noProof/>
      </w:rPr>
    </w:sdtEndPr>
    <w:sdtContent>
      <w:p w14:paraId="7DA1E12B" w14:textId="77777777" w:rsidR="006D1FD5" w:rsidRPr="00771261" w:rsidRDefault="006D1FD5" w:rsidP="006D1FD5">
        <w:pPr>
          <w:pStyle w:val="Footer"/>
          <w:jc w:val="right"/>
          <w:rPr>
            <w:b/>
            <w:bCs/>
          </w:rPr>
        </w:pPr>
      </w:p>
      <w:p w14:paraId="683E1E74" w14:textId="7545462B" w:rsidR="00860BB2" w:rsidRPr="00771261" w:rsidRDefault="006C7FBD" w:rsidP="006D1FD5">
        <w:pPr>
          <w:pStyle w:val="Footer"/>
          <w:jc w:val="center"/>
          <w:rPr>
            <w:b/>
            <w:bCs/>
          </w:rPr>
        </w:pPr>
        <w:r w:rsidRPr="00771261">
          <w:rPr>
            <w:b/>
            <w:bCs/>
          </w:rPr>
          <w:fldChar w:fldCharType="begin"/>
        </w:r>
        <w:r w:rsidRPr="00771261">
          <w:rPr>
            <w:b/>
            <w:bCs/>
          </w:rPr>
          <w:instrText xml:space="preserve"> PAGE   \* MERGEFORMAT </w:instrText>
        </w:r>
        <w:r w:rsidRPr="00771261">
          <w:rPr>
            <w:b/>
            <w:bCs/>
          </w:rPr>
          <w:fldChar w:fldCharType="separate"/>
        </w:r>
        <w:r w:rsidRPr="00771261">
          <w:rPr>
            <w:b/>
            <w:bCs/>
            <w:noProof/>
          </w:rPr>
          <w:t>2</w:t>
        </w:r>
        <w:r w:rsidRPr="00771261">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4BEA" w14:textId="77777777" w:rsidR="00771261" w:rsidRDefault="00771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E892A" w14:textId="77777777" w:rsidR="009105B3" w:rsidRDefault="009105B3" w:rsidP="00124A51">
      <w:r>
        <w:separator/>
      </w:r>
    </w:p>
    <w:p w14:paraId="1850FC88" w14:textId="77777777" w:rsidR="009105B3" w:rsidRDefault="009105B3"/>
  </w:footnote>
  <w:footnote w:type="continuationSeparator" w:id="0">
    <w:p w14:paraId="4781909B" w14:textId="77777777" w:rsidR="009105B3" w:rsidRDefault="009105B3" w:rsidP="00124A51">
      <w:r>
        <w:continuationSeparator/>
      </w:r>
    </w:p>
    <w:p w14:paraId="5095680B" w14:textId="77777777" w:rsidR="009105B3" w:rsidRDefault="009105B3"/>
  </w:footnote>
  <w:footnote w:type="continuationNotice" w:id="1">
    <w:p w14:paraId="42B7BF06" w14:textId="77777777" w:rsidR="009105B3" w:rsidRDefault="009105B3"/>
  </w:footnote>
  <w:footnote w:id="2">
    <w:p w14:paraId="134B1BC2" w14:textId="77777777" w:rsidR="002A66BB" w:rsidRPr="002728F1" w:rsidRDefault="002A66BB">
      <w:pPr>
        <w:pStyle w:val="FootnoteText"/>
        <w:rPr>
          <w:rFonts w:ascii="Arial Narrow" w:hAnsi="Arial Narrow"/>
          <w:sz w:val="18"/>
          <w:szCs w:val="18"/>
          <w:lang w:val="en-US"/>
        </w:rPr>
      </w:pPr>
      <w:r w:rsidRPr="002728F1">
        <w:rPr>
          <w:rStyle w:val="FootnoteReference"/>
          <w:rFonts w:ascii="Arial Narrow" w:hAnsi="Arial Narrow"/>
          <w:sz w:val="18"/>
          <w:szCs w:val="18"/>
        </w:rPr>
        <w:footnoteRef/>
      </w:r>
      <w:r w:rsidRPr="002728F1">
        <w:rPr>
          <w:rFonts w:ascii="Arial Narrow" w:hAnsi="Arial Narrow"/>
          <w:sz w:val="18"/>
          <w:szCs w:val="18"/>
        </w:rPr>
        <w:t xml:space="preserve"> Quartier P, Baptiste A, Despert V, Allain-Launay E, Koné-Paut I, Belot A, Kodjikian L, Monnet D, Weber M, Elie C, Bodaghi B; ADJUVITE Study Group. ADJUVITE: a double-blind, randomised, placebo-controlled trial of adalimumab in early onset, chronic, juvenile idiopathic arthritis-associated anterior uveitis. </w:t>
      </w:r>
      <w:r w:rsidRPr="002728F1">
        <w:rPr>
          <w:rFonts w:ascii="Arial Narrow" w:hAnsi="Arial Narrow"/>
          <w:i/>
          <w:iCs/>
          <w:sz w:val="18"/>
          <w:szCs w:val="18"/>
        </w:rPr>
        <w:t>Ann Rheum Dis.</w:t>
      </w:r>
      <w:r w:rsidRPr="002728F1">
        <w:rPr>
          <w:rFonts w:ascii="Arial Narrow" w:hAnsi="Arial Narrow"/>
          <w:sz w:val="18"/>
          <w:szCs w:val="18"/>
        </w:rPr>
        <w:t xml:space="preserve"> 2018 Jul;77(7):1003-1011.</w:t>
      </w:r>
    </w:p>
  </w:footnote>
  <w:footnote w:id="3">
    <w:p w14:paraId="437492A1" w14:textId="77777777" w:rsidR="002A66BB" w:rsidRPr="005922FB" w:rsidRDefault="002A66BB">
      <w:pPr>
        <w:pStyle w:val="FootnoteText"/>
        <w:rPr>
          <w:rFonts w:ascii="Arial Narrow" w:hAnsi="Arial Narrow"/>
          <w:sz w:val="18"/>
          <w:szCs w:val="18"/>
          <w:lang w:val="en-US"/>
        </w:rPr>
      </w:pPr>
      <w:r w:rsidRPr="005922FB">
        <w:rPr>
          <w:rStyle w:val="FootnoteReference"/>
          <w:rFonts w:ascii="Arial Narrow" w:hAnsi="Arial Narrow"/>
          <w:sz w:val="18"/>
          <w:szCs w:val="18"/>
        </w:rPr>
        <w:footnoteRef/>
      </w:r>
      <w:r w:rsidRPr="005922FB">
        <w:rPr>
          <w:rFonts w:ascii="Arial Narrow" w:hAnsi="Arial Narrow"/>
          <w:sz w:val="18"/>
          <w:szCs w:val="18"/>
        </w:rPr>
        <w:t xml:space="preserve"> Hart CT, Zhu EY, Crock C, Rogers SL, &amp; Lim LL. Epidemiology of uveitis in urban Australia. </w:t>
      </w:r>
      <w:r w:rsidRPr="00B14D76">
        <w:rPr>
          <w:rFonts w:ascii="Arial Narrow" w:hAnsi="Arial Narrow"/>
          <w:i/>
          <w:sz w:val="18"/>
          <w:szCs w:val="18"/>
        </w:rPr>
        <w:t>Clin Exp Ophthalmol,</w:t>
      </w:r>
      <w:r w:rsidRPr="005922FB">
        <w:rPr>
          <w:rFonts w:ascii="Arial Narrow" w:hAnsi="Arial Narrow"/>
          <w:sz w:val="18"/>
          <w:szCs w:val="18"/>
        </w:rPr>
        <w:t xml:space="preserve"> 2019;47(6):733-740.</w:t>
      </w:r>
    </w:p>
  </w:footnote>
  <w:footnote w:id="4">
    <w:p w14:paraId="6A2A0A52" w14:textId="77777777" w:rsidR="002A66BB" w:rsidRPr="00A36D18" w:rsidRDefault="002A66BB">
      <w:pPr>
        <w:pStyle w:val="FootnoteText"/>
        <w:rPr>
          <w:rFonts w:ascii="Arial Narrow" w:hAnsi="Arial Narrow"/>
          <w:sz w:val="18"/>
          <w:szCs w:val="18"/>
          <w:lang w:val="en-US"/>
        </w:rPr>
      </w:pPr>
      <w:r w:rsidRPr="00A36D18">
        <w:rPr>
          <w:rStyle w:val="FootnoteReference"/>
          <w:rFonts w:ascii="Arial Narrow" w:hAnsi="Arial Narrow"/>
          <w:sz w:val="18"/>
          <w:szCs w:val="18"/>
        </w:rPr>
        <w:footnoteRef/>
      </w:r>
      <w:r w:rsidRPr="00A36D18">
        <w:rPr>
          <w:rFonts w:ascii="Arial Narrow" w:hAnsi="Arial Narrow"/>
          <w:sz w:val="18"/>
          <w:szCs w:val="18"/>
        </w:rPr>
        <w:t xml:space="preserve"> Suhler EB, Jaffe GJ, Fortin E, Lim LL, Merrill PT, Dick AD, Brezin AP, Nguyen QD, Thorne JE, Van Calster J, Cimino L. Long-term safety and efficacy of adalimumab in patients with noninfectious intermediate uveitis, posterior uveitis, or panuveitis. </w:t>
      </w:r>
      <w:r w:rsidRPr="00A36D18">
        <w:rPr>
          <w:rFonts w:ascii="Arial Narrow" w:hAnsi="Arial Narrow"/>
          <w:i/>
          <w:iCs/>
          <w:sz w:val="18"/>
          <w:szCs w:val="18"/>
        </w:rPr>
        <w:t>Ophthalmology</w:t>
      </w:r>
      <w:r w:rsidRPr="00A36D18">
        <w:rPr>
          <w:rFonts w:ascii="Arial Narrow" w:hAnsi="Arial Narrow"/>
          <w:sz w:val="18"/>
          <w:szCs w:val="18"/>
        </w:rPr>
        <w:t xml:space="preserve"> 2021;128(6):899-909.</w:t>
      </w:r>
    </w:p>
  </w:footnote>
  <w:footnote w:id="5">
    <w:p w14:paraId="69DAD1D7" w14:textId="77777777" w:rsidR="002A66BB" w:rsidRPr="00D81F01" w:rsidRDefault="002A66BB">
      <w:pPr>
        <w:pStyle w:val="FootnoteText"/>
        <w:rPr>
          <w:lang w:val="en-US"/>
        </w:rPr>
      </w:pPr>
      <w:r w:rsidRPr="00A36D18">
        <w:rPr>
          <w:rStyle w:val="FootnoteReference"/>
          <w:rFonts w:ascii="Arial Narrow" w:hAnsi="Arial Narrow"/>
          <w:sz w:val="18"/>
          <w:szCs w:val="18"/>
        </w:rPr>
        <w:footnoteRef/>
      </w:r>
      <w:r w:rsidRPr="00A36D18">
        <w:rPr>
          <w:rFonts w:ascii="Arial Narrow" w:hAnsi="Arial Narrow"/>
          <w:sz w:val="18"/>
          <w:szCs w:val="18"/>
        </w:rPr>
        <w:t xml:space="preserve"> Eurelings LEM, Missotten TOAR, van Velthoven MEJ, van Daele PLA, van Laar JAM, van Hagen PM, Thiadens AAHJ, Rombach SM. Long-Term Follow-up of Patients With Uveitis Treated With Adalimumab: Response Rates and Reasons for Discontinuation of Therapy. </w:t>
      </w:r>
      <w:r w:rsidRPr="00A36D18">
        <w:rPr>
          <w:rFonts w:ascii="Arial Narrow" w:hAnsi="Arial Narrow"/>
          <w:i/>
          <w:iCs/>
          <w:sz w:val="18"/>
          <w:szCs w:val="18"/>
        </w:rPr>
        <w:t>Am J Ophthalmol.</w:t>
      </w:r>
      <w:r w:rsidRPr="00A36D18">
        <w:rPr>
          <w:rFonts w:ascii="Arial Narrow" w:hAnsi="Arial Narrow"/>
          <w:sz w:val="18"/>
          <w:szCs w:val="18"/>
        </w:rPr>
        <w:t xml:space="preserve"> 2022 Aug;240:194-204.</w:t>
      </w:r>
    </w:p>
  </w:footnote>
  <w:footnote w:id="6">
    <w:p w14:paraId="24FFE242" w14:textId="77777777" w:rsidR="00D016B3" w:rsidRPr="00EF6BC1" w:rsidRDefault="00D016B3" w:rsidP="00D016B3">
      <w:pPr>
        <w:pStyle w:val="FootnoteText"/>
        <w:rPr>
          <w:rFonts w:ascii="Arial Narrow" w:hAnsi="Arial Narrow"/>
          <w:sz w:val="18"/>
          <w:szCs w:val="18"/>
          <w:lang w:val="en-US"/>
        </w:rPr>
      </w:pPr>
      <w:r w:rsidRPr="00EF6BC1">
        <w:rPr>
          <w:rStyle w:val="FootnoteReference"/>
          <w:rFonts w:ascii="Arial Narrow" w:hAnsi="Arial Narrow"/>
          <w:sz w:val="18"/>
          <w:szCs w:val="18"/>
        </w:rPr>
        <w:footnoteRef/>
      </w:r>
      <w:r w:rsidRPr="00EF6BC1">
        <w:rPr>
          <w:rFonts w:ascii="Arial Narrow" w:hAnsi="Arial Narrow"/>
          <w:sz w:val="18"/>
          <w:szCs w:val="18"/>
        </w:rPr>
        <w:t xml:space="preserve"> </w:t>
      </w:r>
      <w:r w:rsidRPr="00EF6BC1">
        <w:rPr>
          <w:rStyle w:val="cf01"/>
          <w:rFonts w:ascii="Arial Narrow" w:hAnsi="Arial Narrow"/>
        </w:rPr>
        <w:t>The SYCAMORE trial included OCS &lt;0.2mg/kg however only 6 patients from 90 were taking OCS at randomisation. (Hence the OCS dose for a 30kg child at a rate of 0.2mg/kg would be 6 mg or 4 mg in a 20kg child less than the proposed &gt;7.5mg).</w:t>
      </w:r>
    </w:p>
  </w:footnote>
  <w:footnote w:id="7">
    <w:p w14:paraId="6D348521" w14:textId="4888F8B6" w:rsidR="004F107B" w:rsidRPr="004F107B" w:rsidRDefault="004F107B">
      <w:pPr>
        <w:pStyle w:val="FootnoteText"/>
        <w:rPr>
          <w:lang w:val="en-US"/>
        </w:rPr>
      </w:pPr>
      <w:r w:rsidRPr="00EF6BC1">
        <w:rPr>
          <w:rStyle w:val="FootnoteReference"/>
          <w:rFonts w:ascii="Arial Narrow" w:hAnsi="Arial Narrow"/>
          <w:sz w:val="18"/>
          <w:szCs w:val="18"/>
        </w:rPr>
        <w:footnoteRef/>
      </w:r>
      <w:r w:rsidRPr="00EF6BC1">
        <w:rPr>
          <w:rFonts w:ascii="Arial Narrow" w:hAnsi="Arial Narrow"/>
          <w:sz w:val="18"/>
          <w:szCs w:val="18"/>
        </w:rPr>
        <w:t xml:space="preserve"> </w:t>
      </w:r>
      <w:r w:rsidR="00B3621D" w:rsidRPr="00EF6BC1">
        <w:rPr>
          <w:rFonts w:ascii="Arial Narrow" w:hAnsi="Arial Narrow"/>
          <w:sz w:val="18"/>
          <w:szCs w:val="18"/>
        </w:rPr>
        <w:t xml:space="preserve">An Australian Living Guideline for the Management of Juvenile Idiopathic Arthritis </w:t>
      </w:r>
      <w:r w:rsidRPr="00EF6BC1">
        <w:rPr>
          <w:rFonts w:ascii="Arial Narrow" w:hAnsi="Arial Narrow"/>
          <w:sz w:val="18"/>
          <w:szCs w:val="18"/>
        </w:rPr>
        <w:t>https://app.magicapp.org/#/guideline/7562</w:t>
      </w:r>
    </w:p>
  </w:footnote>
  <w:footnote w:id="8">
    <w:p w14:paraId="0AB10E15" w14:textId="77777777" w:rsidR="002A66BB" w:rsidRPr="001F5065" w:rsidRDefault="002A66BB">
      <w:pPr>
        <w:pStyle w:val="FootnoteText"/>
        <w:rPr>
          <w:lang w:val="en-US"/>
        </w:rPr>
      </w:pPr>
      <w:r>
        <w:rPr>
          <w:rStyle w:val="FootnoteReference"/>
        </w:rPr>
        <w:footnoteRef/>
      </w:r>
      <w:r>
        <w:t xml:space="preserve"> </w:t>
      </w:r>
      <w:r w:rsidRPr="001F5065">
        <w:t>Ramanan AV, Dick AD, Jones AP, McKay A, Williamson PR, Compeyrot-Lacassagne S, Hardwick B, Hickey H, Hughes D, Woo P, and Benton D, 2017. Adalimumab plus methotrexate for uveitis in juvenile idiopathic arthritis. New England Journal of Medicine. 2017;376(17):1637-1646.</w:t>
      </w:r>
    </w:p>
  </w:footnote>
  <w:footnote w:id="9">
    <w:p w14:paraId="45760176" w14:textId="77777777" w:rsidR="002A66BB" w:rsidRPr="00A353DE" w:rsidRDefault="002A66BB" w:rsidP="007147FD">
      <w:pPr>
        <w:pStyle w:val="FooterTableFigure"/>
        <w:rPr>
          <w:lang w:val="en-US"/>
        </w:rPr>
      </w:pPr>
      <w:r>
        <w:rPr>
          <w:rStyle w:val="FootnoteReference"/>
        </w:rPr>
        <w:footnoteRef/>
      </w:r>
      <w:r>
        <w:t xml:space="preserve"> </w:t>
      </w:r>
      <w:r>
        <w:rPr>
          <w:lang w:val="en-US"/>
        </w:rPr>
        <w:t>Quartier et al. (2017) reported that the</w:t>
      </w:r>
      <w:r w:rsidRPr="00A353DE">
        <w:rPr>
          <w:lang w:val="en-US"/>
        </w:rPr>
        <w:t xml:space="preserve"> </w:t>
      </w:r>
      <w:r>
        <w:rPr>
          <w:lang w:val="en-US"/>
        </w:rPr>
        <w:t>confidence interval was</w:t>
      </w:r>
      <w:r w:rsidRPr="00A353DE">
        <w:rPr>
          <w:lang w:val="en-US"/>
        </w:rPr>
        <w:t xml:space="preserve"> narrower</w:t>
      </w:r>
      <w:r>
        <w:rPr>
          <w:lang w:val="en-US"/>
        </w:rPr>
        <w:t xml:space="preserve"> </w:t>
      </w:r>
      <w:r w:rsidRPr="00A353DE">
        <w:rPr>
          <w:lang w:val="en-US"/>
        </w:rPr>
        <w:t xml:space="preserve">when recalculated with a more </w:t>
      </w:r>
      <w:r>
        <w:rPr>
          <w:lang w:val="en-US"/>
        </w:rPr>
        <w:t>“</w:t>
      </w:r>
      <w:r w:rsidRPr="00A353DE">
        <w:rPr>
          <w:lang w:val="en-US"/>
        </w:rPr>
        <w:t>appropriate method for small</w:t>
      </w:r>
      <w:r>
        <w:rPr>
          <w:lang w:val="en-US"/>
        </w:rPr>
        <w:t xml:space="preserve"> s</w:t>
      </w:r>
      <w:r w:rsidRPr="00A353DE">
        <w:rPr>
          <w:lang w:val="en-US"/>
        </w:rPr>
        <w:t>amples</w:t>
      </w:r>
      <w:r>
        <w:rPr>
          <w:lang w:val="en-US"/>
        </w:rPr>
        <w:t>”</w:t>
      </w:r>
      <w:r w:rsidRPr="00A353DE">
        <w:rPr>
          <w:lang w:val="en-US"/>
        </w:rPr>
        <w:t xml:space="preserve"> (</w:t>
      </w:r>
      <w:r>
        <w:rPr>
          <w:lang w:val="en-US"/>
        </w:rPr>
        <w:t xml:space="preserve">using </w:t>
      </w:r>
      <w:r w:rsidRPr="00A353DE">
        <w:rPr>
          <w:lang w:val="en-US"/>
        </w:rPr>
        <w:t xml:space="preserve">Koopman asymptotic score) </w:t>
      </w:r>
      <w:r>
        <w:rPr>
          <w:lang w:val="en-US"/>
        </w:rPr>
        <w:t>[relative risk</w:t>
      </w:r>
      <w:r w:rsidRPr="00A353DE">
        <w:rPr>
          <w:lang w:val="en-US"/>
        </w:rPr>
        <w:t>=2.81</w:t>
      </w:r>
      <w:r>
        <w:rPr>
          <w:lang w:val="en-US"/>
        </w:rPr>
        <w:t xml:space="preserve">, 95% CI: </w:t>
      </w:r>
      <w:r w:rsidRPr="00A353DE">
        <w:rPr>
          <w:lang w:val="en-US"/>
        </w:rPr>
        <w:t>1.05</w:t>
      </w:r>
      <w:r>
        <w:rPr>
          <w:lang w:val="en-US"/>
        </w:rPr>
        <w:t xml:space="preserve">, </w:t>
      </w:r>
      <w:r w:rsidRPr="00A353DE">
        <w:rPr>
          <w:lang w:val="en-US"/>
        </w:rPr>
        <w:t>8.50).</w:t>
      </w:r>
    </w:p>
  </w:footnote>
  <w:footnote w:id="10">
    <w:p w14:paraId="667C8F49" w14:textId="77777777" w:rsidR="002A66BB" w:rsidRPr="002143A9" w:rsidRDefault="002A66BB">
      <w:pPr>
        <w:pStyle w:val="FooterTableFigure"/>
        <w:rPr>
          <w:lang w:val="en-US"/>
        </w:rPr>
      </w:pPr>
      <w:r>
        <w:rPr>
          <w:rStyle w:val="FootnoteReference"/>
        </w:rPr>
        <w:footnoteRef/>
      </w:r>
      <w:r>
        <w:t xml:space="preserve"> A</w:t>
      </w:r>
      <w:r w:rsidRPr="002143A9">
        <w:t xml:space="preserve"> large retrospective analysis of US insurance claims data, which estimated the time to first ocular complication in patients with posterior, intermediate or panuveitis and matched controls</w:t>
      </w:r>
      <w:r>
        <w:t>.</w:t>
      </w:r>
    </w:p>
  </w:footnote>
  <w:footnote w:id="11">
    <w:p w14:paraId="5391C0CE" w14:textId="77777777" w:rsidR="002A66BB" w:rsidRPr="000A77F9" w:rsidRDefault="002A66BB">
      <w:pPr>
        <w:pStyle w:val="FooterTableFigure"/>
        <w:rPr>
          <w:lang w:val="en-US"/>
        </w:rPr>
      </w:pPr>
      <w:r>
        <w:rPr>
          <w:rStyle w:val="FootnoteReference"/>
        </w:rPr>
        <w:footnoteRef/>
      </w:r>
      <w:r>
        <w:t xml:space="preserve"> The resubmission presented a Forest Plot figure </w:t>
      </w:r>
      <w:r w:rsidRPr="0073419C">
        <w:t>(Figure 3-11, p156 of the resubmission)</w:t>
      </w:r>
      <w:r>
        <w:t xml:space="preserve"> to show the results of the pooling but did not provide details on the method used. Labels in the figure appeared to indicate that </w:t>
      </w:r>
      <w:r w:rsidRPr="0073419C">
        <w:t>the resubmission employed a random effects inverse variance model in synthesis</w:t>
      </w:r>
      <w:r>
        <w:t>.</w:t>
      </w:r>
    </w:p>
  </w:footnote>
  <w:footnote w:id="12">
    <w:p w14:paraId="0AF3E403" w14:textId="0FEF13F1" w:rsidR="00032ABF" w:rsidRPr="005B37B7" w:rsidRDefault="00032ABF">
      <w:pPr>
        <w:pStyle w:val="FootnoteText"/>
        <w:rPr>
          <w:rFonts w:asciiTheme="minorHAnsi" w:hAnsiTheme="minorHAnsi" w:cstheme="minorHAnsi"/>
          <w:lang w:val="en-US"/>
        </w:rPr>
      </w:pPr>
      <w:r w:rsidRPr="005B37B7">
        <w:rPr>
          <w:rStyle w:val="FootnoteReference"/>
          <w:rFonts w:asciiTheme="minorHAnsi" w:hAnsiTheme="minorHAnsi" w:cstheme="minorHAnsi"/>
        </w:rPr>
        <w:footnoteRef/>
      </w:r>
      <w:r w:rsidRPr="005B37B7">
        <w:rPr>
          <w:rFonts w:asciiTheme="minorHAnsi" w:hAnsiTheme="minorHAnsi" w:cstheme="minorHAnsi"/>
        </w:rPr>
        <w:t xml:space="preserve"> Leal I, Wong SW, Giuffre C, Patil A, Sousa DC, Barbosa-Breda J, Chhabra R, Jones NP, &amp; Steeples LR. Real-World outcomes of adalimumab in adults with non-infectious uveitis. </w:t>
      </w:r>
      <w:r w:rsidRPr="005B37B7">
        <w:rPr>
          <w:rFonts w:asciiTheme="minorHAnsi" w:hAnsiTheme="minorHAnsi" w:cstheme="minorHAnsi"/>
          <w:i/>
          <w:iCs/>
        </w:rPr>
        <w:t>Acta Ophthalmologica</w:t>
      </w:r>
      <w:r w:rsidR="003301F3" w:rsidRPr="005B37B7">
        <w:rPr>
          <w:rFonts w:asciiTheme="minorHAnsi" w:hAnsiTheme="minorHAnsi" w:cstheme="minorHAnsi"/>
          <w:i/>
          <w:iCs/>
        </w:rPr>
        <w:t xml:space="preserve"> </w:t>
      </w:r>
      <w:r w:rsidR="003301F3" w:rsidRPr="005B37B7">
        <w:rPr>
          <w:rFonts w:asciiTheme="minorHAnsi" w:hAnsiTheme="minorHAnsi" w:cstheme="minorHAnsi"/>
        </w:rPr>
        <w:t>2022;</w:t>
      </w:r>
      <w:r w:rsidRPr="005B37B7">
        <w:rPr>
          <w:rFonts w:asciiTheme="minorHAnsi" w:hAnsiTheme="minorHAnsi" w:cstheme="minorHAnsi"/>
        </w:rPr>
        <w:t>100(7)</w:t>
      </w:r>
      <w:r w:rsidR="00C15FC5" w:rsidRPr="005B37B7">
        <w:rPr>
          <w:rFonts w:asciiTheme="minorHAnsi" w:hAnsiTheme="minorHAnsi" w:cstheme="minorHAnsi"/>
        </w:rPr>
        <w:t>:</w:t>
      </w:r>
      <w:r w:rsidRPr="005B37B7">
        <w:rPr>
          <w:rFonts w:asciiTheme="minorHAnsi" w:hAnsiTheme="minorHAnsi" w:cstheme="minorHAnsi"/>
        </w:rPr>
        <w:t>e1496-e1502.</w:t>
      </w:r>
    </w:p>
  </w:footnote>
  <w:footnote w:id="13">
    <w:p w14:paraId="199E7E26" w14:textId="77777777" w:rsidR="002A66BB" w:rsidRPr="00AC4AF2" w:rsidRDefault="002A66BB">
      <w:pPr>
        <w:pStyle w:val="FooterTableFigure"/>
        <w:rPr>
          <w:lang w:val="en-US"/>
        </w:rPr>
      </w:pPr>
      <w:r w:rsidRPr="005B37B7">
        <w:rPr>
          <w:rStyle w:val="FootnoteReference"/>
          <w:rFonts w:asciiTheme="minorHAnsi" w:hAnsiTheme="minorHAnsi" w:cstheme="minorHAnsi"/>
          <w:sz w:val="20"/>
          <w:szCs w:val="20"/>
        </w:rPr>
        <w:footnoteRef/>
      </w:r>
      <w:r w:rsidRPr="005B37B7">
        <w:rPr>
          <w:rFonts w:asciiTheme="minorHAnsi" w:hAnsiTheme="minorHAnsi" w:cstheme="minorHAnsi"/>
          <w:sz w:val="20"/>
          <w:szCs w:val="20"/>
        </w:rPr>
        <w:t xml:space="preserve"> The VISUAL III study was originally planned for 78 weeks but extended to week 366. At Week 78, Around 75% and 50% of the patients were retained at week 78 and week 150, respectively. By week 246, less than 10% were retained. No results are reported beyond Week 246.</w:t>
      </w:r>
    </w:p>
  </w:footnote>
  <w:footnote w:id="14">
    <w:p w14:paraId="19EB533B" w14:textId="28937AA7" w:rsidR="00A02537" w:rsidRPr="00F35EBD" w:rsidRDefault="00A02537">
      <w:pPr>
        <w:pStyle w:val="FootnoteText"/>
        <w:rPr>
          <w:rFonts w:ascii="Arial Narrow" w:hAnsi="Arial Narrow"/>
          <w:sz w:val="18"/>
          <w:szCs w:val="18"/>
          <w:lang w:val="en-US"/>
        </w:rPr>
      </w:pPr>
      <w:r w:rsidRPr="00F35EBD">
        <w:rPr>
          <w:rStyle w:val="FootnoteReference"/>
          <w:rFonts w:ascii="Arial Narrow" w:hAnsi="Arial Narrow"/>
          <w:sz w:val="18"/>
          <w:szCs w:val="18"/>
        </w:rPr>
        <w:footnoteRef/>
      </w:r>
      <w:r w:rsidRPr="00F35EBD">
        <w:rPr>
          <w:rFonts w:ascii="Arial Narrow" w:hAnsi="Arial Narrow"/>
          <w:sz w:val="18"/>
          <w:szCs w:val="18"/>
        </w:rPr>
        <w:t xml:space="preserve"> Dick AD, Tundia N, Sorg R, Zhao C, Chao J, Joshi A &amp; Skup M. Risk of Ocular Complications in Patients with Noninfectious Intermediate Uveitis, Posterior Uveitis, or Panuveitis. </w:t>
      </w:r>
      <w:r w:rsidRPr="00F35EBD">
        <w:rPr>
          <w:rFonts w:ascii="Arial Narrow" w:hAnsi="Arial Narrow"/>
          <w:i/>
          <w:sz w:val="18"/>
          <w:szCs w:val="18"/>
        </w:rPr>
        <w:t xml:space="preserve">Ophthalmology </w:t>
      </w:r>
      <w:r w:rsidRPr="00F35EBD">
        <w:rPr>
          <w:rFonts w:ascii="Arial Narrow" w:hAnsi="Arial Narrow"/>
          <w:sz w:val="18"/>
          <w:szCs w:val="18"/>
        </w:rPr>
        <w:t>2016;123(3):655-662.</w:t>
      </w:r>
    </w:p>
  </w:footnote>
  <w:footnote w:id="15">
    <w:p w14:paraId="79DD31CB" w14:textId="53C5E684" w:rsidR="00D76E52" w:rsidRPr="00D76E52" w:rsidRDefault="00D76E52">
      <w:pPr>
        <w:pStyle w:val="FootnoteText"/>
        <w:rPr>
          <w:lang w:val="en-US"/>
        </w:rPr>
      </w:pPr>
      <w:r w:rsidRPr="00F35EBD">
        <w:rPr>
          <w:rStyle w:val="FootnoteReference"/>
          <w:rFonts w:ascii="Arial Narrow" w:hAnsi="Arial Narrow"/>
          <w:sz w:val="18"/>
          <w:szCs w:val="18"/>
        </w:rPr>
        <w:footnoteRef/>
      </w:r>
      <w:r w:rsidRPr="00F35EBD">
        <w:rPr>
          <w:rFonts w:ascii="Arial Narrow" w:hAnsi="Arial Narrow"/>
          <w:sz w:val="18"/>
          <w:szCs w:val="18"/>
        </w:rPr>
        <w:t xml:space="preserve"> Eurelings LEM, Missotten T, van Velthoven MEJ, van Daele PLA, van Laar JAM, van Hagen PM, Thiadens A &amp; Rombach SM. Long-Term Follow-up of Patients With Uveitis Treated With Adalimumab: Response Rates and Reasons for Discontinuation of Therapy. </w:t>
      </w:r>
      <w:r w:rsidRPr="00F35EBD">
        <w:rPr>
          <w:rFonts w:ascii="Arial Narrow" w:hAnsi="Arial Narrow"/>
          <w:i/>
          <w:sz w:val="18"/>
          <w:szCs w:val="18"/>
        </w:rPr>
        <w:t>Am J Ophthalmol</w:t>
      </w:r>
      <w:r w:rsidRPr="00F35EBD">
        <w:rPr>
          <w:rFonts w:ascii="Arial Narrow" w:hAnsi="Arial Narrow"/>
          <w:sz w:val="18"/>
          <w:szCs w:val="18"/>
        </w:rPr>
        <w:t xml:space="preserve"> 2022;240:194-204.</w:t>
      </w:r>
    </w:p>
  </w:footnote>
  <w:footnote w:id="16">
    <w:p w14:paraId="1DD4B4FA" w14:textId="73A6F8A7" w:rsidR="006D1FD5" w:rsidRDefault="006D1FD5">
      <w:pPr>
        <w:pStyle w:val="FootnoteText"/>
      </w:pPr>
      <w:r>
        <w:rPr>
          <w:rStyle w:val="FootnoteReference"/>
        </w:rPr>
        <w:footnoteRef/>
      </w:r>
      <w:r>
        <w:t xml:space="preserve"> </w:t>
      </w:r>
      <w:r w:rsidRPr="00765E23">
        <w:rPr>
          <w:rFonts w:asciiTheme="minorHAnsi" w:hAnsiTheme="minorHAnsi" w:cstheme="minorHAnsi"/>
          <w:i/>
          <w:iCs/>
          <w:sz w:val="18"/>
          <w:szCs w:val="18"/>
        </w:rPr>
        <w:t>Note that the data provided by the Royal Victorian Eye and Ear Hospital (RVEEH) is part of a manuscript which is currently under preparation, to be submitted in 2025. This information will be unredacted at such time that the paper is published.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233FF" w14:textId="77777777" w:rsidR="00771261" w:rsidRDefault="00771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F47A" w14:textId="2D210A3B" w:rsidR="0000197A" w:rsidRPr="0000197A" w:rsidRDefault="001F0C3F" w:rsidP="006D1FD5">
    <w:pPr>
      <w:tabs>
        <w:tab w:val="center" w:pos="4513"/>
        <w:tab w:val="right" w:pos="9026"/>
      </w:tabs>
      <w:contextualSpacing/>
      <w:jc w:val="center"/>
      <w:rPr>
        <w:rFonts w:asciiTheme="minorHAnsi" w:hAnsiTheme="minorHAnsi"/>
        <w:i/>
        <w:color w:val="808080"/>
      </w:rPr>
    </w:pPr>
    <w:bookmarkStart w:id="94" w:name="_Hlk164861975"/>
    <w:r w:rsidRPr="00E3136B">
      <w:rPr>
        <w:rFonts w:asciiTheme="minorHAnsi" w:hAnsiTheme="minorHAnsi"/>
        <w:i/>
        <w:color w:val="808080"/>
      </w:rPr>
      <w:t>Public Summary Document</w:t>
    </w:r>
    <w:bookmarkEnd w:id="94"/>
    <w:r w:rsidRPr="00E3136B">
      <w:rPr>
        <w:rFonts w:asciiTheme="minorHAnsi" w:hAnsiTheme="minorHAnsi"/>
        <w:i/>
        <w:color w:val="808080"/>
      </w:rPr>
      <w:t xml:space="preserve"> </w:t>
    </w:r>
    <w:r w:rsidR="0000197A" w:rsidRPr="0000197A">
      <w:rPr>
        <w:rFonts w:asciiTheme="minorHAnsi" w:hAnsiTheme="minorHAnsi"/>
        <w:i/>
        <w:color w:val="808080"/>
      </w:rPr>
      <w:t>– March 2024 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ECBA" w14:textId="77777777" w:rsidR="00771261" w:rsidRDefault="00771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2D21E5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9E445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A1444BC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B21F61"/>
    <w:multiLevelType w:val="hybridMultilevel"/>
    <w:tmpl w:val="F108563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10B0C22"/>
    <w:multiLevelType w:val="hybridMultilevel"/>
    <w:tmpl w:val="3E70AD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ADE7E20"/>
    <w:multiLevelType w:val="hybridMultilevel"/>
    <w:tmpl w:val="98F8D660"/>
    <w:styleLink w:val="CurrentList15"/>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EC124C"/>
    <w:multiLevelType w:val="hybridMultilevel"/>
    <w:tmpl w:val="2C286884"/>
    <w:lvl w:ilvl="0" w:tplc="1766FFA0">
      <w:start w:val="1"/>
      <w:numFmt w:val="lowerLetter"/>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E616A8"/>
    <w:multiLevelType w:val="multilevel"/>
    <w:tmpl w:val="332C6C6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6332AF"/>
    <w:multiLevelType w:val="hybridMultilevel"/>
    <w:tmpl w:val="F15AAFFA"/>
    <w:lvl w:ilvl="0" w:tplc="951499EE">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CC085B"/>
    <w:multiLevelType w:val="hybridMultilevel"/>
    <w:tmpl w:val="6D5E4D9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DA425F1"/>
    <w:multiLevelType w:val="hybridMultilevel"/>
    <w:tmpl w:val="DC9E3344"/>
    <w:lvl w:ilvl="0" w:tplc="571AE6F2">
      <w:start w:val="1"/>
      <w:numFmt w:val="bullet"/>
      <w:pStyle w:val="TableNotesLa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15128EF"/>
    <w:multiLevelType w:val="multilevel"/>
    <w:tmpl w:val="824AE24E"/>
    <w:styleLink w:val="CurrentList1"/>
    <w:lvl w:ilvl="0">
      <w:start w:val="1"/>
      <w:numFmt w:val="none"/>
      <w:lvlText w:val=""/>
      <w:lvlJc w:val="left"/>
      <w:pPr>
        <w:ind w:left="432" w:hanging="432"/>
      </w:pPr>
      <w:rPr>
        <w:rFonts w:hint="default"/>
      </w:rPr>
    </w:lvl>
    <w:lvl w:ilvl="1">
      <w:start w:val="1"/>
      <w:numFmt w:val="decimal"/>
      <w:lvlText w:val="Section %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32850CD"/>
    <w:multiLevelType w:val="hybridMultilevel"/>
    <w:tmpl w:val="148A62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47A7BB8"/>
    <w:multiLevelType w:val="hybridMultilevel"/>
    <w:tmpl w:val="1B48E6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6E3671F"/>
    <w:multiLevelType w:val="hybridMultilevel"/>
    <w:tmpl w:val="B76408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BC3675A"/>
    <w:multiLevelType w:val="hybridMultilevel"/>
    <w:tmpl w:val="19B6A296"/>
    <w:styleLink w:val="PBACstandardnumberstyl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4D033C"/>
    <w:multiLevelType w:val="multilevel"/>
    <w:tmpl w:val="64DA939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165698"/>
    <w:multiLevelType w:val="hybridMultilevel"/>
    <w:tmpl w:val="152CB3B0"/>
    <w:lvl w:ilvl="0" w:tplc="0C090001">
      <w:start w:val="1"/>
      <w:numFmt w:val="bullet"/>
      <w:pStyle w:val="PBACH1"/>
      <w:lvlText w:val=""/>
      <w:lvlJc w:val="left"/>
      <w:pPr>
        <w:ind w:left="360" w:hanging="360"/>
      </w:pPr>
      <w:rPr>
        <w:rFonts w:ascii="Symbol" w:hAnsi="Symbol" w:hint="default"/>
      </w:rPr>
    </w:lvl>
    <w:lvl w:ilvl="1" w:tplc="04090003">
      <w:start w:val="1"/>
      <w:numFmt w:val="bullet"/>
      <w:pStyle w:val="PBACH2"/>
      <w:lvlText w:val="o"/>
      <w:lvlJc w:val="left"/>
      <w:pPr>
        <w:ind w:left="1080" w:hanging="360"/>
      </w:pPr>
      <w:rPr>
        <w:rFonts w:ascii="Courier New" w:hAnsi="Courier New" w:cs="Courier New" w:hint="default"/>
      </w:rPr>
    </w:lvl>
    <w:lvl w:ilvl="2" w:tplc="14323400">
      <w:numFmt w:val="bullet"/>
      <w:lvlText w:val="•"/>
      <w:lvlJc w:val="left"/>
      <w:pPr>
        <w:ind w:left="2160" w:hanging="720"/>
      </w:pPr>
      <w:rPr>
        <w:rFonts w:ascii="Calibri" w:eastAsia="Calibri" w:hAnsi="Calibri" w:cs="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3044437">
    <w:abstractNumId w:val="8"/>
  </w:num>
  <w:num w:numId="2" w16cid:durableId="797801453">
    <w:abstractNumId w:val="9"/>
  </w:num>
  <w:num w:numId="3" w16cid:durableId="2018261838">
    <w:abstractNumId w:val="2"/>
  </w:num>
  <w:num w:numId="4" w16cid:durableId="1974826476">
    <w:abstractNumId w:val="21"/>
  </w:num>
  <w:num w:numId="5" w16cid:durableId="2102681194">
    <w:abstractNumId w:val="16"/>
  </w:num>
  <w:num w:numId="6" w16cid:durableId="1042748157">
    <w:abstractNumId w:val="0"/>
  </w:num>
  <w:num w:numId="7" w16cid:durableId="1395156546">
    <w:abstractNumId w:val="14"/>
  </w:num>
  <w:num w:numId="8" w16cid:durableId="1576474447">
    <w:abstractNumId w:val="18"/>
  </w:num>
  <w:num w:numId="9" w16cid:durableId="1598098007">
    <w:abstractNumId w:val="12"/>
  </w:num>
  <w:num w:numId="10" w16cid:durableId="2131585607">
    <w:abstractNumId w:val="3"/>
  </w:num>
  <w:num w:numId="11" w16cid:durableId="218710791">
    <w:abstractNumId w:val="7"/>
  </w:num>
  <w:num w:numId="12" w16cid:durableId="1508128631">
    <w:abstractNumId w:val="13"/>
  </w:num>
  <w:num w:numId="13" w16cid:durableId="1506170336">
    <w:abstractNumId w:val="11"/>
  </w:num>
  <w:num w:numId="14" w16cid:durableId="91827376">
    <w:abstractNumId w:val="22"/>
  </w:num>
  <w:num w:numId="15" w16cid:durableId="1280718808">
    <w:abstractNumId w:val="19"/>
  </w:num>
  <w:num w:numId="16" w16cid:durableId="883828427">
    <w:abstractNumId w:val="5"/>
  </w:num>
  <w:num w:numId="17" w16cid:durableId="1586963463">
    <w:abstractNumId w:val="17"/>
  </w:num>
  <w:num w:numId="18" w16cid:durableId="559830364">
    <w:abstractNumId w:val="15"/>
  </w:num>
  <w:num w:numId="19" w16cid:durableId="1656756819">
    <w:abstractNumId w:val="10"/>
  </w:num>
  <w:num w:numId="20" w16cid:durableId="656224807">
    <w:abstractNumId w:val="1"/>
  </w:num>
  <w:num w:numId="21" w16cid:durableId="1305815215">
    <w:abstractNumId w:val="6"/>
  </w:num>
  <w:num w:numId="22" w16cid:durableId="503782708">
    <w:abstractNumId w:val="20"/>
  </w:num>
  <w:num w:numId="23" w16cid:durableId="30671357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MrY0NTa2MLWwMDBV0lEKTi0uzszPAykwMawFAOfequEtAAAA"/>
  </w:docVars>
  <w:rsids>
    <w:rsidRoot w:val="00E65E79"/>
    <w:rsid w:val="0000064E"/>
    <w:rsid w:val="0000073E"/>
    <w:rsid w:val="00000790"/>
    <w:rsid w:val="00000AB8"/>
    <w:rsid w:val="0000110B"/>
    <w:rsid w:val="000012D7"/>
    <w:rsid w:val="00001849"/>
    <w:rsid w:val="0000197A"/>
    <w:rsid w:val="00001E1C"/>
    <w:rsid w:val="0000277B"/>
    <w:rsid w:val="00002976"/>
    <w:rsid w:val="00002CCA"/>
    <w:rsid w:val="00002D5E"/>
    <w:rsid w:val="00003353"/>
    <w:rsid w:val="00003499"/>
    <w:rsid w:val="000036A3"/>
    <w:rsid w:val="00003927"/>
    <w:rsid w:val="000039B7"/>
    <w:rsid w:val="00004284"/>
    <w:rsid w:val="000045F4"/>
    <w:rsid w:val="00004E7F"/>
    <w:rsid w:val="000051E0"/>
    <w:rsid w:val="000056B9"/>
    <w:rsid w:val="00006293"/>
    <w:rsid w:val="0000639A"/>
    <w:rsid w:val="0000660B"/>
    <w:rsid w:val="00006839"/>
    <w:rsid w:val="00006B74"/>
    <w:rsid w:val="00007978"/>
    <w:rsid w:val="00007B0A"/>
    <w:rsid w:val="00010593"/>
    <w:rsid w:val="00011013"/>
    <w:rsid w:val="000111CD"/>
    <w:rsid w:val="000114BD"/>
    <w:rsid w:val="00011AC8"/>
    <w:rsid w:val="00011BC4"/>
    <w:rsid w:val="00011C4F"/>
    <w:rsid w:val="0001222E"/>
    <w:rsid w:val="0001266B"/>
    <w:rsid w:val="000127B8"/>
    <w:rsid w:val="00012F0C"/>
    <w:rsid w:val="00013086"/>
    <w:rsid w:val="00013247"/>
    <w:rsid w:val="00013276"/>
    <w:rsid w:val="00013836"/>
    <w:rsid w:val="0001430E"/>
    <w:rsid w:val="00014324"/>
    <w:rsid w:val="00014539"/>
    <w:rsid w:val="00014B7B"/>
    <w:rsid w:val="00015886"/>
    <w:rsid w:val="00015A29"/>
    <w:rsid w:val="00015B14"/>
    <w:rsid w:val="00015C81"/>
    <w:rsid w:val="00015FF3"/>
    <w:rsid w:val="000162EF"/>
    <w:rsid w:val="0001640D"/>
    <w:rsid w:val="000166A3"/>
    <w:rsid w:val="00016813"/>
    <w:rsid w:val="00016B40"/>
    <w:rsid w:val="00016EBD"/>
    <w:rsid w:val="000172FE"/>
    <w:rsid w:val="000175E7"/>
    <w:rsid w:val="00017CB1"/>
    <w:rsid w:val="00020695"/>
    <w:rsid w:val="000207C9"/>
    <w:rsid w:val="00020A74"/>
    <w:rsid w:val="000214D6"/>
    <w:rsid w:val="00021534"/>
    <w:rsid w:val="00021A44"/>
    <w:rsid w:val="00021AD7"/>
    <w:rsid w:val="00021C8C"/>
    <w:rsid w:val="0002225F"/>
    <w:rsid w:val="00022EFE"/>
    <w:rsid w:val="00023763"/>
    <w:rsid w:val="000240F0"/>
    <w:rsid w:val="00024D3D"/>
    <w:rsid w:val="00024E14"/>
    <w:rsid w:val="00024EB5"/>
    <w:rsid w:val="00025444"/>
    <w:rsid w:val="0002567C"/>
    <w:rsid w:val="000266EA"/>
    <w:rsid w:val="00027157"/>
    <w:rsid w:val="000274B8"/>
    <w:rsid w:val="00027625"/>
    <w:rsid w:val="00027782"/>
    <w:rsid w:val="000309C4"/>
    <w:rsid w:val="00031173"/>
    <w:rsid w:val="0003146D"/>
    <w:rsid w:val="00031C53"/>
    <w:rsid w:val="00031F45"/>
    <w:rsid w:val="000322C7"/>
    <w:rsid w:val="00032ABF"/>
    <w:rsid w:val="00032BF1"/>
    <w:rsid w:val="00033466"/>
    <w:rsid w:val="000334D6"/>
    <w:rsid w:val="0003363A"/>
    <w:rsid w:val="00033711"/>
    <w:rsid w:val="00033863"/>
    <w:rsid w:val="000338FA"/>
    <w:rsid w:val="000340C1"/>
    <w:rsid w:val="000341A5"/>
    <w:rsid w:val="00034512"/>
    <w:rsid w:val="00035DC0"/>
    <w:rsid w:val="00036262"/>
    <w:rsid w:val="000364AB"/>
    <w:rsid w:val="000366F7"/>
    <w:rsid w:val="00036829"/>
    <w:rsid w:val="000371B0"/>
    <w:rsid w:val="000371F3"/>
    <w:rsid w:val="000374DB"/>
    <w:rsid w:val="00040855"/>
    <w:rsid w:val="00040895"/>
    <w:rsid w:val="00040BE8"/>
    <w:rsid w:val="00040F52"/>
    <w:rsid w:val="000410A0"/>
    <w:rsid w:val="00041178"/>
    <w:rsid w:val="00041208"/>
    <w:rsid w:val="00041643"/>
    <w:rsid w:val="000416E7"/>
    <w:rsid w:val="0004173F"/>
    <w:rsid w:val="0004233D"/>
    <w:rsid w:val="0004262F"/>
    <w:rsid w:val="000429BE"/>
    <w:rsid w:val="00043111"/>
    <w:rsid w:val="0004334D"/>
    <w:rsid w:val="000434BD"/>
    <w:rsid w:val="000435EE"/>
    <w:rsid w:val="00043C37"/>
    <w:rsid w:val="00043D4D"/>
    <w:rsid w:val="000441B7"/>
    <w:rsid w:val="000441E2"/>
    <w:rsid w:val="00044222"/>
    <w:rsid w:val="000443ED"/>
    <w:rsid w:val="00044468"/>
    <w:rsid w:val="0004466B"/>
    <w:rsid w:val="00044ED3"/>
    <w:rsid w:val="00044FE5"/>
    <w:rsid w:val="00045017"/>
    <w:rsid w:val="000454C6"/>
    <w:rsid w:val="0004551B"/>
    <w:rsid w:val="0004592A"/>
    <w:rsid w:val="00045A2B"/>
    <w:rsid w:val="00045BAA"/>
    <w:rsid w:val="00046179"/>
    <w:rsid w:val="00046807"/>
    <w:rsid w:val="000468D5"/>
    <w:rsid w:val="0004698F"/>
    <w:rsid w:val="00046D64"/>
    <w:rsid w:val="0004713F"/>
    <w:rsid w:val="00047A4C"/>
    <w:rsid w:val="00047ABA"/>
    <w:rsid w:val="00047EAF"/>
    <w:rsid w:val="00047F6A"/>
    <w:rsid w:val="00050237"/>
    <w:rsid w:val="000508C2"/>
    <w:rsid w:val="00050ADA"/>
    <w:rsid w:val="00050C14"/>
    <w:rsid w:val="00051002"/>
    <w:rsid w:val="0005105C"/>
    <w:rsid w:val="00051603"/>
    <w:rsid w:val="0005181A"/>
    <w:rsid w:val="000522C7"/>
    <w:rsid w:val="00052760"/>
    <w:rsid w:val="000530B8"/>
    <w:rsid w:val="00053994"/>
    <w:rsid w:val="000539D0"/>
    <w:rsid w:val="00054598"/>
    <w:rsid w:val="00054621"/>
    <w:rsid w:val="000546D7"/>
    <w:rsid w:val="000548C2"/>
    <w:rsid w:val="00054A8D"/>
    <w:rsid w:val="00055064"/>
    <w:rsid w:val="00055255"/>
    <w:rsid w:val="000554F1"/>
    <w:rsid w:val="00055537"/>
    <w:rsid w:val="00055941"/>
    <w:rsid w:val="0005692F"/>
    <w:rsid w:val="0005695F"/>
    <w:rsid w:val="00056A83"/>
    <w:rsid w:val="00056E71"/>
    <w:rsid w:val="00056ECF"/>
    <w:rsid w:val="000579B8"/>
    <w:rsid w:val="000579BA"/>
    <w:rsid w:val="00057DE0"/>
    <w:rsid w:val="0006024D"/>
    <w:rsid w:val="00060331"/>
    <w:rsid w:val="000604DF"/>
    <w:rsid w:val="000607E8"/>
    <w:rsid w:val="00060980"/>
    <w:rsid w:val="000613AE"/>
    <w:rsid w:val="0006149A"/>
    <w:rsid w:val="00061BAD"/>
    <w:rsid w:val="000630F0"/>
    <w:rsid w:val="000632AC"/>
    <w:rsid w:val="00063546"/>
    <w:rsid w:val="00063A0F"/>
    <w:rsid w:val="000653B5"/>
    <w:rsid w:val="00065C92"/>
    <w:rsid w:val="00065DDA"/>
    <w:rsid w:val="00065E5E"/>
    <w:rsid w:val="00066360"/>
    <w:rsid w:val="0006661F"/>
    <w:rsid w:val="00066774"/>
    <w:rsid w:val="00066AF8"/>
    <w:rsid w:val="000670EA"/>
    <w:rsid w:val="00067163"/>
    <w:rsid w:val="0006790D"/>
    <w:rsid w:val="00067B45"/>
    <w:rsid w:val="00067EE8"/>
    <w:rsid w:val="000702B1"/>
    <w:rsid w:val="00070DFE"/>
    <w:rsid w:val="00071028"/>
    <w:rsid w:val="00071248"/>
    <w:rsid w:val="0007134A"/>
    <w:rsid w:val="00071486"/>
    <w:rsid w:val="00071BCB"/>
    <w:rsid w:val="00072076"/>
    <w:rsid w:val="000720B9"/>
    <w:rsid w:val="00072410"/>
    <w:rsid w:val="00072506"/>
    <w:rsid w:val="00072860"/>
    <w:rsid w:val="00073124"/>
    <w:rsid w:val="000737F7"/>
    <w:rsid w:val="00074236"/>
    <w:rsid w:val="00074320"/>
    <w:rsid w:val="000743E9"/>
    <w:rsid w:val="000743F4"/>
    <w:rsid w:val="00074BA2"/>
    <w:rsid w:val="00075615"/>
    <w:rsid w:val="000758C5"/>
    <w:rsid w:val="000758FE"/>
    <w:rsid w:val="00076381"/>
    <w:rsid w:val="000764BF"/>
    <w:rsid w:val="0007672F"/>
    <w:rsid w:val="00076B54"/>
    <w:rsid w:val="0007702D"/>
    <w:rsid w:val="000774F0"/>
    <w:rsid w:val="00077997"/>
    <w:rsid w:val="00077CE4"/>
    <w:rsid w:val="00077F4E"/>
    <w:rsid w:val="00077FD8"/>
    <w:rsid w:val="00080890"/>
    <w:rsid w:val="00080909"/>
    <w:rsid w:val="00080E62"/>
    <w:rsid w:val="000812CA"/>
    <w:rsid w:val="00081471"/>
    <w:rsid w:val="0008159C"/>
    <w:rsid w:val="00081E63"/>
    <w:rsid w:val="00081F15"/>
    <w:rsid w:val="0008258D"/>
    <w:rsid w:val="00082F10"/>
    <w:rsid w:val="00083237"/>
    <w:rsid w:val="0008326E"/>
    <w:rsid w:val="00083A39"/>
    <w:rsid w:val="00083B77"/>
    <w:rsid w:val="00083E99"/>
    <w:rsid w:val="00083F07"/>
    <w:rsid w:val="00084AC7"/>
    <w:rsid w:val="00084E44"/>
    <w:rsid w:val="00084FA8"/>
    <w:rsid w:val="00085181"/>
    <w:rsid w:val="000856C5"/>
    <w:rsid w:val="000857BF"/>
    <w:rsid w:val="00085B76"/>
    <w:rsid w:val="00085C31"/>
    <w:rsid w:val="0008635E"/>
    <w:rsid w:val="00086423"/>
    <w:rsid w:val="000866B6"/>
    <w:rsid w:val="000868D8"/>
    <w:rsid w:val="000868EC"/>
    <w:rsid w:val="00086A80"/>
    <w:rsid w:val="00086AEF"/>
    <w:rsid w:val="00087190"/>
    <w:rsid w:val="0008768B"/>
    <w:rsid w:val="0008785C"/>
    <w:rsid w:val="00087E4A"/>
    <w:rsid w:val="000902D9"/>
    <w:rsid w:val="000909FA"/>
    <w:rsid w:val="00090B44"/>
    <w:rsid w:val="00090C7E"/>
    <w:rsid w:val="000911AC"/>
    <w:rsid w:val="00091507"/>
    <w:rsid w:val="0009175C"/>
    <w:rsid w:val="000921E7"/>
    <w:rsid w:val="00092600"/>
    <w:rsid w:val="0009262B"/>
    <w:rsid w:val="0009265F"/>
    <w:rsid w:val="00092AA5"/>
    <w:rsid w:val="00092E69"/>
    <w:rsid w:val="00092EF7"/>
    <w:rsid w:val="00093310"/>
    <w:rsid w:val="0009396C"/>
    <w:rsid w:val="00093BE8"/>
    <w:rsid w:val="00094071"/>
    <w:rsid w:val="00094210"/>
    <w:rsid w:val="0009426D"/>
    <w:rsid w:val="0009445C"/>
    <w:rsid w:val="00094796"/>
    <w:rsid w:val="00094AC9"/>
    <w:rsid w:val="00094F3F"/>
    <w:rsid w:val="00095200"/>
    <w:rsid w:val="00095FE5"/>
    <w:rsid w:val="00096284"/>
    <w:rsid w:val="00096663"/>
    <w:rsid w:val="000968D6"/>
    <w:rsid w:val="000970FD"/>
    <w:rsid w:val="00097513"/>
    <w:rsid w:val="000A0009"/>
    <w:rsid w:val="000A1342"/>
    <w:rsid w:val="000A1BC0"/>
    <w:rsid w:val="000A2192"/>
    <w:rsid w:val="000A27F1"/>
    <w:rsid w:val="000A2F9E"/>
    <w:rsid w:val="000A3082"/>
    <w:rsid w:val="000A3208"/>
    <w:rsid w:val="000A3607"/>
    <w:rsid w:val="000A3E47"/>
    <w:rsid w:val="000A4089"/>
    <w:rsid w:val="000A522B"/>
    <w:rsid w:val="000A5AF8"/>
    <w:rsid w:val="000A5D0C"/>
    <w:rsid w:val="000A6039"/>
    <w:rsid w:val="000A6693"/>
    <w:rsid w:val="000A67DA"/>
    <w:rsid w:val="000A69BC"/>
    <w:rsid w:val="000A72AD"/>
    <w:rsid w:val="000A7453"/>
    <w:rsid w:val="000A77A4"/>
    <w:rsid w:val="000A77F9"/>
    <w:rsid w:val="000A7B6E"/>
    <w:rsid w:val="000A7C7D"/>
    <w:rsid w:val="000A7D08"/>
    <w:rsid w:val="000B0121"/>
    <w:rsid w:val="000B031E"/>
    <w:rsid w:val="000B0670"/>
    <w:rsid w:val="000B0865"/>
    <w:rsid w:val="000B0E75"/>
    <w:rsid w:val="000B1458"/>
    <w:rsid w:val="000B208C"/>
    <w:rsid w:val="000B2B1E"/>
    <w:rsid w:val="000B2C59"/>
    <w:rsid w:val="000B2DCB"/>
    <w:rsid w:val="000B2E37"/>
    <w:rsid w:val="000B44E5"/>
    <w:rsid w:val="000B467D"/>
    <w:rsid w:val="000B4A4B"/>
    <w:rsid w:val="000B4BFA"/>
    <w:rsid w:val="000B515A"/>
    <w:rsid w:val="000B53C1"/>
    <w:rsid w:val="000B546E"/>
    <w:rsid w:val="000B557F"/>
    <w:rsid w:val="000B568C"/>
    <w:rsid w:val="000B575E"/>
    <w:rsid w:val="000B5C00"/>
    <w:rsid w:val="000B5CE0"/>
    <w:rsid w:val="000B5E3B"/>
    <w:rsid w:val="000B6AFF"/>
    <w:rsid w:val="000B6CAC"/>
    <w:rsid w:val="000B72F2"/>
    <w:rsid w:val="000B7612"/>
    <w:rsid w:val="000B78AE"/>
    <w:rsid w:val="000B7D17"/>
    <w:rsid w:val="000C0BEF"/>
    <w:rsid w:val="000C1E8A"/>
    <w:rsid w:val="000C2031"/>
    <w:rsid w:val="000C2839"/>
    <w:rsid w:val="000C3132"/>
    <w:rsid w:val="000C398C"/>
    <w:rsid w:val="000C3AA6"/>
    <w:rsid w:val="000C3D2C"/>
    <w:rsid w:val="000C3DF9"/>
    <w:rsid w:val="000C3E04"/>
    <w:rsid w:val="000C477D"/>
    <w:rsid w:val="000C478A"/>
    <w:rsid w:val="000C4C90"/>
    <w:rsid w:val="000C4CF2"/>
    <w:rsid w:val="000C56CD"/>
    <w:rsid w:val="000C6057"/>
    <w:rsid w:val="000C65BF"/>
    <w:rsid w:val="000C6713"/>
    <w:rsid w:val="000C693B"/>
    <w:rsid w:val="000C6C78"/>
    <w:rsid w:val="000C6D8F"/>
    <w:rsid w:val="000C7BFE"/>
    <w:rsid w:val="000C7E8E"/>
    <w:rsid w:val="000D11CC"/>
    <w:rsid w:val="000D15E7"/>
    <w:rsid w:val="000D1BFC"/>
    <w:rsid w:val="000D1D5D"/>
    <w:rsid w:val="000D2150"/>
    <w:rsid w:val="000D281A"/>
    <w:rsid w:val="000D2848"/>
    <w:rsid w:val="000D2849"/>
    <w:rsid w:val="000D290F"/>
    <w:rsid w:val="000D2934"/>
    <w:rsid w:val="000D30BD"/>
    <w:rsid w:val="000D3129"/>
    <w:rsid w:val="000D326A"/>
    <w:rsid w:val="000D334E"/>
    <w:rsid w:val="000D3871"/>
    <w:rsid w:val="000D38E5"/>
    <w:rsid w:val="000D3B5A"/>
    <w:rsid w:val="000D3F28"/>
    <w:rsid w:val="000D45CB"/>
    <w:rsid w:val="000D4746"/>
    <w:rsid w:val="000D4F10"/>
    <w:rsid w:val="000D50B6"/>
    <w:rsid w:val="000D51FB"/>
    <w:rsid w:val="000D52CC"/>
    <w:rsid w:val="000D5381"/>
    <w:rsid w:val="000D56F4"/>
    <w:rsid w:val="000D6024"/>
    <w:rsid w:val="000D662F"/>
    <w:rsid w:val="000D6A74"/>
    <w:rsid w:val="000D7ECD"/>
    <w:rsid w:val="000E03C2"/>
    <w:rsid w:val="000E05DC"/>
    <w:rsid w:val="000E0640"/>
    <w:rsid w:val="000E0984"/>
    <w:rsid w:val="000E1240"/>
    <w:rsid w:val="000E135D"/>
    <w:rsid w:val="000E1BD3"/>
    <w:rsid w:val="000E1E51"/>
    <w:rsid w:val="000E1F09"/>
    <w:rsid w:val="000E20AF"/>
    <w:rsid w:val="000E240C"/>
    <w:rsid w:val="000E2B27"/>
    <w:rsid w:val="000E36B9"/>
    <w:rsid w:val="000E3999"/>
    <w:rsid w:val="000E47E1"/>
    <w:rsid w:val="000E4B6B"/>
    <w:rsid w:val="000E528F"/>
    <w:rsid w:val="000E5955"/>
    <w:rsid w:val="000E5B64"/>
    <w:rsid w:val="000E5B98"/>
    <w:rsid w:val="000E5D55"/>
    <w:rsid w:val="000E615F"/>
    <w:rsid w:val="000E6A52"/>
    <w:rsid w:val="000E6BCE"/>
    <w:rsid w:val="000E6EB0"/>
    <w:rsid w:val="000E732C"/>
    <w:rsid w:val="000E74A2"/>
    <w:rsid w:val="000E782C"/>
    <w:rsid w:val="000E7CEE"/>
    <w:rsid w:val="000F0067"/>
    <w:rsid w:val="000F00AC"/>
    <w:rsid w:val="000F00BA"/>
    <w:rsid w:val="000F0123"/>
    <w:rsid w:val="000F0136"/>
    <w:rsid w:val="000F0442"/>
    <w:rsid w:val="000F05FF"/>
    <w:rsid w:val="000F060A"/>
    <w:rsid w:val="000F113E"/>
    <w:rsid w:val="000F1300"/>
    <w:rsid w:val="000F14E1"/>
    <w:rsid w:val="000F1665"/>
    <w:rsid w:val="000F1958"/>
    <w:rsid w:val="000F1AFE"/>
    <w:rsid w:val="000F1CD3"/>
    <w:rsid w:val="000F1F2D"/>
    <w:rsid w:val="000F22F8"/>
    <w:rsid w:val="000F28E0"/>
    <w:rsid w:val="000F296A"/>
    <w:rsid w:val="000F2D18"/>
    <w:rsid w:val="000F305B"/>
    <w:rsid w:val="000F316A"/>
    <w:rsid w:val="000F35D0"/>
    <w:rsid w:val="000F3941"/>
    <w:rsid w:val="000F3BD8"/>
    <w:rsid w:val="000F3C10"/>
    <w:rsid w:val="000F3C74"/>
    <w:rsid w:val="000F45F0"/>
    <w:rsid w:val="000F4A13"/>
    <w:rsid w:val="000F4BB8"/>
    <w:rsid w:val="000F4FA9"/>
    <w:rsid w:val="000F5043"/>
    <w:rsid w:val="000F5068"/>
    <w:rsid w:val="000F53FB"/>
    <w:rsid w:val="000F591E"/>
    <w:rsid w:val="000F59E6"/>
    <w:rsid w:val="000F5A47"/>
    <w:rsid w:val="000F5A5E"/>
    <w:rsid w:val="000F66C7"/>
    <w:rsid w:val="000F6E50"/>
    <w:rsid w:val="000F7127"/>
    <w:rsid w:val="000F716A"/>
    <w:rsid w:val="000F7461"/>
    <w:rsid w:val="000F74BD"/>
    <w:rsid w:val="000F7734"/>
    <w:rsid w:val="000F7B54"/>
    <w:rsid w:val="00100062"/>
    <w:rsid w:val="001000B3"/>
    <w:rsid w:val="001002C0"/>
    <w:rsid w:val="00100CD2"/>
    <w:rsid w:val="00100D01"/>
    <w:rsid w:val="00100DF7"/>
    <w:rsid w:val="00100F8A"/>
    <w:rsid w:val="001011FA"/>
    <w:rsid w:val="001019C3"/>
    <w:rsid w:val="0010235E"/>
    <w:rsid w:val="0010289B"/>
    <w:rsid w:val="001029D9"/>
    <w:rsid w:val="00102A7B"/>
    <w:rsid w:val="00103360"/>
    <w:rsid w:val="00103557"/>
    <w:rsid w:val="001037D4"/>
    <w:rsid w:val="0010388F"/>
    <w:rsid w:val="00103D49"/>
    <w:rsid w:val="00104180"/>
    <w:rsid w:val="001042F7"/>
    <w:rsid w:val="0010452E"/>
    <w:rsid w:val="0010524A"/>
    <w:rsid w:val="00105AE2"/>
    <w:rsid w:val="001060C6"/>
    <w:rsid w:val="00106462"/>
    <w:rsid w:val="00106B80"/>
    <w:rsid w:val="00106BEF"/>
    <w:rsid w:val="00107900"/>
    <w:rsid w:val="0010791A"/>
    <w:rsid w:val="00107F61"/>
    <w:rsid w:val="001101AD"/>
    <w:rsid w:val="0011032E"/>
    <w:rsid w:val="001112CD"/>
    <w:rsid w:val="0011146C"/>
    <w:rsid w:val="0011202E"/>
    <w:rsid w:val="001123A9"/>
    <w:rsid w:val="00112664"/>
    <w:rsid w:val="00112BC9"/>
    <w:rsid w:val="00112BD0"/>
    <w:rsid w:val="0011348B"/>
    <w:rsid w:val="00113538"/>
    <w:rsid w:val="00113C11"/>
    <w:rsid w:val="00113FD7"/>
    <w:rsid w:val="00114280"/>
    <w:rsid w:val="00114300"/>
    <w:rsid w:val="0011488A"/>
    <w:rsid w:val="00114ACD"/>
    <w:rsid w:val="001158C0"/>
    <w:rsid w:val="00115982"/>
    <w:rsid w:val="00116B08"/>
    <w:rsid w:val="00116C14"/>
    <w:rsid w:val="00116C53"/>
    <w:rsid w:val="00116E4B"/>
    <w:rsid w:val="0011766E"/>
    <w:rsid w:val="0011782F"/>
    <w:rsid w:val="0012003E"/>
    <w:rsid w:val="001203AF"/>
    <w:rsid w:val="00120C5C"/>
    <w:rsid w:val="00120CEE"/>
    <w:rsid w:val="00121799"/>
    <w:rsid w:val="00121DDD"/>
    <w:rsid w:val="001222FC"/>
    <w:rsid w:val="001223E1"/>
    <w:rsid w:val="00122687"/>
    <w:rsid w:val="00123007"/>
    <w:rsid w:val="00123413"/>
    <w:rsid w:val="00123902"/>
    <w:rsid w:val="0012397C"/>
    <w:rsid w:val="00123B73"/>
    <w:rsid w:val="00123C2A"/>
    <w:rsid w:val="00123ECE"/>
    <w:rsid w:val="00124058"/>
    <w:rsid w:val="0012412C"/>
    <w:rsid w:val="00124580"/>
    <w:rsid w:val="00124A51"/>
    <w:rsid w:val="00124FA6"/>
    <w:rsid w:val="00124FCB"/>
    <w:rsid w:val="001257C3"/>
    <w:rsid w:val="00125F85"/>
    <w:rsid w:val="00126060"/>
    <w:rsid w:val="00126138"/>
    <w:rsid w:val="0012629F"/>
    <w:rsid w:val="00126621"/>
    <w:rsid w:val="00126B1D"/>
    <w:rsid w:val="001301E9"/>
    <w:rsid w:val="001301F1"/>
    <w:rsid w:val="001306C0"/>
    <w:rsid w:val="00131D82"/>
    <w:rsid w:val="00132B22"/>
    <w:rsid w:val="001334BD"/>
    <w:rsid w:val="00133D36"/>
    <w:rsid w:val="00133E62"/>
    <w:rsid w:val="001341F8"/>
    <w:rsid w:val="001342D9"/>
    <w:rsid w:val="00134FC4"/>
    <w:rsid w:val="00135023"/>
    <w:rsid w:val="001354F9"/>
    <w:rsid w:val="001357DD"/>
    <w:rsid w:val="00135B9D"/>
    <w:rsid w:val="00136053"/>
    <w:rsid w:val="00136532"/>
    <w:rsid w:val="00136F45"/>
    <w:rsid w:val="00136F8F"/>
    <w:rsid w:val="00137471"/>
    <w:rsid w:val="001375E7"/>
    <w:rsid w:val="00137645"/>
    <w:rsid w:val="0014015A"/>
    <w:rsid w:val="00140C5A"/>
    <w:rsid w:val="00140E26"/>
    <w:rsid w:val="00140E99"/>
    <w:rsid w:val="00141ACA"/>
    <w:rsid w:val="00141BCF"/>
    <w:rsid w:val="00141CAD"/>
    <w:rsid w:val="00141DC4"/>
    <w:rsid w:val="001427E6"/>
    <w:rsid w:val="00143734"/>
    <w:rsid w:val="00143973"/>
    <w:rsid w:val="00143F67"/>
    <w:rsid w:val="001441C6"/>
    <w:rsid w:val="001444D4"/>
    <w:rsid w:val="00144515"/>
    <w:rsid w:val="00144651"/>
    <w:rsid w:val="00144B51"/>
    <w:rsid w:val="00144B9D"/>
    <w:rsid w:val="00145135"/>
    <w:rsid w:val="00145234"/>
    <w:rsid w:val="00145378"/>
    <w:rsid w:val="001453F6"/>
    <w:rsid w:val="00145540"/>
    <w:rsid w:val="001455C2"/>
    <w:rsid w:val="001456B0"/>
    <w:rsid w:val="00145834"/>
    <w:rsid w:val="001458EE"/>
    <w:rsid w:val="001459B4"/>
    <w:rsid w:val="00145CCF"/>
    <w:rsid w:val="00146548"/>
    <w:rsid w:val="00146C59"/>
    <w:rsid w:val="0014750F"/>
    <w:rsid w:val="001475F2"/>
    <w:rsid w:val="001501CE"/>
    <w:rsid w:val="00151840"/>
    <w:rsid w:val="00151A88"/>
    <w:rsid w:val="00151B64"/>
    <w:rsid w:val="00152669"/>
    <w:rsid w:val="001526D4"/>
    <w:rsid w:val="00152F82"/>
    <w:rsid w:val="00153CD1"/>
    <w:rsid w:val="00153CE6"/>
    <w:rsid w:val="00153D13"/>
    <w:rsid w:val="00154100"/>
    <w:rsid w:val="00154366"/>
    <w:rsid w:val="001547AB"/>
    <w:rsid w:val="00154BEF"/>
    <w:rsid w:val="00155151"/>
    <w:rsid w:val="0015516B"/>
    <w:rsid w:val="001553B5"/>
    <w:rsid w:val="00156CF0"/>
    <w:rsid w:val="00156F8F"/>
    <w:rsid w:val="00157033"/>
    <w:rsid w:val="00157093"/>
    <w:rsid w:val="00157130"/>
    <w:rsid w:val="001576B1"/>
    <w:rsid w:val="001579A4"/>
    <w:rsid w:val="00157E38"/>
    <w:rsid w:val="001600DC"/>
    <w:rsid w:val="001601BE"/>
    <w:rsid w:val="0016047B"/>
    <w:rsid w:val="00160772"/>
    <w:rsid w:val="00160A4C"/>
    <w:rsid w:val="00160C16"/>
    <w:rsid w:val="00160CDB"/>
    <w:rsid w:val="00160DB9"/>
    <w:rsid w:val="00160F1F"/>
    <w:rsid w:val="001610A9"/>
    <w:rsid w:val="0016154F"/>
    <w:rsid w:val="00161552"/>
    <w:rsid w:val="001618C7"/>
    <w:rsid w:val="00161957"/>
    <w:rsid w:val="00161B89"/>
    <w:rsid w:val="001625CA"/>
    <w:rsid w:val="001627A7"/>
    <w:rsid w:val="00162913"/>
    <w:rsid w:val="0016320A"/>
    <w:rsid w:val="00163753"/>
    <w:rsid w:val="00163CFB"/>
    <w:rsid w:val="00163EFF"/>
    <w:rsid w:val="00163F66"/>
    <w:rsid w:val="00164157"/>
    <w:rsid w:val="001641D3"/>
    <w:rsid w:val="00164735"/>
    <w:rsid w:val="0016478E"/>
    <w:rsid w:val="00164D37"/>
    <w:rsid w:val="00164E8C"/>
    <w:rsid w:val="0016529B"/>
    <w:rsid w:val="0016562C"/>
    <w:rsid w:val="001656BA"/>
    <w:rsid w:val="001657A4"/>
    <w:rsid w:val="00165932"/>
    <w:rsid w:val="00165EC4"/>
    <w:rsid w:val="001661FB"/>
    <w:rsid w:val="00166564"/>
    <w:rsid w:val="001671A0"/>
    <w:rsid w:val="0016767F"/>
    <w:rsid w:val="001700C0"/>
    <w:rsid w:val="0017025B"/>
    <w:rsid w:val="001703EB"/>
    <w:rsid w:val="00170D4B"/>
    <w:rsid w:val="00170F58"/>
    <w:rsid w:val="00171D70"/>
    <w:rsid w:val="00171DC0"/>
    <w:rsid w:val="00171DD5"/>
    <w:rsid w:val="00172509"/>
    <w:rsid w:val="00172674"/>
    <w:rsid w:val="0017292B"/>
    <w:rsid w:val="001731E7"/>
    <w:rsid w:val="00173565"/>
    <w:rsid w:val="00173B07"/>
    <w:rsid w:val="00173DE4"/>
    <w:rsid w:val="0017427C"/>
    <w:rsid w:val="001744FB"/>
    <w:rsid w:val="00174559"/>
    <w:rsid w:val="00174C94"/>
    <w:rsid w:val="00174EE5"/>
    <w:rsid w:val="001751FA"/>
    <w:rsid w:val="001755C6"/>
    <w:rsid w:val="0017564A"/>
    <w:rsid w:val="001756E7"/>
    <w:rsid w:val="00175CEA"/>
    <w:rsid w:val="001762E8"/>
    <w:rsid w:val="0017728E"/>
    <w:rsid w:val="00177515"/>
    <w:rsid w:val="00177BB8"/>
    <w:rsid w:val="00180260"/>
    <w:rsid w:val="00180692"/>
    <w:rsid w:val="001808E5"/>
    <w:rsid w:val="00180FD5"/>
    <w:rsid w:val="00181C10"/>
    <w:rsid w:val="00181D9C"/>
    <w:rsid w:val="0018207A"/>
    <w:rsid w:val="00182234"/>
    <w:rsid w:val="0018297E"/>
    <w:rsid w:val="00183591"/>
    <w:rsid w:val="001837FF"/>
    <w:rsid w:val="001840B5"/>
    <w:rsid w:val="00184247"/>
    <w:rsid w:val="00184614"/>
    <w:rsid w:val="00184754"/>
    <w:rsid w:val="00184B0E"/>
    <w:rsid w:val="00184B1D"/>
    <w:rsid w:val="00184ECB"/>
    <w:rsid w:val="00185037"/>
    <w:rsid w:val="0018510B"/>
    <w:rsid w:val="00185894"/>
    <w:rsid w:val="001858FC"/>
    <w:rsid w:val="00186A9C"/>
    <w:rsid w:val="00186AB4"/>
    <w:rsid w:val="00186CF5"/>
    <w:rsid w:val="00186F8F"/>
    <w:rsid w:val="0018745C"/>
    <w:rsid w:val="0018752F"/>
    <w:rsid w:val="0018778B"/>
    <w:rsid w:val="00187D43"/>
    <w:rsid w:val="0019072B"/>
    <w:rsid w:val="00190E61"/>
    <w:rsid w:val="0019110B"/>
    <w:rsid w:val="00191625"/>
    <w:rsid w:val="001919CF"/>
    <w:rsid w:val="00191DF2"/>
    <w:rsid w:val="00191E9E"/>
    <w:rsid w:val="0019354B"/>
    <w:rsid w:val="00193838"/>
    <w:rsid w:val="00193D81"/>
    <w:rsid w:val="0019401B"/>
    <w:rsid w:val="00194AD8"/>
    <w:rsid w:val="00194F46"/>
    <w:rsid w:val="001950D8"/>
    <w:rsid w:val="00195222"/>
    <w:rsid w:val="00195410"/>
    <w:rsid w:val="00195452"/>
    <w:rsid w:val="0019557F"/>
    <w:rsid w:val="001956FE"/>
    <w:rsid w:val="00195A63"/>
    <w:rsid w:val="00195D2B"/>
    <w:rsid w:val="001960D6"/>
    <w:rsid w:val="00196195"/>
    <w:rsid w:val="00196735"/>
    <w:rsid w:val="00196923"/>
    <w:rsid w:val="00196A22"/>
    <w:rsid w:val="001975D8"/>
    <w:rsid w:val="001975F2"/>
    <w:rsid w:val="001975F4"/>
    <w:rsid w:val="00197EC3"/>
    <w:rsid w:val="001A01B5"/>
    <w:rsid w:val="001A114D"/>
    <w:rsid w:val="001A1505"/>
    <w:rsid w:val="001A178E"/>
    <w:rsid w:val="001A206C"/>
    <w:rsid w:val="001A26AD"/>
    <w:rsid w:val="001A2A77"/>
    <w:rsid w:val="001A2CF6"/>
    <w:rsid w:val="001A3107"/>
    <w:rsid w:val="001A3200"/>
    <w:rsid w:val="001A33E0"/>
    <w:rsid w:val="001A34DB"/>
    <w:rsid w:val="001A43FA"/>
    <w:rsid w:val="001A45B5"/>
    <w:rsid w:val="001A47C5"/>
    <w:rsid w:val="001A495C"/>
    <w:rsid w:val="001A4993"/>
    <w:rsid w:val="001A4BB0"/>
    <w:rsid w:val="001A4F97"/>
    <w:rsid w:val="001A519D"/>
    <w:rsid w:val="001A51D1"/>
    <w:rsid w:val="001A5313"/>
    <w:rsid w:val="001A59FB"/>
    <w:rsid w:val="001A5E9E"/>
    <w:rsid w:val="001A5F8D"/>
    <w:rsid w:val="001A6354"/>
    <w:rsid w:val="001A6366"/>
    <w:rsid w:val="001A67B8"/>
    <w:rsid w:val="001A6835"/>
    <w:rsid w:val="001A69B0"/>
    <w:rsid w:val="001A6B47"/>
    <w:rsid w:val="001A6CD8"/>
    <w:rsid w:val="001A6DA7"/>
    <w:rsid w:val="001A6E58"/>
    <w:rsid w:val="001A7393"/>
    <w:rsid w:val="001A7397"/>
    <w:rsid w:val="001A7478"/>
    <w:rsid w:val="001A7AE8"/>
    <w:rsid w:val="001B1423"/>
    <w:rsid w:val="001B204E"/>
    <w:rsid w:val="001B2311"/>
    <w:rsid w:val="001B2372"/>
    <w:rsid w:val="001B2478"/>
    <w:rsid w:val="001B24C3"/>
    <w:rsid w:val="001B25FD"/>
    <w:rsid w:val="001B2612"/>
    <w:rsid w:val="001B261C"/>
    <w:rsid w:val="001B289A"/>
    <w:rsid w:val="001B2DFA"/>
    <w:rsid w:val="001B2F73"/>
    <w:rsid w:val="001B3443"/>
    <w:rsid w:val="001B356A"/>
    <w:rsid w:val="001B363F"/>
    <w:rsid w:val="001B3A43"/>
    <w:rsid w:val="001B421F"/>
    <w:rsid w:val="001B44A9"/>
    <w:rsid w:val="001B460F"/>
    <w:rsid w:val="001B48DE"/>
    <w:rsid w:val="001B4D20"/>
    <w:rsid w:val="001B4DF5"/>
    <w:rsid w:val="001B5250"/>
    <w:rsid w:val="001B59E5"/>
    <w:rsid w:val="001B5D67"/>
    <w:rsid w:val="001B6867"/>
    <w:rsid w:val="001B6BB1"/>
    <w:rsid w:val="001B7727"/>
    <w:rsid w:val="001B7F84"/>
    <w:rsid w:val="001C0949"/>
    <w:rsid w:val="001C0AA8"/>
    <w:rsid w:val="001C1CDF"/>
    <w:rsid w:val="001C2243"/>
    <w:rsid w:val="001C2368"/>
    <w:rsid w:val="001C2531"/>
    <w:rsid w:val="001C2A9B"/>
    <w:rsid w:val="001C3248"/>
    <w:rsid w:val="001C3550"/>
    <w:rsid w:val="001C37B1"/>
    <w:rsid w:val="001C3A53"/>
    <w:rsid w:val="001C3DD6"/>
    <w:rsid w:val="001C4299"/>
    <w:rsid w:val="001C4874"/>
    <w:rsid w:val="001C4C8B"/>
    <w:rsid w:val="001C51E7"/>
    <w:rsid w:val="001C521C"/>
    <w:rsid w:val="001C5B13"/>
    <w:rsid w:val="001C5BBA"/>
    <w:rsid w:val="001C5F94"/>
    <w:rsid w:val="001C642A"/>
    <w:rsid w:val="001C66F5"/>
    <w:rsid w:val="001C6E66"/>
    <w:rsid w:val="001C7156"/>
    <w:rsid w:val="001C754C"/>
    <w:rsid w:val="001C7B50"/>
    <w:rsid w:val="001D0084"/>
    <w:rsid w:val="001D06AA"/>
    <w:rsid w:val="001D0732"/>
    <w:rsid w:val="001D0832"/>
    <w:rsid w:val="001D1100"/>
    <w:rsid w:val="001D1391"/>
    <w:rsid w:val="001D205B"/>
    <w:rsid w:val="001D2529"/>
    <w:rsid w:val="001D25D7"/>
    <w:rsid w:val="001D280F"/>
    <w:rsid w:val="001D303B"/>
    <w:rsid w:val="001D30F9"/>
    <w:rsid w:val="001D392C"/>
    <w:rsid w:val="001D47DA"/>
    <w:rsid w:val="001D4ECC"/>
    <w:rsid w:val="001D50B2"/>
    <w:rsid w:val="001D5946"/>
    <w:rsid w:val="001D5B95"/>
    <w:rsid w:val="001D600A"/>
    <w:rsid w:val="001D608A"/>
    <w:rsid w:val="001D62AA"/>
    <w:rsid w:val="001D632D"/>
    <w:rsid w:val="001D6BA3"/>
    <w:rsid w:val="001D6D24"/>
    <w:rsid w:val="001D71F4"/>
    <w:rsid w:val="001D758C"/>
    <w:rsid w:val="001D7645"/>
    <w:rsid w:val="001D76DE"/>
    <w:rsid w:val="001D7773"/>
    <w:rsid w:val="001D78D9"/>
    <w:rsid w:val="001D7BC9"/>
    <w:rsid w:val="001E073C"/>
    <w:rsid w:val="001E1106"/>
    <w:rsid w:val="001E1125"/>
    <w:rsid w:val="001E1331"/>
    <w:rsid w:val="001E13F2"/>
    <w:rsid w:val="001E1E86"/>
    <w:rsid w:val="001E1FFB"/>
    <w:rsid w:val="001E22AA"/>
    <w:rsid w:val="001E238E"/>
    <w:rsid w:val="001E2483"/>
    <w:rsid w:val="001E2B1E"/>
    <w:rsid w:val="001E2C1F"/>
    <w:rsid w:val="001E2CFF"/>
    <w:rsid w:val="001E2F24"/>
    <w:rsid w:val="001E30D4"/>
    <w:rsid w:val="001E329E"/>
    <w:rsid w:val="001E34DF"/>
    <w:rsid w:val="001E383F"/>
    <w:rsid w:val="001E3E2E"/>
    <w:rsid w:val="001E3ED1"/>
    <w:rsid w:val="001E400A"/>
    <w:rsid w:val="001E4185"/>
    <w:rsid w:val="001E4341"/>
    <w:rsid w:val="001E4767"/>
    <w:rsid w:val="001E47A2"/>
    <w:rsid w:val="001E52EB"/>
    <w:rsid w:val="001E5769"/>
    <w:rsid w:val="001E57C3"/>
    <w:rsid w:val="001E6033"/>
    <w:rsid w:val="001E61D2"/>
    <w:rsid w:val="001E6313"/>
    <w:rsid w:val="001E64CF"/>
    <w:rsid w:val="001E6CFE"/>
    <w:rsid w:val="001E6F19"/>
    <w:rsid w:val="001E6F4F"/>
    <w:rsid w:val="001E7210"/>
    <w:rsid w:val="001E740C"/>
    <w:rsid w:val="001E7633"/>
    <w:rsid w:val="001E77ED"/>
    <w:rsid w:val="001E7BC5"/>
    <w:rsid w:val="001E7FA2"/>
    <w:rsid w:val="001F051C"/>
    <w:rsid w:val="001F0636"/>
    <w:rsid w:val="001F0C0A"/>
    <w:rsid w:val="001F0C3F"/>
    <w:rsid w:val="001F0D1D"/>
    <w:rsid w:val="001F0D7A"/>
    <w:rsid w:val="001F1006"/>
    <w:rsid w:val="001F1162"/>
    <w:rsid w:val="001F11BC"/>
    <w:rsid w:val="001F1235"/>
    <w:rsid w:val="001F1769"/>
    <w:rsid w:val="001F1B79"/>
    <w:rsid w:val="001F1C64"/>
    <w:rsid w:val="001F1CB3"/>
    <w:rsid w:val="001F2175"/>
    <w:rsid w:val="001F29DF"/>
    <w:rsid w:val="001F2E7F"/>
    <w:rsid w:val="001F2E9A"/>
    <w:rsid w:val="001F3728"/>
    <w:rsid w:val="001F38B5"/>
    <w:rsid w:val="001F3DE1"/>
    <w:rsid w:val="001F4081"/>
    <w:rsid w:val="001F40D9"/>
    <w:rsid w:val="001F41B8"/>
    <w:rsid w:val="001F4726"/>
    <w:rsid w:val="001F4A14"/>
    <w:rsid w:val="001F4A41"/>
    <w:rsid w:val="001F4C86"/>
    <w:rsid w:val="001F4D3A"/>
    <w:rsid w:val="001F4E5E"/>
    <w:rsid w:val="001F4EBB"/>
    <w:rsid w:val="001F54B4"/>
    <w:rsid w:val="001F5F3E"/>
    <w:rsid w:val="001F6263"/>
    <w:rsid w:val="001F631F"/>
    <w:rsid w:val="001F632D"/>
    <w:rsid w:val="001F670C"/>
    <w:rsid w:val="001F72DA"/>
    <w:rsid w:val="001F7361"/>
    <w:rsid w:val="001F7491"/>
    <w:rsid w:val="001F7B3D"/>
    <w:rsid w:val="00200297"/>
    <w:rsid w:val="00200428"/>
    <w:rsid w:val="0020097E"/>
    <w:rsid w:val="00200C0D"/>
    <w:rsid w:val="00200EDC"/>
    <w:rsid w:val="002011B0"/>
    <w:rsid w:val="0020138C"/>
    <w:rsid w:val="002015FC"/>
    <w:rsid w:val="00201A7C"/>
    <w:rsid w:val="00201C43"/>
    <w:rsid w:val="00201E26"/>
    <w:rsid w:val="00202364"/>
    <w:rsid w:val="00202C3E"/>
    <w:rsid w:val="00203181"/>
    <w:rsid w:val="00203426"/>
    <w:rsid w:val="00203783"/>
    <w:rsid w:val="0020385F"/>
    <w:rsid w:val="00203D95"/>
    <w:rsid w:val="00204142"/>
    <w:rsid w:val="002046CE"/>
    <w:rsid w:val="00204D63"/>
    <w:rsid w:val="00205692"/>
    <w:rsid w:val="0020586B"/>
    <w:rsid w:val="002059D2"/>
    <w:rsid w:val="00206017"/>
    <w:rsid w:val="002060DA"/>
    <w:rsid w:val="00206486"/>
    <w:rsid w:val="002064BA"/>
    <w:rsid w:val="0020658A"/>
    <w:rsid w:val="0020660F"/>
    <w:rsid w:val="002068A0"/>
    <w:rsid w:val="00206CDF"/>
    <w:rsid w:val="00207021"/>
    <w:rsid w:val="0020732F"/>
    <w:rsid w:val="002076DF"/>
    <w:rsid w:val="00207D00"/>
    <w:rsid w:val="002100DC"/>
    <w:rsid w:val="0021029C"/>
    <w:rsid w:val="002105C1"/>
    <w:rsid w:val="002108E9"/>
    <w:rsid w:val="002109A3"/>
    <w:rsid w:val="00210B76"/>
    <w:rsid w:val="002116FD"/>
    <w:rsid w:val="00211D49"/>
    <w:rsid w:val="002123F4"/>
    <w:rsid w:val="002125F2"/>
    <w:rsid w:val="00212781"/>
    <w:rsid w:val="00212B49"/>
    <w:rsid w:val="00213101"/>
    <w:rsid w:val="002133B4"/>
    <w:rsid w:val="002134C0"/>
    <w:rsid w:val="00213C38"/>
    <w:rsid w:val="00213EF5"/>
    <w:rsid w:val="00214813"/>
    <w:rsid w:val="002148A7"/>
    <w:rsid w:val="0021499C"/>
    <w:rsid w:val="00214FC7"/>
    <w:rsid w:val="00215761"/>
    <w:rsid w:val="0021583B"/>
    <w:rsid w:val="002162C0"/>
    <w:rsid w:val="0021646A"/>
    <w:rsid w:val="002165F3"/>
    <w:rsid w:val="00216989"/>
    <w:rsid w:val="00216BE5"/>
    <w:rsid w:val="00216BF5"/>
    <w:rsid w:val="00216EDE"/>
    <w:rsid w:val="0021746E"/>
    <w:rsid w:val="00217945"/>
    <w:rsid w:val="00217A27"/>
    <w:rsid w:val="00217D50"/>
    <w:rsid w:val="0022072F"/>
    <w:rsid w:val="002210AC"/>
    <w:rsid w:val="002238A8"/>
    <w:rsid w:val="0022391D"/>
    <w:rsid w:val="00223B49"/>
    <w:rsid w:val="00223D5A"/>
    <w:rsid w:val="00224908"/>
    <w:rsid w:val="00224DD4"/>
    <w:rsid w:val="00224E47"/>
    <w:rsid w:val="002252D9"/>
    <w:rsid w:val="00225733"/>
    <w:rsid w:val="00225928"/>
    <w:rsid w:val="00225BAC"/>
    <w:rsid w:val="00225C31"/>
    <w:rsid w:val="002270D0"/>
    <w:rsid w:val="002276C8"/>
    <w:rsid w:val="002278A0"/>
    <w:rsid w:val="00227F42"/>
    <w:rsid w:val="002301F8"/>
    <w:rsid w:val="002306AA"/>
    <w:rsid w:val="002309CC"/>
    <w:rsid w:val="00230C68"/>
    <w:rsid w:val="00230CBF"/>
    <w:rsid w:val="0023127A"/>
    <w:rsid w:val="0023133A"/>
    <w:rsid w:val="00231751"/>
    <w:rsid w:val="00231BA9"/>
    <w:rsid w:val="0023209F"/>
    <w:rsid w:val="00232C99"/>
    <w:rsid w:val="00232E81"/>
    <w:rsid w:val="002330C7"/>
    <w:rsid w:val="00233142"/>
    <w:rsid w:val="002332D0"/>
    <w:rsid w:val="0023343E"/>
    <w:rsid w:val="00233C01"/>
    <w:rsid w:val="0023413C"/>
    <w:rsid w:val="0023455D"/>
    <w:rsid w:val="002346F0"/>
    <w:rsid w:val="00234FFA"/>
    <w:rsid w:val="002350DA"/>
    <w:rsid w:val="0023523D"/>
    <w:rsid w:val="0023629D"/>
    <w:rsid w:val="002364D4"/>
    <w:rsid w:val="002369F4"/>
    <w:rsid w:val="00236D39"/>
    <w:rsid w:val="0023713F"/>
    <w:rsid w:val="00237255"/>
    <w:rsid w:val="002372B9"/>
    <w:rsid w:val="002375CA"/>
    <w:rsid w:val="002411DF"/>
    <w:rsid w:val="002423E5"/>
    <w:rsid w:val="002424AF"/>
    <w:rsid w:val="00242BAC"/>
    <w:rsid w:val="00243400"/>
    <w:rsid w:val="002439DC"/>
    <w:rsid w:val="00243AFA"/>
    <w:rsid w:val="0024405D"/>
    <w:rsid w:val="002441D2"/>
    <w:rsid w:val="00244283"/>
    <w:rsid w:val="0024475F"/>
    <w:rsid w:val="00244880"/>
    <w:rsid w:val="00244C1D"/>
    <w:rsid w:val="00244DC8"/>
    <w:rsid w:val="0024501D"/>
    <w:rsid w:val="002451D9"/>
    <w:rsid w:val="002454E1"/>
    <w:rsid w:val="002458BA"/>
    <w:rsid w:val="00245C9C"/>
    <w:rsid w:val="00245CE9"/>
    <w:rsid w:val="002462A7"/>
    <w:rsid w:val="00246356"/>
    <w:rsid w:val="0024636C"/>
    <w:rsid w:val="00246BD5"/>
    <w:rsid w:val="002476F3"/>
    <w:rsid w:val="00247925"/>
    <w:rsid w:val="002509BB"/>
    <w:rsid w:val="00250E34"/>
    <w:rsid w:val="00250FCA"/>
    <w:rsid w:val="00251006"/>
    <w:rsid w:val="002524D5"/>
    <w:rsid w:val="00252B80"/>
    <w:rsid w:val="0025336F"/>
    <w:rsid w:val="002533CA"/>
    <w:rsid w:val="00253422"/>
    <w:rsid w:val="00253B1D"/>
    <w:rsid w:val="00254054"/>
    <w:rsid w:val="002540AE"/>
    <w:rsid w:val="002541CF"/>
    <w:rsid w:val="0025423A"/>
    <w:rsid w:val="00254D44"/>
    <w:rsid w:val="00254DCF"/>
    <w:rsid w:val="0025534B"/>
    <w:rsid w:val="00255B82"/>
    <w:rsid w:val="00255BB7"/>
    <w:rsid w:val="00255EB3"/>
    <w:rsid w:val="002567F6"/>
    <w:rsid w:val="00256B28"/>
    <w:rsid w:val="002573FB"/>
    <w:rsid w:val="00257541"/>
    <w:rsid w:val="00257A39"/>
    <w:rsid w:val="00257AC4"/>
    <w:rsid w:val="00257BBE"/>
    <w:rsid w:val="00257C06"/>
    <w:rsid w:val="00260585"/>
    <w:rsid w:val="00261041"/>
    <w:rsid w:val="0026110D"/>
    <w:rsid w:val="002614D2"/>
    <w:rsid w:val="002615AD"/>
    <w:rsid w:val="00261888"/>
    <w:rsid w:val="00261C6A"/>
    <w:rsid w:val="00261C8B"/>
    <w:rsid w:val="00261EEF"/>
    <w:rsid w:val="00262074"/>
    <w:rsid w:val="002625D2"/>
    <w:rsid w:val="00262A1A"/>
    <w:rsid w:val="00262A87"/>
    <w:rsid w:val="00262C8F"/>
    <w:rsid w:val="00263D8F"/>
    <w:rsid w:val="00263EB3"/>
    <w:rsid w:val="00264061"/>
    <w:rsid w:val="00264D26"/>
    <w:rsid w:val="00264FB4"/>
    <w:rsid w:val="00265451"/>
    <w:rsid w:val="0026547D"/>
    <w:rsid w:val="00265A77"/>
    <w:rsid w:val="00265C07"/>
    <w:rsid w:val="00265D5C"/>
    <w:rsid w:val="00266740"/>
    <w:rsid w:val="00266B1A"/>
    <w:rsid w:val="002671C8"/>
    <w:rsid w:val="00267224"/>
    <w:rsid w:val="00267642"/>
    <w:rsid w:val="00267AEA"/>
    <w:rsid w:val="00267BB4"/>
    <w:rsid w:val="002700E6"/>
    <w:rsid w:val="002706D5"/>
    <w:rsid w:val="00270981"/>
    <w:rsid w:val="00270A72"/>
    <w:rsid w:val="00270D70"/>
    <w:rsid w:val="00270EFA"/>
    <w:rsid w:val="00270FC4"/>
    <w:rsid w:val="002713AF"/>
    <w:rsid w:val="002715FA"/>
    <w:rsid w:val="002718C2"/>
    <w:rsid w:val="0027216D"/>
    <w:rsid w:val="002721E3"/>
    <w:rsid w:val="0027294B"/>
    <w:rsid w:val="00272D94"/>
    <w:rsid w:val="00272E5C"/>
    <w:rsid w:val="00272FEC"/>
    <w:rsid w:val="00273704"/>
    <w:rsid w:val="00273EB4"/>
    <w:rsid w:val="00274285"/>
    <w:rsid w:val="002744D8"/>
    <w:rsid w:val="00274682"/>
    <w:rsid w:val="00275158"/>
    <w:rsid w:val="00275495"/>
    <w:rsid w:val="00275A01"/>
    <w:rsid w:val="00275B0B"/>
    <w:rsid w:val="00275C5A"/>
    <w:rsid w:val="00276B37"/>
    <w:rsid w:val="00277537"/>
    <w:rsid w:val="002778B5"/>
    <w:rsid w:val="002779F0"/>
    <w:rsid w:val="00277E83"/>
    <w:rsid w:val="002801F1"/>
    <w:rsid w:val="00280F2B"/>
    <w:rsid w:val="00281014"/>
    <w:rsid w:val="002815BB"/>
    <w:rsid w:val="00281EFB"/>
    <w:rsid w:val="002827A1"/>
    <w:rsid w:val="00282DF2"/>
    <w:rsid w:val="00282F33"/>
    <w:rsid w:val="002832CB"/>
    <w:rsid w:val="00283302"/>
    <w:rsid w:val="00283D33"/>
    <w:rsid w:val="002842C0"/>
    <w:rsid w:val="00284499"/>
    <w:rsid w:val="00284E80"/>
    <w:rsid w:val="0028504B"/>
    <w:rsid w:val="002853AA"/>
    <w:rsid w:val="00285BCE"/>
    <w:rsid w:val="00285CEA"/>
    <w:rsid w:val="00286525"/>
    <w:rsid w:val="0028665D"/>
    <w:rsid w:val="00286BB6"/>
    <w:rsid w:val="00290060"/>
    <w:rsid w:val="002900FE"/>
    <w:rsid w:val="0029051B"/>
    <w:rsid w:val="00290E4C"/>
    <w:rsid w:val="002910AC"/>
    <w:rsid w:val="002910FD"/>
    <w:rsid w:val="00291E2C"/>
    <w:rsid w:val="00291F9D"/>
    <w:rsid w:val="0029295C"/>
    <w:rsid w:val="00293090"/>
    <w:rsid w:val="0029311D"/>
    <w:rsid w:val="00293983"/>
    <w:rsid w:val="002940F6"/>
    <w:rsid w:val="00294432"/>
    <w:rsid w:val="00294EFB"/>
    <w:rsid w:val="00295223"/>
    <w:rsid w:val="00295FB5"/>
    <w:rsid w:val="00296240"/>
    <w:rsid w:val="0029763F"/>
    <w:rsid w:val="00297C8D"/>
    <w:rsid w:val="00297ECE"/>
    <w:rsid w:val="00297F60"/>
    <w:rsid w:val="002A05AF"/>
    <w:rsid w:val="002A0D5B"/>
    <w:rsid w:val="002A1067"/>
    <w:rsid w:val="002A10D6"/>
    <w:rsid w:val="002A112E"/>
    <w:rsid w:val="002A134B"/>
    <w:rsid w:val="002A14AB"/>
    <w:rsid w:val="002A16B8"/>
    <w:rsid w:val="002A2251"/>
    <w:rsid w:val="002A230E"/>
    <w:rsid w:val="002A25B1"/>
    <w:rsid w:val="002A2700"/>
    <w:rsid w:val="002A2ADE"/>
    <w:rsid w:val="002A2F50"/>
    <w:rsid w:val="002A31B6"/>
    <w:rsid w:val="002A340B"/>
    <w:rsid w:val="002A37AA"/>
    <w:rsid w:val="002A3A9B"/>
    <w:rsid w:val="002A3C38"/>
    <w:rsid w:val="002A49F7"/>
    <w:rsid w:val="002A4C60"/>
    <w:rsid w:val="002A5A71"/>
    <w:rsid w:val="002A5C4F"/>
    <w:rsid w:val="002A5D8E"/>
    <w:rsid w:val="002A6215"/>
    <w:rsid w:val="002A6520"/>
    <w:rsid w:val="002A66BB"/>
    <w:rsid w:val="002A6709"/>
    <w:rsid w:val="002A6B05"/>
    <w:rsid w:val="002A6BAB"/>
    <w:rsid w:val="002A7943"/>
    <w:rsid w:val="002A7C46"/>
    <w:rsid w:val="002A7D20"/>
    <w:rsid w:val="002A7F4F"/>
    <w:rsid w:val="002A7F80"/>
    <w:rsid w:val="002B05A1"/>
    <w:rsid w:val="002B09A4"/>
    <w:rsid w:val="002B12D0"/>
    <w:rsid w:val="002B13ED"/>
    <w:rsid w:val="002B1C1F"/>
    <w:rsid w:val="002B1D86"/>
    <w:rsid w:val="002B2E9B"/>
    <w:rsid w:val="002B393E"/>
    <w:rsid w:val="002B4289"/>
    <w:rsid w:val="002B432F"/>
    <w:rsid w:val="002B46DD"/>
    <w:rsid w:val="002B4ABF"/>
    <w:rsid w:val="002B50D4"/>
    <w:rsid w:val="002B5D91"/>
    <w:rsid w:val="002B5D96"/>
    <w:rsid w:val="002B5FD6"/>
    <w:rsid w:val="002B6111"/>
    <w:rsid w:val="002B62B3"/>
    <w:rsid w:val="002B6619"/>
    <w:rsid w:val="002B6713"/>
    <w:rsid w:val="002B671D"/>
    <w:rsid w:val="002B671F"/>
    <w:rsid w:val="002B6754"/>
    <w:rsid w:val="002B6CCE"/>
    <w:rsid w:val="002B71EE"/>
    <w:rsid w:val="002B7393"/>
    <w:rsid w:val="002B73C0"/>
    <w:rsid w:val="002B7403"/>
    <w:rsid w:val="002B74B9"/>
    <w:rsid w:val="002B757F"/>
    <w:rsid w:val="002B7998"/>
    <w:rsid w:val="002B7C2B"/>
    <w:rsid w:val="002C084C"/>
    <w:rsid w:val="002C0A26"/>
    <w:rsid w:val="002C1335"/>
    <w:rsid w:val="002C15B9"/>
    <w:rsid w:val="002C165A"/>
    <w:rsid w:val="002C1F30"/>
    <w:rsid w:val="002C2510"/>
    <w:rsid w:val="002C2622"/>
    <w:rsid w:val="002C276A"/>
    <w:rsid w:val="002C2775"/>
    <w:rsid w:val="002C27C1"/>
    <w:rsid w:val="002C28CF"/>
    <w:rsid w:val="002C3305"/>
    <w:rsid w:val="002C36E3"/>
    <w:rsid w:val="002C4266"/>
    <w:rsid w:val="002C44CE"/>
    <w:rsid w:val="002C5099"/>
    <w:rsid w:val="002C52B2"/>
    <w:rsid w:val="002C5608"/>
    <w:rsid w:val="002C5715"/>
    <w:rsid w:val="002C5889"/>
    <w:rsid w:val="002C5FDD"/>
    <w:rsid w:val="002C64B6"/>
    <w:rsid w:val="002C6CC1"/>
    <w:rsid w:val="002C6D34"/>
    <w:rsid w:val="002C7184"/>
    <w:rsid w:val="002C71CE"/>
    <w:rsid w:val="002C7C35"/>
    <w:rsid w:val="002D00D6"/>
    <w:rsid w:val="002D089B"/>
    <w:rsid w:val="002D08F8"/>
    <w:rsid w:val="002D18C2"/>
    <w:rsid w:val="002D1B87"/>
    <w:rsid w:val="002D290E"/>
    <w:rsid w:val="002D3521"/>
    <w:rsid w:val="002D38D3"/>
    <w:rsid w:val="002D3F51"/>
    <w:rsid w:val="002D4044"/>
    <w:rsid w:val="002D4161"/>
    <w:rsid w:val="002D43E1"/>
    <w:rsid w:val="002D4637"/>
    <w:rsid w:val="002D4C2A"/>
    <w:rsid w:val="002D4FAF"/>
    <w:rsid w:val="002D5480"/>
    <w:rsid w:val="002D577C"/>
    <w:rsid w:val="002D5F09"/>
    <w:rsid w:val="002D658B"/>
    <w:rsid w:val="002D67B2"/>
    <w:rsid w:val="002D7026"/>
    <w:rsid w:val="002D7094"/>
    <w:rsid w:val="002D77CB"/>
    <w:rsid w:val="002D7832"/>
    <w:rsid w:val="002D7930"/>
    <w:rsid w:val="002E0684"/>
    <w:rsid w:val="002E0907"/>
    <w:rsid w:val="002E1071"/>
    <w:rsid w:val="002E1163"/>
    <w:rsid w:val="002E15B9"/>
    <w:rsid w:val="002E18BA"/>
    <w:rsid w:val="002E1A8A"/>
    <w:rsid w:val="002E2158"/>
    <w:rsid w:val="002E2A1C"/>
    <w:rsid w:val="002E2C8A"/>
    <w:rsid w:val="002E31D6"/>
    <w:rsid w:val="002E3BAA"/>
    <w:rsid w:val="002E463F"/>
    <w:rsid w:val="002E4D62"/>
    <w:rsid w:val="002E4F02"/>
    <w:rsid w:val="002E508C"/>
    <w:rsid w:val="002E552B"/>
    <w:rsid w:val="002E58C7"/>
    <w:rsid w:val="002E59C2"/>
    <w:rsid w:val="002E6584"/>
    <w:rsid w:val="002E6A84"/>
    <w:rsid w:val="002E7679"/>
    <w:rsid w:val="002E7722"/>
    <w:rsid w:val="002E7B84"/>
    <w:rsid w:val="002F00C4"/>
    <w:rsid w:val="002F010D"/>
    <w:rsid w:val="002F02D0"/>
    <w:rsid w:val="002F05A0"/>
    <w:rsid w:val="002F07BA"/>
    <w:rsid w:val="002F0A02"/>
    <w:rsid w:val="002F0DA4"/>
    <w:rsid w:val="002F0DA9"/>
    <w:rsid w:val="002F1014"/>
    <w:rsid w:val="002F1290"/>
    <w:rsid w:val="002F1609"/>
    <w:rsid w:val="002F19EF"/>
    <w:rsid w:val="002F1E3B"/>
    <w:rsid w:val="002F1E87"/>
    <w:rsid w:val="002F23E1"/>
    <w:rsid w:val="002F3FD0"/>
    <w:rsid w:val="002F4BB0"/>
    <w:rsid w:val="002F4D3B"/>
    <w:rsid w:val="002F4D6D"/>
    <w:rsid w:val="002F4FCC"/>
    <w:rsid w:val="002F5F6B"/>
    <w:rsid w:val="002F643C"/>
    <w:rsid w:val="002F7175"/>
    <w:rsid w:val="002F71C0"/>
    <w:rsid w:val="002F74F1"/>
    <w:rsid w:val="002F7572"/>
    <w:rsid w:val="002F7BDA"/>
    <w:rsid w:val="002F7C25"/>
    <w:rsid w:val="002F7C66"/>
    <w:rsid w:val="003001A4"/>
    <w:rsid w:val="00300241"/>
    <w:rsid w:val="003003E0"/>
    <w:rsid w:val="00301017"/>
    <w:rsid w:val="0030155F"/>
    <w:rsid w:val="003018AF"/>
    <w:rsid w:val="00301D97"/>
    <w:rsid w:val="00302281"/>
    <w:rsid w:val="003022FE"/>
    <w:rsid w:val="00302B70"/>
    <w:rsid w:val="00302FB3"/>
    <w:rsid w:val="00305079"/>
    <w:rsid w:val="0030518B"/>
    <w:rsid w:val="0030569A"/>
    <w:rsid w:val="0030587B"/>
    <w:rsid w:val="003059F4"/>
    <w:rsid w:val="00305BD7"/>
    <w:rsid w:val="00305CA8"/>
    <w:rsid w:val="00305CBD"/>
    <w:rsid w:val="003061D9"/>
    <w:rsid w:val="003067F2"/>
    <w:rsid w:val="00306903"/>
    <w:rsid w:val="00306D98"/>
    <w:rsid w:val="0030745A"/>
    <w:rsid w:val="0030762E"/>
    <w:rsid w:val="0030786C"/>
    <w:rsid w:val="00307ED9"/>
    <w:rsid w:val="0031031A"/>
    <w:rsid w:val="003105A8"/>
    <w:rsid w:val="00310981"/>
    <w:rsid w:val="003113B4"/>
    <w:rsid w:val="003119C4"/>
    <w:rsid w:val="00311D5A"/>
    <w:rsid w:val="00311D9B"/>
    <w:rsid w:val="00312056"/>
    <w:rsid w:val="003124D9"/>
    <w:rsid w:val="00312594"/>
    <w:rsid w:val="00312E7C"/>
    <w:rsid w:val="00312E9A"/>
    <w:rsid w:val="00312F61"/>
    <w:rsid w:val="00313017"/>
    <w:rsid w:val="003132FC"/>
    <w:rsid w:val="003134C8"/>
    <w:rsid w:val="00313A39"/>
    <w:rsid w:val="003144E5"/>
    <w:rsid w:val="003149F0"/>
    <w:rsid w:val="00315242"/>
    <w:rsid w:val="00315498"/>
    <w:rsid w:val="003158D4"/>
    <w:rsid w:val="00316411"/>
    <w:rsid w:val="00316474"/>
    <w:rsid w:val="00316877"/>
    <w:rsid w:val="00316C67"/>
    <w:rsid w:val="00316FFE"/>
    <w:rsid w:val="00317307"/>
    <w:rsid w:val="00317321"/>
    <w:rsid w:val="0031754E"/>
    <w:rsid w:val="00320175"/>
    <w:rsid w:val="0032043C"/>
    <w:rsid w:val="003205CB"/>
    <w:rsid w:val="00320A70"/>
    <w:rsid w:val="00320F3B"/>
    <w:rsid w:val="00321127"/>
    <w:rsid w:val="003211BF"/>
    <w:rsid w:val="00321B80"/>
    <w:rsid w:val="00321EFA"/>
    <w:rsid w:val="00321F27"/>
    <w:rsid w:val="00322107"/>
    <w:rsid w:val="0032221A"/>
    <w:rsid w:val="003222F2"/>
    <w:rsid w:val="00322355"/>
    <w:rsid w:val="00322846"/>
    <w:rsid w:val="00322AEB"/>
    <w:rsid w:val="00323126"/>
    <w:rsid w:val="00323196"/>
    <w:rsid w:val="0032347D"/>
    <w:rsid w:val="003235B4"/>
    <w:rsid w:val="00323A93"/>
    <w:rsid w:val="00324A90"/>
    <w:rsid w:val="003251E0"/>
    <w:rsid w:val="00325741"/>
    <w:rsid w:val="00325852"/>
    <w:rsid w:val="003259BB"/>
    <w:rsid w:val="003261F2"/>
    <w:rsid w:val="00326D69"/>
    <w:rsid w:val="00326DA7"/>
    <w:rsid w:val="003270E4"/>
    <w:rsid w:val="003272B6"/>
    <w:rsid w:val="00327798"/>
    <w:rsid w:val="00327B19"/>
    <w:rsid w:val="003301B4"/>
    <w:rsid w:val="003301F3"/>
    <w:rsid w:val="003304A2"/>
    <w:rsid w:val="00330DAA"/>
    <w:rsid w:val="00330F5C"/>
    <w:rsid w:val="00331610"/>
    <w:rsid w:val="00331760"/>
    <w:rsid w:val="003317DD"/>
    <w:rsid w:val="003331D3"/>
    <w:rsid w:val="003332B7"/>
    <w:rsid w:val="00333570"/>
    <w:rsid w:val="00333D1F"/>
    <w:rsid w:val="00333D2C"/>
    <w:rsid w:val="00333F17"/>
    <w:rsid w:val="00333F96"/>
    <w:rsid w:val="003340B5"/>
    <w:rsid w:val="00334181"/>
    <w:rsid w:val="00334B45"/>
    <w:rsid w:val="00334D2A"/>
    <w:rsid w:val="0033587B"/>
    <w:rsid w:val="00335A2E"/>
    <w:rsid w:val="00335CDE"/>
    <w:rsid w:val="003366C9"/>
    <w:rsid w:val="003367C5"/>
    <w:rsid w:val="00336B03"/>
    <w:rsid w:val="00336B71"/>
    <w:rsid w:val="00336B9F"/>
    <w:rsid w:val="00336C52"/>
    <w:rsid w:val="00336CC2"/>
    <w:rsid w:val="003371B0"/>
    <w:rsid w:val="00337272"/>
    <w:rsid w:val="00340396"/>
    <w:rsid w:val="0034080C"/>
    <w:rsid w:val="0034094D"/>
    <w:rsid w:val="00340DF1"/>
    <w:rsid w:val="00340FC1"/>
    <w:rsid w:val="003411E9"/>
    <w:rsid w:val="00341F0E"/>
    <w:rsid w:val="00342436"/>
    <w:rsid w:val="003424C7"/>
    <w:rsid w:val="0034252E"/>
    <w:rsid w:val="00342546"/>
    <w:rsid w:val="0034266F"/>
    <w:rsid w:val="00342CD7"/>
    <w:rsid w:val="0034311E"/>
    <w:rsid w:val="003446A5"/>
    <w:rsid w:val="003446F8"/>
    <w:rsid w:val="00344B22"/>
    <w:rsid w:val="00344B81"/>
    <w:rsid w:val="00344CB9"/>
    <w:rsid w:val="0034565D"/>
    <w:rsid w:val="00345EC4"/>
    <w:rsid w:val="0034605F"/>
    <w:rsid w:val="00346903"/>
    <w:rsid w:val="00346E26"/>
    <w:rsid w:val="00347065"/>
    <w:rsid w:val="00347E18"/>
    <w:rsid w:val="00350016"/>
    <w:rsid w:val="00350438"/>
    <w:rsid w:val="003517F9"/>
    <w:rsid w:val="00351BA9"/>
    <w:rsid w:val="00351CD1"/>
    <w:rsid w:val="003523CD"/>
    <w:rsid w:val="00352C9B"/>
    <w:rsid w:val="00352ED7"/>
    <w:rsid w:val="00353568"/>
    <w:rsid w:val="003536B3"/>
    <w:rsid w:val="00353A64"/>
    <w:rsid w:val="00353BD9"/>
    <w:rsid w:val="00353BEA"/>
    <w:rsid w:val="00353D77"/>
    <w:rsid w:val="00354AB1"/>
    <w:rsid w:val="00354F64"/>
    <w:rsid w:val="0035500C"/>
    <w:rsid w:val="003559A4"/>
    <w:rsid w:val="0035620E"/>
    <w:rsid w:val="00356859"/>
    <w:rsid w:val="003575BE"/>
    <w:rsid w:val="00357884"/>
    <w:rsid w:val="00357A49"/>
    <w:rsid w:val="00357F41"/>
    <w:rsid w:val="003601A7"/>
    <w:rsid w:val="00360218"/>
    <w:rsid w:val="00360345"/>
    <w:rsid w:val="00360490"/>
    <w:rsid w:val="00360849"/>
    <w:rsid w:val="00360D1E"/>
    <w:rsid w:val="00361167"/>
    <w:rsid w:val="00361A05"/>
    <w:rsid w:val="00361CCC"/>
    <w:rsid w:val="00361EBB"/>
    <w:rsid w:val="00361F25"/>
    <w:rsid w:val="003621E7"/>
    <w:rsid w:val="003624C4"/>
    <w:rsid w:val="00362B35"/>
    <w:rsid w:val="00362BAC"/>
    <w:rsid w:val="00362EC4"/>
    <w:rsid w:val="00363171"/>
    <w:rsid w:val="0036343D"/>
    <w:rsid w:val="0036389A"/>
    <w:rsid w:val="00363B00"/>
    <w:rsid w:val="00363E8A"/>
    <w:rsid w:val="003642F4"/>
    <w:rsid w:val="00364F46"/>
    <w:rsid w:val="003654AC"/>
    <w:rsid w:val="0036572D"/>
    <w:rsid w:val="00366784"/>
    <w:rsid w:val="00366AF0"/>
    <w:rsid w:val="00366B7A"/>
    <w:rsid w:val="00366BAA"/>
    <w:rsid w:val="00366D2C"/>
    <w:rsid w:val="00367502"/>
    <w:rsid w:val="00367BB7"/>
    <w:rsid w:val="00367DDF"/>
    <w:rsid w:val="00367F55"/>
    <w:rsid w:val="00367F5B"/>
    <w:rsid w:val="0037004D"/>
    <w:rsid w:val="00370146"/>
    <w:rsid w:val="00370711"/>
    <w:rsid w:val="0037071B"/>
    <w:rsid w:val="00370E40"/>
    <w:rsid w:val="003710CF"/>
    <w:rsid w:val="00371D27"/>
    <w:rsid w:val="00371DFD"/>
    <w:rsid w:val="00371F22"/>
    <w:rsid w:val="00371FF2"/>
    <w:rsid w:val="003725F4"/>
    <w:rsid w:val="00372A17"/>
    <w:rsid w:val="00372DCE"/>
    <w:rsid w:val="00373469"/>
    <w:rsid w:val="0037358A"/>
    <w:rsid w:val="003737E4"/>
    <w:rsid w:val="003738A6"/>
    <w:rsid w:val="00373DA6"/>
    <w:rsid w:val="0037490A"/>
    <w:rsid w:val="003750F6"/>
    <w:rsid w:val="003760FC"/>
    <w:rsid w:val="00376510"/>
    <w:rsid w:val="00376746"/>
    <w:rsid w:val="0037688D"/>
    <w:rsid w:val="003777CC"/>
    <w:rsid w:val="00377C24"/>
    <w:rsid w:val="00377D91"/>
    <w:rsid w:val="003806FB"/>
    <w:rsid w:val="003807FD"/>
    <w:rsid w:val="003818FE"/>
    <w:rsid w:val="00382067"/>
    <w:rsid w:val="00382617"/>
    <w:rsid w:val="00382669"/>
    <w:rsid w:val="00382BEC"/>
    <w:rsid w:val="00382DED"/>
    <w:rsid w:val="0038331C"/>
    <w:rsid w:val="0038365C"/>
    <w:rsid w:val="00383691"/>
    <w:rsid w:val="0038369B"/>
    <w:rsid w:val="003838BF"/>
    <w:rsid w:val="00383B78"/>
    <w:rsid w:val="00383B82"/>
    <w:rsid w:val="0038483A"/>
    <w:rsid w:val="0038594B"/>
    <w:rsid w:val="00385A9D"/>
    <w:rsid w:val="00385DA6"/>
    <w:rsid w:val="00385FE6"/>
    <w:rsid w:val="00386332"/>
    <w:rsid w:val="00386BFC"/>
    <w:rsid w:val="00386F8E"/>
    <w:rsid w:val="0038704D"/>
    <w:rsid w:val="00387121"/>
    <w:rsid w:val="00387392"/>
    <w:rsid w:val="0038743A"/>
    <w:rsid w:val="00387469"/>
    <w:rsid w:val="00387DFE"/>
    <w:rsid w:val="003902B1"/>
    <w:rsid w:val="0039179C"/>
    <w:rsid w:val="00391A34"/>
    <w:rsid w:val="0039236A"/>
    <w:rsid w:val="003925EE"/>
    <w:rsid w:val="00393437"/>
    <w:rsid w:val="00393622"/>
    <w:rsid w:val="0039411E"/>
    <w:rsid w:val="003944BE"/>
    <w:rsid w:val="003949F9"/>
    <w:rsid w:val="00394FB2"/>
    <w:rsid w:val="00395002"/>
    <w:rsid w:val="00395A60"/>
    <w:rsid w:val="003960F8"/>
    <w:rsid w:val="003962D1"/>
    <w:rsid w:val="0039649D"/>
    <w:rsid w:val="00396896"/>
    <w:rsid w:val="00396FD0"/>
    <w:rsid w:val="003974C6"/>
    <w:rsid w:val="00397C21"/>
    <w:rsid w:val="003A05A5"/>
    <w:rsid w:val="003A0AEA"/>
    <w:rsid w:val="003A0E34"/>
    <w:rsid w:val="003A14AA"/>
    <w:rsid w:val="003A157E"/>
    <w:rsid w:val="003A1A7A"/>
    <w:rsid w:val="003A1C3F"/>
    <w:rsid w:val="003A20BB"/>
    <w:rsid w:val="003A2392"/>
    <w:rsid w:val="003A23D1"/>
    <w:rsid w:val="003A26F8"/>
    <w:rsid w:val="003A272D"/>
    <w:rsid w:val="003A2831"/>
    <w:rsid w:val="003A3763"/>
    <w:rsid w:val="003A392B"/>
    <w:rsid w:val="003A3A63"/>
    <w:rsid w:val="003A3CB6"/>
    <w:rsid w:val="003A3ED1"/>
    <w:rsid w:val="003A3F03"/>
    <w:rsid w:val="003A404F"/>
    <w:rsid w:val="003A4340"/>
    <w:rsid w:val="003A44DB"/>
    <w:rsid w:val="003A4C14"/>
    <w:rsid w:val="003A51D8"/>
    <w:rsid w:val="003A52E8"/>
    <w:rsid w:val="003A5635"/>
    <w:rsid w:val="003A56B2"/>
    <w:rsid w:val="003A5896"/>
    <w:rsid w:val="003A5B7A"/>
    <w:rsid w:val="003A68BF"/>
    <w:rsid w:val="003A69E3"/>
    <w:rsid w:val="003A7377"/>
    <w:rsid w:val="003A7BC8"/>
    <w:rsid w:val="003B0046"/>
    <w:rsid w:val="003B0D60"/>
    <w:rsid w:val="003B0EFA"/>
    <w:rsid w:val="003B126D"/>
    <w:rsid w:val="003B362D"/>
    <w:rsid w:val="003B3828"/>
    <w:rsid w:val="003B3971"/>
    <w:rsid w:val="003B3C34"/>
    <w:rsid w:val="003B4850"/>
    <w:rsid w:val="003B4C59"/>
    <w:rsid w:val="003B546D"/>
    <w:rsid w:val="003B55D1"/>
    <w:rsid w:val="003B5627"/>
    <w:rsid w:val="003B5B61"/>
    <w:rsid w:val="003B5E1D"/>
    <w:rsid w:val="003B5EC9"/>
    <w:rsid w:val="003B61C9"/>
    <w:rsid w:val="003B686B"/>
    <w:rsid w:val="003B69D9"/>
    <w:rsid w:val="003B6AD4"/>
    <w:rsid w:val="003B71C2"/>
    <w:rsid w:val="003B7BD9"/>
    <w:rsid w:val="003B7C71"/>
    <w:rsid w:val="003C0003"/>
    <w:rsid w:val="003C063D"/>
    <w:rsid w:val="003C14B7"/>
    <w:rsid w:val="003C1654"/>
    <w:rsid w:val="003C1AAA"/>
    <w:rsid w:val="003C1ACD"/>
    <w:rsid w:val="003C2F3A"/>
    <w:rsid w:val="003C302A"/>
    <w:rsid w:val="003C36D2"/>
    <w:rsid w:val="003C3A69"/>
    <w:rsid w:val="003C3DB8"/>
    <w:rsid w:val="003C4507"/>
    <w:rsid w:val="003C4E01"/>
    <w:rsid w:val="003C4F74"/>
    <w:rsid w:val="003C50A8"/>
    <w:rsid w:val="003C5542"/>
    <w:rsid w:val="003C5716"/>
    <w:rsid w:val="003C5FC8"/>
    <w:rsid w:val="003C64BD"/>
    <w:rsid w:val="003C655C"/>
    <w:rsid w:val="003C7118"/>
    <w:rsid w:val="003C74A2"/>
    <w:rsid w:val="003C759D"/>
    <w:rsid w:val="003C7A7B"/>
    <w:rsid w:val="003C7A91"/>
    <w:rsid w:val="003C7B01"/>
    <w:rsid w:val="003C7C14"/>
    <w:rsid w:val="003C7C15"/>
    <w:rsid w:val="003C7CAB"/>
    <w:rsid w:val="003C7D19"/>
    <w:rsid w:val="003C7D2F"/>
    <w:rsid w:val="003D03A2"/>
    <w:rsid w:val="003D03D7"/>
    <w:rsid w:val="003D0B8B"/>
    <w:rsid w:val="003D0C5A"/>
    <w:rsid w:val="003D0EBA"/>
    <w:rsid w:val="003D1828"/>
    <w:rsid w:val="003D1B39"/>
    <w:rsid w:val="003D1DE4"/>
    <w:rsid w:val="003D1E18"/>
    <w:rsid w:val="003D1E9A"/>
    <w:rsid w:val="003D221F"/>
    <w:rsid w:val="003D235C"/>
    <w:rsid w:val="003D2422"/>
    <w:rsid w:val="003D2440"/>
    <w:rsid w:val="003D2735"/>
    <w:rsid w:val="003D289F"/>
    <w:rsid w:val="003D28E3"/>
    <w:rsid w:val="003D39A1"/>
    <w:rsid w:val="003D3FBF"/>
    <w:rsid w:val="003D4A30"/>
    <w:rsid w:val="003D52CB"/>
    <w:rsid w:val="003D5457"/>
    <w:rsid w:val="003D55BB"/>
    <w:rsid w:val="003D5A4C"/>
    <w:rsid w:val="003D5E57"/>
    <w:rsid w:val="003D6609"/>
    <w:rsid w:val="003D6BA6"/>
    <w:rsid w:val="003D72C4"/>
    <w:rsid w:val="003D7452"/>
    <w:rsid w:val="003D76A9"/>
    <w:rsid w:val="003D79BB"/>
    <w:rsid w:val="003D7A24"/>
    <w:rsid w:val="003D7C98"/>
    <w:rsid w:val="003D7D9D"/>
    <w:rsid w:val="003D7E83"/>
    <w:rsid w:val="003E0381"/>
    <w:rsid w:val="003E0543"/>
    <w:rsid w:val="003E05D4"/>
    <w:rsid w:val="003E1FCB"/>
    <w:rsid w:val="003E20CA"/>
    <w:rsid w:val="003E217F"/>
    <w:rsid w:val="003E27A5"/>
    <w:rsid w:val="003E3603"/>
    <w:rsid w:val="003E3889"/>
    <w:rsid w:val="003E39C1"/>
    <w:rsid w:val="003E4643"/>
    <w:rsid w:val="003E46EC"/>
    <w:rsid w:val="003E4955"/>
    <w:rsid w:val="003E4C80"/>
    <w:rsid w:val="003E5305"/>
    <w:rsid w:val="003E5397"/>
    <w:rsid w:val="003E53DE"/>
    <w:rsid w:val="003E5603"/>
    <w:rsid w:val="003E563F"/>
    <w:rsid w:val="003E60A4"/>
    <w:rsid w:val="003E6525"/>
    <w:rsid w:val="003E6BDC"/>
    <w:rsid w:val="003E6DC0"/>
    <w:rsid w:val="003E6ECD"/>
    <w:rsid w:val="003E70C8"/>
    <w:rsid w:val="003E72A3"/>
    <w:rsid w:val="003E749E"/>
    <w:rsid w:val="003F001B"/>
    <w:rsid w:val="003F08AC"/>
    <w:rsid w:val="003F1345"/>
    <w:rsid w:val="003F1641"/>
    <w:rsid w:val="003F19BA"/>
    <w:rsid w:val="003F1F04"/>
    <w:rsid w:val="003F23DE"/>
    <w:rsid w:val="003F262B"/>
    <w:rsid w:val="003F3398"/>
    <w:rsid w:val="003F3FA1"/>
    <w:rsid w:val="003F4156"/>
    <w:rsid w:val="003F4C40"/>
    <w:rsid w:val="003F4FA7"/>
    <w:rsid w:val="003F500C"/>
    <w:rsid w:val="003F524D"/>
    <w:rsid w:val="003F556E"/>
    <w:rsid w:val="003F558C"/>
    <w:rsid w:val="003F5A51"/>
    <w:rsid w:val="003F5ADF"/>
    <w:rsid w:val="003F5DA3"/>
    <w:rsid w:val="003F5F1D"/>
    <w:rsid w:val="003F67E1"/>
    <w:rsid w:val="003F7395"/>
    <w:rsid w:val="004005B9"/>
    <w:rsid w:val="00400922"/>
    <w:rsid w:val="00400B29"/>
    <w:rsid w:val="00401152"/>
    <w:rsid w:val="00401367"/>
    <w:rsid w:val="0040137E"/>
    <w:rsid w:val="0040183E"/>
    <w:rsid w:val="00401B15"/>
    <w:rsid w:val="00401B81"/>
    <w:rsid w:val="00402217"/>
    <w:rsid w:val="00402276"/>
    <w:rsid w:val="00402812"/>
    <w:rsid w:val="00402D43"/>
    <w:rsid w:val="00402D9F"/>
    <w:rsid w:val="00403A56"/>
    <w:rsid w:val="00404532"/>
    <w:rsid w:val="004046D0"/>
    <w:rsid w:val="00404A7E"/>
    <w:rsid w:val="00404D7A"/>
    <w:rsid w:val="00404E1A"/>
    <w:rsid w:val="0040504B"/>
    <w:rsid w:val="004050E4"/>
    <w:rsid w:val="004051CA"/>
    <w:rsid w:val="0040541C"/>
    <w:rsid w:val="004055B7"/>
    <w:rsid w:val="00405694"/>
    <w:rsid w:val="00405761"/>
    <w:rsid w:val="004059F4"/>
    <w:rsid w:val="00405C03"/>
    <w:rsid w:val="0040691C"/>
    <w:rsid w:val="00406B7E"/>
    <w:rsid w:val="00407FE5"/>
    <w:rsid w:val="004101B0"/>
    <w:rsid w:val="00410326"/>
    <w:rsid w:val="00410708"/>
    <w:rsid w:val="004109E6"/>
    <w:rsid w:val="00410EC7"/>
    <w:rsid w:val="00411128"/>
    <w:rsid w:val="004111CA"/>
    <w:rsid w:val="004113CC"/>
    <w:rsid w:val="00411B39"/>
    <w:rsid w:val="00411CF3"/>
    <w:rsid w:val="0041254F"/>
    <w:rsid w:val="004127A7"/>
    <w:rsid w:val="00412A5E"/>
    <w:rsid w:val="00412B13"/>
    <w:rsid w:val="00412C31"/>
    <w:rsid w:val="00412FB9"/>
    <w:rsid w:val="004134B1"/>
    <w:rsid w:val="004136C8"/>
    <w:rsid w:val="00413A1E"/>
    <w:rsid w:val="00413E2A"/>
    <w:rsid w:val="00414476"/>
    <w:rsid w:val="00414A60"/>
    <w:rsid w:val="00414B4B"/>
    <w:rsid w:val="00414C2E"/>
    <w:rsid w:val="00414DDD"/>
    <w:rsid w:val="004150EC"/>
    <w:rsid w:val="004151CF"/>
    <w:rsid w:val="00415C84"/>
    <w:rsid w:val="00415DD6"/>
    <w:rsid w:val="00416364"/>
    <w:rsid w:val="00416809"/>
    <w:rsid w:val="00416887"/>
    <w:rsid w:val="00416DEB"/>
    <w:rsid w:val="00416E45"/>
    <w:rsid w:val="00417198"/>
    <w:rsid w:val="004172EB"/>
    <w:rsid w:val="0042047F"/>
    <w:rsid w:val="00420AA6"/>
    <w:rsid w:val="00420B9F"/>
    <w:rsid w:val="0042165D"/>
    <w:rsid w:val="004216F1"/>
    <w:rsid w:val="0042192C"/>
    <w:rsid w:val="00421F4C"/>
    <w:rsid w:val="0042200B"/>
    <w:rsid w:val="00422260"/>
    <w:rsid w:val="00422795"/>
    <w:rsid w:val="004228EA"/>
    <w:rsid w:val="00422E6B"/>
    <w:rsid w:val="00423047"/>
    <w:rsid w:val="00423140"/>
    <w:rsid w:val="00423247"/>
    <w:rsid w:val="00423556"/>
    <w:rsid w:val="00423BAF"/>
    <w:rsid w:val="00423EC1"/>
    <w:rsid w:val="00424094"/>
    <w:rsid w:val="0042413F"/>
    <w:rsid w:val="004243AA"/>
    <w:rsid w:val="00424E6B"/>
    <w:rsid w:val="0042547D"/>
    <w:rsid w:val="004256DE"/>
    <w:rsid w:val="00426122"/>
    <w:rsid w:val="004263F6"/>
    <w:rsid w:val="004263FD"/>
    <w:rsid w:val="004269EB"/>
    <w:rsid w:val="00426B81"/>
    <w:rsid w:val="00426D40"/>
    <w:rsid w:val="00427784"/>
    <w:rsid w:val="004279D1"/>
    <w:rsid w:val="00427F05"/>
    <w:rsid w:val="00430084"/>
    <w:rsid w:val="00430D6A"/>
    <w:rsid w:val="00431121"/>
    <w:rsid w:val="004319F8"/>
    <w:rsid w:val="00431CA9"/>
    <w:rsid w:val="00431E55"/>
    <w:rsid w:val="00431F28"/>
    <w:rsid w:val="004321F6"/>
    <w:rsid w:val="0043287E"/>
    <w:rsid w:val="00432CBD"/>
    <w:rsid w:val="00432F98"/>
    <w:rsid w:val="00433044"/>
    <w:rsid w:val="00433629"/>
    <w:rsid w:val="00434088"/>
    <w:rsid w:val="00434631"/>
    <w:rsid w:val="00435219"/>
    <w:rsid w:val="00435BDD"/>
    <w:rsid w:val="00436532"/>
    <w:rsid w:val="0043657C"/>
    <w:rsid w:val="00436977"/>
    <w:rsid w:val="00436A2D"/>
    <w:rsid w:val="00436CFA"/>
    <w:rsid w:val="0043736D"/>
    <w:rsid w:val="004375B9"/>
    <w:rsid w:val="004378A2"/>
    <w:rsid w:val="00437A72"/>
    <w:rsid w:val="00440475"/>
    <w:rsid w:val="00440593"/>
    <w:rsid w:val="00440D3B"/>
    <w:rsid w:val="004421E3"/>
    <w:rsid w:val="004422B3"/>
    <w:rsid w:val="004422C8"/>
    <w:rsid w:val="0044242B"/>
    <w:rsid w:val="004428D0"/>
    <w:rsid w:val="00442EAF"/>
    <w:rsid w:val="004431EA"/>
    <w:rsid w:val="00443205"/>
    <w:rsid w:val="004433F7"/>
    <w:rsid w:val="00443645"/>
    <w:rsid w:val="0044373B"/>
    <w:rsid w:val="00443D26"/>
    <w:rsid w:val="00443E4B"/>
    <w:rsid w:val="00443F4F"/>
    <w:rsid w:val="00444185"/>
    <w:rsid w:val="004442B0"/>
    <w:rsid w:val="004443A7"/>
    <w:rsid w:val="0044442C"/>
    <w:rsid w:val="00444683"/>
    <w:rsid w:val="0044506A"/>
    <w:rsid w:val="004451B0"/>
    <w:rsid w:val="004453E1"/>
    <w:rsid w:val="00445500"/>
    <w:rsid w:val="0044557C"/>
    <w:rsid w:val="004458CF"/>
    <w:rsid w:val="00445941"/>
    <w:rsid w:val="00445B65"/>
    <w:rsid w:val="004464D3"/>
    <w:rsid w:val="004464EB"/>
    <w:rsid w:val="00446992"/>
    <w:rsid w:val="00447010"/>
    <w:rsid w:val="004478B4"/>
    <w:rsid w:val="00447BF3"/>
    <w:rsid w:val="00447D26"/>
    <w:rsid w:val="00447DFC"/>
    <w:rsid w:val="004502B1"/>
    <w:rsid w:val="004507A0"/>
    <w:rsid w:val="00450A60"/>
    <w:rsid w:val="00451204"/>
    <w:rsid w:val="00451D4A"/>
    <w:rsid w:val="00451D78"/>
    <w:rsid w:val="00451DE1"/>
    <w:rsid w:val="0045218A"/>
    <w:rsid w:val="00453C30"/>
    <w:rsid w:val="00454EBE"/>
    <w:rsid w:val="00454EE7"/>
    <w:rsid w:val="00455BEE"/>
    <w:rsid w:val="00455CD3"/>
    <w:rsid w:val="00455D45"/>
    <w:rsid w:val="00455DA5"/>
    <w:rsid w:val="00455FF9"/>
    <w:rsid w:val="0045643E"/>
    <w:rsid w:val="00456834"/>
    <w:rsid w:val="00456AEC"/>
    <w:rsid w:val="00456C07"/>
    <w:rsid w:val="00456CAD"/>
    <w:rsid w:val="00456D2B"/>
    <w:rsid w:val="00456DDE"/>
    <w:rsid w:val="0045754D"/>
    <w:rsid w:val="0046009C"/>
    <w:rsid w:val="00461193"/>
    <w:rsid w:val="00461524"/>
    <w:rsid w:val="00461860"/>
    <w:rsid w:val="00463409"/>
    <w:rsid w:val="00463646"/>
    <w:rsid w:val="00463683"/>
    <w:rsid w:val="00463A4F"/>
    <w:rsid w:val="00463C8F"/>
    <w:rsid w:val="004644DC"/>
    <w:rsid w:val="00464595"/>
    <w:rsid w:val="00464E76"/>
    <w:rsid w:val="00464EEC"/>
    <w:rsid w:val="00464FC8"/>
    <w:rsid w:val="004650A6"/>
    <w:rsid w:val="00465534"/>
    <w:rsid w:val="004658B5"/>
    <w:rsid w:val="00465A97"/>
    <w:rsid w:val="00465CAE"/>
    <w:rsid w:val="00466C5E"/>
    <w:rsid w:val="00466E71"/>
    <w:rsid w:val="0046706D"/>
    <w:rsid w:val="004675C6"/>
    <w:rsid w:val="00467805"/>
    <w:rsid w:val="004702D5"/>
    <w:rsid w:val="004702E6"/>
    <w:rsid w:val="00470380"/>
    <w:rsid w:val="00470834"/>
    <w:rsid w:val="00470959"/>
    <w:rsid w:val="00471AF2"/>
    <w:rsid w:val="00471B15"/>
    <w:rsid w:val="00471E0F"/>
    <w:rsid w:val="00471EA5"/>
    <w:rsid w:val="00471F50"/>
    <w:rsid w:val="004720C9"/>
    <w:rsid w:val="00472238"/>
    <w:rsid w:val="00472A79"/>
    <w:rsid w:val="00472B5D"/>
    <w:rsid w:val="00472C7A"/>
    <w:rsid w:val="00473104"/>
    <w:rsid w:val="00473169"/>
    <w:rsid w:val="004732DD"/>
    <w:rsid w:val="0047368F"/>
    <w:rsid w:val="00473A73"/>
    <w:rsid w:val="00473F19"/>
    <w:rsid w:val="0047477A"/>
    <w:rsid w:val="004749F9"/>
    <w:rsid w:val="00474A48"/>
    <w:rsid w:val="00474A74"/>
    <w:rsid w:val="00474B98"/>
    <w:rsid w:val="00474CC6"/>
    <w:rsid w:val="00475E22"/>
    <w:rsid w:val="004762FC"/>
    <w:rsid w:val="004766CB"/>
    <w:rsid w:val="00476FC2"/>
    <w:rsid w:val="00477554"/>
    <w:rsid w:val="00477623"/>
    <w:rsid w:val="0047779B"/>
    <w:rsid w:val="00480102"/>
    <w:rsid w:val="00480458"/>
    <w:rsid w:val="004806FF"/>
    <w:rsid w:val="004807BF"/>
    <w:rsid w:val="0048088E"/>
    <w:rsid w:val="00480AA6"/>
    <w:rsid w:val="00480AE0"/>
    <w:rsid w:val="00480D25"/>
    <w:rsid w:val="00480F2B"/>
    <w:rsid w:val="004815AB"/>
    <w:rsid w:val="00481DD4"/>
    <w:rsid w:val="00482720"/>
    <w:rsid w:val="004827F2"/>
    <w:rsid w:val="004828F8"/>
    <w:rsid w:val="004830DA"/>
    <w:rsid w:val="004835E7"/>
    <w:rsid w:val="004836BF"/>
    <w:rsid w:val="00483717"/>
    <w:rsid w:val="00484946"/>
    <w:rsid w:val="00484B67"/>
    <w:rsid w:val="00484EF7"/>
    <w:rsid w:val="0048511A"/>
    <w:rsid w:val="0048563F"/>
    <w:rsid w:val="004859E1"/>
    <w:rsid w:val="0048642D"/>
    <w:rsid w:val="004867E2"/>
    <w:rsid w:val="0048748C"/>
    <w:rsid w:val="0048776D"/>
    <w:rsid w:val="004877DB"/>
    <w:rsid w:val="00487E12"/>
    <w:rsid w:val="0049014B"/>
    <w:rsid w:val="00490B17"/>
    <w:rsid w:val="004911E5"/>
    <w:rsid w:val="004911EE"/>
    <w:rsid w:val="00491312"/>
    <w:rsid w:val="00491609"/>
    <w:rsid w:val="00491642"/>
    <w:rsid w:val="00491767"/>
    <w:rsid w:val="00491871"/>
    <w:rsid w:val="00491B3A"/>
    <w:rsid w:val="00492458"/>
    <w:rsid w:val="004926E9"/>
    <w:rsid w:val="00492708"/>
    <w:rsid w:val="00492720"/>
    <w:rsid w:val="00492AD6"/>
    <w:rsid w:val="00492B01"/>
    <w:rsid w:val="00492CFD"/>
    <w:rsid w:val="0049343F"/>
    <w:rsid w:val="004934CA"/>
    <w:rsid w:val="0049382B"/>
    <w:rsid w:val="00494207"/>
    <w:rsid w:val="0049421C"/>
    <w:rsid w:val="0049434F"/>
    <w:rsid w:val="004944CB"/>
    <w:rsid w:val="00494681"/>
    <w:rsid w:val="0049497D"/>
    <w:rsid w:val="00494DD5"/>
    <w:rsid w:val="004962D2"/>
    <w:rsid w:val="004962DF"/>
    <w:rsid w:val="004969E9"/>
    <w:rsid w:val="00496A92"/>
    <w:rsid w:val="00496B69"/>
    <w:rsid w:val="00496F0D"/>
    <w:rsid w:val="00496F8A"/>
    <w:rsid w:val="00497821"/>
    <w:rsid w:val="004A0003"/>
    <w:rsid w:val="004A0AD3"/>
    <w:rsid w:val="004A0DA1"/>
    <w:rsid w:val="004A1022"/>
    <w:rsid w:val="004A13D6"/>
    <w:rsid w:val="004A16D2"/>
    <w:rsid w:val="004A2141"/>
    <w:rsid w:val="004A3285"/>
    <w:rsid w:val="004A3352"/>
    <w:rsid w:val="004A3373"/>
    <w:rsid w:val="004A38CA"/>
    <w:rsid w:val="004A3A1E"/>
    <w:rsid w:val="004A41C9"/>
    <w:rsid w:val="004A440C"/>
    <w:rsid w:val="004A44E6"/>
    <w:rsid w:val="004A452C"/>
    <w:rsid w:val="004A489D"/>
    <w:rsid w:val="004A515F"/>
    <w:rsid w:val="004A52E9"/>
    <w:rsid w:val="004A5592"/>
    <w:rsid w:val="004A5C8C"/>
    <w:rsid w:val="004A6040"/>
    <w:rsid w:val="004A6597"/>
    <w:rsid w:val="004A6E9B"/>
    <w:rsid w:val="004A71C3"/>
    <w:rsid w:val="004A76BD"/>
    <w:rsid w:val="004A7848"/>
    <w:rsid w:val="004A793B"/>
    <w:rsid w:val="004A794B"/>
    <w:rsid w:val="004B0169"/>
    <w:rsid w:val="004B07EE"/>
    <w:rsid w:val="004B1CB4"/>
    <w:rsid w:val="004B1F3C"/>
    <w:rsid w:val="004B21CA"/>
    <w:rsid w:val="004B22D7"/>
    <w:rsid w:val="004B2795"/>
    <w:rsid w:val="004B2BCB"/>
    <w:rsid w:val="004B2C19"/>
    <w:rsid w:val="004B2F18"/>
    <w:rsid w:val="004B3324"/>
    <w:rsid w:val="004B3497"/>
    <w:rsid w:val="004B3568"/>
    <w:rsid w:val="004B3B60"/>
    <w:rsid w:val="004B3CFE"/>
    <w:rsid w:val="004B3DDB"/>
    <w:rsid w:val="004B44FD"/>
    <w:rsid w:val="004B4927"/>
    <w:rsid w:val="004B5042"/>
    <w:rsid w:val="004B50F3"/>
    <w:rsid w:val="004B5191"/>
    <w:rsid w:val="004B59A5"/>
    <w:rsid w:val="004B5B32"/>
    <w:rsid w:val="004B5CFC"/>
    <w:rsid w:val="004B5F58"/>
    <w:rsid w:val="004B60AD"/>
    <w:rsid w:val="004B6409"/>
    <w:rsid w:val="004B6F79"/>
    <w:rsid w:val="004B722C"/>
    <w:rsid w:val="004B74CC"/>
    <w:rsid w:val="004B76F8"/>
    <w:rsid w:val="004B774D"/>
    <w:rsid w:val="004B782A"/>
    <w:rsid w:val="004B7BFE"/>
    <w:rsid w:val="004C00DB"/>
    <w:rsid w:val="004C0ED3"/>
    <w:rsid w:val="004C1353"/>
    <w:rsid w:val="004C156F"/>
    <w:rsid w:val="004C170B"/>
    <w:rsid w:val="004C1D8B"/>
    <w:rsid w:val="004C1FA1"/>
    <w:rsid w:val="004C2AC2"/>
    <w:rsid w:val="004C2EC2"/>
    <w:rsid w:val="004C361B"/>
    <w:rsid w:val="004C38B9"/>
    <w:rsid w:val="004C43D4"/>
    <w:rsid w:val="004C4979"/>
    <w:rsid w:val="004C4AED"/>
    <w:rsid w:val="004C4BC4"/>
    <w:rsid w:val="004C4DC5"/>
    <w:rsid w:val="004C5223"/>
    <w:rsid w:val="004C534D"/>
    <w:rsid w:val="004C5386"/>
    <w:rsid w:val="004C5B05"/>
    <w:rsid w:val="004C60E3"/>
    <w:rsid w:val="004C6451"/>
    <w:rsid w:val="004C6BA0"/>
    <w:rsid w:val="004C6BEA"/>
    <w:rsid w:val="004C6F10"/>
    <w:rsid w:val="004C7286"/>
    <w:rsid w:val="004C7776"/>
    <w:rsid w:val="004C777C"/>
    <w:rsid w:val="004C78AA"/>
    <w:rsid w:val="004C7DBB"/>
    <w:rsid w:val="004C7E74"/>
    <w:rsid w:val="004D06B1"/>
    <w:rsid w:val="004D0BD2"/>
    <w:rsid w:val="004D0EAB"/>
    <w:rsid w:val="004D0F47"/>
    <w:rsid w:val="004D1477"/>
    <w:rsid w:val="004D1758"/>
    <w:rsid w:val="004D2C2D"/>
    <w:rsid w:val="004D2EDC"/>
    <w:rsid w:val="004D2F9F"/>
    <w:rsid w:val="004D3A11"/>
    <w:rsid w:val="004D4271"/>
    <w:rsid w:val="004D4641"/>
    <w:rsid w:val="004D4833"/>
    <w:rsid w:val="004D4D81"/>
    <w:rsid w:val="004D5BBC"/>
    <w:rsid w:val="004D5F2E"/>
    <w:rsid w:val="004D6009"/>
    <w:rsid w:val="004D63D8"/>
    <w:rsid w:val="004D69B5"/>
    <w:rsid w:val="004D6AD8"/>
    <w:rsid w:val="004D7227"/>
    <w:rsid w:val="004D722A"/>
    <w:rsid w:val="004D73EE"/>
    <w:rsid w:val="004D7870"/>
    <w:rsid w:val="004D7B5E"/>
    <w:rsid w:val="004D7C7F"/>
    <w:rsid w:val="004E0388"/>
    <w:rsid w:val="004E043E"/>
    <w:rsid w:val="004E04F4"/>
    <w:rsid w:val="004E0D0B"/>
    <w:rsid w:val="004E0E7F"/>
    <w:rsid w:val="004E0EB8"/>
    <w:rsid w:val="004E1613"/>
    <w:rsid w:val="004E1854"/>
    <w:rsid w:val="004E18E9"/>
    <w:rsid w:val="004E208B"/>
    <w:rsid w:val="004E26AA"/>
    <w:rsid w:val="004E2ADC"/>
    <w:rsid w:val="004E2B54"/>
    <w:rsid w:val="004E2B67"/>
    <w:rsid w:val="004E34A6"/>
    <w:rsid w:val="004E39DD"/>
    <w:rsid w:val="004E3E23"/>
    <w:rsid w:val="004E43B2"/>
    <w:rsid w:val="004E4405"/>
    <w:rsid w:val="004E457E"/>
    <w:rsid w:val="004E4891"/>
    <w:rsid w:val="004E4F26"/>
    <w:rsid w:val="004E5104"/>
    <w:rsid w:val="004E55FB"/>
    <w:rsid w:val="004E5ADA"/>
    <w:rsid w:val="004E5C61"/>
    <w:rsid w:val="004E7954"/>
    <w:rsid w:val="004E7D59"/>
    <w:rsid w:val="004F0127"/>
    <w:rsid w:val="004F02F3"/>
    <w:rsid w:val="004F0519"/>
    <w:rsid w:val="004F0F48"/>
    <w:rsid w:val="004F107B"/>
    <w:rsid w:val="004F10EB"/>
    <w:rsid w:val="004F1D02"/>
    <w:rsid w:val="004F2679"/>
    <w:rsid w:val="004F2AE3"/>
    <w:rsid w:val="004F2F21"/>
    <w:rsid w:val="004F30A5"/>
    <w:rsid w:val="004F313B"/>
    <w:rsid w:val="004F354C"/>
    <w:rsid w:val="004F3897"/>
    <w:rsid w:val="004F3DE5"/>
    <w:rsid w:val="004F4589"/>
    <w:rsid w:val="004F4B6F"/>
    <w:rsid w:val="004F4F9D"/>
    <w:rsid w:val="004F530B"/>
    <w:rsid w:val="004F541C"/>
    <w:rsid w:val="004F5430"/>
    <w:rsid w:val="004F5D1E"/>
    <w:rsid w:val="004F642E"/>
    <w:rsid w:val="004F6753"/>
    <w:rsid w:val="004F6913"/>
    <w:rsid w:val="004F6DFB"/>
    <w:rsid w:val="004F7865"/>
    <w:rsid w:val="00500181"/>
    <w:rsid w:val="005002A6"/>
    <w:rsid w:val="00500442"/>
    <w:rsid w:val="005009FE"/>
    <w:rsid w:val="00500DCC"/>
    <w:rsid w:val="0050118C"/>
    <w:rsid w:val="005011C0"/>
    <w:rsid w:val="0050138B"/>
    <w:rsid w:val="00501627"/>
    <w:rsid w:val="0050174E"/>
    <w:rsid w:val="00501768"/>
    <w:rsid w:val="0050177C"/>
    <w:rsid w:val="00501854"/>
    <w:rsid w:val="00501A1A"/>
    <w:rsid w:val="005020C7"/>
    <w:rsid w:val="00502115"/>
    <w:rsid w:val="0050219B"/>
    <w:rsid w:val="005021D9"/>
    <w:rsid w:val="00502D57"/>
    <w:rsid w:val="005033CC"/>
    <w:rsid w:val="00503C0B"/>
    <w:rsid w:val="00503E34"/>
    <w:rsid w:val="00503F17"/>
    <w:rsid w:val="00503F3A"/>
    <w:rsid w:val="00504189"/>
    <w:rsid w:val="00504651"/>
    <w:rsid w:val="00504A42"/>
    <w:rsid w:val="00504FFD"/>
    <w:rsid w:val="005050D5"/>
    <w:rsid w:val="00505D76"/>
    <w:rsid w:val="005066DA"/>
    <w:rsid w:val="005068DE"/>
    <w:rsid w:val="00506928"/>
    <w:rsid w:val="00506E7C"/>
    <w:rsid w:val="00506EC5"/>
    <w:rsid w:val="005075A0"/>
    <w:rsid w:val="005077EF"/>
    <w:rsid w:val="00507A38"/>
    <w:rsid w:val="00510007"/>
    <w:rsid w:val="0051042C"/>
    <w:rsid w:val="00510596"/>
    <w:rsid w:val="00510F08"/>
    <w:rsid w:val="00510F15"/>
    <w:rsid w:val="005110B1"/>
    <w:rsid w:val="005110CD"/>
    <w:rsid w:val="005114C5"/>
    <w:rsid w:val="005118FF"/>
    <w:rsid w:val="00511AD5"/>
    <w:rsid w:val="00511DC7"/>
    <w:rsid w:val="00511E5C"/>
    <w:rsid w:val="00512113"/>
    <w:rsid w:val="00512CE8"/>
    <w:rsid w:val="00513A39"/>
    <w:rsid w:val="005142C5"/>
    <w:rsid w:val="005146D8"/>
    <w:rsid w:val="00514B95"/>
    <w:rsid w:val="00514BD4"/>
    <w:rsid w:val="0051501B"/>
    <w:rsid w:val="0051515E"/>
    <w:rsid w:val="005152B5"/>
    <w:rsid w:val="00515886"/>
    <w:rsid w:val="00515D1B"/>
    <w:rsid w:val="00515D90"/>
    <w:rsid w:val="0051684D"/>
    <w:rsid w:val="00516D98"/>
    <w:rsid w:val="00517F70"/>
    <w:rsid w:val="0052015F"/>
    <w:rsid w:val="005201FE"/>
    <w:rsid w:val="00520398"/>
    <w:rsid w:val="005203B0"/>
    <w:rsid w:val="005203B1"/>
    <w:rsid w:val="00520B25"/>
    <w:rsid w:val="00520EE8"/>
    <w:rsid w:val="0052112E"/>
    <w:rsid w:val="0052123C"/>
    <w:rsid w:val="00521319"/>
    <w:rsid w:val="00521FF6"/>
    <w:rsid w:val="00522502"/>
    <w:rsid w:val="005226ED"/>
    <w:rsid w:val="00522B40"/>
    <w:rsid w:val="00522BC8"/>
    <w:rsid w:val="00522E2A"/>
    <w:rsid w:val="005233A1"/>
    <w:rsid w:val="00523505"/>
    <w:rsid w:val="00523A8F"/>
    <w:rsid w:val="00523C28"/>
    <w:rsid w:val="00524222"/>
    <w:rsid w:val="0052469D"/>
    <w:rsid w:val="0052484B"/>
    <w:rsid w:val="0052585A"/>
    <w:rsid w:val="00525B42"/>
    <w:rsid w:val="00525C8E"/>
    <w:rsid w:val="0052600D"/>
    <w:rsid w:val="005263EF"/>
    <w:rsid w:val="0052666D"/>
    <w:rsid w:val="0052668E"/>
    <w:rsid w:val="0052693B"/>
    <w:rsid w:val="00527065"/>
    <w:rsid w:val="0052717F"/>
    <w:rsid w:val="005272EE"/>
    <w:rsid w:val="00527BAC"/>
    <w:rsid w:val="00527E28"/>
    <w:rsid w:val="005304F2"/>
    <w:rsid w:val="00530568"/>
    <w:rsid w:val="0053088F"/>
    <w:rsid w:val="00531302"/>
    <w:rsid w:val="0053132A"/>
    <w:rsid w:val="0053176B"/>
    <w:rsid w:val="00531A4B"/>
    <w:rsid w:val="00532723"/>
    <w:rsid w:val="005329B1"/>
    <w:rsid w:val="00532B7B"/>
    <w:rsid w:val="00532E44"/>
    <w:rsid w:val="00532E45"/>
    <w:rsid w:val="005330D0"/>
    <w:rsid w:val="005333FF"/>
    <w:rsid w:val="005335FA"/>
    <w:rsid w:val="00533E3C"/>
    <w:rsid w:val="005341B3"/>
    <w:rsid w:val="00534C7A"/>
    <w:rsid w:val="00534D13"/>
    <w:rsid w:val="00534DEC"/>
    <w:rsid w:val="005354B3"/>
    <w:rsid w:val="005357CC"/>
    <w:rsid w:val="00535A4A"/>
    <w:rsid w:val="00535ADC"/>
    <w:rsid w:val="00535D8C"/>
    <w:rsid w:val="00535FF7"/>
    <w:rsid w:val="00536113"/>
    <w:rsid w:val="0053697A"/>
    <w:rsid w:val="00536BCF"/>
    <w:rsid w:val="00536F42"/>
    <w:rsid w:val="00537182"/>
    <w:rsid w:val="00537275"/>
    <w:rsid w:val="0054005A"/>
    <w:rsid w:val="00540465"/>
    <w:rsid w:val="00540ABA"/>
    <w:rsid w:val="00540AFC"/>
    <w:rsid w:val="00540DEC"/>
    <w:rsid w:val="00540FE1"/>
    <w:rsid w:val="0054112D"/>
    <w:rsid w:val="00541534"/>
    <w:rsid w:val="00541774"/>
    <w:rsid w:val="00541EDD"/>
    <w:rsid w:val="00542400"/>
    <w:rsid w:val="0054258E"/>
    <w:rsid w:val="00542743"/>
    <w:rsid w:val="00542AB4"/>
    <w:rsid w:val="00542C2D"/>
    <w:rsid w:val="00543965"/>
    <w:rsid w:val="00544B33"/>
    <w:rsid w:val="00544DE4"/>
    <w:rsid w:val="00545D2B"/>
    <w:rsid w:val="00545DA4"/>
    <w:rsid w:val="00545FD4"/>
    <w:rsid w:val="005469A4"/>
    <w:rsid w:val="0054771B"/>
    <w:rsid w:val="005478BD"/>
    <w:rsid w:val="005479E3"/>
    <w:rsid w:val="00547A17"/>
    <w:rsid w:val="00550159"/>
    <w:rsid w:val="00550297"/>
    <w:rsid w:val="00550A39"/>
    <w:rsid w:val="00550E26"/>
    <w:rsid w:val="00550F2E"/>
    <w:rsid w:val="0055161F"/>
    <w:rsid w:val="005517D7"/>
    <w:rsid w:val="00551956"/>
    <w:rsid w:val="00551975"/>
    <w:rsid w:val="00551985"/>
    <w:rsid w:val="0055206C"/>
    <w:rsid w:val="00552485"/>
    <w:rsid w:val="00552BD3"/>
    <w:rsid w:val="00552D68"/>
    <w:rsid w:val="00552E79"/>
    <w:rsid w:val="005532A0"/>
    <w:rsid w:val="00553330"/>
    <w:rsid w:val="0055398B"/>
    <w:rsid w:val="00553C76"/>
    <w:rsid w:val="00553ED2"/>
    <w:rsid w:val="00554A0B"/>
    <w:rsid w:val="00554E16"/>
    <w:rsid w:val="00555109"/>
    <w:rsid w:val="00555B22"/>
    <w:rsid w:val="00556301"/>
    <w:rsid w:val="0055642C"/>
    <w:rsid w:val="00556505"/>
    <w:rsid w:val="0055660E"/>
    <w:rsid w:val="00556B35"/>
    <w:rsid w:val="00557108"/>
    <w:rsid w:val="005571EE"/>
    <w:rsid w:val="0055741A"/>
    <w:rsid w:val="00557751"/>
    <w:rsid w:val="00557D3C"/>
    <w:rsid w:val="00557EFD"/>
    <w:rsid w:val="005601DE"/>
    <w:rsid w:val="005602D7"/>
    <w:rsid w:val="005604FD"/>
    <w:rsid w:val="005611B7"/>
    <w:rsid w:val="005618D4"/>
    <w:rsid w:val="00561C88"/>
    <w:rsid w:val="00561F9A"/>
    <w:rsid w:val="00562447"/>
    <w:rsid w:val="00562832"/>
    <w:rsid w:val="005629F7"/>
    <w:rsid w:val="005639F0"/>
    <w:rsid w:val="00563B31"/>
    <w:rsid w:val="00563F5F"/>
    <w:rsid w:val="00564867"/>
    <w:rsid w:val="00564AF7"/>
    <w:rsid w:val="00564B61"/>
    <w:rsid w:val="00564BDE"/>
    <w:rsid w:val="00565815"/>
    <w:rsid w:val="00565C79"/>
    <w:rsid w:val="00565DF0"/>
    <w:rsid w:val="00565F8A"/>
    <w:rsid w:val="0056642C"/>
    <w:rsid w:val="0056696F"/>
    <w:rsid w:val="00566986"/>
    <w:rsid w:val="005672FA"/>
    <w:rsid w:val="00567591"/>
    <w:rsid w:val="00567EA1"/>
    <w:rsid w:val="00567ECB"/>
    <w:rsid w:val="00570390"/>
    <w:rsid w:val="00570591"/>
    <w:rsid w:val="005707A1"/>
    <w:rsid w:val="00571090"/>
    <w:rsid w:val="005712C1"/>
    <w:rsid w:val="005716D7"/>
    <w:rsid w:val="00572269"/>
    <w:rsid w:val="0057244A"/>
    <w:rsid w:val="005726C6"/>
    <w:rsid w:val="005727D3"/>
    <w:rsid w:val="00572B32"/>
    <w:rsid w:val="00572F26"/>
    <w:rsid w:val="005731BF"/>
    <w:rsid w:val="00573270"/>
    <w:rsid w:val="00573728"/>
    <w:rsid w:val="00573B00"/>
    <w:rsid w:val="00574EBA"/>
    <w:rsid w:val="005750C5"/>
    <w:rsid w:val="005752DE"/>
    <w:rsid w:val="005757A1"/>
    <w:rsid w:val="005759F2"/>
    <w:rsid w:val="00575D60"/>
    <w:rsid w:val="00575D8D"/>
    <w:rsid w:val="005767F6"/>
    <w:rsid w:val="00576972"/>
    <w:rsid w:val="00576C86"/>
    <w:rsid w:val="00577248"/>
    <w:rsid w:val="00577502"/>
    <w:rsid w:val="0057791B"/>
    <w:rsid w:val="00577C8B"/>
    <w:rsid w:val="00577D34"/>
    <w:rsid w:val="00577E60"/>
    <w:rsid w:val="00580C30"/>
    <w:rsid w:val="00580D80"/>
    <w:rsid w:val="00581B27"/>
    <w:rsid w:val="005825B7"/>
    <w:rsid w:val="00582FAE"/>
    <w:rsid w:val="00583359"/>
    <w:rsid w:val="00583699"/>
    <w:rsid w:val="00583ED5"/>
    <w:rsid w:val="0058484F"/>
    <w:rsid w:val="00585653"/>
    <w:rsid w:val="00585A88"/>
    <w:rsid w:val="00585CDD"/>
    <w:rsid w:val="00585DDF"/>
    <w:rsid w:val="00586597"/>
    <w:rsid w:val="00586BA8"/>
    <w:rsid w:val="00587058"/>
    <w:rsid w:val="00587100"/>
    <w:rsid w:val="0058796C"/>
    <w:rsid w:val="00587B2B"/>
    <w:rsid w:val="00587FEA"/>
    <w:rsid w:val="0059040E"/>
    <w:rsid w:val="00591203"/>
    <w:rsid w:val="00591957"/>
    <w:rsid w:val="00591BC7"/>
    <w:rsid w:val="00591C36"/>
    <w:rsid w:val="00592211"/>
    <w:rsid w:val="00592869"/>
    <w:rsid w:val="00592DAE"/>
    <w:rsid w:val="00592F91"/>
    <w:rsid w:val="00592FFE"/>
    <w:rsid w:val="005932B8"/>
    <w:rsid w:val="00593A10"/>
    <w:rsid w:val="00593C80"/>
    <w:rsid w:val="00594491"/>
    <w:rsid w:val="005944E6"/>
    <w:rsid w:val="00594711"/>
    <w:rsid w:val="00594B47"/>
    <w:rsid w:val="00595D45"/>
    <w:rsid w:val="00595DAA"/>
    <w:rsid w:val="00595DAB"/>
    <w:rsid w:val="00595F48"/>
    <w:rsid w:val="00595FF6"/>
    <w:rsid w:val="00596B57"/>
    <w:rsid w:val="00597442"/>
    <w:rsid w:val="00597B56"/>
    <w:rsid w:val="00597BF9"/>
    <w:rsid w:val="005A01B1"/>
    <w:rsid w:val="005A07A3"/>
    <w:rsid w:val="005A0B8D"/>
    <w:rsid w:val="005A0BAA"/>
    <w:rsid w:val="005A0C11"/>
    <w:rsid w:val="005A1077"/>
    <w:rsid w:val="005A141C"/>
    <w:rsid w:val="005A1672"/>
    <w:rsid w:val="005A1B0A"/>
    <w:rsid w:val="005A1BA3"/>
    <w:rsid w:val="005A1BF0"/>
    <w:rsid w:val="005A215B"/>
    <w:rsid w:val="005A2664"/>
    <w:rsid w:val="005A309A"/>
    <w:rsid w:val="005A373D"/>
    <w:rsid w:val="005A3C18"/>
    <w:rsid w:val="005A4092"/>
    <w:rsid w:val="005A4AC2"/>
    <w:rsid w:val="005A4F82"/>
    <w:rsid w:val="005A5AC3"/>
    <w:rsid w:val="005A5C75"/>
    <w:rsid w:val="005A5E0D"/>
    <w:rsid w:val="005A683E"/>
    <w:rsid w:val="005A6B55"/>
    <w:rsid w:val="005A6BA9"/>
    <w:rsid w:val="005A6CF1"/>
    <w:rsid w:val="005A6D24"/>
    <w:rsid w:val="005A6DF3"/>
    <w:rsid w:val="005A6F92"/>
    <w:rsid w:val="005A6FC6"/>
    <w:rsid w:val="005A73BF"/>
    <w:rsid w:val="005A747F"/>
    <w:rsid w:val="005A76E6"/>
    <w:rsid w:val="005B0B58"/>
    <w:rsid w:val="005B15F1"/>
    <w:rsid w:val="005B2760"/>
    <w:rsid w:val="005B2998"/>
    <w:rsid w:val="005B2D91"/>
    <w:rsid w:val="005B3215"/>
    <w:rsid w:val="005B3691"/>
    <w:rsid w:val="005B37B7"/>
    <w:rsid w:val="005B3B37"/>
    <w:rsid w:val="005B4413"/>
    <w:rsid w:val="005B4453"/>
    <w:rsid w:val="005B4765"/>
    <w:rsid w:val="005B4E53"/>
    <w:rsid w:val="005B4E92"/>
    <w:rsid w:val="005B4EE5"/>
    <w:rsid w:val="005B522A"/>
    <w:rsid w:val="005B56E8"/>
    <w:rsid w:val="005B5857"/>
    <w:rsid w:val="005B5905"/>
    <w:rsid w:val="005B5BED"/>
    <w:rsid w:val="005B5F66"/>
    <w:rsid w:val="005B626D"/>
    <w:rsid w:val="005B67FB"/>
    <w:rsid w:val="005B696D"/>
    <w:rsid w:val="005B6C2F"/>
    <w:rsid w:val="005B6FBB"/>
    <w:rsid w:val="005B7022"/>
    <w:rsid w:val="005B732F"/>
    <w:rsid w:val="005B750A"/>
    <w:rsid w:val="005B7764"/>
    <w:rsid w:val="005C0378"/>
    <w:rsid w:val="005C11AF"/>
    <w:rsid w:val="005C19C4"/>
    <w:rsid w:val="005C1A88"/>
    <w:rsid w:val="005C1AE1"/>
    <w:rsid w:val="005C1B83"/>
    <w:rsid w:val="005C1E4D"/>
    <w:rsid w:val="005C25FF"/>
    <w:rsid w:val="005C2825"/>
    <w:rsid w:val="005C2D55"/>
    <w:rsid w:val="005C2D85"/>
    <w:rsid w:val="005C2F8F"/>
    <w:rsid w:val="005C346B"/>
    <w:rsid w:val="005C3745"/>
    <w:rsid w:val="005C38DF"/>
    <w:rsid w:val="005C3CE5"/>
    <w:rsid w:val="005C4B76"/>
    <w:rsid w:val="005C5068"/>
    <w:rsid w:val="005C57D0"/>
    <w:rsid w:val="005C5ABC"/>
    <w:rsid w:val="005C6446"/>
    <w:rsid w:val="005C6838"/>
    <w:rsid w:val="005C6F99"/>
    <w:rsid w:val="005C796B"/>
    <w:rsid w:val="005C7E15"/>
    <w:rsid w:val="005C7E25"/>
    <w:rsid w:val="005C7E9F"/>
    <w:rsid w:val="005D041F"/>
    <w:rsid w:val="005D044D"/>
    <w:rsid w:val="005D0852"/>
    <w:rsid w:val="005D0ABD"/>
    <w:rsid w:val="005D0D36"/>
    <w:rsid w:val="005D116A"/>
    <w:rsid w:val="005D13D9"/>
    <w:rsid w:val="005D1587"/>
    <w:rsid w:val="005D1882"/>
    <w:rsid w:val="005D18AD"/>
    <w:rsid w:val="005D1BF6"/>
    <w:rsid w:val="005D1EDC"/>
    <w:rsid w:val="005D2003"/>
    <w:rsid w:val="005D2166"/>
    <w:rsid w:val="005D26B4"/>
    <w:rsid w:val="005D27F2"/>
    <w:rsid w:val="005D2C8B"/>
    <w:rsid w:val="005D3093"/>
    <w:rsid w:val="005D315B"/>
    <w:rsid w:val="005D3453"/>
    <w:rsid w:val="005D3CA0"/>
    <w:rsid w:val="005D417F"/>
    <w:rsid w:val="005D421A"/>
    <w:rsid w:val="005D4523"/>
    <w:rsid w:val="005D505F"/>
    <w:rsid w:val="005D5820"/>
    <w:rsid w:val="005D5BA3"/>
    <w:rsid w:val="005D5DCB"/>
    <w:rsid w:val="005D5F7F"/>
    <w:rsid w:val="005D684A"/>
    <w:rsid w:val="005D6859"/>
    <w:rsid w:val="005D6C4D"/>
    <w:rsid w:val="005D6EDE"/>
    <w:rsid w:val="005D7597"/>
    <w:rsid w:val="005D7731"/>
    <w:rsid w:val="005E0283"/>
    <w:rsid w:val="005E1057"/>
    <w:rsid w:val="005E10BE"/>
    <w:rsid w:val="005E1694"/>
    <w:rsid w:val="005E18C2"/>
    <w:rsid w:val="005E1995"/>
    <w:rsid w:val="005E2248"/>
    <w:rsid w:val="005E2349"/>
    <w:rsid w:val="005E327C"/>
    <w:rsid w:val="005E337D"/>
    <w:rsid w:val="005E3605"/>
    <w:rsid w:val="005E36E2"/>
    <w:rsid w:val="005E3851"/>
    <w:rsid w:val="005E3F88"/>
    <w:rsid w:val="005E4155"/>
    <w:rsid w:val="005E520A"/>
    <w:rsid w:val="005E548F"/>
    <w:rsid w:val="005E5E82"/>
    <w:rsid w:val="005E6334"/>
    <w:rsid w:val="005E6BC8"/>
    <w:rsid w:val="005E6CBC"/>
    <w:rsid w:val="005E6EEC"/>
    <w:rsid w:val="005E72FF"/>
    <w:rsid w:val="005E73C0"/>
    <w:rsid w:val="005E7AA1"/>
    <w:rsid w:val="005F05F6"/>
    <w:rsid w:val="005F075B"/>
    <w:rsid w:val="005F077D"/>
    <w:rsid w:val="005F07ED"/>
    <w:rsid w:val="005F0816"/>
    <w:rsid w:val="005F0C54"/>
    <w:rsid w:val="005F12D5"/>
    <w:rsid w:val="005F169D"/>
    <w:rsid w:val="005F16FC"/>
    <w:rsid w:val="005F238A"/>
    <w:rsid w:val="005F244C"/>
    <w:rsid w:val="005F2706"/>
    <w:rsid w:val="005F2778"/>
    <w:rsid w:val="005F2928"/>
    <w:rsid w:val="005F2A9D"/>
    <w:rsid w:val="005F334F"/>
    <w:rsid w:val="005F39B3"/>
    <w:rsid w:val="005F3C05"/>
    <w:rsid w:val="005F5298"/>
    <w:rsid w:val="005F54CD"/>
    <w:rsid w:val="005F5BF0"/>
    <w:rsid w:val="005F5D70"/>
    <w:rsid w:val="005F6A8F"/>
    <w:rsid w:val="005F6BB7"/>
    <w:rsid w:val="005F70CB"/>
    <w:rsid w:val="005F7122"/>
    <w:rsid w:val="005F7588"/>
    <w:rsid w:val="006003E4"/>
    <w:rsid w:val="00600444"/>
    <w:rsid w:val="00600C8A"/>
    <w:rsid w:val="00601086"/>
    <w:rsid w:val="00601A26"/>
    <w:rsid w:val="00601F5B"/>
    <w:rsid w:val="006031B5"/>
    <w:rsid w:val="00603561"/>
    <w:rsid w:val="006039FD"/>
    <w:rsid w:val="00603A23"/>
    <w:rsid w:val="00603C57"/>
    <w:rsid w:val="00603DA7"/>
    <w:rsid w:val="00603DB9"/>
    <w:rsid w:val="0060404B"/>
    <w:rsid w:val="0060423C"/>
    <w:rsid w:val="006046B0"/>
    <w:rsid w:val="00605636"/>
    <w:rsid w:val="00605964"/>
    <w:rsid w:val="00605B0C"/>
    <w:rsid w:val="00606BBC"/>
    <w:rsid w:val="00606CFB"/>
    <w:rsid w:val="00606FBA"/>
    <w:rsid w:val="00607669"/>
    <w:rsid w:val="006076F4"/>
    <w:rsid w:val="00607AFD"/>
    <w:rsid w:val="00607B8F"/>
    <w:rsid w:val="006108D0"/>
    <w:rsid w:val="00610E92"/>
    <w:rsid w:val="006115FF"/>
    <w:rsid w:val="00611731"/>
    <w:rsid w:val="00611A5E"/>
    <w:rsid w:val="00611B12"/>
    <w:rsid w:val="00611B5B"/>
    <w:rsid w:val="00611BAC"/>
    <w:rsid w:val="00612788"/>
    <w:rsid w:val="00612F97"/>
    <w:rsid w:val="0061345D"/>
    <w:rsid w:val="00614101"/>
    <w:rsid w:val="00614480"/>
    <w:rsid w:val="0061494D"/>
    <w:rsid w:val="00614A71"/>
    <w:rsid w:val="00614E48"/>
    <w:rsid w:val="0061526D"/>
    <w:rsid w:val="0061538A"/>
    <w:rsid w:val="0061549B"/>
    <w:rsid w:val="00616802"/>
    <w:rsid w:val="00616A96"/>
    <w:rsid w:val="00617676"/>
    <w:rsid w:val="006176F6"/>
    <w:rsid w:val="0061777D"/>
    <w:rsid w:val="00617E12"/>
    <w:rsid w:val="006202E3"/>
    <w:rsid w:val="0062037A"/>
    <w:rsid w:val="0062096A"/>
    <w:rsid w:val="006209C7"/>
    <w:rsid w:val="00620C25"/>
    <w:rsid w:val="00621477"/>
    <w:rsid w:val="006217D5"/>
    <w:rsid w:val="00621929"/>
    <w:rsid w:val="00621ADA"/>
    <w:rsid w:val="00621BB6"/>
    <w:rsid w:val="00621D9E"/>
    <w:rsid w:val="00621E87"/>
    <w:rsid w:val="00622002"/>
    <w:rsid w:val="00622D3D"/>
    <w:rsid w:val="00623235"/>
    <w:rsid w:val="006233B9"/>
    <w:rsid w:val="00623859"/>
    <w:rsid w:val="00623912"/>
    <w:rsid w:val="006239DA"/>
    <w:rsid w:val="00623C58"/>
    <w:rsid w:val="00623F7B"/>
    <w:rsid w:val="00624192"/>
    <w:rsid w:val="00624BD4"/>
    <w:rsid w:val="0062529F"/>
    <w:rsid w:val="006261C4"/>
    <w:rsid w:val="00626660"/>
    <w:rsid w:val="00626714"/>
    <w:rsid w:val="00626B8F"/>
    <w:rsid w:val="0062733F"/>
    <w:rsid w:val="006274CD"/>
    <w:rsid w:val="006275D1"/>
    <w:rsid w:val="0062781A"/>
    <w:rsid w:val="00627D05"/>
    <w:rsid w:val="00627E44"/>
    <w:rsid w:val="00627F4E"/>
    <w:rsid w:val="00630303"/>
    <w:rsid w:val="00630838"/>
    <w:rsid w:val="0063086E"/>
    <w:rsid w:val="00630C07"/>
    <w:rsid w:val="00631289"/>
    <w:rsid w:val="0063158F"/>
    <w:rsid w:val="00631A76"/>
    <w:rsid w:val="00631BB0"/>
    <w:rsid w:val="00631D6B"/>
    <w:rsid w:val="00632183"/>
    <w:rsid w:val="0063262A"/>
    <w:rsid w:val="00632688"/>
    <w:rsid w:val="00632824"/>
    <w:rsid w:val="00632C43"/>
    <w:rsid w:val="006330A1"/>
    <w:rsid w:val="006334EE"/>
    <w:rsid w:val="006335A5"/>
    <w:rsid w:val="00633796"/>
    <w:rsid w:val="00633987"/>
    <w:rsid w:val="00633DB2"/>
    <w:rsid w:val="006341C1"/>
    <w:rsid w:val="0063479F"/>
    <w:rsid w:val="0063498E"/>
    <w:rsid w:val="00634990"/>
    <w:rsid w:val="00634E5F"/>
    <w:rsid w:val="006353F0"/>
    <w:rsid w:val="006357B5"/>
    <w:rsid w:val="00635F92"/>
    <w:rsid w:val="006364A1"/>
    <w:rsid w:val="0063678E"/>
    <w:rsid w:val="00636EE5"/>
    <w:rsid w:val="00637051"/>
    <w:rsid w:val="00637A4D"/>
    <w:rsid w:val="00637BFD"/>
    <w:rsid w:val="00637C5C"/>
    <w:rsid w:val="00637ED8"/>
    <w:rsid w:val="00640423"/>
    <w:rsid w:val="00640671"/>
    <w:rsid w:val="0064078C"/>
    <w:rsid w:val="00640942"/>
    <w:rsid w:val="0064124D"/>
    <w:rsid w:val="00641C4E"/>
    <w:rsid w:val="00641CC9"/>
    <w:rsid w:val="00641DAE"/>
    <w:rsid w:val="00641F8D"/>
    <w:rsid w:val="00641FB3"/>
    <w:rsid w:val="0064201D"/>
    <w:rsid w:val="0064273D"/>
    <w:rsid w:val="00642B3F"/>
    <w:rsid w:val="00642BBD"/>
    <w:rsid w:val="00642C7D"/>
    <w:rsid w:val="00642F49"/>
    <w:rsid w:val="00642F71"/>
    <w:rsid w:val="00643C3F"/>
    <w:rsid w:val="0064434C"/>
    <w:rsid w:val="00645218"/>
    <w:rsid w:val="00645773"/>
    <w:rsid w:val="00645E43"/>
    <w:rsid w:val="006461B5"/>
    <w:rsid w:val="006462D5"/>
    <w:rsid w:val="006463A6"/>
    <w:rsid w:val="00646745"/>
    <w:rsid w:val="006471CC"/>
    <w:rsid w:val="006472FE"/>
    <w:rsid w:val="00647353"/>
    <w:rsid w:val="0064766E"/>
    <w:rsid w:val="00647A29"/>
    <w:rsid w:val="00647B6E"/>
    <w:rsid w:val="00647C68"/>
    <w:rsid w:val="00647DAC"/>
    <w:rsid w:val="006501BB"/>
    <w:rsid w:val="0065079F"/>
    <w:rsid w:val="00650A11"/>
    <w:rsid w:val="00651C9B"/>
    <w:rsid w:val="00652A28"/>
    <w:rsid w:val="00652B24"/>
    <w:rsid w:val="00652C59"/>
    <w:rsid w:val="00652C9F"/>
    <w:rsid w:val="006532F0"/>
    <w:rsid w:val="0065379F"/>
    <w:rsid w:val="00653C73"/>
    <w:rsid w:val="00653EBE"/>
    <w:rsid w:val="006542BD"/>
    <w:rsid w:val="00654801"/>
    <w:rsid w:val="006549FF"/>
    <w:rsid w:val="00655861"/>
    <w:rsid w:val="00655B6D"/>
    <w:rsid w:val="00655BBC"/>
    <w:rsid w:val="00656188"/>
    <w:rsid w:val="006566E8"/>
    <w:rsid w:val="006568F3"/>
    <w:rsid w:val="00656C0A"/>
    <w:rsid w:val="00656DB5"/>
    <w:rsid w:val="0065715A"/>
    <w:rsid w:val="00660793"/>
    <w:rsid w:val="00660AAC"/>
    <w:rsid w:val="00660E42"/>
    <w:rsid w:val="006610F1"/>
    <w:rsid w:val="0066118B"/>
    <w:rsid w:val="006614A5"/>
    <w:rsid w:val="006614C8"/>
    <w:rsid w:val="00661602"/>
    <w:rsid w:val="00661831"/>
    <w:rsid w:val="00661BBC"/>
    <w:rsid w:val="00661C6B"/>
    <w:rsid w:val="00662385"/>
    <w:rsid w:val="00662D3E"/>
    <w:rsid w:val="0066357E"/>
    <w:rsid w:val="00663894"/>
    <w:rsid w:val="00663FB8"/>
    <w:rsid w:val="006640B4"/>
    <w:rsid w:val="006643B6"/>
    <w:rsid w:val="00664CA7"/>
    <w:rsid w:val="00664F51"/>
    <w:rsid w:val="00665791"/>
    <w:rsid w:val="00665A53"/>
    <w:rsid w:val="00665B42"/>
    <w:rsid w:val="00665FEF"/>
    <w:rsid w:val="00666DAD"/>
    <w:rsid w:val="006674ED"/>
    <w:rsid w:val="00667BE3"/>
    <w:rsid w:val="00667D5F"/>
    <w:rsid w:val="00667F08"/>
    <w:rsid w:val="006702C2"/>
    <w:rsid w:val="00670395"/>
    <w:rsid w:val="0067062F"/>
    <w:rsid w:val="00670810"/>
    <w:rsid w:val="00670C30"/>
    <w:rsid w:val="00670E22"/>
    <w:rsid w:val="00671004"/>
    <w:rsid w:val="0067191E"/>
    <w:rsid w:val="0067239A"/>
    <w:rsid w:val="00672646"/>
    <w:rsid w:val="00672B21"/>
    <w:rsid w:val="006732EE"/>
    <w:rsid w:val="00673F1A"/>
    <w:rsid w:val="006741AD"/>
    <w:rsid w:val="00674359"/>
    <w:rsid w:val="0067467C"/>
    <w:rsid w:val="00674D70"/>
    <w:rsid w:val="00674E42"/>
    <w:rsid w:val="00675F66"/>
    <w:rsid w:val="00676308"/>
    <w:rsid w:val="0067642A"/>
    <w:rsid w:val="00676459"/>
    <w:rsid w:val="00676563"/>
    <w:rsid w:val="00676764"/>
    <w:rsid w:val="006771B9"/>
    <w:rsid w:val="006777CD"/>
    <w:rsid w:val="00680032"/>
    <w:rsid w:val="006801D8"/>
    <w:rsid w:val="00680470"/>
    <w:rsid w:val="0068102E"/>
    <w:rsid w:val="006811D5"/>
    <w:rsid w:val="006813F8"/>
    <w:rsid w:val="006817AE"/>
    <w:rsid w:val="0068192F"/>
    <w:rsid w:val="006819D8"/>
    <w:rsid w:val="00681C1A"/>
    <w:rsid w:val="00682112"/>
    <w:rsid w:val="00682BA6"/>
    <w:rsid w:val="006831FB"/>
    <w:rsid w:val="00683824"/>
    <w:rsid w:val="0068492A"/>
    <w:rsid w:val="00685253"/>
    <w:rsid w:val="00685B26"/>
    <w:rsid w:val="00685C04"/>
    <w:rsid w:val="00685D4D"/>
    <w:rsid w:val="00686413"/>
    <w:rsid w:val="00686957"/>
    <w:rsid w:val="006869C1"/>
    <w:rsid w:val="00686F0C"/>
    <w:rsid w:val="006872BA"/>
    <w:rsid w:val="006877EC"/>
    <w:rsid w:val="0068791C"/>
    <w:rsid w:val="006901DA"/>
    <w:rsid w:val="00690795"/>
    <w:rsid w:val="00691028"/>
    <w:rsid w:val="0069106D"/>
    <w:rsid w:val="0069125E"/>
    <w:rsid w:val="0069140E"/>
    <w:rsid w:val="00691648"/>
    <w:rsid w:val="006917D7"/>
    <w:rsid w:val="006920DF"/>
    <w:rsid w:val="006921D5"/>
    <w:rsid w:val="006921F3"/>
    <w:rsid w:val="00692263"/>
    <w:rsid w:val="006924D3"/>
    <w:rsid w:val="00692CB6"/>
    <w:rsid w:val="00692FDA"/>
    <w:rsid w:val="00693152"/>
    <w:rsid w:val="00693953"/>
    <w:rsid w:val="00694285"/>
    <w:rsid w:val="0069434C"/>
    <w:rsid w:val="006944C3"/>
    <w:rsid w:val="006945C5"/>
    <w:rsid w:val="00694F44"/>
    <w:rsid w:val="006959A9"/>
    <w:rsid w:val="00696258"/>
    <w:rsid w:val="006963A5"/>
    <w:rsid w:val="00696710"/>
    <w:rsid w:val="0069674F"/>
    <w:rsid w:val="00696849"/>
    <w:rsid w:val="00696EE4"/>
    <w:rsid w:val="00696EF9"/>
    <w:rsid w:val="00696F51"/>
    <w:rsid w:val="00696F88"/>
    <w:rsid w:val="006970D8"/>
    <w:rsid w:val="006979A5"/>
    <w:rsid w:val="006A016F"/>
    <w:rsid w:val="006A067C"/>
    <w:rsid w:val="006A0BDD"/>
    <w:rsid w:val="006A0DF7"/>
    <w:rsid w:val="006A17C0"/>
    <w:rsid w:val="006A2289"/>
    <w:rsid w:val="006A228B"/>
    <w:rsid w:val="006A2425"/>
    <w:rsid w:val="006A2896"/>
    <w:rsid w:val="006A30EF"/>
    <w:rsid w:val="006A3664"/>
    <w:rsid w:val="006A385D"/>
    <w:rsid w:val="006A39A7"/>
    <w:rsid w:val="006A3BD7"/>
    <w:rsid w:val="006A405D"/>
    <w:rsid w:val="006A4321"/>
    <w:rsid w:val="006A43D9"/>
    <w:rsid w:val="006A5572"/>
    <w:rsid w:val="006A5950"/>
    <w:rsid w:val="006A5B03"/>
    <w:rsid w:val="006A6AA7"/>
    <w:rsid w:val="006A6B99"/>
    <w:rsid w:val="006A6C8B"/>
    <w:rsid w:val="006A6CBD"/>
    <w:rsid w:val="006A6DB4"/>
    <w:rsid w:val="006A6F8F"/>
    <w:rsid w:val="006A7605"/>
    <w:rsid w:val="006A7E5F"/>
    <w:rsid w:val="006B04EC"/>
    <w:rsid w:val="006B0710"/>
    <w:rsid w:val="006B13D7"/>
    <w:rsid w:val="006B146B"/>
    <w:rsid w:val="006B15BB"/>
    <w:rsid w:val="006B261B"/>
    <w:rsid w:val="006B2C90"/>
    <w:rsid w:val="006B2E13"/>
    <w:rsid w:val="006B35E6"/>
    <w:rsid w:val="006B35FF"/>
    <w:rsid w:val="006B3677"/>
    <w:rsid w:val="006B3936"/>
    <w:rsid w:val="006B3F36"/>
    <w:rsid w:val="006B3FF4"/>
    <w:rsid w:val="006B465A"/>
    <w:rsid w:val="006B4FD4"/>
    <w:rsid w:val="006B5005"/>
    <w:rsid w:val="006B530E"/>
    <w:rsid w:val="006B53A2"/>
    <w:rsid w:val="006B593C"/>
    <w:rsid w:val="006B5C39"/>
    <w:rsid w:val="006B62CE"/>
    <w:rsid w:val="006B6DD0"/>
    <w:rsid w:val="006B7156"/>
    <w:rsid w:val="006B7694"/>
    <w:rsid w:val="006B7CE9"/>
    <w:rsid w:val="006B7DF6"/>
    <w:rsid w:val="006C00C8"/>
    <w:rsid w:val="006C022D"/>
    <w:rsid w:val="006C0399"/>
    <w:rsid w:val="006C04E2"/>
    <w:rsid w:val="006C0F15"/>
    <w:rsid w:val="006C123F"/>
    <w:rsid w:val="006C1957"/>
    <w:rsid w:val="006C2413"/>
    <w:rsid w:val="006C24C0"/>
    <w:rsid w:val="006C2732"/>
    <w:rsid w:val="006C2A8E"/>
    <w:rsid w:val="006C2FC5"/>
    <w:rsid w:val="006C3255"/>
    <w:rsid w:val="006C38F3"/>
    <w:rsid w:val="006C3B55"/>
    <w:rsid w:val="006C3F26"/>
    <w:rsid w:val="006C4056"/>
    <w:rsid w:val="006C431B"/>
    <w:rsid w:val="006C4484"/>
    <w:rsid w:val="006C4571"/>
    <w:rsid w:val="006C47DB"/>
    <w:rsid w:val="006C4E22"/>
    <w:rsid w:val="006C5523"/>
    <w:rsid w:val="006C5C73"/>
    <w:rsid w:val="006C641F"/>
    <w:rsid w:val="006C6798"/>
    <w:rsid w:val="006C6E3B"/>
    <w:rsid w:val="006C7484"/>
    <w:rsid w:val="006C7C38"/>
    <w:rsid w:val="006C7FBD"/>
    <w:rsid w:val="006D016F"/>
    <w:rsid w:val="006D02F1"/>
    <w:rsid w:val="006D07FA"/>
    <w:rsid w:val="006D0A33"/>
    <w:rsid w:val="006D0CA5"/>
    <w:rsid w:val="006D0D17"/>
    <w:rsid w:val="006D10B5"/>
    <w:rsid w:val="006D15AA"/>
    <w:rsid w:val="006D1D78"/>
    <w:rsid w:val="006D1F71"/>
    <w:rsid w:val="006D1FD5"/>
    <w:rsid w:val="006D22CC"/>
    <w:rsid w:val="006D2B9D"/>
    <w:rsid w:val="006D2CAF"/>
    <w:rsid w:val="006D2F45"/>
    <w:rsid w:val="006D30A9"/>
    <w:rsid w:val="006D3A84"/>
    <w:rsid w:val="006D3C7D"/>
    <w:rsid w:val="006D4659"/>
    <w:rsid w:val="006D5696"/>
    <w:rsid w:val="006D5B9C"/>
    <w:rsid w:val="006D5D5F"/>
    <w:rsid w:val="006D60E3"/>
    <w:rsid w:val="006D68FB"/>
    <w:rsid w:val="006D699F"/>
    <w:rsid w:val="006D6C17"/>
    <w:rsid w:val="006D6C4C"/>
    <w:rsid w:val="006D6D61"/>
    <w:rsid w:val="006D723B"/>
    <w:rsid w:val="006D74F8"/>
    <w:rsid w:val="006E08CC"/>
    <w:rsid w:val="006E0F02"/>
    <w:rsid w:val="006E1142"/>
    <w:rsid w:val="006E14B6"/>
    <w:rsid w:val="006E166F"/>
    <w:rsid w:val="006E1DAF"/>
    <w:rsid w:val="006E1EB7"/>
    <w:rsid w:val="006E2448"/>
    <w:rsid w:val="006E2868"/>
    <w:rsid w:val="006E2D40"/>
    <w:rsid w:val="006E2E62"/>
    <w:rsid w:val="006E3164"/>
    <w:rsid w:val="006E328E"/>
    <w:rsid w:val="006E393D"/>
    <w:rsid w:val="006E3E22"/>
    <w:rsid w:val="006E3ED7"/>
    <w:rsid w:val="006E409A"/>
    <w:rsid w:val="006E465A"/>
    <w:rsid w:val="006E4999"/>
    <w:rsid w:val="006E51C8"/>
    <w:rsid w:val="006E5660"/>
    <w:rsid w:val="006E5769"/>
    <w:rsid w:val="006E6004"/>
    <w:rsid w:val="006E646A"/>
    <w:rsid w:val="006E64D4"/>
    <w:rsid w:val="006E64E9"/>
    <w:rsid w:val="006E6BC3"/>
    <w:rsid w:val="006E7232"/>
    <w:rsid w:val="006F013D"/>
    <w:rsid w:val="006F01E7"/>
    <w:rsid w:val="006F0B8A"/>
    <w:rsid w:val="006F0DDD"/>
    <w:rsid w:val="006F1A89"/>
    <w:rsid w:val="006F1C07"/>
    <w:rsid w:val="006F2CF5"/>
    <w:rsid w:val="006F306C"/>
    <w:rsid w:val="006F3696"/>
    <w:rsid w:val="006F3907"/>
    <w:rsid w:val="006F3B30"/>
    <w:rsid w:val="006F44E2"/>
    <w:rsid w:val="006F4D5A"/>
    <w:rsid w:val="006F4DE0"/>
    <w:rsid w:val="006F5008"/>
    <w:rsid w:val="006F5779"/>
    <w:rsid w:val="006F5884"/>
    <w:rsid w:val="006F5942"/>
    <w:rsid w:val="006F63A5"/>
    <w:rsid w:val="006F6886"/>
    <w:rsid w:val="006F68BC"/>
    <w:rsid w:val="006F7711"/>
    <w:rsid w:val="0070063F"/>
    <w:rsid w:val="0070064A"/>
    <w:rsid w:val="0070072A"/>
    <w:rsid w:val="00700939"/>
    <w:rsid w:val="0070098D"/>
    <w:rsid w:val="00700C68"/>
    <w:rsid w:val="007013C4"/>
    <w:rsid w:val="0070142B"/>
    <w:rsid w:val="00701580"/>
    <w:rsid w:val="00701F91"/>
    <w:rsid w:val="007025D8"/>
    <w:rsid w:val="0070276E"/>
    <w:rsid w:val="00702F8F"/>
    <w:rsid w:val="00703836"/>
    <w:rsid w:val="00703D8B"/>
    <w:rsid w:val="00704453"/>
    <w:rsid w:val="0070470A"/>
    <w:rsid w:val="00704E8E"/>
    <w:rsid w:val="007051EB"/>
    <w:rsid w:val="00705307"/>
    <w:rsid w:val="007055F8"/>
    <w:rsid w:val="00706599"/>
    <w:rsid w:val="0070695C"/>
    <w:rsid w:val="00706AAA"/>
    <w:rsid w:val="00706AF6"/>
    <w:rsid w:val="00706B2B"/>
    <w:rsid w:val="00707312"/>
    <w:rsid w:val="007079FC"/>
    <w:rsid w:val="007108DB"/>
    <w:rsid w:val="00710C56"/>
    <w:rsid w:val="007110BA"/>
    <w:rsid w:val="0071110B"/>
    <w:rsid w:val="0071156E"/>
    <w:rsid w:val="00711736"/>
    <w:rsid w:val="00711A36"/>
    <w:rsid w:val="00711D9D"/>
    <w:rsid w:val="00711EA6"/>
    <w:rsid w:val="007120FA"/>
    <w:rsid w:val="007125D3"/>
    <w:rsid w:val="0071289F"/>
    <w:rsid w:val="00712ADC"/>
    <w:rsid w:val="00712F5D"/>
    <w:rsid w:val="00713081"/>
    <w:rsid w:val="007134D9"/>
    <w:rsid w:val="0071366F"/>
    <w:rsid w:val="0071370B"/>
    <w:rsid w:val="00714185"/>
    <w:rsid w:val="007141E2"/>
    <w:rsid w:val="00714382"/>
    <w:rsid w:val="00714644"/>
    <w:rsid w:val="007147FD"/>
    <w:rsid w:val="00714C26"/>
    <w:rsid w:val="0071529C"/>
    <w:rsid w:val="00716B53"/>
    <w:rsid w:val="00716BC3"/>
    <w:rsid w:val="007170DA"/>
    <w:rsid w:val="007172AD"/>
    <w:rsid w:val="00717546"/>
    <w:rsid w:val="00717847"/>
    <w:rsid w:val="00717899"/>
    <w:rsid w:val="00717B17"/>
    <w:rsid w:val="00717C45"/>
    <w:rsid w:val="00717C94"/>
    <w:rsid w:val="00717E6F"/>
    <w:rsid w:val="0072025B"/>
    <w:rsid w:val="00720801"/>
    <w:rsid w:val="0072083D"/>
    <w:rsid w:val="00721226"/>
    <w:rsid w:val="00721256"/>
    <w:rsid w:val="00721551"/>
    <w:rsid w:val="00721949"/>
    <w:rsid w:val="00721C6C"/>
    <w:rsid w:val="00721F5D"/>
    <w:rsid w:val="00722006"/>
    <w:rsid w:val="00722125"/>
    <w:rsid w:val="00722561"/>
    <w:rsid w:val="00722958"/>
    <w:rsid w:val="00722B04"/>
    <w:rsid w:val="00722B1B"/>
    <w:rsid w:val="007236AB"/>
    <w:rsid w:val="007236C7"/>
    <w:rsid w:val="00723FA1"/>
    <w:rsid w:val="0072400D"/>
    <w:rsid w:val="0072416F"/>
    <w:rsid w:val="0072434B"/>
    <w:rsid w:val="007246D4"/>
    <w:rsid w:val="007248D1"/>
    <w:rsid w:val="0072495E"/>
    <w:rsid w:val="00724B04"/>
    <w:rsid w:val="0072538C"/>
    <w:rsid w:val="0072542F"/>
    <w:rsid w:val="007259D5"/>
    <w:rsid w:val="00725C3A"/>
    <w:rsid w:val="00725FC4"/>
    <w:rsid w:val="007260EE"/>
    <w:rsid w:val="0072655C"/>
    <w:rsid w:val="00726E14"/>
    <w:rsid w:val="00727175"/>
    <w:rsid w:val="007271C1"/>
    <w:rsid w:val="00727343"/>
    <w:rsid w:val="007279F3"/>
    <w:rsid w:val="00727C94"/>
    <w:rsid w:val="00727DE5"/>
    <w:rsid w:val="00730C3C"/>
    <w:rsid w:val="00731443"/>
    <w:rsid w:val="00731B0A"/>
    <w:rsid w:val="00731EAE"/>
    <w:rsid w:val="00732206"/>
    <w:rsid w:val="007325AB"/>
    <w:rsid w:val="00732DAE"/>
    <w:rsid w:val="00733073"/>
    <w:rsid w:val="007331FF"/>
    <w:rsid w:val="00733309"/>
    <w:rsid w:val="0073419C"/>
    <w:rsid w:val="00734424"/>
    <w:rsid w:val="007346FF"/>
    <w:rsid w:val="00735033"/>
    <w:rsid w:val="0073523B"/>
    <w:rsid w:val="007352C4"/>
    <w:rsid w:val="00735328"/>
    <w:rsid w:val="007353C2"/>
    <w:rsid w:val="0073597B"/>
    <w:rsid w:val="00735CF6"/>
    <w:rsid w:val="00735F96"/>
    <w:rsid w:val="007360EF"/>
    <w:rsid w:val="007364CA"/>
    <w:rsid w:val="0073685B"/>
    <w:rsid w:val="007373DA"/>
    <w:rsid w:val="007374F1"/>
    <w:rsid w:val="00737C6A"/>
    <w:rsid w:val="00737FC6"/>
    <w:rsid w:val="00740E08"/>
    <w:rsid w:val="00740ECF"/>
    <w:rsid w:val="00740EED"/>
    <w:rsid w:val="00740FAE"/>
    <w:rsid w:val="007414F4"/>
    <w:rsid w:val="00741848"/>
    <w:rsid w:val="00741C8B"/>
    <w:rsid w:val="0074231C"/>
    <w:rsid w:val="007428E6"/>
    <w:rsid w:val="00743475"/>
    <w:rsid w:val="00743CE4"/>
    <w:rsid w:val="007445E1"/>
    <w:rsid w:val="00744873"/>
    <w:rsid w:val="0074489F"/>
    <w:rsid w:val="007449BF"/>
    <w:rsid w:val="007458FF"/>
    <w:rsid w:val="00745AAB"/>
    <w:rsid w:val="00746125"/>
    <w:rsid w:val="007461F3"/>
    <w:rsid w:val="0074638B"/>
    <w:rsid w:val="007463FE"/>
    <w:rsid w:val="00746A32"/>
    <w:rsid w:val="00746BC0"/>
    <w:rsid w:val="00746BC5"/>
    <w:rsid w:val="00746F4C"/>
    <w:rsid w:val="0074723E"/>
    <w:rsid w:val="0074755E"/>
    <w:rsid w:val="0074787D"/>
    <w:rsid w:val="0074791F"/>
    <w:rsid w:val="0074792B"/>
    <w:rsid w:val="007479B5"/>
    <w:rsid w:val="00747E61"/>
    <w:rsid w:val="00750512"/>
    <w:rsid w:val="00750A0B"/>
    <w:rsid w:val="00750B17"/>
    <w:rsid w:val="007510B4"/>
    <w:rsid w:val="00751600"/>
    <w:rsid w:val="00751DD4"/>
    <w:rsid w:val="00752142"/>
    <w:rsid w:val="007523F9"/>
    <w:rsid w:val="00752A63"/>
    <w:rsid w:val="0075357E"/>
    <w:rsid w:val="00753B29"/>
    <w:rsid w:val="00753C25"/>
    <w:rsid w:val="00754D14"/>
    <w:rsid w:val="00754D30"/>
    <w:rsid w:val="00756860"/>
    <w:rsid w:val="00756FDB"/>
    <w:rsid w:val="0075711F"/>
    <w:rsid w:val="007572E4"/>
    <w:rsid w:val="007573CC"/>
    <w:rsid w:val="007573E8"/>
    <w:rsid w:val="007577B6"/>
    <w:rsid w:val="007579E7"/>
    <w:rsid w:val="00757E23"/>
    <w:rsid w:val="00760354"/>
    <w:rsid w:val="0076074E"/>
    <w:rsid w:val="0076080E"/>
    <w:rsid w:val="00760C4E"/>
    <w:rsid w:val="00760F9E"/>
    <w:rsid w:val="007612D2"/>
    <w:rsid w:val="007615EF"/>
    <w:rsid w:val="007616E6"/>
    <w:rsid w:val="00761F4E"/>
    <w:rsid w:val="00762376"/>
    <w:rsid w:val="00762445"/>
    <w:rsid w:val="007627BE"/>
    <w:rsid w:val="00762C5F"/>
    <w:rsid w:val="00762D94"/>
    <w:rsid w:val="00762F2F"/>
    <w:rsid w:val="0076348A"/>
    <w:rsid w:val="0076381B"/>
    <w:rsid w:val="00763B6E"/>
    <w:rsid w:val="0076403C"/>
    <w:rsid w:val="00764453"/>
    <w:rsid w:val="00764BAE"/>
    <w:rsid w:val="00764F03"/>
    <w:rsid w:val="007650F6"/>
    <w:rsid w:val="0076517C"/>
    <w:rsid w:val="007654AE"/>
    <w:rsid w:val="007654FE"/>
    <w:rsid w:val="00765B1A"/>
    <w:rsid w:val="00765CC7"/>
    <w:rsid w:val="00765DC1"/>
    <w:rsid w:val="00765DC5"/>
    <w:rsid w:val="007676AF"/>
    <w:rsid w:val="00767B30"/>
    <w:rsid w:val="00767C31"/>
    <w:rsid w:val="00767DCE"/>
    <w:rsid w:val="00771261"/>
    <w:rsid w:val="00771398"/>
    <w:rsid w:val="00771603"/>
    <w:rsid w:val="00771A75"/>
    <w:rsid w:val="00772257"/>
    <w:rsid w:val="00772277"/>
    <w:rsid w:val="00772527"/>
    <w:rsid w:val="00772952"/>
    <w:rsid w:val="00772ADB"/>
    <w:rsid w:val="00773016"/>
    <w:rsid w:val="00773380"/>
    <w:rsid w:val="00773AC0"/>
    <w:rsid w:val="00773BE2"/>
    <w:rsid w:val="00773C72"/>
    <w:rsid w:val="00773C98"/>
    <w:rsid w:val="00774064"/>
    <w:rsid w:val="00774C00"/>
    <w:rsid w:val="0077507B"/>
    <w:rsid w:val="007753D1"/>
    <w:rsid w:val="007755DF"/>
    <w:rsid w:val="007755F0"/>
    <w:rsid w:val="0077575C"/>
    <w:rsid w:val="00775917"/>
    <w:rsid w:val="00776309"/>
    <w:rsid w:val="0077662C"/>
    <w:rsid w:val="00776719"/>
    <w:rsid w:val="0077708E"/>
    <w:rsid w:val="007771AC"/>
    <w:rsid w:val="007772CC"/>
    <w:rsid w:val="00777335"/>
    <w:rsid w:val="00777AFE"/>
    <w:rsid w:val="007804F7"/>
    <w:rsid w:val="00780B70"/>
    <w:rsid w:val="00781A9E"/>
    <w:rsid w:val="00781CF1"/>
    <w:rsid w:val="00782483"/>
    <w:rsid w:val="0078272B"/>
    <w:rsid w:val="0078272D"/>
    <w:rsid w:val="00782C55"/>
    <w:rsid w:val="0078387D"/>
    <w:rsid w:val="007839AD"/>
    <w:rsid w:val="007843F2"/>
    <w:rsid w:val="007844E7"/>
    <w:rsid w:val="007846FA"/>
    <w:rsid w:val="00784A2E"/>
    <w:rsid w:val="00784D25"/>
    <w:rsid w:val="007853C1"/>
    <w:rsid w:val="00785548"/>
    <w:rsid w:val="007859E0"/>
    <w:rsid w:val="00785A9F"/>
    <w:rsid w:val="0078618F"/>
    <w:rsid w:val="00786E24"/>
    <w:rsid w:val="0078736D"/>
    <w:rsid w:val="00787969"/>
    <w:rsid w:val="00787B4B"/>
    <w:rsid w:val="00787D7E"/>
    <w:rsid w:val="00790581"/>
    <w:rsid w:val="0079110C"/>
    <w:rsid w:val="0079119C"/>
    <w:rsid w:val="00791CDE"/>
    <w:rsid w:val="00791D51"/>
    <w:rsid w:val="007925DF"/>
    <w:rsid w:val="007928D1"/>
    <w:rsid w:val="00792DEA"/>
    <w:rsid w:val="007934DC"/>
    <w:rsid w:val="0079353A"/>
    <w:rsid w:val="007935A5"/>
    <w:rsid w:val="00793A83"/>
    <w:rsid w:val="007940EA"/>
    <w:rsid w:val="0079413C"/>
    <w:rsid w:val="00794961"/>
    <w:rsid w:val="00794A4A"/>
    <w:rsid w:val="00794DB6"/>
    <w:rsid w:val="0079503E"/>
    <w:rsid w:val="00795056"/>
    <w:rsid w:val="007954EC"/>
    <w:rsid w:val="00795D76"/>
    <w:rsid w:val="007967E5"/>
    <w:rsid w:val="007968FD"/>
    <w:rsid w:val="0079702D"/>
    <w:rsid w:val="0079785F"/>
    <w:rsid w:val="007979D0"/>
    <w:rsid w:val="00797BDB"/>
    <w:rsid w:val="007A0898"/>
    <w:rsid w:val="007A08AA"/>
    <w:rsid w:val="007A09DB"/>
    <w:rsid w:val="007A0A12"/>
    <w:rsid w:val="007A132D"/>
    <w:rsid w:val="007A1345"/>
    <w:rsid w:val="007A15B6"/>
    <w:rsid w:val="007A1BAD"/>
    <w:rsid w:val="007A204A"/>
    <w:rsid w:val="007A26CA"/>
    <w:rsid w:val="007A2DDB"/>
    <w:rsid w:val="007A3213"/>
    <w:rsid w:val="007A3729"/>
    <w:rsid w:val="007A38AD"/>
    <w:rsid w:val="007A39F3"/>
    <w:rsid w:val="007A4619"/>
    <w:rsid w:val="007A47A1"/>
    <w:rsid w:val="007A4ADD"/>
    <w:rsid w:val="007A4C41"/>
    <w:rsid w:val="007A4D29"/>
    <w:rsid w:val="007A53E0"/>
    <w:rsid w:val="007A54BC"/>
    <w:rsid w:val="007A5581"/>
    <w:rsid w:val="007A559B"/>
    <w:rsid w:val="007A5708"/>
    <w:rsid w:val="007A5A08"/>
    <w:rsid w:val="007A62CB"/>
    <w:rsid w:val="007A64AC"/>
    <w:rsid w:val="007A67A2"/>
    <w:rsid w:val="007A6AD3"/>
    <w:rsid w:val="007A6B6A"/>
    <w:rsid w:val="007A70BA"/>
    <w:rsid w:val="007A7280"/>
    <w:rsid w:val="007A7455"/>
    <w:rsid w:val="007A763C"/>
    <w:rsid w:val="007A7693"/>
    <w:rsid w:val="007A76CA"/>
    <w:rsid w:val="007A7BD5"/>
    <w:rsid w:val="007B084D"/>
    <w:rsid w:val="007B0C2D"/>
    <w:rsid w:val="007B0D68"/>
    <w:rsid w:val="007B151D"/>
    <w:rsid w:val="007B16E9"/>
    <w:rsid w:val="007B1CEE"/>
    <w:rsid w:val="007B2399"/>
    <w:rsid w:val="007B251D"/>
    <w:rsid w:val="007B2890"/>
    <w:rsid w:val="007B2DE9"/>
    <w:rsid w:val="007B3533"/>
    <w:rsid w:val="007B3891"/>
    <w:rsid w:val="007B4512"/>
    <w:rsid w:val="007B4BA9"/>
    <w:rsid w:val="007B4F38"/>
    <w:rsid w:val="007B4F58"/>
    <w:rsid w:val="007B528D"/>
    <w:rsid w:val="007B583C"/>
    <w:rsid w:val="007B58F4"/>
    <w:rsid w:val="007B616B"/>
    <w:rsid w:val="007B63CA"/>
    <w:rsid w:val="007B68B5"/>
    <w:rsid w:val="007B77D1"/>
    <w:rsid w:val="007B79B8"/>
    <w:rsid w:val="007C031F"/>
    <w:rsid w:val="007C044A"/>
    <w:rsid w:val="007C07C7"/>
    <w:rsid w:val="007C07D5"/>
    <w:rsid w:val="007C0D71"/>
    <w:rsid w:val="007C0EF3"/>
    <w:rsid w:val="007C19D9"/>
    <w:rsid w:val="007C1CD9"/>
    <w:rsid w:val="007C1EB1"/>
    <w:rsid w:val="007C219B"/>
    <w:rsid w:val="007C28C1"/>
    <w:rsid w:val="007C2A0B"/>
    <w:rsid w:val="007C2DB2"/>
    <w:rsid w:val="007C315C"/>
    <w:rsid w:val="007C32EF"/>
    <w:rsid w:val="007C3319"/>
    <w:rsid w:val="007C34BE"/>
    <w:rsid w:val="007C361D"/>
    <w:rsid w:val="007C3A2B"/>
    <w:rsid w:val="007C4583"/>
    <w:rsid w:val="007C4636"/>
    <w:rsid w:val="007C4B84"/>
    <w:rsid w:val="007C4D23"/>
    <w:rsid w:val="007C5065"/>
    <w:rsid w:val="007C6606"/>
    <w:rsid w:val="007C70FF"/>
    <w:rsid w:val="007C78DE"/>
    <w:rsid w:val="007C7C25"/>
    <w:rsid w:val="007C7C95"/>
    <w:rsid w:val="007C7E19"/>
    <w:rsid w:val="007C7E90"/>
    <w:rsid w:val="007C7FC0"/>
    <w:rsid w:val="007D004F"/>
    <w:rsid w:val="007D00DF"/>
    <w:rsid w:val="007D02C9"/>
    <w:rsid w:val="007D035F"/>
    <w:rsid w:val="007D06B2"/>
    <w:rsid w:val="007D0B38"/>
    <w:rsid w:val="007D0B79"/>
    <w:rsid w:val="007D0EA6"/>
    <w:rsid w:val="007D0FBE"/>
    <w:rsid w:val="007D0FD6"/>
    <w:rsid w:val="007D1507"/>
    <w:rsid w:val="007D1557"/>
    <w:rsid w:val="007D1F32"/>
    <w:rsid w:val="007D26EE"/>
    <w:rsid w:val="007D2967"/>
    <w:rsid w:val="007D29A2"/>
    <w:rsid w:val="007D2B23"/>
    <w:rsid w:val="007D2DED"/>
    <w:rsid w:val="007D316D"/>
    <w:rsid w:val="007D34D6"/>
    <w:rsid w:val="007D3BF8"/>
    <w:rsid w:val="007D3EFD"/>
    <w:rsid w:val="007D4755"/>
    <w:rsid w:val="007D531F"/>
    <w:rsid w:val="007D5440"/>
    <w:rsid w:val="007D5CE5"/>
    <w:rsid w:val="007D641F"/>
    <w:rsid w:val="007D66C9"/>
    <w:rsid w:val="007D69EB"/>
    <w:rsid w:val="007D6C5C"/>
    <w:rsid w:val="007D707C"/>
    <w:rsid w:val="007D795F"/>
    <w:rsid w:val="007D7F52"/>
    <w:rsid w:val="007E010C"/>
    <w:rsid w:val="007E0485"/>
    <w:rsid w:val="007E09DD"/>
    <w:rsid w:val="007E0DCB"/>
    <w:rsid w:val="007E0EFC"/>
    <w:rsid w:val="007E1209"/>
    <w:rsid w:val="007E128F"/>
    <w:rsid w:val="007E135F"/>
    <w:rsid w:val="007E156F"/>
    <w:rsid w:val="007E1573"/>
    <w:rsid w:val="007E1D81"/>
    <w:rsid w:val="007E1F94"/>
    <w:rsid w:val="007E249A"/>
    <w:rsid w:val="007E26EC"/>
    <w:rsid w:val="007E2EAA"/>
    <w:rsid w:val="007E2F91"/>
    <w:rsid w:val="007E3132"/>
    <w:rsid w:val="007E3284"/>
    <w:rsid w:val="007E3D55"/>
    <w:rsid w:val="007E4016"/>
    <w:rsid w:val="007E433D"/>
    <w:rsid w:val="007E47A2"/>
    <w:rsid w:val="007E495D"/>
    <w:rsid w:val="007E49E1"/>
    <w:rsid w:val="007E4A75"/>
    <w:rsid w:val="007E5040"/>
    <w:rsid w:val="007E5200"/>
    <w:rsid w:val="007E563E"/>
    <w:rsid w:val="007E568D"/>
    <w:rsid w:val="007E59FF"/>
    <w:rsid w:val="007E5F07"/>
    <w:rsid w:val="007E7B88"/>
    <w:rsid w:val="007F025C"/>
    <w:rsid w:val="007F0613"/>
    <w:rsid w:val="007F080E"/>
    <w:rsid w:val="007F1017"/>
    <w:rsid w:val="007F1319"/>
    <w:rsid w:val="007F13A5"/>
    <w:rsid w:val="007F19BC"/>
    <w:rsid w:val="007F1DEF"/>
    <w:rsid w:val="007F1EF5"/>
    <w:rsid w:val="007F2095"/>
    <w:rsid w:val="007F2544"/>
    <w:rsid w:val="007F38D2"/>
    <w:rsid w:val="007F4A3F"/>
    <w:rsid w:val="007F4A61"/>
    <w:rsid w:val="007F5255"/>
    <w:rsid w:val="007F56CC"/>
    <w:rsid w:val="007F56F3"/>
    <w:rsid w:val="007F61C2"/>
    <w:rsid w:val="007F6646"/>
    <w:rsid w:val="007F6A71"/>
    <w:rsid w:val="007F6B30"/>
    <w:rsid w:val="007F6C47"/>
    <w:rsid w:val="007F6D16"/>
    <w:rsid w:val="007F7542"/>
    <w:rsid w:val="007F7B92"/>
    <w:rsid w:val="007F7C92"/>
    <w:rsid w:val="0080049C"/>
    <w:rsid w:val="00800CA7"/>
    <w:rsid w:val="008011F7"/>
    <w:rsid w:val="00801238"/>
    <w:rsid w:val="0080129C"/>
    <w:rsid w:val="008013AD"/>
    <w:rsid w:val="00801482"/>
    <w:rsid w:val="008019D6"/>
    <w:rsid w:val="00801EEA"/>
    <w:rsid w:val="00801F3B"/>
    <w:rsid w:val="00802B00"/>
    <w:rsid w:val="00803501"/>
    <w:rsid w:val="008039E2"/>
    <w:rsid w:val="00803C0F"/>
    <w:rsid w:val="00803F8E"/>
    <w:rsid w:val="00804515"/>
    <w:rsid w:val="0080492B"/>
    <w:rsid w:val="00804B70"/>
    <w:rsid w:val="00804F77"/>
    <w:rsid w:val="00805142"/>
    <w:rsid w:val="008051F6"/>
    <w:rsid w:val="0080570B"/>
    <w:rsid w:val="00805C1B"/>
    <w:rsid w:val="00805D44"/>
    <w:rsid w:val="00805F4D"/>
    <w:rsid w:val="00805FCE"/>
    <w:rsid w:val="00806EB8"/>
    <w:rsid w:val="00807473"/>
    <w:rsid w:val="0080769C"/>
    <w:rsid w:val="00807A8B"/>
    <w:rsid w:val="0081002C"/>
    <w:rsid w:val="00810541"/>
    <w:rsid w:val="00810D49"/>
    <w:rsid w:val="00811383"/>
    <w:rsid w:val="00811BD8"/>
    <w:rsid w:val="008120BE"/>
    <w:rsid w:val="00812149"/>
    <w:rsid w:val="00812363"/>
    <w:rsid w:val="008127FD"/>
    <w:rsid w:val="00812974"/>
    <w:rsid w:val="00812CAC"/>
    <w:rsid w:val="00813591"/>
    <w:rsid w:val="00813822"/>
    <w:rsid w:val="00813849"/>
    <w:rsid w:val="00813998"/>
    <w:rsid w:val="00813A70"/>
    <w:rsid w:val="00813F7E"/>
    <w:rsid w:val="0081536A"/>
    <w:rsid w:val="00815646"/>
    <w:rsid w:val="00815C9A"/>
    <w:rsid w:val="00816141"/>
    <w:rsid w:val="008161B6"/>
    <w:rsid w:val="0081631E"/>
    <w:rsid w:val="00816361"/>
    <w:rsid w:val="008166EF"/>
    <w:rsid w:val="00816B15"/>
    <w:rsid w:val="00816FEF"/>
    <w:rsid w:val="0081710B"/>
    <w:rsid w:val="0081769F"/>
    <w:rsid w:val="008176DC"/>
    <w:rsid w:val="008209B3"/>
    <w:rsid w:val="00820A8C"/>
    <w:rsid w:val="008215FB"/>
    <w:rsid w:val="00821788"/>
    <w:rsid w:val="00821AD6"/>
    <w:rsid w:val="00821C45"/>
    <w:rsid w:val="00821E26"/>
    <w:rsid w:val="00821FC0"/>
    <w:rsid w:val="008220CC"/>
    <w:rsid w:val="00822580"/>
    <w:rsid w:val="00822741"/>
    <w:rsid w:val="00823174"/>
    <w:rsid w:val="00823578"/>
    <w:rsid w:val="00824C1F"/>
    <w:rsid w:val="0082571D"/>
    <w:rsid w:val="00825751"/>
    <w:rsid w:val="00826267"/>
    <w:rsid w:val="008264EB"/>
    <w:rsid w:val="00826658"/>
    <w:rsid w:val="008267CA"/>
    <w:rsid w:val="008268CE"/>
    <w:rsid w:val="00826B49"/>
    <w:rsid w:val="00827105"/>
    <w:rsid w:val="00827776"/>
    <w:rsid w:val="00827C23"/>
    <w:rsid w:val="0083068A"/>
    <w:rsid w:val="008306E8"/>
    <w:rsid w:val="00830D1F"/>
    <w:rsid w:val="00831211"/>
    <w:rsid w:val="008312CD"/>
    <w:rsid w:val="00832107"/>
    <w:rsid w:val="00832C35"/>
    <w:rsid w:val="00833787"/>
    <w:rsid w:val="008338B5"/>
    <w:rsid w:val="00833B05"/>
    <w:rsid w:val="00833DDB"/>
    <w:rsid w:val="00834124"/>
    <w:rsid w:val="00834276"/>
    <w:rsid w:val="00834A76"/>
    <w:rsid w:val="00834CB4"/>
    <w:rsid w:val="00834FA2"/>
    <w:rsid w:val="00835049"/>
    <w:rsid w:val="008354E7"/>
    <w:rsid w:val="0083552E"/>
    <w:rsid w:val="00835AB2"/>
    <w:rsid w:val="00835CCA"/>
    <w:rsid w:val="00835D9D"/>
    <w:rsid w:val="008362B4"/>
    <w:rsid w:val="00836C9E"/>
    <w:rsid w:val="00836CFA"/>
    <w:rsid w:val="00837CF7"/>
    <w:rsid w:val="00840739"/>
    <w:rsid w:val="00840CA2"/>
    <w:rsid w:val="00840CEC"/>
    <w:rsid w:val="00840D23"/>
    <w:rsid w:val="008410BD"/>
    <w:rsid w:val="0084151E"/>
    <w:rsid w:val="0084180C"/>
    <w:rsid w:val="00841A42"/>
    <w:rsid w:val="00841A9E"/>
    <w:rsid w:val="00842018"/>
    <w:rsid w:val="00842180"/>
    <w:rsid w:val="00842300"/>
    <w:rsid w:val="008431AF"/>
    <w:rsid w:val="008431DE"/>
    <w:rsid w:val="0084330A"/>
    <w:rsid w:val="00843564"/>
    <w:rsid w:val="0084374F"/>
    <w:rsid w:val="008446A2"/>
    <w:rsid w:val="0084490D"/>
    <w:rsid w:val="00844948"/>
    <w:rsid w:val="00844A22"/>
    <w:rsid w:val="00845936"/>
    <w:rsid w:val="008467E4"/>
    <w:rsid w:val="00846A5B"/>
    <w:rsid w:val="0084761C"/>
    <w:rsid w:val="00847703"/>
    <w:rsid w:val="00847847"/>
    <w:rsid w:val="00847B4C"/>
    <w:rsid w:val="00847DF5"/>
    <w:rsid w:val="00847EB3"/>
    <w:rsid w:val="0085024B"/>
    <w:rsid w:val="00850FAD"/>
    <w:rsid w:val="008510E4"/>
    <w:rsid w:val="0085124F"/>
    <w:rsid w:val="00851679"/>
    <w:rsid w:val="00851770"/>
    <w:rsid w:val="00851865"/>
    <w:rsid w:val="00851A20"/>
    <w:rsid w:val="00851DCC"/>
    <w:rsid w:val="00852264"/>
    <w:rsid w:val="00852674"/>
    <w:rsid w:val="0085272F"/>
    <w:rsid w:val="00852FF4"/>
    <w:rsid w:val="0085309D"/>
    <w:rsid w:val="00853A6D"/>
    <w:rsid w:val="00853B2F"/>
    <w:rsid w:val="00854EEB"/>
    <w:rsid w:val="00854FDB"/>
    <w:rsid w:val="00855052"/>
    <w:rsid w:val="0085551D"/>
    <w:rsid w:val="00855C9A"/>
    <w:rsid w:val="008563C8"/>
    <w:rsid w:val="00856817"/>
    <w:rsid w:val="00856897"/>
    <w:rsid w:val="00856E9A"/>
    <w:rsid w:val="008570E3"/>
    <w:rsid w:val="00857845"/>
    <w:rsid w:val="0085794F"/>
    <w:rsid w:val="0086075D"/>
    <w:rsid w:val="008609C4"/>
    <w:rsid w:val="00860BB2"/>
    <w:rsid w:val="00860EAA"/>
    <w:rsid w:val="00861047"/>
    <w:rsid w:val="008610A7"/>
    <w:rsid w:val="00861453"/>
    <w:rsid w:val="008617F6"/>
    <w:rsid w:val="00861838"/>
    <w:rsid w:val="00861CB1"/>
    <w:rsid w:val="00861CFB"/>
    <w:rsid w:val="00862502"/>
    <w:rsid w:val="008625B4"/>
    <w:rsid w:val="008629BD"/>
    <w:rsid w:val="00862CC1"/>
    <w:rsid w:val="0086329C"/>
    <w:rsid w:val="0086333C"/>
    <w:rsid w:val="00863CC1"/>
    <w:rsid w:val="00863F7F"/>
    <w:rsid w:val="008642A4"/>
    <w:rsid w:val="008642A7"/>
    <w:rsid w:val="00864DB3"/>
    <w:rsid w:val="00864FC2"/>
    <w:rsid w:val="008653E6"/>
    <w:rsid w:val="00865B6A"/>
    <w:rsid w:val="00865CB5"/>
    <w:rsid w:val="00865FAE"/>
    <w:rsid w:val="008660D4"/>
    <w:rsid w:val="00866B53"/>
    <w:rsid w:val="00870759"/>
    <w:rsid w:val="00871FA9"/>
    <w:rsid w:val="008727D0"/>
    <w:rsid w:val="008728E9"/>
    <w:rsid w:val="00872CF0"/>
    <w:rsid w:val="00872D74"/>
    <w:rsid w:val="00872FA0"/>
    <w:rsid w:val="0087327D"/>
    <w:rsid w:val="008735E3"/>
    <w:rsid w:val="00873731"/>
    <w:rsid w:val="0087379A"/>
    <w:rsid w:val="00873DB3"/>
    <w:rsid w:val="00874029"/>
    <w:rsid w:val="008740E7"/>
    <w:rsid w:val="00874168"/>
    <w:rsid w:val="008757E4"/>
    <w:rsid w:val="00875EAD"/>
    <w:rsid w:val="00876113"/>
    <w:rsid w:val="00876D11"/>
    <w:rsid w:val="00877BBC"/>
    <w:rsid w:val="00877CF6"/>
    <w:rsid w:val="00880708"/>
    <w:rsid w:val="008817E2"/>
    <w:rsid w:val="00882089"/>
    <w:rsid w:val="00882874"/>
    <w:rsid w:val="00882AC8"/>
    <w:rsid w:val="00882B31"/>
    <w:rsid w:val="00882BBB"/>
    <w:rsid w:val="00882D40"/>
    <w:rsid w:val="00882E3C"/>
    <w:rsid w:val="0088308A"/>
    <w:rsid w:val="008833A0"/>
    <w:rsid w:val="0088350E"/>
    <w:rsid w:val="00883787"/>
    <w:rsid w:val="008840DB"/>
    <w:rsid w:val="00884680"/>
    <w:rsid w:val="00884943"/>
    <w:rsid w:val="00884A09"/>
    <w:rsid w:val="00884A77"/>
    <w:rsid w:val="00885099"/>
    <w:rsid w:val="0088519B"/>
    <w:rsid w:val="008855E4"/>
    <w:rsid w:val="0088591C"/>
    <w:rsid w:val="00885EC5"/>
    <w:rsid w:val="00886050"/>
    <w:rsid w:val="00886671"/>
    <w:rsid w:val="00886CD2"/>
    <w:rsid w:val="00886E8E"/>
    <w:rsid w:val="00886FC3"/>
    <w:rsid w:val="0088710A"/>
    <w:rsid w:val="008874D7"/>
    <w:rsid w:val="00887972"/>
    <w:rsid w:val="0089085D"/>
    <w:rsid w:val="00890991"/>
    <w:rsid w:val="008910D6"/>
    <w:rsid w:val="00891520"/>
    <w:rsid w:val="00891BA0"/>
    <w:rsid w:val="00891E6F"/>
    <w:rsid w:val="00892365"/>
    <w:rsid w:val="008925AA"/>
    <w:rsid w:val="0089275D"/>
    <w:rsid w:val="00892A36"/>
    <w:rsid w:val="00892BC0"/>
    <w:rsid w:val="00892E82"/>
    <w:rsid w:val="00893030"/>
    <w:rsid w:val="00893239"/>
    <w:rsid w:val="0089323E"/>
    <w:rsid w:val="008936FC"/>
    <w:rsid w:val="00894489"/>
    <w:rsid w:val="008946EF"/>
    <w:rsid w:val="00894CD6"/>
    <w:rsid w:val="00894FAD"/>
    <w:rsid w:val="008951F1"/>
    <w:rsid w:val="00895228"/>
    <w:rsid w:val="00895522"/>
    <w:rsid w:val="008959C1"/>
    <w:rsid w:val="00895C88"/>
    <w:rsid w:val="008963A5"/>
    <w:rsid w:val="0089643A"/>
    <w:rsid w:val="008969FA"/>
    <w:rsid w:val="00896D5D"/>
    <w:rsid w:val="00896E96"/>
    <w:rsid w:val="00896FC8"/>
    <w:rsid w:val="00897179"/>
    <w:rsid w:val="008974D3"/>
    <w:rsid w:val="00897B32"/>
    <w:rsid w:val="008A0804"/>
    <w:rsid w:val="008A0B52"/>
    <w:rsid w:val="008A0FF8"/>
    <w:rsid w:val="008A1618"/>
    <w:rsid w:val="008A167A"/>
    <w:rsid w:val="008A16AD"/>
    <w:rsid w:val="008A16CC"/>
    <w:rsid w:val="008A1E34"/>
    <w:rsid w:val="008A26F7"/>
    <w:rsid w:val="008A3039"/>
    <w:rsid w:val="008A3158"/>
    <w:rsid w:val="008A3363"/>
    <w:rsid w:val="008A3371"/>
    <w:rsid w:val="008A3876"/>
    <w:rsid w:val="008A3BD2"/>
    <w:rsid w:val="008A3C3E"/>
    <w:rsid w:val="008A3CFE"/>
    <w:rsid w:val="008A4179"/>
    <w:rsid w:val="008A4584"/>
    <w:rsid w:val="008A479D"/>
    <w:rsid w:val="008A49F0"/>
    <w:rsid w:val="008A4B79"/>
    <w:rsid w:val="008A5FED"/>
    <w:rsid w:val="008A60BC"/>
    <w:rsid w:val="008A66BB"/>
    <w:rsid w:val="008A6A15"/>
    <w:rsid w:val="008A73E6"/>
    <w:rsid w:val="008A79DE"/>
    <w:rsid w:val="008A7B46"/>
    <w:rsid w:val="008A7BFB"/>
    <w:rsid w:val="008B08F6"/>
    <w:rsid w:val="008B0B88"/>
    <w:rsid w:val="008B141A"/>
    <w:rsid w:val="008B156B"/>
    <w:rsid w:val="008B1757"/>
    <w:rsid w:val="008B1B02"/>
    <w:rsid w:val="008B1C33"/>
    <w:rsid w:val="008B1EB0"/>
    <w:rsid w:val="008B2201"/>
    <w:rsid w:val="008B28C3"/>
    <w:rsid w:val="008B29FE"/>
    <w:rsid w:val="008B2F1F"/>
    <w:rsid w:val="008B3254"/>
    <w:rsid w:val="008B384A"/>
    <w:rsid w:val="008B3A7C"/>
    <w:rsid w:val="008B3DFA"/>
    <w:rsid w:val="008B3E3C"/>
    <w:rsid w:val="008B43C8"/>
    <w:rsid w:val="008B4B6F"/>
    <w:rsid w:val="008B5058"/>
    <w:rsid w:val="008B5470"/>
    <w:rsid w:val="008B6493"/>
    <w:rsid w:val="008B677F"/>
    <w:rsid w:val="008B7685"/>
    <w:rsid w:val="008B7823"/>
    <w:rsid w:val="008B7903"/>
    <w:rsid w:val="008B7992"/>
    <w:rsid w:val="008B7D7E"/>
    <w:rsid w:val="008C0264"/>
    <w:rsid w:val="008C0ED5"/>
    <w:rsid w:val="008C1774"/>
    <w:rsid w:val="008C1907"/>
    <w:rsid w:val="008C28D1"/>
    <w:rsid w:val="008C28DB"/>
    <w:rsid w:val="008C3CE2"/>
    <w:rsid w:val="008C3F22"/>
    <w:rsid w:val="008C4897"/>
    <w:rsid w:val="008C4B04"/>
    <w:rsid w:val="008C5460"/>
    <w:rsid w:val="008C5610"/>
    <w:rsid w:val="008C5739"/>
    <w:rsid w:val="008C591F"/>
    <w:rsid w:val="008C59DB"/>
    <w:rsid w:val="008C6338"/>
    <w:rsid w:val="008C7282"/>
    <w:rsid w:val="008C7877"/>
    <w:rsid w:val="008C78D0"/>
    <w:rsid w:val="008C7ECB"/>
    <w:rsid w:val="008D055A"/>
    <w:rsid w:val="008D08F2"/>
    <w:rsid w:val="008D0D17"/>
    <w:rsid w:val="008D0EF0"/>
    <w:rsid w:val="008D18D2"/>
    <w:rsid w:val="008D1B65"/>
    <w:rsid w:val="008D1DB1"/>
    <w:rsid w:val="008D24AA"/>
    <w:rsid w:val="008D253E"/>
    <w:rsid w:val="008D2A50"/>
    <w:rsid w:val="008D2C76"/>
    <w:rsid w:val="008D2D06"/>
    <w:rsid w:val="008D307F"/>
    <w:rsid w:val="008D3B86"/>
    <w:rsid w:val="008D3C27"/>
    <w:rsid w:val="008D3C2E"/>
    <w:rsid w:val="008D3D1D"/>
    <w:rsid w:val="008D3F46"/>
    <w:rsid w:val="008D43FD"/>
    <w:rsid w:val="008D4755"/>
    <w:rsid w:val="008D47BE"/>
    <w:rsid w:val="008D4C29"/>
    <w:rsid w:val="008D4C3D"/>
    <w:rsid w:val="008D50B5"/>
    <w:rsid w:val="008D5696"/>
    <w:rsid w:val="008D5C1D"/>
    <w:rsid w:val="008D5C61"/>
    <w:rsid w:val="008D6835"/>
    <w:rsid w:val="008D743C"/>
    <w:rsid w:val="008E04E0"/>
    <w:rsid w:val="008E0726"/>
    <w:rsid w:val="008E0D3C"/>
    <w:rsid w:val="008E0E28"/>
    <w:rsid w:val="008E1014"/>
    <w:rsid w:val="008E1076"/>
    <w:rsid w:val="008E17DA"/>
    <w:rsid w:val="008E188A"/>
    <w:rsid w:val="008E1B9E"/>
    <w:rsid w:val="008E1EA4"/>
    <w:rsid w:val="008E20FE"/>
    <w:rsid w:val="008E23BD"/>
    <w:rsid w:val="008E2560"/>
    <w:rsid w:val="008E2976"/>
    <w:rsid w:val="008E2980"/>
    <w:rsid w:val="008E2ACB"/>
    <w:rsid w:val="008E2E5F"/>
    <w:rsid w:val="008E3EB3"/>
    <w:rsid w:val="008E3FE1"/>
    <w:rsid w:val="008E4CA4"/>
    <w:rsid w:val="008E4DC7"/>
    <w:rsid w:val="008E4FA8"/>
    <w:rsid w:val="008E55AB"/>
    <w:rsid w:val="008E5FCA"/>
    <w:rsid w:val="008E6190"/>
    <w:rsid w:val="008E62A8"/>
    <w:rsid w:val="008E6569"/>
    <w:rsid w:val="008E71E3"/>
    <w:rsid w:val="008E757A"/>
    <w:rsid w:val="008E7B51"/>
    <w:rsid w:val="008F036F"/>
    <w:rsid w:val="008F120A"/>
    <w:rsid w:val="008F148E"/>
    <w:rsid w:val="008F18CB"/>
    <w:rsid w:val="008F1F59"/>
    <w:rsid w:val="008F21EA"/>
    <w:rsid w:val="008F2334"/>
    <w:rsid w:val="008F27E0"/>
    <w:rsid w:val="008F2875"/>
    <w:rsid w:val="008F2C0E"/>
    <w:rsid w:val="008F2FF7"/>
    <w:rsid w:val="008F31EC"/>
    <w:rsid w:val="008F3339"/>
    <w:rsid w:val="008F37BF"/>
    <w:rsid w:val="008F388D"/>
    <w:rsid w:val="008F4419"/>
    <w:rsid w:val="008F44BE"/>
    <w:rsid w:val="008F48EB"/>
    <w:rsid w:val="008F4BA7"/>
    <w:rsid w:val="008F4BD1"/>
    <w:rsid w:val="008F4F0B"/>
    <w:rsid w:val="008F5A36"/>
    <w:rsid w:val="008F5D41"/>
    <w:rsid w:val="008F6590"/>
    <w:rsid w:val="008F69DB"/>
    <w:rsid w:val="008F6ABE"/>
    <w:rsid w:val="008F6EEE"/>
    <w:rsid w:val="008F7808"/>
    <w:rsid w:val="008F7F33"/>
    <w:rsid w:val="0090015C"/>
    <w:rsid w:val="009006C8"/>
    <w:rsid w:val="0090090B"/>
    <w:rsid w:val="00900952"/>
    <w:rsid w:val="00900FDF"/>
    <w:rsid w:val="009013FD"/>
    <w:rsid w:val="009018BC"/>
    <w:rsid w:val="00901B8C"/>
    <w:rsid w:val="00902D2A"/>
    <w:rsid w:val="00902D6C"/>
    <w:rsid w:val="00902EDE"/>
    <w:rsid w:val="009039D0"/>
    <w:rsid w:val="00903A82"/>
    <w:rsid w:val="009042EC"/>
    <w:rsid w:val="009046C4"/>
    <w:rsid w:val="00904788"/>
    <w:rsid w:val="00904994"/>
    <w:rsid w:val="0090511A"/>
    <w:rsid w:val="009053C3"/>
    <w:rsid w:val="00905644"/>
    <w:rsid w:val="009056F5"/>
    <w:rsid w:val="009062A5"/>
    <w:rsid w:val="009068CD"/>
    <w:rsid w:val="00906B4A"/>
    <w:rsid w:val="0090710F"/>
    <w:rsid w:val="00907699"/>
    <w:rsid w:val="00907B89"/>
    <w:rsid w:val="00907F22"/>
    <w:rsid w:val="00907F24"/>
    <w:rsid w:val="009105B3"/>
    <w:rsid w:val="00910684"/>
    <w:rsid w:val="00910A4C"/>
    <w:rsid w:val="00910FA7"/>
    <w:rsid w:val="00911272"/>
    <w:rsid w:val="00911339"/>
    <w:rsid w:val="00911513"/>
    <w:rsid w:val="00911516"/>
    <w:rsid w:val="009121BD"/>
    <w:rsid w:val="0091220A"/>
    <w:rsid w:val="00912591"/>
    <w:rsid w:val="00912907"/>
    <w:rsid w:val="009129AC"/>
    <w:rsid w:val="00912EEF"/>
    <w:rsid w:val="009133DF"/>
    <w:rsid w:val="009135D6"/>
    <w:rsid w:val="0091451E"/>
    <w:rsid w:val="00914A47"/>
    <w:rsid w:val="00914C77"/>
    <w:rsid w:val="00914F78"/>
    <w:rsid w:val="009154EB"/>
    <w:rsid w:val="00915A15"/>
    <w:rsid w:val="009166BF"/>
    <w:rsid w:val="00916AA8"/>
    <w:rsid w:val="00916BF1"/>
    <w:rsid w:val="009170F5"/>
    <w:rsid w:val="00917BE4"/>
    <w:rsid w:val="00920330"/>
    <w:rsid w:val="0092071A"/>
    <w:rsid w:val="009209DE"/>
    <w:rsid w:val="00920B74"/>
    <w:rsid w:val="009212B3"/>
    <w:rsid w:val="0092131F"/>
    <w:rsid w:val="0092160B"/>
    <w:rsid w:val="00921ACB"/>
    <w:rsid w:val="00921CB0"/>
    <w:rsid w:val="009223E5"/>
    <w:rsid w:val="00922F94"/>
    <w:rsid w:val="00923017"/>
    <w:rsid w:val="00923526"/>
    <w:rsid w:val="0092369B"/>
    <w:rsid w:val="009239CC"/>
    <w:rsid w:val="00923C6B"/>
    <w:rsid w:val="009249FB"/>
    <w:rsid w:val="009255DF"/>
    <w:rsid w:val="00926475"/>
    <w:rsid w:val="009267B6"/>
    <w:rsid w:val="009268E1"/>
    <w:rsid w:val="009269FE"/>
    <w:rsid w:val="00926C8F"/>
    <w:rsid w:val="00926E6A"/>
    <w:rsid w:val="00927240"/>
    <w:rsid w:val="009272FF"/>
    <w:rsid w:val="009274DF"/>
    <w:rsid w:val="00927703"/>
    <w:rsid w:val="009279E0"/>
    <w:rsid w:val="00927CC6"/>
    <w:rsid w:val="00927D93"/>
    <w:rsid w:val="009301A7"/>
    <w:rsid w:val="00930264"/>
    <w:rsid w:val="00930616"/>
    <w:rsid w:val="00930B0F"/>
    <w:rsid w:val="0093126A"/>
    <w:rsid w:val="0093162A"/>
    <w:rsid w:val="00931B71"/>
    <w:rsid w:val="00931CE4"/>
    <w:rsid w:val="00932986"/>
    <w:rsid w:val="00932A9D"/>
    <w:rsid w:val="00932B81"/>
    <w:rsid w:val="00933476"/>
    <w:rsid w:val="00933B7E"/>
    <w:rsid w:val="00933D94"/>
    <w:rsid w:val="00934141"/>
    <w:rsid w:val="00934988"/>
    <w:rsid w:val="00934B04"/>
    <w:rsid w:val="00934B12"/>
    <w:rsid w:val="00935298"/>
    <w:rsid w:val="00935660"/>
    <w:rsid w:val="00935F96"/>
    <w:rsid w:val="0093657F"/>
    <w:rsid w:val="00936586"/>
    <w:rsid w:val="00937089"/>
    <w:rsid w:val="0093780A"/>
    <w:rsid w:val="00937E8F"/>
    <w:rsid w:val="00940057"/>
    <w:rsid w:val="00940D58"/>
    <w:rsid w:val="00940D6D"/>
    <w:rsid w:val="009412D0"/>
    <w:rsid w:val="0094143B"/>
    <w:rsid w:val="00941A75"/>
    <w:rsid w:val="00941A98"/>
    <w:rsid w:val="00941D07"/>
    <w:rsid w:val="00942210"/>
    <w:rsid w:val="00942636"/>
    <w:rsid w:val="00942957"/>
    <w:rsid w:val="00942E41"/>
    <w:rsid w:val="00943019"/>
    <w:rsid w:val="00943273"/>
    <w:rsid w:val="0094344C"/>
    <w:rsid w:val="00943542"/>
    <w:rsid w:val="009435AF"/>
    <w:rsid w:val="009435D4"/>
    <w:rsid w:val="00943804"/>
    <w:rsid w:val="00943F45"/>
    <w:rsid w:val="00944A3E"/>
    <w:rsid w:val="00944A95"/>
    <w:rsid w:val="00944A9F"/>
    <w:rsid w:val="00944E01"/>
    <w:rsid w:val="00944F8A"/>
    <w:rsid w:val="00945922"/>
    <w:rsid w:val="00945FBB"/>
    <w:rsid w:val="00946594"/>
    <w:rsid w:val="00946693"/>
    <w:rsid w:val="009469DD"/>
    <w:rsid w:val="00946C50"/>
    <w:rsid w:val="00946D09"/>
    <w:rsid w:val="00947265"/>
    <w:rsid w:val="00947AD8"/>
    <w:rsid w:val="00947D46"/>
    <w:rsid w:val="00950080"/>
    <w:rsid w:val="00950597"/>
    <w:rsid w:val="009509D7"/>
    <w:rsid w:val="00950A12"/>
    <w:rsid w:val="00950F3A"/>
    <w:rsid w:val="009510A2"/>
    <w:rsid w:val="00951300"/>
    <w:rsid w:val="009513B1"/>
    <w:rsid w:val="00951A19"/>
    <w:rsid w:val="00951E89"/>
    <w:rsid w:val="00951F96"/>
    <w:rsid w:val="00952B65"/>
    <w:rsid w:val="00952D95"/>
    <w:rsid w:val="00953257"/>
    <w:rsid w:val="00953280"/>
    <w:rsid w:val="00953B01"/>
    <w:rsid w:val="00953D7F"/>
    <w:rsid w:val="0095474C"/>
    <w:rsid w:val="00954C8E"/>
    <w:rsid w:val="00954D00"/>
    <w:rsid w:val="009550F5"/>
    <w:rsid w:val="0095568F"/>
    <w:rsid w:val="00955CDD"/>
    <w:rsid w:val="00955FF3"/>
    <w:rsid w:val="009565C8"/>
    <w:rsid w:val="009566A5"/>
    <w:rsid w:val="00956BDC"/>
    <w:rsid w:val="00956E03"/>
    <w:rsid w:val="009571BA"/>
    <w:rsid w:val="009572BA"/>
    <w:rsid w:val="0095730B"/>
    <w:rsid w:val="0095743E"/>
    <w:rsid w:val="00957D92"/>
    <w:rsid w:val="00960263"/>
    <w:rsid w:val="0096217A"/>
    <w:rsid w:val="00962466"/>
    <w:rsid w:val="009624EF"/>
    <w:rsid w:val="009628A0"/>
    <w:rsid w:val="00962CB9"/>
    <w:rsid w:val="00962E5C"/>
    <w:rsid w:val="00962EAE"/>
    <w:rsid w:val="00962F06"/>
    <w:rsid w:val="009639F4"/>
    <w:rsid w:val="00963BBD"/>
    <w:rsid w:val="00963F69"/>
    <w:rsid w:val="009640AA"/>
    <w:rsid w:val="00964312"/>
    <w:rsid w:val="00964E95"/>
    <w:rsid w:val="009657C0"/>
    <w:rsid w:val="00965B8A"/>
    <w:rsid w:val="00966630"/>
    <w:rsid w:val="009668A7"/>
    <w:rsid w:val="00966BDB"/>
    <w:rsid w:val="00967442"/>
    <w:rsid w:val="0096780E"/>
    <w:rsid w:val="009679A1"/>
    <w:rsid w:val="00967DD1"/>
    <w:rsid w:val="00970319"/>
    <w:rsid w:val="0097071F"/>
    <w:rsid w:val="00970CCB"/>
    <w:rsid w:val="0097151F"/>
    <w:rsid w:val="009717AC"/>
    <w:rsid w:val="00971CA8"/>
    <w:rsid w:val="009723DD"/>
    <w:rsid w:val="00972842"/>
    <w:rsid w:val="00972980"/>
    <w:rsid w:val="00972D1E"/>
    <w:rsid w:val="00973123"/>
    <w:rsid w:val="009731B2"/>
    <w:rsid w:val="0097395F"/>
    <w:rsid w:val="00973D85"/>
    <w:rsid w:val="00974361"/>
    <w:rsid w:val="00974A24"/>
    <w:rsid w:val="00974DC2"/>
    <w:rsid w:val="009751C1"/>
    <w:rsid w:val="009752B5"/>
    <w:rsid w:val="00975425"/>
    <w:rsid w:val="0097562D"/>
    <w:rsid w:val="00976498"/>
    <w:rsid w:val="0098016E"/>
    <w:rsid w:val="009804A9"/>
    <w:rsid w:val="00981191"/>
    <w:rsid w:val="009811F1"/>
    <w:rsid w:val="00981596"/>
    <w:rsid w:val="00981915"/>
    <w:rsid w:val="0098199B"/>
    <w:rsid w:val="00981A59"/>
    <w:rsid w:val="00982282"/>
    <w:rsid w:val="009822AD"/>
    <w:rsid w:val="009823AD"/>
    <w:rsid w:val="00982ACC"/>
    <w:rsid w:val="00982BF4"/>
    <w:rsid w:val="0098337D"/>
    <w:rsid w:val="00983930"/>
    <w:rsid w:val="00983E57"/>
    <w:rsid w:val="009844A5"/>
    <w:rsid w:val="009848B8"/>
    <w:rsid w:val="00984AD9"/>
    <w:rsid w:val="009855F3"/>
    <w:rsid w:val="00985618"/>
    <w:rsid w:val="00985D37"/>
    <w:rsid w:val="00985DE2"/>
    <w:rsid w:val="00985E2C"/>
    <w:rsid w:val="00985FCF"/>
    <w:rsid w:val="0098675D"/>
    <w:rsid w:val="009868D1"/>
    <w:rsid w:val="00986EEE"/>
    <w:rsid w:val="00987BA4"/>
    <w:rsid w:val="00990112"/>
    <w:rsid w:val="0099022C"/>
    <w:rsid w:val="00990535"/>
    <w:rsid w:val="009905BE"/>
    <w:rsid w:val="009906C7"/>
    <w:rsid w:val="00992216"/>
    <w:rsid w:val="009922A0"/>
    <w:rsid w:val="009926E0"/>
    <w:rsid w:val="009933B4"/>
    <w:rsid w:val="0099383B"/>
    <w:rsid w:val="00993BB4"/>
    <w:rsid w:val="00994278"/>
    <w:rsid w:val="0099451E"/>
    <w:rsid w:val="009949A8"/>
    <w:rsid w:val="009949FF"/>
    <w:rsid w:val="0099590B"/>
    <w:rsid w:val="0099624C"/>
    <w:rsid w:val="00996B1A"/>
    <w:rsid w:val="00997C56"/>
    <w:rsid w:val="00997C8A"/>
    <w:rsid w:val="00997E7E"/>
    <w:rsid w:val="009A00CE"/>
    <w:rsid w:val="009A03EA"/>
    <w:rsid w:val="009A0627"/>
    <w:rsid w:val="009A09AC"/>
    <w:rsid w:val="009A1310"/>
    <w:rsid w:val="009A18F6"/>
    <w:rsid w:val="009A1A47"/>
    <w:rsid w:val="009A23DA"/>
    <w:rsid w:val="009A2DB6"/>
    <w:rsid w:val="009A2DCC"/>
    <w:rsid w:val="009A357C"/>
    <w:rsid w:val="009A364C"/>
    <w:rsid w:val="009A37E4"/>
    <w:rsid w:val="009A4029"/>
    <w:rsid w:val="009A406E"/>
    <w:rsid w:val="009A41BE"/>
    <w:rsid w:val="009A44DB"/>
    <w:rsid w:val="009A4A8F"/>
    <w:rsid w:val="009A5366"/>
    <w:rsid w:val="009A57F4"/>
    <w:rsid w:val="009A5ABC"/>
    <w:rsid w:val="009A5C30"/>
    <w:rsid w:val="009A5CE3"/>
    <w:rsid w:val="009A6AF2"/>
    <w:rsid w:val="009A730E"/>
    <w:rsid w:val="009A757E"/>
    <w:rsid w:val="009A7F10"/>
    <w:rsid w:val="009B0640"/>
    <w:rsid w:val="009B08AC"/>
    <w:rsid w:val="009B0989"/>
    <w:rsid w:val="009B129B"/>
    <w:rsid w:val="009B15C1"/>
    <w:rsid w:val="009B19C4"/>
    <w:rsid w:val="009B2803"/>
    <w:rsid w:val="009B28EF"/>
    <w:rsid w:val="009B2CBC"/>
    <w:rsid w:val="009B2F05"/>
    <w:rsid w:val="009B35EA"/>
    <w:rsid w:val="009B3E26"/>
    <w:rsid w:val="009B44CE"/>
    <w:rsid w:val="009B455E"/>
    <w:rsid w:val="009B4C4E"/>
    <w:rsid w:val="009B4CFA"/>
    <w:rsid w:val="009B4F00"/>
    <w:rsid w:val="009B507E"/>
    <w:rsid w:val="009B59DA"/>
    <w:rsid w:val="009B5EF7"/>
    <w:rsid w:val="009B70EF"/>
    <w:rsid w:val="009B768E"/>
    <w:rsid w:val="009B7AE0"/>
    <w:rsid w:val="009C008A"/>
    <w:rsid w:val="009C016D"/>
    <w:rsid w:val="009C0E29"/>
    <w:rsid w:val="009C1016"/>
    <w:rsid w:val="009C1271"/>
    <w:rsid w:val="009C1894"/>
    <w:rsid w:val="009C21EF"/>
    <w:rsid w:val="009C2987"/>
    <w:rsid w:val="009C2C1F"/>
    <w:rsid w:val="009C2C49"/>
    <w:rsid w:val="009C2C7D"/>
    <w:rsid w:val="009C336D"/>
    <w:rsid w:val="009C3706"/>
    <w:rsid w:val="009C3745"/>
    <w:rsid w:val="009C3A3A"/>
    <w:rsid w:val="009C3BF5"/>
    <w:rsid w:val="009C4015"/>
    <w:rsid w:val="009C41C0"/>
    <w:rsid w:val="009C46B9"/>
    <w:rsid w:val="009C47A3"/>
    <w:rsid w:val="009C48F3"/>
    <w:rsid w:val="009C4D3F"/>
    <w:rsid w:val="009C5900"/>
    <w:rsid w:val="009C5EEA"/>
    <w:rsid w:val="009C69DC"/>
    <w:rsid w:val="009C6CEA"/>
    <w:rsid w:val="009C73F0"/>
    <w:rsid w:val="009C77AD"/>
    <w:rsid w:val="009C797B"/>
    <w:rsid w:val="009C7A12"/>
    <w:rsid w:val="009C7B85"/>
    <w:rsid w:val="009D0254"/>
    <w:rsid w:val="009D03DA"/>
    <w:rsid w:val="009D0CF5"/>
    <w:rsid w:val="009D0DA9"/>
    <w:rsid w:val="009D11BD"/>
    <w:rsid w:val="009D1829"/>
    <w:rsid w:val="009D1A64"/>
    <w:rsid w:val="009D2064"/>
    <w:rsid w:val="009D227F"/>
    <w:rsid w:val="009D2595"/>
    <w:rsid w:val="009D2761"/>
    <w:rsid w:val="009D2987"/>
    <w:rsid w:val="009D2B2F"/>
    <w:rsid w:val="009D357E"/>
    <w:rsid w:val="009D3CD6"/>
    <w:rsid w:val="009D3F94"/>
    <w:rsid w:val="009D56A4"/>
    <w:rsid w:val="009D5B91"/>
    <w:rsid w:val="009D6661"/>
    <w:rsid w:val="009D6C5F"/>
    <w:rsid w:val="009D6DBA"/>
    <w:rsid w:val="009D792E"/>
    <w:rsid w:val="009D798F"/>
    <w:rsid w:val="009D7E36"/>
    <w:rsid w:val="009E043A"/>
    <w:rsid w:val="009E0577"/>
    <w:rsid w:val="009E0581"/>
    <w:rsid w:val="009E067E"/>
    <w:rsid w:val="009E0DFE"/>
    <w:rsid w:val="009E1790"/>
    <w:rsid w:val="009E1FB8"/>
    <w:rsid w:val="009E2300"/>
    <w:rsid w:val="009E276A"/>
    <w:rsid w:val="009E2EEE"/>
    <w:rsid w:val="009E2F9F"/>
    <w:rsid w:val="009E31F6"/>
    <w:rsid w:val="009E34CD"/>
    <w:rsid w:val="009E3A0D"/>
    <w:rsid w:val="009E3BFF"/>
    <w:rsid w:val="009E3C9B"/>
    <w:rsid w:val="009E3CF9"/>
    <w:rsid w:val="009E47EC"/>
    <w:rsid w:val="009E4915"/>
    <w:rsid w:val="009E4C07"/>
    <w:rsid w:val="009E4E47"/>
    <w:rsid w:val="009E4F7C"/>
    <w:rsid w:val="009E5331"/>
    <w:rsid w:val="009E553C"/>
    <w:rsid w:val="009E625C"/>
    <w:rsid w:val="009E6568"/>
    <w:rsid w:val="009E65F1"/>
    <w:rsid w:val="009E6F1B"/>
    <w:rsid w:val="009E71C7"/>
    <w:rsid w:val="009E777F"/>
    <w:rsid w:val="009E7D20"/>
    <w:rsid w:val="009E7E1E"/>
    <w:rsid w:val="009F0126"/>
    <w:rsid w:val="009F0794"/>
    <w:rsid w:val="009F0916"/>
    <w:rsid w:val="009F10A6"/>
    <w:rsid w:val="009F1363"/>
    <w:rsid w:val="009F1721"/>
    <w:rsid w:val="009F1727"/>
    <w:rsid w:val="009F18E2"/>
    <w:rsid w:val="009F19B2"/>
    <w:rsid w:val="009F1A02"/>
    <w:rsid w:val="009F1B3C"/>
    <w:rsid w:val="009F1CBB"/>
    <w:rsid w:val="009F2F6A"/>
    <w:rsid w:val="009F3540"/>
    <w:rsid w:val="009F359B"/>
    <w:rsid w:val="009F39AC"/>
    <w:rsid w:val="009F3AD9"/>
    <w:rsid w:val="009F3B54"/>
    <w:rsid w:val="009F3BF7"/>
    <w:rsid w:val="009F3D87"/>
    <w:rsid w:val="009F432B"/>
    <w:rsid w:val="009F433F"/>
    <w:rsid w:val="009F46E9"/>
    <w:rsid w:val="009F4BF2"/>
    <w:rsid w:val="009F4E3A"/>
    <w:rsid w:val="009F57B7"/>
    <w:rsid w:val="009F5FBD"/>
    <w:rsid w:val="009F6120"/>
    <w:rsid w:val="009F643A"/>
    <w:rsid w:val="009F6538"/>
    <w:rsid w:val="009F68F9"/>
    <w:rsid w:val="009F6F70"/>
    <w:rsid w:val="009F75BA"/>
    <w:rsid w:val="009FC6BE"/>
    <w:rsid w:val="00A00316"/>
    <w:rsid w:val="00A00BBF"/>
    <w:rsid w:val="00A00D76"/>
    <w:rsid w:val="00A01184"/>
    <w:rsid w:val="00A01449"/>
    <w:rsid w:val="00A015EC"/>
    <w:rsid w:val="00A0188F"/>
    <w:rsid w:val="00A01ACB"/>
    <w:rsid w:val="00A01B0C"/>
    <w:rsid w:val="00A01B7D"/>
    <w:rsid w:val="00A01CA4"/>
    <w:rsid w:val="00A0204F"/>
    <w:rsid w:val="00A02383"/>
    <w:rsid w:val="00A0239D"/>
    <w:rsid w:val="00A02537"/>
    <w:rsid w:val="00A02815"/>
    <w:rsid w:val="00A029D2"/>
    <w:rsid w:val="00A02C1C"/>
    <w:rsid w:val="00A02FF1"/>
    <w:rsid w:val="00A0328B"/>
    <w:rsid w:val="00A0364D"/>
    <w:rsid w:val="00A037C2"/>
    <w:rsid w:val="00A038F1"/>
    <w:rsid w:val="00A03D2E"/>
    <w:rsid w:val="00A03D43"/>
    <w:rsid w:val="00A040D1"/>
    <w:rsid w:val="00A04380"/>
    <w:rsid w:val="00A04786"/>
    <w:rsid w:val="00A05472"/>
    <w:rsid w:val="00A05C32"/>
    <w:rsid w:val="00A05D4A"/>
    <w:rsid w:val="00A0653F"/>
    <w:rsid w:val="00A0655D"/>
    <w:rsid w:val="00A0663A"/>
    <w:rsid w:val="00A06F4D"/>
    <w:rsid w:val="00A072EC"/>
    <w:rsid w:val="00A079E6"/>
    <w:rsid w:val="00A07F36"/>
    <w:rsid w:val="00A10258"/>
    <w:rsid w:val="00A10662"/>
    <w:rsid w:val="00A10AEF"/>
    <w:rsid w:val="00A116F0"/>
    <w:rsid w:val="00A11CD0"/>
    <w:rsid w:val="00A11E9D"/>
    <w:rsid w:val="00A1223F"/>
    <w:rsid w:val="00A132C0"/>
    <w:rsid w:val="00A1357B"/>
    <w:rsid w:val="00A13944"/>
    <w:rsid w:val="00A13948"/>
    <w:rsid w:val="00A13AA7"/>
    <w:rsid w:val="00A13F0D"/>
    <w:rsid w:val="00A140FB"/>
    <w:rsid w:val="00A14F99"/>
    <w:rsid w:val="00A1549A"/>
    <w:rsid w:val="00A1555B"/>
    <w:rsid w:val="00A155C5"/>
    <w:rsid w:val="00A1574D"/>
    <w:rsid w:val="00A158E2"/>
    <w:rsid w:val="00A1614D"/>
    <w:rsid w:val="00A1639F"/>
    <w:rsid w:val="00A16642"/>
    <w:rsid w:val="00A16AD8"/>
    <w:rsid w:val="00A16B91"/>
    <w:rsid w:val="00A174AE"/>
    <w:rsid w:val="00A177A0"/>
    <w:rsid w:val="00A17BD7"/>
    <w:rsid w:val="00A17ECE"/>
    <w:rsid w:val="00A2021E"/>
    <w:rsid w:val="00A20413"/>
    <w:rsid w:val="00A20683"/>
    <w:rsid w:val="00A21163"/>
    <w:rsid w:val="00A21530"/>
    <w:rsid w:val="00A2155C"/>
    <w:rsid w:val="00A21C95"/>
    <w:rsid w:val="00A21CCE"/>
    <w:rsid w:val="00A21CF3"/>
    <w:rsid w:val="00A21E4E"/>
    <w:rsid w:val="00A21F49"/>
    <w:rsid w:val="00A22520"/>
    <w:rsid w:val="00A233DF"/>
    <w:rsid w:val="00A2353D"/>
    <w:rsid w:val="00A2398C"/>
    <w:rsid w:val="00A23A4F"/>
    <w:rsid w:val="00A244CF"/>
    <w:rsid w:val="00A24813"/>
    <w:rsid w:val="00A25880"/>
    <w:rsid w:val="00A26CEF"/>
    <w:rsid w:val="00A27215"/>
    <w:rsid w:val="00A27AEC"/>
    <w:rsid w:val="00A27C48"/>
    <w:rsid w:val="00A300B5"/>
    <w:rsid w:val="00A30435"/>
    <w:rsid w:val="00A30810"/>
    <w:rsid w:val="00A30F2C"/>
    <w:rsid w:val="00A318E6"/>
    <w:rsid w:val="00A31C53"/>
    <w:rsid w:val="00A3209D"/>
    <w:rsid w:val="00A320DB"/>
    <w:rsid w:val="00A33004"/>
    <w:rsid w:val="00A33F9B"/>
    <w:rsid w:val="00A34016"/>
    <w:rsid w:val="00A3467D"/>
    <w:rsid w:val="00A34C73"/>
    <w:rsid w:val="00A34FE8"/>
    <w:rsid w:val="00A351FE"/>
    <w:rsid w:val="00A35D16"/>
    <w:rsid w:val="00A3638B"/>
    <w:rsid w:val="00A36474"/>
    <w:rsid w:val="00A3694B"/>
    <w:rsid w:val="00A36A1A"/>
    <w:rsid w:val="00A372F3"/>
    <w:rsid w:val="00A37BCD"/>
    <w:rsid w:val="00A37BDC"/>
    <w:rsid w:val="00A414E2"/>
    <w:rsid w:val="00A41689"/>
    <w:rsid w:val="00A41783"/>
    <w:rsid w:val="00A41B51"/>
    <w:rsid w:val="00A41B57"/>
    <w:rsid w:val="00A41F85"/>
    <w:rsid w:val="00A42384"/>
    <w:rsid w:val="00A42592"/>
    <w:rsid w:val="00A42F7C"/>
    <w:rsid w:val="00A43A3E"/>
    <w:rsid w:val="00A43BB0"/>
    <w:rsid w:val="00A43C59"/>
    <w:rsid w:val="00A43D38"/>
    <w:rsid w:val="00A44651"/>
    <w:rsid w:val="00A44759"/>
    <w:rsid w:val="00A455DF"/>
    <w:rsid w:val="00A4573D"/>
    <w:rsid w:val="00A459E5"/>
    <w:rsid w:val="00A45F67"/>
    <w:rsid w:val="00A468D6"/>
    <w:rsid w:val="00A46A86"/>
    <w:rsid w:val="00A46FEB"/>
    <w:rsid w:val="00A4759B"/>
    <w:rsid w:val="00A475E8"/>
    <w:rsid w:val="00A47746"/>
    <w:rsid w:val="00A478B0"/>
    <w:rsid w:val="00A479A9"/>
    <w:rsid w:val="00A47B48"/>
    <w:rsid w:val="00A50029"/>
    <w:rsid w:val="00A50BEB"/>
    <w:rsid w:val="00A50CA0"/>
    <w:rsid w:val="00A50EAB"/>
    <w:rsid w:val="00A50ECD"/>
    <w:rsid w:val="00A518F3"/>
    <w:rsid w:val="00A51B6B"/>
    <w:rsid w:val="00A521EA"/>
    <w:rsid w:val="00A5255A"/>
    <w:rsid w:val="00A52699"/>
    <w:rsid w:val="00A52729"/>
    <w:rsid w:val="00A5279A"/>
    <w:rsid w:val="00A52EAA"/>
    <w:rsid w:val="00A53675"/>
    <w:rsid w:val="00A54349"/>
    <w:rsid w:val="00A5461C"/>
    <w:rsid w:val="00A54E32"/>
    <w:rsid w:val="00A550E5"/>
    <w:rsid w:val="00A55455"/>
    <w:rsid w:val="00A55643"/>
    <w:rsid w:val="00A5583D"/>
    <w:rsid w:val="00A56131"/>
    <w:rsid w:val="00A562E0"/>
    <w:rsid w:val="00A564D7"/>
    <w:rsid w:val="00A56B6A"/>
    <w:rsid w:val="00A56E19"/>
    <w:rsid w:val="00A573D3"/>
    <w:rsid w:val="00A57528"/>
    <w:rsid w:val="00A577CE"/>
    <w:rsid w:val="00A578DC"/>
    <w:rsid w:val="00A57A0E"/>
    <w:rsid w:val="00A57C08"/>
    <w:rsid w:val="00A60156"/>
    <w:rsid w:val="00A60B4A"/>
    <w:rsid w:val="00A60B67"/>
    <w:rsid w:val="00A60CE8"/>
    <w:rsid w:val="00A617D7"/>
    <w:rsid w:val="00A619EE"/>
    <w:rsid w:val="00A61F14"/>
    <w:rsid w:val="00A620E2"/>
    <w:rsid w:val="00A62823"/>
    <w:rsid w:val="00A62868"/>
    <w:rsid w:val="00A6294D"/>
    <w:rsid w:val="00A62F0C"/>
    <w:rsid w:val="00A6322A"/>
    <w:rsid w:val="00A63396"/>
    <w:rsid w:val="00A63631"/>
    <w:rsid w:val="00A636E8"/>
    <w:rsid w:val="00A6396F"/>
    <w:rsid w:val="00A63DB0"/>
    <w:rsid w:val="00A63E1C"/>
    <w:rsid w:val="00A640E2"/>
    <w:rsid w:val="00A6412B"/>
    <w:rsid w:val="00A64D65"/>
    <w:rsid w:val="00A65199"/>
    <w:rsid w:val="00A65A78"/>
    <w:rsid w:val="00A6654C"/>
    <w:rsid w:val="00A6725B"/>
    <w:rsid w:val="00A67457"/>
    <w:rsid w:val="00A67706"/>
    <w:rsid w:val="00A70304"/>
    <w:rsid w:val="00A70605"/>
    <w:rsid w:val="00A70BFC"/>
    <w:rsid w:val="00A70CC2"/>
    <w:rsid w:val="00A713B0"/>
    <w:rsid w:val="00A713C4"/>
    <w:rsid w:val="00A71633"/>
    <w:rsid w:val="00A71C66"/>
    <w:rsid w:val="00A726E4"/>
    <w:rsid w:val="00A72F0B"/>
    <w:rsid w:val="00A7308F"/>
    <w:rsid w:val="00A73134"/>
    <w:rsid w:val="00A7365A"/>
    <w:rsid w:val="00A73D0A"/>
    <w:rsid w:val="00A747ED"/>
    <w:rsid w:val="00A74E68"/>
    <w:rsid w:val="00A7529C"/>
    <w:rsid w:val="00A75A47"/>
    <w:rsid w:val="00A75ED6"/>
    <w:rsid w:val="00A76001"/>
    <w:rsid w:val="00A76109"/>
    <w:rsid w:val="00A761DE"/>
    <w:rsid w:val="00A763FE"/>
    <w:rsid w:val="00A765BB"/>
    <w:rsid w:val="00A76652"/>
    <w:rsid w:val="00A7667B"/>
    <w:rsid w:val="00A77087"/>
    <w:rsid w:val="00A7729D"/>
    <w:rsid w:val="00A777B2"/>
    <w:rsid w:val="00A80E65"/>
    <w:rsid w:val="00A81091"/>
    <w:rsid w:val="00A812EA"/>
    <w:rsid w:val="00A81636"/>
    <w:rsid w:val="00A81A29"/>
    <w:rsid w:val="00A81B0E"/>
    <w:rsid w:val="00A81D68"/>
    <w:rsid w:val="00A81E79"/>
    <w:rsid w:val="00A825D4"/>
    <w:rsid w:val="00A826E5"/>
    <w:rsid w:val="00A828F6"/>
    <w:rsid w:val="00A82B73"/>
    <w:rsid w:val="00A82DC2"/>
    <w:rsid w:val="00A83346"/>
    <w:rsid w:val="00A837BC"/>
    <w:rsid w:val="00A83A56"/>
    <w:rsid w:val="00A83B28"/>
    <w:rsid w:val="00A83CB0"/>
    <w:rsid w:val="00A83E71"/>
    <w:rsid w:val="00A840EE"/>
    <w:rsid w:val="00A844EE"/>
    <w:rsid w:val="00A845BC"/>
    <w:rsid w:val="00A8634F"/>
    <w:rsid w:val="00A86E8B"/>
    <w:rsid w:val="00A87164"/>
    <w:rsid w:val="00A87245"/>
    <w:rsid w:val="00A8787B"/>
    <w:rsid w:val="00A87B09"/>
    <w:rsid w:val="00A905E7"/>
    <w:rsid w:val="00A906A4"/>
    <w:rsid w:val="00A90F90"/>
    <w:rsid w:val="00A91D43"/>
    <w:rsid w:val="00A91D9A"/>
    <w:rsid w:val="00A926D8"/>
    <w:rsid w:val="00A92DFB"/>
    <w:rsid w:val="00A93072"/>
    <w:rsid w:val="00A93797"/>
    <w:rsid w:val="00A938BD"/>
    <w:rsid w:val="00A93916"/>
    <w:rsid w:val="00A93953"/>
    <w:rsid w:val="00A940BD"/>
    <w:rsid w:val="00A947A7"/>
    <w:rsid w:val="00A949F7"/>
    <w:rsid w:val="00A959D8"/>
    <w:rsid w:val="00A95BF9"/>
    <w:rsid w:val="00A97222"/>
    <w:rsid w:val="00A9781D"/>
    <w:rsid w:val="00A97843"/>
    <w:rsid w:val="00A97BF6"/>
    <w:rsid w:val="00A97F12"/>
    <w:rsid w:val="00AA02C7"/>
    <w:rsid w:val="00AA077A"/>
    <w:rsid w:val="00AA07C1"/>
    <w:rsid w:val="00AA0EFB"/>
    <w:rsid w:val="00AA10D0"/>
    <w:rsid w:val="00AA113D"/>
    <w:rsid w:val="00AA1329"/>
    <w:rsid w:val="00AA1F5E"/>
    <w:rsid w:val="00AA1F63"/>
    <w:rsid w:val="00AA2020"/>
    <w:rsid w:val="00AA3962"/>
    <w:rsid w:val="00AA3EDA"/>
    <w:rsid w:val="00AA41DA"/>
    <w:rsid w:val="00AA4664"/>
    <w:rsid w:val="00AA4897"/>
    <w:rsid w:val="00AA5E1A"/>
    <w:rsid w:val="00AA5F52"/>
    <w:rsid w:val="00AA6ABF"/>
    <w:rsid w:val="00AA6ADA"/>
    <w:rsid w:val="00AA6BD5"/>
    <w:rsid w:val="00AA6BD8"/>
    <w:rsid w:val="00AA6C7D"/>
    <w:rsid w:val="00AA6D71"/>
    <w:rsid w:val="00AA732F"/>
    <w:rsid w:val="00AA7789"/>
    <w:rsid w:val="00AA77A0"/>
    <w:rsid w:val="00AA7979"/>
    <w:rsid w:val="00AA7E23"/>
    <w:rsid w:val="00AA7FD6"/>
    <w:rsid w:val="00AB042A"/>
    <w:rsid w:val="00AB0744"/>
    <w:rsid w:val="00AB11AD"/>
    <w:rsid w:val="00AB19EF"/>
    <w:rsid w:val="00AB1B18"/>
    <w:rsid w:val="00AB1CC2"/>
    <w:rsid w:val="00AB1D12"/>
    <w:rsid w:val="00AB2495"/>
    <w:rsid w:val="00AB26CD"/>
    <w:rsid w:val="00AB29B3"/>
    <w:rsid w:val="00AB2D26"/>
    <w:rsid w:val="00AB2D34"/>
    <w:rsid w:val="00AB3430"/>
    <w:rsid w:val="00AB37B9"/>
    <w:rsid w:val="00AB426A"/>
    <w:rsid w:val="00AB4AD1"/>
    <w:rsid w:val="00AB4B03"/>
    <w:rsid w:val="00AB51DD"/>
    <w:rsid w:val="00AB5261"/>
    <w:rsid w:val="00AB5621"/>
    <w:rsid w:val="00AB5E07"/>
    <w:rsid w:val="00AB68E8"/>
    <w:rsid w:val="00AB6BC8"/>
    <w:rsid w:val="00AB6E63"/>
    <w:rsid w:val="00AB77E7"/>
    <w:rsid w:val="00AB7941"/>
    <w:rsid w:val="00AB79CD"/>
    <w:rsid w:val="00AB7B54"/>
    <w:rsid w:val="00AB7CFA"/>
    <w:rsid w:val="00AC00D9"/>
    <w:rsid w:val="00AC06FF"/>
    <w:rsid w:val="00AC1815"/>
    <w:rsid w:val="00AC18AA"/>
    <w:rsid w:val="00AC2065"/>
    <w:rsid w:val="00AC2215"/>
    <w:rsid w:val="00AC2FF8"/>
    <w:rsid w:val="00AC372A"/>
    <w:rsid w:val="00AC3FB5"/>
    <w:rsid w:val="00AC45F1"/>
    <w:rsid w:val="00AC4B91"/>
    <w:rsid w:val="00AC4C4E"/>
    <w:rsid w:val="00AC4FD4"/>
    <w:rsid w:val="00AC5118"/>
    <w:rsid w:val="00AC5217"/>
    <w:rsid w:val="00AC592C"/>
    <w:rsid w:val="00AC59E2"/>
    <w:rsid w:val="00AC5B42"/>
    <w:rsid w:val="00AC5B48"/>
    <w:rsid w:val="00AC5E17"/>
    <w:rsid w:val="00AC60C9"/>
    <w:rsid w:val="00AC6818"/>
    <w:rsid w:val="00AC6ECC"/>
    <w:rsid w:val="00AD0342"/>
    <w:rsid w:val="00AD0D5C"/>
    <w:rsid w:val="00AD11EC"/>
    <w:rsid w:val="00AD1391"/>
    <w:rsid w:val="00AD1450"/>
    <w:rsid w:val="00AD15E8"/>
    <w:rsid w:val="00AD1618"/>
    <w:rsid w:val="00AD1633"/>
    <w:rsid w:val="00AD17C8"/>
    <w:rsid w:val="00AD1AD9"/>
    <w:rsid w:val="00AD1C65"/>
    <w:rsid w:val="00AD1EB4"/>
    <w:rsid w:val="00AD2474"/>
    <w:rsid w:val="00AD255D"/>
    <w:rsid w:val="00AD3208"/>
    <w:rsid w:val="00AD325D"/>
    <w:rsid w:val="00AD3533"/>
    <w:rsid w:val="00AD356D"/>
    <w:rsid w:val="00AD3895"/>
    <w:rsid w:val="00AD4BCC"/>
    <w:rsid w:val="00AD4E6D"/>
    <w:rsid w:val="00AD50DF"/>
    <w:rsid w:val="00AD50F4"/>
    <w:rsid w:val="00AD54D3"/>
    <w:rsid w:val="00AD5997"/>
    <w:rsid w:val="00AD5A27"/>
    <w:rsid w:val="00AD6502"/>
    <w:rsid w:val="00AD6921"/>
    <w:rsid w:val="00AD6994"/>
    <w:rsid w:val="00AD6E38"/>
    <w:rsid w:val="00AE040B"/>
    <w:rsid w:val="00AE0547"/>
    <w:rsid w:val="00AE0695"/>
    <w:rsid w:val="00AE073F"/>
    <w:rsid w:val="00AE0975"/>
    <w:rsid w:val="00AE13D2"/>
    <w:rsid w:val="00AE1560"/>
    <w:rsid w:val="00AE24DD"/>
    <w:rsid w:val="00AE285F"/>
    <w:rsid w:val="00AE2A6B"/>
    <w:rsid w:val="00AE3443"/>
    <w:rsid w:val="00AE39FD"/>
    <w:rsid w:val="00AE3E7E"/>
    <w:rsid w:val="00AE4499"/>
    <w:rsid w:val="00AE4600"/>
    <w:rsid w:val="00AE514E"/>
    <w:rsid w:val="00AE5C7A"/>
    <w:rsid w:val="00AE5CBA"/>
    <w:rsid w:val="00AE671F"/>
    <w:rsid w:val="00AE68F3"/>
    <w:rsid w:val="00AE6904"/>
    <w:rsid w:val="00AE6C73"/>
    <w:rsid w:val="00AE721D"/>
    <w:rsid w:val="00AE722F"/>
    <w:rsid w:val="00AE77F1"/>
    <w:rsid w:val="00AE783D"/>
    <w:rsid w:val="00AE79A1"/>
    <w:rsid w:val="00AE7A5E"/>
    <w:rsid w:val="00AE7E53"/>
    <w:rsid w:val="00AF029D"/>
    <w:rsid w:val="00AF0726"/>
    <w:rsid w:val="00AF0D13"/>
    <w:rsid w:val="00AF1315"/>
    <w:rsid w:val="00AF143D"/>
    <w:rsid w:val="00AF19BF"/>
    <w:rsid w:val="00AF1F67"/>
    <w:rsid w:val="00AF25F2"/>
    <w:rsid w:val="00AF2D04"/>
    <w:rsid w:val="00AF2DC3"/>
    <w:rsid w:val="00AF33E2"/>
    <w:rsid w:val="00AF3B26"/>
    <w:rsid w:val="00AF3C44"/>
    <w:rsid w:val="00AF409C"/>
    <w:rsid w:val="00AF4FBC"/>
    <w:rsid w:val="00AF5C49"/>
    <w:rsid w:val="00AF6467"/>
    <w:rsid w:val="00AF64AC"/>
    <w:rsid w:val="00AF67B6"/>
    <w:rsid w:val="00AF6BB8"/>
    <w:rsid w:val="00AF6D06"/>
    <w:rsid w:val="00AF6DC5"/>
    <w:rsid w:val="00AF6FBE"/>
    <w:rsid w:val="00AF708D"/>
    <w:rsid w:val="00AF7816"/>
    <w:rsid w:val="00AF78A6"/>
    <w:rsid w:val="00AF7D14"/>
    <w:rsid w:val="00B0083D"/>
    <w:rsid w:val="00B00887"/>
    <w:rsid w:val="00B00A7D"/>
    <w:rsid w:val="00B015B3"/>
    <w:rsid w:val="00B0188C"/>
    <w:rsid w:val="00B01E30"/>
    <w:rsid w:val="00B025CE"/>
    <w:rsid w:val="00B025EF"/>
    <w:rsid w:val="00B02D28"/>
    <w:rsid w:val="00B02D74"/>
    <w:rsid w:val="00B02F5C"/>
    <w:rsid w:val="00B030A5"/>
    <w:rsid w:val="00B03347"/>
    <w:rsid w:val="00B033E5"/>
    <w:rsid w:val="00B03A63"/>
    <w:rsid w:val="00B03DAE"/>
    <w:rsid w:val="00B04025"/>
    <w:rsid w:val="00B04879"/>
    <w:rsid w:val="00B04888"/>
    <w:rsid w:val="00B0502F"/>
    <w:rsid w:val="00B05C05"/>
    <w:rsid w:val="00B061DC"/>
    <w:rsid w:val="00B064BF"/>
    <w:rsid w:val="00B06581"/>
    <w:rsid w:val="00B06679"/>
    <w:rsid w:val="00B06E0F"/>
    <w:rsid w:val="00B07263"/>
    <w:rsid w:val="00B073A9"/>
    <w:rsid w:val="00B07778"/>
    <w:rsid w:val="00B07947"/>
    <w:rsid w:val="00B1174D"/>
    <w:rsid w:val="00B118AF"/>
    <w:rsid w:val="00B1206C"/>
    <w:rsid w:val="00B129A4"/>
    <w:rsid w:val="00B1363D"/>
    <w:rsid w:val="00B13770"/>
    <w:rsid w:val="00B13B51"/>
    <w:rsid w:val="00B14572"/>
    <w:rsid w:val="00B14781"/>
    <w:rsid w:val="00B15023"/>
    <w:rsid w:val="00B15905"/>
    <w:rsid w:val="00B15B85"/>
    <w:rsid w:val="00B15D13"/>
    <w:rsid w:val="00B160CD"/>
    <w:rsid w:val="00B16244"/>
    <w:rsid w:val="00B164BE"/>
    <w:rsid w:val="00B16935"/>
    <w:rsid w:val="00B16CA8"/>
    <w:rsid w:val="00B16E83"/>
    <w:rsid w:val="00B1756B"/>
    <w:rsid w:val="00B17BBF"/>
    <w:rsid w:val="00B201A4"/>
    <w:rsid w:val="00B201D1"/>
    <w:rsid w:val="00B20391"/>
    <w:rsid w:val="00B204CC"/>
    <w:rsid w:val="00B20590"/>
    <w:rsid w:val="00B205C4"/>
    <w:rsid w:val="00B20984"/>
    <w:rsid w:val="00B20C3F"/>
    <w:rsid w:val="00B213A6"/>
    <w:rsid w:val="00B21842"/>
    <w:rsid w:val="00B21DBC"/>
    <w:rsid w:val="00B22B47"/>
    <w:rsid w:val="00B22EEC"/>
    <w:rsid w:val="00B234FD"/>
    <w:rsid w:val="00B235B0"/>
    <w:rsid w:val="00B2382A"/>
    <w:rsid w:val="00B23AAA"/>
    <w:rsid w:val="00B24112"/>
    <w:rsid w:val="00B24C89"/>
    <w:rsid w:val="00B24DF6"/>
    <w:rsid w:val="00B2531B"/>
    <w:rsid w:val="00B25418"/>
    <w:rsid w:val="00B25EB8"/>
    <w:rsid w:val="00B25FC6"/>
    <w:rsid w:val="00B26184"/>
    <w:rsid w:val="00B2704A"/>
    <w:rsid w:val="00B27067"/>
    <w:rsid w:val="00B276B3"/>
    <w:rsid w:val="00B27A61"/>
    <w:rsid w:val="00B302A7"/>
    <w:rsid w:val="00B302C8"/>
    <w:rsid w:val="00B30689"/>
    <w:rsid w:val="00B30C45"/>
    <w:rsid w:val="00B30C95"/>
    <w:rsid w:val="00B30FA9"/>
    <w:rsid w:val="00B30FAF"/>
    <w:rsid w:val="00B31C32"/>
    <w:rsid w:val="00B3227F"/>
    <w:rsid w:val="00B322B3"/>
    <w:rsid w:val="00B323E6"/>
    <w:rsid w:val="00B329BA"/>
    <w:rsid w:val="00B33057"/>
    <w:rsid w:val="00B3338D"/>
    <w:rsid w:val="00B3368E"/>
    <w:rsid w:val="00B349DB"/>
    <w:rsid w:val="00B34CB4"/>
    <w:rsid w:val="00B34D18"/>
    <w:rsid w:val="00B34FE2"/>
    <w:rsid w:val="00B35166"/>
    <w:rsid w:val="00B353AA"/>
    <w:rsid w:val="00B357D8"/>
    <w:rsid w:val="00B35866"/>
    <w:rsid w:val="00B3592A"/>
    <w:rsid w:val="00B35A11"/>
    <w:rsid w:val="00B35B03"/>
    <w:rsid w:val="00B35E6F"/>
    <w:rsid w:val="00B360F4"/>
    <w:rsid w:val="00B3621D"/>
    <w:rsid w:val="00B36444"/>
    <w:rsid w:val="00B366DE"/>
    <w:rsid w:val="00B36866"/>
    <w:rsid w:val="00B368E3"/>
    <w:rsid w:val="00B36A00"/>
    <w:rsid w:val="00B36A45"/>
    <w:rsid w:val="00B37227"/>
    <w:rsid w:val="00B377FB"/>
    <w:rsid w:val="00B3792B"/>
    <w:rsid w:val="00B37930"/>
    <w:rsid w:val="00B37A42"/>
    <w:rsid w:val="00B37BFC"/>
    <w:rsid w:val="00B40007"/>
    <w:rsid w:val="00B402D7"/>
    <w:rsid w:val="00B40358"/>
    <w:rsid w:val="00B40783"/>
    <w:rsid w:val="00B41379"/>
    <w:rsid w:val="00B41614"/>
    <w:rsid w:val="00B418E6"/>
    <w:rsid w:val="00B41F36"/>
    <w:rsid w:val="00B4204F"/>
    <w:rsid w:val="00B42851"/>
    <w:rsid w:val="00B4295C"/>
    <w:rsid w:val="00B42F80"/>
    <w:rsid w:val="00B433C3"/>
    <w:rsid w:val="00B434B5"/>
    <w:rsid w:val="00B43573"/>
    <w:rsid w:val="00B435CB"/>
    <w:rsid w:val="00B439F7"/>
    <w:rsid w:val="00B441D1"/>
    <w:rsid w:val="00B44447"/>
    <w:rsid w:val="00B4445A"/>
    <w:rsid w:val="00B447E6"/>
    <w:rsid w:val="00B44A4E"/>
    <w:rsid w:val="00B44BA7"/>
    <w:rsid w:val="00B45707"/>
    <w:rsid w:val="00B45E03"/>
    <w:rsid w:val="00B46492"/>
    <w:rsid w:val="00B465EC"/>
    <w:rsid w:val="00B466AE"/>
    <w:rsid w:val="00B468E1"/>
    <w:rsid w:val="00B46994"/>
    <w:rsid w:val="00B46AC3"/>
    <w:rsid w:val="00B46C67"/>
    <w:rsid w:val="00B46F2B"/>
    <w:rsid w:val="00B47132"/>
    <w:rsid w:val="00B47552"/>
    <w:rsid w:val="00B502DC"/>
    <w:rsid w:val="00B505C8"/>
    <w:rsid w:val="00B50969"/>
    <w:rsid w:val="00B5099B"/>
    <w:rsid w:val="00B50DB8"/>
    <w:rsid w:val="00B50F2A"/>
    <w:rsid w:val="00B50FE9"/>
    <w:rsid w:val="00B510E9"/>
    <w:rsid w:val="00B51147"/>
    <w:rsid w:val="00B513DE"/>
    <w:rsid w:val="00B517CA"/>
    <w:rsid w:val="00B51AF3"/>
    <w:rsid w:val="00B51AFC"/>
    <w:rsid w:val="00B527AD"/>
    <w:rsid w:val="00B531B4"/>
    <w:rsid w:val="00B53654"/>
    <w:rsid w:val="00B53905"/>
    <w:rsid w:val="00B53B7B"/>
    <w:rsid w:val="00B546DB"/>
    <w:rsid w:val="00B5474D"/>
    <w:rsid w:val="00B54B5B"/>
    <w:rsid w:val="00B54C00"/>
    <w:rsid w:val="00B54EC5"/>
    <w:rsid w:val="00B55510"/>
    <w:rsid w:val="00B5562E"/>
    <w:rsid w:val="00B55862"/>
    <w:rsid w:val="00B55B4D"/>
    <w:rsid w:val="00B55B77"/>
    <w:rsid w:val="00B55D65"/>
    <w:rsid w:val="00B5600E"/>
    <w:rsid w:val="00B56305"/>
    <w:rsid w:val="00B5660F"/>
    <w:rsid w:val="00B56AB0"/>
    <w:rsid w:val="00B57000"/>
    <w:rsid w:val="00B57238"/>
    <w:rsid w:val="00B57488"/>
    <w:rsid w:val="00B57721"/>
    <w:rsid w:val="00B57973"/>
    <w:rsid w:val="00B57B77"/>
    <w:rsid w:val="00B57BD7"/>
    <w:rsid w:val="00B57DE0"/>
    <w:rsid w:val="00B60939"/>
    <w:rsid w:val="00B60AD5"/>
    <w:rsid w:val="00B60AFD"/>
    <w:rsid w:val="00B60F28"/>
    <w:rsid w:val="00B6117A"/>
    <w:rsid w:val="00B6155B"/>
    <w:rsid w:val="00B6167A"/>
    <w:rsid w:val="00B6182E"/>
    <w:rsid w:val="00B6195E"/>
    <w:rsid w:val="00B6232D"/>
    <w:rsid w:val="00B62393"/>
    <w:rsid w:val="00B62715"/>
    <w:rsid w:val="00B62E9A"/>
    <w:rsid w:val="00B637A3"/>
    <w:rsid w:val="00B638C2"/>
    <w:rsid w:val="00B64116"/>
    <w:rsid w:val="00B6423B"/>
    <w:rsid w:val="00B646AE"/>
    <w:rsid w:val="00B65611"/>
    <w:rsid w:val="00B65BBF"/>
    <w:rsid w:val="00B65FB7"/>
    <w:rsid w:val="00B66627"/>
    <w:rsid w:val="00B66861"/>
    <w:rsid w:val="00B6781A"/>
    <w:rsid w:val="00B6783F"/>
    <w:rsid w:val="00B67E5E"/>
    <w:rsid w:val="00B702A4"/>
    <w:rsid w:val="00B70E8E"/>
    <w:rsid w:val="00B712F1"/>
    <w:rsid w:val="00B714C8"/>
    <w:rsid w:val="00B71DEC"/>
    <w:rsid w:val="00B71EF1"/>
    <w:rsid w:val="00B7349F"/>
    <w:rsid w:val="00B7353E"/>
    <w:rsid w:val="00B73581"/>
    <w:rsid w:val="00B73E71"/>
    <w:rsid w:val="00B73EC9"/>
    <w:rsid w:val="00B74571"/>
    <w:rsid w:val="00B74662"/>
    <w:rsid w:val="00B7468C"/>
    <w:rsid w:val="00B74815"/>
    <w:rsid w:val="00B74966"/>
    <w:rsid w:val="00B749EB"/>
    <w:rsid w:val="00B74F3B"/>
    <w:rsid w:val="00B75134"/>
    <w:rsid w:val="00B758A2"/>
    <w:rsid w:val="00B75AAC"/>
    <w:rsid w:val="00B75B34"/>
    <w:rsid w:val="00B75E27"/>
    <w:rsid w:val="00B76B10"/>
    <w:rsid w:val="00B76C59"/>
    <w:rsid w:val="00B76C92"/>
    <w:rsid w:val="00B76FC9"/>
    <w:rsid w:val="00B80C77"/>
    <w:rsid w:val="00B80EFD"/>
    <w:rsid w:val="00B8125D"/>
    <w:rsid w:val="00B818A4"/>
    <w:rsid w:val="00B81945"/>
    <w:rsid w:val="00B81D4E"/>
    <w:rsid w:val="00B821E6"/>
    <w:rsid w:val="00B82343"/>
    <w:rsid w:val="00B8273B"/>
    <w:rsid w:val="00B835B7"/>
    <w:rsid w:val="00B83739"/>
    <w:rsid w:val="00B83F2A"/>
    <w:rsid w:val="00B84117"/>
    <w:rsid w:val="00B84663"/>
    <w:rsid w:val="00B85435"/>
    <w:rsid w:val="00B858F0"/>
    <w:rsid w:val="00B859D0"/>
    <w:rsid w:val="00B85AA2"/>
    <w:rsid w:val="00B85C30"/>
    <w:rsid w:val="00B85DD1"/>
    <w:rsid w:val="00B86070"/>
    <w:rsid w:val="00B8649C"/>
    <w:rsid w:val="00B867AA"/>
    <w:rsid w:val="00B8695D"/>
    <w:rsid w:val="00B86D66"/>
    <w:rsid w:val="00B874EB"/>
    <w:rsid w:val="00B8783F"/>
    <w:rsid w:val="00B87B46"/>
    <w:rsid w:val="00B87DDD"/>
    <w:rsid w:val="00B87F0A"/>
    <w:rsid w:val="00B901B1"/>
    <w:rsid w:val="00B910E4"/>
    <w:rsid w:val="00B91697"/>
    <w:rsid w:val="00B92291"/>
    <w:rsid w:val="00B9239D"/>
    <w:rsid w:val="00B92D0B"/>
    <w:rsid w:val="00B93153"/>
    <w:rsid w:val="00B9334A"/>
    <w:rsid w:val="00B9439F"/>
    <w:rsid w:val="00B948D6"/>
    <w:rsid w:val="00B94945"/>
    <w:rsid w:val="00B94B99"/>
    <w:rsid w:val="00B94DD6"/>
    <w:rsid w:val="00B9522D"/>
    <w:rsid w:val="00B959BF"/>
    <w:rsid w:val="00B95D7A"/>
    <w:rsid w:val="00B95EDE"/>
    <w:rsid w:val="00B95F22"/>
    <w:rsid w:val="00B961AB"/>
    <w:rsid w:val="00B964A7"/>
    <w:rsid w:val="00B9712B"/>
    <w:rsid w:val="00B976AC"/>
    <w:rsid w:val="00BA0027"/>
    <w:rsid w:val="00BA0087"/>
    <w:rsid w:val="00BA02F6"/>
    <w:rsid w:val="00BA039F"/>
    <w:rsid w:val="00BA0494"/>
    <w:rsid w:val="00BA0547"/>
    <w:rsid w:val="00BA09B1"/>
    <w:rsid w:val="00BA09C1"/>
    <w:rsid w:val="00BA18CF"/>
    <w:rsid w:val="00BA2320"/>
    <w:rsid w:val="00BA2E83"/>
    <w:rsid w:val="00BA2F1D"/>
    <w:rsid w:val="00BA3155"/>
    <w:rsid w:val="00BA322D"/>
    <w:rsid w:val="00BA35F7"/>
    <w:rsid w:val="00BA37BA"/>
    <w:rsid w:val="00BA3894"/>
    <w:rsid w:val="00BA39DA"/>
    <w:rsid w:val="00BA39F9"/>
    <w:rsid w:val="00BA3D43"/>
    <w:rsid w:val="00BA5221"/>
    <w:rsid w:val="00BA59FD"/>
    <w:rsid w:val="00BA5B3F"/>
    <w:rsid w:val="00BA5ED0"/>
    <w:rsid w:val="00BA63FA"/>
    <w:rsid w:val="00BA6C43"/>
    <w:rsid w:val="00BA6DFE"/>
    <w:rsid w:val="00BA6FCE"/>
    <w:rsid w:val="00BA737C"/>
    <w:rsid w:val="00BA7BEF"/>
    <w:rsid w:val="00BB00B3"/>
    <w:rsid w:val="00BB02B3"/>
    <w:rsid w:val="00BB0BDD"/>
    <w:rsid w:val="00BB176C"/>
    <w:rsid w:val="00BB28BF"/>
    <w:rsid w:val="00BB293F"/>
    <w:rsid w:val="00BB2A73"/>
    <w:rsid w:val="00BB3563"/>
    <w:rsid w:val="00BB373E"/>
    <w:rsid w:val="00BB39FC"/>
    <w:rsid w:val="00BB3A45"/>
    <w:rsid w:val="00BB3B6A"/>
    <w:rsid w:val="00BB474E"/>
    <w:rsid w:val="00BB4ACC"/>
    <w:rsid w:val="00BB4CBE"/>
    <w:rsid w:val="00BB4EA8"/>
    <w:rsid w:val="00BB5301"/>
    <w:rsid w:val="00BB5DBE"/>
    <w:rsid w:val="00BB5E22"/>
    <w:rsid w:val="00BB64FE"/>
    <w:rsid w:val="00BB6ECF"/>
    <w:rsid w:val="00BB6F79"/>
    <w:rsid w:val="00BB703E"/>
    <w:rsid w:val="00BB732D"/>
    <w:rsid w:val="00BB7405"/>
    <w:rsid w:val="00BB740D"/>
    <w:rsid w:val="00BB74B6"/>
    <w:rsid w:val="00BB7571"/>
    <w:rsid w:val="00BB7763"/>
    <w:rsid w:val="00BB7CB7"/>
    <w:rsid w:val="00BC0321"/>
    <w:rsid w:val="00BC074A"/>
    <w:rsid w:val="00BC08F1"/>
    <w:rsid w:val="00BC0FDB"/>
    <w:rsid w:val="00BC11FD"/>
    <w:rsid w:val="00BC1597"/>
    <w:rsid w:val="00BC1D67"/>
    <w:rsid w:val="00BC1E74"/>
    <w:rsid w:val="00BC2339"/>
    <w:rsid w:val="00BC3631"/>
    <w:rsid w:val="00BC3A7C"/>
    <w:rsid w:val="00BC3F4F"/>
    <w:rsid w:val="00BC4699"/>
    <w:rsid w:val="00BC486D"/>
    <w:rsid w:val="00BC4CFC"/>
    <w:rsid w:val="00BC4EA5"/>
    <w:rsid w:val="00BC5615"/>
    <w:rsid w:val="00BC56B8"/>
    <w:rsid w:val="00BC591F"/>
    <w:rsid w:val="00BC5E94"/>
    <w:rsid w:val="00BC5F54"/>
    <w:rsid w:val="00BC6161"/>
    <w:rsid w:val="00BC61B5"/>
    <w:rsid w:val="00BC67C1"/>
    <w:rsid w:val="00BC67CE"/>
    <w:rsid w:val="00BC6821"/>
    <w:rsid w:val="00BC68D6"/>
    <w:rsid w:val="00BC7016"/>
    <w:rsid w:val="00BC7858"/>
    <w:rsid w:val="00BC7D6D"/>
    <w:rsid w:val="00BD0097"/>
    <w:rsid w:val="00BD019F"/>
    <w:rsid w:val="00BD039B"/>
    <w:rsid w:val="00BD089A"/>
    <w:rsid w:val="00BD16B9"/>
    <w:rsid w:val="00BD2041"/>
    <w:rsid w:val="00BD2108"/>
    <w:rsid w:val="00BD25B1"/>
    <w:rsid w:val="00BD2A51"/>
    <w:rsid w:val="00BD326B"/>
    <w:rsid w:val="00BD3982"/>
    <w:rsid w:val="00BD3D3D"/>
    <w:rsid w:val="00BD4479"/>
    <w:rsid w:val="00BD45C6"/>
    <w:rsid w:val="00BD4CB7"/>
    <w:rsid w:val="00BD5772"/>
    <w:rsid w:val="00BD5E10"/>
    <w:rsid w:val="00BD5F96"/>
    <w:rsid w:val="00BD63A8"/>
    <w:rsid w:val="00BD66EC"/>
    <w:rsid w:val="00BD68A3"/>
    <w:rsid w:val="00BD6938"/>
    <w:rsid w:val="00BD6CF3"/>
    <w:rsid w:val="00BD6E0F"/>
    <w:rsid w:val="00BD73A5"/>
    <w:rsid w:val="00BD78CF"/>
    <w:rsid w:val="00BD7AAB"/>
    <w:rsid w:val="00BD7F04"/>
    <w:rsid w:val="00BD7F72"/>
    <w:rsid w:val="00BD7F89"/>
    <w:rsid w:val="00BE0885"/>
    <w:rsid w:val="00BE0B37"/>
    <w:rsid w:val="00BE0ECA"/>
    <w:rsid w:val="00BE2180"/>
    <w:rsid w:val="00BE21F2"/>
    <w:rsid w:val="00BE2726"/>
    <w:rsid w:val="00BE28F9"/>
    <w:rsid w:val="00BE294A"/>
    <w:rsid w:val="00BE2C9F"/>
    <w:rsid w:val="00BE2F40"/>
    <w:rsid w:val="00BE3C77"/>
    <w:rsid w:val="00BE4275"/>
    <w:rsid w:val="00BE46F1"/>
    <w:rsid w:val="00BE496D"/>
    <w:rsid w:val="00BE4A3A"/>
    <w:rsid w:val="00BE4E7E"/>
    <w:rsid w:val="00BE5ED5"/>
    <w:rsid w:val="00BE5FF8"/>
    <w:rsid w:val="00BE6395"/>
    <w:rsid w:val="00BE6750"/>
    <w:rsid w:val="00BE6ACC"/>
    <w:rsid w:val="00BE7E02"/>
    <w:rsid w:val="00BF06AE"/>
    <w:rsid w:val="00BF0E48"/>
    <w:rsid w:val="00BF0F95"/>
    <w:rsid w:val="00BF1361"/>
    <w:rsid w:val="00BF2433"/>
    <w:rsid w:val="00BF26F0"/>
    <w:rsid w:val="00BF2E6E"/>
    <w:rsid w:val="00BF2F4B"/>
    <w:rsid w:val="00BF32F3"/>
    <w:rsid w:val="00BF3367"/>
    <w:rsid w:val="00BF3518"/>
    <w:rsid w:val="00BF3AC6"/>
    <w:rsid w:val="00BF43CB"/>
    <w:rsid w:val="00BF4A9C"/>
    <w:rsid w:val="00BF5029"/>
    <w:rsid w:val="00BF546E"/>
    <w:rsid w:val="00BF550B"/>
    <w:rsid w:val="00BF571C"/>
    <w:rsid w:val="00BF61BF"/>
    <w:rsid w:val="00BF61C9"/>
    <w:rsid w:val="00BF66A1"/>
    <w:rsid w:val="00BF6C94"/>
    <w:rsid w:val="00BF6ECE"/>
    <w:rsid w:val="00BF7575"/>
    <w:rsid w:val="00BF7714"/>
    <w:rsid w:val="00C0001D"/>
    <w:rsid w:val="00C000CC"/>
    <w:rsid w:val="00C00424"/>
    <w:rsid w:val="00C00525"/>
    <w:rsid w:val="00C006E4"/>
    <w:rsid w:val="00C00763"/>
    <w:rsid w:val="00C00A17"/>
    <w:rsid w:val="00C00BB0"/>
    <w:rsid w:val="00C00CA7"/>
    <w:rsid w:val="00C0138A"/>
    <w:rsid w:val="00C0201B"/>
    <w:rsid w:val="00C0259F"/>
    <w:rsid w:val="00C02C32"/>
    <w:rsid w:val="00C032D0"/>
    <w:rsid w:val="00C034D7"/>
    <w:rsid w:val="00C035F4"/>
    <w:rsid w:val="00C03E3E"/>
    <w:rsid w:val="00C042E5"/>
    <w:rsid w:val="00C04D43"/>
    <w:rsid w:val="00C05455"/>
    <w:rsid w:val="00C0556A"/>
    <w:rsid w:val="00C0589A"/>
    <w:rsid w:val="00C059C1"/>
    <w:rsid w:val="00C05A12"/>
    <w:rsid w:val="00C05D83"/>
    <w:rsid w:val="00C05EE6"/>
    <w:rsid w:val="00C06619"/>
    <w:rsid w:val="00C068D6"/>
    <w:rsid w:val="00C06A50"/>
    <w:rsid w:val="00C06E2A"/>
    <w:rsid w:val="00C0738E"/>
    <w:rsid w:val="00C0772B"/>
    <w:rsid w:val="00C07932"/>
    <w:rsid w:val="00C07AA5"/>
    <w:rsid w:val="00C07CCC"/>
    <w:rsid w:val="00C11574"/>
    <w:rsid w:val="00C1179F"/>
    <w:rsid w:val="00C11DB6"/>
    <w:rsid w:val="00C120F4"/>
    <w:rsid w:val="00C12101"/>
    <w:rsid w:val="00C12550"/>
    <w:rsid w:val="00C126F8"/>
    <w:rsid w:val="00C127B9"/>
    <w:rsid w:val="00C128FA"/>
    <w:rsid w:val="00C12C14"/>
    <w:rsid w:val="00C130E8"/>
    <w:rsid w:val="00C1357C"/>
    <w:rsid w:val="00C13930"/>
    <w:rsid w:val="00C13EBB"/>
    <w:rsid w:val="00C143D9"/>
    <w:rsid w:val="00C1490B"/>
    <w:rsid w:val="00C14C82"/>
    <w:rsid w:val="00C14E91"/>
    <w:rsid w:val="00C15180"/>
    <w:rsid w:val="00C15724"/>
    <w:rsid w:val="00C158BD"/>
    <w:rsid w:val="00C159D4"/>
    <w:rsid w:val="00C15F04"/>
    <w:rsid w:val="00C15FC5"/>
    <w:rsid w:val="00C16B26"/>
    <w:rsid w:val="00C16D26"/>
    <w:rsid w:val="00C173CD"/>
    <w:rsid w:val="00C17459"/>
    <w:rsid w:val="00C1782B"/>
    <w:rsid w:val="00C179B3"/>
    <w:rsid w:val="00C179B5"/>
    <w:rsid w:val="00C17E3F"/>
    <w:rsid w:val="00C200AA"/>
    <w:rsid w:val="00C20F68"/>
    <w:rsid w:val="00C211F9"/>
    <w:rsid w:val="00C2121D"/>
    <w:rsid w:val="00C2139A"/>
    <w:rsid w:val="00C21668"/>
    <w:rsid w:val="00C2179A"/>
    <w:rsid w:val="00C225C9"/>
    <w:rsid w:val="00C228A7"/>
    <w:rsid w:val="00C22A39"/>
    <w:rsid w:val="00C22BFF"/>
    <w:rsid w:val="00C22CED"/>
    <w:rsid w:val="00C22D3A"/>
    <w:rsid w:val="00C234C2"/>
    <w:rsid w:val="00C237ED"/>
    <w:rsid w:val="00C238C4"/>
    <w:rsid w:val="00C23C2B"/>
    <w:rsid w:val="00C241C2"/>
    <w:rsid w:val="00C243AF"/>
    <w:rsid w:val="00C24632"/>
    <w:rsid w:val="00C249ED"/>
    <w:rsid w:val="00C2522A"/>
    <w:rsid w:val="00C25261"/>
    <w:rsid w:val="00C252A5"/>
    <w:rsid w:val="00C25418"/>
    <w:rsid w:val="00C25CE0"/>
    <w:rsid w:val="00C25D9C"/>
    <w:rsid w:val="00C2620F"/>
    <w:rsid w:val="00C26D2F"/>
    <w:rsid w:val="00C27194"/>
    <w:rsid w:val="00C273B1"/>
    <w:rsid w:val="00C2778B"/>
    <w:rsid w:val="00C27F51"/>
    <w:rsid w:val="00C3040C"/>
    <w:rsid w:val="00C3048F"/>
    <w:rsid w:val="00C31026"/>
    <w:rsid w:val="00C31591"/>
    <w:rsid w:val="00C31649"/>
    <w:rsid w:val="00C3225D"/>
    <w:rsid w:val="00C33F37"/>
    <w:rsid w:val="00C34185"/>
    <w:rsid w:val="00C3434C"/>
    <w:rsid w:val="00C346FA"/>
    <w:rsid w:val="00C3485F"/>
    <w:rsid w:val="00C34D4B"/>
    <w:rsid w:val="00C35283"/>
    <w:rsid w:val="00C35412"/>
    <w:rsid w:val="00C356A4"/>
    <w:rsid w:val="00C35D29"/>
    <w:rsid w:val="00C376A7"/>
    <w:rsid w:val="00C376E6"/>
    <w:rsid w:val="00C37EAA"/>
    <w:rsid w:val="00C40385"/>
    <w:rsid w:val="00C40F3C"/>
    <w:rsid w:val="00C41768"/>
    <w:rsid w:val="00C41B11"/>
    <w:rsid w:val="00C41F8C"/>
    <w:rsid w:val="00C421F4"/>
    <w:rsid w:val="00C42226"/>
    <w:rsid w:val="00C42A7A"/>
    <w:rsid w:val="00C43249"/>
    <w:rsid w:val="00C43314"/>
    <w:rsid w:val="00C4346D"/>
    <w:rsid w:val="00C43899"/>
    <w:rsid w:val="00C43E65"/>
    <w:rsid w:val="00C4425D"/>
    <w:rsid w:val="00C44458"/>
    <w:rsid w:val="00C4454D"/>
    <w:rsid w:val="00C44A2A"/>
    <w:rsid w:val="00C451F9"/>
    <w:rsid w:val="00C45970"/>
    <w:rsid w:val="00C45CC1"/>
    <w:rsid w:val="00C45E55"/>
    <w:rsid w:val="00C46322"/>
    <w:rsid w:val="00C466AA"/>
    <w:rsid w:val="00C46936"/>
    <w:rsid w:val="00C469D8"/>
    <w:rsid w:val="00C47499"/>
    <w:rsid w:val="00C475AA"/>
    <w:rsid w:val="00C47755"/>
    <w:rsid w:val="00C50246"/>
    <w:rsid w:val="00C507E6"/>
    <w:rsid w:val="00C508DE"/>
    <w:rsid w:val="00C509EA"/>
    <w:rsid w:val="00C50BC6"/>
    <w:rsid w:val="00C50C2A"/>
    <w:rsid w:val="00C50DC4"/>
    <w:rsid w:val="00C5119E"/>
    <w:rsid w:val="00C52748"/>
    <w:rsid w:val="00C527C7"/>
    <w:rsid w:val="00C52D1B"/>
    <w:rsid w:val="00C5320F"/>
    <w:rsid w:val="00C53284"/>
    <w:rsid w:val="00C53512"/>
    <w:rsid w:val="00C53964"/>
    <w:rsid w:val="00C53C88"/>
    <w:rsid w:val="00C53C98"/>
    <w:rsid w:val="00C53D9F"/>
    <w:rsid w:val="00C5409B"/>
    <w:rsid w:val="00C543E0"/>
    <w:rsid w:val="00C55030"/>
    <w:rsid w:val="00C551A2"/>
    <w:rsid w:val="00C55342"/>
    <w:rsid w:val="00C553C5"/>
    <w:rsid w:val="00C557AC"/>
    <w:rsid w:val="00C55A34"/>
    <w:rsid w:val="00C560D2"/>
    <w:rsid w:val="00C56734"/>
    <w:rsid w:val="00C56E04"/>
    <w:rsid w:val="00C56F6E"/>
    <w:rsid w:val="00C56FCF"/>
    <w:rsid w:val="00C57AF6"/>
    <w:rsid w:val="00C57B6C"/>
    <w:rsid w:val="00C57EA9"/>
    <w:rsid w:val="00C57F8C"/>
    <w:rsid w:val="00C60386"/>
    <w:rsid w:val="00C603E4"/>
    <w:rsid w:val="00C607F9"/>
    <w:rsid w:val="00C61395"/>
    <w:rsid w:val="00C61470"/>
    <w:rsid w:val="00C6175A"/>
    <w:rsid w:val="00C61A59"/>
    <w:rsid w:val="00C61BF1"/>
    <w:rsid w:val="00C61D0D"/>
    <w:rsid w:val="00C61D92"/>
    <w:rsid w:val="00C6224A"/>
    <w:rsid w:val="00C62711"/>
    <w:rsid w:val="00C628A6"/>
    <w:rsid w:val="00C62921"/>
    <w:rsid w:val="00C62F25"/>
    <w:rsid w:val="00C6366E"/>
    <w:rsid w:val="00C63EEE"/>
    <w:rsid w:val="00C64344"/>
    <w:rsid w:val="00C64C73"/>
    <w:rsid w:val="00C65108"/>
    <w:rsid w:val="00C653CC"/>
    <w:rsid w:val="00C65576"/>
    <w:rsid w:val="00C658B8"/>
    <w:rsid w:val="00C65B38"/>
    <w:rsid w:val="00C66165"/>
    <w:rsid w:val="00C664A8"/>
    <w:rsid w:val="00C667F1"/>
    <w:rsid w:val="00C66896"/>
    <w:rsid w:val="00C6698A"/>
    <w:rsid w:val="00C66AF4"/>
    <w:rsid w:val="00C66BC4"/>
    <w:rsid w:val="00C6737A"/>
    <w:rsid w:val="00C67432"/>
    <w:rsid w:val="00C678A3"/>
    <w:rsid w:val="00C7057F"/>
    <w:rsid w:val="00C7060A"/>
    <w:rsid w:val="00C7151A"/>
    <w:rsid w:val="00C717E3"/>
    <w:rsid w:val="00C71C47"/>
    <w:rsid w:val="00C71C8D"/>
    <w:rsid w:val="00C71F60"/>
    <w:rsid w:val="00C72241"/>
    <w:rsid w:val="00C723C9"/>
    <w:rsid w:val="00C727E9"/>
    <w:rsid w:val="00C731E1"/>
    <w:rsid w:val="00C73248"/>
    <w:rsid w:val="00C74582"/>
    <w:rsid w:val="00C74BEC"/>
    <w:rsid w:val="00C74E8A"/>
    <w:rsid w:val="00C750C8"/>
    <w:rsid w:val="00C7560F"/>
    <w:rsid w:val="00C75810"/>
    <w:rsid w:val="00C75BF8"/>
    <w:rsid w:val="00C75D40"/>
    <w:rsid w:val="00C80284"/>
    <w:rsid w:val="00C80A0E"/>
    <w:rsid w:val="00C81156"/>
    <w:rsid w:val="00C81456"/>
    <w:rsid w:val="00C814E5"/>
    <w:rsid w:val="00C81A01"/>
    <w:rsid w:val="00C8213F"/>
    <w:rsid w:val="00C82735"/>
    <w:rsid w:val="00C82976"/>
    <w:rsid w:val="00C82D5C"/>
    <w:rsid w:val="00C8303F"/>
    <w:rsid w:val="00C8325E"/>
    <w:rsid w:val="00C84813"/>
    <w:rsid w:val="00C84B68"/>
    <w:rsid w:val="00C85082"/>
    <w:rsid w:val="00C85110"/>
    <w:rsid w:val="00C85154"/>
    <w:rsid w:val="00C8534A"/>
    <w:rsid w:val="00C8558D"/>
    <w:rsid w:val="00C85688"/>
    <w:rsid w:val="00C857DE"/>
    <w:rsid w:val="00C85A70"/>
    <w:rsid w:val="00C85BAC"/>
    <w:rsid w:val="00C861F3"/>
    <w:rsid w:val="00C86325"/>
    <w:rsid w:val="00C86605"/>
    <w:rsid w:val="00C868F9"/>
    <w:rsid w:val="00C876DD"/>
    <w:rsid w:val="00C8797A"/>
    <w:rsid w:val="00C87F3D"/>
    <w:rsid w:val="00C900B8"/>
    <w:rsid w:val="00C90197"/>
    <w:rsid w:val="00C903D9"/>
    <w:rsid w:val="00C90545"/>
    <w:rsid w:val="00C90831"/>
    <w:rsid w:val="00C90878"/>
    <w:rsid w:val="00C90A3A"/>
    <w:rsid w:val="00C90C71"/>
    <w:rsid w:val="00C91317"/>
    <w:rsid w:val="00C91594"/>
    <w:rsid w:val="00C919B0"/>
    <w:rsid w:val="00C91D38"/>
    <w:rsid w:val="00C91F49"/>
    <w:rsid w:val="00C91FD1"/>
    <w:rsid w:val="00C92034"/>
    <w:rsid w:val="00C92E21"/>
    <w:rsid w:val="00C9311C"/>
    <w:rsid w:val="00C931CF"/>
    <w:rsid w:val="00C931DC"/>
    <w:rsid w:val="00C938CF"/>
    <w:rsid w:val="00C93F0A"/>
    <w:rsid w:val="00C94053"/>
    <w:rsid w:val="00C94230"/>
    <w:rsid w:val="00C94850"/>
    <w:rsid w:val="00C948EE"/>
    <w:rsid w:val="00C94F62"/>
    <w:rsid w:val="00C9526D"/>
    <w:rsid w:val="00C952AC"/>
    <w:rsid w:val="00C95502"/>
    <w:rsid w:val="00C958F4"/>
    <w:rsid w:val="00C95DDE"/>
    <w:rsid w:val="00C95FE0"/>
    <w:rsid w:val="00C96008"/>
    <w:rsid w:val="00C9624D"/>
    <w:rsid w:val="00C96378"/>
    <w:rsid w:val="00C969DA"/>
    <w:rsid w:val="00C96CB7"/>
    <w:rsid w:val="00C96E83"/>
    <w:rsid w:val="00C974C6"/>
    <w:rsid w:val="00CA037E"/>
    <w:rsid w:val="00CA057D"/>
    <w:rsid w:val="00CA0759"/>
    <w:rsid w:val="00CA07F5"/>
    <w:rsid w:val="00CA0970"/>
    <w:rsid w:val="00CA0ABB"/>
    <w:rsid w:val="00CA108F"/>
    <w:rsid w:val="00CA1181"/>
    <w:rsid w:val="00CA12C5"/>
    <w:rsid w:val="00CA1600"/>
    <w:rsid w:val="00CA2C77"/>
    <w:rsid w:val="00CA34E2"/>
    <w:rsid w:val="00CA352C"/>
    <w:rsid w:val="00CA359B"/>
    <w:rsid w:val="00CA444F"/>
    <w:rsid w:val="00CA48C5"/>
    <w:rsid w:val="00CA494C"/>
    <w:rsid w:val="00CA4A53"/>
    <w:rsid w:val="00CA4EF0"/>
    <w:rsid w:val="00CA5245"/>
    <w:rsid w:val="00CA564C"/>
    <w:rsid w:val="00CA5AE9"/>
    <w:rsid w:val="00CA6234"/>
    <w:rsid w:val="00CA6B85"/>
    <w:rsid w:val="00CA71F4"/>
    <w:rsid w:val="00CA7692"/>
    <w:rsid w:val="00CA79C1"/>
    <w:rsid w:val="00CA7AA2"/>
    <w:rsid w:val="00CA7B09"/>
    <w:rsid w:val="00CB0217"/>
    <w:rsid w:val="00CB10A1"/>
    <w:rsid w:val="00CB117F"/>
    <w:rsid w:val="00CB125D"/>
    <w:rsid w:val="00CB12A5"/>
    <w:rsid w:val="00CB1646"/>
    <w:rsid w:val="00CB1972"/>
    <w:rsid w:val="00CB1BF9"/>
    <w:rsid w:val="00CB1CAC"/>
    <w:rsid w:val="00CB22CE"/>
    <w:rsid w:val="00CB243B"/>
    <w:rsid w:val="00CB255F"/>
    <w:rsid w:val="00CB2AE3"/>
    <w:rsid w:val="00CB2C5F"/>
    <w:rsid w:val="00CB2F2A"/>
    <w:rsid w:val="00CB392C"/>
    <w:rsid w:val="00CB40F7"/>
    <w:rsid w:val="00CB4120"/>
    <w:rsid w:val="00CB4663"/>
    <w:rsid w:val="00CB4699"/>
    <w:rsid w:val="00CB46A1"/>
    <w:rsid w:val="00CB54BC"/>
    <w:rsid w:val="00CB5833"/>
    <w:rsid w:val="00CB59C6"/>
    <w:rsid w:val="00CB5A34"/>
    <w:rsid w:val="00CB5A70"/>
    <w:rsid w:val="00CB5B1A"/>
    <w:rsid w:val="00CB61DF"/>
    <w:rsid w:val="00CB6712"/>
    <w:rsid w:val="00CB698A"/>
    <w:rsid w:val="00CB6B22"/>
    <w:rsid w:val="00CB6B5F"/>
    <w:rsid w:val="00CB6BAE"/>
    <w:rsid w:val="00CB6D1B"/>
    <w:rsid w:val="00CB6D5A"/>
    <w:rsid w:val="00CB6E6A"/>
    <w:rsid w:val="00CB70C9"/>
    <w:rsid w:val="00CB71D9"/>
    <w:rsid w:val="00CB7C17"/>
    <w:rsid w:val="00CB7E07"/>
    <w:rsid w:val="00CB7F5F"/>
    <w:rsid w:val="00CC0450"/>
    <w:rsid w:val="00CC12E2"/>
    <w:rsid w:val="00CC162B"/>
    <w:rsid w:val="00CC1B39"/>
    <w:rsid w:val="00CC1BFA"/>
    <w:rsid w:val="00CC1ED3"/>
    <w:rsid w:val="00CC2AC1"/>
    <w:rsid w:val="00CC2E9F"/>
    <w:rsid w:val="00CC35EA"/>
    <w:rsid w:val="00CC3848"/>
    <w:rsid w:val="00CC46AF"/>
    <w:rsid w:val="00CC4870"/>
    <w:rsid w:val="00CC48C8"/>
    <w:rsid w:val="00CC4A90"/>
    <w:rsid w:val="00CC4B2A"/>
    <w:rsid w:val="00CC4C93"/>
    <w:rsid w:val="00CC5864"/>
    <w:rsid w:val="00CC5CAE"/>
    <w:rsid w:val="00CC5D13"/>
    <w:rsid w:val="00CC692E"/>
    <w:rsid w:val="00CC6D5E"/>
    <w:rsid w:val="00CD0200"/>
    <w:rsid w:val="00CD0630"/>
    <w:rsid w:val="00CD073F"/>
    <w:rsid w:val="00CD0A4D"/>
    <w:rsid w:val="00CD0B17"/>
    <w:rsid w:val="00CD0B36"/>
    <w:rsid w:val="00CD1169"/>
    <w:rsid w:val="00CD1D6B"/>
    <w:rsid w:val="00CD1FC4"/>
    <w:rsid w:val="00CD35B1"/>
    <w:rsid w:val="00CD362C"/>
    <w:rsid w:val="00CD3F77"/>
    <w:rsid w:val="00CD43AE"/>
    <w:rsid w:val="00CD45A2"/>
    <w:rsid w:val="00CD49B5"/>
    <w:rsid w:val="00CD4F18"/>
    <w:rsid w:val="00CD5463"/>
    <w:rsid w:val="00CD5A4E"/>
    <w:rsid w:val="00CD5BBE"/>
    <w:rsid w:val="00CD6477"/>
    <w:rsid w:val="00CD6ADC"/>
    <w:rsid w:val="00CD6F13"/>
    <w:rsid w:val="00CD70BB"/>
    <w:rsid w:val="00CD7193"/>
    <w:rsid w:val="00CD71CE"/>
    <w:rsid w:val="00CD7A6C"/>
    <w:rsid w:val="00CD7C2A"/>
    <w:rsid w:val="00CE02D6"/>
    <w:rsid w:val="00CE204D"/>
    <w:rsid w:val="00CE222B"/>
    <w:rsid w:val="00CE2276"/>
    <w:rsid w:val="00CE2356"/>
    <w:rsid w:val="00CE28AC"/>
    <w:rsid w:val="00CE38C8"/>
    <w:rsid w:val="00CE4178"/>
    <w:rsid w:val="00CE46A1"/>
    <w:rsid w:val="00CE5075"/>
    <w:rsid w:val="00CE524F"/>
    <w:rsid w:val="00CE58CC"/>
    <w:rsid w:val="00CE5BDF"/>
    <w:rsid w:val="00CE5C65"/>
    <w:rsid w:val="00CE616F"/>
    <w:rsid w:val="00CE6274"/>
    <w:rsid w:val="00CE66D0"/>
    <w:rsid w:val="00CE68EA"/>
    <w:rsid w:val="00CE6AC6"/>
    <w:rsid w:val="00CE6FFB"/>
    <w:rsid w:val="00CE7168"/>
    <w:rsid w:val="00CE71B2"/>
    <w:rsid w:val="00CE74CD"/>
    <w:rsid w:val="00CE77B6"/>
    <w:rsid w:val="00CE7CBB"/>
    <w:rsid w:val="00CE7D5D"/>
    <w:rsid w:val="00CF04CF"/>
    <w:rsid w:val="00CF0BB6"/>
    <w:rsid w:val="00CF1009"/>
    <w:rsid w:val="00CF11A2"/>
    <w:rsid w:val="00CF173A"/>
    <w:rsid w:val="00CF1879"/>
    <w:rsid w:val="00CF18AB"/>
    <w:rsid w:val="00CF1A7F"/>
    <w:rsid w:val="00CF1B8F"/>
    <w:rsid w:val="00CF2377"/>
    <w:rsid w:val="00CF2531"/>
    <w:rsid w:val="00CF2B8D"/>
    <w:rsid w:val="00CF3A1B"/>
    <w:rsid w:val="00CF3C56"/>
    <w:rsid w:val="00CF456B"/>
    <w:rsid w:val="00CF4987"/>
    <w:rsid w:val="00CF499E"/>
    <w:rsid w:val="00CF4A06"/>
    <w:rsid w:val="00CF4BA8"/>
    <w:rsid w:val="00CF5A22"/>
    <w:rsid w:val="00CF6211"/>
    <w:rsid w:val="00CF6751"/>
    <w:rsid w:val="00CF69A5"/>
    <w:rsid w:val="00CF6FC1"/>
    <w:rsid w:val="00D0086C"/>
    <w:rsid w:val="00D0092D"/>
    <w:rsid w:val="00D00995"/>
    <w:rsid w:val="00D009BF"/>
    <w:rsid w:val="00D00FC7"/>
    <w:rsid w:val="00D016B3"/>
    <w:rsid w:val="00D018B3"/>
    <w:rsid w:val="00D0198C"/>
    <w:rsid w:val="00D0236A"/>
    <w:rsid w:val="00D02587"/>
    <w:rsid w:val="00D0262E"/>
    <w:rsid w:val="00D029CE"/>
    <w:rsid w:val="00D02D05"/>
    <w:rsid w:val="00D03569"/>
    <w:rsid w:val="00D03679"/>
    <w:rsid w:val="00D03AB8"/>
    <w:rsid w:val="00D03E7C"/>
    <w:rsid w:val="00D03E7D"/>
    <w:rsid w:val="00D03FD5"/>
    <w:rsid w:val="00D04389"/>
    <w:rsid w:val="00D0499F"/>
    <w:rsid w:val="00D04A82"/>
    <w:rsid w:val="00D04FA3"/>
    <w:rsid w:val="00D05B32"/>
    <w:rsid w:val="00D05C17"/>
    <w:rsid w:val="00D05D1A"/>
    <w:rsid w:val="00D05E3D"/>
    <w:rsid w:val="00D06139"/>
    <w:rsid w:val="00D0668F"/>
    <w:rsid w:val="00D066FE"/>
    <w:rsid w:val="00D0676F"/>
    <w:rsid w:val="00D06892"/>
    <w:rsid w:val="00D068B9"/>
    <w:rsid w:val="00D06EDB"/>
    <w:rsid w:val="00D06FEC"/>
    <w:rsid w:val="00D071F9"/>
    <w:rsid w:val="00D10657"/>
    <w:rsid w:val="00D110BD"/>
    <w:rsid w:val="00D112DB"/>
    <w:rsid w:val="00D11E31"/>
    <w:rsid w:val="00D11F1C"/>
    <w:rsid w:val="00D11F4A"/>
    <w:rsid w:val="00D12766"/>
    <w:rsid w:val="00D12C9E"/>
    <w:rsid w:val="00D12DC0"/>
    <w:rsid w:val="00D12FC6"/>
    <w:rsid w:val="00D131B7"/>
    <w:rsid w:val="00D13220"/>
    <w:rsid w:val="00D1346D"/>
    <w:rsid w:val="00D13675"/>
    <w:rsid w:val="00D13820"/>
    <w:rsid w:val="00D13FB1"/>
    <w:rsid w:val="00D140E9"/>
    <w:rsid w:val="00D141E1"/>
    <w:rsid w:val="00D14746"/>
    <w:rsid w:val="00D15314"/>
    <w:rsid w:val="00D15896"/>
    <w:rsid w:val="00D15B39"/>
    <w:rsid w:val="00D15B48"/>
    <w:rsid w:val="00D15C2A"/>
    <w:rsid w:val="00D161BA"/>
    <w:rsid w:val="00D16D03"/>
    <w:rsid w:val="00D16E8F"/>
    <w:rsid w:val="00D1728C"/>
    <w:rsid w:val="00D17309"/>
    <w:rsid w:val="00D1752B"/>
    <w:rsid w:val="00D1796E"/>
    <w:rsid w:val="00D17A8A"/>
    <w:rsid w:val="00D17AA8"/>
    <w:rsid w:val="00D17D6C"/>
    <w:rsid w:val="00D2004F"/>
    <w:rsid w:val="00D20304"/>
    <w:rsid w:val="00D20686"/>
    <w:rsid w:val="00D2072C"/>
    <w:rsid w:val="00D2083E"/>
    <w:rsid w:val="00D20F30"/>
    <w:rsid w:val="00D20F8F"/>
    <w:rsid w:val="00D2110B"/>
    <w:rsid w:val="00D2127C"/>
    <w:rsid w:val="00D2155B"/>
    <w:rsid w:val="00D2169D"/>
    <w:rsid w:val="00D219F3"/>
    <w:rsid w:val="00D21D6E"/>
    <w:rsid w:val="00D2217B"/>
    <w:rsid w:val="00D22426"/>
    <w:rsid w:val="00D228F9"/>
    <w:rsid w:val="00D22955"/>
    <w:rsid w:val="00D22A85"/>
    <w:rsid w:val="00D23A40"/>
    <w:rsid w:val="00D23D11"/>
    <w:rsid w:val="00D23D54"/>
    <w:rsid w:val="00D24034"/>
    <w:rsid w:val="00D2411A"/>
    <w:rsid w:val="00D244B6"/>
    <w:rsid w:val="00D24997"/>
    <w:rsid w:val="00D24F82"/>
    <w:rsid w:val="00D25326"/>
    <w:rsid w:val="00D25F50"/>
    <w:rsid w:val="00D26468"/>
    <w:rsid w:val="00D2660C"/>
    <w:rsid w:val="00D26624"/>
    <w:rsid w:val="00D26629"/>
    <w:rsid w:val="00D26690"/>
    <w:rsid w:val="00D2677C"/>
    <w:rsid w:val="00D26DA4"/>
    <w:rsid w:val="00D2754D"/>
    <w:rsid w:val="00D27B27"/>
    <w:rsid w:val="00D301AB"/>
    <w:rsid w:val="00D3094B"/>
    <w:rsid w:val="00D30D5B"/>
    <w:rsid w:val="00D31422"/>
    <w:rsid w:val="00D3172A"/>
    <w:rsid w:val="00D317A9"/>
    <w:rsid w:val="00D31902"/>
    <w:rsid w:val="00D31B75"/>
    <w:rsid w:val="00D31C63"/>
    <w:rsid w:val="00D330D8"/>
    <w:rsid w:val="00D336B8"/>
    <w:rsid w:val="00D33B1E"/>
    <w:rsid w:val="00D33BE9"/>
    <w:rsid w:val="00D33F93"/>
    <w:rsid w:val="00D3462D"/>
    <w:rsid w:val="00D34965"/>
    <w:rsid w:val="00D357FF"/>
    <w:rsid w:val="00D359F9"/>
    <w:rsid w:val="00D35BDA"/>
    <w:rsid w:val="00D35D52"/>
    <w:rsid w:val="00D35DBF"/>
    <w:rsid w:val="00D3627C"/>
    <w:rsid w:val="00D366EB"/>
    <w:rsid w:val="00D36809"/>
    <w:rsid w:val="00D36DD9"/>
    <w:rsid w:val="00D37030"/>
    <w:rsid w:val="00D37465"/>
    <w:rsid w:val="00D37547"/>
    <w:rsid w:val="00D377F6"/>
    <w:rsid w:val="00D37B63"/>
    <w:rsid w:val="00D4166E"/>
    <w:rsid w:val="00D417DA"/>
    <w:rsid w:val="00D424C7"/>
    <w:rsid w:val="00D42F7C"/>
    <w:rsid w:val="00D43B2A"/>
    <w:rsid w:val="00D43CF1"/>
    <w:rsid w:val="00D43D83"/>
    <w:rsid w:val="00D43FB8"/>
    <w:rsid w:val="00D44589"/>
    <w:rsid w:val="00D4494A"/>
    <w:rsid w:val="00D44C28"/>
    <w:rsid w:val="00D4505C"/>
    <w:rsid w:val="00D4539E"/>
    <w:rsid w:val="00D457BC"/>
    <w:rsid w:val="00D45FED"/>
    <w:rsid w:val="00D463EE"/>
    <w:rsid w:val="00D46475"/>
    <w:rsid w:val="00D46646"/>
    <w:rsid w:val="00D46C10"/>
    <w:rsid w:val="00D47423"/>
    <w:rsid w:val="00D47575"/>
    <w:rsid w:val="00D47DA4"/>
    <w:rsid w:val="00D501AD"/>
    <w:rsid w:val="00D50229"/>
    <w:rsid w:val="00D509DA"/>
    <w:rsid w:val="00D50A23"/>
    <w:rsid w:val="00D52114"/>
    <w:rsid w:val="00D52310"/>
    <w:rsid w:val="00D5243B"/>
    <w:rsid w:val="00D52444"/>
    <w:rsid w:val="00D52FD0"/>
    <w:rsid w:val="00D533EC"/>
    <w:rsid w:val="00D538C6"/>
    <w:rsid w:val="00D53C46"/>
    <w:rsid w:val="00D53F5A"/>
    <w:rsid w:val="00D5400D"/>
    <w:rsid w:val="00D547AC"/>
    <w:rsid w:val="00D54933"/>
    <w:rsid w:val="00D54BA1"/>
    <w:rsid w:val="00D54CD4"/>
    <w:rsid w:val="00D54FC7"/>
    <w:rsid w:val="00D560D4"/>
    <w:rsid w:val="00D5626D"/>
    <w:rsid w:val="00D5648F"/>
    <w:rsid w:val="00D567D9"/>
    <w:rsid w:val="00D56A95"/>
    <w:rsid w:val="00D57016"/>
    <w:rsid w:val="00D57808"/>
    <w:rsid w:val="00D57A93"/>
    <w:rsid w:val="00D6076E"/>
    <w:rsid w:val="00D60B20"/>
    <w:rsid w:val="00D60E86"/>
    <w:rsid w:val="00D60F77"/>
    <w:rsid w:val="00D623C8"/>
    <w:rsid w:val="00D6281C"/>
    <w:rsid w:val="00D62902"/>
    <w:rsid w:val="00D62FD9"/>
    <w:rsid w:val="00D63697"/>
    <w:rsid w:val="00D63741"/>
    <w:rsid w:val="00D63B99"/>
    <w:rsid w:val="00D63C2B"/>
    <w:rsid w:val="00D63E83"/>
    <w:rsid w:val="00D6407D"/>
    <w:rsid w:val="00D64281"/>
    <w:rsid w:val="00D6482D"/>
    <w:rsid w:val="00D64CA4"/>
    <w:rsid w:val="00D64CDC"/>
    <w:rsid w:val="00D65114"/>
    <w:rsid w:val="00D65587"/>
    <w:rsid w:val="00D65695"/>
    <w:rsid w:val="00D6599E"/>
    <w:rsid w:val="00D65A17"/>
    <w:rsid w:val="00D66DC2"/>
    <w:rsid w:val="00D66F93"/>
    <w:rsid w:val="00D67A97"/>
    <w:rsid w:val="00D67C41"/>
    <w:rsid w:val="00D70BBB"/>
    <w:rsid w:val="00D70F16"/>
    <w:rsid w:val="00D71123"/>
    <w:rsid w:val="00D712F7"/>
    <w:rsid w:val="00D713C5"/>
    <w:rsid w:val="00D71542"/>
    <w:rsid w:val="00D718FC"/>
    <w:rsid w:val="00D71B0D"/>
    <w:rsid w:val="00D71EE3"/>
    <w:rsid w:val="00D7218C"/>
    <w:rsid w:val="00D72617"/>
    <w:rsid w:val="00D7268F"/>
    <w:rsid w:val="00D72CA0"/>
    <w:rsid w:val="00D72F57"/>
    <w:rsid w:val="00D73792"/>
    <w:rsid w:val="00D73CEB"/>
    <w:rsid w:val="00D73F45"/>
    <w:rsid w:val="00D7414A"/>
    <w:rsid w:val="00D741C1"/>
    <w:rsid w:val="00D742F3"/>
    <w:rsid w:val="00D75495"/>
    <w:rsid w:val="00D755F5"/>
    <w:rsid w:val="00D75664"/>
    <w:rsid w:val="00D75A26"/>
    <w:rsid w:val="00D75A32"/>
    <w:rsid w:val="00D76157"/>
    <w:rsid w:val="00D76A44"/>
    <w:rsid w:val="00D76C65"/>
    <w:rsid w:val="00D76E52"/>
    <w:rsid w:val="00D76F4E"/>
    <w:rsid w:val="00D77378"/>
    <w:rsid w:val="00D77395"/>
    <w:rsid w:val="00D7747B"/>
    <w:rsid w:val="00D7757D"/>
    <w:rsid w:val="00D804FC"/>
    <w:rsid w:val="00D80813"/>
    <w:rsid w:val="00D80C83"/>
    <w:rsid w:val="00D815EF"/>
    <w:rsid w:val="00D81949"/>
    <w:rsid w:val="00D81C03"/>
    <w:rsid w:val="00D81F26"/>
    <w:rsid w:val="00D822E2"/>
    <w:rsid w:val="00D8322F"/>
    <w:rsid w:val="00D836E9"/>
    <w:rsid w:val="00D843F2"/>
    <w:rsid w:val="00D84DBA"/>
    <w:rsid w:val="00D850C9"/>
    <w:rsid w:val="00D8577C"/>
    <w:rsid w:val="00D86231"/>
    <w:rsid w:val="00D875B9"/>
    <w:rsid w:val="00D87621"/>
    <w:rsid w:val="00D87B29"/>
    <w:rsid w:val="00D87D9A"/>
    <w:rsid w:val="00D90027"/>
    <w:rsid w:val="00D902FA"/>
    <w:rsid w:val="00D9070E"/>
    <w:rsid w:val="00D912AB"/>
    <w:rsid w:val="00D91923"/>
    <w:rsid w:val="00D91B9E"/>
    <w:rsid w:val="00D92379"/>
    <w:rsid w:val="00D9299D"/>
    <w:rsid w:val="00D936D7"/>
    <w:rsid w:val="00D93753"/>
    <w:rsid w:val="00D93FC4"/>
    <w:rsid w:val="00D9425A"/>
    <w:rsid w:val="00D94DCA"/>
    <w:rsid w:val="00D95CA6"/>
    <w:rsid w:val="00D95CF9"/>
    <w:rsid w:val="00D95F42"/>
    <w:rsid w:val="00D96638"/>
    <w:rsid w:val="00D979DC"/>
    <w:rsid w:val="00D97D88"/>
    <w:rsid w:val="00DA0532"/>
    <w:rsid w:val="00DA0977"/>
    <w:rsid w:val="00DA0985"/>
    <w:rsid w:val="00DA0B6F"/>
    <w:rsid w:val="00DA0C93"/>
    <w:rsid w:val="00DA17D6"/>
    <w:rsid w:val="00DA1895"/>
    <w:rsid w:val="00DA1961"/>
    <w:rsid w:val="00DA1C53"/>
    <w:rsid w:val="00DA20A2"/>
    <w:rsid w:val="00DA253C"/>
    <w:rsid w:val="00DA2C80"/>
    <w:rsid w:val="00DA2C88"/>
    <w:rsid w:val="00DA2F34"/>
    <w:rsid w:val="00DA3167"/>
    <w:rsid w:val="00DA4150"/>
    <w:rsid w:val="00DA4460"/>
    <w:rsid w:val="00DA4DC3"/>
    <w:rsid w:val="00DA4E13"/>
    <w:rsid w:val="00DA52B3"/>
    <w:rsid w:val="00DA67AE"/>
    <w:rsid w:val="00DA6B23"/>
    <w:rsid w:val="00DA74CC"/>
    <w:rsid w:val="00DA778E"/>
    <w:rsid w:val="00DA77A5"/>
    <w:rsid w:val="00DA7D08"/>
    <w:rsid w:val="00DB03DE"/>
    <w:rsid w:val="00DB0532"/>
    <w:rsid w:val="00DB0D3A"/>
    <w:rsid w:val="00DB0E36"/>
    <w:rsid w:val="00DB12B0"/>
    <w:rsid w:val="00DB1CA6"/>
    <w:rsid w:val="00DB214D"/>
    <w:rsid w:val="00DB223B"/>
    <w:rsid w:val="00DB2A50"/>
    <w:rsid w:val="00DB333F"/>
    <w:rsid w:val="00DB3DBF"/>
    <w:rsid w:val="00DB484F"/>
    <w:rsid w:val="00DB4B1F"/>
    <w:rsid w:val="00DB4F52"/>
    <w:rsid w:val="00DB4FFB"/>
    <w:rsid w:val="00DB5310"/>
    <w:rsid w:val="00DB5945"/>
    <w:rsid w:val="00DB5978"/>
    <w:rsid w:val="00DB5A1B"/>
    <w:rsid w:val="00DB5C0E"/>
    <w:rsid w:val="00DB6DF6"/>
    <w:rsid w:val="00DB7219"/>
    <w:rsid w:val="00DC0118"/>
    <w:rsid w:val="00DC044F"/>
    <w:rsid w:val="00DC0461"/>
    <w:rsid w:val="00DC04F6"/>
    <w:rsid w:val="00DC0606"/>
    <w:rsid w:val="00DC066B"/>
    <w:rsid w:val="00DC0690"/>
    <w:rsid w:val="00DC0EB0"/>
    <w:rsid w:val="00DC1C59"/>
    <w:rsid w:val="00DC1D65"/>
    <w:rsid w:val="00DC24AE"/>
    <w:rsid w:val="00DC24FC"/>
    <w:rsid w:val="00DC2CA0"/>
    <w:rsid w:val="00DC2D2B"/>
    <w:rsid w:val="00DC306C"/>
    <w:rsid w:val="00DC35A7"/>
    <w:rsid w:val="00DC3C57"/>
    <w:rsid w:val="00DC3CBA"/>
    <w:rsid w:val="00DC404C"/>
    <w:rsid w:val="00DC44B2"/>
    <w:rsid w:val="00DC4E44"/>
    <w:rsid w:val="00DC4EB0"/>
    <w:rsid w:val="00DC5204"/>
    <w:rsid w:val="00DC5239"/>
    <w:rsid w:val="00DC5501"/>
    <w:rsid w:val="00DC5959"/>
    <w:rsid w:val="00DC59BC"/>
    <w:rsid w:val="00DC5DE4"/>
    <w:rsid w:val="00DC618E"/>
    <w:rsid w:val="00DC645D"/>
    <w:rsid w:val="00DC6641"/>
    <w:rsid w:val="00DC66E3"/>
    <w:rsid w:val="00DC67CB"/>
    <w:rsid w:val="00DC6AA9"/>
    <w:rsid w:val="00DC7154"/>
    <w:rsid w:val="00DC7CD0"/>
    <w:rsid w:val="00DC7DE6"/>
    <w:rsid w:val="00DC7E8A"/>
    <w:rsid w:val="00DC7F65"/>
    <w:rsid w:val="00DD00E5"/>
    <w:rsid w:val="00DD03EA"/>
    <w:rsid w:val="00DD0487"/>
    <w:rsid w:val="00DD0722"/>
    <w:rsid w:val="00DD0BA1"/>
    <w:rsid w:val="00DD0F78"/>
    <w:rsid w:val="00DD1D54"/>
    <w:rsid w:val="00DD20B2"/>
    <w:rsid w:val="00DD2216"/>
    <w:rsid w:val="00DD26BE"/>
    <w:rsid w:val="00DD273C"/>
    <w:rsid w:val="00DD3030"/>
    <w:rsid w:val="00DD304E"/>
    <w:rsid w:val="00DD39D5"/>
    <w:rsid w:val="00DD3E4F"/>
    <w:rsid w:val="00DD3F28"/>
    <w:rsid w:val="00DD4104"/>
    <w:rsid w:val="00DD4446"/>
    <w:rsid w:val="00DD44C6"/>
    <w:rsid w:val="00DD4537"/>
    <w:rsid w:val="00DD4E15"/>
    <w:rsid w:val="00DD507F"/>
    <w:rsid w:val="00DD5142"/>
    <w:rsid w:val="00DD5194"/>
    <w:rsid w:val="00DD53E1"/>
    <w:rsid w:val="00DD5763"/>
    <w:rsid w:val="00DD5DC0"/>
    <w:rsid w:val="00DD5F1F"/>
    <w:rsid w:val="00DD617B"/>
    <w:rsid w:val="00DD68AC"/>
    <w:rsid w:val="00DE031A"/>
    <w:rsid w:val="00DE0537"/>
    <w:rsid w:val="00DE0669"/>
    <w:rsid w:val="00DE0A1F"/>
    <w:rsid w:val="00DE1DB0"/>
    <w:rsid w:val="00DE2304"/>
    <w:rsid w:val="00DE2A9E"/>
    <w:rsid w:val="00DE3138"/>
    <w:rsid w:val="00DE37A3"/>
    <w:rsid w:val="00DE37BA"/>
    <w:rsid w:val="00DE37F8"/>
    <w:rsid w:val="00DE3803"/>
    <w:rsid w:val="00DE3AAF"/>
    <w:rsid w:val="00DE3E14"/>
    <w:rsid w:val="00DE4273"/>
    <w:rsid w:val="00DE4279"/>
    <w:rsid w:val="00DE47C2"/>
    <w:rsid w:val="00DE498E"/>
    <w:rsid w:val="00DE4FCB"/>
    <w:rsid w:val="00DE51E4"/>
    <w:rsid w:val="00DE530C"/>
    <w:rsid w:val="00DE5D07"/>
    <w:rsid w:val="00DE5FF8"/>
    <w:rsid w:val="00DE6083"/>
    <w:rsid w:val="00DE61F2"/>
    <w:rsid w:val="00DE6249"/>
    <w:rsid w:val="00DE64BB"/>
    <w:rsid w:val="00DE6DD8"/>
    <w:rsid w:val="00DE72A7"/>
    <w:rsid w:val="00DE74A7"/>
    <w:rsid w:val="00DE7832"/>
    <w:rsid w:val="00DE7BB4"/>
    <w:rsid w:val="00DF13F8"/>
    <w:rsid w:val="00DF18FC"/>
    <w:rsid w:val="00DF2586"/>
    <w:rsid w:val="00DF273C"/>
    <w:rsid w:val="00DF2BF0"/>
    <w:rsid w:val="00DF2D38"/>
    <w:rsid w:val="00DF369B"/>
    <w:rsid w:val="00DF3C37"/>
    <w:rsid w:val="00DF49EF"/>
    <w:rsid w:val="00DF5884"/>
    <w:rsid w:val="00DF5C17"/>
    <w:rsid w:val="00DF5D2B"/>
    <w:rsid w:val="00DF60EA"/>
    <w:rsid w:val="00DF6341"/>
    <w:rsid w:val="00DF6E81"/>
    <w:rsid w:val="00DF70C9"/>
    <w:rsid w:val="00DF7178"/>
    <w:rsid w:val="00E001DB"/>
    <w:rsid w:val="00E004E6"/>
    <w:rsid w:val="00E007BB"/>
    <w:rsid w:val="00E00B4A"/>
    <w:rsid w:val="00E00D7B"/>
    <w:rsid w:val="00E00E8E"/>
    <w:rsid w:val="00E00F09"/>
    <w:rsid w:val="00E01458"/>
    <w:rsid w:val="00E01596"/>
    <w:rsid w:val="00E018A1"/>
    <w:rsid w:val="00E01B30"/>
    <w:rsid w:val="00E02163"/>
    <w:rsid w:val="00E022DC"/>
    <w:rsid w:val="00E03D2D"/>
    <w:rsid w:val="00E0524F"/>
    <w:rsid w:val="00E05630"/>
    <w:rsid w:val="00E058A0"/>
    <w:rsid w:val="00E05EC5"/>
    <w:rsid w:val="00E062DE"/>
    <w:rsid w:val="00E06DBB"/>
    <w:rsid w:val="00E100A6"/>
    <w:rsid w:val="00E10149"/>
    <w:rsid w:val="00E1086D"/>
    <w:rsid w:val="00E10923"/>
    <w:rsid w:val="00E11340"/>
    <w:rsid w:val="00E118B5"/>
    <w:rsid w:val="00E11D66"/>
    <w:rsid w:val="00E122A1"/>
    <w:rsid w:val="00E13F81"/>
    <w:rsid w:val="00E14C27"/>
    <w:rsid w:val="00E155EB"/>
    <w:rsid w:val="00E1579D"/>
    <w:rsid w:val="00E158A2"/>
    <w:rsid w:val="00E158F4"/>
    <w:rsid w:val="00E15957"/>
    <w:rsid w:val="00E15B58"/>
    <w:rsid w:val="00E15FCA"/>
    <w:rsid w:val="00E16372"/>
    <w:rsid w:val="00E16559"/>
    <w:rsid w:val="00E16AD8"/>
    <w:rsid w:val="00E17015"/>
    <w:rsid w:val="00E1732B"/>
    <w:rsid w:val="00E175EF"/>
    <w:rsid w:val="00E17FFA"/>
    <w:rsid w:val="00E20E4D"/>
    <w:rsid w:val="00E20ED6"/>
    <w:rsid w:val="00E21358"/>
    <w:rsid w:val="00E21707"/>
    <w:rsid w:val="00E21CE5"/>
    <w:rsid w:val="00E21D04"/>
    <w:rsid w:val="00E21DBF"/>
    <w:rsid w:val="00E22307"/>
    <w:rsid w:val="00E2249B"/>
    <w:rsid w:val="00E22889"/>
    <w:rsid w:val="00E22A0D"/>
    <w:rsid w:val="00E230AF"/>
    <w:rsid w:val="00E231E1"/>
    <w:rsid w:val="00E23296"/>
    <w:rsid w:val="00E2336B"/>
    <w:rsid w:val="00E244F6"/>
    <w:rsid w:val="00E258DB"/>
    <w:rsid w:val="00E270BB"/>
    <w:rsid w:val="00E2716E"/>
    <w:rsid w:val="00E271B4"/>
    <w:rsid w:val="00E27550"/>
    <w:rsid w:val="00E2771E"/>
    <w:rsid w:val="00E27A25"/>
    <w:rsid w:val="00E30335"/>
    <w:rsid w:val="00E30BED"/>
    <w:rsid w:val="00E30EB8"/>
    <w:rsid w:val="00E311EF"/>
    <w:rsid w:val="00E32180"/>
    <w:rsid w:val="00E32449"/>
    <w:rsid w:val="00E32577"/>
    <w:rsid w:val="00E32653"/>
    <w:rsid w:val="00E3266F"/>
    <w:rsid w:val="00E32886"/>
    <w:rsid w:val="00E32B1E"/>
    <w:rsid w:val="00E32DA9"/>
    <w:rsid w:val="00E3304D"/>
    <w:rsid w:val="00E33802"/>
    <w:rsid w:val="00E3390F"/>
    <w:rsid w:val="00E33AE2"/>
    <w:rsid w:val="00E33C9F"/>
    <w:rsid w:val="00E33F72"/>
    <w:rsid w:val="00E3415E"/>
    <w:rsid w:val="00E343D0"/>
    <w:rsid w:val="00E34948"/>
    <w:rsid w:val="00E34A82"/>
    <w:rsid w:val="00E3553C"/>
    <w:rsid w:val="00E3559D"/>
    <w:rsid w:val="00E3662A"/>
    <w:rsid w:val="00E36AFE"/>
    <w:rsid w:val="00E36B0A"/>
    <w:rsid w:val="00E36E64"/>
    <w:rsid w:val="00E37473"/>
    <w:rsid w:val="00E37569"/>
    <w:rsid w:val="00E37CC0"/>
    <w:rsid w:val="00E40032"/>
    <w:rsid w:val="00E401B2"/>
    <w:rsid w:val="00E405B1"/>
    <w:rsid w:val="00E407DB"/>
    <w:rsid w:val="00E4153C"/>
    <w:rsid w:val="00E419FD"/>
    <w:rsid w:val="00E41E30"/>
    <w:rsid w:val="00E41EB2"/>
    <w:rsid w:val="00E422CE"/>
    <w:rsid w:val="00E42B05"/>
    <w:rsid w:val="00E42BD5"/>
    <w:rsid w:val="00E42E3B"/>
    <w:rsid w:val="00E42F73"/>
    <w:rsid w:val="00E433D0"/>
    <w:rsid w:val="00E43781"/>
    <w:rsid w:val="00E439B0"/>
    <w:rsid w:val="00E43CB3"/>
    <w:rsid w:val="00E43D70"/>
    <w:rsid w:val="00E44235"/>
    <w:rsid w:val="00E443E7"/>
    <w:rsid w:val="00E44725"/>
    <w:rsid w:val="00E44979"/>
    <w:rsid w:val="00E44996"/>
    <w:rsid w:val="00E454F0"/>
    <w:rsid w:val="00E455BC"/>
    <w:rsid w:val="00E45A06"/>
    <w:rsid w:val="00E45AD4"/>
    <w:rsid w:val="00E45F46"/>
    <w:rsid w:val="00E45FEA"/>
    <w:rsid w:val="00E4603E"/>
    <w:rsid w:val="00E46668"/>
    <w:rsid w:val="00E466F3"/>
    <w:rsid w:val="00E47977"/>
    <w:rsid w:val="00E47B2C"/>
    <w:rsid w:val="00E47E2A"/>
    <w:rsid w:val="00E47ECA"/>
    <w:rsid w:val="00E47F01"/>
    <w:rsid w:val="00E50164"/>
    <w:rsid w:val="00E506CE"/>
    <w:rsid w:val="00E510C8"/>
    <w:rsid w:val="00E5118A"/>
    <w:rsid w:val="00E511FC"/>
    <w:rsid w:val="00E51560"/>
    <w:rsid w:val="00E51821"/>
    <w:rsid w:val="00E5184B"/>
    <w:rsid w:val="00E518CA"/>
    <w:rsid w:val="00E521D2"/>
    <w:rsid w:val="00E52B80"/>
    <w:rsid w:val="00E52D62"/>
    <w:rsid w:val="00E53031"/>
    <w:rsid w:val="00E533AA"/>
    <w:rsid w:val="00E5347D"/>
    <w:rsid w:val="00E53C1B"/>
    <w:rsid w:val="00E53FC8"/>
    <w:rsid w:val="00E54347"/>
    <w:rsid w:val="00E5468D"/>
    <w:rsid w:val="00E547A7"/>
    <w:rsid w:val="00E55424"/>
    <w:rsid w:val="00E55573"/>
    <w:rsid w:val="00E55630"/>
    <w:rsid w:val="00E55915"/>
    <w:rsid w:val="00E55B4A"/>
    <w:rsid w:val="00E55BB5"/>
    <w:rsid w:val="00E55DC0"/>
    <w:rsid w:val="00E5673F"/>
    <w:rsid w:val="00E567C3"/>
    <w:rsid w:val="00E5751C"/>
    <w:rsid w:val="00E579DB"/>
    <w:rsid w:val="00E60904"/>
    <w:rsid w:val="00E60E38"/>
    <w:rsid w:val="00E60F82"/>
    <w:rsid w:val="00E6108B"/>
    <w:rsid w:val="00E611DF"/>
    <w:rsid w:val="00E612AD"/>
    <w:rsid w:val="00E61469"/>
    <w:rsid w:val="00E61AB2"/>
    <w:rsid w:val="00E622EE"/>
    <w:rsid w:val="00E632A3"/>
    <w:rsid w:val="00E632E9"/>
    <w:rsid w:val="00E639FE"/>
    <w:rsid w:val="00E63AE0"/>
    <w:rsid w:val="00E63FA3"/>
    <w:rsid w:val="00E64545"/>
    <w:rsid w:val="00E64B91"/>
    <w:rsid w:val="00E64C6E"/>
    <w:rsid w:val="00E64F04"/>
    <w:rsid w:val="00E657DD"/>
    <w:rsid w:val="00E65A19"/>
    <w:rsid w:val="00E65E79"/>
    <w:rsid w:val="00E662BC"/>
    <w:rsid w:val="00E66BA2"/>
    <w:rsid w:val="00E67416"/>
    <w:rsid w:val="00E67711"/>
    <w:rsid w:val="00E718B6"/>
    <w:rsid w:val="00E718BA"/>
    <w:rsid w:val="00E71B0F"/>
    <w:rsid w:val="00E72361"/>
    <w:rsid w:val="00E723BA"/>
    <w:rsid w:val="00E724C3"/>
    <w:rsid w:val="00E724C9"/>
    <w:rsid w:val="00E728FD"/>
    <w:rsid w:val="00E7329C"/>
    <w:rsid w:val="00E73581"/>
    <w:rsid w:val="00E73B74"/>
    <w:rsid w:val="00E74FEF"/>
    <w:rsid w:val="00E750FE"/>
    <w:rsid w:val="00E75485"/>
    <w:rsid w:val="00E75CBC"/>
    <w:rsid w:val="00E75CBD"/>
    <w:rsid w:val="00E7633F"/>
    <w:rsid w:val="00E767E3"/>
    <w:rsid w:val="00E7779C"/>
    <w:rsid w:val="00E77AF0"/>
    <w:rsid w:val="00E80221"/>
    <w:rsid w:val="00E80807"/>
    <w:rsid w:val="00E81B2B"/>
    <w:rsid w:val="00E81F26"/>
    <w:rsid w:val="00E81FB9"/>
    <w:rsid w:val="00E8202B"/>
    <w:rsid w:val="00E8247E"/>
    <w:rsid w:val="00E829CB"/>
    <w:rsid w:val="00E833F7"/>
    <w:rsid w:val="00E834D4"/>
    <w:rsid w:val="00E83573"/>
    <w:rsid w:val="00E83676"/>
    <w:rsid w:val="00E83BDF"/>
    <w:rsid w:val="00E849EF"/>
    <w:rsid w:val="00E84DF9"/>
    <w:rsid w:val="00E851C7"/>
    <w:rsid w:val="00E85625"/>
    <w:rsid w:val="00E856B8"/>
    <w:rsid w:val="00E8591F"/>
    <w:rsid w:val="00E85BCD"/>
    <w:rsid w:val="00E86CC5"/>
    <w:rsid w:val="00E86FCC"/>
    <w:rsid w:val="00E87260"/>
    <w:rsid w:val="00E875D0"/>
    <w:rsid w:val="00E87A02"/>
    <w:rsid w:val="00E87A1D"/>
    <w:rsid w:val="00E87AD8"/>
    <w:rsid w:val="00E90008"/>
    <w:rsid w:val="00E904BE"/>
    <w:rsid w:val="00E9094A"/>
    <w:rsid w:val="00E90F23"/>
    <w:rsid w:val="00E910A6"/>
    <w:rsid w:val="00E9139F"/>
    <w:rsid w:val="00E91D35"/>
    <w:rsid w:val="00E9212D"/>
    <w:rsid w:val="00E921D7"/>
    <w:rsid w:val="00E92421"/>
    <w:rsid w:val="00E92579"/>
    <w:rsid w:val="00E926A5"/>
    <w:rsid w:val="00E92F01"/>
    <w:rsid w:val="00E93194"/>
    <w:rsid w:val="00E93746"/>
    <w:rsid w:val="00E937B6"/>
    <w:rsid w:val="00E939B6"/>
    <w:rsid w:val="00E95270"/>
    <w:rsid w:val="00E95747"/>
    <w:rsid w:val="00E95E82"/>
    <w:rsid w:val="00E96118"/>
    <w:rsid w:val="00E962CC"/>
    <w:rsid w:val="00E966CC"/>
    <w:rsid w:val="00E9670A"/>
    <w:rsid w:val="00E96C29"/>
    <w:rsid w:val="00E97151"/>
    <w:rsid w:val="00E975E9"/>
    <w:rsid w:val="00E97936"/>
    <w:rsid w:val="00E97D6A"/>
    <w:rsid w:val="00EA06CB"/>
    <w:rsid w:val="00EA0712"/>
    <w:rsid w:val="00EA09F5"/>
    <w:rsid w:val="00EA0DF8"/>
    <w:rsid w:val="00EA1674"/>
    <w:rsid w:val="00EA16A6"/>
    <w:rsid w:val="00EA16B2"/>
    <w:rsid w:val="00EA17C3"/>
    <w:rsid w:val="00EA2319"/>
    <w:rsid w:val="00EA2A8D"/>
    <w:rsid w:val="00EA2CAA"/>
    <w:rsid w:val="00EA2CEE"/>
    <w:rsid w:val="00EA2EAA"/>
    <w:rsid w:val="00EA2F0C"/>
    <w:rsid w:val="00EA2FC2"/>
    <w:rsid w:val="00EA3282"/>
    <w:rsid w:val="00EA36B2"/>
    <w:rsid w:val="00EA3864"/>
    <w:rsid w:val="00EA3C5F"/>
    <w:rsid w:val="00EA4432"/>
    <w:rsid w:val="00EA449B"/>
    <w:rsid w:val="00EA4745"/>
    <w:rsid w:val="00EA4950"/>
    <w:rsid w:val="00EA4A5B"/>
    <w:rsid w:val="00EA4BEF"/>
    <w:rsid w:val="00EA510F"/>
    <w:rsid w:val="00EA5365"/>
    <w:rsid w:val="00EA53EF"/>
    <w:rsid w:val="00EA5644"/>
    <w:rsid w:val="00EA5CB4"/>
    <w:rsid w:val="00EA5F9D"/>
    <w:rsid w:val="00EA630A"/>
    <w:rsid w:val="00EA6C8D"/>
    <w:rsid w:val="00EA71F9"/>
    <w:rsid w:val="00EA72BB"/>
    <w:rsid w:val="00EA7897"/>
    <w:rsid w:val="00EA7DC8"/>
    <w:rsid w:val="00EA7F1C"/>
    <w:rsid w:val="00EB02E2"/>
    <w:rsid w:val="00EB0479"/>
    <w:rsid w:val="00EB0789"/>
    <w:rsid w:val="00EB07C5"/>
    <w:rsid w:val="00EB0808"/>
    <w:rsid w:val="00EB0A4B"/>
    <w:rsid w:val="00EB0CB5"/>
    <w:rsid w:val="00EB0D02"/>
    <w:rsid w:val="00EB0D1C"/>
    <w:rsid w:val="00EB1098"/>
    <w:rsid w:val="00EB14A5"/>
    <w:rsid w:val="00EB15B6"/>
    <w:rsid w:val="00EB169C"/>
    <w:rsid w:val="00EB18DF"/>
    <w:rsid w:val="00EB2931"/>
    <w:rsid w:val="00EB323E"/>
    <w:rsid w:val="00EB3D06"/>
    <w:rsid w:val="00EB4644"/>
    <w:rsid w:val="00EB4916"/>
    <w:rsid w:val="00EB60AE"/>
    <w:rsid w:val="00EB63B1"/>
    <w:rsid w:val="00EB7195"/>
    <w:rsid w:val="00EB78EE"/>
    <w:rsid w:val="00EB7917"/>
    <w:rsid w:val="00EC00C9"/>
    <w:rsid w:val="00EC026D"/>
    <w:rsid w:val="00EC0397"/>
    <w:rsid w:val="00EC05A6"/>
    <w:rsid w:val="00EC09DC"/>
    <w:rsid w:val="00EC0DD9"/>
    <w:rsid w:val="00EC0F5D"/>
    <w:rsid w:val="00EC181E"/>
    <w:rsid w:val="00EC1D15"/>
    <w:rsid w:val="00EC1DE6"/>
    <w:rsid w:val="00EC1F0E"/>
    <w:rsid w:val="00EC213D"/>
    <w:rsid w:val="00EC2273"/>
    <w:rsid w:val="00EC2649"/>
    <w:rsid w:val="00EC2658"/>
    <w:rsid w:val="00EC27B5"/>
    <w:rsid w:val="00EC31ED"/>
    <w:rsid w:val="00EC3AF0"/>
    <w:rsid w:val="00EC4060"/>
    <w:rsid w:val="00EC42CA"/>
    <w:rsid w:val="00EC42E9"/>
    <w:rsid w:val="00EC4439"/>
    <w:rsid w:val="00EC445F"/>
    <w:rsid w:val="00EC5346"/>
    <w:rsid w:val="00EC542D"/>
    <w:rsid w:val="00EC57E8"/>
    <w:rsid w:val="00EC5836"/>
    <w:rsid w:val="00EC5F14"/>
    <w:rsid w:val="00EC64CC"/>
    <w:rsid w:val="00EC66E4"/>
    <w:rsid w:val="00EC688C"/>
    <w:rsid w:val="00EC6A5E"/>
    <w:rsid w:val="00EC75F6"/>
    <w:rsid w:val="00EC7769"/>
    <w:rsid w:val="00EC7D23"/>
    <w:rsid w:val="00ED02D1"/>
    <w:rsid w:val="00ED02F5"/>
    <w:rsid w:val="00ED079F"/>
    <w:rsid w:val="00ED094E"/>
    <w:rsid w:val="00ED1290"/>
    <w:rsid w:val="00ED12E3"/>
    <w:rsid w:val="00ED1AFC"/>
    <w:rsid w:val="00ED20D4"/>
    <w:rsid w:val="00ED27A7"/>
    <w:rsid w:val="00ED2C2E"/>
    <w:rsid w:val="00ED3150"/>
    <w:rsid w:val="00ED34B8"/>
    <w:rsid w:val="00ED34D8"/>
    <w:rsid w:val="00ED3642"/>
    <w:rsid w:val="00ED3AA2"/>
    <w:rsid w:val="00ED3F83"/>
    <w:rsid w:val="00ED4A8A"/>
    <w:rsid w:val="00ED4AA8"/>
    <w:rsid w:val="00ED4B04"/>
    <w:rsid w:val="00ED4EFB"/>
    <w:rsid w:val="00ED508B"/>
    <w:rsid w:val="00ED513D"/>
    <w:rsid w:val="00ED57EA"/>
    <w:rsid w:val="00ED58E3"/>
    <w:rsid w:val="00ED5BD4"/>
    <w:rsid w:val="00ED5BF2"/>
    <w:rsid w:val="00ED5C09"/>
    <w:rsid w:val="00ED670F"/>
    <w:rsid w:val="00ED67C7"/>
    <w:rsid w:val="00ED68B0"/>
    <w:rsid w:val="00ED6EDE"/>
    <w:rsid w:val="00ED7360"/>
    <w:rsid w:val="00ED7532"/>
    <w:rsid w:val="00EE03AB"/>
    <w:rsid w:val="00EE07D3"/>
    <w:rsid w:val="00EE0FBC"/>
    <w:rsid w:val="00EE11C8"/>
    <w:rsid w:val="00EE139B"/>
    <w:rsid w:val="00EE14C4"/>
    <w:rsid w:val="00EE16E2"/>
    <w:rsid w:val="00EE1996"/>
    <w:rsid w:val="00EE1A94"/>
    <w:rsid w:val="00EE1C01"/>
    <w:rsid w:val="00EE22AF"/>
    <w:rsid w:val="00EE298E"/>
    <w:rsid w:val="00EE2BBA"/>
    <w:rsid w:val="00EE2C1C"/>
    <w:rsid w:val="00EE32E9"/>
    <w:rsid w:val="00EE3C81"/>
    <w:rsid w:val="00EE3DFE"/>
    <w:rsid w:val="00EE440A"/>
    <w:rsid w:val="00EE451C"/>
    <w:rsid w:val="00EE51C4"/>
    <w:rsid w:val="00EE605C"/>
    <w:rsid w:val="00EE63E1"/>
    <w:rsid w:val="00EE70B3"/>
    <w:rsid w:val="00EE7AEC"/>
    <w:rsid w:val="00EE7F42"/>
    <w:rsid w:val="00EE7F84"/>
    <w:rsid w:val="00EF0171"/>
    <w:rsid w:val="00EF11A4"/>
    <w:rsid w:val="00EF163B"/>
    <w:rsid w:val="00EF1648"/>
    <w:rsid w:val="00EF1B25"/>
    <w:rsid w:val="00EF1DA0"/>
    <w:rsid w:val="00EF2477"/>
    <w:rsid w:val="00EF2586"/>
    <w:rsid w:val="00EF2E8A"/>
    <w:rsid w:val="00EF371B"/>
    <w:rsid w:val="00EF3762"/>
    <w:rsid w:val="00EF3C5B"/>
    <w:rsid w:val="00EF45E3"/>
    <w:rsid w:val="00EF4747"/>
    <w:rsid w:val="00EF490C"/>
    <w:rsid w:val="00EF4BF8"/>
    <w:rsid w:val="00EF50C8"/>
    <w:rsid w:val="00EF609A"/>
    <w:rsid w:val="00EF6888"/>
    <w:rsid w:val="00EF69FE"/>
    <w:rsid w:val="00EF6BC1"/>
    <w:rsid w:val="00EF70B9"/>
    <w:rsid w:val="00EF717E"/>
    <w:rsid w:val="00EF728A"/>
    <w:rsid w:val="00EF7772"/>
    <w:rsid w:val="00EF7DA5"/>
    <w:rsid w:val="00F00082"/>
    <w:rsid w:val="00F01254"/>
    <w:rsid w:val="00F0153B"/>
    <w:rsid w:val="00F015A2"/>
    <w:rsid w:val="00F01636"/>
    <w:rsid w:val="00F02253"/>
    <w:rsid w:val="00F023BA"/>
    <w:rsid w:val="00F028A5"/>
    <w:rsid w:val="00F02A97"/>
    <w:rsid w:val="00F03980"/>
    <w:rsid w:val="00F039C2"/>
    <w:rsid w:val="00F03A61"/>
    <w:rsid w:val="00F03C2E"/>
    <w:rsid w:val="00F04354"/>
    <w:rsid w:val="00F04A66"/>
    <w:rsid w:val="00F04B4B"/>
    <w:rsid w:val="00F04ECB"/>
    <w:rsid w:val="00F0516C"/>
    <w:rsid w:val="00F053CD"/>
    <w:rsid w:val="00F0574B"/>
    <w:rsid w:val="00F058F2"/>
    <w:rsid w:val="00F0615A"/>
    <w:rsid w:val="00F067A2"/>
    <w:rsid w:val="00F06BD1"/>
    <w:rsid w:val="00F07602"/>
    <w:rsid w:val="00F07B9E"/>
    <w:rsid w:val="00F1027C"/>
    <w:rsid w:val="00F10641"/>
    <w:rsid w:val="00F11112"/>
    <w:rsid w:val="00F1116F"/>
    <w:rsid w:val="00F11A75"/>
    <w:rsid w:val="00F1201A"/>
    <w:rsid w:val="00F12052"/>
    <w:rsid w:val="00F12179"/>
    <w:rsid w:val="00F121F4"/>
    <w:rsid w:val="00F1263A"/>
    <w:rsid w:val="00F12B00"/>
    <w:rsid w:val="00F12B4D"/>
    <w:rsid w:val="00F12B6F"/>
    <w:rsid w:val="00F12DDA"/>
    <w:rsid w:val="00F136BD"/>
    <w:rsid w:val="00F139C5"/>
    <w:rsid w:val="00F1426B"/>
    <w:rsid w:val="00F145DC"/>
    <w:rsid w:val="00F14BB1"/>
    <w:rsid w:val="00F1527F"/>
    <w:rsid w:val="00F15B77"/>
    <w:rsid w:val="00F16539"/>
    <w:rsid w:val="00F16EB9"/>
    <w:rsid w:val="00F1737E"/>
    <w:rsid w:val="00F17710"/>
    <w:rsid w:val="00F17B4C"/>
    <w:rsid w:val="00F205E7"/>
    <w:rsid w:val="00F20641"/>
    <w:rsid w:val="00F21006"/>
    <w:rsid w:val="00F21236"/>
    <w:rsid w:val="00F22F4B"/>
    <w:rsid w:val="00F2351F"/>
    <w:rsid w:val="00F23BB0"/>
    <w:rsid w:val="00F23C40"/>
    <w:rsid w:val="00F23D45"/>
    <w:rsid w:val="00F24023"/>
    <w:rsid w:val="00F246FC"/>
    <w:rsid w:val="00F24711"/>
    <w:rsid w:val="00F24837"/>
    <w:rsid w:val="00F24950"/>
    <w:rsid w:val="00F24B49"/>
    <w:rsid w:val="00F24FA0"/>
    <w:rsid w:val="00F2575F"/>
    <w:rsid w:val="00F25CA8"/>
    <w:rsid w:val="00F25DA8"/>
    <w:rsid w:val="00F26806"/>
    <w:rsid w:val="00F27264"/>
    <w:rsid w:val="00F27565"/>
    <w:rsid w:val="00F275D3"/>
    <w:rsid w:val="00F277BF"/>
    <w:rsid w:val="00F27955"/>
    <w:rsid w:val="00F304B2"/>
    <w:rsid w:val="00F30529"/>
    <w:rsid w:val="00F305F6"/>
    <w:rsid w:val="00F310D4"/>
    <w:rsid w:val="00F310FA"/>
    <w:rsid w:val="00F311CC"/>
    <w:rsid w:val="00F3128D"/>
    <w:rsid w:val="00F31BE1"/>
    <w:rsid w:val="00F31BF4"/>
    <w:rsid w:val="00F31D5A"/>
    <w:rsid w:val="00F31E33"/>
    <w:rsid w:val="00F31E71"/>
    <w:rsid w:val="00F31E8D"/>
    <w:rsid w:val="00F31F83"/>
    <w:rsid w:val="00F3264F"/>
    <w:rsid w:val="00F3314A"/>
    <w:rsid w:val="00F33875"/>
    <w:rsid w:val="00F33975"/>
    <w:rsid w:val="00F33977"/>
    <w:rsid w:val="00F33DE9"/>
    <w:rsid w:val="00F34443"/>
    <w:rsid w:val="00F349AC"/>
    <w:rsid w:val="00F35229"/>
    <w:rsid w:val="00F355A8"/>
    <w:rsid w:val="00F35601"/>
    <w:rsid w:val="00F35985"/>
    <w:rsid w:val="00F35A8F"/>
    <w:rsid w:val="00F35E6D"/>
    <w:rsid w:val="00F35EBD"/>
    <w:rsid w:val="00F35F4B"/>
    <w:rsid w:val="00F36077"/>
    <w:rsid w:val="00F3619A"/>
    <w:rsid w:val="00F36357"/>
    <w:rsid w:val="00F36481"/>
    <w:rsid w:val="00F36519"/>
    <w:rsid w:val="00F37313"/>
    <w:rsid w:val="00F37849"/>
    <w:rsid w:val="00F37D54"/>
    <w:rsid w:val="00F37E26"/>
    <w:rsid w:val="00F37E68"/>
    <w:rsid w:val="00F37E8D"/>
    <w:rsid w:val="00F37F87"/>
    <w:rsid w:val="00F40AAA"/>
    <w:rsid w:val="00F40BA7"/>
    <w:rsid w:val="00F40F9D"/>
    <w:rsid w:val="00F414CD"/>
    <w:rsid w:val="00F4174A"/>
    <w:rsid w:val="00F417D8"/>
    <w:rsid w:val="00F419EE"/>
    <w:rsid w:val="00F41ACD"/>
    <w:rsid w:val="00F41CFB"/>
    <w:rsid w:val="00F428F2"/>
    <w:rsid w:val="00F42ACC"/>
    <w:rsid w:val="00F42BF8"/>
    <w:rsid w:val="00F4350F"/>
    <w:rsid w:val="00F44226"/>
    <w:rsid w:val="00F443BF"/>
    <w:rsid w:val="00F4483C"/>
    <w:rsid w:val="00F45AB7"/>
    <w:rsid w:val="00F45DFA"/>
    <w:rsid w:val="00F4615C"/>
    <w:rsid w:val="00F467E8"/>
    <w:rsid w:val="00F46C55"/>
    <w:rsid w:val="00F46CB6"/>
    <w:rsid w:val="00F46CD4"/>
    <w:rsid w:val="00F4724E"/>
    <w:rsid w:val="00F4756D"/>
    <w:rsid w:val="00F47751"/>
    <w:rsid w:val="00F47DE8"/>
    <w:rsid w:val="00F47EF2"/>
    <w:rsid w:val="00F50170"/>
    <w:rsid w:val="00F50619"/>
    <w:rsid w:val="00F50635"/>
    <w:rsid w:val="00F50AE7"/>
    <w:rsid w:val="00F51B66"/>
    <w:rsid w:val="00F520ED"/>
    <w:rsid w:val="00F527D6"/>
    <w:rsid w:val="00F52A6D"/>
    <w:rsid w:val="00F53362"/>
    <w:rsid w:val="00F53430"/>
    <w:rsid w:val="00F5347C"/>
    <w:rsid w:val="00F542C1"/>
    <w:rsid w:val="00F5431D"/>
    <w:rsid w:val="00F5466F"/>
    <w:rsid w:val="00F5497A"/>
    <w:rsid w:val="00F550E3"/>
    <w:rsid w:val="00F55615"/>
    <w:rsid w:val="00F55688"/>
    <w:rsid w:val="00F55B9C"/>
    <w:rsid w:val="00F55D32"/>
    <w:rsid w:val="00F55E73"/>
    <w:rsid w:val="00F55EDA"/>
    <w:rsid w:val="00F56239"/>
    <w:rsid w:val="00F56C80"/>
    <w:rsid w:val="00F56D97"/>
    <w:rsid w:val="00F5739A"/>
    <w:rsid w:val="00F60092"/>
    <w:rsid w:val="00F6142E"/>
    <w:rsid w:val="00F6194A"/>
    <w:rsid w:val="00F619CD"/>
    <w:rsid w:val="00F61AFA"/>
    <w:rsid w:val="00F61BEC"/>
    <w:rsid w:val="00F61C18"/>
    <w:rsid w:val="00F61C6A"/>
    <w:rsid w:val="00F61CAE"/>
    <w:rsid w:val="00F6205D"/>
    <w:rsid w:val="00F62239"/>
    <w:rsid w:val="00F624B4"/>
    <w:rsid w:val="00F6297F"/>
    <w:rsid w:val="00F629DE"/>
    <w:rsid w:val="00F62AAD"/>
    <w:rsid w:val="00F62D2E"/>
    <w:rsid w:val="00F63416"/>
    <w:rsid w:val="00F637D3"/>
    <w:rsid w:val="00F63B0D"/>
    <w:rsid w:val="00F63E1B"/>
    <w:rsid w:val="00F63EDF"/>
    <w:rsid w:val="00F63FB8"/>
    <w:rsid w:val="00F646A8"/>
    <w:rsid w:val="00F64903"/>
    <w:rsid w:val="00F64A1F"/>
    <w:rsid w:val="00F65D5E"/>
    <w:rsid w:val="00F65F4B"/>
    <w:rsid w:val="00F663E1"/>
    <w:rsid w:val="00F6659E"/>
    <w:rsid w:val="00F66C9E"/>
    <w:rsid w:val="00F676B0"/>
    <w:rsid w:val="00F67A69"/>
    <w:rsid w:val="00F67DAF"/>
    <w:rsid w:val="00F7032D"/>
    <w:rsid w:val="00F7062A"/>
    <w:rsid w:val="00F70BFF"/>
    <w:rsid w:val="00F70C9D"/>
    <w:rsid w:val="00F71136"/>
    <w:rsid w:val="00F71253"/>
    <w:rsid w:val="00F712E7"/>
    <w:rsid w:val="00F71AB9"/>
    <w:rsid w:val="00F7278F"/>
    <w:rsid w:val="00F729BF"/>
    <w:rsid w:val="00F73C24"/>
    <w:rsid w:val="00F73E08"/>
    <w:rsid w:val="00F74BA9"/>
    <w:rsid w:val="00F74CC7"/>
    <w:rsid w:val="00F74CD9"/>
    <w:rsid w:val="00F75B1E"/>
    <w:rsid w:val="00F76202"/>
    <w:rsid w:val="00F76904"/>
    <w:rsid w:val="00F769E6"/>
    <w:rsid w:val="00F774B5"/>
    <w:rsid w:val="00F77817"/>
    <w:rsid w:val="00F77B68"/>
    <w:rsid w:val="00F77FE6"/>
    <w:rsid w:val="00F805F5"/>
    <w:rsid w:val="00F8076E"/>
    <w:rsid w:val="00F8086A"/>
    <w:rsid w:val="00F80A7B"/>
    <w:rsid w:val="00F80E5D"/>
    <w:rsid w:val="00F80EB4"/>
    <w:rsid w:val="00F81011"/>
    <w:rsid w:val="00F81019"/>
    <w:rsid w:val="00F81244"/>
    <w:rsid w:val="00F8151F"/>
    <w:rsid w:val="00F81C17"/>
    <w:rsid w:val="00F81E78"/>
    <w:rsid w:val="00F820A0"/>
    <w:rsid w:val="00F82166"/>
    <w:rsid w:val="00F82453"/>
    <w:rsid w:val="00F8273C"/>
    <w:rsid w:val="00F827A2"/>
    <w:rsid w:val="00F8281D"/>
    <w:rsid w:val="00F82926"/>
    <w:rsid w:val="00F82AA6"/>
    <w:rsid w:val="00F82AD3"/>
    <w:rsid w:val="00F83916"/>
    <w:rsid w:val="00F83CF7"/>
    <w:rsid w:val="00F84458"/>
    <w:rsid w:val="00F8476A"/>
    <w:rsid w:val="00F84950"/>
    <w:rsid w:val="00F84A89"/>
    <w:rsid w:val="00F84BD2"/>
    <w:rsid w:val="00F84D3C"/>
    <w:rsid w:val="00F84E7D"/>
    <w:rsid w:val="00F84ECA"/>
    <w:rsid w:val="00F851CE"/>
    <w:rsid w:val="00F85299"/>
    <w:rsid w:val="00F85354"/>
    <w:rsid w:val="00F86431"/>
    <w:rsid w:val="00F86583"/>
    <w:rsid w:val="00F876EC"/>
    <w:rsid w:val="00F87F7E"/>
    <w:rsid w:val="00F90304"/>
    <w:rsid w:val="00F9048C"/>
    <w:rsid w:val="00F91219"/>
    <w:rsid w:val="00F9148E"/>
    <w:rsid w:val="00F92444"/>
    <w:rsid w:val="00F92690"/>
    <w:rsid w:val="00F927DA"/>
    <w:rsid w:val="00F928CD"/>
    <w:rsid w:val="00F92A64"/>
    <w:rsid w:val="00F92BC0"/>
    <w:rsid w:val="00F92C23"/>
    <w:rsid w:val="00F92E16"/>
    <w:rsid w:val="00F9377B"/>
    <w:rsid w:val="00F9393E"/>
    <w:rsid w:val="00F93A1F"/>
    <w:rsid w:val="00F9447A"/>
    <w:rsid w:val="00F94E02"/>
    <w:rsid w:val="00F954B5"/>
    <w:rsid w:val="00F95DEA"/>
    <w:rsid w:val="00F95FE4"/>
    <w:rsid w:val="00F96FD0"/>
    <w:rsid w:val="00F97196"/>
    <w:rsid w:val="00F9745E"/>
    <w:rsid w:val="00F9749D"/>
    <w:rsid w:val="00F974F0"/>
    <w:rsid w:val="00F97A78"/>
    <w:rsid w:val="00F97AC0"/>
    <w:rsid w:val="00F97C2F"/>
    <w:rsid w:val="00FA0783"/>
    <w:rsid w:val="00FA0B20"/>
    <w:rsid w:val="00FA1602"/>
    <w:rsid w:val="00FA1817"/>
    <w:rsid w:val="00FA1DE9"/>
    <w:rsid w:val="00FA1EB9"/>
    <w:rsid w:val="00FA24E7"/>
    <w:rsid w:val="00FA33BC"/>
    <w:rsid w:val="00FA3622"/>
    <w:rsid w:val="00FA3786"/>
    <w:rsid w:val="00FA38AB"/>
    <w:rsid w:val="00FA38C6"/>
    <w:rsid w:val="00FA3921"/>
    <w:rsid w:val="00FA3AAE"/>
    <w:rsid w:val="00FA3C57"/>
    <w:rsid w:val="00FA3DE5"/>
    <w:rsid w:val="00FA46DC"/>
    <w:rsid w:val="00FA4D94"/>
    <w:rsid w:val="00FA5486"/>
    <w:rsid w:val="00FA56B4"/>
    <w:rsid w:val="00FA5756"/>
    <w:rsid w:val="00FA5A53"/>
    <w:rsid w:val="00FA5E98"/>
    <w:rsid w:val="00FA5EE6"/>
    <w:rsid w:val="00FA6859"/>
    <w:rsid w:val="00FA7956"/>
    <w:rsid w:val="00FB06ED"/>
    <w:rsid w:val="00FB07C4"/>
    <w:rsid w:val="00FB0824"/>
    <w:rsid w:val="00FB08C1"/>
    <w:rsid w:val="00FB0F74"/>
    <w:rsid w:val="00FB16D1"/>
    <w:rsid w:val="00FB1BDE"/>
    <w:rsid w:val="00FB1CCC"/>
    <w:rsid w:val="00FB232A"/>
    <w:rsid w:val="00FB25AE"/>
    <w:rsid w:val="00FB2AAC"/>
    <w:rsid w:val="00FB2ACB"/>
    <w:rsid w:val="00FB2B9B"/>
    <w:rsid w:val="00FB2FCB"/>
    <w:rsid w:val="00FB30D9"/>
    <w:rsid w:val="00FB34DF"/>
    <w:rsid w:val="00FB372D"/>
    <w:rsid w:val="00FB4086"/>
    <w:rsid w:val="00FB4323"/>
    <w:rsid w:val="00FB45FB"/>
    <w:rsid w:val="00FB4C9C"/>
    <w:rsid w:val="00FB50D2"/>
    <w:rsid w:val="00FB53DB"/>
    <w:rsid w:val="00FB5A7F"/>
    <w:rsid w:val="00FB5B6E"/>
    <w:rsid w:val="00FB5DC2"/>
    <w:rsid w:val="00FB6164"/>
    <w:rsid w:val="00FB64E3"/>
    <w:rsid w:val="00FB6737"/>
    <w:rsid w:val="00FB67C2"/>
    <w:rsid w:val="00FB6960"/>
    <w:rsid w:val="00FB7C55"/>
    <w:rsid w:val="00FB7E27"/>
    <w:rsid w:val="00FC03F5"/>
    <w:rsid w:val="00FC0544"/>
    <w:rsid w:val="00FC1074"/>
    <w:rsid w:val="00FC1513"/>
    <w:rsid w:val="00FC152B"/>
    <w:rsid w:val="00FC1884"/>
    <w:rsid w:val="00FC264D"/>
    <w:rsid w:val="00FC264E"/>
    <w:rsid w:val="00FC2779"/>
    <w:rsid w:val="00FC2811"/>
    <w:rsid w:val="00FC32AE"/>
    <w:rsid w:val="00FC3434"/>
    <w:rsid w:val="00FC3456"/>
    <w:rsid w:val="00FC371D"/>
    <w:rsid w:val="00FC3E97"/>
    <w:rsid w:val="00FC3F03"/>
    <w:rsid w:val="00FC3FE0"/>
    <w:rsid w:val="00FC427E"/>
    <w:rsid w:val="00FC47AF"/>
    <w:rsid w:val="00FC54AF"/>
    <w:rsid w:val="00FC57B6"/>
    <w:rsid w:val="00FC5F0B"/>
    <w:rsid w:val="00FC6056"/>
    <w:rsid w:val="00FC60D6"/>
    <w:rsid w:val="00FC63B9"/>
    <w:rsid w:val="00FC68A9"/>
    <w:rsid w:val="00FC7683"/>
    <w:rsid w:val="00FC7C86"/>
    <w:rsid w:val="00FC7D84"/>
    <w:rsid w:val="00FC7FB8"/>
    <w:rsid w:val="00FD07D9"/>
    <w:rsid w:val="00FD0985"/>
    <w:rsid w:val="00FD10CE"/>
    <w:rsid w:val="00FD116D"/>
    <w:rsid w:val="00FD127B"/>
    <w:rsid w:val="00FD1434"/>
    <w:rsid w:val="00FD1437"/>
    <w:rsid w:val="00FD15E1"/>
    <w:rsid w:val="00FD1D3A"/>
    <w:rsid w:val="00FD2100"/>
    <w:rsid w:val="00FD28B1"/>
    <w:rsid w:val="00FD2A0B"/>
    <w:rsid w:val="00FD2DD3"/>
    <w:rsid w:val="00FD2E6C"/>
    <w:rsid w:val="00FD3103"/>
    <w:rsid w:val="00FD313B"/>
    <w:rsid w:val="00FD3432"/>
    <w:rsid w:val="00FD3892"/>
    <w:rsid w:val="00FD436C"/>
    <w:rsid w:val="00FD446D"/>
    <w:rsid w:val="00FD4F2C"/>
    <w:rsid w:val="00FD515A"/>
    <w:rsid w:val="00FD542F"/>
    <w:rsid w:val="00FD574E"/>
    <w:rsid w:val="00FD57AF"/>
    <w:rsid w:val="00FD6394"/>
    <w:rsid w:val="00FE0C76"/>
    <w:rsid w:val="00FE0D60"/>
    <w:rsid w:val="00FE0E6C"/>
    <w:rsid w:val="00FE1103"/>
    <w:rsid w:val="00FE12E3"/>
    <w:rsid w:val="00FE1CDC"/>
    <w:rsid w:val="00FE1D88"/>
    <w:rsid w:val="00FE21A5"/>
    <w:rsid w:val="00FE29D5"/>
    <w:rsid w:val="00FE2B79"/>
    <w:rsid w:val="00FE36A3"/>
    <w:rsid w:val="00FE3919"/>
    <w:rsid w:val="00FE41DD"/>
    <w:rsid w:val="00FE544A"/>
    <w:rsid w:val="00FE5ECD"/>
    <w:rsid w:val="00FE68CD"/>
    <w:rsid w:val="00FE70C3"/>
    <w:rsid w:val="00FE7127"/>
    <w:rsid w:val="00FE73E5"/>
    <w:rsid w:val="00FE7434"/>
    <w:rsid w:val="00FE74FA"/>
    <w:rsid w:val="00FE7532"/>
    <w:rsid w:val="00FE761C"/>
    <w:rsid w:val="00FE7ED9"/>
    <w:rsid w:val="00FF04CF"/>
    <w:rsid w:val="00FF0861"/>
    <w:rsid w:val="00FF11A7"/>
    <w:rsid w:val="00FF11CC"/>
    <w:rsid w:val="00FF19DD"/>
    <w:rsid w:val="00FF1A8B"/>
    <w:rsid w:val="00FF1ACC"/>
    <w:rsid w:val="00FF20FC"/>
    <w:rsid w:val="00FF2AD9"/>
    <w:rsid w:val="00FF3035"/>
    <w:rsid w:val="00FF327E"/>
    <w:rsid w:val="00FF359F"/>
    <w:rsid w:val="00FF38C8"/>
    <w:rsid w:val="00FF3DCF"/>
    <w:rsid w:val="00FF4379"/>
    <w:rsid w:val="00FF492C"/>
    <w:rsid w:val="00FF49CC"/>
    <w:rsid w:val="00FF4A21"/>
    <w:rsid w:val="00FF4BC3"/>
    <w:rsid w:val="00FF5426"/>
    <w:rsid w:val="00FF555B"/>
    <w:rsid w:val="00FF5665"/>
    <w:rsid w:val="00FF5AA3"/>
    <w:rsid w:val="00FF5AD8"/>
    <w:rsid w:val="00FF5B7A"/>
    <w:rsid w:val="00FF5F4F"/>
    <w:rsid w:val="00FF5FB4"/>
    <w:rsid w:val="00FF68F1"/>
    <w:rsid w:val="00FF7245"/>
    <w:rsid w:val="00FF72A3"/>
    <w:rsid w:val="02100058"/>
    <w:rsid w:val="03327AB5"/>
    <w:rsid w:val="049B180F"/>
    <w:rsid w:val="04BC844C"/>
    <w:rsid w:val="05F036C7"/>
    <w:rsid w:val="09890503"/>
    <w:rsid w:val="09D454E6"/>
    <w:rsid w:val="0B53CC1F"/>
    <w:rsid w:val="0CAB0A38"/>
    <w:rsid w:val="0CD77042"/>
    <w:rsid w:val="1132EA81"/>
    <w:rsid w:val="12A6C3B4"/>
    <w:rsid w:val="159238DE"/>
    <w:rsid w:val="2932B4C7"/>
    <w:rsid w:val="2B587306"/>
    <w:rsid w:val="2C5712BF"/>
    <w:rsid w:val="2CDB1B0A"/>
    <w:rsid w:val="3177C4A6"/>
    <w:rsid w:val="32B0C770"/>
    <w:rsid w:val="32FA5F89"/>
    <w:rsid w:val="33A45792"/>
    <w:rsid w:val="3651017A"/>
    <w:rsid w:val="38374D29"/>
    <w:rsid w:val="3F4A865A"/>
    <w:rsid w:val="43F0F9FB"/>
    <w:rsid w:val="44DBD349"/>
    <w:rsid w:val="4DA55872"/>
    <w:rsid w:val="50644728"/>
    <w:rsid w:val="5445C7AA"/>
    <w:rsid w:val="594D78B5"/>
    <w:rsid w:val="5A300794"/>
    <w:rsid w:val="5A4DC27D"/>
    <w:rsid w:val="5B6F7F11"/>
    <w:rsid w:val="5D2D651C"/>
    <w:rsid w:val="5F740B67"/>
    <w:rsid w:val="5FC8121E"/>
    <w:rsid w:val="6033E06C"/>
    <w:rsid w:val="695F4D24"/>
    <w:rsid w:val="6CE59105"/>
    <w:rsid w:val="6D37A641"/>
    <w:rsid w:val="6D7F9E72"/>
    <w:rsid w:val="6FE46702"/>
    <w:rsid w:val="73687C9B"/>
    <w:rsid w:val="74383453"/>
    <w:rsid w:val="765D1FA7"/>
    <w:rsid w:val="7F3356B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6B91"/>
    <w:pPr>
      <w:jc w:val="both"/>
    </w:pPr>
    <w:rPr>
      <w:rFonts w:ascii="Calibri" w:hAnsi="Calibri" w:cs="Arial"/>
      <w:sz w:val="24"/>
      <w:szCs w:val="24"/>
    </w:rPr>
  </w:style>
  <w:style w:type="paragraph" w:styleId="Heading1">
    <w:name w:val="heading 1"/>
    <w:aliases w:val="H1,Header 1,Heading 12,Titre 1 Car Car,Titre 1 Car,Outline1,p1"/>
    <w:basedOn w:val="Normal"/>
    <w:next w:val="Normal"/>
    <w:link w:val="Heading1Char"/>
    <w:uiPriority w:val="1"/>
    <w:qFormat/>
    <w:rsid w:val="001B204E"/>
    <w:pPr>
      <w:ind w:left="720" w:hanging="720"/>
      <w:outlineLvl w:val="0"/>
    </w:pPr>
    <w:rPr>
      <w:b/>
      <w:caps/>
      <w:sz w:val="32"/>
    </w:rPr>
  </w:style>
  <w:style w:type="paragraph" w:styleId="Heading2">
    <w:name w:val="heading 2"/>
    <w:aliases w:val="H2,Heading h2,h2,Heading 2x,p2 Char"/>
    <w:basedOn w:val="Normal"/>
    <w:next w:val="Normal"/>
    <w:link w:val="Heading2Char"/>
    <w:qFormat/>
    <w:rsid w:val="001B204E"/>
    <w:pPr>
      <w:outlineLvl w:val="1"/>
    </w:pPr>
    <w:rPr>
      <w:b/>
      <w:i/>
      <w:sz w:val="28"/>
    </w:rPr>
  </w:style>
  <w:style w:type="paragraph" w:styleId="Heading3">
    <w:name w:val="heading 3"/>
    <w:aliases w:val="H3,Heading h3,h3,Don 3,Heading 3x,p3 Char"/>
    <w:basedOn w:val="Normal"/>
    <w:next w:val="Normal"/>
    <w:link w:val="Heading3Char"/>
    <w:qFormat/>
    <w:rsid w:val="001F7361"/>
    <w:pPr>
      <w:outlineLvl w:val="2"/>
    </w:pPr>
    <w:rPr>
      <w:u w:val="single"/>
    </w:rPr>
  </w:style>
  <w:style w:type="paragraph" w:styleId="Heading4">
    <w:name w:val="heading 4"/>
    <w:aliases w:val=" Char,p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eading h2 Char,h2 Char,Heading 2x Char,p2 Char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E16AD8"/>
    <w:rPr>
      <w:rFonts w:ascii="Arial Narrow" w:hAnsi="Arial Narrow" w:cs="Arial"/>
      <w:b/>
      <w:bCs/>
      <w:szCs w:val="18"/>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Figure_name,Numbered Indented Text,List NUmber"/>
    <w:next w:val="ListBullet"/>
    <w:link w:val="ListParagraphChar"/>
    <w:uiPriority w:val="34"/>
    <w:qFormat/>
    <w:rsid w:val="00BB00B3"/>
    <w:pPr>
      <w:numPr>
        <w:numId w:val="2"/>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HTAtableplain,PBAC table,MSD Table Grid,RTI AMCP Table,Conclusion box,Table Grid nm"/>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E3390F"/>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ED3150"/>
    <w:pPr>
      <w:tabs>
        <w:tab w:val="left" w:pos="440"/>
        <w:tab w:val="right" w:leader="dot" w:pos="9016"/>
      </w:tabs>
      <w:spacing w:before="12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1301F1"/>
    <w:pPr>
      <w:tabs>
        <w:tab w:val="right" w:leader="dot" w:pos="9016"/>
      </w:tabs>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4"/>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qFormat/>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1F29DF"/>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1F29DF"/>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6A2425"/>
    <w:rPr>
      <w:color w:val="605E5C"/>
      <w:shd w:val="clear" w:color="auto" w:fill="E1DFDD"/>
    </w:rPr>
  </w:style>
  <w:style w:type="paragraph" w:customStyle="1" w:styleId="Bodytextitalics">
    <w:name w:val="Body text italics"/>
    <w:basedOn w:val="BodyText"/>
    <w:qFormat/>
    <w:rsid w:val="00E81FB9"/>
    <w:pPr>
      <w:spacing w:after="120"/>
      <w:ind w:left="720" w:hanging="720"/>
    </w:pPr>
    <w:rPr>
      <w:rFonts w:asciiTheme="minorHAnsi" w:eastAsiaTheme="minorHAnsi" w:hAnsiTheme="minorHAnsi" w:cstheme="minorBidi"/>
      <w:i/>
      <w:szCs w:val="22"/>
    </w:rPr>
  </w:style>
  <w:style w:type="paragraph" w:styleId="FootnoteText">
    <w:name w:val="footnote text"/>
    <w:basedOn w:val="Normal"/>
    <w:link w:val="FootnoteTextChar"/>
    <w:unhideWhenUsed/>
    <w:rsid w:val="001D632D"/>
    <w:rPr>
      <w:sz w:val="20"/>
      <w:szCs w:val="20"/>
    </w:rPr>
  </w:style>
  <w:style w:type="character" w:customStyle="1" w:styleId="FootnoteTextChar">
    <w:name w:val="Footnote Text Char"/>
    <w:basedOn w:val="DefaultParagraphFont"/>
    <w:link w:val="FootnoteText"/>
    <w:rsid w:val="001D632D"/>
    <w:rPr>
      <w:rFonts w:ascii="Calibri" w:hAnsi="Calibri" w:cs="Arial"/>
    </w:rPr>
  </w:style>
  <w:style w:type="character" w:styleId="FootnoteReference">
    <w:name w:val="footnote reference"/>
    <w:basedOn w:val="DefaultParagraphFont"/>
    <w:unhideWhenUsed/>
    <w:rsid w:val="001D632D"/>
    <w:rPr>
      <w:vertAlign w:val="superscript"/>
    </w:rPr>
  </w:style>
  <w:style w:type="paragraph" w:styleId="ListBullet4">
    <w:name w:val="List Bullet 4"/>
    <w:basedOn w:val="Normal"/>
    <w:uiPriority w:val="99"/>
    <w:unhideWhenUsed/>
    <w:rsid w:val="002D7026"/>
    <w:pPr>
      <w:numPr>
        <w:numId w:val="6"/>
      </w:numPr>
      <w:spacing w:after="240"/>
      <w:contextualSpacing/>
      <w:jc w:val="left"/>
    </w:pPr>
    <w:rPr>
      <w:rFonts w:eastAsia="Calibri"/>
      <w:lang w:eastAsia="en-US"/>
    </w:rPr>
  </w:style>
  <w:style w:type="character" w:customStyle="1" w:styleId="cf01">
    <w:name w:val="cf01"/>
    <w:basedOn w:val="DefaultParagraphFont"/>
    <w:rsid w:val="00E64545"/>
    <w:rPr>
      <w:rFonts w:ascii="Segoe UI" w:hAnsi="Segoe UI" w:cs="Segoe UI" w:hint="default"/>
      <w:sz w:val="18"/>
      <w:szCs w:val="18"/>
    </w:rPr>
  </w:style>
  <w:style w:type="character" w:styleId="Mention">
    <w:name w:val="Mention"/>
    <w:basedOn w:val="DefaultParagraphFont"/>
    <w:uiPriority w:val="99"/>
    <w:unhideWhenUsed/>
    <w:rsid w:val="00BF43CB"/>
    <w:rPr>
      <w:color w:val="2B579A"/>
      <w:shd w:val="clear" w:color="auto" w:fill="E1DFDD"/>
    </w:rPr>
  </w:style>
  <w:style w:type="character" w:customStyle="1" w:styleId="normaltextrun">
    <w:name w:val="normaltextrun"/>
    <w:basedOn w:val="DefaultParagraphFont"/>
    <w:rsid w:val="00F33875"/>
  </w:style>
  <w:style w:type="character" w:customStyle="1" w:styleId="findhit">
    <w:name w:val="findhit"/>
    <w:basedOn w:val="DefaultParagraphFont"/>
    <w:rsid w:val="00F33875"/>
  </w:style>
  <w:style w:type="character" w:customStyle="1" w:styleId="eop">
    <w:name w:val="eop"/>
    <w:basedOn w:val="DefaultParagraphFont"/>
    <w:rsid w:val="00F33875"/>
  </w:style>
  <w:style w:type="paragraph" w:customStyle="1" w:styleId="Body">
    <w:name w:val="Body"/>
    <w:basedOn w:val="Normal"/>
    <w:link w:val="BodyChar"/>
    <w:qFormat/>
    <w:rsid w:val="00443205"/>
    <w:pPr>
      <w:spacing w:before="120" w:after="200" w:line="276" w:lineRule="auto"/>
    </w:pPr>
    <w:rPr>
      <w:rFonts w:eastAsia="Calibri" w:cs="Calibri"/>
      <w:szCs w:val="20"/>
      <w:lang w:eastAsia="en-US"/>
    </w:rPr>
  </w:style>
  <w:style w:type="character" w:customStyle="1" w:styleId="BodyChar">
    <w:name w:val="Body Char"/>
    <w:link w:val="Body"/>
    <w:rsid w:val="00443205"/>
    <w:rPr>
      <w:rFonts w:ascii="Calibri" w:eastAsia="Calibri" w:hAnsi="Calibri" w:cs="Calibri"/>
      <w:sz w:val="24"/>
      <w:lang w:eastAsia="en-US"/>
    </w:rPr>
  </w:style>
  <w:style w:type="numbering" w:customStyle="1" w:styleId="CurrentList1">
    <w:name w:val="Current List1"/>
    <w:uiPriority w:val="99"/>
    <w:rsid w:val="00443205"/>
    <w:pPr>
      <w:numPr>
        <w:numId w:val="7"/>
      </w:numPr>
    </w:pPr>
  </w:style>
  <w:style w:type="table" w:customStyle="1" w:styleId="TableGridnm1">
    <w:name w:val="Table Grid nm1"/>
    <w:basedOn w:val="TableNormal"/>
    <w:next w:val="TableGrid"/>
    <w:uiPriority w:val="39"/>
    <w:rsid w:val="00443205"/>
    <w:rPr>
      <w:rFonts w:ascii="Calibri" w:eastAsia="Calibri" w:hAnsi="Calibri" w:cs="Arial"/>
      <w:lang w:val="en-US"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4vcb-pgl6qe-ysggef">
    <w:name w:val="cs4vcb-pgl6qe-ysggef"/>
    <w:basedOn w:val="DefaultParagraphFont"/>
    <w:rsid w:val="00443205"/>
  </w:style>
  <w:style w:type="character" w:customStyle="1" w:styleId="superscript">
    <w:name w:val="superscript"/>
    <w:basedOn w:val="DefaultParagraphFont"/>
    <w:rsid w:val="00443205"/>
  </w:style>
  <w:style w:type="paragraph" w:customStyle="1" w:styleId="TableNotesLast">
    <w:name w:val="TableNotesLast"/>
    <w:basedOn w:val="Normal"/>
    <w:qFormat/>
    <w:rsid w:val="0011202E"/>
    <w:pPr>
      <w:numPr>
        <w:numId w:val="12"/>
      </w:numPr>
      <w:spacing w:after="360" w:line="276" w:lineRule="auto"/>
      <w:ind w:left="720"/>
      <w:jc w:val="left"/>
    </w:pPr>
    <w:rPr>
      <w:rFonts w:eastAsiaTheme="minorHAnsi" w:cstheme="minorBidi"/>
      <w:sz w:val="20"/>
      <w:szCs w:val="22"/>
      <w:lang w:eastAsia="en-US"/>
    </w:rPr>
  </w:style>
  <w:style w:type="character" w:customStyle="1" w:styleId="SmallBold">
    <w:name w:val="Small Bold"/>
    <w:basedOn w:val="DefaultParagraphFont"/>
    <w:uiPriority w:val="4"/>
    <w:qFormat/>
    <w:rsid w:val="0011202E"/>
    <w:rPr>
      <w:rFonts w:ascii="Candara" w:hAnsi="Candara"/>
      <w:b/>
      <w:sz w:val="20"/>
      <w:lang w:val="en-AU"/>
    </w:rPr>
  </w:style>
  <w:style w:type="character" w:customStyle="1" w:styleId="Heading1Char">
    <w:name w:val="Heading 1 Char"/>
    <w:aliases w:val="H1 Char,Header 1 Char,Heading 12 Char,Titre 1 Car Car Char,Titre 1 Car Char,Outline1 Char,p1 Char"/>
    <w:basedOn w:val="DefaultParagraphFont"/>
    <w:link w:val="Heading1"/>
    <w:uiPriority w:val="1"/>
    <w:rsid w:val="0011202E"/>
    <w:rPr>
      <w:rFonts w:ascii="Calibri" w:hAnsi="Calibri" w:cs="Arial"/>
      <w:b/>
      <w:caps/>
      <w:sz w:val="32"/>
      <w:szCs w:val="24"/>
    </w:rPr>
  </w:style>
  <w:style w:type="character" w:customStyle="1" w:styleId="Heading3Char">
    <w:name w:val="Heading 3 Char"/>
    <w:aliases w:val="H3 Char,Heading h3 Char,h3 Char,Don 3 Char,Heading 3x Char,p3 Char Char"/>
    <w:basedOn w:val="DefaultParagraphFont"/>
    <w:link w:val="Heading3"/>
    <w:rsid w:val="0011202E"/>
    <w:rPr>
      <w:rFonts w:ascii="Calibri" w:hAnsi="Calibri" w:cs="Arial"/>
      <w:sz w:val="24"/>
      <w:szCs w:val="24"/>
      <w:u w:val="single"/>
    </w:rPr>
  </w:style>
  <w:style w:type="character" w:customStyle="1" w:styleId="Heading4Char">
    <w:name w:val="Heading 4 Char"/>
    <w:aliases w:val=" Char Char,p4 Char"/>
    <w:basedOn w:val="DefaultParagraphFont"/>
    <w:link w:val="Heading4"/>
    <w:rsid w:val="0011202E"/>
    <w:rPr>
      <w:rFonts w:ascii="Calibri" w:hAnsi="Calibri" w:cs="Arial"/>
      <w:b/>
      <w:bCs/>
      <w:i/>
      <w:sz w:val="26"/>
      <w:szCs w:val="28"/>
    </w:rPr>
  </w:style>
  <w:style w:type="character" w:customStyle="1" w:styleId="Heading5Char">
    <w:name w:val="Heading 5 Char"/>
    <w:basedOn w:val="DefaultParagraphFont"/>
    <w:link w:val="Heading5"/>
    <w:rsid w:val="0011202E"/>
    <w:rPr>
      <w:rFonts w:ascii="Calibri" w:hAnsi="Calibri" w:cs="Arial"/>
      <w:b/>
      <w:bCs/>
      <w:iCs/>
      <w:sz w:val="26"/>
      <w:szCs w:val="26"/>
    </w:rPr>
  </w:style>
  <w:style w:type="character" w:customStyle="1" w:styleId="Heading6Char">
    <w:name w:val="Heading 6 Char"/>
    <w:basedOn w:val="DefaultParagraphFont"/>
    <w:link w:val="Heading6"/>
    <w:rsid w:val="0011202E"/>
    <w:rPr>
      <w:rFonts w:ascii="Calibri" w:hAnsi="Calibri" w:cs="Arial"/>
      <w:b/>
      <w:bCs/>
      <w:i/>
      <w:sz w:val="24"/>
      <w:szCs w:val="24"/>
    </w:rPr>
  </w:style>
  <w:style w:type="paragraph" w:customStyle="1" w:styleId="msonormal0">
    <w:name w:val="msonormal"/>
    <w:basedOn w:val="Normal"/>
    <w:uiPriority w:val="99"/>
    <w:rsid w:val="0011202E"/>
    <w:pPr>
      <w:snapToGrid w:val="0"/>
      <w:spacing w:before="100" w:after="100"/>
      <w:jc w:val="left"/>
    </w:pPr>
    <w:rPr>
      <w:rFonts w:ascii="Times New Roman" w:hAnsi="Times New Roman" w:cs="Times New Roman"/>
      <w:lang w:val="en-GB"/>
    </w:rPr>
  </w:style>
  <w:style w:type="character" w:customStyle="1" w:styleId="HeaderChar1">
    <w:name w:val="Header Char1"/>
    <w:aliases w:val="Page Header Char1,Header title Char1,he=header Char1,cntr/bld Char1"/>
    <w:basedOn w:val="DefaultParagraphFont"/>
    <w:semiHidden/>
    <w:rsid w:val="0011202E"/>
    <w:rPr>
      <w:rFonts w:ascii="Calibri" w:hAnsi="Calibri" w:cs="Arial"/>
      <w:sz w:val="24"/>
      <w:szCs w:val="24"/>
    </w:rPr>
  </w:style>
  <w:style w:type="paragraph" w:customStyle="1" w:styleId="3Bodytext">
    <w:name w:val="3. Body text"/>
    <w:basedOn w:val="ListParagraph"/>
    <w:qFormat/>
    <w:rsid w:val="0011202E"/>
    <w:pPr>
      <w:numPr>
        <w:numId w:val="0"/>
      </w:numPr>
      <w:ind w:left="720" w:hanging="720"/>
      <w:jc w:val="left"/>
    </w:pPr>
    <w:rPr>
      <w:rFonts w:eastAsiaTheme="minorHAnsi" w:cstheme="minorBidi"/>
      <w:snapToGrid/>
      <w:szCs w:val="22"/>
    </w:rPr>
  </w:style>
  <w:style w:type="numbering" w:customStyle="1" w:styleId="CurrentList15">
    <w:name w:val="Current List15"/>
    <w:uiPriority w:val="99"/>
    <w:rsid w:val="0011202E"/>
    <w:pPr>
      <w:numPr>
        <w:numId w:val="16"/>
      </w:numPr>
    </w:pPr>
  </w:style>
  <w:style w:type="paragraph" w:customStyle="1" w:styleId="EndNoteBibliographyTitle">
    <w:name w:val="EndNote Bibliography Title"/>
    <w:basedOn w:val="Normal"/>
    <w:link w:val="EndNoteBibliographyTitleChar"/>
    <w:rsid w:val="0011202E"/>
    <w:pPr>
      <w:jc w:val="center"/>
    </w:pPr>
    <w:rPr>
      <w:rFonts w:eastAsia="Calibri" w:cs="Calibri"/>
      <w:noProof/>
      <w:lang w:eastAsia="en-US"/>
    </w:rPr>
  </w:style>
  <w:style w:type="character" w:customStyle="1" w:styleId="EndNoteBibliographyTitleChar">
    <w:name w:val="EndNote Bibliography Title Char"/>
    <w:basedOn w:val="TableTextChar0"/>
    <w:link w:val="EndNoteBibliographyTitle"/>
    <w:rsid w:val="0011202E"/>
    <w:rPr>
      <w:rFonts w:ascii="Calibri" w:eastAsia="Calibri" w:hAnsi="Calibri" w:cs="Calibri"/>
      <w:bCs w:val="0"/>
      <w:noProof/>
      <w:sz w:val="24"/>
      <w:szCs w:val="24"/>
      <w:lang w:eastAsia="en-US"/>
    </w:rPr>
  </w:style>
  <w:style w:type="paragraph" w:customStyle="1" w:styleId="TableFigNotes0">
    <w:name w:val="TableFigNotes+0"/>
    <w:basedOn w:val="Normal"/>
    <w:uiPriority w:val="4"/>
    <w:rsid w:val="0011202E"/>
    <w:pPr>
      <w:keepNext/>
      <w:keepLines/>
      <w:jc w:val="left"/>
    </w:pPr>
    <w:rPr>
      <w:rFonts w:cs="Tahoma"/>
      <w:color w:val="000000"/>
      <w:sz w:val="16"/>
      <w:szCs w:val="18"/>
    </w:rPr>
  </w:style>
  <w:style w:type="paragraph" w:customStyle="1" w:styleId="Tablebullet">
    <w:name w:val="Table bullet"/>
    <w:basedOn w:val="Tabletext"/>
    <w:link w:val="TablebulletChar"/>
    <w:uiPriority w:val="4"/>
    <w:qFormat/>
    <w:rsid w:val="0011202E"/>
    <w:pPr>
      <w:keepNext/>
      <w:keepLines/>
      <w:numPr>
        <w:numId w:val="13"/>
      </w:numPr>
      <w:tabs>
        <w:tab w:val="left" w:pos="284"/>
      </w:tabs>
      <w:spacing w:before="20" w:after="20"/>
    </w:pPr>
    <w:rPr>
      <w:rFonts w:ascii="Calibri" w:hAnsi="Calibri"/>
      <w:snapToGrid/>
      <w:sz w:val="18"/>
      <w:szCs w:val="18"/>
      <w:lang w:eastAsia="en-US"/>
    </w:rPr>
  </w:style>
  <w:style w:type="character" w:customStyle="1" w:styleId="TablebulletChar">
    <w:name w:val="Table bullet Char"/>
    <w:basedOn w:val="TabletextChar"/>
    <w:link w:val="Tablebullet"/>
    <w:uiPriority w:val="4"/>
    <w:rsid w:val="0011202E"/>
    <w:rPr>
      <w:rFonts w:ascii="Calibri" w:hAnsi="Calibri"/>
      <w:sz w:val="18"/>
      <w:szCs w:val="18"/>
      <w:lang w:eastAsia="en-US"/>
    </w:rPr>
  </w:style>
  <w:style w:type="paragraph" w:customStyle="1" w:styleId="PBACH2">
    <w:name w:val="PBAC H2#"/>
    <w:basedOn w:val="Heading2"/>
    <w:next w:val="Normal"/>
    <w:autoRedefine/>
    <w:qFormat/>
    <w:rsid w:val="0011202E"/>
    <w:pPr>
      <w:keepNext/>
      <w:keepLines/>
      <w:numPr>
        <w:ilvl w:val="1"/>
        <w:numId w:val="14"/>
      </w:numPr>
      <w:tabs>
        <w:tab w:val="num" w:pos="851"/>
      </w:tabs>
      <w:spacing w:before="360" w:after="200"/>
      <w:ind w:left="851" w:hanging="851"/>
    </w:pPr>
    <w:rPr>
      <w:rFonts w:asciiTheme="minorHAnsi" w:eastAsiaTheme="majorEastAsia" w:hAnsiTheme="minorHAnsi" w:cstheme="majorBidi"/>
      <w:bCs/>
      <w:i w:val="0"/>
      <w:sz w:val="32"/>
      <w:szCs w:val="26"/>
      <w:lang w:val="en-US" w:eastAsia="en-GB"/>
    </w:rPr>
  </w:style>
  <w:style w:type="paragraph" w:customStyle="1" w:styleId="PBACH1">
    <w:name w:val="PBAC H1#"/>
    <w:basedOn w:val="Heading1"/>
    <w:next w:val="Normal"/>
    <w:qFormat/>
    <w:rsid w:val="0011202E"/>
    <w:pPr>
      <w:keepNext/>
      <w:keepLines/>
      <w:numPr>
        <w:numId w:val="14"/>
      </w:numPr>
      <w:spacing w:after="360"/>
      <w:ind w:left="851" w:hanging="851"/>
      <w:jc w:val="left"/>
    </w:pPr>
    <w:rPr>
      <w:rFonts w:eastAsiaTheme="majorEastAsia" w:cstheme="majorBidi"/>
      <w:bCs/>
      <w:caps w:val="0"/>
      <w:sz w:val="36"/>
      <w:szCs w:val="28"/>
      <w:lang w:val="en-US" w:eastAsia="en-GB"/>
    </w:rPr>
  </w:style>
  <w:style w:type="numbering" w:customStyle="1" w:styleId="PBACstandardnumberstyle">
    <w:name w:val="PBAC standard number style"/>
    <w:uiPriority w:val="99"/>
    <w:rsid w:val="0011202E"/>
    <w:pPr>
      <w:numPr>
        <w:numId w:val="15"/>
      </w:numPr>
    </w:pPr>
  </w:style>
  <w:style w:type="table" w:customStyle="1" w:styleId="TableGrid1">
    <w:name w:val="Table Grid1"/>
    <w:basedOn w:val="TableNormal"/>
    <w:next w:val="TableGrid"/>
    <w:uiPriority w:val="59"/>
    <w:rsid w:val="00112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ame0">
    <w:name w:val="Table name"/>
    <w:basedOn w:val="Normal"/>
    <w:uiPriority w:val="4"/>
    <w:qFormat/>
    <w:rsid w:val="0011202E"/>
    <w:pPr>
      <w:keepNext/>
      <w:tabs>
        <w:tab w:val="left" w:pos="1418"/>
      </w:tabs>
      <w:spacing w:before="120" w:after="120"/>
      <w:ind w:left="1418" w:hanging="1418"/>
      <w:jc w:val="left"/>
    </w:pPr>
    <w:rPr>
      <w:rFonts w:cs="Times New Roman"/>
      <w:b/>
      <w:bCs/>
      <w:sz w:val="22"/>
      <w:szCs w:val="20"/>
      <w:lang w:eastAsia="en-US"/>
    </w:rPr>
  </w:style>
  <w:style w:type="paragraph" w:customStyle="1" w:styleId="TFfootnote">
    <w:name w:val="T&amp;F footnote"/>
    <w:basedOn w:val="Tabletext"/>
    <w:next w:val="BodyText"/>
    <w:uiPriority w:val="4"/>
    <w:rsid w:val="0011202E"/>
    <w:pPr>
      <w:tabs>
        <w:tab w:val="left" w:pos="416"/>
        <w:tab w:val="left" w:pos="582"/>
      </w:tabs>
    </w:pPr>
    <w:rPr>
      <w:rFonts w:ascii="Calibri" w:hAnsi="Calibri"/>
      <w:snapToGrid/>
      <w:sz w:val="16"/>
      <w:szCs w:val="22"/>
      <w:lang w:val="en-GB" w:eastAsia="en-GB"/>
    </w:rPr>
  </w:style>
  <w:style w:type="character" w:customStyle="1" w:styleId="ui-provider">
    <w:name w:val="ui-provider"/>
    <w:basedOn w:val="DefaultParagraphFont"/>
    <w:rsid w:val="0011202E"/>
  </w:style>
  <w:style w:type="paragraph" w:styleId="ListBullet3">
    <w:name w:val="List Bullet 3"/>
    <w:basedOn w:val="Normal"/>
    <w:uiPriority w:val="99"/>
    <w:unhideWhenUsed/>
    <w:rsid w:val="00701580"/>
    <w:pPr>
      <w:numPr>
        <w:numId w:val="20"/>
      </w:numPr>
      <w:spacing w:after="240"/>
      <w:contextualSpacing/>
      <w:jc w:val="left"/>
    </w:pPr>
    <w:rPr>
      <w:rFonts w:eastAsia="Calibri"/>
      <w:lang w:eastAsia="en-US"/>
    </w:rPr>
  </w:style>
  <w:style w:type="paragraph" w:customStyle="1" w:styleId="3-SubsectionHeading">
    <w:name w:val="3-Subsection Heading"/>
    <w:basedOn w:val="Heading2"/>
    <w:next w:val="Normal"/>
    <w:link w:val="3-SubsectionHeadingChar"/>
    <w:qFormat/>
    <w:rsid w:val="00DC645D"/>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DC645D"/>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8882853">
      <w:bodyDiv w:val="1"/>
      <w:marLeft w:val="0"/>
      <w:marRight w:val="0"/>
      <w:marTop w:val="0"/>
      <w:marBottom w:val="0"/>
      <w:divBdr>
        <w:top w:val="none" w:sz="0" w:space="0" w:color="auto"/>
        <w:left w:val="none" w:sz="0" w:space="0" w:color="auto"/>
        <w:bottom w:val="none" w:sz="0" w:space="0" w:color="auto"/>
        <w:right w:val="none" w:sz="0" w:space="0" w:color="auto"/>
      </w:divBdr>
    </w:div>
    <w:div w:id="31268639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2146133">
      <w:bodyDiv w:val="1"/>
      <w:marLeft w:val="0"/>
      <w:marRight w:val="0"/>
      <w:marTop w:val="0"/>
      <w:marBottom w:val="0"/>
      <w:divBdr>
        <w:top w:val="none" w:sz="0" w:space="0" w:color="auto"/>
        <w:left w:val="none" w:sz="0" w:space="0" w:color="auto"/>
        <w:bottom w:val="none" w:sz="0" w:space="0" w:color="auto"/>
        <w:right w:val="none" w:sz="0" w:space="0" w:color="auto"/>
      </w:divBdr>
    </w:div>
    <w:div w:id="691876498">
      <w:bodyDiv w:val="1"/>
      <w:marLeft w:val="0"/>
      <w:marRight w:val="0"/>
      <w:marTop w:val="0"/>
      <w:marBottom w:val="0"/>
      <w:divBdr>
        <w:top w:val="none" w:sz="0" w:space="0" w:color="auto"/>
        <w:left w:val="none" w:sz="0" w:space="0" w:color="auto"/>
        <w:bottom w:val="none" w:sz="0" w:space="0" w:color="auto"/>
        <w:right w:val="none" w:sz="0" w:space="0" w:color="auto"/>
      </w:divBdr>
    </w:div>
    <w:div w:id="787966505">
      <w:bodyDiv w:val="1"/>
      <w:marLeft w:val="0"/>
      <w:marRight w:val="0"/>
      <w:marTop w:val="0"/>
      <w:marBottom w:val="0"/>
      <w:divBdr>
        <w:top w:val="none" w:sz="0" w:space="0" w:color="auto"/>
        <w:left w:val="none" w:sz="0" w:space="0" w:color="auto"/>
        <w:bottom w:val="none" w:sz="0" w:space="0" w:color="auto"/>
        <w:right w:val="none" w:sz="0" w:space="0" w:color="auto"/>
      </w:divBdr>
    </w:div>
    <w:div w:id="791554647">
      <w:bodyDiv w:val="1"/>
      <w:marLeft w:val="0"/>
      <w:marRight w:val="0"/>
      <w:marTop w:val="0"/>
      <w:marBottom w:val="0"/>
      <w:divBdr>
        <w:top w:val="none" w:sz="0" w:space="0" w:color="auto"/>
        <w:left w:val="none" w:sz="0" w:space="0" w:color="auto"/>
        <w:bottom w:val="none" w:sz="0" w:space="0" w:color="auto"/>
        <w:right w:val="none" w:sz="0" w:space="0" w:color="auto"/>
      </w:divBdr>
    </w:div>
    <w:div w:id="80878914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01784351">
      <w:bodyDiv w:val="1"/>
      <w:marLeft w:val="0"/>
      <w:marRight w:val="0"/>
      <w:marTop w:val="0"/>
      <w:marBottom w:val="0"/>
      <w:divBdr>
        <w:top w:val="none" w:sz="0" w:space="0" w:color="auto"/>
        <w:left w:val="none" w:sz="0" w:space="0" w:color="auto"/>
        <w:bottom w:val="none" w:sz="0" w:space="0" w:color="auto"/>
        <w:right w:val="none" w:sz="0" w:space="0" w:color="auto"/>
      </w:divBdr>
    </w:div>
    <w:div w:id="101195073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81396395">
      <w:bodyDiv w:val="1"/>
      <w:marLeft w:val="0"/>
      <w:marRight w:val="0"/>
      <w:marTop w:val="0"/>
      <w:marBottom w:val="0"/>
      <w:divBdr>
        <w:top w:val="none" w:sz="0" w:space="0" w:color="auto"/>
        <w:left w:val="none" w:sz="0" w:space="0" w:color="auto"/>
        <w:bottom w:val="none" w:sz="0" w:space="0" w:color="auto"/>
        <w:right w:val="none" w:sz="0" w:space="0" w:color="auto"/>
      </w:divBdr>
    </w:div>
    <w:div w:id="1430346613">
      <w:bodyDiv w:val="1"/>
      <w:marLeft w:val="0"/>
      <w:marRight w:val="0"/>
      <w:marTop w:val="0"/>
      <w:marBottom w:val="0"/>
      <w:divBdr>
        <w:top w:val="none" w:sz="0" w:space="0" w:color="auto"/>
        <w:left w:val="none" w:sz="0" w:space="0" w:color="auto"/>
        <w:bottom w:val="none" w:sz="0" w:space="0" w:color="auto"/>
        <w:right w:val="none" w:sz="0" w:space="0" w:color="auto"/>
      </w:divBdr>
    </w:div>
    <w:div w:id="1470630568">
      <w:bodyDiv w:val="1"/>
      <w:marLeft w:val="0"/>
      <w:marRight w:val="0"/>
      <w:marTop w:val="0"/>
      <w:marBottom w:val="0"/>
      <w:divBdr>
        <w:top w:val="none" w:sz="0" w:space="0" w:color="auto"/>
        <w:left w:val="none" w:sz="0" w:space="0" w:color="auto"/>
        <w:bottom w:val="none" w:sz="0" w:space="0" w:color="auto"/>
        <w:right w:val="none" w:sz="0" w:space="0" w:color="auto"/>
      </w:divBdr>
    </w:div>
    <w:div w:id="1628007411">
      <w:bodyDiv w:val="1"/>
      <w:marLeft w:val="0"/>
      <w:marRight w:val="0"/>
      <w:marTop w:val="0"/>
      <w:marBottom w:val="0"/>
      <w:divBdr>
        <w:top w:val="none" w:sz="0" w:space="0" w:color="auto"/>
        <w:left w:val="none" w:sz="0" w:space="0" w:color="auto"/>
        <w:bottom w:val="none" w:sz="0" w:space="0" w:color="auto"/>
        <w:right w:val="none" w:sz="0" w:space="0" w:color="auto"/>
      </w:divBdr>
    </w:div>
    <w:div w:id="1720398697">
      <w:bodyDiv w:val="1"/>
      <w:marLeft w:val="0"/>
      <w:marRight w:val="0"/>
      <w:marTop w:val="0"/>
      <w:marBottom w:val="0"/>
      <w:divBdr>
        <w:top w:val="none" w:sz="0" w:space="0" w:color="auto"/>
        <w:left w:val="none" w:sz="0" w:space="0" w:color="auto"/>
        <w:bottom w:val="none" w:sz="0" w:space="0" w:color="auto"/>
        <w:right w:val="none" w:sz="0" w:space="0" w:color="auto"/>
      </w:divBdr>
    </w:div>
    <w:div w:id="1782527674">
      <w:bodyDiv w:val="1"/>
      <w:marLeft w:val="0"/>
      <w:marRight w:val="0"/>
      <w:marTop w:val="0"/>
      <w:marBottom w:val="0"/>
      <w:divBdr>
        <w:top w:val="none" w:sz="0" w:space="0" w:color="auto"/>
        <w:left w:val="none" w:sz="0" w:space="0" w:color="auto"/>
        <w:bottom w:val="none" w:sz="0" w:space="0" w:color="auto"/>
        <w:right w:val="none" w:sz="0" w:space="0" w:color="auto"/>
      </w:divBdr>
    </w:div>
    <w:div w:id="180481106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199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57</Pages>
  <Words>24265</Words>
  <Characters>134886</Characters>
  <Application>Microsoft Office Word</Application>
  <DocSecurity>0</DocSecurity>
  <Lines>1124</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2024-07-05T02:42:00Z</dcterms:created>
  <dcterms:modified xsi:type="dcterms:W3CDTF">2024-07-05T02:42:00Z</dcterms:modified>
</cp:coreProperties>
</file>